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/>
        </w:rPr>
      </w:pPr>
      <w:bookmarkStart w:id="0" w:name="_GoBack"/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" w:eastAsia="zh-CN"/>
        </w:rPr>
        <w:t>附件.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/>
        </w:rPr>
        <w:t>2022年度产业工人职业训练基地评估合格基地名录</w:t>
      </w:r>
    </w:p>
    <w:bookmarkEnd w:id="0"/>
    <w:tbl>
      <w:tblPr>
        <w:tblStyle w:val="4"/>
        <w:tblW w:w="9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811"/>
        <w:gridCol w:w="1526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基地类别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评估结果是否通过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深圳市特区建工职业技能培训学校有限公司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深圳建筑业协会培训中心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中建八局南方公司建筑产业工人培训基地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深圳地铁教育培训中心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南方世邦产业工人培训基地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中建二局有限公司产业工人培训基地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 w:bidi="ar"/>
              </w:rPr>
              <w:t>市宇恒实业有限公司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深圳市职业安全培训学院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有利华建筑产业化培训基地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深圳建筑产业化协会（现代营造培训点）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分基地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2D38"/>
    <w:rsid w:val="61F32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2023-02-17T03:38:00Z</dcterms:created>
  <dc:creator>蒋岩</dc:creator>
  <cp:lastModifiedBy>蒋岩</cp:lastModifiedBy>
  <dcterms:modified xsi:type="dcterms:W3CDTF">2023-02-17T03:38:52Z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