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1320" w:firstLineChars="300"/>
        <w:jc w:val="both"/>
        <w:rPr>
          <w:rFonts w:hint="eastAsia" w:ascii="仿宋" w:hAnsi="仿宋" w:eastAsia="仿宋" w:cs="仿宋"/>
          <w:sz w:val="44"/>
          <w:szCs w:val="44"/>
          <w:u w:val="none"/>
          <w:lang w:val="en-US" w:eastAsia="zh-CN"/>
        </w:rPr>
      </w:pPr>
    </w:p>
    <w:p>
      <w:pPr>
        <w:spacing w:line="240" w:lineRule="auto"/>
        <w:ind w:firstLine="1320" w:firstLineChars="300"/>
        <w:jc w:val="both"/>
        <w:rPr>
          <w:rFonts w:hint="eastAsia" w:ascii="仿宋" w:hAnsi="仿宋" w:eastAsia="仿宋" w:cs="仿宋"/>
          <w:sz w:val="44"/>
          <w:szCs w:val="44"/>
          <w:u w:val="none"/>
          <w:lang w:val="en-US" w:eastAsia="zh-CN"/>
        </w:rPr>
      </w:pPr>
    </w:p>
    <w:p>
      <w:pPr>
        <w:spacing w:line="240" w:lineRule="auto"/>
        <w:ind w:firstLine="1320" w:firstLineChars="300"/>
        <w:jc w:val="both"/>
        <w:rPr>
          <w:rFonts w:hint="eastAsia" w:ascii="仿宋" w:hAnsi="仿宋" w:eastAsia="仿宋" w:cs="仿宋"/>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line="800" w:lineRule="exact"/>
        <w:ind w:firstLine="0" w:firstLineChars="0"/>
        <w:jc w:val="center"/>
        <w:textAlignment w:val="auto"/>
        <w:rPr>
          <w:rFonts w:hint="eastAsia" w:ascii="幼圆" w:hAnsi="幼圆" w:eastAsia="幼圆" w:cs="幼圆"/>
          <w:b/>
          <w:bCs/>
          <w:kern w:val="2"/>
          <w:sz w:val="44"/>
          <w:szCs w:val="44"/>
          <w:lang w:val="en-US" w:eastAsia="zh-CN"/>
        </w:rPr>
      </w:pPr>
      <w:r>
        <w:rPr>
          <w:rFonts w:hint="eastAsia" w:ascii="幼圆" w:hAnsi="幼圆" w:eastAsia="幼圆" w:cs="幼圆"/>
          <w:b/>
          <w:bCs/>
          <w:kern w:val="2"/>
          <w:sz w:val="44"/>
          <w:szCs w:val="44"/>
          <w:lang w:val="en-US" w:eastAsia="zh-CN"/>
        </w:rPr>
        <w:t>2021年度深圳市建设工程</w:t>
      </w:r>
    </w:p>
    <w:p>
      <w:pPr>
        <w:keepNext w:val="0"/>
        <w:keepLines w:val="0"/>
        <w:pageBreakBefore w:val="0"/>
        <w:widowControl w:val="0"/>
        <w:kinsoku/>
        <w:wordWrap/>
        <w:overflowPunct/>
        <w:topLinePunct w:val="0"/>
        <w:autoSpaceDE/>
        <w:autoSpaceDN/>
        <w:bidi w:val="0"/>
        <w:adjustRightInd/>
        <w:snapToGrid/>
        <w:spacing w:before="0" w:beforeLines="0" w:after="0" w:line="800" w:lineRule="exact"/>
        <w:ind w:firstLine="0" w:firstLineChars="0"/>
        <w:jc w:val="center"/>
        <w:textAlignment w:val="auto"/>
        <w:rPr>
          <w:rFonts w:hint="eastAsia" w:ascii="幼圆" w:hAnsi="幼圆" w:eastAsia="幼圆" w:cs="幼圆"/>
          <w:b/>
          <w:bCs/>
          <w:kern w:val="2"/>
          <w:sz w:val="44"/>
          <w:szCs w:val="44"/>
          <w:lang w:eastAsia="zh-CN"/>
        </w:rPr>
      </w:pPr>
      <w:r>
        <w:rPr>
          <w:rFonts w:hint="eastAsia" w:ascii="幼圆" w:hAnsi="幼圆" w:eastAsia="幼圆" w:cs="幼圆"/>
          <w:b/>
          <w:bCs/>
          <w:kern w:val="2"/>
          <w:sz w:val="44"/>
          <w:szCs w:val="44"/>
          <w:lang w:val="en-US" w:eastAsia="zh-CN"/>
        </w:rPr>
        <w:t>招标投标及合同情况后评估</w:t>
      </w:r>
      <w:r>
        <w:rPr>
          <w:rFonts w:hint="eastAsia" w:ascii="幼圆" w:hAnsi="幼圆" w:eastAsia="幼圆" w:cs="幼圆"/>
          <w:b/>
          <w:bCs/>
          <w:kern w:val="2"/>
          <w:sz w:val="44"/>
          <w:szCs w:val="44"/>
          <w:lang w:eastAsia="zh-CN"/>
        </w:rPr>
        <w:t>报告</w:t>
      </w:r>
    </w:p>
    <w:p>
      <w:pPr>
        <w:spacing w:line="360" w:lineRule="auto"/>
        <w:ind w:firstLine="525"/>
        <w:rPr>
          <w:rFonts w:hint="eastAsia" w:ascii="仿宋" w:hAnsi="仿宋" w:eastAsia="仿宋" w:cs="仿宋"/>
          <w:szCs w:val="28"/>
        </w:rPr>
      </w:pPr>
    </w:p>
    <w:p>
      <w:pPr>
        <w:spacing w:line="360" w:lineRule="auto"/>
        <w:ind w:firstLine="525"/>
        <w:rPr>
          <w:rFonts w:hint="eastAsia" w:ascii="仿宋" w:hAnsi="仿宋" w:eastAsia="仿宋" w:cs="仿宋"/>
          <w:szCs w:val="28"/>
        </w:rPr>
      </w:pPr>
    </w:p>
    <w:p>
      <w:pPr>
        <w:spacing w:line="360" w:lineRule="auto"/>
        <w:ind w:firstLine="525"/>
        <w:rPr>
          <w:rFonts w:hint="eastAsia" w:ascii="仿宋" w:hAnsi="仿宋" w:eastAsia="仿宋" w:cs="仿宋"/>
          <w:szCs w:val="28"/>
        </w:rPr>
      </w:pPr>
    </w:p>
    <w:p>
      <w:pPr>
        <w:spacing w:line="360" w:lineRule="auto"/>
        <w:ind w:firstLine="525"/>
        <w:rPr>
          <w:rFonts w:hint="eastAsia" w:ascii="仿宋" w:hAnsi="仿宋" w:eastAsia="仿宋" w:cs="仿宋"/>
          <w:szCs w:val="28"/>
        </w:rPr>
      </w:pPr>
    </w:p>
    <w:p>
      <w:pPr>
        <w:spacing w:line="360" w:lineRule="auto"/>
        <w:rPr>
          <w:rFonts w:hint="eastAsia" w:ascii="仿宋" w:hAnsi="仿宋" w:eastAsia="仿宋" w:cs="仿宋"/>
          <w:szCs w:val="28"/>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both"/>
        <w:rPr>
          <w:rFonts w:hint="eastAsia" w:ascii="仿宋" w:hAnsi="仿宋" w:eastAsia="仿宋" w:cs="仿宋"/>
        </w:rPr>
      </w:pPr>
    </w:p>
    <w:p>
      <w:pPr>
        <w:jc w:val="both"/>
        <w:rPr>
          <w:rFonts w:hint="eastAsia" w:ascii="仿宋" w:hAnsi="仿宋" w:eastAsia="仿宋" w:cs="仿宋"/>
        </w:rPr>
      </w:pPr>
    </w:p>
    <w:p>
      <w:pPr>
        <w:jc w:val="center"/>
        <w:rPr>
          <w:rFonts w:hint="eastAsia" w:ascii="仿宋" w:hAnsi="仿宋" w:eastAsia="仿宋" w:cs="仿宋"/>
        </w:rPr>
      </w:pPr>
    </w:p>
    <w:p>
      <w:pPr>
        <w:ind w:firstLine="0" w:firstLineChars="0"/>
        <w:jc w:val="center"/>
        <w:rPr>
          <w:rFonts w:hint="eastAsia" w:ascii="仿宋" w:hAnsi="仿宋" w:eastAsia="仿宋" w:cs="仿宋"/>
        </w:rPr>
      </w:pPr>
    </w:p>
    <w:p>
      <w:pPr>
        <w:jc w:val="both"/>
        <w:rPr>
          <w:rFonts w:hint="eastAsia" w:ascii="仿宋" w:hAnsi="仿宋" w:eastAsia="仿宋" w:cs="仿宋"/>
        </w:rPr>
      </w:pPr>
    </w:p>
    <w:p>
      <w:pPr>
        <w:ind w:firstLine="0" w:firstLineChars="0"/>
        <w:jc w:val="center"/>
        <w:rPr>
          <w:rFonts w:hint="eastAsia" w:ascii="仿宋" w:hAnsi="仿宋" w:eastAsia="仿宋" w:cs="仿宋"/>
          <w:b/>
          <w:sz w:val="28"/>
          <w:szCs w:val="21"/>
          <w:lang w:val="en-US" w:eastAsia="zh-CN"/>
        </w:rPr>
      </w:pPr>
      <w:r>
        <w:rPr>
          <w:rFonts w:hint="eastAsia" w:ascii="仿宋" w:hAnsi="仿宋" w:eastAsia="仿宋" w:cs="仿宋"/>
          <w:b/>
          <w:sz w:val="28"/>
          <w:szCs w:val="21"/>
          <w:lang w:val="en-US" w:eastAsia="zh-CN"/>
        </w:rPr>
        <w:t>深圳市住房和建设局</w:t>
      </w:r>
    </w:p>
    <w:p>
      <w:pPr>
        <w:pStyle w:val="9"/>
        <w:jc w:val="center"/>
        <w:rPr>
          <w:rFonts w:hint="eastAsia" w:ascii="仿宋" w:hAnsi="仿宋" w:eastAsia="仿宋" w:cs="仿宋"/>
          <w:b/>
          <w:sz w:val="28"/>
          <w:szCs w:val="16"/>
        </w:rPr>
      </w:pPr>
      <w:r>
        <w:rPr>
          <w:rFonts w:hint="eastAsia" w:ascii="仿宋" w:hAnsi="仿宋" w:eastAsia="仿宋" w:cs="仿宋"/>
          <w:b/>
          <w:sz w:val="28"/>
          <w:szCs w:val="16"/>
        </w:rPr>
        <w:t>二O二</w:t>
      </w:r>
      <w:r>
        <w:rPr>
          <w:rFonts w:hint="eastAsia" w:ascii="仿宋" w:hAnsi="仿宋" w:eastAsia="仿宋" w:cs="仿宋"/>
          <w:b/>
          <w:sz w:val="28"/>
          <w:szCs w:val="16"/>
          <w:lang w:val="en-US" w:eastAsia="zh-CN"/>
        </w:rPr>
        <w:t>三</w:t>
      </w:r>
      <w:r>
        <w:rPr>
          <w:rFonts w:hint="eastAsia" w:ascii="仿宋" w:hAnsi="仿宋" w:eastAsia="仿宋" w:cs="仿宋"/>
          <w:b/>
          <w:sz w:val="28"/>
          <w:szCs w:val="16"/>
        </w:rPr>
        <w:t>年</w:t>
      </w:r>
      <w:r>
        <w:rPr>
          <w:rFonts w:hint="eastAsia" w:ascii="仿宋" w:hAnsi="仿宋" w:eastAsia="仿宋" w:cs="仿宋"/>
          <w:b/>
          <w:sz w:val="28"/>
          <w:szCs w:val="16"/>
          <w:lang w:val="en-US" w:eastAsia="zh-CN"/>
        </w:rPr>
        <w:t>三</w:t>
      </w:r>
      <w:r>
        <w:rPr>
          <w:rFonts w:hint="eastAsia" w:ascii="仿宋" w:hAnsi="仿宋" w:eastAsia="仿宋" w:cs="仿宋"/>
          <w:b/>
          <w:sz w:val="28"/>
          <w:szCs w:val="16"/>
        </w:rPr>
        <w:t>月</w:t>
      </w:r>
    </w:p>
    <w:p>
      <w:pPr>
        <w:rPr>
          <w:rFonts w:hint="eastAsia" w:ascii="仿宋" w:hAnsi="仿宋" w:eastAsia="仿宋" w:cs="仿宋"/>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仿宋" w:hAnsi="仿宋" w:eastAsia="仿宋" w:cs="仿宋"/>
          <w:kern w:val="2"/>
          <w:sz w:val="21"/>
          <w:szCs w:val="24"/>
          <w:lang w:val="en-US" w:eastAsia="zh-CN" w:bidi="ar-SA"/>
        </w:rPr>
      </w:pPr>
      <w:r>
        <w:rPr>
          <w:rFonts w:hint="eastAsia" w:ascii="仿宋" w:hAnsi="仿宋" w:eastAsia="仿宋" w:cs="仿宋"/>
          <w:sz w:val="44"/>
          <w:szCs w:val="44"/>
        </w:rPr>
        <w:t>目录</w:t>
      </w:r>
    </w:p>
    <w:p>
      <w:pPr>
        <w:pStyle w:val="13"/>
        <w:tabs>
          <w:tab w:val="right" w:leader="dot" w:pos="8306"/>
          <w:tab w:val="clear" w:pos="8296"/>
        </w:tabs>
        <w:spacing w:line="360" w:lineRule="auto"/>
        <w:rPr>
          <w:rFonts w:hint="eastAsia" w:ascii="宋体" w:hAnsi="宋体" w:eastAsia="宋体" w:cs="宋体"/>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TOC \o "1-3" \h \u </w:instrText>
      </w:r>
      <w:r>
        <w:rPr>
          <w:rFonts w:hint="eastAsia" w:ascii="宋体" w:hAnsi="宋体" w:eastAsia="宋体" w:cs="宋体"/>
          <w:kern w:val="0"/>
          <w:sz w:val="18"/>
          <w:szCs w:val="18"/>
        </w:rPr>
        <w:fldChar w:fldCharType="separate"/>
      </w:r>
      <w:r>
        <w:rPr>
          <w:rFonts w:hint="eastAsia" w:ascii="宋体" w:hAnsi="宋体" w:eastAsia="宋体" w:cs="宋体"/>
          <w:szCs w:val="22"/>
        </w:rPr>
        <w:fldChar w:fldCharType="begin"/>
      </w:r>
      <w:r>
        <w:rPr>
          <w:rFonts w:hint="eastAsia" w:ascii="宋体" w:hAnsi="宋体" w:eastAsia="宋体" w:cs="宋体"/>
          <w:szCs w:val="22"/>
        </w:rPr>
        <w:instrText xml:space="preserve"> HYPERLINK \l _Toc17986 </w:instrText>
      </w:r>
      <w:r>
        <w:rPr>
          <w:rFonts w:hint="eastAsia" w:ascii="宋体" w:hAnsi="宋体" w:eastAsia="宋体" w:cs="宋体"/>
          <w:szCs w:val="22"/>
        </w:rPr>
        <w:fldChar w:fldCharType="separate"/>
      </w:r>
      <w:r>
        <w:rPr>
          <w:rFonts w:hint="eastAsia" w:ascii="宋体" w:hAnsi="宋体" w:eastAsia="宋体" w:cs="宋体"/>
          <w:bCs/>
          <w:szCs w:val="32"/>
        </w:rPr>
        <w:t xml:space="preserve">第1章  </w:t>
      </w:r>
      <w:r>
        <w:rPr>
          <w:rFonts w:hint="eastAsia" w:ascii="宋体" w:hAnsi="宋体" w:eastAsia="宋体" w:cs="宋体"/>
          <w:bCs/>
          <w:szCs w:val="32"/>
          <w:lang w:val="en-US" w:eastAsia="zh-CN"/>
        </w:rPr>
        <w:t>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_Toc17986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_Toc30871 </w:instrText>
      </w:r>
      <w:r>
        <w:rPr>
          <w:rFonts w:hint="eastAsia" w:ascii="宋体" w:hAnsi="宋体" w:eastAsia="宋体" w:cs="宋体"/>
          <w:szCs w:val="22"/>
        </w:rPr>
        <w:fldChar w:fldCharType="separate"/>
      </w:r>
      <w:r>
        <w:rPr>
          <w:rFonts w:hint="eastAsia" w:ascii="宋体" w:hAnsi="宋体" w:eastAsia="宋体" w:cs="宋体"/>
          <w:bCs/>
          <w:szCs w:val="28"/>
          <w:lang w:val="en-US" w:eastAsia="zh-CN"/>
        </w:rPr>
        <w:t>1.1评估背景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_Toc30871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_Toc9784 </w:instrText>
      </w:r>
      <w:r>
        <w:rPr>
          <w:rFonts w:hint="eastAsia" w:ascii="宋体" w:hAnsi="宋体" w:eastAsia="宋体" w:cs="宋体"/>
          <w:szCs w:val="22"/>
        </w:rPr>
        <w:fldChar w:fldCharType="separate"/>
      </w:r>
      <w:r>
        <w:rPr>
          <w:rFonts w:hint="eastAsia" w:ascii="宋体" w:hAnsi="宋体" w:eastAsia="宋体" w:cs="宋体"/>
          <w:bCs/>
          <w:szCs w:val="28"/>
          <w:lang w:val="en-US" w:eastAsia="zh-CN"/>
        </w:rPr>
        <w:t>1.2项目筛选标准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_Toc9784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_Toc11626 </w:instrText>
      </w:r>
      <w:r>
        <w:rPr>
          <w:rFonts w:hint="eastAsia" w:ascii="宋体" w:hAnsi="宋体" w:eastAsia="宋体" w:cs="宋体"/>
          <w:szCs w:val="22"/>
        </w:rPr>
        <w:fldChar w:fldCharType="separate"/>
      </w:r>
      <w:r>
        <w:rPr>
          <w:rFonts w:hint="eastAsia" w:ascii="宋体" w:hAnsi="宋体" w:eastAsia="宋体" w:cs="宋体"/>
          <w:bCs/>
          <w:szCs w:val="28"/>
          <w:lang w:val="en-US" w:eastAsia="zh-CN"/>
        </w:rPr>
        <w:t>1.3项目数量及类型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_Toc11626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_Toc3527 </w:instrText>
      </w:r>
      <w:r>
        <w:rPr>
          <w:rFonts w:hint="eastAsia" w:ascii="宋体" w:hAnsi="宋体" w:eastAsia="宋体" w:cs="宋体"/>
          <w:szCs w:val="22"/>
        </w:rPr>
        <w:fldChar w:fldCharType="separate"/>
      </w:r>
      <w:r>
        <w:rPr>
          <w:rFonts w:hint="eastAsia" w:ascii="宋体" w:hAnsi="宋体" w:eastAsia="宋体" w:cs="宋体"/>
          <w:bCs/>
          <w:szCs w:val="28"/>
        </w:rPr>
        <w:t>1.</w:t>
      </w:r>
      <w:r>
        <w:rPr>
          <w:rFonts w:hint="eastAsia" w:ascii="宋体" w:hAnsi="宋体" w:eastAsia="宋体" w:cs="宋体"/>
          <w:bCs/>
          <w:szCs w:val="28"/>
          <w:lang w:val="en-US" w:eastAsia="zh-CN"/>
        </w:rPr>
        <w:t>4评估依据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_Toc3527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_Toc22593 </w:instrText>
      </w:r>
      <w:r>
        <w:rPr>
          <w:rFonts w:hint="eastAsia" w:ascii="宋体" w:hAnsi="宋体" w:eastAsia="宋体" w:cs="宋体"/>
          <w:szCs w:val="22"/>
        </w:rPr>
        <w:fldChar w:fldCharType="separate"/>
      </w:r>
      <w:r>
        <w:rPr>
          <w:rFonts w:hint="eastAsia" w:ascii="宋体" w:hAnsi="宋体" w:eastAsia="宋体" w:cs="宋体"/>
          <w:bCs/>
          <w:szCs w:val="28"/>
          <w:lang w:val="en-US" w:eastAsia="zh-CN"/>
        </w:rPr>
        <w:t>1.5评估目的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_Toc22593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_Toc3534 </w:instrText>
      </w:r>
      <w:r>
        <w:rPr>
          <w:rFonts w:hint="eastAsia" w:ascii="宋体" w:hAnsi="宋体" w:eastAsia="宋体" w:cs="宋体"/>
          <w:szCs w:val="22"/>
        </w:rPr>
        <w:fldChar w:fldCharType="separate"/>
      </w:r>
      <w:r>
        <w:rPr>
          <w:rFonts w:hint="eastAsia" w:ascii="宋体" w:hAnsi="宋体" w:eastAsia="宋体" w:cs="宋体"/>
          <w:bCs/>
          <w:szCs w:val="28"/>
        </w:rPr>
        <w:t>1.</w:t>
      </w:r>
      <w:r>
        <w:rPr>
          <w:rFonts w:hint="eastAsia" w:ascii="宋体" w:hAnsi="宋体" w:eastAsia="宋体" w:cs="宋体"/>
          <w:bCs/>
          <w:szCs w:val="28"/>
          <w:lang w:val="en-US" w:eastAsia="zh-CN"/>
        </w:rPr>
        <w:t>6评估流程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_Toc3534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2"/>
        </w:rPr>
        <w:fldChar w:fldCharType="end"/>
      </w:r>
    </w:p>
    <w:p>
      <w:pPr>
        <w:pStyle w:val="13"/>
        <w:tabs>
          <w:tab w:val="right" w:leader="dot" w:pos="8306"/>
          <w:tab w:val="clear" w:pos="829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_Toc26411 </w:instrText>
      </w:r>
      <w:r>
        <w:rPr>
          <w:rFonts w:hint="eastAsia" w:ascii="宋体" w:hAnsi="宋体" w:eastAsia="宋体" w:cs="宋体"/>
          <w:szCs w:val="22"/>
        </w:rPr>
        <w:fldChar w:fldCharType="separate"/>
      </w:r>
      <w:r>
        <w:rPr>
          <w:rFonts w:hint="eastAsia" w:ascii="宋体" w:hAnsi="宋体" w:eastAsia="宋体" w:cs="宋体"/>
          <w:bCs/>
          <w:szCs w:val="32"/>
        </w:rPr>
        <w:t xml:space="preserve">第2章  </w:t>
      </w:r>
      <w:r>
        <w:rPr>
          <w:rFonts w:hint="eastAsia" w:ascii="宋体" w:hAnsi="宋体" w:eastAsia="宋体" w:cs="宋体"/>
          <w:bCs/>
          <w:szCs w:val="32"/>
          <w:lang w:val="en-US" w:eastAsia="zh-CN"/>
        </w:rPr>
        <w:t>评估标准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_Toc26411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_Toc568 </w:instrText>
      </w:r>
      <w:r>
        <w:rPr>
          <w:rFonts w:hint="eastAsia" w:ascii="宋体" w:hAnsi="宋体" w:eastAsia="宋体" w:cs="宋体"/>
          <w:szCs w:val="22"/>
        </w:rPr>
        <w:fldChar w:fldCharType="separate"/>
      </w:r>
      <w:r>
        <w:rPr>
          <w:rFonts w:hint="eastAsia" w:ascii="宋体" w:hAnsi="宋体" w:eastAsia="宋体" w:cs="宋体"/>
          <w:bCs/>
          <w:szCs w:val="28"/>
        </w:rPr>
        <w:t>2.</w:t>
      </w:r>
      <w:r>
        <w:rPr>
          <w:rFonts w:hint="eastAsia" w:ascii="宋体" w:hAnsi="宋体" w:eastAsia="宋体" w:cs="宋体"/>
          <w:bCs/>
          <w:szCs w:val="28"/>
          <w:lang w:val="en-US" w:eastAsia="zh-CN"/>
        </w:rPr>
        <w:t>1招标公告发布环节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_Toc568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_Toc15377 </w:instrText>
      </w:r>
      <w:r>
        <w:rPr>
          <w:rFonts w:hint="eastAsia" w:ascii="宋体" w:hAnsi="宋体" w:eastAsia="宋体" w:cs="宋体"/>
          <w:szCs w:val="22"/>
        </w:rPr>
        <w:fldChar w:fldCharType="separate"/>
      </w:r>
      <w:r>
        <w:rPr>
          <w:rFonts w:hint="eastAsia" w:ascii="宋体" w:hAnsi="宋体" w:eastAsia="宋体" w:cs="宋体"/>
          <w:bCs/>
          <w:szCs w:val="28"/>
        </w:rPr>
        <w:t>2.</w:t>
      </w:r>
      <w:r>
        <w:rPr>
          <w:rFonts w:hint="eastAsia" w:ascii="宋体" w:hAnsi="宋体" w:eastAsia="宋体" w:cs="宋体"/>
          <w:bCs/>
          <w:szCs w:val="28"/>
          <w:lang w:val="en-US" w:eastAsia="zh-CN"/>
        </w:rPr>
        <w:t>2</w:t>
      </w:r>
      <w:r>
        <w:rPr>
          <w:rFonts w:hint="eastAsia" w:ascii="宋体" w:hAnsi="宋体" w:eastAsia="宋体" w:cs="宋体"/>
          <w:bCs/>
          <w:szCs w:val="28"/>
        </w:rPr>
        <w:t>开标环节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_Toc15377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_Toc11319 </w:instrText>
      </w:r>
      <w:r>
        <w:rPr>
          <w:rFonts w:hint="eastAsia" w:ascii="宋体" w:hAnsi="宋体" w:eastAsia="宋体" w:cs="宋体"/>
          <w:szCs w:val="22"/>
        </w:rPr>
        <w:fldChar w:fldCharType="separate"/>
      </w:r>
      <w:r>
        <w:rPr>
          <w:rFonts w:hint="eastAsia" w:ascii="宋体" w:hAnsi="宋体" w:eastAsia="宋体" w:cs="宋体"/>
          <w:bCs/>
          <w:szCs w:val="28"/>
          <w:lang w:val="en-US" w:eastAsia="zh-CN"/>
        </w:rPr>
        <w:t>2</w:t>
      </w:r>
      <w:r>
        <w:rPr>
          <w:rFonts w:hint="eastAsia" w:ascii="宋体" w:hAnsi="宋体" w:eastAsia="宋体" w:cs="宋体"/>
          <w:bCs/>
          <w:szCs w:val="28"/>
        </w:rPr>
        <w:t>.3过多投标人淘汰环节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_Toc11319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_Toc1701 </w:instrText>
      </w:r>
      <w:r>
        <w:rPr>
          <w:rFonts w:hint="eastAsia" w:ascii="宋体" w:hAnsi="宋体" w:eastAsia="宋体" w:cs="宋体"/>
          <w:szCs w:val="22"/>
        </w:rPr>
        <w:fldChar w:fldCharType="separate"/>
      </w:r>
      <w:r>
        <w:rPr>
          <w:rFonts w:hint="eastAsia" w:ascii="宋体" w:hAnsi="宋体" w:eastAsia="宋体" w:cs="宋体"/>
          <w:bCs/>
          <w:szCs w:val="28"/>
          <w:lang w:val="en-US" w:eastAsia="zh-CN"/>
        </w:rPr>
        <w:t>2.4评标环节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_Toc1701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_Toc10989 </w:instrText>
      </w:r>
      <w:r>
        <w:rPr>
          <w:rFonts w:hint="eastAsia" w:ascii="宋体" w:hAnsi="宋体" w:eastAsia="宋体" w:cs="宋体"/>
          <w:szCs w:val="22"/>
        </w:rPr>
        <w:fldChar w:fldCharType="separate"/>
      </w:r>
      <w:r>
        <w:rPr>
          <w:rFonts w:hint="eastAsia" w:ascii="宋体" w:hAnsi="宋体" w:eastAsia="宋体" w:cs="宋体"/>
          <w:bCs/>
          <w:szCs w:val="28"/>
          <w:lang w:val="en-US" w:eastAsia="zh-CN"/>
        </w:rPr>
        <w:t>2.5清标环节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_Toc10989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_Toc18127 </w:instrText>
      </w:r>
      <w:r>
        <w:rPr>
          <w:rFonts w:hint="eastAsia" w:ascii="宋体" w:hAnsi="宋体" w:eastAsia="宋体" w:cs="宋体"/>
          <w:szCs w:val="22"/>
        </w:rPr>
        <w:fldChar w:fldCharType="separate"/>
      </w:r>
      <w:r>
        <w:rPr>
          <w:rFonts w:hint="eastAsia" w:ascii="宋体" w:hAnsi="宋体" w:eastAsia="宋体" w:cs="宋体"/>
          <w:bCs/>
          <w:szCs w:val="28"/>
        </w:rPr>
        <w:t>2.</w:t>
      </w:r>
      <w:r>
        <w:rPr>
          <w:rFonts w:hint="eastAsia" w:ascii="宋体" w:hAnsi="宋体" w:eastAsia="宋体" w:cs="宋体"/>
          <w:bCs/>
          <w:szCs w:val="28"/>
          <w:lang w:val="en-US" w:eastAsia="zh-CN"/>
        </w:rPr>
        <w:t>6</w:t>
      </w:r>
      <w:r>
        <w:rPr>
          <w:rFonts w:hint="eastAsia" w:ascii="宋体" w:hAnsi="宋体" w:eastAsia="宋体" w:cs="宋体"/>
          <w:bCs/>
          <w:szCs w:val="28"/>
        </w:rPr>
        <w:t>定标环节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_Toc18127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_Toc11946 </w:instrText>
      </w:r>
      <w:r>
        <w:rPr>
          <w:rFonts w:hint="eastAsia" w:ascii="宋体" w:hAnsi="宋体" w:eastAsia="宋体" w:cs="宋体"/>
          <w:szCs w:val="22"/>
        </w:rPr>
        <w:fldChar w:fldCharType="separate"/>
      </w:r>
      <w:r>
        <w:rPr>
          <w:rFonts w:hint="eastAsia" w:ascii="宋体" w:hAnsi="宋体" w:eastAsia="宋体" w:cs="宋体"/>
          <w:bCs/>
          <w:szCs w:val="28"/>
          <w:lang w:val="en-US" w:eastAsia="zh-CN"/>
        </w:rPr>
        <w:t>2.7异常情况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_Toc11946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_Toc896 </w:instrText>
      </w:r>
      <w:r>
        <w:rPr>
          <w:rFonts w:hint="eastAsia" w:ascii="宋体" w:hAnsi="宋体" w:eastAsia="宋体" w:cs="宋体"/>
          <w:szCs w:val="22"/>
        </w:rPr>
        <w:fldChar w:fldCharType="separate"/>
      </w:r>
      <w:r>
        <w:rPr>
          <w:rFonts w:hint="eastAsia" w:ascii="宋体" w:hAnsi="宋体" w:eastAsia="宋体" w:cs="宋体"/>
          <w:bCs/>
          <w:szCs w:val="28"/>
        </w:rPr>
        <w:t>2.</w:t>
      </w:r>
      <w:r>
        <w:rPr>
          <w:rFonts w:hint="eastAsia" w:ascii="宋体" w:hAnsi="宋体" w:eastAsia="宋体" w:cs="宋体"/>
          <w:bCs/>
          <w:szCs w:val="28"/>
          <w:lang w:val="en-US" w:eastAsia="zh-CN"/>
        </w:rPr>
        <w:t>8</w:t>
      </w:r>
      <w:r>
        <w:rPr>
          <w:rFonts w:hint="eastAsia" w:ascii="宋体" w:hAnsi="宋体" w:eastAsia="宋体" w:cs="宋体"/>
          <w:bCs/>
          <w:szCs w:val="28"/>
        </w:rPr>
        <w:t>中标人综合实力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_Toc24847 </w:instrText>
      </w:r>
      <w:r>
        <w:rPr>
          <w:rFonts w:hint="eastAsia" w:ascii="宋体" w:hAnsi="宋体" w:eastAsia="宋体" w:cs="宋体"/>
          <w:szCs w:val="22"/>
        </w:rPr>
        <w:fldChar w:fldCharType="separate"/>
      </w:r>
      <w:r>
        <w:rPr>
          <w:rFonts w:hint="eastAsia" w:ascii="宋体" w:hAnsi="宋体" w:eastAsia="宋体" w:cs="宋体"/>
          <w:bCs/>
          <w:szCs w:val="28"/>
        </w:rPr>
        <w:t>2.</w:t>
      </w:r>
      <w:r>
        <w:rPr>
          <w:rFonts w:hint="eastAsia" w:ascii="宋体" w:hAnsi="宋体" w:eastAsia="宋体" w:cs="宋体"/>
          <w:bCs/>
          <w:szCs w:val="28"/>
          <w:lang w:val="en-US" w:eastAsia="zh-CN"/>
        </w:rPr>
        <w:t>9合同核查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_Toc24847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szCs w:val="22"/>
        </w:rPr>
        <w:fldChar w:fldCharType="end"/>
      </w:r>
    </w:p>
    <w:p>
      <w:pPr>
        <w:pStyle w:val="13"/>
        <w:tabs>
          <w:tab w:val="right" w:leader="dot" w:pos="8306"/>
          <w:tab w:val="clear" w:pos="829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_Toc11774 </w:instrText>
      </w:r>
      <w:r>
        <w:rPr>
          <w:rFonts w:hint="eastAsia" w:ascii="宋体" w:hAnsi="宋体" w:eastAsia="宋体" w:cs="宋体"/>
          <w:szCs w:val="22"/>
        </w:rPr>
        <w:fldChar w:fldCharType="separate"/>
      </w:r>
      <w:r>
        <w:rPr>
          <w:rFonts w:hint="eastAsia" w:ascii="宋体" w:hAnsi="宋体" w:eastAsia="宋体" w:cs="宋体"/>
          <w:bCs/>
          <w:szCs w:val="32"/>
        </w:rPr>
        <w:t>第</w:t>
      </w:r>
      <w:r>
        <w:rPr>
          <w:rFonts w:hint="eastAsia" w:ascii="宋体" w:hAnsi="宋体" w:eastAsia="宋体" w:cs="宋体"/>
          <w:bCs/>
          <w:szCs w:val="32"/>
          <w:lang w:val="en-US" w:eastAsia="zh-CN"/>
        </w:rPr>
        <w:t>3</w:t>
      </w:r>
      <w:r>
        <w:rPr>
          <w:rFonts w:hint="eastAsia" w:ascii="宋体" w:hAnsi="宋体" w:eastAsia="宋体" w:cs="宋体"/>
          <w:bCs/>
          <w:szCs w:val="32"/>
        </w:rPr>
        <w:t xml:space="preserve">章  </w:t>
      </w:r>
      <w:r>
        <w:rPr>
          <w:rFonts w:hint="eastAsia" w:ascii="宋体" w:hAnsi="宋体" w:eastAsia="宋体" w:cs="宋体"/>
          <w:bCs/>
          <w:szCs w:val="32"/>
          <w:lang w:val="en-US" w:eastAsia="zh-CN"/>
        </w:rPr>
        <w:t>评估结论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_Toc11774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_Toc23436 </w:instrText>
      </w:r>
      <w:r>
        <w:rPr>
          <w:rFonts w:hint="eastAsia" w:ascii="宋体" w:hAnsi="宋体" w:eastAsia="宋体" w:cs="宋体"/>
          <w:szCs w:val="22"/>
        </w:rPr>
        <w:fldChar w:fldCharType="separate"/>
      </w:r>
      <w:r>
        <w:rPr>
          <w:rFonts w:hint="eastAsia" w:ascii="宋体" w:hAnsi="宋体" w:eastAsia="宋体" w:cs="宋体"/>
          <w:bCs/>
          <w:szCs w:val="28"/>
        </w:rPr>
        <w:t>3.</w:t>
      </w:r>
      <w:r>
        <w:rPr>
          <w:rFonts w:hint="eastAsia" w:ascii="宋体" w:hAnsi="宋体" w:eastAsia="宋体" w:cs="宋体"/>
          <w:bCs/>
          <w:szCs w:val="28"/>
          <w:lang w:val="en-US" w:eastAsia="zh-CN"/>
        </w:rPr>
        <w:t>1总体评估结论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_Toc23436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_Toc6145 </w:instrText>
      </w:r>
      <w:r>
        <w:rPr>
          <w:rFonts w:hint="eastAsia" w:ascii="宋体" w:hAnsi="宋体" w:eastAsia="宋体" w:cs="宋体"/>
          <w:szCs w:val="22"/>
        </w:rPr>
        <w:fldChar w:fldCharType="separate"/>
      </w:r>
      <w:r>
        <w:rPr>
          <w:rFonts w:hint="eastAsia" w:ascii="宋体" w:hAnsi="宋体" w:eastAsia="宋体" w:cs="宋体"/>
          <w:bCs/>
          <w:szCs w:val="28"/>
          <w:lang w:val="en-US" w:eastAsia="zh-CN"/>
        </w:rPr>
        <w:t>3.2存在的问题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_Toc6145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szCs w:val="22"/>
        </w:rPr>
        <w:fldChar w:fldCharType="end"/>
      </w:r>
    </w:p>
    <w:p>
      <w:pPr>
        <w:pStyle w:val="8"/>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_Toc19635 </w:instrText>
      </w:r>
      <w:r>
        <w:rPr>
          <w:rFonts w:hint="eastAsia" w:ascii="宋体" w:hAnsi="宋体" w:eastAsia="宋体" w:cs="宋体"/>
          <w:szCs w:val="22"/>
        </w:rPr>
        <w:fldChar w:fldCharType="separate"/>
      </w:r>
      <w:r>
        <w:rPr>
          <w:rFonts w:hint="eastAsia" w:ascii="宋体" w:hAnsi="宋体" w:eastAsia="宋体" w:cs="宋体"/>
          <w:bCs w:val="0"/>
          <w:szCs w:val="32"/>
          <w:lang w:val="en-US" w:eastAsia="zh-CN"/>
        </w:rPr>
        <w:t>3.2.1 招标公告发布环节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_Toc19635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szCs w:val="22"/>
        </w:rPr>
        <w:fldChar w:fldCharType="end"/>
      </w:r>
    </w:p>
    <w:p>
      <w:pPr>
        <w:pStyle w:val="8"/>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_Toc1050 </w:instrText>
      </w:r>
      <w:r>
        <w:rPr>
          <w:rFonts w:hint="eastAsia" w:ascii="宋体" w:hAnsi="宋体" w:eastAsia="宋体" w:cs="宋体"/>
          <w:szCs w:val="22"/>
        </w:rPr>
        <w:fldChar w:fldCharType="separate"/>
      </w:r>
      <w:r>
        <w:rPr>
          <w:rFonts w:hint="eastAsia" w:ascii="宋体" w:hAnsi="宋体" w:eastAsia="宋体" w:cs="宋体"/>
          <w:bCs w:val="0"/>
          <w:szCs w:val="28"/>
          <w:lang w:val="en-US" w:eastAsia="zh-CN"/>
        </w:rPr>
        <w:t>3</w:t>
      </w:r>
      <w:r>
        <w:rPr>
          <w:rFonts w:hint="eastAsia" w:ascii="宋体" w:hAnsi="宋体" w:eastAsia="宋体" w:cs="宋体"/>
          <w:bCs w:val="0"/>
          <w:szCs w:val="32"/>
          <w:lang w:val="en-US" w:eastAsia="zh-CN"/>
        </w:rPr>
        <w:t>.2.2 开标环节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_Toc1050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szCs w:val="22"/>
        </w:rPr>
        <w:fldChar w:fldCharType="end"/>
      </w:r>
    </w:p>
    <w:p>
      <w:pPr>
        <w:pStyle w:val="8"/>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_Toc25184 </w:instrText>
      </w:r>
      <w:r>
        <w:rPr>
          <w:rFonts w:hint="eastAsia" w:ascii="宋体" w:hAnsi="宋体" w:eastAsia="宋体" w:cs="宋体"/>
          <w:szCs w:val="22"/>
        </w:rPr>
        <w:fldChar w:fldCharType="separate"/>
      </w:r>
      <w:r>
        <w:rPr>
          <w:rFonts w:hint="eastAsia" w:ascii="宋体" w:hAnsi="宋体" w:eastAsia="宋体" w:cs="宋体"/>
          <w:bCs w:val="0"/>
          <w:szCs w:val="32"/>
          <w:lang w:val="en-US" w:eastAsia="zh-CN"/>
        </w:rPr>
        <w:t>3.2.3过多投标人淘汰环节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_Toc25184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szCs w:val="22"/>
        </w:rPr>
        <w:fldChar w:fldCharType="end"/>
      </w:r>
    </w:p>
    <w:p>
      <w:pPr>
        <w:pStyle w:val="8"/>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_Toc27471 </w:instrText>
      </w:r>
      <w:r>
        <w:rPr>
          <w:rFonts w:hint="eastAsia" w:ascii="宋体" w:hAnsi="宋体" w:eastAsia="宋体" w:cs="宋体"/>
          <w:szCs w:val="22"/>
        </w:rPr>
        <w:fldChar w:fldCharType="separate"/>
      </w:r>
      <w:r>
        <w:rPr>
          <w:rFonts w:hint="eastAsia" w:ascii="宋体" w:hAnsi="宋体" w:eastAsia="宋体" w:cs="宋体"/>
          <w:bCs w:val="0"/>
          <w:highlight w:val="none"/>
          <w:lang w:val="en-US" w:eastAsia="zh-CN"/>
        </w:rPr>
        <w:t>3.2.4评标环节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_Toc27471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szCs w:val="22"/>
        </w:rPr>
        <w:fldChar w:fldCharType="end"/>
      </w:r>
    </w:p>
    <w:p>
      <w:pPr>
        <w:pStyle w:val="8"/>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_Toc4529 </w:instrText>
      </w:r>
      <w:r>
        <w:rPr>
          <w:rFonts w:hint="eastAsia" w:ascii="宋体" w:hAnsi="宋体" w:eastAsia="宋体" w:cs="宋体"/>
          <w:szCs w:val="22"/>
        </w:rPr>
        <w:fldChar w:fldCharType="separate"/>
      </w:r>
      <w:r>
        <w:rPr>
          <w:rFonts w:hint="eastAsia" w:ascii="宋体" w:hAnsi="宋体" w:eastAsia="宋体" w:cs="宋体"/>
          <w:bCs w:val="0"/>
          <w:lang w:val="en-US" w:eastAsia="zh-CN"/>
        </w:rPr>
        <w:t>3.2.5清标环节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_Toc4529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szCs w:val="22"/>
        </w:rPr>
        <w:fldChar w:fldCharType="end"/>
      </w:r>
    </w:p>
    <w:p>
      <w:pPr>
        <w:pStyle w:val="8"/>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_Toc5549 </w:instrText>
      </w:r>
      <w:r>
        <w:rPr>
          <w:rFonts w:hint="eastAsia" w:ascii="宋体" w:hAnsi="宋体" w:eastAsia="宋体" w:cs="宋体"/>
          <w:szCs w:val="22"/>
        </w:rPr>
        <w:fldChar w:fldCharType="separate"/>
      </w:r>
      <w:r>
        <w:rPr>
          <w:rFonts w:hint="eastAsia" w:ascii="宋体" w:hAnsi="宋体" w:eastAsia="宋体" w:cs="宋体"/>
          <w:bCs w:val="0"/>
          <w:lang w:val="en-US" w:eastAsia="zh-CN"/>
        </w:rPr>
        <w:t>3.2.6定标环节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_Toc5549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szCs w:val="22"/>
        </w:rPr>
        <w:fldChar w:fldCharType="end"/>
      </w:r>
    </w:p>
    <w:p>
      <w:pPr>
        <w:pStyle w:val="8"/>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_Toc13377 </w:instrText>
      </w:r>
      <w:r>
        <w:rPr>
          <w:rFonts w:hint="eastAsia" w:ascii="宋体" w:hAnsi="宋体" w:eastAsia="宋体" w:cs="宋体"/>
          <w:szCs w:val="22"/>
        </w:rPr>
        <w:fldChar w:fldCharType="separate"/>
      </w:r>
      <w:r>
        <w:rPr>
          <w:rFonts w:hint="eastAsia" w:ascii="宋体" w:hAnsi="宋体" w:eastAsia="宋体" w:cs="宋体"/>
          <w:bCs w:val="0"/>
          <w:lang w:val="en-US" w:eastAsia="zh-CN"/>
        </w:rPr>
        <w:t>3.2.7异常情况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_Toc13377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szCs w:val="22"/>
        </w:rPr>
        <w:fldChar w:fldCharType="end"/>
      </w:r>
    </w:p>
    <w:p>
      <w:pPr>
        <w:pStyle w:val="8"/>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_Toc26914 </w:instrText>
      </w:r>
      <w:r>
        <w:rPr>
          <w:rFonts w:hint="eastAsia" w:ascii="宋体" w:hAnsi="宋体" w:eastAsia="宋体" w:cs="宋体"/>
          <w:szCs w:val="22"/>
        </w:rPr>
        <w:fldChar w:fldCharType="separate"/>
      </w:r>
      <w:r>
        <w:rPr>
          <w:rFonts w:hint="eastAsia" w:ascii="宋体" w:hAnsi="宋体" w:eastAsia="宋体" w:cs="宋体"/>
          <w:bCs w:val="0"/>
          <w:lang w:val="en-US" w:eastAsia="zh-CN"/>
        </w:rPr>
        <w:t>3.2.8履约评价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_Toc26914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szCs w:val="22"/>
        </w:rPr>
        <w:fldChar w:fldCharType="end"/>
      </w:r>
    </w:p>
    <w:p>
      <w:pPr>
        <w:pStyle w:val="8"/>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_Toc10263 </w:instrText>
      </w:r>
      <w:r>
        <w:rPr>
          <w:rFonts w:hint="eastAsia" w:ascii="宋体" w:hAnsi="宋体" w:eastAsia="宋体" w:cs="宋体"/>
          <w:szCs w:val="22"/>
        </w:rPr>
        <w:fldChar w:fldCharType="separate"/>
      </w:r>
      <w:r>
        <w:rPr>
          <w:rFonts w:hint="eastAsia" w:ascii="宋体" w:hAnsi="宋体" w:eastAsia="宋体" w:cs="宋体"/>
          <w:bCs w:val="0"/>
          <w:lang w:val="en-US" w:eastAsia="zh-CN"/>
        </w:rPr>
        <w:t>3.2.9合同核查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_Toc10263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_Toc25631 </w:instrText>
      </w:r>
      <w:r>
        <w:rPr>
          <w:rFonts w:hint="eastAsia" w:ascii="宋体" w:hAnsi="宋体" w:eastAsia="宋体" w:cs="宋体"/>
          <w:szCs w:val="22"/>
        </w:rPr>
        <w:fldChar w:fldCharType="separate"/>
      </w:r>
      <w:r>
        <w:rPr>
          <w:rFonts w:hint="eastAsia" w:ascii="宋体" w:hAnsi="宋体" w:eastAsia="宋体" w:cs="宋体"/>
          <w:bCs/>
          <w:szCs w:val="28"/>
          <w:lang w:val="en-US" w:eastAsia="zh-CN"/>
        </w:rPr>
        <w:t>3.3原因分析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_Toc25631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szCs w:val="22"/>
        </w:rPr>
        <w:fldChar w:fldCharType="end"/>
      </w:r>
    </w:p>
    <w:p>
      <w:pPr>
        <w:pStyle w:val="13"/>
        <w:tabs>
          <w:tab w:val="right" w:leader="dot" w:pos="8306"/>
          <w:tab w:val="clear" w:pos="829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_Toc20549 </w:instrText>
      </w:r>
      <w:r>
        <w:rPr>
          <w:rFonts w:hint="eastAsia" w:ascii="宋体" w:hAnsi="宋体" w:eastAsia="宋体" w:cs="宋体"/>
          <w:szCs w:val="22"/>
        </w:rPr>
        <w:fldChar w:fldCharType="separate"/>
      </w:r>
      <w:r>
        <w:rPr>
          <w:rFonts w:hint="eastAsia" w:ascii="宋体" w:hAnsi="宋体" w:eastAsia="宋体" w:cs="宋体"/>
          <w:bCs/>
          <w:szCs w:val="32"/>
          <w:lang w:val="en-US" w:eastAsia="zh-CN"/>
        </w:rPr>
        <w:t>第4章  改进措施及合理化建议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_Toc20549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_Toc19016 </w:instrText>
      </w:r>
      <w:r>
        <w:rPr>
          <w:rFonts w:hint="eastAsia" w:ascii="宋体" w:hAnsi="宋体" w:eastAsia="宋体" w:cs="宋体"/>
          <w:szCs w:val="22"/>
        </w:rPr>
        <w:fldChar w:fldCharType="separate"/>
      </w:r>
      <w:r>
        <w:rPr>
          <w:rFonts w:hint="eastAsia" w:ascii="宋体" w:hAnsi="宋体" w:eastAsia="宋体" w:cs="宋体"/>
          <w:bCs/>
          <w:szCs w:val="28"/>
          <w:lang w:val="en-US" w:eastAsia="zh-CN"/>
        </w:rPr>
        <w:t>4.1</w:t>
      </w:r>
      <w:r>
        <w:rPr>
          <w:rFonts w:hint="eastAsia" w:ascii="宋体" w:hAnsi="宋体" w:eastAsia="宋体" w:cs="宋体"/>
          <w:highlight w:val="none"/>
          <w:lang w:val="en-US" w:eastAsia="zh-CN"/>
        </w:rPr>
        <w:t>规范投标条件的设置及审查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_Toc19016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_Toc844 </w:instrText>
      </w:r>
      <w:r>
        <w:rPr>
          <w:rFonts w:hint="eastAsia" w:ascii="宋体" w:hAnsi="宋体" w:eastAsia="宋体" w:cs="宋体"/>
          <w:szCs w:val="22"/>
        </w:rPr>
        <w:fldChar w:fldCharType="separate"/>
      </w:r>
      <w:r>
        <w:rPr>
          <w:rFonts w:hint="eastAsia" w:ascii="宋体" w:hAnsi="宋体" w:eastAsia="宋体" w:cs="宋体"/>
          <w:bCs w:val="0"/>
          <w:szCs w:val="24"/>
          <w:highlight w:val="none"/>
          <w:lang w:val="en-US" w:eastAsia="zh-CN"/>
        </w:rPr>
        <w:t>4.2规范清标报告的编制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_Toc844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_Toc31687 </w:instrText>
      </w:r>
      <w:r>
        <w:rPr>
          <w:rFonts w:hint="eastAsia" w:ascii="宋体" w:hAnsi="宋体" w:eastAsia="宋体" w:cs="宋体"/>
          <w:szCs w:val="22"/>
        </w:rPr>
        <w:fldChar w:fldCharType="separate"/>
      </w:r>
      <w:r>
        <w:rPr>
          <w:rFonts w:hint="eastAsia" w:ascii="宋体" w:hAnsi="宋体" w:eastAsia="宋体" w:cs="宋体"/>
          <w:bCs w:val="0"/>
          <w:szCs w:val="28"/>
          <w:highlight w:val="none"/>
          <w:lang w:val="en-US" w:eastAsia="zh-CN"/>
        </w:rPr>
        <w:t>4.3</w:t>
      </w:r>
      <w:r>
        <w:rPr>
          <w:rFonts w:hint="eastAsia" w:ascii="宋体" w:hAnsi="宋体" w:eastAsia="宋体" w:cs="宋体"/>
          <w:szCs w:val="28"/>
          <w:lang w:val="en-US" w:eastAsia="zh-CN"/>
        </w:rPr>
        <w:t>加强资料管理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_Toc31687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rPr>
          <w:rFonts w:hint="eastAsia" w:ascii="宋体" w:hAnsi="宋体" w:eastAsia="宋体" w:cs="宋体"/>
        </w:rPr>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_Toc7607 </w:instrText>
      </w:r>
      <w:r>
        <w:rPr>
          <w:rFonts w:hint="eastAsia" w:ascii="宋体" w:hAnsi="宋体" w:eastAsia="宋体" w:cs="宋体"/>
          <w:szCs w:val="22"/>
        </w:rPr>
        <w:fldChar w:fldCharType="separate"/>
      </w:r>
      <w:r>
        <w:rPr>
          <w:rFonts w:hint="eastAsia" w:ascii="宋体" w:hAnsi="宋体" w:eastAsia="宋体" w:cs="宋体"/>
          <w:szCs w:val="28"/>
          <w:lang w:val="en-US" w:eastAsia="zh-CN"/>
        </w:rPr>
        <w:t>4.4.加强合同管理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_Toc7607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szCs w:val="22"/>
        </w:rPr>
        <w:fldChar w:fldCharType="end"/>
      </w:r>
    </w:p>
    <w:p>
      <w:pPr>
        <w:pStyle w:val="15"/>
        <w:tabs>
          <w:tab w:val="right" w:leader="dot" w:pos="8306"/>
        </w:tabs>
        <w:spacing w:line="360" w:lineRule="auto"/>
      </w:pPr>
      <w:r>
        <w:rPr>
          <w:rFonts w:hint="eastAsia" w:ascii="宋体" w:hAnsi="宋体" w:eastAsia="宋体" w:cs="宋体"/>
          <w:szCs w:val="22"/>
        </w:rPr>
        <w:fldChar w:fldCharType="begin"/>
      </w:r>
      <w:r>
        <w:rPr>
          <w:rFonts w:hint="eastAsia" w:ascii="宋体" w:hAnsi="宋体" w:eastAsia="宋体" w:cs="宋体"/>
          <w:szCs w:val="22"/>
        </w:rPr>
        <w:instrText xml:space="preserve"> HYPERLINK \l _Toc29679 </w:instrText>
      </w:r>
      <w:r>
        <w:rPr>
          <w:rFonts w:hint="eastAsia" w:ascii="宋体" w:hAnsi="宋体" w:eastAsia="宋体" w:cs="宋体"/>
          <w:szCs w:val="22"/>
        </w:rPr>
        <w:fldChar w:fldCharType="separate"/>
      </w:r>
      <w:r>
        <w:rPr>
          <w:rFonts w:hint="eastAsia" w:ascii="宋体" w:hAnsi="宋体" w:eastAsia="宋体" w:cs="宋体"/>
          <w:bCs w:val="0"/>
          <w:szCs w:val="28"/>
          <w:highlight w:val="none"/>
          <w:lang w:val="en-US" w:eastAsia="zh-CN"/>
        </w:rPr>
        <w:t>4.5加强招投标政策法规解读及宣贯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_Toc29679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szCs w:val="22"/>
        </w:rPr>
        <w:fldChar w:fldCharType="end"/>
      </w:r>
    </w:p>
    <w:p>
      <w:pPr>
        <w:spacing w:line="360" w:lineRule="auto"/>
        <w:rPr>
          <w:rFonts w:hint="eastAsia" w:ascii="仿宋" w:hAnsi="仿宋" w:eastAsia="仿宋" w:cs="仿宋"/>
        </w:rPr>
      </w:pPr>
      <w:r>
        <w:rPr>
          <w:rFonts w:hint="eastAsia" w:ascii="宋体" w:hAnsi="宋体" w:eastAsia="宋体" w:cs="宋体"/>
          <w:szCs w:val="22"/>
        </w:rPr>
        <w:fldChar w:fldCharType="end"/>
      </w:r>
    </w:p>
    <w:p>
      <w:pPr>
        <w:spacing w:line="360" w:lineRule="auto"/>
        <w:jc w:val="left"/>
        <w:rPr>
          <w:rFonts w:hint="eastAsia" w:ascii="仿宋" w:hAnsi="仿宋" w:eastAsia="仿宋" w:cs="仿宋"/>
          <w:b w:val="0"/>
          <w:bCs/>
          <w:sz w:val="36"/>
          <w:szCs w:val="48"/>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bookmarkStart w:id="0" w:name="_Toc5842"/>
      <w:bookmarkStart w:id="1" w:name="_Toc6669_WPSOffice_Level1"/>
      <w:bookmarkStart w:id="2" w:name="_Toc19963"/>
      <w:bookmarkStart w:id="3" w:name="_Toc18870"/>
      <w:bookmarkStart w:id="4" w:name="_Toc1200"/>
      <w:bookmarkStart w:id="5" w:name="_Toc14031"/>
      <w:bookmarkStart w:id="6" w:name="_Toc6970"/>
      <w:bookmarkStart w:id="7" w:name="_Toc9245"/>
      <w:bookmarkStart w:id="8" w:name="_Toc12972"/>
      <w:bookmarkStart w:id="9" w:name="_Toc16967"/>
      <w:bookmarkStart w:id="10" w:name="_Toc26257"/>
      <w:bookmarkStart w:id="11" w:name="_Toc6035"/>
      <w:bookmarkStart w:id="12" w:name="_Toc28941"/>
      <w:bookmarkStart w:id="13" w:name="_Toc7688"/>
      <w:bookmarkStart w:id="14" w:name="_Toc15821"/>
      <w:bookmarkStart w:id="15" w:name="_Toc5319"/>
      <w:bookmarkStart w:id="16" w:name="_Toc16649"/>
      <w:bookmarkStart w:id="17" w:name="_Toc23083"/>
      <w:bookmarkStart w:id="18" w:name="_Toc6161"/>
      <w:bookmarkStart w:id="19" w:name="_Toc27914"/>
      <w:bookmarkStart w:id="20" w:name="_Toc4972"/>
      <w:bookmarkStart w:id="21" w:name="_Toc21778"/>
    </w:p>
    <w:p>
      <w:pPr>
        <w:pStyle w:val="2"/>
        <w:spacing w:after="0" w:afterLines="0" w:line="560" w:lineRule="exact"/>
        <w:jc w:val="center"/>
        <w:rPr>
          <w:rFonts w:hint="eastAsia" w:ascii="黑体" w:hAnsi="黑体" w:eastAsia="黑体" w:cs="黑体"/>
          <w:b w:val="0"/>
          <w:bCs/>
          <w:sz w:val="32"/>
          <w:szCs w:val="32"/>
          <w:lang w:eastAsia="zh-CN"/>
        </w:rPr>
      </w:pPr>
      <w:bookmarkStart w:id="22" w:name="_Toc29528"/>
      <w:bookmarkStart w:id="23" w:name="_Toc11170"/>
      <w:bookmarkStart w:id="24" w:name="_Toc16124"/>
      <w:bookmarkStart w:id="25" w:name="_Toc30378"/>
      <w:bookmarkStart w:id="26" w:name="_Toc5062"/>
      <w:bookmarkStart w:id="27" w:name="_Toc7791"/>
      <w:bookmarkStart w:id="28" w:name="_Toc8258"/>
      <w:bookmarkStart w:id="29" w:name="_Toc17986"/>
      <w:r>
        <w:rPr>
          <w:rFonts w:hint="eastAsia" w:ascii="黑体" w:hAnsi="黑体" w:eastAsia="黑体" w:cs="黑体"/>
          <w:b w:val="0"/>
          <w:bCs/>
          <w:sz w:val="32"/>
          <w:szCs w:val="32"/>
        </w:rPr>
        <w:t xml:space="preserve">第1章  </w:t>
      </w:r>
      <w:bookmarkEnd w:id="0"/>
      <w:bookmarkEnd w:id="1"/>
      <w:r>
        <w:rPr>
          <w:rFonts w:hint="eastAsia" w:ascii="黑体" w:hAnsi="黑体" w:eastAsia="黑体" w:cs="黑体"/>
          <w:b w:val="0"/>
          <w:bCs/>
          <w:sz w:val="32"/>
          <w:szCs w:val="32"/>
          <w:lang w:val="en-US" w:eastAsia="zh-CN"/>
        </w:rPr>
        <w:t>概况</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pStyle w:val="3"/>
        <w:spacing w:before="0" w:beforeLines="0" w:line="560" w:lineRule="exact"/>
        <w:ind w:left="0" w:leftChars="0"/>
        <w:rPr>
          <w:rFonts w:hint="default" w:ascii="黑体" w:hAnsi="黑体" w:eastAsia="黑体" w:cs="黑体"/>
          <w:bCs/>
          <w:szCs w:val="28"/>
          <w:lang w:val="en-US" w:eastAsia="zh-CN"/>
        </w:rPr>
      </w:pPr>
      <w:bookmarkStart w:id="30" w:name="_Toc2832"/>
      <w:bookmarkStart w:id="31" w:name="_Toc18975"/>
      <w:bookmarkStart w:id="32" w:name="_Toc13851"/>
      <w:bookmarkStart w:id="33" w:name="_Toc28762"/>
      <w:bookmarkStart w:id="34" w:name="_Toc14585"/>
      <w:bookmarkStart w:id="35" w:name="_Toc8306"/>
      <w:bookmarkStart w:id="36" w:name="_Toc17466"/>
      <w:bookmarkStart w:id="37" w:name="_Toc27522"/>
      <w:bookmarkStart w:id="38" w:name="_Toc30871"/>
      <w:bookmarkStart w:id="39" w:name="_Toc15478"/>
      <w:bookmarkStart w:id="40" w:name="_Toc2248"/>
      <w:bookmarkStart w:id="41" w:name="_Toc32419"/>
      <w:bookmarkStart w:id="42" w:name="_Toc29030"/>
      <w:bookmarkStart w:id="43" w:name="_Toc21509"/>
      <w:bookmarkStart w:id="44" w:name="_Toc25760"/>
      <w:bookmarkStart w:id="45" w:name="_Toc18"/>
      <w:bookmarkStart w:id="46" w:name="_Toc28314"/>
      <w:bookmarkStart w:id="47" w:name="_Toc23312"/>
      <w:bookmarkStart w:id="48" w:name="_Toc316"/>
      <w:bookmarkStart w:id="49" w:name="_Toc3504"/>
      <w:bookmarkStart w:id="50" w:name="_Toc16381"/>
      <w:bookmarkStart w:id="51" w:name="_Toc11112"/>
      <w:bookmarkStart w:id="52" w:name="_Toc15202"/>
      <w:bookmarkStart w:id="53" w:name="_Toc23155"/>
      <w:bookmarkStart w:id="54" w:name="_Toc28330"/>
      <w:bookmarkStart w:id="55" w:name="_Toc31589"/>
      <w:bookmarkStart w:id="56" w:name="_Toc3393"/>
      <w:bookmarkStart w:id="57" w:name="_Toc29498"/>
      <w:bookmarkStart w:id="58" w:name="_Toc12606"/>
      <w:bookmarkStart w:id="59" w:name="_Toc20288_WPSOffice_Level2"/>
      <w:r>
        <w:rPr>
          <w:rFonts w:hint="eastAsia" w:ascii="黑体" w:hAnsi="黑体" w:eastAsia="黑体" w:cs="黑体"/>
          <w:bCs/>
          <w:szCs w:val="28"/>
          <w:lang w:val="en-US" w:eastAsia="zh-CN"/>
        </w:rPr>
        <w:t>1.1</w:t>
      </w:r>
      <w:r>
        <w:rPr>
          <w:rFonts w:hint="eastAsia" w:ascii="黑体" w:hAnsi="黑体" w:cs="黑体"/>
          <w:bCs/>
          <w:szCs w:val="28"/>
          <w:lang w:val="en-US" w:eastAsia="zh-CN"/>
        </w:rPr>
        <w:t>评估</w:t>
      </w:r>
      <w:bookmarkEnd w:id="30"/>
      <w:bookmarkEnd w:id="31"/>
      <w:bookmarkEnd w:id="32"/>
      <w:bookmarkEnd w:id="33"/>
      <w:bookmarkEnd w:id="34"/>
      <w:bookmarkEnd w:id="35"/>
      <w:bookmarkEnd w:id="36"/>
      <w:r>
        <w:rPr>
          <w:rFonts w:hint="eastAsia" w:ascii="黑体" w:hAnsi="黑体" w:cs="黑体"/>
          <w:bCs/>
          <w:szCs w:val="28"/>
          <w:lang w:val="en-US" w:eastAsia="zh-CN"/>
        </w:rPr>
        <w:t>背景</w:t>
      </w:r>
      <w:bookmarkEnd w:id="37"/>
      <w:bookmarkEnd w:id="38"/>
      <w:bookmarkEnd w:id="39"/>
      <w:bookmarkEnd w:id="40"/>
      <w:bookmarkEnd w:id="41"/>
      <w:bookmarkEnd w:id="42"/>
    </w:p>
    <w:p>
      <w:pPr>
        <w:spacing w:beforeLines="0" w:afterLines="-2147483648"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为进一步加强公开、公平、公正竞争的建筑市场秩序，规范工程项目招标投标活动与合同签订履约行为，完善招标投标与合同监管机制，深圳市住房和建设局委托第三方专业机构开展2021年度深圳市建设工程招标投标及合同后评估工作（以下简称“标后评估”）。通过对项目招标投标活动、合同签订履约情况进行客观、准确地评估</w:t>
      </w:r>
      <w:bookmarkStart w:id="831" w:name="_GoBack"/>
      <w:bookmarkEnd w:id="831"/>
      <w:r>
        <w:rPr>
          <w:rFonts w:hint="eastAsia" w:ascii="仿宋_GB2312" w:hAnsi="仿宋_GB2312" w:eastAsia="仿宋_GB2312" w:cs="仿宋_GB2312"/>
          <w:sz w:val="28"/>
          <w:lang w:val="en-US" w:eastAsia="zh-CN"/>
        </w:rPr>
        <w:t>，评判各方责任主体的行为是否符合法律法规规定，并针对性的提出优化措施和建议。</w:t>
      </w:r>
    </w:p>
    <w:p>
      <w:pPr>
        <w:pStyle w:val="3"/>
        <w:spacing w:before="0" w:beforeLines="0" w:line="560" w:lineRule="exact"/>
        <w:ind w:left="0" w:leftChars="0"/>
        <w:rPr>
          <w:rFonts w:hint="eastAsia" w:ascii="黑体" w:hAnsi="黑体" w:eastAsia="黑体" w:cs="黑体"/>
          <w:bCs/>
          <w:szCs w:val="28"/>
          <w:lang w:val="en-US" w:eastAsia="zh-CN"/>
        </w:rPr>
      </w:pPr>
      <w:bookmarkStart w:id="60" w:name="_Toc12762"/>
      <w:bookmarkStart w:id="61" w:name="_Toc17114"/>
      <w:bookmarkStart w:id="62" w:name="_Toc19715"/>
      <w:bookmarkStart w:id="63" w:name="_Toc97"/>
      <w:bookmarkStart w:id="64" w:name="_Toc32055"/>
      <w:bookmarkStart w:id="65" w:name="_Toc4282"/>
      <w:bookmarkStart w:id="66" w:name="_Toc5020"/>
      <w:bookmarkStart w:id="67" w:name="_Toc24001"/>
      <w:bookmarkStart w:id="68" w:name="_Toc2338"/>
      <w:bookmarkStart w:id="69" w:name="_Toc11426"/>
      <w:bookmarkStart w:id="70" w:name="_Toc5422"/>
      <w:bookmarkStart w:id="71" w:name="_Toc9784"/>
      <w:bookmarkStart w:id="72" w:name="_Toc28691"/>
      <w:r>
        <w:rPr>
          <w:rFonts w:hint="eastAsia" w:ascii="黑体" w:hAnsi="黑体" w:eastAsia="黑体" w:cs="黑体"/>
          <w:bCs/>
          <w:szCs w:val="28"/>
          <w:lang w:val="en-US" w:eastAsia="zh-CN"/>
        </w:rPr>
        <w:t>1.2项目筛选标准</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60"/>
      <w:bookmarkEnd w:id="61"/>
      <w:bookmarkEnd w:id="62"/>
      <w:bookmarkEnd w:id="63"/>
      <w:bookmarkEnd w:id="64"/>
      <w:bookmarkEnd w:id="65"/>
      <w:bookmarkEnd w:id="66"/>
      <w:bookmarkEnd w:id="67"/>
      <w:bookmarkEnd w:id="68"/>
      <w:bookmarkEnd w:id="69"/>
      <w:bookmarkEnd w:id="70"/>
      <w:bookmarkEnd w:id="71"/>
      <w:bookmarkEnd w:id="72"/>
    </w:p>
    <w:p>
      <w:pPr>
        <w:spacing w:beforeLines="0" w:line="560" w:lineRule="exact"/>
        <w:ind w:firstLine="560" w:firstLineChars="200"/>
        <w:rPr>
          <w:rFonts w:hint="eastAsia" w:ascii="仿宋_GB2312" w:hAnsi="仿宋_GB2312" w:eastAsia="仿宋_GB2312" w:cs="仿宋_GB2312"/>
          <w:sz w:val="28"/>
          <w:highlight w:val="yellow"/>
          <w:lang w:val="en-US" w:eastAsia="zh-CN"/>
        </w:rPr>
      </w:pPr>
      <w:r>
        <w:rPr>
          <w:rFonts w:hint="eastAsia" w:ascii="仿宋_GB2312" w:hAnsi="仿宋_GB2312" w:eastAsia="仿宋_GB2312" w:cs="仿宋_GB2312"/>
          <w:color w:val="auto"/>
          <w:sz w:val="28"/>
          <w:highlight w:val="none"/>
          <w:lang w:val="en-US" w:eastAsia="zh-CN"/>
        </w:rPr>
        <w:t>2021年度在深圳公共资源交易公共服务平台公开招标，受深圳市住房和建设局监管，符合以下条件的项目：</w:t>
      </w:r>
    </w:p>
    <w:p>
      <w:pPr>
        <w:spacing w:before="0" w:beforeLines="0" w:line="560" w:lineRule="exact"/>
        <w:ind w:firstLine="560" w:firstLineChars="200"/>
        <w:rPr>
          <w:rFonts w:hint="eastAsia" w:ascii="仿宋_GB2312" w:hAnsi="仿宋_GB2312" w:eastAsia="仿宋_GB2312" w:cs="仿宋_GB2312"/>
          <w:bCs w:val="0"/>
          <w:sz w:val="28"/>
          <w:szCs w:val="24"/>
        </w:rPr>
      </w:pPr>
      <w:r>
        <w:rPr>
          <w:rFonts w:hint="eastAsia" w:ascii="仿宋_GB2312" w:hAnsi="仿宋_GB2312" w:eastAsia="仿宋_GB2312" w:cs="仿宋_GB2312"/>
          <w:bCs w:val="0"/>
          <w:sz w:val="28"/>
          <w:szCs w:val="24"/>
          <w:lang w:eastAsia="zh-CN"/>
        </w:rPr>
        <w:t>（</w:t>
      </w:r>
      <w:r>
        <w:rPr>
          <w:rFonts w:hint="eastAsia" w:ascii="仿宋_GB2312" w:hAnsi="仿宋_GB2312" w:eastAsia="仿宋_GB2312" w:cs="仿宋_GB2312"/>
          <w:bCs w:val="0"/>
          <w:sz w:val="28"/>
          <w:szCs w:val="24"/>
          <w:lang w:val="en-US" w:eastAsia="zh-CN"/>
        </w:rPr>
        <w:t>1）</w:t>
      </w:r>
      <w:r>
        <w:rPr>
          <w:rFonts w:hint="eastAsia" w:ascii="仿宋_GB2312" w:hAnsi="仿宋_GB2312" w:eastAsia="仿宋_GB2312" w:cs="仿宋_GB2312"/>
          <w:bCs w:val="0"/>
          <w:sz w:val="28"/>
          <w:szCs w:val="24"/>
        </w:rPr>
        <w:t>国家及省市重点项目或其他社会影响较大的项目；</w:t>
      </w:r>
    </w:p>
    <w:p>
      <w:pPr>
        <w:spacing w:before="0" w:beforeLines="0" w:line="560" w:lineRule="exact"/>
        <w:ind w:firstLine="560" w:firstLineChars="200"/>
        <w:rPr>
          <w:rFonts w:hint="eastAsia" w:ascii="仿宋_GB2312" w:hAnsi="仿宋_GB2312" w:eastAsia="仿宋_GB2312" w:cs="仿宋_GB2312"/>
          <w:bCs w:val="0"/>
          <w:sz w:val="28"/>
          <w:szCs w:val="24"/>
        </w:rPr>
      </w:pPr>
      <w:r>
        <w:rPr>
          <w:rFonts w:hint="eastAsia" w:ascii="仿宋_GB2312" w:hAnsi="仿宋_GB2312" w:eastAsia="仿宋_GB2312" w:cs="仿宋_GB2312"/>
          <w:bCs w:val="0"/>
          <w:sz w:val="28"/>
          <w:szCs w:val="24"/>
          <w:lang w:eastAsia="zh-CN"/>
        </w:rPr>
        <w:t>（</w:t>
      </w:r>
      <w:r>
        <w:rPr>
          <w:rFonts w:hint="eastAsia" w:ascii="仿宋_GB2312" w:hAnsi="仿宋_GB2312" w:eastAsia="仿宋_GB2312" w:cs="仿宋_GB2312"/>
          <w:bCs w:val="0"/>
          <w:sz w:val="28"/>
          <w:szCs w:val="24"/>
          <w:lang w:val="en-US" w:eastAsia="zh-CN"/>
        </w:rPr>
        <w:t>2）</w:t>
      </w:r>
      <w:r>
        <w:rPr>
          <w:rFonts w:hint="eastAsia" w:ascii="仿宋_GB2312" w:hAnsi="仿宋_GB2312" w:eastAsia="仿宋_GB2312" w:cs="仿宋_GB2312"/>
          <w:sz w:val="28"/>
          <w:lang w:val="en-US" w:eastAsia="zh-CN"/>
        </w:rPr>
        <w:t>深圳市住房和建设局</w:t>
      </w:r>
      <w:r>
        <w:rPr>
          <w:rFonts w:hint="eastAsia" w:ascii="仿宋_GB2312" w:hAnsi="仿宋_GB2312" w:eastAsia="仿宋_GB2312" w:cs="仿宋_GB2312"/>
          <w:bCs w:val="0"/>
          <w:sz w:val="28"/>
          <w:szCs w:val="24"/>
        </w:rPr>
        <w:t>重点监管对象负责招标的项目；</w:t>
      </w:r>
    </w:p>
    <w:p>
      <w:pPr>
        <w:spacing w:before="0" w:beforeLines="0" w:line="560" w:lineRule="exact"/>
        <w:ind w:firstLine="560" w:firstLineChars="200"/>
        <w:rPr>
          <w:rFonts w:hint="eastAsia" w:ascii="仿宋_GB2312" w:hAnsi="仿宋_GB2312" w:eastAsia="仿宋_GB2312" w:cs="仿宋_GB2312"/>
          <w:bCs w:val="0"/>
          <w:sz w:val="28"/>
          <w:szCs w:val="24"/>
        </w:rPr>
      </w:pPr>
      <w:r>
        <w:rPr>
          <w:rFonts w:hint="eastAsia" w:ascii="仿宋_GB2312" w:hAnsi="仿宋_GB2312" w:eastAsia="仿宋_GB2312" w:cs="仿宋_GB2312"/>
          <w:bCs w:val="0"/>
          <w:sz w:val="28"/>
          <w:szCs w:val="24"/>
          <w:lang w:eastAsia="zh-CN"/>
        </w:rPr>
        <w:t>（</w:t>
      </w:r>
      <w:r>
        <w:rPr>
          <w:rFonts w:hint="eastAsia" w:ascii="仿宋_GB2312" w:hAnsi="仿宋_GB2312" w:eastAsia="仿宋_GB2312" w:cs="仿宋_GB2312"/>
          <w:bCs w:val="0"/>
          <w:sz w:val="28"/>
          <w:szCs w:val="24"/>
          <w:lang w:val="en-US" w:eastAsia="zh-CN"/>
        </w:rPr>
        <w:t>3）</w:t>
      </w:r>
      <w:r>
        <w:rPr>
          <w:rFonts w:hint="eastAsia" w:ascii="仿宋_GB2312" w:hAnsi="仿宋_GB2312" w:eastAsia="仿宋_GB2312" w:cs="仿宋_GB2312"/>
          <w:bCs w:val="0"/>
          <w:sz w:val="28"/>
          <w:szCs w:val="24"/>
        </w:rPr>
        <w:t>招标过程中</w:t>
      </w:r>
      <w:r>
        <w:rPr>
          <w:rFonts w:hint="eastAsia" w:ascii="仿宋_GB2312" w:hAnsi="仿宋_GB2312" w:eastAsia="仿宋_GB2312" w:cs="仿宋_GB2312"/>
          <w:bCs w:val="0"/>
          <w:sz w:val="28"/>
          <w:szCs w:val="24"/>
          <w:lang w:val="en-US" w:eastAsia="zh-CN"/>
        </w:rPr>
        <w:t>存在</w:t>
      </w:r>
      <w:r>
        <w:rPr>
          <w:rFonts w:hint="eastAsia" w:ascii="仿宋_GB2312" w:hAnsi="仿宋_GB2312" w:eastAsia="仿宋_GB2312" w:cs="仿宋_GB2312"/>
          <w:bCs w:val="0"/>
          <w:sz w:val="28"/>
          <w:szCs w:val="24"/>
        </w:rPr>
        <w:t>投诉、举报或其他异常情况的项目；</w:t>
      </w:r>
    </w:p>
    <w:p>
      <w:pPr>
        <w:spacing w:before="0" w:beforeLines="0" w:line="560" w:lineRule="exact"/>
        <w:ind w:firstLine="560" w:firstLineChars="200"/>
        <w:rPr>
          <w:rFonts w:hint="eastAsia" w:ascii="仿宋_GB2312" w:hAnsi="仿宋_GB2312" w:eastAsia="仿宋_GB2312" w:cs="仿宋_GB2312"/>
          <w:bCs w:val="0"/>
          <w:sz w:val="28"/>
          <w:szCs w:val="24"/>
        </w:rPr>
      </w:pPr>
      <w:r>
        <w:rPr>
          <w:rFonts w:hint="eastAsia" w:ascii="仿宋_GB2312" w:hAnsi="仿宋_GB2312" w:eastAsia="仿宋_GB2312" w:cs="仿宋_GB2312"/>
          <w:bCs w:val="0"/>
          <w:sz w:val="28"/>
          <w:szCs w:val="24"/>
          <w:lang w:eastAsia="zh-CN"/>
        </w:rPr>
        <w:t>（</w:t>
      </w:r>
      <w:r>
        <w:rPr>
          <w:rFonts w:hint="eastAsia" w:ascii="仿宋_GB2312" w:hAnsi="仿宋_GB2312" w:eastAsia="仿宋_GB2312" w:cs="仿宋_GB2312"/>
          <w:bCs w:val="0"/>
          <w:sz w:val="28"/>
          <w:szCs w:val="24"/>
          <w:lang w:val="en-US" w:eastAsia="zh-CN"/>
        </w:rPr>
        <w:t>4）</w:t>
      </w:r>
      <w:r>
        <w:rPr>
          <w:rFonts w:hint="eastAsia" w:ascii="仿宋_GB2312" w:hAnsi="仿宋_GB2312" w:eastAsia="仿宋_GB2312" w:cs="仿宋_GB2312"/>
          <w:bCs w:val="0"/>
          <w:sz w:val="28"/>
          <w:szCs w:val="24"/>
        </w:rPr>
        <w:t>发生质量、安全事故的项目；</w:t>
      </w:r>
    </w:p>
    <w:p>
      <w:pPr>
        <w:spacing w:before="0" w:beforeLines="0" w:afterLines="0" w:line="560" w:lineRule="exact"/>
        <w:ind w:firstLine="560" w:firstLineChars="200"/>
        <w:rPr>
          <w:rFonts w:hint="eastAsia" w:ascii="仿宋_GB2312" w:hAnsi="仿宋_GB2312" w:eastAsia="仿宋_GB2312" w:cs="仿宋_GB2312"/>
          <w:bCs w:val="0"/>
          <w:sz w:val="28"/>
          <w:szCs w:val="24"/>
          <w:lang w:val="en-US" w:eastAsia="zh-CN"/>
        </w:rPr>
      </w:pPr>
      <w:r>
        <w:rPr>
          <w:rFonts w:hint="eastAsia" w:ascii="仿宋_GB2312" w:hAnsi="仿宋_GB2312" w:eastAsia="仿宋_GB2312" w:cs="仿宋_GB2312"/>
          <w:bCs w:val="0"/>
          <w:sz w:val="28"/>
          <w:szCs w:val="24"/>
          <w:lang w:eastAsia="zh-CN"/>
        </w:rPr>
        <w:t>（</w:t>
      </w:r>
      <w:r>
        <w:rPr>
          <w:rFonts w:hint="eastAsia" w:ascii="仿宋_GB2312" w:hAnsi="仿宋_GB2312" w:eastAsia="仿宋_GB2312" w:cs="仿宋_GB2312"/>
          <w:bCs w:val="0"/>
          <w:sz w:val="28"/>
          <w:szCs w:val="24"/>
          <w:lang w:val="en-US" w:eastAsia="zh-CN"/>
        </w:rPr>
        <w:t>5）</w:t>
      </w:r>
      <w:r>
        <w:rPr>
          <w:rFonts w:hint="eastAsia" w:ascii="仿宋_GB2312" w:hAnsi="仿宋_GB2312" w:eastAsia="仿宋_GB2312" w:cs="仿宋_GB2312"/>
          <w:bCs w:val="0"/>
          <w:sz w:val="28"/>
          <w:szCs w:val="24"/>
        </w:rPr>
        <w:t>其他需要进行标后评估的项目。</w:t>
      </w:r>
    </w:p>
    <w:p>
      <w:pPr>
        <w:pStyle w:val="3"/>
        <w:spacing w:before="0" w:beforeLines="0" w:line="560" w:lineRule="exact"/>
        <w:ind w:left="0" w:leftChars="0"/>
        <w:rPr>
          <w:rFonts w:hint="eastAsia" w:ascii="黑体" w:hAnsi="黑体" w:eastAsia="黑体" w:cs="黑体"/>
          <w:b w:val="0"/>
          <w:bCs/>
          <w:sz w:val="28"/>
          <w:szCs w:val="28"/>
          <w:lang w:val="en-US" w:eastAsia="zh-CN"/>
        </w:rPr>
      </w:pPr>
      <w:bookmarkStart w:id="73" w:name="_Toc14969"/>
      <w:bookmarkStart w:id="74" w:name="_Toc3443"/>
      <w:bookmarkStart w:id="75" w:name="_Toc11626"/>
      <w:bookmarkStart w:id="76" w:name="_Toc17223"/>
      <w:bookmarkStart w:id="77" w:name="_Toc4409"/>
      <w:bookmarkStart w:id="78" w:name="_Toc17254"/>
      <w:bookmarkStart w:id="79" w:name="_Toc22924"/>
      <w:bookmarkStart w:id="80" w:name="_Toc22305"/>
      <w:bookmarkStart w:id="81" w:name="_Toc6747"/>
      <w:bookmarkStart w:id="82" w:name="_Toc1281"/>
      <w:bookmarkStart w:id="83" w:name="_Toc20285"/>
      <w:bookmarkStart w:id="84" w:name="_Toc5243"/>
      <w:bookmarkStart w:id="85" w:name="_Toc7443"/>
      <w:bookmarkStart w:id="86" w:name="_Toc27239"/>
      <w:bookmarkStart w:id="87" w:name="_Toc17991"/>
      <w:bookmarkStart w:id="88" w:name="_Toc15154"/>
      <w:bookmarkStart w:id="89" w:name="_Toc23052"/>
      <w:bookmarkStart w:id="90" w:name="_Toc2342"/>
      <w:bookmarkStart w:id="91" w:name="_Toc24049"/>
      <w:bookmarkStart w:id="92" w:name="_Toc10895"/>
      <w:bookmarkStart w:id="93" w:name="_Toc9263"/>
      <w:bookmarkStart w:id="94" w:name="_Toc10635"/>
      <w:bookmarkStart w:id="95" w:name="_Toc10152"/>
      <w:bookmarkStart w:id="96" w:name="_Toc12874"/>
      <w:bookmarkStart w:id="97" w:name="_Toc7907"/>
      <w:bookmarkStart w:id="98" w:name="_Toc13045"/>
      <w:bookmarkStart w:id="99" w:name="_Toc6661"/>
      <w:bookmarkStart w:id="100" w:name="_Toc26387"/>
      <w:r>
        <w:rPr>
          <w:rFonts w:hint="eastAsia" w:ascii="黑体" w:hAnsi="黑体" w:eastAsia="黑体" w:cs="黑体"/>
          <w:b w:val="0"/>
          <w:bCs/>
          <w:sz w:val="28"/>
          <w:szCs w:val="28"/>
          <w:lang w:val="en-US" w:eastAsia="zh-CN"/>
        </w:rPr>
        <w:t>1.3项目数量及类型</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spacing w:beforeLines="0" w:line="560" w:lineRule="exact"/>
        <w:ind w:firstLine="560" w:firstLineChars="200"/>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lang w:val="en-US" w:eastAsia="zh-CN"/>
        </w:rPr>
        <w:t>根据筛选标准，共180个项目纳入本次标</w:t>
      </w:r>
      <w:r>
        <w:rPr>
          <w:rFonts w:hint="eastAsia" w:ascii="仿宋_GB2312" w:hAnsi="仿宋_GB2312" w:eastAsia="仿宋_GB2312" w:cs="仿宋_GB2312"/>
          <w:sz w:val="28"/>
          <w:szCs w:val="24"/>
          <w:highlight w:val="none"/>
        </w:rPr>
        <w:t>后评估</w:t>
      </w:r>
      <w:r>
        <w:rPr>
          <w:rFonts w:hint="eastAsia" w:ascii="仿宋_GB2312" w:hAnsi="仿宋_GB2312" w:eastAsia="仿宋_GB2312" w:cs="仿宋_GB2312"/>
          <w:sz w:val="28"/>
          <w:szCs w:val="24"/>
          <w:highlight w:val="none"/>
          <w:lang w:val="en-US" w:eastAsia="zh-CN"/>
        </w:rPr>
        <w:t>范围</w:t>
      </w:r>
      <w:r>
        <w:rPr>
          <w:rFonts w:hint="eastAsia" w:ascii="仿宋_GB2312" w:hAnsi="仿宋_GB2312" w:eastAsia="仿宋_GB2312" w:cs="仿宋_GB2312"/>
          <w:sz w:val="28"/>
          <w:szCs w:val="24"/>
          <w:highlight w:val="none"/>
        </w:rPr>
        <w:t>，涉及招标人</w:t>
      </w:r>
      <w:r>
        <w:rPr>
          <w:rFonts w:hint="eastAsia" w:ascii="仿宋_GB2312" w:hAnsi="仿宋_GB2312" w:eastAsia="仿宋_GB2312" w:cs="仿宋_GB2312"/>
          <w:sz w:val="28"/>
          <w:szCs w:val="24"/>
          <w:highlight w:val="none"/>
          <w:lang w:val="en-US" w:eastAsia="zh-CN"/>
        </w:rPr>
        <w:t>80</w:t>
      </w:r>
      <w:r>
        <w:rPr>
          <w:rFonts w:hint="eastAsia" w:ascii="仿宋_GB2312" w:hAnsi="仿宋_GB2312" w:eastAsia="仿宋_GB2312" w:cs="仿宋_GB2312"/>
          <w:sz w:val="28"/>
          <w:szCs w:val="24"/>
          <w:highlight w:val="none"/>
        </w:rPr>
        <w:t>个，</w:t>
      </w:r>
      <w:r>
        <w:rPr>
          <w:rFonts w:hint="eastAsia" w:ascii="仿宋_GB2312" w:hAnsi="仿宋_GB2312" w:eastAsia="仿宋_GB2312" w:cs="仿宋_GB2312"/>
          <w:sz w:val="28"/>
          <w:szCs w:val="24"/>
          <w:highlight w:val="none"/>
          <w:lang w:val="en-US" w:eastAsia="zh-CN"/>
        </w:rPr>
        <w:t>投标人1072个，</w:t>
      </w:r>
      <w:r>
        <w:rPr>
          <w:rFonts w:hint="eastAsia" w:ascii="仿宋_GB2312" w:hAnsi="仿宋_GB2312" w:eastAsia="仿宋_GB2312" w:cs="仿宋_GB2312"/>
          <w:sz w:val="28"/>
          <w:szCs w:val="24"/>
          <w:highlight w:val="none"/>
        </w:rPr>
        <w:t>中标金额</w:t>
      </w:r>
      <w:r>
        <w:rPr>
          <w:rFonts w:hint="eastAsia" w:ascii="仿宋_GB2312" w:hAnsi="仿宋_GB2312" w:eastAsia="仿宋_GB2312" w:cs="仿宋_GB2312"/>
          <w:sz w:val="28"/>
          <w:szCs w:val="24"/>
          <w:highlight w:val="none"/>
          <w:lang w:val="en-US" w:eastAsia="zh-CN"/>
        </w:rPr>
        <w:t>372</w:t>
      </w:r>
      <w:r>
        <w:rPr>
          <w:rFonts w:hint="eastAsia" w:ascii="仿宋_GB2312" w:hAnsi="仿宋_GB2312" w:eastAsia="仿宋_GB2312" w:cs="仿宋_GB2312"/>
          <w:sz w:val="28"/>
          <w:szCs w:val="24"/>
          <w:highlight w:val="none"/>
        </w:rPr>
        <w:t>亿</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详见表一</w:t>
      </w:r>
      <w:r>
        <w:rPr>
          <w:rFonts w:hint="eastAsia" w:ascii="仿宋_GB2312" w:hAnsi="仿宋_GB2312" w:eastAsia="仿宋_GB2312" w:cs="仿宋_GB2312"/>
          <w:sz w:val="28"/>
          <w:szCs w:val="24"/>
          <w:highlight w:val="none"/>
        </w:rPr>
        <w:t>。</w:t>
      </w:r>
    </w:p>
    <w:p>
      <w:pPr>
        <w:spacing w:beforeLines="0"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按项目类型划分：施工类</w:t>
      </w:r>
      <w:r>
        <w:rPr>
          <w:rFonts w:hint="eastAsia" w:ascii="仿宋_GB2312" w:hAnsi="仿宋_GB2312" w:eastAsia="仿宋_GB2312" w:cs="仿宋_GB2312"/>
          <w:sz w:val="28"/>
          <w:szCs w:val="24"/>
        </w:rPr>
        <w:t>项目</w:t>
      </w:r>
      <w:r>
        <w:rPr>
          <w:rFonts w:hint="eastAsia" w:ascii="仿宋_GB2312" w:hAnsi="仿宋_GB2312" w:eastAsia="仿宋_GB2312" w:cs="仿宋_GB2312"/>
          <w:sz w:val="28"/>
          <w:szCs w:val="24"/>
          <w:lang w:val="en-US" w:eastAsia="zh-CN"/>
        </w:rPr>
        <w:t>83个（</w:t>
      </w:r>
      <w:r>
        <w:rPr>
          <w:rFonts w:hint="eastAsia" w:ascii="仿宋_GB2312" w:hAnsi="仿宋_GB2312" w:eastAsia="仿宋_GB2312" w:cs="仿宋_GB2312"/>
          <w:sz w:val="28"/>
          <w:szCs w:val="24"/>
        </w:rPr>
        <w:t>占</w:t>
      </w:r>
      <w:r>
        <w:rPr>
          <w:rFonts w:hint="eastAsia" w:ascii="仿宋_GB2312" w:hAnsi="仿宋_GB2312" w:eastAsia="仿宋_GB2312" w:cs="仿宋_GB2312"/>
          <w:sz w:val="28"/>
          <w:szCs w:val="24"/>
          <w:lang w:val="en-US" w:eastAsia="zh-CN"/>
        </w:rPr>
        <w:t>46</w:t>
      </w:r>
      <w:r>
        <w:rPr>
          <w:rFonts w:hint="eastAsia" w:ascii="仿宋_GB2312" w:hAnsi="仿宋_GB2312" w:eastAsia="仿宋_GB2312" w:cs="仿宋_GB2312"/>
          <w:sz w:val="28"/>
          <w:szCs w:val="24"/>
        </w:rPr>
        <w:t>%</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rPr>
        <w:t>，</w:t>
      </w:r>
      <w:r>
        <w:rPr>
          <w:rFonts w:hint="eastAsia" w:ascii="仿宋_GB2312" w:hAnsi="仿宋_GB2312" w:eastAsia="仿宋_GB2312" w:cs="仿宋_GB2312"/>
          <w:sz w:val="28"/>
          <w:szCs w:val="24"/>
          <w:lang w:val="en-US" w:eastAsia="zh-CN"/>
        </w:rPr>
        <w:t>货物类</w:t>
      </w:r>
      <w:r>
        <w:rPr>
          <w:rFonts w:hint="eastAsia" w:ascii="仿宋_GB2312" w:hAnsi="仿宋_GB2312" w:eastAsia="仿宋_GB2312" w:cs="仿宋_GB2312"/>
          <w:sz w:val="28"/>
          <w:szCs w:val="24"/>
        </w:rPr>
        <w:t>项目</w:t>
      </w:r>
      <w:r>
        <w:rPr>
          <w:rFonts w:hint="eastAsia" w:ascii="仿宋_GB2312" w:hAnsi="仿宋_GB2312" w:eastAsia="仿宋_GB2312" w:cs="仿宋_GB2312"/>
          <w:sz w:val="28"/>
          <w:szCs w:val="24"/>
          <w:lang w:val="en-US" w:eastAsia="zh-CN"/>
        </w:rPr>
        <w:t>30个（</w:t>
      </w:r>
      <w:r>
        <w:rPr>
          <w:rFonts w:hint="eastAsia" w:ascii="仿宋_GB2312" w:hAnsi="仿宋_GB2312" w:eastAsia="仿宋_GB2312" w:cs="仿宋_GB2312"/>
          <w:sz w:val="28"/>
          <w:szCs w:val="24"/>
        </w:rPr>
        <w:t>占</w:t>
      </w:r>
      <w:r>
        <w:rPr>
          <w:rFonts w:hint="eastAsia" w:ascii="仿宋_GB2312" w:hAnsi="仿宋_GB2312" w:eastAsia="仿宋_GB2312" w:cs="仿宋_GB2312"/>
          <w:sz w:val="28"/>
          <w:szCs w:val="24"/>
          <w:lang w:val="en-US" w:eastAsia="zh-CN"/>
        </w:rPr>
        <w:t>17</w:t>
      </w:r>
      <w:r>
        <w:rPr>
          <w:rFonts w:hint="eastAsia" w:ascii="仿宋_GB2312" w:hAnsi="仿宋_GB2312" w:eastAsia="仿宋_GB2312" w:cs="仿宋_GB2312"/>
          <w:sz w:val="28"/>
          <w:szCs w:val="24"/>
        </w:rPr>
        <w:t>%</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rPr>
        <w:t>，</w:t>
      </w:r>
      <w:r>
        <w:rPr>
          <w:rFonts w:hint="eastAsia" w:ascii="仿宋_GB2312" w:hAnsi="仿宋_GB2312" w:eastAsia="仿宋_GB2312" w:cs="仿宋_GB2312"/>
          <w:sz w:val="28"/>
          <w:szCs w:val="24"/>
          <w:lang w:val="en-US" w:eastAsia="zh-CN"/>
        </w:rPr>
        <w:t>服务类（监理、勘察、设计及其他）</w:t>
      </w:r>
      <w:r>
        <w:rPr>
          <w:rFonts w:hint="eastAsia" w:ascii="仿宋_GB2312" w:hAnsi="仿宋_GB2312" w:eastAsia="仿宋_GB2312" w:cs="仿宋_GB2312"/>
          <w:sz w:val="28"/>
          <w:szCs w:val="24"/>
        </w:rPr>
        <w:t>项目</w:t>
      </w:r>
      <w:r>
        <w:rPr>
          <w:rFonts w:hint="eastAsia" w:ascii="仿宋_GB2312" w:hAnsi="仿宋_GB2312" w:eastAsia="仿宋_GB2312" w:cs="仿宋_GB2312"/>
          <w:sz w:val="28"/>
          <w:szCs w:val="24"/>
          <w:lang w:val="en-US" w:eastAsia="zh-CN"/>
        </w:rPr>
        <w:t>50个（</w:t>
      </w:r>
      <w:r>
        <w:rPr>
          <w:rFonts w:hint="eastAsia" w:ascii="仿宋_GB2312" w:hAnsi="仿宋_GB2312" w:eastAsia="仿宋_GB2312" w:cs="仿宋_GB2312"/>
          <w:sz w:val="28"/>
          <w:szCs w:val="24"/>
        </w:rPr>
        <w:t>占</w:t>
      </w:r>
      <w:r>
        <w:rPr>
          <w:rFonts w:hint="eastAsia" w:ascii="仿宋_GB2312" w:hAnsi="仿宋_GB2312" w:eastAsia="仿宋_GB2312" w:cs="仿宋_GB2312"/>
          <w:sz w:val="28"/>
          <w:szCs w:val="24"/>
          <w:lang w:val="en-US" w:eastAsia="zh-CN"/>
        </w:rPr>
        <w:t>28</w:t>
      </w:r>
      <w:r>
        <w:rPr>
          <w:rFonts w:hint="eastAsia" w:ascii="仿宋_GB2312" w:hAnsi="仿宋_GB2312" w:eastAsia="仿宋_GB2312" w:cs="仿宋_GB2312"/>
          <w:sz w:val="28"/>
          <w:szCs w:val="24"/>
        </w:rPr>
        <w:t>%</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rPr>
        <w:t>，</w:t>
      </w:r>
      <w:r>
        <w:rPr>
          <w:rFonts w:hint="eastAsia" w:ascii="仿宋_GB2312" w:hAnsi="仿宋_GB2312" w:eastAsia="仿宋_GB2312" w:cs="仿宋_GB2312"/>
          <w:sz w:val="28"/>
          <w:szCs w:val="24"/>
          <w:lang w:val="en-US" w:eastAsia="zh-CN"/>
        </w:rPr>
        <w:t>EPC项目17个（占9%）。</w:t>
      </w:r>
    </w:p>
    <w:p>
      <w:pPr>
        <w:spacing w:beforeLines="0" w:line="560" w:lineRule="exact"/>
        <w:ind w:firstLine="560" w:firstLineChars="200"/>
        <w:rPr>
          <w:rFonts w:hint="eastAsia" w:ascii="仿宋_GB2312" w:hAnsi="仿宋_GB2312" w:eastAsia="仿宋_GB2312" w:cs="仿宋_GB2312"/>
          <w:sz w:val="28"/>
          <w:szCs w:val="24"/>
          <w:lang w:val="en-US"/>
        </w:rPr>
      </w:pPr>
      <w:r>
        <w:rPr>
          <w:rFonts w:hint="eastAsia" w:ascii="仿宋_GB2312" w:hAnsi="仿宋_GB2312" w:eastAsia="仿宋_GB2312" w:cs="仿宋_GB2312"/>
          <w:sz w:val="28"/>
          <w:szCs w:val="24"/>
        </w:rPr>
        <w:t>按定标方式划分：直接票决项目（含逐轮票决）有</w:t>
      </w:r>
      <w:r>
        <w:rPr>
          <w:rFonts w:hint="eastAsia" w:ascii="仿宋_GB2312" w:hAnsi="仿宋_GB2312" w:eastAsia="仿宋_GB2312" w:cs="仿宋_GB2312"/>
          <w:sz w:val="28"/>
          <w:szCs w:val="24"/>
          <w:lang w:val="en-US" w:eastAsia="zh-CN"/>
        </w:rPr>
        <w:t>142</w:t>
      </w:r>
      <w:r>
        <w:rPr>
          <w:rFonts w:hint="eastAsia" w:ascii="仿宋_GB2312" w:hAnsi="仿宋_GB2312" w:eastAsia="仿宋_GB2312" w:cs="仿宋_GB2312"/>
          <w:sz w:val="28"/>
          <w:szCs w:val="24"/>
        </w:rPr>
        <w:t>个（占比</w:t>
      </w:r>
      <w:r>
        <w:rPr>
          <w:rFonts w:hint="eastAsia" w:ascii="仿宋_GB2312" w:hAnsi="仿宋_GB2312" w:eastAsia="仿宋_GB2312" w:cs="仿宋_GB2312"/>
          <w:sz w:val="28"/>
          <w:szCs w:val="24"/>
          <w:lang w:val="en-US" w:eastAsia="zh-CN"/>
        </w:rPr>
        <w:t>79</w:t>
      </w:r>
      <w:r>
        <w:rPr>
          <w:rFonts w:hint="eastAsia" w:ascii="仿宋_GB2312" w:hAnsi="仿宋_GB2312" w:eastAsia="仿宋_GB2312" w:cs="仿宋_GB2312"/>
          <w:sz w:val="28"/>
          <w:szCs w:val="24"/>
        </w:rPr>
        <w:t>%），票决抽签项目有</w:t>
      </w:r>
      <w:r>
        <w:rPr>
          <w:rFonts w:hint="eastAsia" w:ascii="仿宋_GB2312" w:hAnsi="仿宋_GB2312" w:eastAsia="仿宋_GB2312" w:cs="仿宋_GB2312"/>
          <w:sz w:val="28"/>
          <w:szCs w:val="24"/>
          <w:lang w:val="en-US" w:eastAsia="zh-CN"/>
        </w:rPr>
        <w:t>36</w:t>
      </w:r>
      <w:r>
        <w:rPr>
          <w:rFonts w:hint="eastAsia" w:ascii="仿宋_GB2312" w:hAnsi="仿宋_GB2312" w:eastAsia="仿宋_GB2312" w:cs="仿宋_GB2312"/>
          <w:sz w:val="28"/>
          <w:szCs w:val="24"/>
        </w:rPr>
        <w:t>个（占比</w:t>
      </w:r>
      <w:r>
        <w:rPr>
          <w:rFonts w:hint="eastAsia" w:ascii="仿宋_GB2312" w:hAnsi="仿宋_GB2312" w:eastAsia="仿宋_GB2312" w:cs="仿宋_GB2312"/>
          <w:sz w:val="28"/>
          <w:szCs w:val="24"/>
          <w:lang w:val="en-US" w:eastAsia="zh-CN"/>
        </w:rPr>
        <w:t>20</w:t>
      </w:r>
      <w:r>
        <w:rPr>
          <w:rFonts w:hint="eastAsia" w:ascii="仿宋_GB2312" w:hAnsi="仿宋_GB2312" w:eastAsia="仿宋_GB2312" w:cs="仿宋_GB2312"/>
          <w:sz w:val="28"/>
          <w:szCs w:val="24"/>
        </w:rPr>
        <w:t>%）</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lang w:val="en-US" w:eastAsia="zh-CN"/>
        </w:rPr>
        <w:t>集体议事法项目有2个（占比1%）</w:t>
      </w:r>
      <w:r>
        <w:rPr>
          <w:rFonts w:hint="eastAsia" w:ascii="仿宋_GB2312" w:hAnsi="仿宋_GB2312" w:eastAsia="仿宋_GB2312" w:cs="仿宋_GB2312"/>
          <w:sz w:val="28"/>
          <w:szCs w:val="24"/>
        </w:rPr>
        <w:t>。</w:t>
      </w:r>
    </w:p>
    <w:p>
      <w:pPr>
        <w:pStyle w:val="7"/>
        <w:keepNext w:val="0"/>
        <w:keepLines w:val="0"/>
        <w:pageBreakBefore w:val="0"/>
        <w:widowControl w:val="0"/>
        <w:kinsoku/>
        <w:wordWrap/>
        <w:overflowPunct/>
        <w:topLinePunct w:val="0"/>
        <w:autoSpaceDE/>
        <w:autoSpaceDN/>
        <w:bidi w:val="0"/>
        <w:adjustRightInd/>
        <w:snapToGrid/>
        <w:ind w:left="0" w:right="0"/>
        <w:jc w:val="center"/>
        <w:textAlignment w:val="auto"/>
        <w:rPr>
          <w:rFonts w:ascii="黑体" w:hAnsi="黑体" w:eastAsia="黑体" w:cs="黑体"/>
          <w:b w:val="0"/>
          <w:bCs w:val="0"/>
          <w:spacing w:val="0"/>
          <w:w w:val="100"/>
          <w:sz w:val="24"/>
          <w:szCs w:val="24"/>
        </w:rPr>
      </w:pPr>
      <w:r>
        <w:rPr>
          <w:rFonts w:hint="eastAsia" w:ascii="黑体" w:hAnsi="黑体" w:eastAsia="黑体" w:cs="黑体"/>
          <w:b w:val="0"/>
          <w:bCs w:val="0"/>
          <w:spacing w:val="0"/>
          <w:w w:val="100"/>
          <w:sz w:val="24"/>
          <w:szCs w:val="24"/>
          <w:lang w:val="en-US" w:eastAsia="zh-CN"/>
        </w:rPr>
        <w:t>表一 标后评估项目基本情况</w:t>
      </w:r>
    </w:p>
    <w:tbl>
      <w:tblPr>
        <w:tblStyle w:val="18"/>
        <w:tblpPr w:leftFromText="180" w:rightFromText="180" w:vertAnchor="text" w:horzAnchor="page" w:tblpX="1757" w:tblpY="126"/>
        <w:tblOverlap w:val="never"/>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823"/>
        <w:gridCol w:w="754"/>
        <w:gridCol w:w="945"/>
        <w:gridCol w:w="866"/>
        <w:gridCol w:w="919"/>
        <w:gridCol w:w="705"/>
        <w:gridCol w:w="771"/>
        <w:gridCol w:w="1067"/>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213" w:type="dxa"/>
            <w:vMerge w:val="restart"/>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黑体" w:hAnsi="黑体" w:eastAsia="黑体" w:cs="黑体"/>
                <w:szCs w:val="21"/>
              </w:rPr>
            </w:pPr>
            <w:r>
              <w:rPr>
                <w:rFonts w:hint="eastAsia" w:ascii="黑体" w:hAnsi="黑体" w:eastAsia="黑体" w:cs="黑体"/>
                <w:szCs w:val="21"/>
              </w:rPr>
              <w:t>定标方式</w:t>
            </w:r>
          </w:p>
        </w:tc>
        <w:tc>
          <w:tcPr>
            <w:tcW w:w="1577" w:type="dxa"/>
            <w:gridSpan w:val="2"/>
            <w:vMerge w:val="restart"/>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黑体" w:hAnsi="黑体" w:eastAsia="黑体" w:cs="黑体"/>
                <w:szCs w:val="21"/>
              </w:rPr>
            </w:pPr>
            <w:r>
              <w:rPr>
                <w:rFonts w:hint="eastAsia" w:ascii="黑体" w:hAnsi="黑体" w:eastAsia="黑体" w:cs="黑体"/>
                <w:szCs w:val="21"/>
              </w:rPr>
              <w:t>数量及占比</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黑体" w:hAnsi="黑体" w:eastAsia="黑体" w:cs="黑体"/>
                <w:szCs w:val="21"/>
              </w:rPr>
            </w:pPr>
            <w:r>
              <w:rPr>
                <w:rFonts w:hint="eastAsia" w:ascii="黑体" w:hAnsi="黑体" w:eastAsia="黑体" w:cs="黑体"/>
                <w:szCs w:val="21"/>
              </w:rPr>
              <w:t>统计</w:t>
            </w:r>
          </w:p>
        </w:tc>
        <w:tc>
          <w:tcPr>
            <w:tcW w:w="3435" w:type="dxa"/>
            <w:gridSpan w:val="4"/>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黑体" w:hAnsi="黑体" w:eastAsia="黑体" w:cs="黑体"/>
                <w:szCs w:val="21"/>
              </w:rPr>
            </w:pPr>
            <w:r>
              <w:rPr>
                <w:rFonts w:hint="eastAsia" w:ascii="黑体" w:hAnsi="黑体" w:eastAsia="黑体" w:cs="黑体"/>
                <w:szCs w:val="21"/>
              </w:rPr>
              <w:t>项目类型</w:t>
            </w:r>
          </w:p>
        </w:tc>
        <w:tc>
          <w:tcPr>
            <w:tcW w:w="771" w:type="dxa"/>
            <w:vMerge w:val="restart"/>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黑体" w:hAnsi="黑体" w:eastAsia="黑体" w:cs="黑体"/>
                <w:szCs w:val="21"/>
              </w:rPr>
            </w:pPr>
            <w:r>
              <w:rPr>
                <w:rFonts w:hint="eastAsia" w:ascii="黑体" w:hAnsi="黑体" w:eastAsia="黑体" w:cs="黑体"/>
                <w:szCs w:val="21"/>
              </w:rPr>
              <w:t>招标人</w:t>
            </w:r>
          </w:p>
        </w:tc>
        <w:tc>
          <w:tcPr>
            <w:tcW w:w="1067" w:type="dxa"/>
            <w:vMerge w:val="restart"/>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黑体" w:hAnsi="黑体" w:eastAsia="黑体" w:cs="黑体"/>
                <w:szCs w:val="21"/>
              </w:rPr>
            </w:pPr>
            <w:r>
              <w:rPr>
                <w:rFonts w:hint="eastAsia" w:ascii="黑体" w:hAnsi="黑体" w:eastAsia="黑体" w:cs="黑体"/>
                <w:szCs w:val="21"/>
              </w:rPr>
              <w:t>中标金额(亿)</w:t>
            </w:r>
          </w:p>
        </w:tc>
        <w:tc>
          <w:tcPr>
            <w:tcW w:w="892" w:type="dxa"/>
            <w:vMerge w:val="restart"/>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黑体" w:hAnsi="黑体" w:eastAsia="黑体" w:cs="黑体"/>
                <w:szCs w:val="21"/>
              </w:rPr>
            </w:pPr>
            <w:r>
              <w:rPr>
                <w:rFonts w:hint="eastAsia" w:ascii="黑体" w:hAnsi="黑体" w:eastAsia="黑体" w:cs="黑体"/>
                <w:szCs w:val="21"/>
              </w:rPr>
              <w:t>平均投标家数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13" w:type="dxa"/>
            <w:vMerge w:val="continue"/>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仿宋" w:hAnsi="仿宋" w:eastAsia="仿宋" w:cs="仿宋"/>
                <w:szCs w:val="21"/>
              </w:rPr>
            </w:pPr>
          </w:p>
        </w:tc>
        <w:tc>
          <w:tcPr>
            <w:tcW w:w="1577" w:type="dxa"/>
            <w:gridSpan w:val="2"/>
            <w:vMerge w:val="continue"/>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仿宋" w:hAnsi="仿宋" w:eastAsia="仿宋" w:cs="仿宋"/>
                <w:szCs w:val="21"/>
              </w:rPr>
            </w:pP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施工类</w:t>
            </w:r>
          </w:p>
        </w:tc>
        <w:tc>
          <w:tcPr>
            <w:tcW w:w="866"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货物类</w:t>
            </w:r>
          </w:p>
        </w:tc>
        <w:tc>
          <w:tcPr>
            <w:tcW w:w="919"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服务类</w:t>
            </w:r>
          </w:p>
        </w:tc>
        <w:tc>
          <w:tcPr>
            <w:tcW w:w="705"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EPC</w:t>
            </w:r>
          </w:p>
        </w:tc>
        <w:tc>
          <w:tcPr>
            <w:tcW w:w="771" w:type="dxa"/>
            <w:vMerge w:val="continue"/>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仿宋" w:hAnsi="仿宋" w:eastAsia="仿宋" w:cs="仿宋"/>
                <w:szCs w:val="21"/>
              </w:rPr>
            </w:pPr>
          </w:p>
        </w:tc>
        <w:tc>
          <w:tcPr>
            <w:tcW w:w="1067" w:type="dxa"/>
            <w:vMerge w:val="continue"/>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仿宋" w:hAnsi="仿宋" w:eastAsia="仿宋" w:cs="仿宋"/>
                <w:szCs w:val="21"/>
              </w:rPr>
            </w:pPr>
          </w:p>
        </w:tc>
        <w:tc>
          <w:tcPr>
            <w:tcW w:w="892" w:type="dxa"/>
            <w:vMerge w:val="continue"/>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直接票决</w:t>
            </w:r>
          </w:p>
        </w:tc>
        <w:tc>
          <w:tcPr>
            <w:tcW w:w="82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数量</w:t>
            </w:r>
          </w:p>
        </w:tc>
        <w:tc>
          <w:tcPr>
            <w:tcW w:w="75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142</w:t>
            </w: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61</w:t>
            </w:r>
          </w:p>
        </w:tc>
        <w:tc>
          <w:tcPr>
            <w:tcW w:w="866"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28</w:t>
            </w:r>
          </w:p>
        </w:tc>
        <w:tc>
          <w:tcPr>
            <w:tcW w:w="91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42</w:t>
            </w:r>
          </w:p>
        </w:tc>
        <w:tc>
          <w:tcPr>
            <w:tcW w:w="70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11</w:t>
            </w:r>
          </w:p>
        </w:tc>
        <w:tc>
          <w:tcPr>
            <w:tcW w:w="77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73</w:t>
            </w:r>
          </w:p>
        </w:tc>
        <w:tc>
          <w:tcPr>
            <w:tcW w:w="106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271</w:t>
            </w:r>
          </w:p>
        </w:tc>
        <w:tc>
          <w:tcPr>
            <w:tcW w:w="892"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p>
        </w:tc>
        <w:tc>
          <w:tcPr>
            <w:tcW w:w="82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占比</w:t>
            </w:r>
          </w:p>
        </w:tc>
        <w:tc>
          <w:tcPr>
            <w:tcW w:w="75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79%</w:t>
            </w: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43%</w:t>
            </w:r>
          </w:p>
        </w:tc>
        <w:tc>
          <w:tcPr>
            <w:tcW w:w="866"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91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29%</w:t>
            </w:r>
          </w:p>
        </w:tc>
        <w:tc>
          <w:tcPr>
            <w:tcW w:w="70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w:t>
            </w:r>
          </w:p>
        </w:tc>
        <w:tc>
          <w:tcPr>
            <w:tcW w:w="77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p>
        </w:tc>
        <w:tc>
          <w:tcPr>
            <w:tcW w:w="106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p>
        </w:tc>
        <w:tc>
          <w:tcPr>
            <w:tcW w:w="89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trPr>
        <w:tc>
          <w:tcPr>
            <w:tcW w:w="121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票决抽签</w:t>
            </w:r>
          </w:p>
        </w:tc>
        <w:tc>
          <w:tcPr>
            <w:tcW w:w="82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数量</w:t>
            </w:r>
          </w:p>
        </w:tc>
        <w:tc>
          <w:tcPr>
            <w:tcW w:w="75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36</w:t>
            </w: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22</w:t>
            </w:r>
          </w:p>
        </w:tc>
        <w:tc>
          <w:tcPr>
            <w:tcW w:w="866"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91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w:t>
            </w:r>
          </w:p>
        </w:tc>
        <w:tc>
          <w:tcPr>
            <w:tcW w:w="70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7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17</w:t>
            </w:r>
          </w:p>
        </w:tc>
        <w:tc>
          <w:tcPr>
            <w:tcW w:w="106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89</w:t>
            </w:r>
          </w:p>
        </w:tc>
        <w:tc>
          <w:tcPr>
            <w:tcW w:w="892"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p>
        </w:tc>
        <w:tc>
          <w:tcPr>
            <w:tcW w:w="82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占比</w:t>
            </w:r>
          </w:p>
        </w:tc>
        <w:tc>
          <w:tcPr>
            <w:tcW w:w="75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61%</w:t>
            </w:r>
          </w:p>
        </w:tc>
        <w:tc>
          <w:tcPr>
            <w:tcW w:w="866"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91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19%</w:t>
            </w:r>
          </w:p>
        </w:tc>
        <w:tc>
          <w:tcPr>
            <w:tcW w:w="70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14%</w:t>
            </w:r>
          </w:p>
        </w:tc>
        <w:tc>
          <w:tcPr>
            <w:tcW w:w="77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p>
        </w:tc>
        <w:tc>
          <w:tcPr>
            <w:tcW w:w="106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p>
        </w:tc>
        <w:tc>
          <w:tcPr>
            <w:tcW w:w="89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121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rPr>
            </w:pPr>
            <w:r>
              <w:rPr>
                <w:rFonts w:hint="eastAsia" w:ascii="仿宋_GB2312" w:hAnsi="仿宋_GB2312" w:eastAsia="仿宋_GB2312" w:cs="仿宋_GB2312"/>
                <w:szCs w:val="21"/>
                <w:lang w:val="en-US"/>
              </w:rPr>
              <w:t>集体议事法</w:t>
            </w:r>
          </w:p>
        </w:tc>
        <w:tc>
          <w:tcPr>
            <w:tcW w:w="82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数量</w:t>
            </w:r>
          </w:p>
        </w:tc>
        <w:tc>
          <w:tcPr>
            <w:tcW w:w="75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2</w:t>
            </w: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66"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91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w:t>
            </w:r>
          </w:p>
        </w:tc>
        <w:tc>
          <w:tcPr>
            <w:tcW w:w="70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77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06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892"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p>
        </w:tc>
        <w:tc>
          <w:tcPr>
            <w:tcW w:w="82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占比</w:t>
            </w:r>
          </w:p>
        </w:tc>
        <w:tc>
          <w:tcPr>
            <w:tcW w:w="75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w:t>
            </w: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66"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91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lang w:val="en-US"/>
              </w:rPr>
            </w:pPr>
            <w:r>
              <w:rPr>
                <w:rFonts w:hint="eastAsia" w:ascii="仿宋_GB2312" w:hAnsi="仿宋_GB2312" w:eastAsia="仿宋_GB2312" w:cs="仿宋_GB2312"/>
                <w:szCs w:val="21"/>
                <w:lang w:val="en-US" w:eastAsia="zh-CN"/>
              </w:rPr>
              <w:t>50%</w:t>
            </w:r>
          </w:p>
        </w:tc>
        <w:tc>
          <w:tcPr>
            <w:tcW w:w="70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50%</w:t>
            </w:r>
          </w:p>
        </w:tc>
        <w:tc>
          <w:tcPr>
            <w:tcW w:w="77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p>
        </w:tc>
        <w:tc>
          <w:tcPr>
            <w:tcW w:w="106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p>
        </w:tc>
        <w:tc>
          <w:tcPr>
            <w:tcW w:w="89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合计</w:t>
            </w:r>
          </w:p>
        </w:tc>
        <w:tc>
          <w:tcPr>
            <w:tcW w:w="82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数量</w:t>
            </w:r>
          </w:p>
        </w:tc>
        <w:tc>
          <w:tcPr>
            <w:tcW w:w="75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180</w:t>
            </w:r>
          </w:p>
        </w:tc>
        <w:tc>
          <w:tcPr>
            <w:tcW w:w="94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83</w:t>
            </w:r>
          </w:p>
        </w:tc>
        <w:tc>
          <w:tcPr>
            <w:tcW w:w="866"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30</w:t>
            </w:r>
          </w:p>
        </w:tc>
        <w:tc>
          <w:tcPr>
            <w:tcW w:w="91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50</w:t>
            </w:r>
          </w:p>
        </w:tc>
        <w:tc>
          <w:tcPr>
            <w:tcW w:w="70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17</w:t>
            </w:r>
          </w:p>
        </w:tc>
        <w:tc>
          <w:tcPr>
            <w:tcW w:w="77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80</w:t>
            </w:r>
          </w:p>
        </w:tc>
        <w:tc>
          <w:tcPr>
            <w:tcW w:w="106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372</w:t>
            </w:r>
          </w:p>
        </w:tc>
        <w:tc>
          <w:tcPr>
            <w:tcW w:w="892"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b/>
                <w:bCs/>
                <w:szCs w:val="21"/>
                <w:highlight w:val="none"/>
                <w:lang w:val="en-US" w:eastAsia="zh-CN"/>
              </w:rPr>
            </w:pPr>
            <w:r>
              <w:rPr>
                <w:rFonts w:hint="eastAsia" w:ascii="仿宋_GB2312" w:hAnsi="仿宋_GB2312" w:eastAsia="仿宋_GB2312" w:cs="仿宋_GB2312"/>
                <w:b/>
                <w:bCs/>
                <w:szCs w:val="21"/>
                <w:highlight w:val="no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3" w:type="dxa"/>
            <w:vMerge w:val="continue"/>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szCs w:val="21"/>
              </w:rPr>
            </w:pPr>
          </w:p>
        </w:tc>
        <w:tc>
          <w:tcPr>
            <w:tcW w:w="823"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占比</w:t>
            </w:r>
          </w:p>
        </w:tc>
        <w:tc>
          <w:tcPr>
            <w:tcW w:w="754"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100%</w:t>
            </w:r>
          </w:p>
        </w:tc>
        <w:tc>
          <w:tcPr>
            <w:tcW w:w="945"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46%</w:t>
            </w:r>
          </w:p>
        </w:tc>
        <w:tc>
          <w:tcPr>
            <w:tcW w:w="866"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17%</w:t>
            </w:r>
          </w:p>
        </w:tc>
        <w:tc>
          <w:tcPr>
            <w:tcW w:w="919"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28%</w:t>
            </w:r>
          </w:p>
        </w:tc>
        <w:tc>
          <w:tcPr>
            <w:tcW w:w="705"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9%</w:t>
            </w:r>
          </w:p>
        </w:tc>
        <w:tc>
          <w:tcPr>
            <w:tcW w:w="771" w:type="dxa"/>
            <w:vMerge w:val="continue"/>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szCs w:val="21"/>
              </w:rPr>
            </w:pPr>
          </w:p>
        </w:tc>
        <w:tc>
          <w:tcPr>
            <w:tcW w:w="1067" w:type="dxa"/>
            <w:vMerge w:val="continue"/>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szCs w:val="21"/>
              </w:rPr>
            </w:pPr>
          </w:p>
        </w:tc>
        <w:tc>
          <w:tcPr>
            <w:tcW w:w="892" w:type="dxa"/>
            <w:vMerge w:val="continue"/>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仿宋"/>
                <w:szCs w:val="21"/>
              </w:rPr>
            </w:pPr>
          </w:p>
        </w:tc>
      </w:tr>
    </w:tbl>
    <w:p>
      <w:pPr>
        <w:spacing w:after="0" w:afterLines="0"/>
        <w:jc w:val="center"/>
        <w:rPr>
          <w:rFonts w:hint="eastAsia" w:ascii="仿宋" w:hAnsi="仿宋" w:eastAsia="仿宋" w:cs="仿宋"/>
          <w:sz w:val="24"/>
        </w:rPr>
      </w:pPr>
    </w:p>
    <w:p>
      <w:pPr>
        <w:pStyle w:val="3"/>
        <w:spacing w:before="0" w:beforeLines="0" w:line="560" w:lineRule="exact"/>
        <w:ind w:left="0" w:leftChars="0"/>
        <w:rPr>
          <w:rFonts w:hint="eastAsia" w:ascii="黑体" w:hAnsi="黑体" w:eastAsia="黑体" w:cs="黑体"/>
          <w:bCs/>
          <w:szCs w:val="28"/>
          <w:lang w:val="en-US" w:eastAsia="zh-CN"/>
        </w:rPr>
      </w:pPr>
      <w:bookmarkStart w:id="101" w:name="_Toc18113"/>
      <w:bookmarkStart w:id="102" w:name="_Toc14995"/>
      <w:bookmarkStart w:id="103" w:name="_Toc3527"/>
      <w:bookmarkStart w:id="104" w:name="_Toc23095"/>
      <w:bookmarkStart w:id="105" w:name="_Toc13489"/>
      <w:bookmarkStart w:id="106" w:name="_Toc26980"/>
      <w:bookmarkStart w:id="107" w:name="_Toc6360"/>
      <w:bookmarkStart w:id="108" w:name="_Toc7986"/>
      <w:bookmarkStart w:id="109" w:name="_Toc748"/>
      <w:bookmarkStart w:id="110" w:name="_Toc24478"/>
      <w:bookmarkStart w:id="111" w:name="_Toc26855"/>
      <w:bookmarkStart w:id="112" w:name="_Toc15259"/>
      <w:bookmarkStart w:id="113" w:name="_Toc31287"/>
      <w:bookmarkStart w:id="114" w:name="_Toc24573"/>
      <w:bookmarkStart w:id="115" w:name="_Toc2494"/>
      <w:bookmarkStart w:id="116" w:name="_Toc9844"/>
      <w:bookmarkStart w:id="117" w:name="_Toc22784"/>
      <w:bookmarkStart w:id="118" w:name="_Toc9886"/>
      <w:bookmarkStart w:id="119" w:name="_Toc14114"/>
      <w:bookmarkStart w:id="120" w:name="_Toc9573"/>
      <w:bookmarkStart w:id="121" w:name="_Toc14155"/>
      <w:bookmarkStart w:id="122" w:name="_Toc22012"/>
      <w:bookmarkStart w:id="123" w:name="_Toc5413"/>
      <w:bookmarkStart w:id="124" w:name="_Toc12242"/>
      <w:bookmarkStart w:id="125" w:name="_Toc22641"/>
      <w:bookmarkStart w:id="126" w:name="_Toc32266"/>
      <w:bookmarkStart w:id="127" w:name="_Toc14295"/>
      <w:bookmarkStart w:id="128" w:name="_Toc7041"/>
      <w:r>
        <w:rPr>
          <w:rFonts w:hint="eastAsia" w:ascii="黑体" w:hAnsi="黑体" w:eastAsia="黑体" w:cs="黑体"/>
          <w:bCs/>
          <w:szCs w:val="28"/>
        </w:rPr>
        <w:t>1.</w:t>
      </w:r>
      <w:r>
        <w:rPr>
          <w:rFonts w:hint="eastAsia" w:ascii="黑体" w:hAnsi="黑体" w:eastAsia="黑体" w:cs="黑体"/>
          <w:bCs/>
          <w:szCs w:val="28"/>
          <w:lang w:val="en-US" w:eastAsia="zh-CN"/>
        </w:rPr>
        <w:t>4评估依据</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pPr>
        <w:spacing w:beforeLines="0" w:afterLines="0"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以国家</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lang w:val="en-US" w:eastAsia="zh-CN"/>
        </w:rPr>
        <w:t>广东省</w:t>
      </w:r>
      <w:r>
        <w:rPr>
          <w:rFonts w:hint="eastAsia" w:ascii="仿宋_GB2312" w:hAnsi="仿宋_GB2312" w:eastAsia="仿宋_GB2312" w:cs="仿宋_GB2312"/>
          <w:sz w:val="28"/>
          <w:szCs w:val="24"/>
        </w:rPr>
        <w:t>和深圳市建设工程招</w:t>
      </w:r>
      <w:r>
        <w:rPr>
          <w:rFonts w:hint="eastAsia" w:ascii="仿宋_GB2312" w:hAnsi="仿宋_GB2312" w:eastAsia="仿宋_GB2312" w:cs="仿宋_GB2312"/>
          <w:sz w:val="28"/>
          <w:szCs w:val="24"/>
          <w:lang w:val="en-US" w:eastAsia="zh-CN"/>
        </w:rPr>
        <w:t>标</w:t>
      </w:r>
      <w:r>
        <w:rPr>
          <w:rFonts w:hint="eastAsia" w:ascii="仿宋_GB2312" w:hAnsi="仿宋_GB2312" w:eastAsia="仿宋_GB2312" w:cs="仿宋_GB2312"/>
          <w:sz w:val="28"/>
          <w:szCs w:val="24"/>
        </w:rPr>
        <w:t>投标相关的法律法规为依据，</w:t>
      </w:r>
      <w:r>
        <w:rPr>
          <w:rFonts w:hint="eastAsia" w:ascii="仿宋_GB2312" w:hAnsi="仿宋_GB2312" w:eastAsia="仿宋_GB2312" w:cs="仿宋_GB2312"/>
          <w:sz w:val="28"/>
          <w:szCs w:val="24"/>
          <w:lang w:val="en-US" w:eastAsia="zh-CN"/>
        </w:rPr>
        <w:t>按照</w:t>
      </w:r>
      <w:r>
        <w:rPr>
          <w:rFonts w:hint="eastAsia" w:ascii="仿宋_GB2312" w:hAnsi="仿宋_GB2312" w:eastAsia="仿宋_GB2312" w:cs="仿宋_GB2312"/>
          <w:sz w:val="28"/>
          <w:szCs w:val="24"/>
          <w:u w:val="none"/>
          <w:lang w:val="en-US" w:eastAsia="zh-CN"/>
        </w:rPr>
        <w:t>《关于建设工程招标投标改革的若干规定》（深府〔2015〕73号）、《关于进一步完善建设工程招标投标制度的若干措施》（深建规〔2020〕1号）、</w:t>
      </w:r>
      <w:r>
        <w:rPr>
          <w:rFonts w:hint="eastAsia" w:ascii="仿宋_GB2312" w:hAnsi="仿宋_GB2312" w:eastAsia="仿宋_GB2312" w:cs="仿宋_GB2312"/>
          <w:sz w:val="28"/>
          <w:szCs w:val="24"/>
        </w:rPr>
        <w:t>《</w:t>
      </w:r>
      <w:r>
        <w:rPr>
          <w:rFonts w:hint="eastAsia" w:ascii="仿宋_GB2312" w:hAnsi="仿宋_GB2312" w:eastAsia="仿宋_GB2312" w:cs="仿宋_GB2312"/>
          <w:i w:val="0"/>
          <w:iCs w:val="0"/>
          <w:caps w:val="0"/>
          <w:spacing w:val="0"/>
          <w:sz w:val="28"/>
          <w:szCs w:val="24"/>
          <w:shd w:val="clear"/>
        </w:rPr>
        <w:t>深圳市建设工程招标投标后评估工作指引</w:t>
      </w:r>
      <w:r>
        <w:rPr>
          <w:rFonts w:hint="eastAsia" w:ascii="仿宋_GB2312" w:hAnsi="仿宋_GB2312" w:eastAsia="仿宋_GB2312" w:cs="仿宋_GB2312"/>
          <w:sz w:val="28"/>
          <w:szCs w:val="24"/>
        </w:rPr>
        <w:t>》</w:t>
      </w:r>
      <w:r>
        <w:rPr>
          <w:rFonts w:hint="eastAsia" w:ascii="仿宋_GB2312" w:hAnsi="仿宋_GB2312" w:eastAsia="仿宋_GB2312" w:cs="仿宋_GB2312"/>
          <w:sz w:val="28"/>
          <w:szCs w:val="24"/>
          <w:lang w:eastAsia="zh-CN"/>
        </w:rPr>
        <w:t>（深建市场〔2021〕30号）</w:t>
      </w:r>
      <w:r>
        <w:rPr>
          <w:rFonts w:hint="eastAsia" w:ascii="仿宋_GB2312" w:hAnsi="仿宋_GB2312" w:eastAsia="仿宋_GB2312" w:cs="仿宋_GB2312"/>
          <w:sz w:val="28"/>
          <w:szCs w:val="24"/>
          <w:lang w:val="en-US" w:eastAsia="zh-CN"/>
        </w:rPr>
        <w:t>等文件的规定，建立评估标准开展评估工作</w:t>
      </w:r>
      <w:r>
        <w:rPr>
          <w:rFonts w:hint="eastAsia" w:ascii="仿宋_GB2312" w:hAnsi="仿宋_GB2312" w:eastAsia="仿宋_GB2312" w:cs="仿宋_GB2312"/>
          <w:sz w:val="28"/>
          <w:szCs w:val="24"/>
        </w:rPr>
        <w:t>。</w:t>
      </w:r>
    </w:p>
    <w:p>
      <w:pPr>
        <w:pStyle w:val="3"/>
        <w:spacing w:before="0" w:beforeLines="0" w:line="560" w:lineRule="exact"/>
        <w:ind w:left="0" w:leftChars="0"/>
        <w:rPr>
          <w:rFonts w:hint="eastAsia" w:ascii="黑体" w:hAnsi="黑体" w:eastAsia="黑体" w:cs="黑体"/>
          <w:bCs/>
          <w:szCs w:val="28"/>
          <w:lang w:val="en-US" w:eastAsia="zh-CN"/>
        </w:rPr>
      </w:pPr>
      <w:bookmarkStart w:id="129" w:name="_Toc22923"/>
      <w:bookmarkStart w:id="130" w:name="_Toc16747"/>
      <w:bookmarkStart w:id="131" w:name="_Toc7238"/>
      <w:bookmarkStart w:id="132" w:name="_Toc26187"/>
      <w:bookmarkStart w:id="133" w:name="_Toc31221"/>
      <w:bookmarkStart w:id="134" w:name="_Toc14354"/>
      <w:bookmarkStart w:id="135" w:name="_Toc25562"/>
      <w:bookmarkStart w:id="136" w:name="_Toc25897"/>
      <w:bookmarkStart w:id="137" w:name="_Toc24596"/>
      <w:bookmarkStart w:id="138" w:name="_Toc7063"/>
      <w:bookmarkStart w:id="139" w:name="_Toc25856"/>
      <w:bookmarkStart w:id="140" w:name="_Toc15812"/>
      <w:bookmarkStart w:id="141" w:name="_Toc21681"/>
      <w:bookmarkStart w:id="142" w:name="_Toc7025"/>
      <w:bookmarkStart w:id="143" w:name="_Toc31658"/>
      <w:bookmarkStart w:id="144" w:name="_Toc22935"/>
      <w:bookmarkStart w:id="145" w:name="_Toc10019"/>
      <w:bookmarkStart w:id="146" w:name="_Toc13379"/>
      <w:bookmarkStart w:id="147" w:name="_Toc8434"/>
      <w:bookmarkStart w:id="148" w:name="_Toc7488"/>
      <w:bookmarkStart w:id="149" w:name="_Toc12693"/>
      <w:bookmarkStart w:id="150" w:name="_Toc32351"/>
      <w:bookmarkStart w:id="151" w:name="_Toc2306"/>
      <w:bookmarkStart w:id="152" w:name="_Toc18132"/>
      <w:bookmarkStart w:id="153" w:name="_Toc32356"/>
      <w:bookmarkStart w:id="154" w:name="_Toc3896"/>
      <w:bookmarkStart w:id="155" w:name="_Toc22593"/>
      <w:bookmarkStart w:id="156" w:name="_Toc24624"/>
      <w:r>
        <w:rPr>
          <w:rFonts w:hint="eastAsia" w:ascii="黑体" w:hAnsi="黑体" w:eastAsia="黑体" w:cs="黑体"/>
          <w:bCs/>
          <w:szCs w:val="28"/>
          <w:lang w:val="en-US" w:eastAsia="zh-CN"/>
        </w:rPr>
        <w:t>1.5评估目的</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beforeLines="0" w:afterLines="0" w:line="5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highlight w:val="none"/>
          <w:lang w:val="en-US" w:eastAsia="zh-CN"/>
        </w:rPr>
        <w:t>通过对评估项目</w:t>
      </w:r>
      <w:r>
        <w:rPr>
          <w:rFonts w:hint="eastAsia" w:ascii="仿宋_GB2312" w:hAnsi="仿宋_GB2312" w:eastAsia="仿宋_GB2312" w:cs="仿宋_GB2312"/>
          <w:sz w:val="28"/>
          <w:szCs w:val="24"/>
          <w:highlight w:val="none"/>
        </w:rPr>
        <w:t>招标投标活动</w:t>
      </w:r>
      <w:r>
        <w:rPr>
          <w:rFonts w:hint="eastAsia" w:ascii="仿宋_GB2312" w:hAnsi="仿宋_GB2312" w:eastAsia="仿宋_GB2312" w:cs="仿宋_GB2312"/>
          <w:sz w:val="28"/>
          <w:szCs w:val="24"/>
          <w:highlight w:val="none"/>
          <w:lang w:val="en-US" w:eastAsia="zh-CN"/>
        </w:rPr>
        <w:t>及合同签订履约情况是否合法、合规、合理全面核查，对发现的问题进</w:t>
      </w:r>
      <w:r>
        <w:rPr>
          <w:rFonts w:hint="eastAsia" w:ascii="仿宋_GB2312" w:hAnsi="仿宋_GB2312" w:eastAsia="仿宋_GB2312" w:cs="仿宋_GB2312"/>
          <w:sz w:val="28"/>
          <w:szCs w:val="24"/>
          <w:lang w:val="en-US" w:eastAsia="zh-CN"/>
        </w:rPr>
        <w:t>行研究和分析</w:t>
      </w:r>
      <w:r>
        <w:rPr>
          <w:rFonts w:hint="eastAsia" w:ascii="仿宋_GB2312" w:hAnsi="仿宋_GB2312" w:eastAsia="仿宋_GB2312" w:cs="仿宋_GB2312"/>
          <w:sz w:val="28"/>
          <w:szCs w:val="24"/>
        </w:rPr>
        <w:t>，</w:t>
      </w:r>
      <w:r>
        <w:rPr>
          <w:rFonts w:hint="eastAsia" w:ascii="仿宋_GB2312" w:hAnsi="仿宋_GB2312" w:eastAsia="仿宋_GB2312" w:cs="仿宋_GB2312"/>
          <w:sz w:val="28"/>
          <w:szCs w:val="24"/>
          <w:lang w:val="en-US" w:eastAsia="zh-CN"/>
        </w:rPr>
        <w:t>以问题为导向</w:t>
      </w:r>
      <w:r>
        <w:rPr>
          <w:rFonts w:hint="eastAsia" w:ascii="仿宋_GB2312" w:hAnsi="仿宋_GB2312" w:eastAsia="仿宋_GB2312" w:cs="仿宋_GB2312"/>
          <w:sz w:val="28"/>
        </w:rPr>
        <w:t>规范</w:t>
      </w:r>
      <w:r>
        <w:rPr>
          <w:rFonts w:hint="eastAsia" w:ascii="仿宋_GB2312" w:hAnsi="仿宋_GB2312" w:eastAsia="仿宋_GB2312" w:cs="仿宋_GB2312"/>
          <w:sz w:val="28"/>
          <w:szCs w:val="24"/>
          <w:lang w:val="en-US" w:eastAsia="zh-CN"/>
        </w:rPr>
        <w:t>各方责任主体</w:t>
      </w:r>
      <w:r>
        <w:rPr>
          <w:rFonts w:hint="eastAsia" w:ascii="仿宋_GB2312" w:hAnsi="仿宋_GB2312" w:eastAsia="仿宋_GB2312" w:cs="仿宋_GB2312"/>
          <w:sz w:val="28"/>
        </w:rPr>
        <w:t>的行为，</w:t>
      </w:r>
      <w:r>
        <w:rPr>
          <w:rFonts w:hint="eastAsia" w:ascii="仿宋_GB2312" w:hAnsi="仿宋_GB2312" w:eastAsia="仿宋_GB2312" w:cs="仿宋_GB2312"/>
          <w:sz w:val="28"/>
          <w:szCs w:val="24"/>
        </w:rPr>
        <w:t>强化事后监管，</w:t>
      </w:r>
      <w:r>
        <w:rPr>
          <w:rFonts w:hint="eastAsia" w:ascii="仿宋_GB2312" w:hAnsi="仿宋_GB2312" w:eastAsia="仿宋_GB2312" w:cs="仿宋_GB2312"/>
          <w:sz w:val="28"/>
        </w:rPr>
        <w:t>完善招</w:t>
      </w:r>
      <w:r>
        <w:rPr>
          <w:rFonts w:hint="eastAsia" w:ascii="仿宋_GB2312" w:hAnsi="仿宋_GB2312" w:eastAsia="仿宋_GB2312" w:cs="仿宋_GB2312"/>
          <w:sz w:val="28"/>
          <w:lang w:val="en-US" w:eastAsia="zh-CN"/>
        </w:rPr>
        <w:t>标</w:t>
      </w:r>
      <w:r>
        <w:rPr>
          <w:rFonts w:hint="eastAsia" w:ascii="仿宋_GB2312" w:hAnsi="仿宋_GB2312" w:eastAsia="仿宋_GB2312" w:cs="仿宋_GB2312"/>
          <w:sz w:val="28"/>
        </w:rPr>
        <w:t>投标制度，</w:t>
      </w:r>
      <w:r>
        <w:rPr>
          <w:rFonts w:hint="eastAsia" w:ascii="仿宋_GB2312" w:hAnsi="仿宋_GB2312" w:eastAsia="仿宋_GB2312" w:cs="仿宋_GB2312"/>
          <w:sz w:val="28"/>
          <w:lang w:val="en-US" w:eastAsia="zh-CN"/>
        </w:rPr>
        <w:t>优化深圳招标投标市场营商环境</w:t>
      </w:r>
      <w:r>
        <w:rPr>
          <w:rFonts w:hint="eastAsia" w:ascii="仿宋_GB2312" w:hAnsi="仿宋_GB2312" w:eastAsia="仿宋_GB2312" w:cs="仿宋_GB2312"/>
          <w:sz w:val="28"/>
          <w:szCs w:val="24"/>
        </w:rPr>
        <w:t>。</w:t>
      </w:r>
    </w:p>
    <w:p>
      <w:pPr>
        <w:pStyle w:val="3"/>
        <w:spacing w:before="0" w:beforeLines="0" w:line="560" w:lineRule="exact"/>
        <w:ind w:left="0" w:leftChars="0"/>
        <w:rPr>
          <w:rFonts w:hint="eastAsia" w:ascii="黑体" w:hAnsi="黑体" w:eastAsia="黑体" w:cs="黑体"/>
          <w:bCs/>
          <w:szCs w:val="28"/>
          <w:lang w:val="en-US" w:eastAsia="zh-CN"/>
        </w:rPr>
      </w:pPr>
      <w:bookmarkStart w:id="157" w:name="_Toc15786"/>
      <w:bookmarkStart w:id="158" w:name="_Toc6969"/>
      <w:bookmarkStart w:id="159" w:name="_Toc24347"/>
      <w:bookmarkStart w:id="160" w:name="_Toc16544"/>
      <w:bookmarkStart w:id="161" w:name="_Toc22597"/>
      <w:bookmarkStart w:id="162" w:name="_Toc27054"/>
      <w:bookmarkStart w:id="163" w:name="_Toc11524"/>
      <w:bookmarkStart w:id="164" w:name="_Toc26328"/>
      <w:bookmarkStart w:id="165" w:name="_Toc5990"/>
      <w:bookmarkStart w:id="166" w:name="_Toc24418"/>
      <w:bookmarkStart w:id="167" w:name="_Toc26905"/>
      <w:bookmarkStart w:id="168" w:name="_Toc1545"/>
      <w:bookmarkStart w:id="169" w:name="_Toc29941"/>
      <w:bookmarkStart w:id="170" w:name="_Toc7013"/>
      <w:bookmarkStart w:id="171" w:name="_Toc32667"/>
      <w:bookmarkStart w:id="172" w:name="_Toc15111"/>
      <w:bookmarkStart w:id="173" w:name="_Toc22971"/>
      <w:bookmarkStart w:id="174" w:name="_Toc2370"/>
      <w:bookmarkStart w:id="175" w:name="_Toc3534"/>
      <w:bookmarkStart w:id="176" w:name="_Toc2405"/>
      <w:bookmarkStart w:id="177" w:name="_Toc12858"/>
      <w:bookmarkStart w:id="178" w:name="_Toc7130"/>
      <w:bookmarkStart w:id="179" w:name="_Toc12567"/>
      <w:bookmarkStart w:id="180" w:name="_Toc1516"/>
      <w:bookmarkStart w:id="181" w:name="_Toc7448"/>
      <w:bookmarkStart w:id="182" w:name="_Toc6427"/>
      <w:bookmarkStart w:id="183" w:name="_Toc7440"/>
      <w:bookmarkStart w:id="184" w:name="_Toc31526"/>
      <w:r>
        <w:rPr>
          <w:rFonts w:hint="eastAsia" w:ascii="黑体" w:hAnsi="黑体" w:eastAsia="黑体" w:cs="黑体"/>
          <w:bCs/>
          <w:szCs w:val="28"/>
        </w:rPr>
        <w:t>1.</w:t>
      </w:r>
      <w:r>
        <w:rPr>
          <w:rFonts w:hint="eastAsia" w:ascii="黑体" w:hAnsi="黑体" w:eastAsia="黑体" w:cs="黑体"/>
          <w:bCs/>
          <w:szCs w:val="28"/>
          <w:lang w:val="en-US" w:eastAsia="zh-CN"/>
        </w:rPr>
        <w:t>6评估流程</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bookmarkEnd w:id="58"/>
    <w:bookmarkEnd w:id="59"/>
    <w:p>
      <w:pPr>
        <w:spacing w:beforeLines="0" w:line="560" w:lineRule="exact"/>
        <w:ind w:firstLine="560" w:firstLineChars="200"/>
        <w:rPr>
          <w:rFonts w:hint="eastAsia" w:ascii="仿宋_GB2312" w:hAnsi="仿宋_GB2312" w:eastAsia="仿宋_GB2312" w:cs="仿宋_GB2312"/>
          <w:kern w:val="2"/>
          <w:sz w:val="28"/>
          <w:szCs w:val="24"/>
        </w:rPr>
      </w:pPr>
      <w:r>
        <w:rPr>
          <w:rFonts w:hint="eastAsia" w:ascii="仿宋_GB2312" w:hAnsi="仿宋_GB2312" w:eastAsia="仿宋_GB2312" w:cs="仿宋_GB2312"/>
          <w:kern w:val="2"/>
          <w:sz w:val="28"/>
          <w:szCs w:val="24"/>
        </w:rPr>
        <w:t>（1）</w:t>
      </w:r>
      <w:r>
        <w:rPr>
          <w:rFonts w:hint="eastAsia" w:ascii="仿宋_GB2312" w:hAnsi="仿宋_GB2312" w:eastAsia="仿宋_GB2312" w:cs="仿宋_GB2312"/>
          <w:kern w:val="2"/>
          <w:sz w:val="28"/>
          <w:szCs w:val="24"/>
          <w:lang w:val="en-US" w:eastAsia="zh-CN"/>
        </w:rPr>
        <w:t>明确</w:t>
      </w:r>
      <w:r>
        <w:rPr>
          <w:rFonts w:hint="eastAsia" w:ascii="仿宋_GB2312" w:hAnsi="仿宋_GB2312" w:eastAsia="仿宋_GB2312" w:cs="仿宋_GB2312"/>
          <w:kern w:val="2"/>
          <w:sz w:val="28"/>
          <w:szCs w:val="24"/>
        </w:rPr>
        <w:t>评估工作要求；</w:t>
      </w:r>
    </w:p>
    <w:p>
      <w:pPr>
        <w:spacing w:beforeLines="0" w:line="560" w:lineRule="exact"/>
        <w:ind w:firstLine="560" w:firstLineChars="200"/>
        <w:rPr>
          <w:rFonts w:hint="eastAsia" w:ascii="仿宋_GB2312" w:hAnsi="仿宋_GB2312" w:eastAsia="仿宋_GB2312" w:cs="仿宋_GB2312"/>
          <w:kern w:val="2"/>
          <w:sz w:val="28"/>
          <w:szCs w:val="24"/>
          <w:highlight w:val="none"/>
        </w:rPr>
      </w:pPr>
      <w:r>
        <w:rPr>
          <w:rFonts w:hint="eastAsia" w:ascii="仿宋_GB2312" w:hAnsi="仿宋_GB2312" w:eastAsia="仿宋_GB2312" w:cs="仿宋_GB2312"/>
          <w:kern w:val="2"/>
          <w:sz w:val="28"/>
          <w:szCs w:val="24"/>
        </w:rPr>
        <w:t>（2）</w:t>
      </w:r>
      <w:r>
        <w:rPr>
          <w:rFonts w:hint="eastAsia" w:ascii="仿宋_GB2312" w:hAnsi="仿宋_GB2312" w:eastAsia="仿宋_GB2312" w:cs="仿宋_GB2312"/>
          <w:kern w:val="2"/>
          <w:sz w:val="28"/>
          <w:szCs w:val="24"/>
          <w:highlight w:val="none"/>
          <w:lang w:val="en-US" w:eastAsia="zh-CN"/>
        </w:rPr>
        <w:t>确定本次</w:t>
      </w:r>
      <w:r>
        <w:rPr>
          <w:rFonts w:hint="eastAsia" w:ascii="仿宋_GB2312" w:hAnsi="仿宋_GB2312" w:eastAsia="仿宋_GB2312" w:cs="仿宋_GB2312"/>
          <w:kern w:val="2"/>
          <w:sz w:val="28"/>
          <w:szCs w:val="24"/>
          <w:highlight w:val="none"/>
        </w:rPr>
        <w:t>评估项目；</w:t>
      </w:r>
    </w:p>
    <w:p>
      <w:pPr>
        <w:spacing w:beforeLines="0" w:line="560" w:lineRule="exact"/>
        <w:ind w:firstLine="560" w:firstLineChars="200"/>
        <w:rPr>
          <w:rFonts w:hint="eastAsia" w:ascii="仿宋_GB2312" w:hAnsi="仿宋_GB2312" w:eastAsia="仿宋_GB2312" w:cs="仿宋_GB2312"/>
          <w:kern w:val="2"/>
          <w:sz w:val="28"/>
          <w:szCs w:val="24"/>
        </w:rPr>
      </w:pPr>
      <w:r>
        <w:rPr>
          <w:rFonts w:hint="eastAsia" w:ascii="仿宋_GB2312" w:hAnsi="仿宋_GB2312" w:eastAsia="仿宋_GB2312" w:cs="仿宋_GB2312"/>
          <w:kern w:val="2"/>
          <w:sz w:val="28"/>
          <w:szCs w:val="24"/>
        </w:rPr>
        <w:t>（</w:t>
      </w:r>
      <w:r>
        <w:rPr>
          <w:rFonts w:hint="eastAsia" w:ascii="仿宋_GB2312" w:hAnsi="仿宋_GB2312" w:eastAsia="仿宋_GB2312" w:cs="仿宋_GB2312"/>
          <w:kern w:val="2"/>
          <w:sz w:val="28"/>
          <w:szCs w:val="24"/>
          <w:lang w:val="en-US" w:eastAsia="zh-CN"/>
        </w:rPr>
        <w:t>3</w:t>
      </w:r>
      <w:r>
        <w:rPr>
          <w:rFonts w:hint="eastAsia" w:ascii="仿宋_GB2312" w:hAnsi="仿宋_GB2312" w:eastAsia="仿宋_GB2312" w:cs="仿宋_GB2312"/>
          <w:kern w:val="2"/>
          <w:sz w:val="28"/>
          <w:szCs w:val="24"/>
        </w:rPr>
        <w:t>）</w:t>
      </w:r>
      <w:r>
        <w:rPr>
          <w:rFonts w:hint="eastAsia" w:ascii="仿宋_GB2312" w:hAnsi="仿宋_GB2312" w:eastAsia="仿宋_GB2312" w:cs="仿宋_GB2312"/>
          <w:kern w:val="2"/>
          <w:sz w:val="28"/>
          <w:szCs w:val="24"/>
          <w:lang w:val="en-US" w:eastAsia="zh-CN"/>
        </w:rPr>
        <w:t>建立评估标准；</w:t>
      </w:r>
    </w:p>
    <w:p>
      <w:pPr>
        <w:spacing w:beforeLines="0" w:line="560" w:lineRule="exact"/>
        <w:ind w:firstLine="560" w:firstLineChars="200"/>
        <w:rPr>
          <w:rFonts w:hint="eastAsia" w:ascii="仿宋_GB2312" w:hAnsi="仿宋_GB2312" w:eastAsia="仿宋_GB2312" w:cs="仿宋_GB2312"/>
          <w:kern w:val="2"/>
          <w:sz w:val="28"/>
          <w:szCs w:val="24"/>
          <w:lang w:val="en-US" w:eastAsia="zh-CN"/>
        </w:rPr>
      </w:pPr>
      <w:r>
        <w:rPr>
          <w:rFonts w:hint="eastAsia" w:ascii="仿宋_GB2312" w:hAnsi="仿宋_GB2312" w:eastAsia="仿宋_GB2312" w:cs="仿宋_GB2312"/>
          <w:kern w:val="2"/>
          <w:sz w:val="28"/>
          <w:szCs w:val="24"/>
        </w:rPr>
        <w:t>（</w:t>
      </w:r>
      <w:r>
        <w:rPr>
          <w:rFonts w:hint="eastAsia" w:ascii="仿宋_GB2312" w:hAnsi="仿宋_GB2312" w:eastAsia="仿宋_GB2312" w:cs="仿宋_GB2312"/>
          <w:kern w:val="2"/>
          <w:sz w:val="28"/>
          <w:szCs w:val="24"/>
          <w:lang w:val="en-US" w:eastAsia="zh-CN"/>
        </w:rPr>
        <w:t>4</w:t>
      </w:r>
      <w:r>
        <w:rPr>
          <w:rFonts w:hint="eastAsia" w:ascii="仿宋_GB2312" w:hAnsi="仿宋_GB2312" w:eastAsia="仿宋_GB2312" w:cs="仿宋_GB2312"/>
          <w:kern w:val="2"/>
          <w:sz w:val="28"/>
          <w:szCs w:val="24"/>
        </w:rPr>
        <w:t>）</w:t>
      </w:r>
      <w:r>
        <w:rPr>
          <w:rFonts w:hint="eastAsia" w:ascii="仿宋_GB2312" w:hAnsi="仿宋_GB2312" w:eastAsia="仿宋_GB2312" w:cs="仿宋_GB2312"/>
          <w:kern w:val="2"/>
          <w:sz w:val="28"/>
          <w:szCs w:val="24"/>
          <w:lang w:val="en-US" w:eastAsia="zh-CN"/>
        </w:rPr>
        <w:t>收集、整理评估所需资料；</w:t>
      </w:r>
    </w:p>
    <w:p>
      <w:pPr>
        <w:spacing w:beforeLines="0" w:line="560" w:lineRule="exact"/>
        <w:ind w:firstLine="560" w:firstLineChars="200"/>
        <w:rPr>
          <w:rFonts w:hint="eastAsia" w:ascii="仿宋_GB2312" w:hAnsi="仿宋_GB2312" w:eastAsia="仿宋_GB2312" w:cs="仿宋_GB2312"/>
          <w:kern w:val="2"/>
          <w:sz w:val="28"/>
          <w:szCs w:val="24"/>
        </w:rPr>
      </w:pPr>
      <w:r>
        <w:rPr>
          <w:rFonts w:hint="eastAsia" w:ascii="仿宋_GB2312" w:hAnsi="仿宋_GB2312" w:eastAsia="仿宋_GB2312" w:cs="仿宋_GB2312"/>
          <w:kern w:val="2"/>
          <w:sz w:val="28"/>
          <w:szCs w:val="24"/>
          <w:lang w:val="en-US" w:eastAsia="zh-CN"/>
        </w:rPr>
        <w:t>（5）对各项目进行全面评估；</w:t>
      </w:r>
    </w:p>
    <w:p>
      <w:pPr>
        <w:spacing w:beforeLines="0" w:line="560" w:lineRule="exact"/>
        <w:ind w:firstLine="560" w:firstLineChars="200"/>
        <w:rPr>
          <w:rFonts w:hint="eastAsia" w:ascii="仿宋_GB2312" w:hAnsi="仿宋_GB2312" w:eastAsia="仿宋_GB2312" w:cs="仿宋_GB2312"/>
          <w:kern w:val="2"/>
          <w:sz w:val="28"/>
          <w:szCs w:val="24"/>
          <w:lang w:val="en-US" w:eastAsia="zh-CN"/>
        </w:rPr>
      </w:pPr>
      <w:r>
        <w:rPr>
          <w:rFonts w:hint="eastAsia" w:ascii="仿宋_GB2312" w:hAnsi="仿宋_GB2312" w:eastAsia="仿宋_GB2312" w:cs="仿宋_GB2312"/>
          <w:kern w:val="2"/>
          <w:sz w:val="28"/>
          <w:szCs w:val="24"/>
        </w:rPr>
        <w:t>（</w:t>
      </w:r>
      <w:r>
        <w:rPr>
          <w:rFonts w:hint="eastAsia" w:ascii="仿宋_GB2312" w:hAnsi="仿宋_GB2312" w:eastAsia="仿宋_GB2312" w:cs="仿宋_GB2312"/>
          <w:kern w:val="2"/>
          <w:sz w:val="28"/>
          <w:szCs w:val="24"/>
          <w:lang w:val="en-US" w:eastAsia="zh-CN"/>
        </w:rPr>
        <w:t>6</w:t>
      </w:r>
      <w:r>
        <w:rPr>
          <w:rFonts w:hint="eastAsia" w:ascii="仿宋_GB2312" w:hAnsi="仿宋_GB2312" w:eastAsia="仿宋_GB2312" w:cs="仿宋_GB2312"/>
          <w:kern w:val="2"/>
          <w:sz w:val="28"/>
          <w:szCs w:val="24"/>
        </w:rPr>
        <w:t>）</w:t>
      </w:r>
      <w:r>
        <w:rPr>
          <w:rFonts w:hint="eastAsia" w:ascii="仿宋_GB2312" w:hAnsi="仿宋_GB2312" w:eastAsia="仿宋_GB2312" w:cs="仿宋_GB2312"/>
          <w:kern w:val="2"/>
          <w:sz w:val="28"/>
          <w:szCs w:val="24"/>
          <w:lang w:val="en-US" w:eastAsia="zh-CN"/>
        </w:rPr>
        <w:t>汇总评估意见，编制评估报告；</w:t>
      </w:r>
    </w:p>
    <w:p>
      <w:pPr>
        <w:spacing w:beforeLines="0" w:line="560" w:lineRule="exact"/>
        <w:ind w:firstLine="560" w:firstLineChars="200"/>
        <w:rPr>
          <w:rFonts w:hint="eastAsia" w:ascii="仿宋_GB2312" w:hAnsi="仿宋_GB2312" w:eastAsia="仿宋_GB2312" w:cs="仿宋_GB2312"/>
          <w:kern w:val="2"/>
          <w:sz w:val="28"/>
          <w:szCs w:val="24"/>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_GB2312" w:cs="仿宋_GB2312"/>
          <w:kern w:val="2"/>
          <w:sz w:val="28"/>
          <w:szCs w:val="24"/>
          <w:lang w:val="en-US" w:eastAsia="zh-CN"/>
        </w:rPr>
        <w:t>（7）确定并公示最终评估报告。</w:t>
      </w:r>
    </w:p>
    <w:p>
      <w:pPr>
        <w:pStyle w:val="2"/>
        <w:spacing w:line="560" w:lineRule="exact"/>
        <w:rPr>
          <w:rFonts w:hint="eastAsia" w:ascii="黑体" w:hAnsi="黑体" w:eastAsia="黑体" w:cs="黑体"/>
          <w:szCs w:val="32"/>
          <w:lang w:val="en-US" w:eastAsia="zh-CN"/>
        </w:rPr>
      </w:pPr>
      <w:bookmarkStart w:id="185" w:name="_Toc20288_WPSOffice_Level1"/>
      <w:bookmarkStart w:id="186" w:name="_Toc8902"/>
      <w:bookmarkStart w:id="187" w:name="_Toc21529"/>
      <w:bookmarkStart w:id="188" w:name="_Toc2844"/>
      <w:bookmarkStart w:id="189" w:name="_Toc29526"/>
      <w:bookmarkStart w:id="190" w:name="_Toc32090"/>
      <w:bookmarkStart w:id="191" w:name="_Toc20522"/>
      <w:bookmarkStart w:id="192" w:name="_Toc18584"/>
      <w:bookmarkStart w:id="193" w:name="_Toc5296"/>
      <w:bookmarkStart w:id="194" w:name="_Toc21157"/>
      <w:bookmarkStart w:id="195" w:name="_Toc32150"/>
      <w:bookmarkStart w:id="196" w:name="_Toc26411"/>
      <w:bookmarkStart w:id="197" w:name="_Toc15139"/>
      <w:bookmarkStart w:id="198" w:name="_Toc7624"/>
      <w:bookmarkStart w:id="199" w:name="_Toc7523"/>
      <w:bookmarkStart w:id="200" w:name="_Toc10138"/>
      <w:bookmarkStart w:id="201" w:name="_Toc19999"/>
      <w:bookmarkStart w:id="202" w:name="_Toc13572"/>
      <w:bookmarkStart w:id="203" w:name="_Toc1583"/>
      <w:bookmarkStart w:id="204" w:name="_Toc12456"/>
      <w:bookmarkStart w:id="205" w:name="_Toc24014"/>
      <w:bookmarkStart w:id="206" w:name="_Toc20910"/>
      <w:bookmarkStart w:id="207" w:name="_Toc10272"/>
      <w:bookmarkStart w:id="208" w:name="_Toc12095"/>
      <w:bookmarkStart w:id="209" w:name="_Toc26998"/>
      <w:bookmarkStart w:id="210" w:name="_Toc17911"/>
      <w:bookmarkStart w:id="211" w:name="_Toc12572"/>
      <w:bookmarkStart w:id="212" w:name="_Toc9485"/>
      <w:r>
        <w:rPr>
          <w:rFonts w:hint="eastAsia" w:ascii="黑体" w:hAnsi="黑体" w:eastAsia="黑体" w:cs="黑体"/>
          <w:b w:val="0"/>
          <w:bCs/>
          <w:sz w:val="32"/>
          <w:szCs w:val="32"/>
        </w:rPr>
        <w:t xml:space="preserve">第2章  </w:t>
      </w:r>
      <w:r>
        <w:rPr>
          <w:rFonts w:hint="eastAsia" w:ascii="黑体" w:hAnsi="黑体" w:eastAsia="黑体" w:cs="黑体"/>
          <w:b w:val="0"/>
          <w:bCs/>
          <w:sz w:val="32"/>
          <w:szCs w:val="32"/>
          <w:lang w:val="en-US" w:eastAsia="zh-CN"/>
        </w:rPr>
        <w:t>评估</w:t>
      </w:r>
      <w:bookmarkEnd w:id="185"/>
      <w:bookmarkEnd w:id="186"/>
      <w:r>
        <w:rPr>
          <w:rFonts w:hint="eastAsia" w:ascii="黑体" w:hAnsi="黑体" w:eastAsia="黑体" w:cs="黑体"/>
          <w:b w:val="0"/>
          <w:bCs/>
          <w:sz w:val="32"/>
          <w:szCs w:val="32"/>
          <w:lang w:val="en-US" w:eastAsia="zh-CN"/>
        </w:rPr>
        <w:t>标准</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spacing w:beforeLines="0" w:afterLines="0" w:line="56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依据《深圳市建设工程招标投标后评估工作指引》（深建市场〔2021〕30号）及其它相关法律法规，针对招标公告发布环节</w:t>
      </w:r>
      <w:r>
        <w:rPr>
          <w:rFonts w:hint="eastAsia" w:ascii="仿宋_GB2312" w:hAnsi="仿宋_GB2312" w:eastAsia="仿宋_GB2312" w:cs="仿宋_GB2312"/>
          <w:sz w:val="28"/>
        </w:rPr>
        <w:t>、开标环节、过多投标人淘汰环节、</w:t>
      </w:r>
      <w:r>
        <w:rPr>
          <w:rFonts w:hint="eastAsia" w:ascii="仿宋_GB2312" w:hAnsi="仿宋_GB2312" w:eastAsia="仿宋_GB2312" w:cs="仿宋_GB2312"/>
          <w:sz w:val="28"/>
          <w:lang w:val="en-US" w:eastAsia="zh-CN"/>
        </w:rPr>
        <w:t>评标环节、清标环节、</w:t>
      </w:r>
      <w:r>
        <w:rPr>
          <w:rFonts w:hint="eastAsia" w:ascii="仿宋_GB2312" w:hAnsi="仿宋_GB2312" w:eastAsia="仿宋_GB2312" w:cs="仿宋_GB2312"/>
          <w:sz w:val="28"/>
        </w:rPr>
        <w:t>定标环节、</w:t>
      </w:r>
      <w:r>
        <w:rPr>
          <w:rFonts w:hint="eastAsia" w:ascii="仿宋_GB2312" w:hAnsi="仿宋_GB2312" w:eastAsia="仿宋_GB2312" w:cs="仿宋_GB2312"/>
          <w:sz w:val="28"/>
          <w:lang w:val="en-US" w:eastAsia="zh-CN"/>
        </w:rPr>
        <w:t>异常情况、</w:t>
      </w:r>
      <w:r>
        <w:rPr>
          <w:rFonts w:hint="eastAsia" w:ascii="仿宋_GB2312" w:hAnsi="仿宋_GB2312" w:eastAsia="仿宋_GB2312" w:cs="仿宋_GB2312"/>
          <w:sz w:val="28"/>
        </w:rPr>
        <w:t>中标人综合实力以及</w:t>
      </w:r>
      <w:r>
        <w:rPr>
          <w:rFonts w:hint="eastAsia" w:ascii="仿宋_GB2312" w:hAnsi="仿宋_GB2312" w:eastAsia="仿宋_GB2312" w:cs="仿宋_GB2312"/>
          <w:sz w:val="28"/>
          <w:lang w:val="en-US" w:eastAsia="zh-CN"/>
        </w:rPr>
        <w:t>合同</w:t>
      </w:r>
      <w:r>
        <w:rPr>
          <w:rFonts w:hint="eastAsia" w:ascii="仿宋_GB2312" w:hAnsi="仿宋_GB2312" w:eastAsia="仿宋_GB2312" w:cs="仿宋_GB2312"/>
          <w:sz w:val="28"/>
          <w:highlight w:val="none"/>
          <w:lang w:val="en-US" w:eastAsia="zh-CN"/>
        </w:rPr>
        <w:t>核查，制定评估内容及标准</w:t>
      </w:r>
      <w:r>
        <w:rPr>
          <w:rFonts w:hint="eastAsia" w:ascii="仿宋_GB2312" w:hAnsi="仿宋_GB2312" w:eastAsia="仿宋_GB2312" w:cs="仿宋_GB2312"/>
          <w:sz w:val="28"/>
          <w:highlight w:val="none"/>
          <w:lang w:eastAsia="zh-CN"/>
        </w:rPr>
        <w:t>（</w:t>
      </w:r>
      <w:r>
        <w:rPr>
          <w:rFonts w:hint="eastAsia" w:ascii="仿宋_GB2312" w:hAnsi="仿宋_GB2312" w:eastAsia="仿宋_GB2312" w:cs="仿宋_GB2312"/>
          <w:sz w:val="28"/>
          <w:lang w:val="en-US" w:eastAsia="zh-CN"/>
        </w:rPr>
        <w:t>详见本章末表五</w:t>
      </w:r>
      <w:r>
        <w:rPr>
          <w:rFonts w:hint="eastAsia" w:ascii="仿宋_GB2312" w:hAnsi="仿宋_GB2312" w:eastAsia="仿宋_GB2312" w:cs="仿宋_GB2312"/>
          <w:sz w:val="28"/>
          <w:lang w:eastAsia="zh-CN"/>
        </w:rPr>
        <w:t>）</w:t>
      </w:r>
      <w:r>
        <w:rPr>
          <w:rFonts w:hint="eastAsia" w:ascii="仿宋_GB2312" w:hAnsi="仿宋_GB2312" w:eastAsia="仿宋_GB2312" w:cs="仿宋_GB2312"/>
          <w:sz w:val="28"/>
          <w:lang w:val="en-US" w:eastAsia="zh-CN"/>
        </w:rPr>
        <w:t>，</w:t>
      </w:r>
      <w:r>
        <w:rPr>
          <w:rFonts w:hint="eastAsia" w:ascii="仿宋_GB2312" w:hAnsi="仿宋_GB2312" w:eastAsia="仿宋_GB2312" w:cs="仿宋_GB2312"/>
          <w:sz w:val="28"/>
        </w:rPr>
        <w:t>对</w:t>
      </w:r>
      <w:r>
        <w:rPr>
          <w:rFonts w:hint="eastAsia" w:ascii="仿宋_GB2312" w:hAnsi="仿宋_GB2312" w:eastAsia="仿宋_GB2312" w:cs="仿宋_GB2312"/>
          <w:sz w:val="28"/>
          <w:lang w:val="en-US" w:eastAsia="zh-CN"/>
        </w:rPr>
        <w:t>评估项目</w:t>
      </w:r>
      <w:r>
        <w:rPr>
          <w:rFonts w:hint="eastAsia" w:ascii="仿宋_GB2312" w:hAnsi="仿宋_GB2312" w:eastAsia="仿宋_GB2312" w:cs="仿宋_GB2312"/>
          <w:sz w:val="28"/>
        </w:rPr>
        <w:t>招</w:t>
      </w:r>
      <w:r>
        <w:rPr>
          <w:rFonts w:hint="eastAsia" w:ascii="仿宋_GB2312" w:hAnsi="仿宋_GB2312" w:eastAsia="仿宋_GB2312" w:cs="仿宋_GB2312"/>
          <w:sz w:val="28"/>
          <w:lang w:val="en-US" w:eastAsia="zh-CN"/>
        </w:rPr>
        <w:t>标</w:t>
      </w:r>
      <w:r>
        <w:rPr>
          <w:rFonts w:hint="eastAsia" w:ascii="仿宋_GB2312" w:hAnsi="仿宋_GB2312" w:eastAsia="仿宋_GB2312" w:cs="仿宋_GB2312"/>
          <w:sz w:val="28"/>
        </w:rPr>
        <w:t>投标</w:t>
      </w:r>
      <w:r>
        <w:rPr>
          <w:rFonts w:hint="eastAsia" w:ascii="仿宋_GB2312" w:hAnsi="仿宋_GB2312" w:eastAsia="仿宋_GB2312" w:cs="仿宋_GB2312"/>
          <w:sz w:val="28"/>
          <w:lang w:val="en-US" w:eastAsia="zh-CN"/>
        </w:rPr>
        <w:t>活动</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lang w:val="en-US" w:eastAsia="zh-CN"/>
        </w:rPr>
        <w:t>合同签订履约情况进行</w:t>
      </w:r>
      <w:r>
        <w:rPr>
          <w:rFonts w:hint="eastAsia" w:ascii="仿宋_GB2312" w:hAnsi="仿宋_GB2312" w:eastAsia="仿宋_GB2312" w:cs="仿宋_GB2312"/>
          <w:sz w:val="28"/>
        </w:rPr>
        <w:t>全面核查。</w:t>
      </w:r>
    </w:p>
    <w:p>
      <w:pPr>
        <w:spacing w:beforeLines="0" w:afterLines="0" w:line="560" w:lineRule="exact"/>
        <w:ind w:firstLine="560" w:firstLineChars="200"/>
        <w:rPr>
          <w:rFonts w:hint="eastAsia" w:ascii="仿宋_GB2312" w:hAnsi="仿宋_GB2312" w:eastAsia="仿宋_GB2312" w:cs="仿宋_GB2312"/>
          <w:sz w:val="28"/>
          <w:lang w:eastAsia="zh-CN"/>
        </w:rPr>
      </w:pPr>
      <w:r>
        <w:rPr>
          <w:rFonts w:hint="eastAsia" w:ascii="仿宋_GB2312" w:hAnsi="仿宋_GB2312" w:eastAsia="仿宋_GB2312" w:cs="仿宋_GB2312"/>
          <w:sz w:val="28"/>
          <w:lang w:val="en-US" w:eastAsia="zh-CN"/>
        </w:rPr>
        <w:t>本次评估采用百分制，根据项目得分</w:t>
      </w:r>
      <w:r>
        <w:rPr>
          <w:rFonts w:hint="eastAsia" w:ascii="仿宋_GB2312" w:hAnsi="仿宋_GB2312" w:eastAsia="仿宋_GB2312" w:cs="仿宋_GB2312"/>
          <w:sz w:val="28"/>
        </w:rPr>
        <w:t>（用字母</w:t>
      </w:r>
      <w:r>
        <w:rPr>
          <w:rFonts w:hint="eastAsia" w:ascii="仿宋_GB2312" w:hAnsi="仿宋_GB2312" w:eastAsia="仿宋_GB2312" w:cs="仿宋_GB2312"/>
          <w:sz w:val="28"/>
          <w:lang w:eastAsia="zh-CN"/>
        </w:rPr>
        <w:t>“</w:t>
      </w:r>
      <w:r>
        <w:rPr>
          <w:rFonts w:hint="eastAsia" w:ascii="仿宋_GB2312" w:hAnsi="仿宋_GB2312" w:eastAsia="仿宋_GB2312" w:cs="仿宋_GB2312"/>
          <w:sz w:val="28"/>
        </w:rPr>
        <w:t>N”表示）</w:t>
      </w:r>
      <w:r>
        <w:rPr>
          <w:rFonts w:hint="eastAsia" w:ascii="仿宋_GB2312" w:hAnsi="仿宋_GB2312" w:eastAsia="仿宋_GB2312" w:cs="仿宋_GB2312"/>
          <w:sz w:val="28"/>
          <w:lang w:val="en-US" w:eastAsia="zh-CN"/>
        </w:rPr>
        <w:t>判定评估结果</w:t>
      </w:r>
      <w:r>
        <w:rPr>
          <w:rFonts w:hint="eastAsia" w:ascii="仿宋_GB2312" w:hAnsi="仿宋_GB2312" w:eastAsia="仿宋_GB2312" w:cs="仿宋_GB2312"/>
          <w:sz w:val="28"/>
        </w:rPr>
        <w:t>：N≥90分时，评估结果为优秀；75≤N＜90分时，评估结果为良好；60≤N＜75分时，评估结果为合格；N＜60分时</w:t>
      </w:r>
      <w:r>
        <w:rPr>
          <w:rFonts w:hint="eastAsia" w:ascii="仿宋_GB2312" w:hAnsi="仿宋_GB2312" w:eastAsia="仿宋_GB2312" w:cs="仿宋_GB2312"/>
          <w:sz w:val="28"/>
          <w:lang w:eastAsia="zh-CN"/>
        </w:rPr>
        <w:t>，</w:t>
      </w:r>
      <w:r>
        <w:rPr>
          <w:rFonts w:hint="eastAsia" w:ascii="仿宋_GB2312" w:hAnsi="仿宋_GB2312" w:eastAsia="仿宋_GB2312" w:cs="仿宋_GB2312"/>
          <w:sz w:val="28"/>
        </w:rPr>
        <w:t>评估结果为</w:t>
      </w:r>
      <w:r>
        <w:rPr>
          <w:rFonts w:hint="eastAsia" w:ascii="仿宋_GB2312" w:hAnsi="仿宋_GB2312" w:eastAsia="仿宋_GB2312" w:cs="仿宋_GB2312"/>
          <w:sz w:val="28"/>
          <w:lang w:val="en-US" w:eastAsia="zh-CN"/>
        </w:rPr>
        <w:t>不</w:t>
      </w:r>
      <w:r>
        <w:rPr>
          <w:rFonts w:hint="eastAsia" w:ascii="仿宋_GB2312" w:hAnsi="仿宋_GB2312" w:eastAsia="仿宋_GB2312" w:cs="仿宋_GB2312"/>
          <w:sz w:val="28"/>
        </w:rPr>
        <w:t>合格</w:t>
      </w:r>
      <w:r>
        <w:rPr>
          <w:rFonts w:hint="eastAsia" w:ascii="仿宋_GB2312" w:hAnsi="仿宋_GB2312" w:eastAsia="仿宋_GB2312" w:cs="仿宋_GB2312"/>
          <w:sz w:val="28"/>
          <w:lang w:eastAsia="zh-CN"/>
        </w:rPr>
        <w:t>。</w:t>
      </w:r>
    </w:p>
    <w:p>
      <w:pPr>
        <w:spacing w:beforeLines="0" w:afterLines="0" w:line="56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存在资格条件设置不合规、资格审查不合规、应废未废或废标情形不合规、出现投诉情况</w:t>
      </w:r>
      <w:r>
        <w:rPr>
          <w:rFonts w:hint="eastAsia" w:ascii="仿宋_GB2312" w:hAnsi="仿宋_GB2312" w:eastAsia="仿宋_GB2312" w:cs="仿宋_GB2312"/>
          <w:sz w:val="28"/>
          <w:lang w:eastAsia="zh-CN"/>
        </w:rPr>
        <w:t>且</w:t>
      </w:r>
      <w:r>
        <w:rPr>
          <w:rFonts w:hint="eastAsia" w:ascii="仿宋_GB2312" w:hAnsi="仿宋_GB2312" w:eastAsia="仿宋_GB2312" w:cs="仿宋_GB2312"/>
          <w:sz w:val="28"/>
        </w:rPr>
        <w:t>投诉成立</w:t>
      </w:r>
      <w:r>
        <w:rPr>
          <w:rFonts w:hint="eastAsia" w:ascii="仿宋_GB2312" w:hAnsi="仿宋_GB2312" w:eastAsia="仿宋_GB2312" w:cs="仿宋_GB2312"/>
          <w:sz w:val="28"/>
          <w:lang w:eastAsia="zh-CN"/>
        </w:rPr>
        <w:t>、</w:t>
      </w:r>
      <w:r>
        <w:rPr>
          <w:rFonts w:hint="eastAsia" w:ascii="仿宋_GB2312" w:hAnsi="仿宋_GB2312" w:eastAsia="仿宋_GB2312" w:cs="仿宋_GB2312"/>
          <w:sz w:val="28"/>
        </w:rPr>
        <w:t>异议处理不合理</w:t>
      </w:r>
      <w:r>
        <w:rPr>
          <w:rFonts w:hint="eastAsia" w:ascii="仿宋_GB2312" w:hAnsi="仿宋_GB2312" w:eastAsia="仿宋_GB2312" w:cs="仿宋_GB2312"/>
          <w:sz w:val="28"/>
          <w:lang w:val="en-US" w:eastAsia="zh-CN"/>
        </w:rPr>
        <w:t>等情形的</w:t>
      </w:r>
      <w:r>
        <w:rPr>
          <w:rFonts w:hint="eastAsia" w:ascii="仿宋_GB2312" w:hAnsi="仿宋_GB2312" w:eastAsia="仿宋_GB2312" w:cs="仿宋_GB2312"/>
          <w:sz w:val="28"/>
          <w:highlight w:val="none"/>
          <w:lang w:val="en-US" w:eastAsia="zh-CN"/>
        </w:rPr>
        <w:t>项目</w:t>
      </w:r>
      <w:r>
        <w:rPr>
          <w:rFonts w:hint="eastAsia" w:ascii="仿宋_GB2312" w:hAnsi="仿宋_GB2312" w:eastAsia="仿宋_GB2312" w:cs="仿宋_GB2312"/>
          <w:sz w:val="28"/>
          <w:lang w:val="en-US" w:eastAsia="zh-CN"/>
        </w:rPr>
        <w:t>，</w:t>
      </w:r>
      <w:r>
        <w:rPr>
          <w:rFonts w:hint="eastAsia" w:ascii="仿宋_GB2312" w:hAnsi="仿宋_GB2312" w:eastAsia="仿宋_GB2312" w:cs="仿宋_GB2312"/>
          <w:sz w:val="28"/>
        </w:rPr>
        <w:t>评估结果</w:t>
      </w:r>
      <w:r>
        <w:rPr>
          <w:rFonts w:hint="eastAsia" w:ascii="仿宋_GB2312" w:hAnsi="仿宋_GB2312" w:eastAsia="仿宋_GB2312" w:cs="仿宋_GB2312"/>
          <w:sz w:val="28"/>
          <w:lang w:eastAsia="zh-CN"/>
        </w:rPr>
        <w:t>“</w:t>
      </w:r>
      <w:r>
        <w:rPr>
          <w:rFonts w:hint="eastAsia" w:ascii="仿宋_GB2312" w:hAnsi="仿宋_GB2312" w:eastAsia="仿宋_GB2312" w:cs="仿宋_GB2312"/>
          <w:sz w:val="28"/>
          <w:lang w:val="en-US" w:eastAsia="zh-CN"/>
        </w:rPr>
        <w:t>一票否决</w:t>
      </w:r>
      <w:r>
        <w:rPr>
          <w:rFonts w:hint="eastAsia" w:ascii="仿宋_GB2312" w:hAnsi="仿宋_GB2312" w:eastAsia="仿宋_GB2312" w:cs="仿宋_GB2312"/>
          <w:sz w:val="28"/>
          <w:lang w:eastAsia="zh-CN"/>
        </w:rPr>
        <w:t>”</w:t>
      </w:r>
      <w:r>
        <w:rPr>
          <w:rFonts w:hint="eastAsia" w:ascii="仿宋_GB2312" w:hAnsi="仿宋_GB2312" w:eastAsia="仿宋_GB2312" w:cs="仿宋_GB2312"/>
          <w:sz w:val="28"/>
          <w:lang w:val="en-US" w:eastAsia="zh-CN"/>
        </w:rPr>
        <w:t>判定</w:t>
      </w:r>
      <w:r>
        <w:rPr>
          <w:rFonts w:hint="eastAsia" w:ascii="仿宋_GB2312" w:hAnsi="仿宋_GB2312" w:eastAsia="仿宋_GB2312" w:cs="仿宋_GB2312"/>
          <w:sz w:val="28"/>
        </w:rPr>
        <w:t>为不合格</w:t>
      </w:r>
      <w:r>
        <w:rPr>
          <w:rFonts w:hint="eastAsia" w:ascii="仿宋_GB2312" w:hAnsi="仿宋_GB2312" w:eastAsia="仿宋_GB2312" w:cs="仿宋_GB2312"/>
          <w:sz w:val="28"/>
          <w:lang w:val="en-US" w:eastAsia="zh-CN"/>
        </w:rPr>
        <w:t>。</w:t>
      </w:r>
    </w:p>
    <w:p>
      <w:pPr>
        <w:pStyle w:val="3"/>
        <w:spacing w:before="0" w:beforeLines="0" w:line="560" w:lineRule="exact"/>
        <w:ind w:left="0" w:leftChars="0"/>
        <w:rPr>
          <w:rFonts w:hint="eastAsia" w:ascii="黑体" w:hAnsi="黑体" w:eastAsia="黑体" w:cs="黑体"/>
          <w:b w:val="0"/>
          <w:bCs/>
          <w:szCs w:val="28"/>
          <w:lang w:val="en-US" w:eastAsia="zh-CN"/>
        </w:rPr>
      </w:pPr>
      <w:bookmarkStart w:id="213" w:name="_Toc3059_WPSOffice_Level3"/>
      <w:bookmarkStart w:id="214" w:name="_Toc21221"/>
      <w:bookmarkStart w:id="215" w:name="_Toc568"/>
      <w:bookmarkStart w:id="216" w:name="_Toc17983"/>
      <w:bookmarkStart w:id="217" w:name="_Toc3332"/>
      <w:bookmarkStart w:id="218" w:name="_Toc694"/>
      <w:bookmarkStart w:id="219" w:name="_Toc5218"/>
      <w:bookmarkStart w:id="220" w:name="_Toc14003"/>
      <w:bookmarkStart w:id="221" w:name="_Toc9569"/>
      <w:bookmarkStart w:id="222" w:name="_Toc31504"/>
      <w:bookmarkStart w:id="223" w:name="_Toc6900"/>
      <w:bookmarkStart w:id="224" w:name="_Toc7348"/>
      <w:bookmarkStart w:id="225" w:name="_Toc16110"/>
      <w:bookmarkStart w:id="226" w:name="_Toc3313"/>
      <w:bookmarkStart w:id="227" w:name="_Toc2792"/>
      <w:bookmarkStart w:id="228" w:name="_Toc28271"/>
      <w:bookmarkStart w:id="229" w:name="_Toc16498"/>
      <w:bookmarkStart w:id="230" w:name="_Toc27231"/>
      <w:bookmarkStart w:id="231" w:name="_Toc17022"/>
      <w:bookmarkStart w:id="232" w:name="_Toc17256"/>
      <w:bookmarkStart w:id="233" w:name="_Toc14666"/>
      <w:bookmarkStart w:id="234" w:name="_Toc16968"/>
      <w:bookmarkStart w:id="235" w:name="_Toc6493"/>
      <w:bookmarkStart w:id="236" w:name="_Toc14318"/>
      <w:bookmarkStart w:id="237" w:name="_Toc10277"/>
      <w:bookmarkStart w:id="238" w:name="_Toc21804"/>
      <w:bookmarkStart w:id="239" w:name="_Toc14643"/>
      <w:bookmarkStart w:id="240" w:name="_Toc27237"/>
      <w:bookmarkStart w:id="241" w:name="_Toc2968"/>
      <w:bookmarkStart w:id="242" w:name="_Toc18004"/>
      <w:r>
        <w:rPr>
          <w:rFonts w:hint="eastAsia" w:ascii="黑体" w:hAnsi="黑体" w:eastAsia="黑体" w:cs="黑体"/>
          <w:b w:val="0"/>
          <w:bCs/>
          <w:szCs w:val="28"/>
        </w:rPr>
        <w:t>2.</w:t>
      </w:r>
      <w:r>
        <w:rPr>
          <w:rFonts w:hint="eastAsia" w:ascii="黑体" w:hAnsi="黑体" w:eastAsia="黑体" w:cs="黑体"/>
          <w:b w:val="0"/>
          <w:bCs/>
          <w:szCs w:val="28"/>
          <w:lang w:val="en-US" w:eastAsia="zh-CN"/>
        </w:rPr>
        <w:t>1</w:t>
      </w:r>
      <w:bookmarkEnd w:id="213"/>
      <w:bookmarkEnd w:id="214"/>
      <w:r>
        <w:rPr>
          <w:rFonts w:hint="eastAsia" w:ascii="黑体" w:hAnsi="黑体" w:eastAsia="黑体" w:cs="黑体"/>
          <w:b w:val="0"/>
          <w:bCs/>
          <w:szCs w:val="28"/>
          <w:lang w:val="en-US" w:eastAsia="zh-CN"/>
        </w:rPr>
        <w:t>招标公告发布环节</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spacing w:beforeLines="0"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1、招标备案资料</w:t>
      </w:r>
    </w:p>
    <w:p>
      <w:pPr>
        <w:spacing w:beforeLines="0" w:line="560" w:lineRule="exact"/>
        <w:ind w:firstLine="560" w:firstLineChars="200"/>
        <w:rPr>
          <w:rFonts w:hint="eastAsia" w:ascii="仿宋_GB2312" w:hAnsi="仿宋_GB2312" w:eastAsia="仿宋_GB2312" w:cs="仿宋_GB2312"/>
          <w:b w:val="0"/>
          <w:bCs w:val="0"/>
          <w:sz w:val="28"/>
          <w:szCs w:val="24"/>
          <w:u w:val="none"/>
          <w:lang w:val="en-US" w:eastAsia="zh-CN"/>
        </w:rPr>
      </w:pPr>
      <w:r>
        <w:rPr>
          <w:rFonts w:hint="eastAsia" w:ascii="仿宋_GB2312" w:hAnsi="仿宋_GB2312" w:eastAsia="仿宋_GB2312" w:cs="仿宋_GB2312"/>
          <w:b w:val="0"/>
          <w:bCs w:val="0"/>
          <w:sz w:val="28"/>
          <w:szCs w:val="24"/>
          <w:u w:val="none"/>
          <w:lang w:val="en-US" w:eastAsia="zh-CN"/>
        </w:rPr>
        <w:t>根据深圳市住房和建设局《关于进一步优化建设工程招标备案工作的通知》（深建市场〔2021〕21号）规定的备案资料清单（详见表二）对评估项目备案资料完备性进行核查。</w:t>
      </w:r>
    </w:p>
    <w:p>
      <w:pPr>
        <w:pageBreakBefore w:val="0"/>
        <w:kinsoku/>
        <w:wordWrap/>
        <w:overflowPunct/>
        <w:topLinePunct w:val="0"/>
        <w:autoSpaceDE/>
        <w:autoSpaceDN/>
        <w:bidi w:val="0"/>
        <w:adjustRightInd/>
        <w:snapToGrid/>
        <w:spacing w:line="560" w:lineRule="exact"/>
        <w:ind w:firstLine="480" w:firstLineChars="200"/>
        <w:jc w:val="center"/>
        <w:rPr>
          <w:rFonts w:hint="eastAsia" w:ascii="黑体" w:hAnsi="黑体" w:eastAsia="黑体" w:cs="黑体"/>
          <w:b/>
          <w:bCs/>
          <w:sz w:val="24"/>
          <w:szCs w:val="24"/>
          <w:highlight w:val="none"/>
          <w:lang w:val="en-US" w:eastAsia="zh-CN"/>
        </w:rPr>
      </w:pPr>
      <w:r>
        <w:rPr>
          <w:rFonts w:hint="eastAsia" w:ascii="黑体" w:hAnsi="黑体" w:eastAsia="黑体" w:cs="黑体"/>
          <w:b w:val="0"/>
          <w:bCs w:val="0"/>
          <w:sz w:val="24"/>
          <w:szCs w:val="24"/>
          <w:highlight w:val="none"/>
          <w:lang w:val="en-US" w:eastAsia="zh-CN"/>
        </w:rPr>
        <w:t>表二 备案资料清单</w:t>
      </w:r>
    </w:p>
    <w:tbl>
      <w:tblPr>
        <w:tblStyle w:val="18"/>
        <w:tblW w:w="10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4170"/>
        <w:gridCol w:w="1123"/>
        <w:gridCol w:w="4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8" w:type="dxa"/>
            <w:vAlign w:val="center"/>
          </w:tcPr>
          <w:p>
            <w:pPr>
              <w:keepNext w:val="0"/>
              <w:keepLines w:val="0"/>
              <w:suppressLineNumbers w:val="0"/>
              <w:spacing w:before="0" w:beforeAutospacing="0" w:after="0" w:afterAutospacing="0" w:line="276" w:lineRule="auto"/>
              <w:ind w:left="0" w:leftChars="0" w:right="0"/>
              <w:jc w:val="center"/>
              <w:rPr>
                <w:rFonts w:hint="default" w:ascii="仿宋" w:hAnsi="仿宋" w:eastAsia="仿宋" w:cs="仿宋"/>
                <w:b/>
                <w:bCs/>
                <w:sz w:val="21"/>
                <w:szCs w:val="21"/>
              </w:rPr>
            </w:pPr>
            <w:r>
              <w:rPr>
                <w:rFonts w:hint="eastAsia" w:ascii="仿宋" w:hAnsi="仿宋" w:eastAsia="仿宋" w:cs="仿宋"/>
                <w:b/>
                <w:bCs/>
                <w:sz w:val="21"/>
                <w:szCs w:val="21"/>
              </w:rPr>
              <w:t>序号</w:t>
            </w:r>
          </w:p>
        </w:tc>
        <w:tc>
          <w:tcPr>
            <w:tcW w:w="4170" w:type="dxa"/>
            <w:vAlign w:val="center"/>
          </w:tcPr>
          <w:p>
            <w:pPr>
              <w:keepNext w:val="0"/>
              <w:keepLines w:val="0"/>
              <w:suppressLineNumbers w:val="0"/>
              <w:spacing w:before="0" w:beforeAutospacing="0" w:after="0" w:afterAutospacing="0" w:line="276" w:lineRule="auto"/>
              <w:ind w:left="0" w:leftChars="0" w:right="0"/>
              <w:jc w:val="center"/>
              <w:rPr>
                <w:rFonts w:hint="default" w:ascii="仿宋" w:hAnsi="仿宋" w:eastAsia="仿宋" w:cs="仿宋"/>
                <w:b/>
                <w:bCs/>
                <w:sz w:val="21"/>
                <w:szCs w:val="21"/>
              </w:rPr>
            </w:pPr>
            <w:r>
              <w:rPr>
                <w:rFonts w:hint="eastAsia" w:ascii="仿宋" w:hAnsi="仿宋" w:eastAsia="仿宋" w:cs="仿宋"/>
                <w:b/>
                <w:bCs/>
                <w:sz w:val="21"/>
                <w:szCs w:val="21"/>
              </w:rPr>
              <w:t>材料名称</w:t>
            </w:r>
          </w:p>
        </w:tc>
        <w:tc>
          <w:tcPr>
            <w:tcW w:w="1123" w:type="dxa"/>
            <w:vAlign w:val="center"/>
          </w:tcPr>
          <w:p>
            <w:pPr>
              <w:keepNext w:val="0"/>
              <w:keepLines w:val="0"/>
              <w:suppressLineNumbers w:val="0"/>
              <w:spacing w:before="0" w:beforeAutospacing="0" w:after="0" w:afterAutospacing="0" w:line="276" w:lineRule="auto"/>
              <w:ind w:left="0" w:leftChars="0" w:right="0"/>
              <w:jc w:val="center"/>
              <w:rPr>
                <w:rFonts w:hint="default" w:ascii="仿宋" w:hAnsi="仿宋" w:eastAsia="仿宋" w:cs="仿宋"/>
                <w:b/>
                <w:bCs/>
                <w:sz w:val="21"/>
                <w:szCs w:val="21"/>
              </w:rPr>
            </w:pPr>
            <w:r>
              <w:rPr>
                <w:rFonts w:hint="eastAsia" w:ascii="仿宋" w:hAnsi="仿宋" w:eastAsia="仿宋" w:cs="仿宋"/>
                <w:b/>
                <w:bCs/>
                <w:sz w:val="21"/>
                <w:szCs w:val="21"/>
              </w:rPr>
              <w:t>材料形式</w:t>
            </w:r>
          </w:p>
        </w:tc>
        <w:tc>
          <w:tcPr>
            <w:tcW w:w="4437" w:type="dxa"/>
            <w:vAlign w:val="center"/>
          </w:tcPr>
          <w:p>
            <w:pPr>
              <w:keepNext w:val="0"/>
              <w:keepLines w:val="0"/>
              <w:suppressLineNumbers w:val="0"/>
              <w:spacing w:before="0" w:beforeAutospacing="0" w:after="0" w:afterAutospacing="0" w:line="276" w:lineRule="auto"/>
              <w:ind w:left="0" w:leftChars="0" w:right="0"/>
              <w:jc w:val="center"/>
              <w:rPr>
                <w:rFonts w:hint="default" w:ascii="仿宋" w:hAnsi="仿宋" w:eastAsia="仿宋" w:cs="仿宋"/>
                <w:b/>
                <w:bCs/>
                <w:sz w:val="21"/>
                <w:szCs w:val="21"/>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18" w:type="dxa"/>
            <w:vAlign w:val="center"/>
          </w:tcPr>
          <w:p>
            <w:pPr>
              <w:keepNext w:val="0"/>
              <w:keepLines w:val="0"/>
              <w:numPr>
                <w:ilvl w:val="-1"/>
                <w:numId w:val="0"/>
              </w:numPr>
              <w:suppressLineNumbers w:val="0"/>
              <w:spacing w:before="0" w:beforeAutospacing="0" w:after="0" w:afterAutospacing="0" w:line="276" w:lineRule="auto"/>
              <w:ind w:left="0" w:leftChars="0" w:right="0" w:firstLine="0" w:firstLineChars="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w:t>
            </w:r>
          </w:p>
        </w:tc>
        <w:tc>
          <w:tcPr>
            <w:tcW w:w="4170" w:type="dxa"/>
            <w:vAlign w:val="center"/>
          </w:tcPr>
          <w:p>
            <w:pPr>
              <w:keepNext w:val="0"/>
              <w:keepLines w:val="0"/>
              <w:suppressLineNumbers w:val="0"/>
              <w:spacing w:before="0" w:beforeAutospacing="0" w:after="0" w:afterAutospacing="0" w:line="276" w:lineRule="auto"/>
              <w:ind w:left="0" w:leftChars="0" w:right="0"/>
              <w:jc w:val="left"/>
              <w:rPr>
                <w:rFonts w:hint="default" w:ascii="仿宋" w:hAnsi="仿宋" w:eastAsia="仿宋" w:cs="仿宋"/>
                <w:b w:val="0"/>
                <w:bCs w:val="0"/>
                <w:color w:val="auto"/>
                <w:sz w:val="21"/>
                <w:szCs w:val="21"/>
                <w:vertAlign w:val="baseline"/>
                <w:lang w:eastAsia="zh-CN"/>
              </w:rPr>
            </w:pPr>
            <w:r>
              <w:rPr>
                <w:rFonts w:hint="eastAsia" w:ascii="仿宋" w:hAnsi="仿宋" w:eastAsia="仿宋" w:cs="仿宋"/>
                <w:b w:val="0"/>
                <w:bCs w:val="0"/>
                <w:color w:val="auto"/>
                <w:sz w:val="21"/>
                <w:szCs w:val="21"/>
                <w:vertAlign w:val="baseline"/>
                <w:lang w:eastAsia="zh-CN"/>
              </w:rPr>
              <w:t>立项文件之一:</w:t>
            </w:r>
          </w:p>
          <w:p>
            <w:pPr>
              <w:keepNext w:val="0"/>
              <w:keepLines w:val="0"/>
              <w:suppressLineNumbers w:val="0"/>
              <w:spacing w:before="0" w:beforeAutospacing="0" w:after="0" w:afterAutospacing="0" w:line="276" w:lineRule="auto"/>
              <w:ind w:left="0" w:right="0"/>
              <w:jc w:val="left"/>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eastAsia="zh-CN"/>
              </w:rPr>
              <w:t>①</w:t>
            </w:r>
            <w:r>
              <w:rPr>
                <w:rFonts w:hint="eastAsia" w:ascii="仿宋" w:hAnsi="仿宋" w:eastAsia="仿宋" w:cs="仿宋"/>
                <w:b w:val="0"/>
                <w:bCs w:val="0"/>
                <w:color w:val="auto"/>
                <w:sz w:val="21"/>
                <w:szCs w:val="21"/>
                <w:vertAlign w:val="baseline"/>
                <w:lang w:val="en-US" w:eastAsia="zh-CN"/>
              </w:rPr>
              <w:t>立项文件</w:t>
            </w:r>
          </w:p>
          <w:p>
            <w:pPr>
              <w:keepNext w:val="0"/>
              <w:keepLines w:val="0"/>
              <w:suppressLineNumbers w:val="0"/>
              <w:spacing w:before="0" w:beforeAutospacing="0" w:after="0" w:afterAutospacing="0" w:line="276" w:lineRule="auto"/>
              <w:ind w:left="0" w:leftChars="0" w:right="0"/>
              <w:jc w:val="left"/>
              <w:rPr>
                <w:rFonts w:hint="default" w:ascii="仿宋" w:hAnsi="仿宋" w:eastAsia="仿宋" w:cs="仿宋"/>
                <w:b w:val="0"/>
                <w:bCs w:val="0"/>
                <w:color w:val="auto"/>
                <w:sz w:val="21"/>
                <w:szCs w:val="21"/>
                <w:vertAlign w:val="baseline"/>
                <w:lang w:eastAsia="zh-CN"/>
              </w:rPr>
            </w:pPr>
            <w:r>
              <w:rPr>
                <w:rFonts w:hint="eastAsia" w:ascii="仿宋" w:hAnsi="仿宋" w:eastAsia="仿宋" w:cs="仿宋"/>
                <w:b w:val="0"/>
                <w:bCs w:val="0"/>
                <w:color w:val="auto"/>
                <w:sz w:val="21"/>
                <w:szCs w:val="21"/>
                <w:vertAlign w:val="baseline"/>
                <w:lang w:eastAsia="zh-CN"/>
              </w:rPr>
              <w:t>②深圳市社会投资项目备案证</w:t>
            </w:r>
          </w:p>
        </w:tc>
        <w:tc>
          <w:tcPr>
            <w:tcW w:w="1123" w:type="dxa"/>
            <w:vAlign w:val="center"/>
          </w:tcPr>
          <w:p>
            <w:pPr>
              <w:keepNext w:val="0"/>
              <w:keepLines w:val="0"/>
              <w:suppressLineNumbers w:val="0"/>
              <w:spacing w:before="0" w:beforeAutospacing="0" w:after="0" w:afterAutospacing="0" w:line="276" w:lineRule="auto"/>
              <w:ind w:left="0" w:leftChars="0" w:right="0" w:firstLine="0" w:firstLineChars="0"/>
              <w:jc w:val="center"/>
              <w:rPr>
                <w:rFonts w:hint="default" w:ascii="仿宋" w:hAnsi="仿宋" w:eastAsia="仿宋" w:cs="仿宋"/>
                <w:b w:val="0"/>
                <w:bCs w:val="0"/>
                <w:sz w:val="21"/>
                <w:szCs w:val="21"/>
                <w:vertAlign w:val="baseline"/>
                <w:lang w:eastAsia="zh-CN"/>
              </w:rPr>
            </w:pPr>
            <w:r>
              <w:rPr>
                <w:rFonts w:hint="eastAsia" w:ascii="仿宋" w:hAnsi="仿宋" w:eastAsia="仿宋" w:cs="仿宋"/>
                <w:b w:val="0"/>
                <w:bCs w:val="0"/>
                <w:sz w:val="21"/>
                <w:szCs w:val="21"/>
                <w:vertAlign w:val="baseline"/>
                <w:lang w:eastAsia="zh-CN"/>
              </w:rPr>
              <w:t>电子化</w:t>
            </w:r>
          </w:p>
        </w:tc>
        <w:tc>
          <w:tcPr>
            <w:tcW w:w="4437" w:type="dxa"/>
            <w:vAlign w:val="center"/>
          </w:tcPr>
          <w:p>
            <w:pPr>
              <w:keepNext w:val="0"/>
              <w:keepLines w:val="0"/>
              <w:suppressLineNumbers w:val="0"/>
              <w:spacing w:before="0" w:beforeAutospacing="0" w:after="0" w:afterAutospacing="0" w:line="276" w:lineRule="auto"/>
              <w:ind w:left="0" w:right="0"/>
              <w:jc w:val="left"/>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政府投资项目</w:t>
            </w:r>
            <w:r>
              <w:rPr>
                <w:rFonts w:hint="eastAsia" w:ascii="仿宋" w:hAnsi="仿宋" w:eastAsia="仿宋" w:cs="仿宋"/>
                <w:b w:val="0"/>
                <w:bCs w:val="0"/>
                <w:color w:val="auto"/>
                <w:sz w:val="21"/>
                <w:szCs w:val="21"/>
                <w:vertAlign w:val="baseline"/>
                <w:lang w:eastAsia="zh-CN"/>
              </w:rPr>
              <w:t>前期</w:t>
            </w:r>
            <w:r>
              <w:rPr>
                <w:rFonts w:hint="eastAsia" w:ascii="仿宋" w:hAnsi="仿宋" w:eastAsia="仿宋" w:cs="仿宋"/>
                <w:b w:val="0"/>
                <w:bCs w:val="0"/>
                <w:color w:val="auto"/>
                <w:sz w:val="21"/>
                <w:szCs w:val="21"/>
                <w:vertAlign w:val="baseline"/>
                <w:lang w:val="en-US" w:eastAsia="zh-CN"/>
              </w:rPr>
              <w:t>服务</w:t>
            </w:r>
            <w:r>
              <w:rPr>
                <w:rFonts w:hint="eastAsia" w:ascii="仿宋" w:hAnsi="仿宋" w:eastAsia="仿宋" w:cs="仿宋"/>
                <w:b w:val="0"/>
                <w:bCs w:val="0"/>
                <w:color w:val="auto"/>
                <w:sz w:val="21"/>
                <w:szCs w:val="21"/>
                <w:vertAlign w:val="baseline"/>
                <w:lang w:eastAsia="zh-CN"/>
              </w:rPr>
              <w:t>招标</w:t>
            </w:r>
            <w:r>
              <w:rPr>
                <w:rFonts w:hint="eastAsia" w:ascii="仿宋" w:hAnsi="仿宋" w:eastAsia="仿宋" w:cs="仿宋"/>
                <w:b w:val="0"/>
                <w:bCs w:val="0"/>
                <w:color w:val="auto"/>
                <w:sz w:val="21"/>
                <w:szCs w:val="21"/>
                <w:vertAlign w:val="baseline"/>
                <w:lang w:val="en-US" w:eastAsia="zh-CN"/>
              </w:rPr>
              <w:t>须</w:t>
            </w:r>
            <w:r>
              <w:rPr>
                <w:rFonts w:hint="eastAsia" w:ascii="仿宋" w:hAnsi="仿宋" w:eastAsia="仿宋" w:cs="仿宋"/>
                <w:b w:val="0"/>
                <w:bCs w:val="0"/>
                <w:color w:val="auto"/>
                <w:sz w:val="21"/>
                <w:szCs w:val="21"/>
                <w:vertAlign w:val="baseline"/>
                <w:lang w:eastAsia="zh-CN"/>
              </w:rPr>
              <w:t>提供资金</w:t>
            </w:r>
            <w:r>
              <w:rPr>
                <w:rFonts w:hint="eastAsia" w:ascii="仿宋" w:hAnsi="仿宋" w:eastAsia="仿宋" w:cs="仿宋"/>
                <w:b w:val="0"/>
                <w:bCs w:val="0"/>
                <w:color w:val="auto"/>
                <w:sz w:val="21"/>
                <w:szCs w:val="21"/>
                <w:vertAlign w:val="baseline"/>
                <w:lang w:val="en-US" w:eastAsia="zh-CN"/>
              </w:rPr>
              <w:t>已落实</w:t>
            </w:r>
            <w:r>
              <w:rPr>
                <w:rFonts w:hint="eastAsia" w:ascii="仿宋" w:hAnsi="仿宋" w:eastAsia="仿宋" w:cs="仿宋"/>
                <w:b w:val="0"/>
                <w:bCs w:val="0"/>
                <w:color w:val="auto"/>
                <w:sz w:val="21"/>
                <w:szCs w:val="21"/>
                <w:vertAlign w:val="baseline"/>
                <w:lang w:eastAsia="zh-CN"/>
              </w:rPr>
              <w:t>的计划性批复文件，施工招标须提供概算批复文件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8" w:type="dxa"/>
            <w:vAlign w:val="center"/>
          </w:tcPr>
          <w:p>
            <w:pPr>
              <w:keepNext w:val="0"/>
              <w:keepLines w:val="0"/>
              <w:numPr>
                <w:ilvl w:val="-1"/>
                <w:numId w:val="0"/>
              </w:numPr>
              <w:suppressLineNumbers w:val="0"/>
              <w:spacing w:before="0" w:beforeAutospacing="0" w:after="0" w:afterAutospacing="0" w:line="276" w:lineRule="auto"/>
              <w:ind w:left="0" w:leftChars="0" w:right="0" w:firstLine="0" w:firstLineChars="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w:t>
            </w:r>
          </w:p>
        </w:tc>
        <w:tc>
          <w:tcPr>
            <w:tcW w:w="4170" w:type="dxa"/>
            <w:vAlign w:val="center"/>
          </w:tcPr>
          <w:p>
            <w:pPr>
              <w:keepNext w:val="0"/>
              <w:keepLines w:val="0"/>
              <w:suppressLineNumbers w:val="0"/>
              <w:spacing w:before="0" w:beforeAutospacing="0" w:after="0" w:afterAutospacing="0" w:line="276" w:lineRule="auto"/>
              <w:ind w:left="0" w:leftChars="0" w:right="0"/>
              <w:jc w:val="left"/>
              <w:rPr>
                <w:rFonts w:hint="default" w:ascii="仿宋" w:hAnsi="仿宋" w:eastAsia="仿宋" w:cs="仿宋"/>
                <w:b w:val="0"/>
                <w:bCs w:val="0"/>
                <w:color w:val="0000FF"/>
                <w:sz w:val="21"/>
                <w:szCs w:val="21"/>
                <w:vertAlign w:val="baseline"/>
                <w:lang w:val="en-US" w:eastAsia="zh-CN"/>
              </w:rPr>
            </w:pPr>
            <w:r>
              <w:rPr>
                <w:rFonts w:hint="eastAsia" w:ascii="仿宋" w:hAnsi="仿宋" w:eastAsia="仿宋" w:cs="仿宋"/>
                <w:b w:val="0"/>
                <w:bCs w:val="0"/>
                <w:color w:val="auto"/>
                <w:sz w:val="21"/>
                <w:szCs w:val="21"/>
                <w:vertAlign w:val="baseline"/>
                <w:lang w:eastAsia="zh-CN"/>
              </w:rPr>
              <w:t>资质设置说明（含项目</w:t>
            </w:r>
            <w:r>
              <w:rPr>
                <w:rFonts w:hint="eastAsia" w:ascii="仿宋" w:hAnsi="仿宋" w:eastAsia="仿宋" w:cs="仿宋"/>
                <w:b w:val="0"/>
                <w:bCs w:val="0"/>
                <w:color w:val="auto"/>
                <w:sz w:val="21"/>
                <w:szCs w:val="21"/>
                <w:vertAlign w:val="baseline"/>
                <w:lang w:val="en-US" w:eastAsia="zh-CN"/>
              </w:rPr>
              <w:t>经理</w:t>
            </w:r>
            <w:r>
              <w:rPr>
                <w:rFonts w:hint="eastAsia" w:ascii="仿宋" w:hAnsi="仿宋" w:eastAsia="仿宋" w:cs="仿宋"/>
                <w:b w:val="0"/>
                <w:bCs w:val="0"/>
                <w:color w:val="auto"/>
                <w:sz w:val="21"/>
                <w:szCs w:val="21"/>
                <w:vertAlign w:val="baseline"/>
                <w:lang w:eastAsia="zh-CN"/>
              </w:rPr>
              <w:t>）</w:t>
            </w:r>
          </w:p>
        </w:tc>
        <w:tc>
          <w:tcPr>
            <w:tcW w:w="1123" w:type="dxa"/>
            <w:vAlign w:val="center"/>
          </w:tcPr>
          <w:p>
            <w:pPr>
              <w:keepNext w:val="0"/>
              <w:keepLines w:val="0"/>
              <w:suppressLineNumbers w:val="0"/>
              <w:spacing w:before="0" w:beforeAutospacing="0" w:after="0" w:afterAutospacing="0" w:line="276" w:lineRule="auto"/>
              <w:ind w:left="0" w:leftChars="0" w:right="0"/>
              <w:jc w:val="center"/>
              <w:rPr>
                <w:rFonts w:hint="default" w:ascii="仿宋" w:hAnsi="仿宋" w:eastAsia="仿宋" w:cs="仿宋"/>
                <w:b w:val="0"/>
                <w:bCs w:val="0"/>
                <w:color w:val="0000FF"/>
                <w:sz w:val="21"/>
                <w:szCs w:val="21"/>
                <w:vertAlign w:val="baseline"/>
                <w:lang w:eastAsia="zh-CN"/>
              </w:rPr>
            </w:pPr>
            <w:r>
              <w:rPr>
                <w:rFonts w:hint="eastAsia" w:ascii="仿宋" w:hAnsi="仿宋" w:eastAsia="仿宋" w:cs="仿宋"/>
                <w:b w:val="0"/>
                <w:bCs w:val="0"/>
                <w:sz w:val="21"/>
                <w:szCs w:val="21"/>
                <w:vertAlign w:val="baseline"/>
                <w:lang w:eastAsia="zh-CN"/>
              </w:rPr>
              <w:t>电子化</w:t>
            </w:r>
          </w:p>
        </w:tc>
        <w:tc>
          <w:tcPr>
            <w:tcW w:w="4437" w:type="dxa"/>
            <w:vAlign w:val="center"/>
          </w:tcPr>
          <w:p>
            <w:pPr>
              <w:keepNext w:val="0"/>
              <w:keepLines w:val="0"/>
              <w:suppressLineNumbers w:val="0"/>
              <w:spacing w:before="0" w:beforeAutospacing="0" w:after="0" w:afterAutospacing="0" w:line="276" w:lineRule="auto"/>
              <w:ind w:left="0" w:leftChars="0" w:right="0"/>
              <w:jc w:val="left"/>
              <w:rPr>
                <w:rFonts w:hint="default" w:ascii="仿宋" w:hAnsi="仿宋" w:eastAsia="仿宋" w:cs="仿宋"/>
                <w:b w:val="0"/>
                <w:bCs w:val="0"/>
                <w:color w:val="0000FF"/>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18" w:type="dxa"/>
            <w:vAlign w:val="center"/>
          </w:tcPr>
          <w:p>
            <w:pPr>
              <w:keepNext w:val="0"/>
              <w:keepLines w:val="0"/>
              <w:numPr>
                <w:ilvl w:val="-1"/>
                <w:numId w:val="0"/>
              </w:numPr>
              <w:suppressLineNumbers w:val="0"/>
              <w:spacing w:before="0" w:beforeAutospacing="0" w:after="0" w:afterAutospacing="0" w:line="276" w:lineRule="auto"/>
              <w:ind w:left="0" w:leftChars="0" w:right="0" w:firstLine="0" w:firstLineChars="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w:t>
            </w:r>
          </w:p>
        </w:tc>
        <w:tc>
          <w:tcPr>
            <w:tcW w:w="4170" w:type="dxa"/>
            <w:vAlign w:val="center"/>
          </w:tcPr>
          <w:p>
            <w:pPr>
              <w:keepNext w:val="0"/>
              <w:keepLines w:val="0"/>
              <w:suppressLineNumbers w:val="0"/>
              <w:spacing w:before="0" w:beforeAutospacing="0" w:after="0" w:afterAutospacing="0" w:line="276" w:lineRule="auto"/>
              <w:ind w:left="0" w:leftChars="0" w:right="0"/>
              <w:jc w:val="left"/>
              <w:rPr>
                <w:rFonts w:hint="default" w:ascii="仿宋" w:hAnsi="仿宋" w:eastAsia="仿宋" w:cs="仿宋"/>
                <w:b w:val="0"/>
                <w:bCs w:val="0"/>
                <w:color w:val="auto"/>
                <w:sz w:val="21"/>
                <w:szCs w:val="21"/>
                <w:vertAlign w:val="baseline"/>
                <w:lang w:eastAsia="zh-CN"/>
              </w:rPr>
            </w:pPr>
            <w:r>
              <w:rPr>
                <w:rFonts w:hint="eastAsia" w:ascii="仿宋" w:hAnsi="仿宋" w:eastAsia="仿宋" w:cs="仿宋"/>
                <w:b w:val="0"/>
                <w:bCs w:val="0"/>
                <w:color w:val="auto"/>
                <w:sz w:val="21"/>
                <w:szCs w:val="21"/>
                <w:vertAlign w:val="baseline"/>
                <w:lang w:eastAsia="zh-CN"/>
              </w:rPr>
              <w:t>风险自担承诺书</w:t>
            </w:r>
          </w:p>
        </w:tc>
        <w:tc>
          <w:tcPr>
            <w:tcW w:w="1123" w:type="dxa"/>
            <w:vAlign w:val="center"/>
          </w:tcPr>
          <w:p>
            <w:pPr>
              <w:keepNext w:val="0"/>
              <w:keepLines w:val="0"/>
              <w:suppressLineNumbers w:val="0"/>
              <w:spacing w:before="0" w:beforeAutospacing="0" w:after="0" w:afterAutospacing="0" w:line="276" w:lineRule="auto"/>
              <w:ind w:left="0" w:leftChars="0" w:right="0"/>
              <w:jc w:val="center"/>
              <w:rPr>
                <w:rFonts w:hint="default" w:ascii="仿宋" w:hAnsi="仿宋" w:eastAsia="仿宋" w:cs="仿宋"/>
                <w:b w:val="0"/>
                <w:bCs w:val="0"/>
                <w:sz w:val="21"/>
                <w:szCs w:val="21"/>
                <w:vertAlign w:val="baseline"/>
                <w:lang w:eastAsia="zh-CN"/>
              </w:rPr>
            </w:pPr>
            <w:r>
              <w:rPr>
                <w:rFonts w:hint="eastAsia" w:ascii="仿宋" w:hAnsi="仿宋" w:eastAsia="仿宋" w:cs="仿宋"/>
                <w:b w:val="0"/>
                <w:bCs w:val="0"/>
                <w:sz w:val="21"/>
                <w:szCs w:val="21"/>
                <w:vertAlign w:val="baseline"/>
                <w:lang w:eastAsia="zh-CN"/>
              </w:rPr>
              <w:t>电子化</w:t>
            </w:r>
          </w:p>
        </w:tc>
        <w:tc>
          <w:tcPr>
            <w:tcW w:w="4437" w:type="dxa"/>
            <w:vAlign w:val="center"/>
          </w:tcPr>
          <w:p>
            <w:pPr>
              <w:keepNext w:val="0"/>
              <w:keepLines w:val="0"/>
              <w:suppressLineNumbers w:val="0"/>
              <w:spacing w:before="0" w:beforeAutospacing="0" w:after="0" w:afterAutospacing="0" w:line="276" w:lineRule="auto"/>
              <w:ind w:left="0" w:leftChars="0" w:right="0"/>
              <w:jc w:val="left"/>
              <w:rPr>
                <w:rFonts w:hint="default" w:ascii="仿宋" w:hAnsi="仿宋" w:eastAsia="仿宋" w:cs="仿宋"/>
                <w:b w:val="0"/>
                <w:bCs w:val="0"/>
                <w:color w:val="auto"/>
                <w:sz w:val="21"/>
                <w:szCs w:val="21"/>
                <w:vertAlign w:val="baseline"/>
                <w:lang w:eastAsia="zh-CN"/>
              </w:rPr>
            </w:pPr>
            <w:r>
              <w:rPr>
                <w:rFonts w:hint="eastAsia" w:ascii="仿宋" w:hAnsi="仿宋" w:eastAsia="仿宋" w:cs="仿宋"/>
                <w:b w:val="0"/>
                <w:bCs w:val="0"/>
                <w:color w:val="auto"/>
                <w:sz w:val="21"/>
                <w:szCs w:val="21"/>
                <w:vertAlign w:val="baseline"/>
                <w:lang w:eastAsia="zh-CN"/>
              </w:rPr>
              <w:t>不要求投标人编制技术标书的</w:t>
            </w:r>
            <w:r>
              <w:rPr>
                <w:rFonts w:hint="eastAsia" w:ascii="仿宋" w:hAnsi="仿宋" w:eastAsia="仿宋" w:cs="仿宋"/>
                <w:b w:val="0"/>
                <w:bCs w:val="0"/>
                <w:color w:val="auto"/>
                <w:sz w:val="21"/>
                <w:szCs w:val="21"/>
                <w:vertAlign w:val="baseline"/>
                <w:lang w:val="en-US" w:eastAsia="zh-CN"/>
              </w:rPr>
              <w:t>需</w:t>
            </w:r>
            <w:r>
              <w:rPr>
                <w:rFonts w:hint="eastAsia" w:ascii="仿宋" w:hAnsi="仿宋" w:eastAsia="仿宋" w:cs="仿宋"/>
                <w:b w:val="0"/>
                <w:bCs w:val="0"/>
                <w:color w:val="auto"/>
                <w:sz w:val="21"/>
                <w:szCs w:val="21"/>
                <w:vertAlign w:val="baseline"/>
                <w:lang w:eastAsia="zh-CN"/>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18" w:type="dxa"/>
            <w:vAlign w:val="center"/>
          </w:tcPr>
          <w:p>
            <w:pPr>
              <w:keepNext w:val="0"/>
              <w:keepLines w:val="0"/>
              <w:numPr>
                <w:ilvl w:val="-1"/>
                <w:numId w:val="0"/>
              </w:numPr>
              <w:suppressLineNumbers w:val="0"/>
              <w:spacing w:before="0" w:beforeAutospacing="0" w:after="0" w:afterAutospacing="0" w:line="276" w:lineRule="auto"/>
              <w:ind w:left="0" w:leftChars="0" w:right="0" w:firstLine="0" w:firstLineChars="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w:t>
            </w:r>
          </w:p>
        </w:tc>
        <w:tc>
          <w:tcPr>
            <w:tcW w:w="4170" w:type="dxa"/>
            <w:vAlign w:val="center"/>
          </w:tcPr>
          <w:p>
            <w:pPr>
              <w:keepNext w:val="0"/>
              <w:keepLines w:val="0"/>
              <w:suppressLineNumbers w:val="0"/>
              <w:spacing w:before="0" w:beforeAutospacing="0" w:after="0" w:afterAutospacing="0" w:line="276" w:lineRule="auto"/>
              <w:ind w:left="0" w:leftChars="0" w:right="0"/>
              <w:jc w:val="left"/>
              <w:rPr>
                <w:rFonts w:hint="default" w:ascii="仿宋" w:hAnsi="仿宋" w:eastAsia="仿宋" w:cs="仿宋"/>
                <w:b w:val="0"/>
                <w:bCs w:val="0"/>
                <w:color w:val="auto"/>
                <w:sz w:val="21"/>
                <w:szCs w:val="21"/>
                <w:vertAlign w:val="baseline"/>
                <w:lang w:eastAsia="zh-CN"/>
              </w:rPr>
            </w:pPr>
            <w:r>
              <w:rPr>
                <w:rFonts w:hint="eastAsia" w:ascii="仿宋" w:hAnsi="仿宋" w:eastAsia="仿宋" w:cs="仿宋"/>
                <w:b w:val="0"/>
                <w:bCs w:val="0"/>
                <w:color w:val="auto"/>
                <w:sz w:val="21"/>
                <w:szCs w:val="21"/>
                <w:vertAlign w:val="baseline"/>
                <w:lang w:eastAsia="zh-CN"/>
              </w:rPr>
              <w:t>不设置“霸王条款”的承诺书</w:t>
            </w:r>
            <w:r>
              <w:rPr>
                <w:rFonts w:hint="eastAsia" w:ascii="仿宋" w:hAnsi="仿宋" w:eastAsia="仿宋" w:cs="仿宋"/>
                <w:b w:val="0"/>
                <w:bCs w:val="0"/>
                <w:color w:val="auto"/>
                <w:sz w:val="21"/>
                <w:szCs w:val="21"/>
                <w:vertAlign w:val="baseline"/>
                <w:lang w:val="en-US" w:eastAsia="zh-CN"/>
              </w:rPr>
              <w:t>或设置“霸王条款”的申明</w:t>
            </w:r>
          </w:p>
        </w:tc>
        <w:tc>
          <w:tcPr>
            <w:tcW w:w="1123" w:type="dxa"/>
            <w:vAlign w:val="center"/>
          </w:tcPr>
          <w:p>
            <w:pPr>
              <w:keepNext w:val="0"/>
              <w:keepLines w:val="0"/>
              <w:suppressLineNumbers w:val="0"/>
              <w:spacing w:before="0" w:beforeAutospacing="0" w:after="0" w:afterAutospacing="0" w:line="276" w:lineRule="auto"/>
              <w:ind w:left="0" w:leftChars="0" w:right="0"/>
              <w:jc w:val="center"/>
              <w:rPr>
                <w:rFonts w:hint="default" w:ascii="仿宋" w:hAnsi="仿宋" w:eastAsia="仿宋" w:cs="仿宋"/>
                <w:b w:val="0"/>
                <w:bCs w:val="0"/>
                <w:sz w:val="21"/>
                <w:szCs w:val="21"/>
                <w:vertAlign w:val="baseline"/>
                <w:lang w:eastAsia="zh-CN"/>
              </w:rPr>
            </w:pPr>
            <w:r>
              <w:rPr>
                <w:rFonts w:hint="eastAsia" w:ascii="仿宋" w:hAnsi="仿宋" w:eastAsia="仿宋" w:cs="仿宋"/>
                <w:b w:val="0"/>
                <w:bCs w:val="0"/>
                <w:sz w:val="21"/>
                <w:szCs w:val="21"/>
                <w:vertAlign w:val="baseline"/>
                <w:lang w:eastAsia="zh-CN"/>
              </w:rPr>
              <w:t>电子化</w:t>
            </w:r>
          </w:p>
        </w:tc>
        <w:tc>
          <w:tcPr>
            <w:tcW w:w="4437" w:type="dxa"/>
            <w:vAlign w:val="center"/>
          </w:tcPr>
          <w:p>
            <w:pPr>
              <w:keepNext w:val="0"/>
              <w:keepLines w:val="0"/>
              <w:suppressLineNumbers w:val="0"/>
              <w:spacing w:before="0" w:beforeAutospacing="0" w:after="0" w:afterAutospacing="0" w:line="276" w:lineRule="auto"/>
              <w:ind w:left="0" w:right="0"/>
              <w:jc w:val="left"/>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招标人根据《关于在施工招标中增加不设置“霸王条款”承诺等内容的通知》（深建市场〔2019〕7号）自主选择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718" w:type="dxa"/>
            <w:vAlign w:val="center"/>
          </w:tcPr>
          <w:p>
            <w:pPr>
              <w:keepNext w:val="0"/>
              <w:keepLines w:val="0"/>
              <w:numPr>
                <w:ilvl w:val="-1"/>
                <w:numId w:val="0"/>
              </w:numPr>
              <w:suppressLineNumbers w:val="0"/>
              <w:spacing w:before="0" w:beforeAutospacing="0" w:after="0" w:afterAutospacing="0" w:line="276" w:lineRule="auto"/>
              <w:ind w:left="0" w:leftChars="0" w:right="0" w:firstLine="0" w:firstLineChars="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5</w:t>
            </w:r>
          </w:p>
        </w:tc>
        <w:tc>
          <w:tcPr>
            <w:tcW w:w="4170" w:type="dxa"/>
            <w:vAlign w:val="center"/>
          </w:tcPr>
          <w:p>
            <w:pPr>
              <w:keepNext w:val="0"/>
              <w:keepLines w:val="0"/>
              <w:suppressLineNumbers w:val="0"/>
              <w:spacing w:before="0" w:beforeAutospacing="0" w:after="0" w:afterAutospacing="0" w:line="276" w:lineRule="auto"/>
              <w:ind w:left="0" w:right="0"/>
              <w:jc w:val="left"/>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招标控制价、最高报价限价文件</w:t>
            </w:r>
          </w:p>
        </w:tc>
        <w:tc>
          <w:tcPr>
            <w:tcW w:w="1123" w:type="dxa"/>
            <w:vAlign w:val="center"/>
          </w:tcPr>
          <w:p>
            <w:pPr>
              <w:keepNext w:val="0"/>
              <w:keepLines w:val="0"/>
              <w:suppressLineNumbers w:val="0"/>
              <w:spacing w:before="0" w:beforeAutospacing="0" w:after="0" w:afterAutospacing="0" w:line="276" w:lineRule="auto"/>
              <w:ind w:left="0" w:right="0"/>
              <w:jc w:val="center"/>
              <w:rPr>
                <w:rFonts w:hint="default" w:ascii="仿宋" w:hAnsi="仿宋" w:eastAsia="仿宋" w:cs="仿宋"/>
                <w:b w:val="0"/>
                <w:bCs w:val="0"/>
                <w:color w:val="auto"/>
                <w:sz w:val="21"/>
                <w:szCs w:val="21"/>
                <w:vertAlign w:val="baseline"/>
                <w:lang w:eastAsia="zh-CN"/>
              </w:rPr>
            </w:pPr>
            <w:r>
              <w:rPr>
                <w:rFonts w:hint="eastAsia" w:ascii="仿宋" w:hAnsi="仿宋" w:eastAsia="仿宋" w:cs="仿宋"/>
                <w:b w:val="0"/>
                <w:bCs w:val="0"/>
                <w:color w:val="auto"/>
                <w:sz w:val="21"/>
                <w:szCs w:val="21"/>
                <w:vertAlign w:val="baseline"/>
                <w:lang w:eastAsia="zh-CN"/>
              </w:rPr>
              <w:t>电子化</w:t>
            </w:r>
          </w:p>
        </w:tc>
        <w:tc>
          <w:tcPr>
            <w:tcW w:w="4437" w:type="dxa"/>
            <w:vAlign w:val="center"/>
          </w:tcPr>
          <w:p>
            <w:pPr>
              <w:keepNext w:val="0"/>
              <w:keepLines w:val="0"/>
              <w:suppressLineNumbers w:val="0"/>
              <w:spacing w:before="0" w:beforeAutospacing="0" w:after="0" w:afterAutospacing="0" w:line="276" w:lineRule="auto"/>
              <w:ind w:left="0" w:right="0"/>
              <w:jc w:val="left"/>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招标控制价文件需加盖编制、复核人执业印章、招标人公章、咨询公司公章（如委托咨询公司编制时需提供），最高报价限价文件需加盖招标人公章；上述文件最迟应当在截标5日前发布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18" w:type="dxa"/>
            <w:vAlign w:val="center"/>
          </w:tcPr>
          <w:p>
            <w:pPr>
              <w:keepNext w:val="0"/>
              <w:keepLines w:val="0"/>
              <w:numPr>
                <w:ilvl w:val="-1"/>
                <w:numId w:val="0"/>
              </w:numPr>
              <w:suppressLineNumbers w:val="0"/>
              <w:spacing w:before="0" w:beforeAutospacing="0" w:after="0" w:afterAutospacing="0" w:line="276" w:lineRule="auto"/>
              <w:ind w:left="0" w:leftChars="0" w:right="0" w:firstLine="0" w:firstLineChars="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6</w:t>
            </w:r>
          </w:p>
        </w:tc>
        <w:tc>
          <w:tcPr>
            <w:tcW w:w="4170" w:type="dxa"/>
            <w:vAlign w:val="center"/>
          </w:tcPr>
          <w:p>
            <w:pPr>
              <w:keepNext w:val="0"/>
              <w:keepLines w:val="0"/>
              <w:suppressLineNumbers w:val="0"/>
              <w:spacing w:before="0" w:beforeAutospacing="0" w:after="0" w:afterAutospacing="0" w:line="276" w:lineRule="auto"/>
              <w:ind w:left="0" w:leftChars="0" w:right="0"/>
              <w:jc w:val="left"/>
              <w:rPr>
                <w:rFonts w:hint="default" w:ascii="仿宋" w:hAnsi="仿宋" w:eastAsia="仿宋" w:cs="仿宋"/>
                <w:b w:val="0"/>
                <w:bCs w:val="0"/>
                <w:color w:val="auto"/>
                <w:sz w:val="21"/>
                <w:szCs w:val="21"/>
                <w:vertAlign w:val="baseline"/>
                <w:lang w:eastAsia="zh-CN"/>
              </w:rPr>
            </w:pPr>
            <w:r>
              <w:rPr>
                <w:rFonts w:hint="eastAsia" w:ascii="仿宋" w:hAnsi="仿宋" w:eastAsia="仿宋" w:cs="仿宋"/>
                <w:b w:val="0"/>
                <w:bCs w:val="0"/>
                <w:color w:val="auto"/>
                <w:sz w:val="21"/>
                <w:szCs w:val="21"/>
                <w:vertAlign w:val="baseline"/>
                <w:lang w:eastAsia="zh-CN"/>
              </w:rPr>
              <w:t>代建合同</w:t>
            </w:r>
          </w:p>
        </w:tc>
        <w:tc>
          <w:tcPr>
            <w:tcW w:w="1123" w:type="dxa"/>
            <w:vAlign w:val="center"/>
          </w:tcPr>
          <w:p>
            <w:pPr>
              <w:keepNext w:val="0"/>
              <w:keepLines w:val="0"/>
              <w:suppressLineNumbers w:val="0"/>
              <w:spacing w:before="0" w:beforeAutospacing="0" w:after="0" w:afterAutospacing="0" w:line="276" w:lineRule="auto"/>
              <w:ind w:left="0" w:leftChars="0" w:right="0"/>
              <w:jc w:val="center"/>
              <w:rPr>
                <w:rFonts w:hint="default" w:ascii="仿宋" w:hAnsi="仿宋" w:eastAsia="仿宋" w:cs="仿宋"/>
                <w:b w:val="0"/>
                <w:bCs w:val="0"/>
                <w:sz w:val="21"/>
                <w:szCs w:val="21"/>
                <w:vertAlign w:val="baseline"/>
                <w:lang w:eastAsia="zh-CN"/>
              </w:rPr>
            </w:pPr>
            <w:r>
              <w:rPr>
                <w:rFonts w:hint="eastAsia" w:ascii="仿宋" w:hAnsi="仿宋" w:eastAsia="仿宋" w:cs="仿宋"/>
                <w:b w:val="0"/>
                <w:bCs w:val="0"/>
                <w:sz w:val="21"/>
                <w:szCs w:val="21"/>
                <w:vertAlign w:val="baseline"/>
                <w:lang w:eastAsia="zh-CN"/>
              </w:rPr>
              <w:t>电子化</w:t>
            </w:r>
          </w:p>
        </w:tc>
        <w:tc>
          <w:tcPr>
            <w:tcW w:w="4437" w:type="dxa"/>
            <w:vAlign w:val="center"/>
          </w:tcPr>
          <w:p>
            <w:pPr>
              <w:keepNext w:val="0"/>
              <w:keepLines w:val="0"/>
              <w:suppressLineNumbers w:val="0"/>
              <w:spacing w:before="0" w:beforeAutospacing="0" w:after="0" w:afterAutospacing="0" w:line="276" w:lineRule="auto"/>
              <w:ind w:left="0" w:leftChars="0" w:right="0"/>
              <w:jc w:val="left"/>
              <w:rPr>
                <w:rFonts w:hint="default" w:ascii="仿宋" w:hAnsi="仿宋" w:eastAsia="仿宋" w:cs="仿宋"/>
                <w:b w:val="0"/>
                <w:bCs w:val="0"/>
                <w:color w:val="auto"/>
                <w:sz w:val="21"/>
                <w:szCs w:val="21"/>
                <w:vertAlign w:val="baseline"/>
                <w:lang w:eastAsia="zh-CN"/>
              </w:rPr>
            </w:pPr>
            <w:r>
              <w:rPr>
                <w:rFonts w:hint="eastAsia" w:ascii="仿宋" w:hAnsi="仿宋" w:eastAsia="仿宋" w:cs="仿宋"/>
                <w:b w:val="0"/>
                <w:bCs w:val="0"/>
                <w:sz w:val="21"/>
                <w:szCs w:val="21"/>
                <w:vertAlign w:val="baseline"/>
                <w:lang w:eastAsia="zh-CN"/>
              </w:rPr>
              <w:t>代建项目</w:t>
            </w:r>
            <w:r>
              <w:rPr>
                <w:rFonts w:hint="eastAsia" w:ascii="仿宋" w:hAnsi="仿宋" w:eastAsia="仿宋" w:cs="仿宋"/>
                <w:b w:val="0"/>
                <w:bCs w:val="0"/>
                <w:sz w:val="21"/>
                <w:szCs w:val="21"/>
                <w:vertAlign w:val="baseline"/>
                <w:lang w:val="en-US" w:eastAsia="zh-CN"/>
              </w:rPr>
              <w:t>需</w:t>
            </w:r>
            <w:r>
              <w:rPr>
                <w:rFonts w:hint="eastAsia" w:ascii="仿宋" w:hAnsi="仿宋" w:eastAsia="仿宋" w:cs="仿宋"/>
                <w:b w:val="0"/>
                <w:bCs w:val="0"/>
                <w:sz w:val="21"/>
                <w:szCs w:val="21"/>
                <w:vertAlign w:val="baseline"/>
                <w:lang w:eastAsia="zh-CN"/>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18" w:type="dxa"/>
            <w:vAlign w:val="center"/>
          </w:tcPr>
          <w:p>
            <w:pPr>
              <w:keepNext w:val="0"/>
              <w:keepLines w:val="0"/>
              <w:numPr>
                <w:ilvl w:val="-1"/>
                <w:numId w:val="0"/>
              </w:numPr>
              <w:suppressLineNumbers w:val="0"/>
              <w:spacing w:before="0" w:beforeAutospacing="0" w:after="0" w:afterAutospacing="0" w:line="276" w:lineRule="auto"/>
              <w:ind w:left="0" w:leftChars="0" w:right="0" w:firstLine="0" w:firstLineChars="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7</w:t>
            </w:r>
          </w:p>
        </w:tc>
        <w:tc>
          <w:tcPr>
            <w:tcW w:w="4170" w:type="dxa"/>
            <w:vAlign w:val="center"/>
          </w:tcPr>
          <w:p>
            <w:pPr>
              <w:keepNext w:val="0"/>
              <w:keepLines w:val="0"/>
              <w:suppressLineNumbers w:val="0"/>
              <w:spacing w:before="0" w:beforeAutospacing="0" w:after="0" w:afterAutospacing="0" w:line="276" w:lineRule="auto"/>
              <w:ind w:left="0" w:leftChars="0" w:right="0"/>
              <w:jc w:val="left"/>
              <w:rPr>
                <w:rFonts w:hint="default" w:ascii="仿宋" w:hAnsi="仿宋" w:eastAsia="仿宋" w:cs="仿宋"/>
                <w:b w:val="0"/>
                <w:bCs w:val="0"/>
                <w:color w:val="auto"/>
                <w:sz w:val="21"/>
                <w:szCs w:val="21"/>
                <w:vertAlign w:val="baseline"/>
                <w:lang w:eastAsia="zh-CN"/>
              </w:rPr>
            </w:pPr>
            <w:r>
              <w:rPr>
                <w:rFonts w:hint="eastAsia" w:ascii="仿宋" w:hAnsi="仿宋" w:eastAsia="仿宋" w:cs="仿宋"/>
                <w:b w:val="0"/>
                <w:bCs w:val="0"/>
                <w:color w:val="auto"/>
                <w:sz w:val="21"/>
                <w:szCs w:val="21"/>
                <w:vertAlign w:val="baseline"/>
                <w:lang w:eastAsia="zh-CN"/>
              </w:rPr>
              <w:fldChar w:fldCharType="begin"/>
            </w:r>
            <w:r>
              <w:rPr>
                <w:rFonts w:hint="eastAsia" w:ascii="仿宋" w:hAnsi="仿宋" w:eastAsia="仿宋" w:cs="仿宋"/>
                <w:b w:val="0"/>
                <w:bCs w:val="0"/>
                <w:color w:val="auto"/>
                <w:sz w:val="21"/>
                <w:szCs w:val="21"/>
                <w:vertAlign w:val="baseline"/>
                <w:lang w:eastAsia="zh-CN"/>
              </w:rPr>
              <w:instrText xml:space="preserve"> HYPERLINK "http://192.168.53.55/jdpt/common/fjxx/download?id=86505D8303EA6820E053030214ACAEBB" </w:instrText>
            </w:r>
            <w:r>
              <w:rPr>
                <w:rFonts w:hint="eastAsia" w:ascii="仿宋" w:hAnsi="仿宋" w:eastAsia="仿宋" w:cs="仿宋"/>
                <w:b w:val="0"/>
                <w:bCs w:val="0"/>
                <w:color w:val="auto"/>
                <w:sz w:val="21"/>
                <w:szCs w:val="21"/>
                <w:vertAlign w:val="baseline"/>
                <w:lang w:eastAsia="zh-CN"/>
              </w:rPr>
              <w:fldChar w:fldCharType="separate"/>
            </w:r>
            <w:r>
              <w:rPr>
                <w:rFonts w:hint="eastAsia" w:ascii="仿宋" w:hAnsi="仿宋" w:eastAsia="仿宋" w:cs="仿宋"/>
                <w:b w:val="0"/>
                <w:bCs w:val="0"/>
                <w:color w:val="auto"/>
                <w:sz w:val="21"/>
                <w:szCs w:val="21"/>
                <w:vertAlign w:val="baseline"/>
                <w:lang w:eastAsia="zh-CN"/>
              </w:rPr>
              <w:t>申请人经办人的身份证明材料：</w:t>
            </w:r>
          </w:p>
          <w:p>
            <w:pPr>
              <w:keepNext w:val="0"/>
              <w:keepLines w:val="0"/>
              <w:suppressLineNumbers w:val="0"/>
              <w:spacing w:before="0" w:beforeAutospacing="0" w:after="0" w:afterAutospacing="0" w:line="276" w:lineRule="auto"/>
              <w:ind w:left="0" w:leftChars="0" w:right="0"/>
              <w:jc w:val="left"/>
              <w:rPr>
                <w:rFonts w:hint="default" w:ascii="仿宋" w:hAnsi="仿宋" w:eastAsia="仿宋" w:cs="仿宋"/>
                <w:b w:val="0"/>
                <w:bCs w:val="0"/>
                <w:color w:val="auto"/>
                <w:sz w:val="21"/>
                <w:szCs w:val="21"/>
                <w:vertAlign w:val="baseline"/>
                <w:lang w:eastAsia="zh-CN"/>
              </w:rPr>
            </w:pPr>
            <w:r>
              <w:rPr>
                <w:rFonts w:hint="eastAsia" w:ascii="仿宋" w:hAnsi="仿宋" w:eastAsia="仿宋" w:cs="仿宋"/>
                <w:b w:val="0"/>
                <w:bCs w:val="0"/>
                <w:color w:val="auto"/>
                <w:sz w:val="21"/>
                <w:szCs w:val="21"/>
                <w:vertAlign w:val="baseline"/>
                <w:lang w:val="en-US" w:eastAsia="zh-CN"/>
              </w:rPr>
              <w:t>①</w:t>
            </w:r>
            <w:r>
              <w:rPr>
                <w:rFonts w:hint="eastAsia" w:ascii="仿宋" w:hAnsi="仿宋" w:eastAsia="仿宋" w:cs="仿宋"/>
                <w:b w:val="0"/>
                <w:bCs w:val="0"/>
                <w:color w:val="auto"/>
                <w:sz w:val="21"/>
                <w:szCs w:val="21"/>
                <w:vertAlign w:val="baseline"/>
                <w:lang w:eastAsia="zh-CN"/>
              </w:rPr>
              <w:t>建设单位（代建单位）法定代表人证明书</w:t>
            </w:r>
          </w:p>
          <w:p>
            <w:pPr>
              <w:keepNext w:val="0"/>
              <w:keepLines w:val="0"/>
              <w:suppressLineNumbers w:val="0"/>
              <w:spacing w:before="0" w:beforeAutospacing="0" w:after="0" w:afterAutospacing="0" w:line="276" w:lineRule="auto"/>
              <w:ind w:left="0" w:leftChars="0" w:right="0"/>
              <w:jc w:val="left"/>
              <w:rPr>
                <w:rFonts w:hint="default" w:ascii="仿宋" w:hAnsi="仿宋" w:eastAsia="仿宋" w:cs="仿宋"/>
                <w:b w:val="0"/>
                <w:bCs w:val="0"/>
                <w:color w:val="auto"/>
                <w:sz w:val="21"/>
                <w:szCs w:val="21"/>
                <w:vertAlign w:val="baseline"/>
                <w:lang w:eastAsia="zh-CN"/>
              </w:rPr>
            </w:pPr>
            <w:r>
              <w:rPr>
                <w:rFonts w:hint="eastAsia" w:ascii="仿宋" w:hAnsi="仿宋" w:eastAsia="仿宋" w:cs="仿宋"/>
                <w:b w:val="0"/>
                <w:bCs w:val="0"/>
                <w:color w:val="auto"/>
                <w:sz w:val="21"/>
                <w:szCs w:val="21"/>
                <w:vertAlign w:val="baseline"/>
                <w:lang w:val="en-US" w:eastAsia="zh-CN"/>
              </w:rPr>
              <w:t>②</w:t>
            </w:r>
            <w:r>
              <w:rPr>
                <w:rFonts w:hint="eastAsia" w:ascii="仿宋" w:hAnsi="仿宋" w:eastAsia="仿宋" w:cs="仿宋"/>
                <w:b w:val="0"/>
                <w:bCs w:val="0"/>
                <w:color w:val="auto"/>
                <w:sz w:val="21"/>
                <w:szCs w:val="21"/>
                <w:vertAlign w:val="baseline"/>
                <w:lang w:eastAsia="zh-CN"/>
              </w:rPr>
              <w:t>法定代表人授权委托</w:t>
            </w:r>
            <w:r>
              <w:rPr>
                <w:rFonts w:hint="eastAsia" w:ascii="仿宋" w:hAnsi="仿宋" w:eastAsia="仿宋" w:cs="仿宋"/>
                <w:b w:val="0"/>
                <w:bCs w:val="0"/>
                <w:color w:val="auto"/>
                <w:sz w:val="21"/>
                <w:szCs w:val="21"/>
                <w:vertAlign w:val="baseline"/>
                <w:lang w:val="en-US" w:eastAsia="zh-CN"/>
              </w:rPr>
              <w:t>书</w:t>
            </w:r>
            <w:r>
              <w:rPr>
                <w:rFonts w:hint="eastAsia" w:ascii="仿宋" w:hAnsi="仿宋" w:eastAsia="仿宋" w:cs="仿宋"/>
                <w:b w:val="0"/>
                <w:bCs w:val="0"/>
                <w:color w:val="auto"/>
                <w:sz w:val="21"/>
                <w:szCs w:val="21"/>
                <w:vertAlign w:val="baseline"/>
                <w:lang w:eastAsia="zh-CN"/>
              </w:rPr>
              <w:t>、被委托人身份证</w:t>
            </w:r>
            <w:r>
              <w:rPr>
                <w:rFonts w:hint="eastAsia" w:ascii="仿宋" w:hAnsi="仿宋" w:eastAsia="仿宋" w:cs="仿宋"/>
                <w:b w:val="0"/>
                <w:bCs w:val="0"/>
                <w:color w:val="auto"/>
                <w:sz w:val="21"/>
                <w:szCs w:val="21"/>
                <w:vertAlign w:val="baseline"/>
                <w:lang w:eastAsia="zh-CN"/>
              </w:rPr>
              <w:fldChar w:fldCharType="end"/>
            </w:r>
          </w:p>
        </w:tc>
        <w:tc>
          <w:tcPr>
            <w:tcW w:w="1123" w:type="dxa"/>
            <w:vAlign w:val="center"/>
          </w:tcPr>
          <w:p>
            <w:pPr>
              <w:keepNext w:val="0"/>
              <w:keepLines w:val="0"/>
              <w:suppressLineNumbers w:val="0"/>
              <w:spacing w:before="0" w:beforeAutospacing="0" w:after="0" w:afterAutospacing="0" w:line="276" w:lineRule="auto"/>
              <w:ind w:left="0" w:leftChars="0" w:right="0"/>
              <w:jc w:val="center"/>
              <w:rPr>
                <w:rFonts w:hint="default" w:ascii="仿宋" w:hAnsi="仿宋" w:eastAsia="仿宋" w:cs="仿宋"/>
                <w:b w:val="0"/>
                <w:bCs w:val="0"/>
                <w:sz w:val="21"/>
                <w:szCs w:val="21"/>
                <w:vertAlign w:val="baseline"/>
                <w:lang w:eastAsia="zh-CN"/>
              </w:rPr>
            </w:pPr>
            <w:r>
              <w:rPr>
                <w:rFonts w:hint="eastAsia" w:ascii="仿宋" w:hAnsi="仿宋" w:eastAsia="仿宋" w:cs="仿宋"/>
                <w:b w:val="0"/>
                <w:bCs w:val="0"/>
                <w:sz w:val="21"/>
                <w:szCs w:val="21"/>
                <w:vertAlign w:val="baseline"/>
                <w:lang w:eastAsia="zh-CN"/>
              </w:rPr>
              <w:t>电子化</w:t>
            </w:r>
          </w:p>
        </w:tc>
        <w:tc>
          <w:tcPr>
            <w:tcW w:w="4437" w:type="dxa"/>
            <w:vAlign w:val="center"/>
          </w:tcPr>
          <w:p>
            <w:pPr>
              <w:keepNext w:val="0"/>
              <w:keepLines w:val="0"/>
              <w:suppressLineNumbers w:val="0"/>
              <w:spacing w:before="0" w:beforeAutospacing="0" w:after="0" w:afterAutospacing="0" w:line="276" w:lineRule="auto"/>
              <w:ind w:left="0" w:leftChars="0" w:right="0"/>
              <w:jc w:val="left"/>
              <w:rPr>
                <w:rFonts w:hint="default" w:ascii="仿宋" w:hAnsi="仿宋" w:eastAsia="仿宋" w:cs="仿宋"/>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718" w:type="dxa"/>
            <w:vAlign w:val="center"/>
          </w:tcPr>
          <w:p>
            <w:pPr>
              <w:keepNext w:val="0"/>
              <w:keepLines w:val="0"/>
              <w:numPr>
                <w:ilvl w:val="-1"/>
                <w:numId w:val="0"/>
              </w:numPr>
              <w:suppressLineNumbers w:val="0"/>
              <w:spacing w:before="0" w:beforeAutospacing="0" w:after="0" w:afterAutospacing="0" w:line="276" w:lineRule="auto"/>
              <w:ind w:left="0" w:leftChars="0" w:right="0" w:firstLine="0" w:firstLineChars="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8</w:t>
            </w:r>
          </w:p>
        </w:tc>
        <w:tc>
          <w:tcPr>
            <w:tcW w:w="4170" w:type="dxa"/>
            <w:vAlign w:val="center"/>
          </w:tcPr>
          <w:p>
            <w:pPr>
              <w:keepNext w:val="0"/>
              <w:keepLines w:val="0"/>
              <w:suppressLineNumbers w:val="0"/>
              <w:spacing w:before="0" w:beforeAutospacing="0" w:after="0" w:afterAutospacing="0" w:line="276" w:lineRule="auto"/>
              <w:ind w:left="0" w:leftChars="0" w:right="0"/>
              <w:jc w:val="left"/>
              <w:rPr>
                <w:rFonts w:hint="default" w:ascii="仿宋" w:hAnsi="仿宋" w:eastAsia="仿宋" w:cs="仿宋"/>
                <w:b w:val="0"/>
                <w:bCs w:val="0"/>
                <w:sz w:val="21"/>
                <w:szCs w:val="21"/>
                <w:vertAlign w:val="baseline"/>
                <w:lang w:eastAsia="zh-CN"/>
              </w:rPr>
            </w:pPr>
            <w:r>
              <w:rPr>
                <w:rFonts w:hint="eastAsia" w:ascii="仿宋" w:hAnsi="仿宋" w:eastAsia="仿宋" w:cs="仿宋"/>
                <w:b w:val="0"/>
                <w:bCs w:val="0"/>
                <w:sz w:val="21"/>
                <w:szCs w:val="21"/>
                <w:vertAlign w:val="baseline"/>
                <w:lang w:eastAsia="zh-CN"/>
              </w:rPr>
              <w:t>招标代理需提供材料：</w:t>
            </w:r>
          </w:p>
          <w:p>
            <w:pPr>
              <w:keepNext w:val="0"/>
              <w:keepLines w:val="0"/>
              <w:suppressLineNumbers w:val="0"/>
              <w:spacing w:before="0" w:beforeAutospacing="0" w:after="0" w:afterAutospacing="0" w:line="276" w:lineRule="auto"/>
              <w:ind w:left="0" w:leftChars="0" w:right="0"/>
              <w:jc w:val="left"/>
              <w:rPr>
                <w:rFonts w:hint="default" w:ascii="仿宋" w:hAnsi="仿宋" w:eastAsia="仿宋" w:cs="仿宋"/>
                <w:b w:val="0"/>
                <w:bCs w:val="0"/>
                <w:sz w:val="21"/>
                <w:szCs w:val="21"/>
                <w:vertAlign w:val="baseline"/>
                <w:lang w:eastAsia="zh-CN"/>
              </w:rPr>
            </w:pPr>
            <w:r>
              <w:rPr>
                <w:rFonts w:hint="eastAsia" w:ascii="仿宋" w:hAnsi="仿宋" w:eastAsia="仿宋" w:cs="仿宋"/>
                <w:b w:val="0"/>
                <w:bCs w:val="0"/>
                <w:color w:val="auto"/>
                <w:sz w:val="21"/>
                <w:szCs w:val="21"/>
                <w:vertAlign w:val="baseline"/>
                <w:lang w:val="en-US" w:eastAsia="zh-CN"/>
              </w:rPr>
              <w:t>①</w:t>
            </w:r>
            <w:r>
              <w:rPr>
                <w:rFonts w:hint="eastAsia" w:ascii="仿宋" w:hAnsi="仿宋" w:eastAsia="仿宋" w:cs="仿宋"/>
                <w:b w:val="0"/>
                <w:bCs w:val="0"/>
                <w:sz w:val="21"/>
                <w:szCs w:val="21"/>
                <w:vertAlign w:val="baseline"/>
                <w:lang w:eastAsia="zh-CN"/>
              </w:rPr>
              <w:t>招标代理合同</w:t>
            </w:r>
          </w:p>
          <w:p>
            <w:pPr>
              <w:keepNext w:val="0"/>
              <w:keepLines w:val="0"/>
              <w:suppressLineNumbers w:val="0"/>
              <w:spacing w:before="0" w:beforeAutospacing="0" w:after="0" w:afterAutospacing="0" w:line="276" w:lineRule="auto"/>
              <w:ind w:left="0" w:leftChars="0" w:right="0"/>
              <w:jc w:val="left"/>
              <w:rPr>
                <w:rFonts w:hint="default" w:ascii="仿宋" w:hAnsi="仿宋" w:eastAsia="仿宋" w:cs="仿宋"/>
                <w:b w:val="0"/>
                <w:bCs w:val="0"/>
                <w:sz w:val="21"/>
                <w:szCs w:val="21"/>
                <w:vertAlign w:val="baseline"/>
                <w:lang w:eastAsia="zh-CN"/>
              </w:rPr>
            </w:pPr>
            <w:r>
              <w:rPr>
                <w:rFonts w:hint="eastAsia" w:ascii="仿宋" w:hAnsi="仿宋" w:eastAsia="仿宋" w:cs="仿宋"/>
                <w:b w:val="0"/>
                <w:bCs w:val="0"/>
                <w:color w:val="auto"/>
                <w:sz w:val="21"/>
                <w:szCs w:val="21"/>
                <w:vertAlign w:val="baseline"/>
                <w:lang w:val="en-US" w:eastAsia="zh-CN"/>
              </w:rPr>
              <w:t>②</w:t>
            </w:r>
            <w:r>
              <w:rPr>
                <w:rFonts w:hint="eastAsia" w:ascii="仿宋" w:hAnsi="仿宋" w:eastAsia="仿宋" w:cs="仿宋"/>
                <w:b w:val="0"/>
                <w:bCs w:val="0"/>
                <w:sz w:val="21"/>
                <w:szCs w:val="21"/>
                <w:vertAlign w:val="baseline"/>
                <w:lang w:eastAsia="zh-CN"/>
              </w:rPr>
              <w:t>法定代表人证明书</w:t>
            </w:r>
          </w:p>
          <w:p>
            <w:pPr>
              <w:keepNext w:val="0"/>
              <w:keepLines w:val="0"/>
              <w:suppressLineNumbers w:val="0"/>
              <w:spacing w:before="0" w:beforeAutospacing="0" w:after="0" w:afterAutospacing="0" w:line="276" w:lineRule="auto"/>
              <w:ind w:left="0" w:leftChars="0" w:right="0"/>
              <w:jc w:val="left"/>
              <w:rPr>
                <w:rFonts w:hint="default" w:ascii="仿宋" w:hAnsi="仿宋" w:eastAsia="仿宋" w:cs="仿宋"/>
                <w:b w:val="0"/>
                <w:bCs w:val="0"/>
                <w:color w:val="auto"/>
                <w:sz w:val="21"/>
                <w:szCs w:val="21"/>
                <w:vertAlign w:val="baseline"/>
                <w:lang w:eastAsia="zh-CN"/>
              </w:rPr>
            </w:pPr>
            <w:r>
              <w:rPr>
                <w:rFonts w:hint="eastAsia" w:ascii="仿宋" w:hAnsi="仿宋" w:eastAsia="仿宋" w:cs="仿宋"/>
                <w:b w:val="0"/>
                <w:bCs w:val="0"/>
                <w:sz w:val="21"/>
                <w:szCs w:val="21"/>
                <w:vertAlign w:val="baseline"/>
                <w:lang w:val="en-US" w:eastAsia="zh-CN"/>
              </w:rPr>
              <w:t>③法</w:t>
            </w:r>
            <w:r>
              <w:rPr>
                <w:rFonts w:hint="eastAsia" w:ascii="仿宋" w:hAnsi="仿宋" w:eastAsia="仿宋" w:cs="仿宋"/>
                <w:b w:val="0"/>
                <w:bCs w:val="0"/>
                <w:color w:val="auto"/>
                <w:sz w:val="21"/>
                <w:szCs w:val="21"/>
                <w:vertAlign w:val="baseline"/>
                <w:lang w:eastAsia="zh-CN"/>
              </w:rPr>
              <w:t>定代表人授权委托</w:t>
            </w:r>
            <w:r>
              <w:rPr>
                <w:rFonts w:hint="eastAsia" w:ascii="仿宋" w:hAnsi="仿宋" w:eastAsia="仿宋" w:cs="仿宋"/>
                <w:b w:val="0"/>
                <w:bCs w:val="0"/>
                <w:color w:val="auto"/>
                <w:sz w:val="21"/>
                <w:szCs w:val="21"/>
                <w:vertAlign w:val="baseline"/>
                <w:lang w:val="en-US" w:eastAsia="zh-CN"/>
              </w:rPr>
              <w:t>书</w:t>
            </w:r>
            <w:r>
              <w:rPr>
                <w:rFonts w:hint="eastAsia" w:ascii="仿宋" w:hAnsi="仿宋" w:eastAsia="仿宋" w:cs="仿宋"/>
                <w:b w:val="0"/>
                <w:bCs w:val="0"/>
                <w:color w:val="auto"/>
                <w:sz w:val="21"/>
                <w:szCs w:val="21"/>
                <w:vertAlign w:val="baseline"/>
                <w:lang w:eastAsia="zh-CN"/>
              </w:rPr>
              <w:t>、被委托人身份证</w:t>
            </w:r>
          </w:p>
        </w:tc>
        <w:tc>
          <w:tcPr>
            <w:tcW w:w="1123" w:type="dxa"/>
            <w:vAlign w:val="center"/>
          </w:tcPr>
          <w:p>
            <w:pPr>
              <w:keepNext w:val="0"/>
              <w:keepLines w:val="0"/>
              <w:suppressLineNumbers w:val="0"/>
              <w:spacing w:before="0" w:beforeAutospacing="0" w:after="0" w:afterAutospacing="0" w:line="276" w:lineRule="auto"/>
              <w:ind w:left="0" w:leftChars="0" w:right="0"/>
              <w:jc w:val="center"/>
              <w:rPr>
                <w:rFonts w:hint="default" w:ascii="仿宋" w:hAnsi="仿宋" w:eastAsia="仿宋" w:cs="仿宋"/>
                <w:b w:val="0"/>
                <w:bCs w:val="0"/>
                <w:sz w:val="21"/>
                <w:szCs w:val="21"/>
                <w:vertAlign w:val="baseline"/>
                <w:lang w:eastAsia="zh-CN"/>
              </w:rPr>
            </w:pPr>
            <w:r>
              <w:rPr>
                <w:rFonts w:hint="eastAsia" w:ascii="仿宋" w:hAnsi="仿宋" w:eastAsia="仿宋" w:cs="仿宋"/>
                <w:b w:val="0"/>
                <w:bCs w:val="0"/>
                <w:sz w:val="21"/>
                <w:szCs w:val="21"/>
                <w:vertAlign w:val="baseline"/>
                <w:lang w:eastAsia="zh-CN"/>
              </w:rPr>
              <w:t>电子化</w:t>
            </w:r>
          </w:p>
        </w:tc>
        <w:tc>
          <w:tcPr>
            <w:tcW w:w="4437" w:type="dxa"/>
            <w:vAlign w:val="center"/>
          </w:tcPr>
          <w:p>
            <w:pPr>
              <w:keepNext w:val="0"/>
              <w:keepLines w:val="0"/>
              <w:suppressLineNumbers w:val="0"/>
              <w:spacing w:before="0" w:beforeAutospacing="0" w:after="0" w:afterAutospacing="0" w:line="276" w:lineRule="auto"/>
              <w:ind w:left="0" w:leftChars="0" w:right="0"/>
              <w:jc w:val="left"/>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eastAsia="zh-CN"/>
              </w:rPr>
              <w:t>有招标代理</w:t>
            </w:r>
            <w:r>
              <w:rPr>
                <w:rFonts w:hint="eastAsia" w:ascii="仿宋" w:hAnsi="仿宋" w:eastAsia="仿宋" w:cs="仿宋"/>
                <w:b w:val="0"/>
                <w:bCs w:val="0"/>
                <w:sz w:val="21"/>
                <w:szCs w:val="21"/>
                <w:vertAlign w:val="baseline"/>
                <w:lang w:val="en-US" w:eastAsia="zh-CN"/>
              </w:rPr>
              <w:t>时</w:t>
            </w:r>
            <w:r>
              <w:rPr>
                <w:rFonts w:hint="eastAsia" w:ascii="仿宋" w:hAnsi="仿宋" w:eastAsia="仿宋" w:cs="仿宋"/>
                <w:b w:val="0"/>
                <w:bCs w:val="0"/>
                <w:sz w:val="21"/>
                <w:szCs w:val="21"/>
                <w:vertAlign w:val="baseline"/>
                <w:lang w:eastAsia="zh-CN"/>
              </w:rPr>
              <w:t>提供</w:t>
            </w:r>
          </w:p>
        </w:tc>
      </w:tr>
    </w:tbl>
    <w:p>
      <w:pPr>
        <w:numPr>
          <w:ilvl w:val="-1"/>
          <w:numId w:val="0"/>
        </w:numPr>
        <w:spacing w:beforeLines="0"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2、资格条件设置</w:t>
      </w:r>
    </w:p>
    <w:p>
      <w:pPr>
        <w:spacing w:beforeLines="0"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根据《关于建设工程招标投标改革的若干规定》（深府〔2015〕73号）、《关于进一步完善建设工程招标投标制度的若干措施》（深建规〔2020〕1号）及相关资质管理办法对评估项目设置的投标人企业资质、项目负责人资格及业绩要求的合规性进行核查。</w:t>
      </w:r>
    </w:p>
    <w:p>
      <w:pPr>
        <w:numPr>
          <w:ilvl w:val="-1"/>
          <w:numId w:val="0"/>
        </w:numPr>
        <w:spacing w:beforeLines="0"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3、投标保证金</w:t>
      </w:r>
    </w:p>
    <w:p>
      <w:pPr>
        <w:numPr>
          <w:ilvl w:val="-1"/>
          <w:numId w:val="0"/>
        </w:numPr>
        <w:spacing w:beforeLines="0"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根据《关于严格规范房屋市政工程保证担保管理工作的通知》(粤建市函〔2019〕911号）、《深圳市住房和建设局关于推行工程投标保证保险的通知》（</w:t>
      </w:r>
      <w:r>
        <w:rPr>
          <w:rFonts w:hint="eastAsia" w:ascii="仿宋_GB2312" w:hAnsi="仿宋_GB2312" w:eastAsia="仿宋_GB2312" w:cs="仿宋_GB2312"/>
          <w:i w:val="0"/>
          <w:iCs w:val="0"/>
          <w:caps w:val="0"/>
          <w:spacing w:val="0"/>
          <w:sz w:val="28"/>
          <w:szCs w:val="24"/>
          <w:shd w:val="clear"/>
        </w:rPr>
        <w:t>深建市场〔2020〕30号</w:t>
      </w:r>
      <w:r>
        <w:rPr>
          <w:rFonts w:hint="eastAsia" w:ascii="仿宋_GB2312" w:hAnsi="仿宋_GB2312" w:eastAsia="仿宋_GB2312" w:cs="仿宋_GB2312"/>
          <w:i w:val="0"/>
          <w:iCs w:val="0"/>
          <w:caps w:val="0"/>
          <w:spacing w:val="0"/>
          <w:sz w:val="28"/>
          <w:szCs w:val="24"/>
          <w:shd w:val="clear"/>
          <w:lang w:eastAsia="zh-CN"/>
        </w:rPr>
        <w:t>）</w:t>
      </w:r>
      <w:r>
        <w:rPr>
          <w:rFonts w:hint="eastAsia" w:ascii="仿宋_GB2312" w:hAnsi="仿宋_GB2312" w:eastAsia="仿宋_GB2312" w:cs="仿宋_GB2312"/>
          <w:sz w:val="28"/>
          <w:lang w:val="en-US" w:eastAsia="zh-CN"/>
        </w:rPr>
        <w:t>等规定，对评估项目设置的投标保证金金额是否超过项目估价的2%或50万元、形式是否接受保函（保险）进行核查。</w:t>
      </w:r>
    </w:p>
    <w:p>
      <w:pPr>
        <w:numPr>
          <w:ilvl w:val="-1"/>
          <w:numId w:val="0"/>
        </w:numPr>
        <w:spacing w:beforeLines="0"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4、招标文件</w:t>
      </w:r>
    </w:p>
    <w:p>
      <w:pPr>
        <w:spacing w:beforeLines="0" w:afterLines="0" w:line="560" w:lineRule="exact"/>
        <w:ind w:firstLine="560" w:firstLineChars="200"/>
        <w:jc w:val="left"/>
        <w:rPr>
          <w:rFonts w:hint="eastAsia" w:ascii="仿宋_GB2312" w:hAnsi="仿宋_GB2312" w:eastAsia="仿宋_GB2312" w:cs="仿宋_GB2312"/>
          <w:sz w:val="28"/>
          <w:lang w:eastAsia="zh-CN"/>
        </w:rPr>
      </w:pPr>
      <w:r>
        <w:rPr>
          <w:rFonts w:hint="eastAsia" w:ascii="仿宋_GB2312" w:hAnsi="仿宋_GB2312" w:eastAsia="仿宋_GB2312" w:cs="仿宋_GB2312"/>
          <w:sz w:val="28"/>
          <w:lang w:val="en-US" w:eastAsia="zh-CN"/>
        </w:rPr>
        <w:t>根据《关于建设工程招标投标改革的若干规定》（深府〔2015〕73号）等规定对招标文件是否合理、是否存在前后不一致、是否按规定设置相关条款等方面进行核查。</w:t>
      </w:r>
    </w:p>
    <w:p>
      <w:pPr>
        <w:pStyle w:val="3"/>
        <w:spacing w:before="0" w:beforeLines="0" w:line="560" w:lineRule="exact"/>
        <w:ind w:left="0" w:leftChars="0"/>
        <w:rPr>
          <w:rFonts w:hint="eastAsia" w:ascii="黑体" w:hAnsi="黑体" w:eastAsia="黑体" w:cs="黑体"/>
          <w:b w:val="0"/>
          <w:bCs/>
          <w:szCs w:val="28"/>
        </w:rPr>
      </w:pPr>
      <w:bookmarkStart w:id="243" w:name="_Toc9599"/>
      <w:bookmarkStart w:id="244" w:name="_Toc14082"/>
      <w:bookmarkStart w:id="245" w:name="_Toc1902"/>
      <w:bookmarkStart w:id="246" w:name="_Toc29935"/>
      <w:bookmarkStart w:id="247" w:name="_Toc15377"/>
      <w:bookmarkStart w:id="248" w:name="_Toc1935"/>
      <w:bookmarkStart w:id="249" w:name="_Toc19159"/>
      <w:bookmarkStart w:id="250" w:name="_Toc7610"/>
      <w:bookmarkStart w:id="251" w:name="_Toc8705"/>
      <w:bookmarkStart w:id="252" w:name="_Toc10334"/>
      <w:bookmarkStart w:id="253" w:name="_Toc8874"/>
      <w:bookmarkStart w:id="254" w:name="_Toc16218"/>
      <w:bookmarkStart w:id="255" w:name="_Toc11964"/>
      <w:bookmarkStart w:id="256" w:name="_Toc11280"/>
      <w:bookmarkStart w:id="257" w:name="_Toc22757"/>
      <w:bookmarkStart w:id="258" w:name="_Toc8281"/>
      <w:bookmarkStart w:id="259" w:name="_Toc26827"/>
      <w:bookmarkStart w:id="260" w:name="_Toc19074"/>
      <w:bookmarkStart w:id="261" w:name="_Toc18849"/>
      <w:bookmarkStart w:id="262" w:name="_Toc15431"/>
      <w:bookmarkStart w:id="263" w:name="_Toc12371"/>
      <w:bookmarkStart w:id="264" w:name="_Toc31797"/>
      <w:bookmarkStart w:id="265" w:name="_Toc24353"/>
      <w:bookmarkStart w:id="266" w:name="_Toc10798"/>
      <w:bookmarkStart w:id="267" w:name="_Toc25193"/>
      <w:bookmarkStart w:id="268" w:name="_Toc10745_WPSOffice_Level3"/>
      <w:bookmarkStart w:id="269" w:name="_Toc15191"/>
      <w:bookmarkStart w:id="270" w:name="_Toc6613"/>
      <w:bookmarkStart w:id="271" w:name="_Toc17787"/>
      <w:bookmarkStart w:id="272" w:name="_Toc19394"/>
      <w:r>
        <w:rPr>
          <w:rFonts w:hint="eastAsia" w:ascii="黑体" w:hAnsi="黑体" w:eastAsia="黑体" w:cs="黑体"/>
          <w:b w:val="0"/>
          <w:bCs/>
          <w:szCs w:val="28"/>
        </w:rPr>
        <w:t>2.</w:t>
      </w:r>
      <w:r>
        <w:rPr>
          <w:rFonts w:hint="eastAsia" w:ascii="黑体" w:hAnsi="黑体" w:eastAsia="黑体" w:cs="黑体"/>
          <w:b w:val="0"/>
          <w:bCs/>
          <w:szCs w:val="28"/>
          <w:lang w:val="en-US" w:eastAsia="zh-CN"/>
        </w:rPr>
        <w:t>2</w:t>
      </w:r>
      <w:r>
        <w:rPr>
          <w:rFonts w:hint="eastAsia" w:ascii="黑体" w:hAnsi="黑体" w:eastAsia="黑体" w:cs="黑体"/>
          <w:b w:val="0"/>
          <w:bCs/>
          <w:szCs w:val="28"/>
        </w:rPr>
        <w:t>开标环节</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numPr>
          <w:ilvl w:val="-1"/>
          <w:numId w:val="0"/>
        </w:numPr>
        <w:spacing w:beforeLines="0"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1、资格审查</w:t>
      </w:r>
    </w:p>
    <w:p>
      <w:pPr>
        <w:spacing w:beforeLines="0"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根据评估项目设置的企业资质、项目负责人资格、业绩要求等投标资格条件以及其他资格审查要求，对资格审查结果的合规性进行核查。</w:t>
      </w:r>
    </w:p>
    <w:p>
      <w:pPr>
        <w:spacing w:beforeLines="0"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2、投标人报价区间分布情况</w:t>
      </w:r>
    </w:p>
    <w:p>
      <w:pPr>
        <w:spacing w:beforeLines="0" w:line="560" w:lineRule="exact"/>
        <w:ind w:firstLine="560" w:firstLineChars="200"/>
        <w:rPr>
          <w:rFonts w:hint="eastAsia" w:ascii="仿宋_GB2312" w:hAnsi="仿宋_GB2312" w:eastAsia="仿宋_GB2312" w:cs="仿宋_GB2312"/>
          <w:sz w:val="28"/>
          <w:szCs w:val="24"/>
          <w:shd w:val="clear"/>
        </w:rPr>
      </w:pPr>
      <w:r>
        <w:rPr>
          <w:rFonts w:hint="eastAsia" w:ascii="仿宋_GB2312" w:hAnsi="仿宋_GB2312" w:eastAsia="仿宋_GB2312" w:cs="仿宋_GB2312"/>
          <w:sz w:val="28"/>
        </w:rPr>
        <w:t>将全部投标人中的最低报价至投标报价上限价从低到高平均分为三个等分区间（详见下</w:t>
      </w:r>
      <w:r>
        <w:rPr>
          <w:rFonts w:hint="eastAsia" w:ascii="仿宋_GB2312" w:hAnsi="仿宋_GB2312" w:eastAsia="仿宋_GB2312" w:cs="仿宋_GB2312"/>
          <w:sz w:val="28"/>
          <w:lang w:val="en-US" w:eastAsia="zh-CN"/>
        </w:rPr>
        <w:t>图一</w:t>
      </w:r>
      <w:r>
        <w:rPr>
          <w:rFonts w:hint="eastAsia" w:ascii="仿宋_GB2312" w:hAnsi="仿宋_GB2312" w:eastAsia="仿宋_GB2312" w:cs="仿宋_GB2312"/>
          <w:sz w:val="28"/>
        </w:rPr>
        <w:t>），其中区间1、2为投标报价中低</w:t>
      </w:r>
      <w:r>
        <w:rPr>
          <w:rFonts w:hint="eastAsia" w:ascii="仿宋_GB2312" w:hAnsi="仿宋_GB2312" w:eastAsia="仿宋_GB2312" w:cs="仿宋_GB2312"/>
          <w:sz w:val="28"/>
          <w:szCs w:val="24"/>
          <w:shd w:val="clear"/>
        </w:rPr>
        <w:t>区间，区间3为投标报价高区间</w:t>
      </w:r>
      <w:r>
        <w:rPr>
          <w:rFonts w:hint="eastAsia" w:ascii="仿宋_GB2312" w:hAnsi="仿宋_GB2312" w:eastAsia="仿宋_GB2312" w:cs="仿宋_GB2312"/>
          <w:sz w:val="28"/>
          <w:szCs w:val="24"/>
          <w:shd w:val="clear"/>
          <w:lang w:eastAsia="zh-CN"/>
        </w:rPr>
        <w:t>。</w:t>
      </w:r>
      <w:r>
        <w:rPr>
          <w:rFonts w:hint="eastAsia" w:ascii="仿宋_GB2312" w:hAnsi="仿宋_GB2312" w:eastAsia="仿宋_GB2312" w:cs="仿宋_GB2312"/>
          <w:sz w:val="28"/>
        </w:rPr>
        <w:t>统计投标人报价的区间分布情况</w:t>
      </w:r>
      <w:r>
        <w:rPr>
          <w:rFonts w:hint="eastAsia" w:ascii="仿宋_GB2312" w:hAnsi="仿宋_GB2312" w:eastAsia="仿宋_GB2312" w:cs="仿宋_GB2312"/>
          <w:sz w:val="28"/>
          <w:lang w:val="en-US" w:eastAsia="zh-CN"/>
        </w:rPr>
        <w:t>（详见表三）</w:t>
      </w:r>
      <w:r>
        <w:rPr>
          <w:rFonts w:hint="eastAsia" w:ascii="仿宋_GB2312" w:hAnsi="仿宋_GB2312" w:eastAsia="仿宋_GB2312" w:cs="仿宋_GB2312"/>
          <w:sz w:val="28"/>
        </w:rPr>
        <w:t>，</w:t>
      </w:r>
      <w:r>
        <w:rPr>
          <w:rFonts w:hint="eastAsia" w:ascii="仿宋_GB2312" w:hAnsi="仿宋_GB2312" w:eastAsia="仿宋_GB2312" w:cs="仿宋_GB2312"/>
          <w:sz w:val="28"/>
          <w:lang w:val="en-US" w:eastAsia="zh-CN"/>
        </w:rPr>
        <w:t>对投标人报价及招标人价格引导机制的合理性进行分析。</w:t>
      </w:r>
    </w:p>
    <w:p>
      <w:pPr>
        <w:spacing w:beforeLines="0" w:line="560" w:lineRule="exact"/>
        <w:ind w:firstLine="480" w:firstLineChars="200"/>
        <w:jc w:val="center"/>
        <w:rPr>
          <w:rFonts w:hint="eastAsia" w:ascii="黑体" w:hAnsi="黑体" w:eastAsia="黑体" w:cs="黑体"/>
          <w:sz w:val="24"/>
          <w:szCs w:val="22"/>
          <w:shd w:val="clear"/>
        </w:rPr>
      </w:pPr>
      <w:r>
        <w:rPr>
          <w:rFonts w:hint="eastAsia" w:ascii="黑体" w:hAnsi="黑体" w:eastAsia="黑体" w:cs="黑体"/>
          <w:sz w:val="24"/>
          <w:szCs w:val="24"/>
        </w:rPr>
        <w:t>图</w:t>
      </w:r>
      <w:r>
        <w:rPr>
          <w:rFonts w:hint="eastAsia" w:ascii="黑体" w:hAnsi="黑体" w:eastAsia="黑体" w:cs="黑体"/>
          <w:sz w:val="24"/>
          <w:szCs w:val="24"/>
          <w:lang w:val="en-US" w:eastAsia="zh-CN"/>
        </w:rPr>
        <w:t>一</w:t>
      </w:r>
      <w:r>
        <w:rPr>
          <w:rFonts w:hint="eastAsia" w:ascii="黑体" w:hAnsi="黑体" w:eastAsia="黑体" w:cs="黑体"/>
          <w:sz w:val="24"/>
          <w:szCs w:val="24"/>
        </w:rPr>
        <w:t xml:space="preserve">  区间1、2、3的三等分结构关系图</w:t>
      </w:r>
    </w:p>
    <w:p>
      <w:pPr>
        <w:pageBreakBefore w:val="0"/>
        <w:kinsoku/>
        <w:wordWrap/>
        <w:overflowPunct/>
        <w:topLinePunct w:val="0"/>
        <w:autoSpaceDE/>
        <w:autoSpaceDN/>
        <w:bidi w:val="0"/>
        <w:adjustRightInd/>
        <w:snapToGrid/>
        <w:spacing w:line="560" w:lineRule="exact"/>
        <w:jc w:val="both"/>
        <w:outlineLvl w:val="9"/>
        <w:rPr>
          <w:rFonts w:hint="default" w:asciiTheme="minorEastAsia" w:hAnsiTheme="minorEastAsia" w:cstheme="minorEastAsia"/>
          <w:sz w:val="28"/>
          <w:szCs w:val="28"/>
          <w:u w:val="none"/>
          <w:lang w:val="en-US" w:eastAsia="zh-CN"/>
        </w:rPr>
      </w:pPr>
      <w:bookmarkStart w:id="273" w:name="_Toc5482"/>
      <w:bookmarkStart w:id="274" w:name="_Toc15010"/>
      <w:bookmarkStart w:id="275" w:name="_Toc3892"/>
      <w:bookmarkStart w:id="276" w:name="_Toc12382"/>
      <w:bookmarkStart w:id="277" w:name="_Toc17678"/>
      <w:bookmarkStart w:id="278" w:name="_Toc8303"/>
      <w:bookmarkStart w:id="279" w:name="_Toc23958"/>
      <w:bookmarkStart w:id="280" w:name="_Toc28690_WPSOffice_Level3"/>
      <w:bookmarkStart w:id="281" w:name="_Toc28199"/>
      <w:bookmarkStart w:id="282" w:name="_Toc27322"/>
      <w:bookmarkStart w:id="283" w:name="_Toc5905"/>
      <w:bookmarkStart w:id="284" w:name="_Toc8851"/>
      <w:bookmarkStart w:id="285" w:name="_Toc21472"/>
      <w:bookmarkStart w:id="286" w:name="_Toc19876"/>
      <w:bookmarkStart w:id="287" w:name="_Toc18732"/>
      <w:bookmarkStart w:id="288" w:name="_Toc29783"/>
      <w:bookmarkStart w:id="289" w:name="_Toc15610"/>
      <w:bookmarkStart w:id="290" w:name="_Toc6898"/>
      <w:bookmarkStart w:id="291" w:name="_Toc25830"/>
      <w:bookmarkStart w:id="292" w:name="_Toc13739"/>
      <w:bookmarkStart w:id="293" w:name="_Toc24379"/>
      <w:bookmarkStart w:id="294" w:name="_Toc17082"/>
      <w:bookmarkStart w:id="295" w:name="_Toc9511"/>
      <w:bookmarkStart w:id="296" w:name="_Toc32607"/>
      <w:r>
        <w:rPr>
          <w:rFonts w:hint="eastAsia"/>
        </w:rPr>
        <mc:AlternateContent>
          <mc:Choice Requires="wps">
            <w:drawing>
              <wp:anchor distT="0" distB="0" distL="114300" distR="114300" simplePos="0" relativeHeight="251662336" behindDoc="0" locked="0" layoutInCell="1" allowOverlap="1">
                <wp:simplePos x="0" y="0"/>
                <wp:positionH relativeFrom="column">
                  <wp:posOffset>2575560</wp:posOffset>
                </wp:positionH>
                <wp:positionV relativeFrom="paragraph">
                  <wp:posOffset>1264285</wp:posOffset>
                </wp:positionV>
                <wp:extent cx="1131570" cy="260985"/>
                <wp:effectExtent l="0" t="0" r="0" b="0"/>
                <wp:wrapTopAndBottom/>
                <wp:docPr id="32" name="文本框 32"/>
                <wp:cNvGraphicFramePr/>
                <a:graphic xmlns:a="http://schemas.openxmlformats.org/drawingml/2006/main">
                  <a:graphicData uri="http://schemas.microsoft.com/office/word/2010/wordprocessingShape">
                    <wps:wsp>
                      <wps:cNvSpPr txBox="true"/>
                      <wps:spPr>
                        <a:xfrm>
                          <a:off x="0" y="0"/>
                          <a:ext cx="113157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rPr>
                            </w:pPr>
                            <w:r>
                              <w:rPr>
                                <w:rFonts w:hint="eastAsia" w:ascii="仿宋" w:hAnsi="仿宋" w:eastAsia="仿宋" w:cs="仿宋"/>
                              </w:rPr>
                              <w:t>区间1（低区间）</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02.8pt;margin-top:99.55pt;height:20.55pt;width:89.1pt;mso-wrap-distance-bottom:0pt;mso-wrap-distance-top:0pt;z-index:251662336;mso-width-relative:page;mso-height-relative:page;" filled="f" stroked="f" coordsize="21600,21600" o:gfxdata="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VH4mmtsAAAALAQAADwAAAAAAAAABACAAAAA4AAAA&#10;ZHJzL2Rvd25yZXYueG1sUEsBAhQAFAAAAAgAh07iQKpmjkEnAgAALAQAAA4AAAAAAAAAAQAgAAAA&#10;QAEAAGRycy9lMm9Eb2MueG1sUEsFBgAAAAAGAAYAWQEAANkFAAAAAA==&#10;">
                <v:fill on="f" focussize="0,0"/>
                <v:stroke on="f" weight="0.5pt"/>
                <v:imagedata o:title=""/>
                <o:lock v:ext="edit" aspectratio="f"/>
                <v:textbox>
                  <w:txbxContent>
                    <w:p>
                      <w:pPr>
                        <w:rPr>
                          <w:rFonts w:hint="eastAsia" w:ascii="仿宋" w:hAnsi="仿宋" w:eastAsia="仿宋" w:cs="仿宋"/>
                        </w:rPr>
                      </w:pPr>
                      <w:r>
                        <w:rPr>
                          <w:rFonts w:hint="eastAsia" w:ascii="仿宋" w:hAnsi="仿宋" w:eastAsia="仿宋" w:cs="仿宋"/>
                        </w:rPr>
                        <w:t>区间1（低区间）</w:t>
                      </w:r>
                    </w:p>
                  </w:txbxContent>
                </v:textbox>
                <w10:wrap type="topAndBottom"/>
              </v:shape>
            </w:pict>
          </mc:Fallback>
        </mc:AlternateContent>
      </w:r>
      <w:r>
        <w:rPr>
          <w:rFonts w:hint="eastAsia" w:ascii="黑体" w:hAnsi="黑体" w:eastAsia="黑体" w:cs="黑体"/>
          <w:sz w:val="28"/>
          <w:szCs w:val="28"/>
        </w:rPr>
        <mc:AlternateContent>
          <mc:Choice Requires="wpg">
            <w:drawing>
              <wp:anchor distT="0" distB="0" distL="114300" distR="114300" simplePos="0" relativeHeight="251661312" behindDoc="0" locked="0" layoutInCell="1" allowOverlap="1">
                <wp:simplePos x="0" y="0"/>
                <wp:positionH relativeFrom="column">
                  <wp:posOffset>1828165</wp:posOffset>
                </wp:positionH>
                <wp:positionV relativeFrom="paragraph">
                  <wp:posOffset>78740</wp:posOffset>
                </wp:positionV>
                <wp:extent cx="1881505" cy="1893570"/>
                <wp:effectExtent l="0" t="0" r="0" b="0"/>
                <wp:wrapTopAndBottom/>
                <wp:docPr id="33" name="组合 33"/>
                <wp:cNvGraphicFramePr/>
                <a:graphic xmlns:a="http://schemas.openxmlformats.org/drawingml/2006/main">
                  <a:graphicData uri="http://schemas.microsoft.com/office/word/2010/wordprocessingGroup">
                    <wpg:wgp>
                      <wpg:cNvGrpSpPr/>
                      <wpg:grpSpPr>
                        <a:xfrm>
                          <a:off x="0" y="0"/>
                          <a:ext cx="1881505" cy="1893570"/>
                          <a:chOff x="5274" y="269668"/>
                          <a:chExt cx="2963" cy="2982"/>
                        </a:xfrm>
                      </wpg:grpSpPr>
                      <wpg:grpSp>
                        <wpg:cNvPr id="34" name="组合 13"/>
                        <wpg:cNvGrpSpPr/>
                        <wpg:grpSpPr>
                          <a:xfrm>
                            <a:off x="6293" y="270088"/>
                            <a:ext cx="192" cy="1994"/>
                            <a:chOff x="6293" y="270077"/>
                            <a:chExt cx="192" cy="1994"/>
                          </a:xfrm>
                        </wpg:grpSpPr>
                        <wps:wsp>
                          <wps:cNvPr id="35" name="直接箭头连接符 2"/>
                          <wps:cNvCnPr/>
                          <wps:spPr>
                            <a:xfrm flipH="true">
                              <a:off x="6299" y="270077"/>
                              <a:ext cx="15" cy="199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36" name="直接连接符 3"/>
                          <wps:cNvCnPr/>
                          <wps:spPr>
                            <a:xfrm flipV="true">
                              <a:off x="6303" y="270717"/>
                              <a:ext cx="182" cy="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连接符 4"/>
                          <wps:cNvCnPr/>
                          <wps:spPr>
                            <a:xfrm>
                              <a:off x="6293" y="271381"/>
                              <a:ext cx="171"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38" name="文本框 5"/>
                        <wps:cNvSpPr txBox="true"/>
                        <wps:spPr>
                          <a:xfrm>
                            <a:off x="5274" y="272172"/>
                            <a:ext cx="2736" cy="47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rPr>
                              </w:pPr>
                              <w:r>
                                <w:rPr>
                                  <w:rFonts w:hint="eastAsia" w:ascii="仿宋" w:hAnsi="仿宋" w:eastAsia="仿宋" w:cs="仿宋"/>
                                </w:rPr>
                                <w:t>全部投标人中的最低报价</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39" name="文本框 6"/>
                        <wps:cNvSpPr txBox="true"/>
                        <wps:spPr>
                          <a:xfrm>
                            <a:off x="5432" y="269668"/>
                            <a:ext cx="1923" cy="41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rPr>
                              </w:pPr>
                              <w:r>
                                <w:rPr>
                                  <w:rFonts w:hint="eastAsia" w:ascii="仿宋" w:hAnsi="仿宋" w:eastAsia="仿宋" w:cs="仿宋"/>
                                </w:rPr>
                                <w:t>投标报价上限价</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29" name="文本框 8"/>
                        <wps:cNvSpPr txBox="true"/>
                        <wps:spPr>
                          <a:xfrm>
                            <a:off x="6455" y="270848"/>
                            <a:ext cx="1782" cy="41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rPr>
                              </w:pPr>
                              <w:r>
                                <w:rPr>
                                  <w:rFonts w:hint="eastAsia" w:ascii="仿宋" w:hAnsi="仿宋" w:eastAsia="仿宋" w:cs="仿宋"/>
                                </w:rPr>
                                <w:t>区间2（中区间）</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30" name="文本框 9"/>
                        <wps:cNvSpPr txBox="true"/>
                        <wps:spPr>
                          <a:xfrm>
                            <a:off x="6434" y="270185"/>
                            <a:ext cx="1782" cy="41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rPr>
                              </w:pPr>
                              <w:r>
                                <w:rPr>
                                  <w:rFonts w:hint="eastAsia" w:ascii="仿宋" w:hAnsi="仿宋" w:eastAsia="仿宋" w:cs="仿宋"/>
                                </w:rPr>
                                <w:t>区间3（高区间）</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g:wgp>
                  </a:graphicData>
                </a:graphic>
              </wp:anchor>
            </w:drawing>
          </mc:Choice>
          <mc:Fallback>
            <w:pict>
              <v:group id="_x0000_s1026" o:spid="_x0000_s1026" o:spt="203" style="position:absolute;left:0pt;margin-left:143.95pt;margin-top:6.2pt;height:149.1pt;width:148.15pt;mso-wrap-distance-bottom:0pt;mso-wrap-distance-top:0pt;z-index:251661312;mso-width-relative:page;mso-height-relative:page;" coordorigin="5274,269668" coordsize="2963,2982" o:gfxdata="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">
                <o:lock v:ext="edit" aspectratio="f"/>
                <v:group id="组合 13" o:spid="_x0000_s1026" o:spt="203" style="position:absolute;left:6293;top:270088;height:1994;width:192;" coordorigin="6293,270077" coordsize="192,1994" o:gfxdata="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MaAy3a9AAAA2wAAAA8AAAAAAAAAAQAg&#10;AAAAOAAAAGRycy9kb3ducmV2LnhtbFBLAQIUABQAAAAIAIdO4kAzLwWeOwAAADkAAAAVAAAAAAAA&#10;AAEAIAAAACIBAABkcnMvZ3JvdXBzaGFwZXhtbC54bWxQSwUGAAAAAAYABgBgAQAA3wMAAAAA&#10;">
                  <o:lock v:ext="edit" aspectratio="f"/>
                  <v:shape id="直接箭头连接符 2" o:spid="_x0000_s1026" o:spt="32" type="#_x0000_t32" style="position:absolute;left:6299;top:270077;flip:x;height:1995;width:15;" filled="f" stroked="t" coordsize="21600,21600" o:gfxdata="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iae4u+AAAA2wAAAA8AAAAAAAAAAQAgAAAAOAAAAGRycy9kb3ducmV2&#10;LnhtbFBLAQIUABQAAAAIAIdO4kAzLwWeOwAAADkAAAAQAAAAAAAAAAEAIAAAACMBAABkcnMvc2hh&#10;cGV4bWwueG1sUEsFBgAAAAAGAAYAWwEAAM0DAAAAAA==&#10;">
                    <v:fill on="f" focussize="0,0"/>
                    <v:stroke color="#4A7EBB [3204]" joinstyle="round" startarrow="open" endarrow="open"/>
                    <v:imagedata o:title=""/>
                    <o:lock v:ext="edit" aspectratio="f"/>
                  </v:shape>
                  <v:line id="直接连接符 3" o:spid="_x0000_s1026" o:spt="20" style="position:absolute;left:6303;top:270717;flip:y;height:7;width:182;" filled="f" stroked="t" coordsize="21600,21600" o:gfxdata="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Lksfm+AAAA2wAAAA8AAAAAAAAAAQAgAAAAOAAAAGRycy9kb3ducmV2&#10;LnhtbFBLAQIUABQAAAAIAIdO4kAzLwWeOwAAADkAAAAQAAAAAAAAAAEAIAAAACMBAABkcnMvc2hh&#10;cGV4bWwueG1sUEsFBgAAAAAGAAYAWwEAAM0DAAAAAA==&#10;">
                    <v:fill on="f" focussize="0,0"/>
                    <v:stroke color="#4A7EBB [3204]" joinstyle="round"/>
                    <v:imagedata o:title=""/>
                    <o:lock v:ext="edit" aspectratio="f"/>
                  </v:line>
                  <v:line id="直接连接符 4" o:spid="_x0000_s1026" o:spt="20" style="position:absolute;left:6293;top:271381;height:0;width:171;" filled="f" stroked="t" coordsize="21600,21600" o:gfxdata="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Eqt2b0AAADbAAAADwAAAAAAAAABACAAAAA4AAAAZHJzL2Rvd25yZXYu&#10;eG1sUEsBAhQAFAAAAAgAh07iQDMvBZ47AAAAOQAAABAAAAAAAAAAAQAgAAAAIgEAAGRycy9zaGFw&#10;ZXhtbC54bWxQSwUGAAAAAAYABgBbAQAAzAMAAAAA&#10;">
                    <v:fill on="f" focussize="0,0"/>
                    <v:stroke color="#4A7EBB [3204]" joinstyle="round"/>
                    <v:imagedata o:title=""/>
                    <o:lock v:ext="edit" aspectratio="f"/>
                  </v:line>
                </v:group>
                <v:shape id="文本框 5" o:spid="_x0000_s1026" o:spt="202" type="#_x0000_t202" style="position:absolute;left:5274;top:272172;height:478;width:2736;" filled="f" stroked="f" coordsize="21600,21600" o:gfxdata="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7nGea7AAAA2wAAAA8AAAAAAAAAAQAgAAAAOAAAAGRycy9kb3ducmV2Lnht&#10;bFBLAQIUABQAAAAIAIdO4kAzLwWeOwAAADkAAAAQAAAAAAAAAAEAIAAAACABAABkcnMvc2hhcGV4&#10;bWwueG1sUEsFBgAAAAAGAAYAWwEAAMoDAAAAAA==&#10;">
                  <v:fill on="f" focussize="0,0"/>
                  <v:stroke on="f" weight="0.5pt"/>
                  <v:imagedata o:title=""/>
                  <o:lock v:ext="edit" aspectratio="f"/>
                  <v:textbox>
                    <w:txbxContent>
                      <w:p>
                        <w:pPr>
                          <w:rPr>
                            <w:rFonts w:hint="eastAsia" w:ascii="仿宋" w:hAnsi="仿宋" w:eastAsia="仿宋" w:cs="仿宋"/>
                          </w:rPr>
                        </w:pPr>
                        <w:r>
                          <w:rPr>
                            <w:rFonts w:hint="eastAsia" w:ascii="仿宋" w:hAnsi="仿宋" w:eastAsia="仿宋" w:cs="仿宋"/>
                          </w:rPr>
                          <w:t>全部投标人中的最低报价</w:t>
                        </w:r>
                      </w:p>
                    </w:txbxContent>
                  </v:textbox>
                </v:shape>
                <v:shape id="文本框 6" o:spid="_x0000_s1026" o:spt="202" type="#_x0000_t202" style="position:absolute;left:5432;top:269668;height:413;width:1923;" filled="f" stroked="f" coordsize="21600,21600" o:gfxdata="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GrvH2+AAAA2wAAAA8AAAAAAAAAAQAgAAAAOAAAAGRycy9kb3ducmV2&#10;LnhtbFBLAQIUABQAAAAIAIdO4kAzLwWeOwAAADkAAAAQAAAAAAAAAAEAIAAAACMBAABkcnMvc2hh&#10;cGV4bWwueG1sUEsFBgAAAAAGAAYAWwEAAM0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rPr>
                        </w:pPr>
                        <w:r>
                          <w:rPr>
                            <w:rFonts w:hint="eastAsia" w:ascii="仿宋" w:hAnsi="仿宋" w:eastAsia="仿宋" w:cs="仿宋"/>
                          </w:rPr>
                          <w:t>投标报价上限价</w:t>
                        </w:r>
                      </w:p>
                    </w:txbxContent>
                  </v:textbox>
                </v:shape>
                <v:shape id="文本框 8" o:spid="_x0000_s1026" o:spt="202" type="#_x0000_t202" style="position:absolute;left:6455;top:270848;height:411;width:1782;" filled="f" stroked="f" coordsize="21600,21600" o:gfxdata="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UciqgvwAAANsAAAAPAAAAAAAAAAEAIAAAADgAAABkcnMvZG93bnJl&#10;di54bWxQSwECFAAUAAAACACHTuJAMy8FnjsAAAA5AAAAEAAAAAAAAAABACAAAAAkAQAAZHJzL3No&#10;YXBleG1sLnhtbFBLBQYAAAAABgAGAFsBAADOAwAAAAA=&#10;">
                  <v:fill on="f" focussize="0,0"/>
                  <v:stroke on="f" weight="0.5pt"/>
                  <v:imagedata o:title=""/>
                  <o:lock v:ext="edit" aspectratio="f"/>
                  <v:textbox>
                    <w:txbxContent>
                      <w:p>
                        <w:pPr>
                          <w:rPr>
                            <w:rFonts w:hint="eastAsia" w:ascii="仿宋" w:hAnsi="仿宋" w:eastAsia="仿宋" w:cs="仿宋"/>
                          </w:rPr>
                        </w:pPr>
                        <w:r>
                          <w:rPr>
                            <w:rFonts w:hint="eastAsia" w:ascii="仿宋" w:hAnsi="仿宋" w:eastAsia="仿宋" w:cs="仿宋"/>
                          </w:rPr>
                          <w:t>区间2（中区间）</w:t>
                        </w:r>
                      </w:p>
                    </w:txbxContent>
                  </v:textbox>
                </v:shape>
                <v:shape id="文本框 9" o:spid="_x0000_s1026" o:spt="202" type="#_x0000_t202" style="position:absolute;left:6434;top:270185;height:411;width:1782;" filled="f" stroked="f" coordsize="21600,21600" o:gfxdata="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CRFeC7AAAA2wAAAA8AAAAAAAAAAQAgAAAAOAAAAGRycy9kb3ducmV2Lnht&#10;bFBLAQIUABQAAAAIAIdO4kAzLwWeOwAAADkAAAAQAAAAAAAAAAEAIAAAACABAABkcnMvc2hhcGV4&#10;bWwueG1sUEsFBgAAAAAGAAYAWwEAAMoDAAAAAA==&#10;">
                  <v:fill on="f" focussize="0,0"/>
                  <v:stroke on="f" weight="0.5pt"/>
                  <v:imagedata o:title=""/>
                  <o:lock v:ext="edit" aspectratio="f"/>
                  <v:textbox>
                    <w:txbxContent>
                      <w:p>
                        <w:pPr>
                          <w:rPr>
                            <w:rFonts w:hint="eastAsia" w:ascii="仿宋" w:hAnsi="仿宋" w:eastAsia="仿宋" w:cs="仿宋"/>
                          </w:rPr>
                        </w:pPr>
                        <w:r>
                          <w:rPr>
                            <w:rFonts w:hint="eastAsia" w:ascii="仿宋" w:hAnsi="仿宋" w:eastAsia="仿宋" w:cs="仿宋"/>
                          </w:rPr>
                          <w:t>区间3（高区间）</w:t>
                        </w:r>
                      </w:p>
                    </w:txbxContent>
                  </v:textbox>
                </v:shape>
                <w10:wrap type="topAndBottom"/>
              </v:group>
            </w:pict>
          </mc:Fallback>
        </mc:AlternateContent>
      </w:r>
    </w:p>
    <w:tbl>
      <w:tblPr>
        <w:tblStyle w:val="18"/>
        <w:tblW w:w="10247" w:type="dxa"/>
        <w:tblInd w:w="-10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22"/>
        <w:gridCol w:w="978"/>
        <w:gridCol w:w="1125"/>
        <w:gridCol w:w="1374"/>
        <w:gridCol w:w="2036"/>
        <w:gridCol w:w="1650"/>
        <w:gridCol w:w="1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0247" w:type="dxa"/>
            <w:gridSpan w:val="7"/>
            <w:tcBorders>
              <w:top w:val="nil"/>
              <w:left w:val="nil"/>
              <w:bottom w:val="nil"/>
              <w:right w:val="nil"/>
            </w:tcBorders>
            <w:shd w:val="clear" w:color="auto" w:fill="auto"/>
            <w:noWrap/>
            <w:tcMar>
              <w:top w:w="15" w:type="dxa"/>
              <w:left w:w="15" w:type="dxa"/>
              <w:right w:w="15" w:type="dxa"/>
            </w:tcMar>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b/>
                <w:bCs/>
                <w:i w:val="0"/>
                <w:iCs w:val="0"/>
                <w:color w:val="000000"/>
                <w:sz w:val="32"/>
                <w:szCs w:val="32"/>
                <w:u w:val="none"/>
              </w:rPr>
            </w:pPr>
            <w:r>
              <w:rPr>
                <w:rFonts w:hint="eastAsia" w:ascii="黑体" w:hAnsi="黑体" w:eastAsia="黑体" w:cs="黑体"/>
                <w:b w:val="0"/>
                <w:bCs w:val="0"/>
                <w:kern w:val="2"/>
                <w:sz w:val="24"/>
                <w:szCs w:val="24"/>
                <w:u w:val="none"/>
                <w:lang w:val="en-US" w:eastAsia="zh-CN" w:bidi="ar-SA"/>
              </w:rPr>
              <w:t>表三 报价区间分布表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46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b w:val="0"/>
                <w:bCs w:val="0"/>
                <w:i w:val="0"/>
                <w:iCs w:val="0"/>
                <w:color w:val="000000"/>
                <w:kern w:val="0"/>
                <w:sz w:val="21"/>
                <w:szCs w:val="21"/>
                <w:u w:val="none"/>
                <w:lang w:bidi="ar"/>
              </w:rPr>
            </w:pPr>
            <w:r>
              <w:rPr>
                <w:rFonts w:hint="eastAsia" w:ascii="仿宋" w:hAnsi="仿宋" w:eastAsia="仿宋" w:cs="仿宋"/>
                <w:b w:val="0"/>
                <w:bCs w:val="0"/>
                <w:i w:val="0"/>
                <w:iCs w:val="0"/>
                <w:color w:val="000000"/>
                <w:kern w:val="0"/>
                <w:sz w:val="21"/>
                <w:szCs w:val="21"/>
                <w:u w:val="none"/>
                <w:lang w:val="en-US" w:eastAsia="zh-CN" w:bidi="ar"/>
              </w:rPr>
              <w:t>项目名称：</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投标报价上限（万元）</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i w:val="0"/>
                <w:iCs w:val="0"/>
                <w:color w:val="000000"/>
                <w:kern w:val="0"/>
                <w:sz w:val="21"/>
                <w:szCs w:val="21"/>
                <w:u w:val="none"/>
                <w:lang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i w:val="0"/>
                <w:i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区间差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469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b w:val="0"/>
                <w:bCs w:val="0"/>
                <w:i w:val="0"/>
                <w:iCs w:val="0"/>
                <w:color w:val="000000"/>
                <w:kern w:val="0"/>
                <w:sz w:val="21"/>
                <w:szCs w:val="21"/>
                <w:u w:val="none"/>
                <w:lang w:bidi="ar"/>
              </w:rPr>
            </w:pPr>
            <w:r>
              <w:rPr>
                <w:rFonts w:hint="eastAsia" w:ascii="仿宋" w:hAnsi="仿宋" w:eastAsia="仿宋" w:cs="仿宋"/>
                <w:b w:val="0"/>
                <w:bCs w:val="0"/>
                <w:i w:val="0"/>
                <w:iCs w:val="0"/>
                <w:color w:val="000000"/>
                <w:kern w:val="0"/>
                <w:sz w:val="21"/>
                <w:szCs w:val="21"/>
                <w:u w:val="none"/>
                <w:lang w:val="en-US" w:eastAsia="zh-CN" w:bidi="ar"/>
              </w:rPr>
              <w:t>后评估编号：</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最低投标报价（万元）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i w:val="0"/>
                <w:iCs w:val="0"/>
                <w:color w:val="000000"/>
                <w:kern w:val="0"/>
                <w:sz w:val="21"/>
                <w:szCs w:val="21"/>
                <w:u w:val="none"/>
                <w:lang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i w:val="0"/>
                <w:iCs w:val="0"/>
                <w:color w:val="000000"/>
                <w:kern w:val="0"/>
                <w:sz w:val="21"/>
                <w:szCs w:val="21"/>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46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i w:val="0"/>
                <w:i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区间范围内家数</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46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i w:val="0"/>
                <w:i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区间占比</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46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i w:val="0"/>
                <w:i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投标报价（万元）</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i w:val="0"/>
                <w:i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区间1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i w:val="0"/>
                <w:i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区间2</w:t>
            </w:r>
          </w:p>
        </w:tc>
        <w:tc>
          <w:tcPr>
            <w:tcW w:w="1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i w:val="0"/>
                <w:i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区间3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46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i w:val="0"/>
                <w:i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区间下限</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46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i w:val="0"/>
                <w:i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区间上限</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i w:val="0"/>
                <w:i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序 号</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i w:val="0"/>
                <w:i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投标人</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i w:val="0"/>
                <w:i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开标情况记录</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i w:val="0"/>
                <w:i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投标报价（万元）</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center"/>
              <w:rPr>
                <w:rFonts w:hint="default" w:ascii="仿宋" w:hAnsi="仿宋" w:eastAsia="仿宋" w:cs="仿宋"/>
                <w:i w:val="0"/>
                <w:iCs w:val="0"/>
                <w:color w:val="000000"/>
                <w:kern w:val="0"/>
                <w:sz w:val="21"/>
                <w:szCs w:val="21"/>
                <w:u w:val="none"/>
                <w:lang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center"/>
              <w:rPr>
                <w:rFonts w:hint="default" w:ascii="仿宋" w:hAnsi="仿宋" w:eastAsia="仿宋" w:cs="仿宋"/>
                <w:i w:val="0"/>
                <w:iCs w:val="0"/>
                <w:color w:val="000000"/>
                <w:kern w:val="0"/>
                <w:sz w:val="21"/>
                <w:szCs w:val="21"/>
                <w:u w:val="none"/>
                <w:lang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center"/>
              <w:rPr>
                <w:rFonts w:hint="default" w:ascii="仿宋" w:hAnsi="仿宋" w:eastAsia="仿宋" w:cs="仿宋"/>
                <w:i w:val="0"/>
                <w:iCs w:val="0"/>
                <w:color w:val="000000"/>
                <w:kern w:val="0"/>
                <w:sz w:val="21"/>
                <w:szCs w:val="21"/>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center"/>
              <w:rPr>
                <w:rFonts w:hint="default" w:ascii="仿宋" w:hAnsi="仿宋" w:eastAsia="仿宋" w:cs="仿宋"/>
                <w:i w:val="0"/>
                <w:iCs w:val="0"/>
                <w:color w:val="000000"/>
                <w:kern w:val="0"/>
                <w:sz w:val="21"/>
                <w:szCs w:val="21"/>
                <w:u w:val="none"/>
                <w:lang w:bidi="ar"/>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center"/>
              <w:rPr>
                <w:rFonts w:hint="default" w:ascii="仿宋" w:hAnsi="仿宋" w:eastAsia="仿宋" w:cs="仿宋"/>
                <w:i w:val="0"/>
                <w:iCs w:val="0"/>
                <w:color w:val="000000"/>
                <w:kern w:val="0"/>
                <w:sz w:val="21"/>
                <w:szCs w:val="21"/>
                <w:u w:val="none"/>
                <w:lang w:bidi="ar"/>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center"/>
              <w:rPr>
                <w:rFonts w:hint="default" w:ascii="仿宋" w:hAnsi="仿宋" w:eastAsia="仿宋" w:cs="仿宋"/>
                <w:i w:val="0"/>
                <w:iCs w:val="0"/>
                <w:color w:val="000000"/>
                <w:kern w:val="0"/>
                <w:sz w:val="21"/>
                <w:szCs w:val="21"/>
                <w:u w:val="none"/>
                <w:lang w:bidi="ar"/>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textAlignment w:val="center"/>
              <w:rPr>
                <w:rFonts w:hint="default" w:ascii="仿宋" w:hAnsi="仿宋" w:eastAsia="仿宋" w:cs="仿宋"/>
                <w:i w:val="0"/>
                <w:iCs w:val="0"/>
                <w:color w:val="000000"/>
                <w:kern w:val="0"/>
                <w:sz w:val="21"/>
                <w:szCs w:val="21"/>
                <w:u w:val="none"/>
                <w:lang w:bidi="ar"/>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center"/>
              <w:rPr>
                <w:rFonts w:hint="default" w:ascii="仿宋" w:hAnsi="仿宋" w:eastAsia="仿宋" w:cs="仿宋"/>
                <w:i w:val="0"/>
                <w:iCs w:val="0"/>
                <w:color w:val="000000"/>
                <w:kern w:val="0"/>
                <w:sz w:val="21"/>
                <w:szCs w:val="21"/>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top"/>
              <w:rPr>
                <w:rFonts w:hint="default" w:ascii="仿宋" w:hAnsi="仿宋" w:eastAsia="仿宋" w:cs="仿宋"/>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top"/>
              <w:rPr>
                <w:rFonts w:hint="default" w:ascii="仿宋" w:hAnsi="仿宋" w:eastAsia="仿宋" w:cs="仿宋"/>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rPr>
                <w:rFonts w:hint="default" w:ascii="仿宋" w:hAnsi="仿宋" w:eastAsia="仿宋" w:cs="仿宋"/>
                <w:i w:val="0"/>
                <w:iCs w:val="0"/>
                <w:color w:val="000000"/>
                <w:sz w:val="21"/>
                <w:szCs w:val="21"/>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i w:val="0"/>
                <w:iCs w:val="0"/>
                <w:color w:val="000000"/>
                <w:sz w:val="21"/>
                <w:szCs w:val="21"/>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i w:val="0"/>
                <w:iCs w:val="0"/>
                <w:color w:val="000000"/>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rPr>
                <w:rFonts w:hint="default" w:ascii="仿宋" w:hAnsi="仿宋" w:eastAsia="仿宋" w:cs="仿宋"/>
                <w:i w:val="0"/>
                <w:iCs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rPr>
                <w:rFonts w:hint="default" w:ascii="仿宋" w:hAnsi="仿宋" w:eastAsia="仿宋" w:cs="仿宋"/>
                <w:i w:val="0"/>
                <w:iCs w:val="0"/>
                <w:color w:val="000000"/>
                <w:sz w:val="21"/>
                <w:szCs w:val="21"/>
                <w:u w:val="none"/>
              </w:rPr>
            </w:pPr>
          </w:p>
        </w:tc>
      </w:tr>
    </w:tbl>
    <w:p>
      <w:pPr>
        <w:pStyle w:val="3"/>
        <w:spacing w:before="0" w:beforeLines="0" w:line="560" w:lineRule="exact"/>
        <w:ind w:left="0" w:leftChars="0"/>
        <w:rPr>
          <w:rFonts w:hint="eastAsia" w:ascii="黑体" w:hAnsi="黑体" w:eastAsia="黑体" w:cs="黑体"/>
          <w:bCs/>
          <w:sz w:val="28"/>
          <w:szCs w:val="28"/>
        </w:rPr>
      </w:pPr>
      <w:bookmarkStart w:id="297" w:name="_Toc20486"/>
      <w:bookmarkStart w:id="298" w:name="_Toc11319"/>
      <w:bookmarkStart w:id="299" w:name="_Toc4632"/>
      <w:bookmarkStart w:id="300" w:name="_Toc15089"/>
      <w:bookmarkStart w:id="301" w:name="_Toc21798"/>
      <w:bookmarkStart w:id="302" w:name="_Toc21730"/>
      <w:r>
        <w:rPr>
          <w:rFonts w:hint="eastAsia" w:ascii="黑体" w:hAnsi="黑体" w:cs="黑体"/>
          <w:b w:val="0"/>
          <w:bCs/>
          <w:szCs w:val="28"/>
          <w:lang w:val="en-US" w:eastAsia="zh-CN"/>
        </w:rPr>
        <w:t>2</w:t>
      </w:r>
      <w:r>
        <w:rPr>
          <w:rFonts w:hint="eastAsia" w:ascii="黑体" w:hAnsi="黑体" w:eastAsia="黑体" w:cs="黑体"/>
          <w:b w:val="0"/>
          <w:bCs/>
          <w:szCs w:val="28"/>
        </w:rPr>
        <w:t>.3过多投标人淘汰环节</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pPr>
        <w:numPr>
          <w:ilvl w:val="0"/>
          <w:numId w:val="0"/>
        </w:numPr>
        <w:spacing w:beforeLines="0" w:afterLines="0" w:line="56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根据招标文件横向对比</w:t>
      </w:r>
      <w:r>
        <w:rPr>
          <w:rFonts w:hint="eastAsia" w:ascii="仿宋_GB2312" w:hAnsi="仿宋_GB2312" w:eastAsia="仿宋_GB2312" w:cs="仿宋_GB2312"/>
          <w:sz w:val="28"/>
        </w:rPr>
        <w:t>进入评标环节</w:t>
      </w:r>
      <w:r>
        <w:rPr>
          <w:rFonts w:hint="eastAsia" w:ascii="仿宋_GB2312" w:hAnsi="仿宋_GB2312" w:eastAsia="仿宋_GB2312" w:cs="仿宋_GB2312"/>
          <w:sz w:val="28"/>
          <w:lang w:val="en-US" w:eastAsia="zh-CN"/>
        </w:rPr>
        <w:t>的</w:t>
      </w:r>
      <w:r>
        <w:rPr>
          <w:rFonts w:hint="eastAsia" w:ascii="仿宋_GB2312" w:hAnsi="仿宋_GB2312" w:eastAsia="仿宋_GB2312" w:cs="仿宋_GB2312"/>
          <w:sz w:val="28"/>
        </w:rPr>
        <w:t>投标人</w:t>
      </w:r>
      <w:r>
        <w:rPr>
          <w:rFonts w:hint="eastAsia" w:ascii="仿宋_GB2312" w:hAnsi="仿宋_GB2312" w:eastAsia="仿宋_GB2312" w:cs="仿宋_GB2312"/>
          <w:sz w:val="28"/>
          <w:lang w:val="en-US" w:eastAsia="zh-CN"/>
        </w:rPr>
        <w:t>与</w:t>
      </w:r>
      <w:r>
        <w:rPr>
          <w:rFonts w:hint="eastAsia" w:ascii="仿宋_GB2312" w:hAnsi="仿宋_GB2312" w:eastAsia="仿宋_GB2312" w:cs="仿宋_GB2312"/>
          <w:sz w:val="28"/>
        </w:rPr>
        <w:t>被淘汰</w:t>
      </w:r>
      <w:r>
        <w:rPr>
          <w:rFonts w:hint="eastAsia" w:ascii="仿宋_GB2312" w:hAnsi="仿宋_GB2312" w:eastAsia="仿宋_GB2312" w:cs="仿宋_GB2312"/>
          <w:sz w:val="28"/>
          <w:lang w:val="en-US" w:eastAsia="zh-CN"/>
        </w:rPr>
        <w:t>的</w:t>
      </w:r>
      <w:r>
        <w:rPr>
          <w:rFonts w:hint="eastAsia" w:ascii="仿宋_GB2312" w:hAnsi="仿宋_GB2312" w:eastAsia="仿宋_GB2312" w:cs="仿宋_GB2312"/>
          <w:sz w:val="28"/>
        </w:rPr>
        <w:t>投标人</w:t>
      </w:r>
      <w:r>
        <w:rPr>
          <w:rFonts w:hint="eastAsia" w:ascii="仿宋_GB2312" w:hAnsi="仿宋_GB2312" w:eastAsia="仿宋_GB2312" w:cs="仿宋_GB2312"/>
          <w:sz w:val="28"/>
          <w:lang w:val="en-US" w:eastAsia="zh-CN"/>
        </w:rPr>
        <w:t>的入围择优要素、投标报价等因素</w:t>
      </w:r>
      <w:r>
        <w:rPr>
          <w:rFonts w:hint="eastAsia" w:ascii="仿宋_GB2312" w:hAnsi="仿宋_GB2312" w:eastAsia="仿宋_GB2312" w:cs="仿宋_GB2312"/>
          <w:sz w:val="28"/>
        </w:rPr>
        <w:t>，</w:t>
      </w:r>
      <w:r>
        <w:rPr>
          <w:rFonts w:hint="eastAsia" w:ascii="仿宋_GB2312" w:hAnsi="仿宋_GB2312" w:eastAsia="仿宋_GB2312" w:cs="仿宋_GB2312"/>
          <w:sz w:val="28"/>
          <w:lang w:val="en-US" w:eastAsia="zh-CN"/>
        </w:rPr>
        <w:t>分析各投标人得票的合理性</w:t>
      </w:r>
      <w:r>
        <w:rPr>
          <w:rFonts w:hint="eastAsia" w:ascii="仿宋_GB2312" w:hAnsi="仿宋_GB2312" w:eastAsia="仿宋_GB2312" w:cs="仿宋_GB2312"/>
          <w:sz w:val="28"/>
        </w:rPr>
        <w:t>。</w:t>
      </w:r>
    </w:p>
    <w:p>
      <w:pPr>
        <w:pStyle w:val="3"/>
        <w:spacing w:before="0" w:beforeLines="0" w:line="560" w:lineRule="exact"/>
        <w:ind w:left="0" w:leftChars="0"/>
        <w:rPr>
          <w:rFonts w:hint="eastAsia" w:ascii="黑体" w:hAnsi="黑体" w:eastAsia="黑体" w:cs="黑体"/>
          <w:b w:val="0"/>
          <w:bCs/>
          <w:sz w:val="28"/>
          <w:szCs w:val="28"/>
          <w:lang w:val="en-US" w:eastAsia="zh-CN"/>
        </w:rPr>
      </w:pPr>
      <w:bookmarkStart w:id="303" w:name="_Toc25719"/>
      <w:bookmarkStart w:id="304" w:name="_Toc15135"/>
      <w:bookmarkStart w:id="305" w:name="_Toc1064"/>
      <w:bookmarkStart w:id="306" w:name="_Toc8115"/>
      <w:bookmarkStart w:id="307" w:name="_Toc2817"/>
      <w:bookmarkStart w:id="308" w:name="_Toc12108"/>
      <w:bookmarkStart w:id="309" w:name="_Toc31070"/>
      <w:bookmarkStart w:id="310" w:name="_Toc30907"/>
      <w:bookmarkStart w:id="311" w:name="_Toc14758"/>
      <w:bookmarkStart w:id="312" w:name="_Toc9765"/>
      <w:bookmarkStart w:id="313" w:name="_Toc3741"/>
      <w:bookmarkStart w:id="314" w:name="_Toc27257"/>
      <w:bookmarkStart w:id="315" w:name="_Toc32546"/>
      <w:bookmarkStart w:id="316" w:name="_Toc28498"/>
      <w:bookmarkStart w:id="317" w:name="_Toc16619"/>
      <w:bookmarkStart w:id="318" w:name="_Toc20332"/>
      <w:bookmarkStart w:id="319" w:name="_Toc29280"/>
      <w:bookmarkStart w:id="320" w:name="_Toc21690"/>
      <w:bookmarkStart w:id="321" w:name="_Toc13393"/>
      <w:bookmarkStart w:id="322" w:name="_Toc1701"/>
      <w:bookmarkStart w:id="323" w:name="_Toc1520"/>
      <w:bookmarkStart w:id="324" w:name="_Toc21856"/>
      <w:bookmarkStart w:id="325" w:name="_Toc11966"/>
      <w:bookmarkStart w:id="326" w:name="_Toc25981"/>
      <w:bookmarkStart w:id="327" w:name="_Toc8350"/>
      <w:bookmarkStart w:id="328" w:name="_Toc4377"/>
      <w:bookmarkStart w:id="329" w:name="_Toc10481"/>
      <w:bookmarkStart w:id="330" w:name="_Toc5830"/>
      <w:r>
        <w:rPr>
          <w:rFonts w:hint="eastAsia" w:ascii="黑体" w:hAnsi="黑体" w:eastAsia="黑体" w:cs="黑体"/>
          <w:b w:val="0"/>
          <w:bCs/>
          <w:sz w:val="28"/>
          <w:szCs w:val="28"/>
          <w:lang w:val="en-US" w:eastAsia="zh-CN"/>
        </w:rPr>
        <w:t>2.4评标环节</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numPr>
          <w:ilvl w:val="0"/>
          <w:numId w:val="0"/>
        </w:numPr>
        <w:spacing w:beforeLines="0"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1、评标过程</w:t>
      </w:r>
    </w:p>
    <w:p>
      <w:pPr>
        <w:numPr>
          <w:ilvl w:val="0"/>
          <w:numId w:val="0"/>
        </w:numPr>
        <w:spacing w:beforeLines="0" w:afterLines="-2147483648"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根据评估项目的评标细则及投标文件，对评标过程的规范性进行核查。</w:t>
      </w:r>
    </w:p>
    <w:p>
      <w:pPr>
        <w:numPr>
          <w:ilvl w:val="0"/>
          <w:numId w:val="0"/>
        </w:numPr>
        <w:spacing w:before="0" w:beforeLines="0"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2、废标情形</w:t>
      </w:r>
    </w:p>
    <w:p>
      <w:pPr>
        <w:numPr>
          <w:ilvl w:val="0"/>
          <w:numId w:val="0"/>
        </w:numPr>
        <w:spacing w:beforeLines="0" w:line="560" w:lineRule="exact"/>
        <w:ind w:firstLine="560" w:firstLineChars="200"/>
        <w:rPr>
          <w:rFonts w:hint="eastAsia" w:ascii="仿宋_GB2312" w:hAnsi="仿宋_GB2312" w:eastAsia="仿宋_GB2312" w:cs="仿宋_GB2312"/>
          <w:b w:val="0"/>
          <w:bCs w:val="0"/>
          <w:sz w:val="28"/>
          <w:szCs w:val="24"/>
          <w:shd w:val="clear"/>
          <w:lang w:val="en-US" w:eastAsia="zh-CN"/>
        </w:rPr>
      </w:pPr>
      <w:r>
        <w:rPr>
          <w:rFonts w:hint="eastAsia" w:ascii="仿宋_GB2312" w:hAnsi="仿宋_GB2312" w:eastAsia="仿宋_GB2312" w:cs="仿宋_GB2312"/>
          <w:b w:val="0"/>
          <w:bCs w:val="0"/>
          <w:sz w:val="28"/>
          <w:szCs w:val="24"/>
          <w:shd w:val="clear"/>
          <w:lang w:val="en-US" w:eastAsia="zh-CN"/>
        </w:rPr>
        <w:t>对评标环节中废标情形是否合规，是否存在应废未废情形进行核查。</w:t>
      </w:r>
    </w:p>
    <w:p>
      <w:pPr>
        <w:pStyle w:val="3"/>
        <w:spacing w:before="120" w:beforeLines="0" w:line="560" w:lineRule="exact"/>
        <w:ind w:left="0" w:leftChars="0"/>
        <w:rPr>
          <w:rFonts w:hint="eastAsia" w:ascii="黑体" w:hAnsi="黑体" w:eastAsia="黑体" w:cs="黑体"/>
          <w:b w:val="0"/>
          <w:bCs/>
          <w:sz w:val="28"/>
          <w:szCs w:val="28"/>
          <w:lang w:val="en-US" w:eastAsia="zh-CN"/>
        </w:rPr>
      </w:pPr>
      <w:bookmarkStart w:id="331" w:name="_Toc23583"/>
      <w:bookmarkStart w:id="332" w:name="_Toc30691"/>
      <w:bookmarkStart w:id="333" w:name="_Toc32383"/>
      <w:bookmarkStart w:id="334" w:name="_Toc9312"/>
      <w:bookmarkStart w:id="335" w:name="_Toc27881"/>
      <w:bookmarkStart w:id="336" w:name="_Toc15497"/>
      <w:bookmarkStart w:id="337" w:name="_Toc17164"/>
      <w:bookmarkStart w:id="338" w:name="_Toc11970"/>
      <w:bookmarkStart w:id="339" w:name="_Toc1419"/>
      <w:bookmarkStart w:id="340" w:name="_Toc5924"/>
      <w:bookmarkStart w:id="341" w:name="_Toc12083"/>
      <w:bookmarkStart w:id="342" w:name="_Toc25575"/>
      <w:bookmarkStart w:id="343" w:name="_Toc18239"/>
      <w:bookmarkStart w:id="344" w:name="_Toc90"/>
      <w:bookmarkStart w:id="345" w:name="_Toc5878"/>
      <w:bookmarkStart w:id="346" w:name="_Toc1864"/>
      <w:bookmarkStart w:id="347" w:name="_Toc9864"/>
      <w:bookmarkStart w:id="348" w:name="_Toc9623"/>
      <w:bookmarkStart w:id="349" w:name="_Toc11364"/>
      <w:bookmarkStart w:id="350" w:name="_Toc19941"/>
      <w:bookmarkStart w:id="351" w:name="_Toc26580"/>
      <w:bookmarkStart w:id="352" w:name="_Toc10989"/>
      <w:bookmarkStart w:id="353" w:name="_Toc2137"/>
      <w:bookmarkStart w:id="354" w:name="_Toc23497"/>
      <w:bookmarkStart w:id="355" w:name="_Toc13305"/>
      <w:bookmarkStart w:id="356" w:name="_Toc25243"/>
      <w:bookmarkStart w:id="357" w:name="_Toc25338"/>
      <w:bookmarkStart w:id="358" w:name="_Toc2597"/>
      <w:r>
        <w:rPr>
          <w:rFonts w:hint="eastAsia" w:ascii="黑体" w:hAnsi="黑体" w:eastAsia="黑体" w:cs="黑体"/>
          <w:b w:val="0"/>
          <w:bCs/>
          <w:sz w:val="28"/>
          <w:szCs w:val="28"/>
          <w:lang w:val="en-US" w:eastAsia="zh-CN"/>
        </w:rPr>
        <w:t>2.5清标环节</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numPr>
          <w:ilvl w:val="0"/>
          <w:numId w:val="0"/>
        </w:numPr>
        <w:spacing w:beforeLines="0" w:afterLines="0"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对清标报告编写是否客观，无明示或暗示内容进行核查。</w:t>
      </w:r>
    </w:p>
    <w:p>
      <w:pPr>
        <w:pStyle w:val="3"/>
        <w:spacing w:before="0" w:beforeLines="0" w:line="560" w:lineRule="exact"/>
        <w:ind w:left="0" w:leftChars="0"/>
        <w:rPr>
          <w:rFonts w:hint="eastAsia" w:ascii="黑体" w:hAnsi="黑体" w:eastAsia="黑体" w:cs="黑体"/>
          <w:b w:val="0"/>
          <w:bCs/>
          <w:szCs w:val="28"/>
        </w:rPr>
      </w:pPr>
      <w:bookmarkStart w:id="359" w:name="_Toc18965"/>
      <w:bookmarkStart w:id="360" w:name="_Toc9624"/>
      <w:bookmarkStart w:id="361" w:name="_Toc17332"/>
      <w:bookmarkStart w:id="362" w:name="_Toc13972"/>
      <w:bookmarkStart w:id="363" w:name="_Toc13453"/>
      <w:bookmarkStart w:id="364" w:name="_Toc28048"/>
      <w:bookmarkStart w:id="365" w:name="_Toc13777"/>
      <w:bookmarkStart w:id="366" w:name="_Toc4937"/>
      <w:bookmarkStart w:id="367" w:name="_Toc17893"/>
      <w:bookmarkStart w:id="368" w:name="_Toc19324"/>
      <w:bookmarkStart w:id="369" w:name="_Toc22474_WPSOffice_Level3"/>
      <w:bookmarkStart w:id="370" w:name="_Toc20216"/>
      <w:bookmarkStart w:id="371" w:name="_Toc25670"/>
      <w:bookmarkStart w:id="372" w:name="_Toc28273"/>
      <w:bookmarkStart w:id="373" w:name="_Toc22003"/>
      <w:bookmarkStart w:id="374" w:name="_Toc18127"/>
      <w:bookmarkStart w:id="375" w:name="_Toc21864"/>
      <w:bookmarkStart w:id="376" w:name="_Toc8763"/>
      <w:bookmarkStart w:id="377" w:name="_Toc27108"/>
      <w:bookmarkStart w:id="378" w:name="_Toc20629"/>
      <w:bookmarkStart w:id="379" w:name="_Toc25717"/>
      <w:bookmarkStart w:id="380" w:name="_Toc11452"/>
      <w:bookmarkStart w:id="381" w:name="_Toc10958"/>
      <w:bookmarkStart w:id="382" w:name="_Toc15981"/>
      <w:bookmarkStart w:id="383" w:name="_Toc26937"/>
      <w:bookmarkStart w:id="384" w:name="_Toc2086"/>
      <w:bookmarkStart w:id="385" w:name="_Toc7029"/>
      <w:bookmarkStart w:id="386" w:name="_Toc25566"/>
      <w:bookmarkStart w:id="387" w:name="_Toc13476"/>
      <w:bookmarkStart w:id="388" w:name="_Toc13808"/>
      <w:r>
        <w:rPr>
          <w:rFonts w:hint="eastAsia" w:ascii="黑体" w:hAnsi="黑体" w:eastAsia="黑体" w:cs="黑体"/>
          <w:b w:val="0"/>
          <w:bCs/>
          <w:szCs w:val="28"/>
        </w:rPr>
        <w:t>2.</w:t>
      </w:r>
      <w:r>
        <w:rPr>
          <w:rFonts w:hint="eastAsia" w:ascii="黑体" w:hAnsi="黑体" w:eastAsia="黑体" w:cs="黑体"/>
          <w:b w:val="0"/>
          <w:bCs/>
          <w:szCs w:val="28"/>
          <w:lang w:val="en-US" w:eastAsia="zh-CN"/>
        </w:rPr>
        <w:t>6</w:t>
      </w:r>
      <w:r>
        <w:rPr>
          <w:rFonts w:hint="eastAsia" w:ascii="黑体" w:hAnsi="黑体" w:eastAsia="黑体" w:cs="黑体"/>
          <w:b w:val="0"/>
          <w:bCs/>
          <w:szCs w:val="28"/>
        </w:rPr>
        <w:t>定标环节</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pPr>
        <w:numPr>
          <w:ilvl w:val="0"/>
          <w:numId w:val="0"/>
        </w:numPr>
        <w:spacing w:beforeLines="0"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1、对定标方案是否包含定标工作规则、定标流程、择优要素及竞价方法等内容进行核查。</w:t>
      </w:r>
    </w:p>
    <w:p>
      <w:pPr>
        <w:numPr>
          <w:ilvl w:val="0"/>
          <w:numId w:val="0"/>
        </w:numPr>
        <w:spacing w:beforeLines="0"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2、对定标投票是否严格遵守定标方案，未临时改变规则进行核查。</w:t>
      </w:r>
    </w:p>
    <w:p>
      <w:pPr>
        <w:numPr>
          <w:ilvl w:val="0"/>
          <w:numId w:val="0"/>
        </w:numPr>
        <w:spacing w:beforeLines="0" w:afterLines="0" w:line="56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3、横向对比</w:t>
      </w:r>
      <w:r>
        <w:rPr>
          <w:rFonts w:hint="eastAsia" w:ascii="仿宋_GB2312" w:hAnsi="仿宋_GB2312" w:eastAsia="仿宋_GB2312" w:cs="仿宋_GB2312"/>
          <w:sz w:val="28"/>
        </w:rPr>
        <w:t>中标人（或进入票决抽签环节的投标人）与未中标（或未进入票决抽签环节）投标人</w:t>
      </w:r>
      <w:r>
        <w:rPr>
          <w:rFonts w:hint="eastAsia" w:ascii="仿宋_GB2312" w:hAnsi="仿宋_GB2312" w:eastAsia="仿宋_GB2312" w:cs="仿宋_GB2312"/>
          <w:sz w:val="28"/>
          <w:lang w:val="en-US" w:eastAsia="zh-CN"/>
        </w:rPr>
        <w:t>的资信要素</w:t>
      </w:r>
      <w:r>
        <w:rPr>
          <w:rFonts w:hint="eastAsia" w:ascii="仿宋_GB2312" w:hAnsi="仿宋_GB2312" w:eastAsia="仿宋_GB2312" w:cs="仿宋_GB2312"/>
          <w:sz w:val="28"/>
        </w:rPr>
        <w:t>、投标报价</w:t>
      </w:r>
      <w:r>
        <w:rPr>
          <w:rFonts w:hint="eastAsia" w:ascii="仿宋_GB2312" w:hAnsi="仿宋_GB2312" w:eastAsia="仿宋_GB2312" w:cs="仿宋_GB2312"/>
          <w:sz w:val="28"/>
          <w:lang w:eastAsia="zh-CN"/>
        </w:rPr>
        <w:t>、</w:t>
      </w:r>
      <w:r>
        <w:rPr>
          <w:rFonts w:hint="eastAsia" w:ascii="仿宋_GB2312" w:hAnsi="仿宋_GB2312" w:eastAsia="仿宋_GB2312" w:cs="仿宋_GB2312"/>
          <w:sz w:val="28"/>
        </w:rPr>
        <w:t>评标结论</w:t>
      </w:r>
      <w:r>
        <w:rPr>
          <w:rFonts w:hint="eastAsia" w:ascii="仿宋_GB2312" w:hAnsi="仿宋_GB2312" w:eastAsia="仿宋_GB2312" w:cs="仿宋_GB2312"/>
          <w:sz w:val="28"/>
          <w:lang w:val="en-US" w:eastAsia="zh-CN"/>
        </w:rPr>
        <w:t>及清标要素等</w:t>
      </w:r>
      <w:r>
        <w:rPr>
          <w:rFonts w:hint="eastAsia" w:ascii="仿宋_GB2312" w:hAnsi="仿宋_GB2312" w:eastAsia="仿宋_GB2312" w:cs="仿宋_GB2312"/>
          <w:sz w:val="28"/>
        </w:rPr>
        <w:t>，</w:t>
      </w:r>
      <w:r>
        <w:rPr>
          <w:rFonts w:hint="eastAsia" w:ascii="仿宋_GB2312" w:hAnsi="仿宋_GB2312" w:eastAsia="仿宋_GB2312" w:cs="仿宋_GB2312"/>
          <w:sz w:val="28"/>
          <w:lang w:val="en-US" w:eastAsia="zh-CN"/>
        </w:rPr>
        <w:t>对</w:t>
      </w:r>
      <w:r>
        <w:rPr>
          <w:rFonts w:hint="eastAsia" w:ascii="仿宋_GB2312" w:hAnsi="仿宋_GB2312" w:eastAsia="仿宋_GB2312" w:cs="仿宋_GB2312"/>
          <w:sz w:val="28"/>
        </w:rPr>
        <w:t>定标委员会的</w:t>
      </w:r>
      <w:r>
        <w:rPr>
          <w:rFonts w:hint="eastAsia" w:ascii="仿宋_GB2312" w:hAnsi="仿宋_GB2312" w:eastAsia="仿宋_GB2312" w:cs="仿宋_GB2312"/>
          <w:sz w:val="28"/>
          <w:lang w:val="en-US" w:eastAsia="zh-CN"/>
        </w:rPr>
        <w:t>票选</w:t>
      </w:r>
      <w:r>
        <w:rPr>
          <w:rFonts w:hint="eastAsia" w:ascii="仿宋_GB2312" w:hAnsi="仿宋_GB2312" w:eastAsia="仿宋_GB2312" w:cs="仿宋_GB2312"/>
          <w:sz w:val="28"/>
        </w:rPr>
        <w:t>是否符合“竞价择优”原则</w:t>
      </w:r>
      <w:r>
        <w:rPr>
          <w:rFonts w:hint="eastAsia" w:ascii="仿宋_GB2312" w:hAnsi="仿宋_GB2312" w:eastAsia="仿宋_GB2312" w:cs="仿宋_GB2312"/>
          <w:sz w:val="28"/>
          <w:lang w:val="en-US" w:eastAsia="zh-CN"/>
        </w:rPr>
        <w:t>进行核查</w:t>
      </w:r>
      <w:r>
        <w:rPr>
          <w:rFonts w:hint="eastAsia" w:ascii="仿宋_GB2312" w:hAnsi="仿宋_GB2312" w:eastAsia="仿宋_GB2312" w:cs="仿宋_GB2312"/>
          <w:sz w:val="28"/>
        </w:rPr>
        <w:t>。</w:t>
      </w:r>
    </w:p>
    <w:p>
      <w:pPr>
        <w:pStyle w:val="3"/>
        <w:spacing w:before="0" w:beforeLines="0" w:line="560" w:lineRule="exact"/>
        <w:ind w:left="0" w:leftChars="0"/>
        <w:rPr>
          <w:rFonts w:hint="eastAsia" w:ascii="黑体" w:hAnsi="黑体" w:eastAsia="黑体" w:cs="黑体"/>
          <w:b w:val="0"/>
          <w:bCs/>
          <w:szCs w:val="28"/>
          <w:lang w:val="en-US" w:eastAsia="zh-CN"/>
        </w:rPr>
      </w:pPr>
      <w:bookmarkStart w:id="389" w:name="_Toc6937"/>
      <w:bookmarkStart w:id="390" w:name="_Toc17887"/>
      <w:bookmarkStart w:id="391" w:name="_Toc17023"/>
      <w:bookmarkStart w:id="392" w:name="_Toc27497"/>
      <w:bookmarkStart w:id="393" w:name="_Toc15015"/>
      <w:bookmarkStart w:id="394" w:name="_Toc2174"/>
      <w:bookmarkStart w:id="395" w:name="_Toc11815"/>
      <w:bookmarkStart w:id="396" w:name="_Toc11946"/>
      <w:bookmarkStart w:id="397" w:name="_Toc19134"/>
      <w:bookmarkStart w:id="398" w:name="_Toc30917"/>
      <w:bookmarkStart w:id="399" w:name="_Toc22027"/>
      <w:bookmarkStart w:id="400" w:name="_Toc26425"/>
      <w:bookmarkStart w:id="401" w:name="_Toc18425"/>
      <w:bookmarkStart w:id="402" w:name="_Toc165"/>
      <w:bookmarkStart w:id="403" w:name="_Toc21820"/>
      <w:bookmarkStart w:id="404" w:name="_Toc25409"/>
      <w:bookmarkStart w:id="405" w:name="_Toc22779"/>
      <w:bookmarkStart w:id="406" w:name="_Toc6085"/>
      <w:bookmarkStart w:id="407" w:name="_Toc2178"/>
      <w:bookmarkStart w:id="408" w:name="_Toc19957"/>
      <w:bookmarkStart w:id="409" w:name="_Toc23197"/>
      <w:bookmarkStart w:id="410" w:name="_Toc4192"/>
      <w:bookmarkStart w:id="411" w:name="_Toc3031"/>
      <w:bookmarkStart w:id="412" w:name="_Toc14649"/>
      <w:bookmarkStart w:id="413" w:name="_Toc13282"/>
      <w:bookmarkStart w:id="414" w:name="_Toc28947"/>
      <w:bookmarkStart w:id="415" w:name="_Toc21508"/>
      <w:bookmarkStart w:id="416" w:name="_Toc28406"/>
      <w:bookmarkStart w:id="417" w:name="_Toc4054"/>
      <w:bookmarkStart w:id="418" w:name="_Toc30947_WPSOffice_Level3"/>
      <w:r>
        <w:rPr>
          <w:rFonts w:hint="eastAsia" w:ascii="黑体" w:hAnsi="黑体" w:eastAsia="黑体" w:cs="黑体"/>
          <w:b w:val="0"/>
          <w:bCs/>
          <w:szCs w:val="28"/>
          <w:lang w:val="en-US" w:eastAsia="zh-CN"/>
        </w:rPr>
        <w:t>2.7异常情况</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numPr>
          <w:ilvl w:val="0"/>
          <w:numId w:val="0"/>
        </w:numPr>
        <w:spacing w:beforeLines="0" w:afterLines="0"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对异议投诉情况的处理结果是否合理进行核查。</w:t>
      </w:r>
    </w:p>
    <w:p>
      <w:pPr>
        <w:pStyle w:val="3"/>
        <w:spacing w:before="0" w:beforeLines="0" w:line="560" w:lineRule="exact"/>
        <w:ind w:left="0" w:leftChars="0"/>
        <w:rPr>
          <w:rFonts w:hint="eastAsia" w:ascii="黑体" w:hAnsi="黑体" w:eastAsia="黑体" w:cs="黑体"/>
          <w:b w:val="0"/>
          <w:bCs/>
          <w:szCs w:val="28"/>
        </w:rPr>
      </w:pPr>
      <w:bookmarkStart w:id="419" w:name="_Toc19013"/>
      <w:bookmarkStart w:id="420" w:name="_Toc19228"/>
      <w:bookmarkStart w:id="421" w:name="_Toc31987"/>
      <w:bookmarkStart w:id="422" w:name="_Toc17907"/>
      <w:bookmarkStart w:id="423" w:name="_Toc18090"/>
      <w:bookmarkStart w:id="424" w:name="_Toc3274"/>
      <w:bookmarkStart w:id="425" w:name="_Toc6208"/>
      <w:bookmarkStart w:id="426" w:name="_Toc6203"/>
      <w:bookmarkStart w:id="427" w:name="_Toc2122"/>
      <w:bookmarkStart w:id="428" w:name="_Toc18662"/>
      <w:bookmarkStart w:id="429" w:name="_Toc30225"/>
      <w:bookmarkStart w:id="430" w:name="_Toc28487"/>
      <w:bookmarkStart w:id="431" w:name="_Toc16688"/>
      <w:bookmarkStart w:id="432" w:name="_Toc9977"/>
      <w:bookmarkStart w:id="433" w:name="_Toc29479"/>
      <w:bookmarkStart w:id="434" w:name="_Toc18512"/>
      <w:bookmarkStart w:id="435" w:name="_Toc32268"/>
      <w:bookmarkStart w:id="436" w:name="_Toc32224"/>
      <w:bookmarkStart w:id="437" w:name="_Toc31670"/>
      <w:bookmarkStart w:id="438" w:name="_Toc12519"/>
      <w:bookmarkStart w:id="439" w:name="_Toc2641"/>
      <w:bookmarkStart w:id="440" w:name="_Toc18815"/>
      <w:bookmarkStart w:id="441" w:name="_Toc6064"/>
      <w:bookmarkStart w:id="442" w:name="_Toc896"/>
      <w:bookmarkStart w:id="443" w:name="_Toc8685"/>
      <w:bookmarkStart w:id="444" w:name="_Toc16682"/>
      <w:bookmarkStart w:id="445" w:name="_Toc27693"/>
      <w:bookmarkStart w:id="446" w:name="_Toc11795"/>
      <w:r>
        <w:rPr>
          <w:rFonts w:hint="eastAsia" w:ascii="黑体" w:hAnsi="黑体" w:eastAsia="黑体" w:cs="黑体"/>
          <w:b w:val="0"/>
          <w:bCs/>
          <w:szCs w:val="28"/>
        </w:rPr>
        <w:t>2.</w:t>
      </w:r>
      <w:r>
        <w:rPr>
          <w:rFonts w:hint="eastAsia" w:ascii="黑体" w:hAnsi="黑体" w:eastAsia="黑体" w:cs="黑体"/>
          <w:b w:val="0"/>
          <w:bCs/>
          <w:szCs w:val="28"/>
          <w:lang w:val="en-US" w:eastAsia="zh-CN"/>
        </w:rPr>
        <w:t>8</w:t>
      </w:r>
      <w:r>
        <w:rPr>
          <w:rFonts w:hint="eastAsia" w:ascii="黑体" w:hAnsi="黑体" w:eastAsia="黑体" w:cs="黑体"/>
          <w:b w:val="0"/>
          <w:bCs/>
          <w:szCs w:val="28"/>
        </w:rPr>
        <w:t>中标人综合实力</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pPr>
        <w:numPr>
          <w:ilvl w:val="0"/>
          <w:numId w:val="0"/>
        </w:numPr>
        <w:spacing w:beforeLines="0" w:line="560" w:lineRule="exact"/>
        <w:ind w:firstLine="560" w:firstLineChars="200"/>
        <w:rPr>
          <w:rFonts w:hint="eastAsia" w:ascii="仿宋_GB2312" w:hAnsi="仿宋_GB2312" w:eastAsia="仿宋_GB2312" w:cs="仿宋_GB2312"/>
          <w:sz w:val="28"/>
          <w:highlight w:val="yellow"/>
          <w:lang w:val="en-US" w:eastAsia="zh-CN"/>
        </w:rPr>
      </w:pPr>
      <w:r>
        <w:rPr>
          <w:rFonts w:hint="eastAsia" w:ascii="仿宋_GB2312" w:hAnsi="仿宋_GB2312" w:eastAsia="仿宋_GB2312" w:cs="仿宋_GB2312"/>
          <w:color w:val="auto"/>
          <w:sz w:val="28"/>
          <w:highlight w:val="none"/>
          <w:lang w:val="en-US" w:eastAsia="zh-CN"/>
        </w:rPr>
        <w:t>按项目类型对投标人注册人员数量、业绩数量、行政处罚、信用情况等因素进行量化打分（详见表四），结合中标人在评估项目的合同履约评价情况综合分析中标人综合实力。</w:t>
      </w:r>
    </w:p>
    <w:tbl>
      <w:tblPr>
        <w:tblStyle w:val="18"/>
        <w:tblW w:w="5837" w:type="pct"/>
        <w:tblInd w:w="-7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6"/>
        <w:gridCol w:w="753"/>
        <w:gridCol w:w="1174"/>
        <w:gridCol w:w="872"/>
        <w:gridCol w:w="961"/>
        <w:gridCol w:w="1419"/>
        <w:gridCol w:w="482"/>
        <w:gridCol w:w="613"/>
        <w:gridCol w:w="606"/>
        <w:gridCol w:w="483"/>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gridSpan w:val="11"/>
            <w:tcBorders>
              <w:top w:val="nil"/>
              <w:left w:val="nil"/>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auto"/>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color w:val="000000"/>
                <w:spacing w:val="0"/>
                <w:w w:val="100"/>
                <w:kern w:val="0"/>
                <w:sz w:val="24"/>
                <w:u w:val="none"/>
                <w:lang w:val="en-US" w:eastAsia="zh-CN" w:bidi="ar"/>
              </w:rPr>
              <w:t>表四</w:t>
            </w:r>
            <w:r>
              <w:rPr>
                <w:rFonts w:hint="eastAsia" w:ascii="仿宋" w:hAnsi="仿宋" w:eastAsia="仿宋" w:cs="仿宋"/>
                <w:b/>
                <w:bCs/>
                <w:color w:val="000000"/>
                <w:spacing w:val="0"/>
                <w:w w:val="100"/>
                <w:kern w:val="0"/>
                <w:sz w:val="24"/>
                <w:szCs w:val="24"/>
                <w:u w:val="none"/>
                <w:lang w:val="en-US" w:eastAsia="zh-CN" w:bidi="ar"/>
              </w:rPr>
              <w:t xml:space="preserve"> </w:t>
            </w:r>
            <w:r>
              <w:rPr>
                <w:rFonts w:hint="eastAsia" w:ascii="仿宋" w:hAnsi="仿宋" w:eastAsia="仿宋" w:cs="仿宋"/>
                <w:b w:val="0"/>
                <w:bCs w:val="0"/>
                <w:spacing w:val="0"/>
                <w:w w:val="100"/>
                <w:sz w:val="24"/>
                <w:lang w:val="en-US" w:eastAsia="zh-CN"/>
              </w:rPr>
              <w:br w:type="page"/>
            </w:r>
            <w:r>
              <w:rPr>
                <w:rFonts w:hint="eastAsia" w:ascii="仿宋" w:hAnsi="仿宋" w:eastAsia="仿宋" w:cs="仿宋"/>
                <w:b/>
                <w:bCs/>
                <w:i w:val="0"/>
                <w:iCs w:val="0"/>
                <w:color w:val="000000"/>
                <w:kern w:val="0"/>
                <w:sz w:val="24"/>
                <w:szCs w:val="24"/>
                <w:u w:val="none"/>
                <w:lang w:val="en-US" w:eastAsia="zh-CN" w:bidi="ar"/>
              </w:rPr>
              <w:t>施工类/设计类/监理类/勘察类/货物类/其他类投标人综合实力得分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1、注册人员数量XX人或以上的得2分，其余得1分；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2、业绩数量XX个或以上的得1分，其余不得分；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3、有行政处罚的得0分，无得1分；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4、纳税信用A级XX次或以上得1分，其余0分。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注：施工类项目，联合体投标的以施工单位的得分为准；设计类、监理类、勘察类、货物类、其他类项目，联合体投标的以得分高的为准；XX为该类型项目1/2投标单位具备的最低数值。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单位名称</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全国建筑市场监管公共服务平台http://jzsc.mohurd.gov.cn/</w:t>
            </w:r>
          </w:p>
        </w:tc>
        <w:tc>
          <w:tcPr>
            <w:tcW w:w="11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信誉-信用中国https://www.creditchina.gov.cn/</w:t>
            </w:r>
          </w:p>
        </w:tc>
        <w:tc>
          <w:tcPr>
            <w:tcW w:w="10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分项得分</w:t>
            </w:r>
          </w:p>
        </w:tc>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综合实力总得分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1"/>
                <w:szCs w:val="21"/>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1"/>
                <w:szCs w:val="21"/>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业绩数量</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注册人员数量</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信用中国-行政处罚数量</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center"/>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highlight w:val="none"/>
                <w:u w:val="none"/>
                <w:lang w:val="en-US" w:eastAsia="zh-CN" w:bidi="ar"/>
              </w:rPr>
              <w:t>信用中国-纳税信用A级纳税人次数</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业绩得分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注册人员得分</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行政处罚得分</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信用得分</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lang w:val="en-US" w:eastAsia="zh-CN"/>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lang w:val="en-US" w:eastAsia="zh-CN"/>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kern w:val="0"/>
                <w:sz w:val="21"/>
                <w:szCs w:val="21"/>
                <w:u w:val="none"/>
                <w:lang w:val="en-US" w:eastAsia="zh-CN" w:bidi="ar"/>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kern w:val="0"/>
                <w:sz w:val="21"/>
                <w:szCs w:val="21"/>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kern w:val="0"/>
                <w:sz w:val="21"/>
                <w:szCs w:val="21"/>
                <w:u w:val="none"/>
                <w:lang w:val="en-US" w:eastAsia="zh-CN" w:bidi="ar"/>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kern w:val="0"/>
                <w:sz w:val="21"/>
                <w:szCs w:val="21"/>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1"/>
                <w:szCs w:val="21"/>
                <w:u w:val="none"/>
              </w:rPr>
            </w:pPr>
          </w:p>
        </w:tc>
      </w:tr>
    </w:tbl>
    <w:p>
      <w:pPr>
        <w:pStyle w:val="3"/>
        <w:spacing w:before="0" w:beforeLines="0" w:line="560" w:lineRule="exact"/>
        <w:ind w:left="0" w:leftChars="0"/>
        <w:rPr>
          <w:rFonts w:hint="eastAsia" w:ascii="黑体" w:hAnsi="黑体" w:eastAsia="黑体" w:cs="黑体"/>
          <w:b w:val="0"/>
          <w:bCs/>
          <w:szCs w:val="28"/>
        </w:rPr>
      </w:pPr>
      <w:bookmarkStart w:id="447" w:name="_Toc26520"/>
      <w:bookmarkStart w:id="448" w:name="_Toc30402"/>
      <w:bookmarkStart w:id="449" w:name="_Toc31582"/>
      <w:bookmarkStart w:id="450" w:name="_Toc4998"/>
      <w:bookmarkStart w:id="451" w:name="_Toc25014"/>
      <w:bookmarkStart w:id="452" w:name="_Toc24847"/>
      <w:bookmarkStart w:id="453" w:name="_Toc12952"/>
      <w:bookmarkStart w:id="454" w:name="_Toc24501"/>
      <w:bookmarkStart w:id="455" w:name="_Toc28099"/>
      <w:bookmarkStart w:id="456" w:name="_Toc28979"/>
      <w:bookmarkStart w:id="457" w:name="_Toc14102"/>
      <w:bookmarkStart w:id="458" w:name="_Toc29721"/>
      <w:bookmarkStart w:id="459" w:name="_Toc10504"/>
      <w:bookmarkStart w:id="460" w:name="_Toc5478"/>
      <w:bookmarkStart w:id="461" w:name="_Toc9"/>
      <w:bookmarkStart w:id="462" w:name="_Toc992"/>
      <w:bookmarkStart w:id="463" w:name="_Toc19610"/>
      <w:bookmarkStart w:id="464" w:name="_Toc11471"/>
      <w:bookmarkStart w:id="465" w:name="_Toc6291_WPSOffice_Level3"/>
      <w:bookmarkStart w:id="466" w:name="_Toc29326"/>
      <w:bookmarkStart w:id="467" w:name="_Toc31180"/>
      <w:bookmarkStart w:id="468" w:name="_Toc10374"/>
      <w:bookmarkStart w:id="469" w:name="_Toc3087"/>
      <w:bookmarkStart w:id="470" w:name="_Toc25901"/>
      <w:bookmarkStart w:id="471" w:name="_Toc7478"/>
      <w:bookmarkStart w:id="472" w:name="_Toc8845"/>
      <w:bookmarkStart w:id="473" w:name="_Toc24811"/>
      <w:bookmarkStart w:id="474" w:name="_Toc25443"/>
      <w:bookmarkStart w:id="475" w:name="_Toc19894"/>
      <w:bookmarkStart w:id="476" w:name="_Toc11856"/>
      <w:r>
        <w:rPr>
          <w:rFonts w:hint="eastAsia" w:ascii="黑体" w:hAnsi="黑体" w:eastAsia="黑体" w:cs="黑体"/>
          <w:b w:val="0"/>
          <w:bCs/>
          <w:szCs w:val="28"/>
        </w:rPr>
        <w:t>2.</w:t>
      </w:r>
      <w:r>
        <w:rPr>
          <w:rFonts w:hint="eastAsia" w:ascii="黑体" w:hAnsi="黑体" w:eastAsia="黑体" w:cs="黑体"/>
          <w:b w:val="0"/>
          <w:bCs/>
          <w:szCs w:val="28"/>
          <w:lang w:val="en-US" w:eastAsia="zh-CN"/>
        </w:rPr>
        <w:t>9合同核查</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pPr>
        <w:numPr>
          <w:ilvl w:val="0"/>
          <w:numId w:val="0"/>
        </w:numPr>
        <w:spacing w:beforeLines="0"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1、从合同类型选择、风险性条款设置、安全生产和合理工期、建筑材料、建筑构配件和设备机具等、指定供应商、合同条款构成的完整性、保证金收取等八个方面核查合同条款设置</w:t>
      </w:r>
      <w:r>
        <w:rPr>
          <w:rFonts w:hint="eastAsia" w:ascii="仿宋_GB2312" w:hAnsi="仿宋_GB2312" w:eastAsia="仿宋_GB2312" w:cs="仿宋_GB2312"/>
          <w:sz w:val="28"/>
          <w:highlight w:val="none"/>
          <w:lang w:val="en-US" w:eastAsia="zh-CN"/>
        </w:rPr>
        <w:t>是否</w:t>
      </w:r>
      <w:r>
        <w:rPr>
          <w:rFonts w:hint="eastAsia" w:ascii="仿宋_GB2312" w:hAnsi="仿宋_GB2312" w:eastAsia="仿宋_GB2312" w:cs="仿宋_GB2312"/>
          <w:sz w:val="28"/>
          <w:lang w:val="en-US" w:eastAsia="zh-CN"/>
        </w:rPr>
        <w:t>合理、合规。</w:t>
      </w:r>
    </w:p>
    <w:p>
      <w:pPr>
        <w:numPr>
          <w:ilvl w:val="0"/>
          <w:numId w:val="0"/>
        </w:numPr>
        <w:spacing w:beforeLines="0"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2、</w:t>
      </w:r>
      <w:r>
        <w:rPr>
          <w:rFonts w:hint="eastAsia" w:ascii="仿宋_GB2312" w:hAnsi="仿宋_GB2312" w:eastAsia="仿宋_GB2312" w:cs="仿宋_GB2312"/>
          <w:sz w:val="28"/>
          <w:highlight w:val="none"/>
          <w:lang w:val="en-US" w:eastAsia="zh-CN"/>
        </w:rPr>
        <w:t>从工程范围、建设工期、工程质量以及工程价款等四个方面核查合同实质性条款是否与招标文件的一致</w:t>
      </w:r>
      <w:r>
        <w:rPr>
          <w:rFonts w:hint="eastAsia" w:ascii="仿宋_GB2312" w:hAnsi="仿宋_GB2312" w:eastAsia="仿宋_GB2312" w:cs="仿宋_GB2312"/>
          <w:sz w:val="28"/>
          <w:lang w:val="en-US" w:eastAsia="zh-CN"/>
        </w:rPr>
        <w:t>。</w:t>
      </w:r>
    </w:p>
    <w:p>
      <w:pPr>
        <w:numPr>
          <w:ilvl w:val="0"/>
          <w:numId w:val="0"/>
        </w:numPr>
        <w:spacing w:beforeLines="0" w:line="560" w:lineRule="exac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3、从专业工程暂估价、垫资施工、建筑业劳务工工资、工程价款的支付等四个方面核查合同价款和支付的规范性。</w:t>
      </w:r>
    </w:p>
    <w:p>
      <w:pPr>
        <w:numPr>
          <w:ilvl w:val="0"/>
          <w:numId w:val="0"/>
        </w:numPr>
        <w:spacing w:beforeLines="0" w:line="560" w:lineRule="exact"/>
        <w:ind w:firstLine="560" w:firstLineChars="200"/>
        <w:rPr>
          <w:rFonts w:hint="eastAsia" w:ascii="仿宋_GB2312" w:hAnsi="仿宋_GB2312" w:eastAsia="仿宋_GB2312" w:cs="仿宋_GB2312"/>
          <w:sz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sz w:val="28"/>
          <w:lang w:val="en-US" w:eastAsia="zh-CN"/>
        </w:rPr>
        <w:t>4、是否存在中标通知书发出后30天内未签订合同以及提供虚假资料等其他问题。</w:t>
      </w:r>
    </w:p>
    <w:p>
      <w:pPr>
        <w:pStyle w:val="7"/>
        <w:keepNext w:val="0"/>
        <w:keepLines w:val="0"/>
        <w:pageBreakBefore w:val="0"/>
        <w:widowControl w:val="0"/>
        <w:kinsoku/>
        <w:wordWrap/>
        <w:overflowPunct/>
        <w:topLinePunct w:val="0"/>
        <w:autoSpaceDE/>
        <w:autoSpaceDN/>
        <w:bidi w:val="0"/>
        <w:adjustRightInd/>
        <w:snapToGrid/>
        <w:ind w:left="0" w:right="0"/>
        <w:jc w:val="center"/>
        <w:textAlignment w:val="auto"/>
        <w:rPr>
          <w:rFonts w:ascii="黑体" w:hAnsi="黑体" w:eastAsia="黑体" w:cs="黑体"/>
          <w:b w:val="0"/>
          <w:bCs w:val="0"/>
          <w:spacing w:val="0"/>
          <w:w w:val="100"/>
        </w:rPr>
      </w:pPr>
      <w:bookmarkStart w:id="477" w:name="_Toc9177_WPSOffice_Level2"/>
      <w:r>
        <w:rPr>
          <w:rFonts w:hint="eastAsia" w:ascii="黑体" w:hAnsi="黑体" w:eastAsia="黑体" w:cs="黑体"/>
          <w:b w:val="0"/>
          <w:bCs w:val="0"/>
          <w:spacing w:val="0"/>
          <w:w w:val="100"/>
          <w:lang w:val="en-US" w:eastAsia="zh-CN"/>
        </w:rPr>
        <w:t xml:space="preserve"> 表五 深圳市住房和建设局2021年度工程招标投标及</w:t>
      </w:r>
      <w:r>
        <w:rPr>
          <w:rFonts w:hint="eastAsia" w:ascii="黑体" w:hAnsi="黑体" w:eastAsia="黑体" w:cs="黑体"/>
          <w:i w:val="0"/>
          <w:iCs w:val="0"/>
          <w:color w:val="auto"/>
          <w:kern w:val="2"/>
          <w:sz w:val="28"/>
          <w:szCs w:val="28"/>
          <w:u w:val="none"/>
          <w:lang w:val="en-US" w:eastAsia="zh-CN" w:bidi="ar"/>
        </w:rPr>
        <w:t>合同</w:t>
      </w:r>
      <w:r>
        <w:rPr>
          <w:rFonts w:hint="eastAsia" w:ascii="黑体" w:hAnsi="黑体" w:eastAsia="黑体" w:cs="黑体"/>
          <w:b w:val="0"/>
          <w:bCs w:val="0"/>
          <w:spacing w:val="0"/>
          <w:w w:val="100"/>
          <w:lang w:val="en-US" w:eastAsia="zh-CN"/>
        </w:rPr>
        <w:t>情况后评估表</w:t>
      </w:r>
    </w:p>
    <w:bookmarkEnd w:id="477"/>
    <w:tbl>
      <w:tblPr>
        <w:tblStyle w:val="18"/>
        <w:tblW w:w="143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185"/>
        <w:gridCol w:w="2205"/>
        <w:gridCol w:w="1575"/>
        <w:gridCol w:w="1530"/>
        <w:gridCol w:w="4815"/>
        <w:gridCol w:w="1443"/>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p>
        </w:tc>
        <w:tc>
          <w:tcPr>
            <w:tcW w:w="6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后评估编号</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招 标 人</w:t>
            </w:r>
          </w:p>
        </w:tc>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6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招标代理机构</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招标项目类别</w:t>
            </w:r>
          </w:p>
        </w:tc>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□勘察□设计□施工□监理</w:t>
            </w:r>
          </w:p>
        </w:tc>
        <w:tc>
          <w:tcPr>
            <w:tcW w:w="63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资审方式</w:t>
            </w:r>
          </w:p>
        </w:tc>
        <w:tc>
          <w:tcPr>
            <w:tcW w:w="24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□投标报名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□资格预审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□资格后审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8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□EPC□货物□其它</w:t>
            </w:r>
          </w:p>
        </w:tc>
        <w:tc>
          <w:tcPr>
            <w:tcW w:w="63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8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过多投标人淘汰方法</w:t>
            </w:r>
          </w:p>
        </w:tc>
        <w:tc>
          <w:tcPr>
            <w:tcW w:w="37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□票决淘汰 □其他方式淘汰 □无过多投标人淘汰环节</w:t>
            </w:r>
          </w:p>
        </w:tc>
        <w:tc>
          <w:tcPr>
            <w:tcW w:w="6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评标办法</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Style w:val="94"/>
                <w:rFonts w:hint="default" w:ascii="仿宋" w:hAnsi="仿宋" w:eastAsia="仿宋" w:cs="仿宋"/>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□定性评审    □记名投票</w:t>
            </w:r>
            <w:r>
              <w:rPr>
                <w:rStyle w:val="94"/>
                <w:rFonts w:hint="eastAsia" w:ascii="仿宋" w:hAnsi="仿宋" w:eastAsia="仿宋" w:cs="仿宋"/>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3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仿宋" w:hAnsi="仿宋" w:eastAsia="仿宋" w:cs="仿宋"/>
                <w:i w:val="0"/>
                <w:iCs w:val="0"/>
                <w:color w:val="000000"/>
                <w:sz w:val="18"/>
                <w:szCs w:val="18"/>
                <w:u w:val="none"/>
              </w:rPr>
            </w:pPr>
          </w:p>
        </w:tc>
        <w:tc>
          <w:tcPr>
            <w:tcW w:w="6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定标办法</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□票决定标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（□直接票决□逐轮票决）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□票决抽签（票决</w:t>
            </w:r>
            <w:r>
              <w:rPr>
                <w:rFonts w:hint="eastAsia" w:ascii="仿宋" w:hAnsi="仿宋" w:eastAsia="仿宋" w:cs="仿宋"/>
                <w:i w:val="0"/>
                <w:iCs w:val="0"/>
                <w:color w:val="000000"/>
                <w:kern w:val="0"/>
                <w:sz w:val="18"/>
                <w:szCs w:val="18"/>
                <w:u w:val="single"/>
                <w:lang w:val="en-US" w:eastAsia="zh-CN" w:bidi="ar"/>
              </w:rPr>
              <w:t xml:space="preserve">  </w:t>
            </w:r>
            <w:r>
              <w:rPr>
                <w:rFonts w:hint="eastAsia" w:ascii="仿宋" w:hAnsi="仿宋" w:eastAsia="仿宋" w:cs="仿宋"/>
                <w:i w:val="0"/>
                <w:iCs w:val="0"/>
                <w:color w:val="000000"/>
                <w:kern w:val="0"/>
                <w:sz w:val="18"/>
                <w:szCs w:val="18"/>
                <w:u w:val="none"/>
                <w:lang w:val="en-US" w:eastAsia="zh-CN" w:bidi="ar"/>
              </w:rPr>
              <w:t xml:space="preserve">   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中标人</w:t>
            </w:r>
          </w:p>
        </w:tc>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p>
        </w:tc>
        <w:tc>
          <w:tcPr>
            <w:tcW w:w="6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中标价（万元）</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总得分</w:t>
            </w:r>
          </w:p>
        </w:tc>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6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评估意见</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检查内容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检查目标资料</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原则</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存在问题</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招标公告发布环节（15分）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1.1招标备案资料完备性（5分）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备案资料</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招标备案资料完备性</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（1）招标备案资料齐全，得分为5分；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（2）招标备案资料基本齐全，得分为3-4分；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（3）招标备案资料不齐全，得分为0-2分。</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1.2资格条件设置合规性</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公告、招标文件</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检查是否有不合规情况</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资格条件设置不合规，该项目评估意见为不合格。</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1.3投标保证金收取的合规性（5分）</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检查是否有不合规情况</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（1）保证金金额未超过项目估价的2%且未超50万元，得分为2分；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（2）接受保函（保险）形式投标担保的，得分为3分。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本项最高得分5分。</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1.4招标文件编制是否合理（5分）</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检查是否有不合理情况</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（1）招标文件编制合理，得分为5分；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（2）招标文件编制不合理，得分为0-4分。</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开标环节（10分）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2.1资格审查合规性</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招标文件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标底公示表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资格审查报告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开标情况记录表</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检查是否有不合规情况</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资格审查不合规，该项目评估意见为不合格。</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2.2投标人的报价区间分布情况（10分）</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将投标报价上限和最低报价的范围分为三个区间（从低到高为别为1-3区间），判断各区间投标人分布比例</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（1）区间分布合理，得分为8-10分；（2）区间分布不合理，得分为0-7分。</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过多投标人淘汰环节（5分）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3.1进入评标环节的投标人是否比被淘汰投标人的投标报价对比更优（2分）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开标情况记录表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入围情况一览表</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投标报价的对比原则：通过区间分布情况进行横向对比</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进入评标环节的投标人比被淘汰投标人的投标报价是否更优；是得2分，否得0分。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Style w:val="95"/>
                <w:rFonts w:ascii="仿宋" w:hAnsi="仿宋" w:eastAsia="仿宋" w:cs="仿宋"/>
                <w:sz w:val="18"/>
                <w:szCs w:val="18"/>
                <w:lang w:val="en-US" w:eastAsia="zh-CN" w:bidi="ar"/>
              </w:rPr>
              <w:t>注：如评估项目无此环节，得2分。</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3.2进入评标环节的投标人是否比被淘汰投标人的入围择优要素对比更优（3分）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入围择优要素报告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入围情况一览表</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通过对比入围择优要素</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进入评标环节的投标人比被淘汰投标人入围择优要素更优；是得3分，否得0分。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Style w:val="95"/>
                <w:rFonts w:ascii="仿宋" w:hAnsi="仿宋" w:eastAsia="仿宋" w:cs="仿宋"/>
                <w:sz w:val="18"/>
                <w:szCs w:val="18"/>
                <w:lang w:val="en-US" w:eastAsia="zh-CN" w:bidi="ar"/>
              </w:rPr>
              <w:t>注：如评估项目无此环节，得3分。</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评标环节（10分）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4.1评标过程的规范性（10分）</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招标文件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评标报告</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根据评标要求及招标文件评标细则检查评标过程的规范性、废标情形合规性</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（1）严格按照招标文件规定的评标办法进行评审，评标委员会按规定进行评标工作，得分为8-10分；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（2）未严格按照招标文件规定的评标办法进行评审，评标委员会未按规定进行评标工作，得分为0-7分；</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4.2废标情形是否合规</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应废未废或废标情形不合规，该项目评估意见为不合格。</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清标环节（10分）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是否提供清标文件，清标工作的合法合规性(10分）</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招标文件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清标报告</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综合考量清标报告编写情况</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（1）提供清标文件，清标工作合法合规，得分为7-10分；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（2）提供清标文件，清标工作基本合法合规，得分为4-6分；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（3）未提供清标文件，出现违法违规行为，得分为0-3分。</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清标报告的编写是否客观，对投标单位进行明示或暗示</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清标报告编写不客观，有明示或暗示的内容，该项目评估意见为不合格。</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定标环节（15分）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6.1定标时是否严格遵守定标方案，未临时改变规则（5分）</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招标文件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定标过程资料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定标报告</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根据定标要求及招标文件定标细则检查定标过程是否合法合规</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（1）定标时严格遵守定标方案，得分为5分；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Style w:val="95"/>
                <w:rFonts w:ascii="仿宋" w:hAnsi="仿宋" w:eastAsia="仿宋" w:cs="仿宋"/>
                <w:sz w:val="18"/>
                <w:szCs w:val="18"/>
                <w:lang w:val="en-US" w:eastAsia="zh-CN" w:bidi="ar"/>
              </w:rPr>
              <w:t>（2）定标时未遵守定标方案或无定标方案，得分为0分。</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6.2定标方案是否对定标工作规则、定标流程、择优要素及竞价方法等内容予以明确（5分）</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（1）定标方案各项内容齐全并明确，得分为4-5分；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（2）定标方案各项内容基本齐全并明确，得分为2-3分；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（3）定标方案各项内容不齐全、不明确或无定标方案，得分为0-1分。</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6.3得票多的投标人（或进入票决抽签环节的投标人）按资信要素、投标报价、评标结论、清标要素（如有）进行对比是否更优（5分）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开标情况记录表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定标清标报告（如有）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评标报告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定标报告</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1、投标报价的对比原则：通过区间分布情况进行横向对比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2、其余要素综合考量</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（1）综合分析中标人（或进入票决抽签环节的投标人）比未中标（或未进入票决抽签环节）投标人的资信要素、投标报价、评标结论、清标要素（如有）优点相对更多，得分4-5分；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（2）上述内容中具备1-2项，得分2-3分；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（3）上述内容中具备0-1项，得分0-1分。</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异常情况（5分）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异议投诉处理情况（5分）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招标全过程异议投诉情况及处理结果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匹配异议投诉情况及处理结果，分析异议处理是否合理</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（1）未出现投诉情况，得5分；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（2）出现投诉情况，异议处理合理，得1-4分；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Style w:val="95"/>
                <w:rFonts w:ascii="仿宋" w:hAnsi="仿宋" w:eastAsia="仿宋" w:cs="仿宋"/>
                <w:sz w:val="18"/>
                <w:szCs w:val="18"/>
                <w:lang w:val="en-US" w:eastAsia="zh-CN" w:bidi="ar"/>
              </w:rPr>
              <w:t>（3）出现投诉情况，投诉成立，异议处理不合理，该项目评估意见为不合格。</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auto"/>
                <w:kern w:val="0"/>
                <w:sz w:val="18"/>
                <w:szCs w:val="18"/>
                <w:u w:val="none"/>
                <w:lang w:bidi="ar"/>
              </w:rPr>
            </w:pPr>
            <w:r>
              <w:rPr>
                <w:rFonts w:hint="eastAsia" w:ascii="仿宋" w:hAnsi="仿宋" w:eastAsia="仿宋" w:cs="仿宋"/>
                <w:i w:val="0"/>
                <w:iCs w:val="0"/>
                <w:color w:val="auto"/>
                <w:kern w:val="0"/>
                <w:sz w:val="18"/>
                <w:szCs w:val="18"/>
                <w:u w:val="none"/>
                <w:lang w:val="en-US" w:eastAsia="zh-CN" w:bidi="ar"/>
              </w:rPr>
              <w:t>中标人综合实力（10分）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8.1中标人在本项目的履约情况是否良好（5分）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《承包商履约评价结果汇总表》</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中标人履行合同情况</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（1）履约评价情况较好，得分为5分；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（2）履约评价情况合格或无履约评价，得分为3分；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（3）履约评价情况不合格，得分为0分。</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仿宋" w:hAnsi="仿宋" w:eastAsia="仿宋" w:cs="仿宋"/>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8.2中标人注册人员数量、业绩数量、信用情况（5分）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全国建筑市场监管公共服务平台、信用中国</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综合分析人员数量、业绩数量、信用情况</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（1）综合实力强，得分为4-5分；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（2）综合实力一般，得分为2-3分：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（3）综合实力较差，得分为0-1分。</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合同核查（20分）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招标人与中标人签订的合同核查情况（20分）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招标文件、投标文件、签订的合同</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根据《合同核查表》逐项核查合同内容</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《合同核查表》无问题，得分为20分；存在一项问题扣2分，本项最低得分为0分。</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43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项目总体评价：</w:t>
            </w:r>
          </w:p>
        </w:tc>
      </w:tr>
    </w:tbl>
    <w:p>
      <w:pPr>
        <w:jc w:val="left"/>
        <w:rPr>
          <w:rFonts w:hint="eastAsia" w:ascii="仿宋" w:hAnsi="仿宋" w:eastAsia="仿宋" w:cs="仿宋"/>
          <w:b/>
          <w:szCs w:val="21"/>
        </w:rPr>
      </w:pPr>
    </w:p>
    <w:p>
      <w:pPr>
        <w:spacing w:line="216" w:lineRule="auto"/>
        <w:jc w:val="center"/>
        <w:rPr>
          <w:rFonts w:hint="eastAsia" w:ascii="仿宋" w:hAnsi="仿宋" w:eastAsia="仿宋" w:cs="仿宋"/>
          <w:b/>
          <w:sz w:val="32"/>
          <w:szCs w:val="36"/>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spacing w:line="560" w:lineRule="exact"/>
        <w:rPr>
          <w:rFonts w:hint="eastAsia" w:ascii="黑体" w:hAnsi="黑体" w:eastAsia="黑体" w:cs="黑体"/>
          <w:b w:val="0"/>
          <w:bCs/>
          <w:sz w:val="32"/>
          <w:szCs w:val="32"/>
          <w:lang w:val="en-US" w:eastAsia="zh-CN"/>
        </w:rPr>
      </w:pPr>
      <w:bookmarkStart w:id="478" w:name="_Toc29436"/>
      <w:bookmarkStart w:id="479" w:name="_Toc435"/>
      <w:bookmarkStart w:id="480" w:name="_Toc11774"/>
      <w:bookmarkStart w:id="481" w:name="_Toc18035"/>
      <w:bookmarkStart w:id="482" w:name="_Toc32145"/>
      <w:bookmarkStart w:id="483" w:name="_Toc6931"/>
      <w:bookmarkStart w:id="484" w:name="_Toc18916"/>
      <w:bookmarkStart w:id="485" w:name="_Toc26076"/>
      <w:bookmarkStart w:id="486" w:name="_Toc779"/>
      <w:bookmarkStart w:id="487" w:name="_Toc5979"/>
      <w:bookmarkStart w:id="488" w:name="_Toc25653"/>
      <w:bookmarkStart w:id="489" w:name="_Toc760"/>
      <w:bookmarkStart w:id="490" w:name="_Toc28201"/>
      <w:bookmarkStart w:id="491" w:name="_Toc17874"/>
      <w:bookmarkStart w:id="492" w:name="_Toc12265"/>
      <w:bookmarkStart w:id="493" w:name="_Toc21528"/>
      <w:bookmarkStart w:id="494" w:name="_Toc10954"/>
      <w:bookmarkStart w:id="495" w:name="_Toc9717"/>
      <w:bookmarkStart w:id="496" w:name="_Toc30040"/>
      <w:bookmarkStart w:id="497" w:name="_Toc29603"/>
      <w:bookmarkStart w:id="498" w:name="_Toc30881"/>
      <w:bookmarkStart w:id="499" w:name="_Toc1493"/>
      <w:bookmarkStart w:id="500" w:name="_Toc19930"/>
      <w:bookmarkStart w:id="501" w:name="_Toc29805"/>
      <w:bookmarkStart w:id="502" w:name="_Toc295"/>
      <w:bookmarkStart w:id="503" w:name="_Toc9268"/>
      <w:bookmarkStart w:id="504" w:name="_Toc31917"/>
      <w:bookmarkStart w:id="505" w:name="_Toc12429"/>
      <w:bookmarkStart w:id="506" w:name="_Toc8882_WPSOffice_Level3"/>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3</w:t>
      </w:r>
      <w:r>
        <w:rPr>
          <w:rFonts w:hint="eastAsia" w:ascii="黑体" w:hAnsi="黑体" w:eastAsia="黑体" w:cs="黑体"/>
          <w:b w:val="0"/>
          <w:bCs/>
          <w:sz w:val="32"/>
          <w:szCs w:val="32"/>
        </w:rPr>
        <w:t xml:space="preserve">章  </w:t>
      </w:r>
      <w:r>
        <w:rPr>
          <w:rFonts w:hint="eastAsia" w:ascii="黑体" w:hAnsi="黑体" w:eastAsia="黑体" w:cs="黑体"/>
          <w:b w:val="0"/>
          <w:bCs/>
          <w:sz w:val="32"/>
          <w:szCs w:val="32"/>
          <w:lang w:val="en-US" w:eastAsia="zh-CN"/>
        </w:rPr>
        <w:t>评估结论</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pStyle w:val="3"/>
        <w:spacing w:before="120" w:beforeLines="0" w:line="560" w:lineRule="exact"/>
        <w:ind w:left="0" w:leftChars="0"/>
        <w:rPr>
          <w:rFonts w:hint="eastAsia" w:ascii="黑体" w:hAnsi="黑体" w:eastAsia="黑体" w:cs="黑体"/>
          <w:b w:val="0"/>
          <w:bCs/>
          <w:szCs w:val="28"/>
          <w:lang w:val="en-US" w:eastAsia="zh-CN"/>
        </w:rPr>
      </w:pPr>
      <w:bookmarkStart w:id="507" w:name="_Toc10067"/>
      <w:bookmarkStart w:id="508" w:name="_Toc27269"/>
      <w:bookmarkStart w:id="509" w:name="_Toc23303"/>
      <w:bookmarkStart w:id="510" w:name="_Toc16367"/>
      <w:bookmarkStart w:id="511" w:name="_Toc7553"/>
      <w:bookmarkStart w:id="512" w:name="_Toc11646"/>
      <w:bookmarkStart w:id="513" w:name="_Toc14837"/>
      <w:bookmarkStart w:id="514" w:name="_Toc9682"/>
      <w:bookmarkStart w:id="515" w:name="_Toc25823"/>
      <w:bookmarkStart w:id="516" w:name="_Toc4976"/>
      <w:bookmarkStart w:id="517" w:name="_Toc18143"/>
      <w:bookmarkStart w:id="518" w:name="_Toc12070"/>
      <w:bookmarkStart w:id="519" w:name="_Toc24060"/>
      <w:bookmarkStart w:id="520" w:name="_Toc14137"/>
      <w:bookmarkStart w:id="521" w:name="_Toc8603"/>
      <w:bookmarkStart w:id="522" w:name="_Toc22481"/>
      <w:bookmarkStart w:id="523" w:name="_Toc7490"/>
      <w:bookmarkStart w:id="524" w:name="_Toc1928"/>
      <w:bookmarkStart w:id="525" w:name="_Toc21172"/>
      <w:bookmarkStart w:id="526" w:name="_Toc30286"/>
      <w:bookmarkStart w:id="527" w:name="_Toc30979"/>
      <w:bookmarkStart w:id="528" w:name="_Toc26314"/>
      <w:bookmarkStart w:id="529" w:name="_Toc4366"/>
      <w:bookmarkStart w:id="530" w:name="_Toc23436"/>
      <w:bookmarkStart w:id="531" w:name="_Toc26217"/>
      <w:bookmarkStart w:id="532" w:name="_Toc2331"/>
      <w:bookmarkStart w:id="533" w:name="_Toc23638"/>
      <w:r>
        <w:rPr>
          <w:rFonts w:hint="eastAsia" w:ascii="黑体" w:hAnsi="黑体" w:eastAsia="黑体" w:cs="黑体"/>
          <w:b w:val="0"/>
          <w:bCs/>
          <w:szCs w:val="28"/>
        </w:rPr>
        <w:t>3.</w:t>
      </w:r>
      <w:r>
        <w:rPr>
          <w:rFonts w:hint="eastAsia" w:ascii="黑体" w:hAnsi="黑体" w:eastAsia="黑体" w:cs="黑体"/>
          <w:b w:val="0"/>
          <w:bCs/>
          <w:szCs w:val="28"/>
          <w:lang w:val="en-US" w:eastAsia="zh-CN"/>
        </w:rPr>
        <w:t>1总体评估结论</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pPr>
        <w:pageBreakBefore w:val="0"/>
        <w:numPr>
          <w:ilvl w:val="0"/>
          <w:numId w:val="0"/>
        </w:numPr>
        <w:kinsoku/>
        <w:wordWrap/>
        <w:overflowPunct/>
        <w:topLinePunct w:val="0"/>
        <w:autoSpaceDE/>
        <w:autoSpaceDN/>
        <w:bidi w:val="0"/>
        <w:adjustRightInd/>
        <w:snapToGrid/>
        <w:spacing w:beforeLines="0" w:line="560" w:lineRule="exact"/>
        <w:ind w:firstLine="560" w:firstLineChars="200"/>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对</w:t>
      </w:r>
      <w:r>
        <w:rPr>
          <w:rFonts w:hint="eastAsia" w:ascii="仿宋_GB2312" w:hAnsi="仿宋_GB2312" w:eastAsia="仿宋_GB2312" w:cs="仿宋_GB2312"/>
          <w:sz w:val="28"/>
          <w:szCs w:val="24"/>
          <w:lang w:val="en-US" w:eastAsia="zh-CN"/>
        </w:rPr>
        <w:t>评估</w:t>
      </w:r>
      <w:r>
        <w:rPr>
          <w:rFonts w:hint="eastAsia" w:ascii="仿宋_GB2312" w:hAnsi="仿宋_GB2312" w:eastAsia="仿宋_GB2312" w:cs="仿宋_GB2312"/>
          <w:sz w:val="28"/>
          <w:szCs w:val="24"/>
        </w:rPr>
        <w:t>项目</w:t>
      </w:r>
      <w:r>
        <w:rPr>
          <w:rFonts w:hint="eastAsia" w:ascii="仿宋_GB2312" w:hAnsi="仿宋_GB2312" w:eastAsia="仿宋_GB2312" w:cs="仿宋_GB2312"/>
          <w:sz w:val="28"/>
        </w:rPr>
        <w:t>招</w:t>
      </w:r>
      <w:r>
        <w:rPr>
          <w:rFonts w:hint="eastAsia" w:ascii="仿宋_GB2312" w:hAnsi="仿宋_GB2312" w:eastAsia="仿宋_GB2312" w:cs="仿宋_GB2312"/>
          <w:sz w:val="28"/>
          <w:lang w:val="en-US" w:eastAsia="zh-CN"/>
        </w:rPr>
        <w:t>标</w:t>
      </w:r>
      <w:r>
        <w:rPr>
          <w:rFonts w:hint="eastAsia" w:ascii="仿宋_GB2312" w:hAnsi="仿宋_GB2312" w:eastAsia="仿宋_GB2312" w:cs="仿宋_GB2312"/>
          <w:sz w:val="28"/>
        </w:rPr>
        <w:t>投标</w:t>
      </w:r>
      <w:r>
        <w:rPr>
          <w:rFonts w:hint="eastAsia" w:ascii="仿宋_GB2312" w:hAnsi="仿宋_GB2312" w:eastAsia="仿宋_GB2312" w:cs="仿宋_GB2312"/>
          <w:sz w:val="28"/>
          <w:lang w:val="en-US" w:eastAsia="zh-CN"/>
        </w:rPr>
        <w:t>活动</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lang w:val="en-US" w:eastAsia="zh-CN"/>
        </w:rPr>
        <w:t>合同签订履约情况进行系统</w:t>
      </w:r>
      <w:r>
        <w:rPr>
          <w:rFonts w:hint="eastAsia" w:ascii="仿宋_GB2312" w:hAnsi="仿宋_GB2312" w:eastAsia="仿宋_GB2312" w:cs="仿宋_GB2312"/>
          <w:sz w:val="28"/>
          <w:szCs w:val="24"/>
        </w:rPr>
        <w:t>梳理与分析</w:t>
      </w:r>
      <w:r>
        <w:rPr>
          <w:rFonts w:hint="eastAsia" w:ascii="仿宋_GB2312" w:hAnsi="仿宋_GB2312" w:eastAsia="仿宋_GB2312" w:cs="仿宋_GB2312"/>
          <w:sz w:val="28"/>
          <w:szCs w:val="24"/>
          <w:highlight w:val="none"/>
          <w:lang w:val="en-US" w:eastAsia="zh-CN"/>
        </w:rPr>
        <w:t>，评估项目</w:t>
      </w:r>
      <w:r>
        <w:rPr>
          <w:rFonts w:hint="eastAsia" w:ascii="仿宋_GB2312" w:hAnsi="仿宋_GB2312" w:eastAsia="仿宋_GB2312" w:cs="仿宋_GB2312"/>
          <w:sz w:val="28"/>
          <w:szCs w:val="24"/>
          <w:highlight w:val="none"/>
        </w:rPr>
        <w:t>的招标投标活动总体较为规范</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rPr>
        <w:t>基本</w:t>
      </w:r>
      <w:r>
        <w:rPr>
          <w:rFonts w:hint="eastAsia" w:ascii="仿宋_GB2312" w:hAnsi="仿宋_GB2312" w:eastAsia="仿宋_GB2312" w:cs="仿宋_GB2312"/>
          <w:sz w:val="28"/>
          <w:szCs w:val="24"/>
          <w:highlight w:val="none"/>
          <w:lang w:val="en-US" w:eastAsia="zh-CN"/>
        </w:rPr>
        <w:t>符合</w:t>
      </w:r>
      <w:r>
        <w:rPr>
          <w:rFonts w:hint="eastAsia" w:ascii="仿宋_GB2312" w:hAnsi="仿宋_GB2312" w:eastAsia="仿宋_GB2312" w:cs="仿宋_GB2312"/>
          <w:sz w:val="28"/>
          <w:szCs w:val="24"/>
          <w:highlight w:val="none"/>
        </w:rPr>
        <w:t>《关于建设工程招标投标改革的若干规定》（深府〔2015〕73号）、《关于进一步完善建设工程招标投标制度的若干措施》的通知（深建规〔2020〕1号）等文件要求，各方</w:t>
      </w:r>
      <w:r>
        <w:rPr>
          <w:rFonts w:hint="eastAsia" w:ascii="仿宋_GB2312" w:hAnsi="仿宋_GB2312" w:eastAsia="仿宋_GB2312" w:cs="仿宋_GB2312"/>
          <w:sz w:val="28"/>
          <w:szCs w:val="24"/>
          <w:highlight w:val="none"/>
          <w:lang w:val="en-US" w:eastAsia="zh-CN"/>
        </w:rPr>
        <w:t>责任</w:t>
      </w:r>
      <w:r>
        <w:rPr>
          <w:rFonts w:hint="eastAsia" w:ascii="仿宋_GB2312" w:hAnsi="仿宋_GB2312" w:eastAsia="仿宋_GB2312" w:cs="仿宋_GB2312"/>
          <w:sz w:val="28"/>
          <w:szCs w:val="24"/>
          <w:highlight w:val="none"/>
        </w:rPr>
        <w:t>主体</w:t>
      </w:r>
      <w:r>
        <w:rPr>
          <w:rFonts w:hint="eastAsia" w:ascii="仿宋_GB2312" w:hAnsi="仿宋_GB2312" w:eastAsia="仿宋_GB2312" w:cs="仿宋_GB2312"/>
          <w:sz w:val="28"/>
          <w:szCs w:val="24"/>
          <w:highlight w:val="none"/>
          <w:lang w:val="en-US" w:eastAsia="zh-CN"/>
        </w:rPr>
        <w:t>基本</w:t>
      </w:r>
      <w:r>
        <w:rPr>
          <w:rFonts w:hint="eastAsia" w:ascii="仿宋_GB2312" w:hAnsi="仿宋_GB2312" w:eastAsia="仿宋_GB2312" w:cs="仿宋_GB2312"/>
          <w:sz w:val="28"/>
          <w:szCs w:val="24"/>
          <w:highlight w:val="none"/>
        </w:rPr>
        <w:t>遵循</w:t>
      </w:r>
      <w:r>
        <w:rPr>
          <w:rFonts w:hint="eastAsia" w:ascii="仿宋_GB2312" w:hAnsi="仿宋_GB2312" w:eastAsia="仿宋_GB2312" w:cs="仿宋_GB2312"/>
          <w:sz w:val="28"/>
          <w:szCs w:val="24"/>
          <w:highlight w:val="none"/>
          <w:lang w:val="en-US" w:eastAsia="zh-CN"/>
        </w:rPr>
        <w:t>了</w:t>
      </w:r>
      <w:r>
        <w:rPr>
          <w:rFonts w:hint="eastAsia" w:ascii="仿宋_GB2312" w:hAnsi="仿宋_GB2312" w:eastAsia="仿宋_GB2312" w:cs="仿宋_GB2312"/>
          <w:sz w:val="28"/>
          <w:szCs w:val="24"/>
          <w:highlight w:val="none"/>
        </w:rPr>
        <w:t>公开、公平、公正和诚实信用的原则，认真履行</w:t>
      </w:r>
      <w:r>
        <w:rPr>
          <w:rFonts w:hint="eastAsia" w:ascii="仿宋_GB2312" w:hAnsi="仿宋_GB2312" w:eastAsia="仿宋_GB2312" w:cs="仿宋_GB2312"/>
          <w:sz w:val="28"/>
          <w:szCs w:val="24"/>
          <w:highlight w:val="none"/>
          <w:lang w:val="en-US" w:eastAsia="zh-CN"/>
        </w:rPr>
        <w:t>了相应的</w:t>
      </w:r>
      <w:r>
        <w:rPr>
          <w:rFonts w:hint="eastAsia" w:ascii="仿宋_GB2312" w:hAnsi="仿宋_GB2312" w:eastAsia="仿宋_GB2312" w:cs="仿宋_GB2312"/>
          <w:sz w:val="28"/>
          <w:szCs w:val="24"/>
          <w:highlight w:val="none"/>
        </w:rPr>
        <w:t>职责</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基本情况如下：</w:t>
      </w:r>
    </w:p>
    <w:p>
      <w:pPr>
        <w:pageBreakBefore w:val="0"/>
        <w:numPr>
          <w:ilvl w:val="0"/>
          <w:numId w:val="0"/>
        </w:numPr>
        <w:kinsoku/>
        <w:wordWrap/>
        <w:overflowPunct/>
        <w:topLinePunct w:val="0"/>
        <w:autoSpaceDE/>
        <w:autoSpaceDN/>
        <w:bidi w:val="0"/>
        <w:adjustRightInd/>
        <w:snapToGrid/>
        <w:spacing w:beforeLines="0" w:line="560" w:lineRule="exact"/>
        <w:ind w:firstLine="560" w:firstLineChars="200"/>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sz w:val="28"/>
          <w:szCs w:val="24"/>
          <w:lang w:val="en-US" w:eastAsia="zh-CN"/>
        </w:rPr>
        <w:t>1、本次评估的180个项目中，45个项目评估结果为优秀，占比25%，98个项目评估结果为良好，占比54%，11个项目评估结果为合格，占比6%，26个项目评估结果为不合格，占比15%（见图二）。</w:t>
      </w:r>
    </w:p>
    <w:p>
      <w:pPr>
        <w:pageBreakBefore w:val="0"/>
        <w:numPr>
          <w:ilvl w:val="0"/>
          <w:numId w:val="0"/>
        </w:numPr>
        <w:kinsoku/>
        <w:wordWrap/>
        <w:overflowPunct/>
        <w:topLinePunct w:val="0"/>
        <w:autoSpaceDE/>
        <w:autoSpaceDN/>
        <w:bidi w:val="0"/>
        <w:adjustRightInd/>
        <w:snapToGrid/>
        <w:spacing w:beforeLines="0" w:line="560" w:lineRule="exact"/>
        <w:ind w:firstLine="480" w:firstLineChars="20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图二 评估结果情况图</w:t>
      </w:r>
    </w:p>
    <w:p>
      <w:pPr>
        <w:pageBreakBefore w:val="0"/>
        <w:numPr>
          <w:ilvl w:val="0"/>
          <w:numId w:val="0"/>
        </w:numPr>
        <w:kinsoku/>
        <w:wordWrap/>
        <w:overflowPunct/>
        <w:topLinePunct w:val="0"/>
        <w:autoSpaceDE/>
        <w:autoSpaceDN/>
        <w:bidi w:val="0"/>
        <w:adjustRightInd/>
        <w:snapToGrid/>
        <w:spacing w:beforeLines="0" w:line="240" w:lineRule="auto"/>
        <w:ind w:firstLine="420" w:firstLineChars="200"/>
        <w:jc w:val="center"/>
        <w:rPr>
          <w:rFonts w:hint="eastAsia" w:eastAsiaTheme="minorEastAsia"/>
          <w:lang w:eastAsia="zh-CN"/>
        </w:rPr>
      </w:pPr>
      <w:r>
        <w:rPr>
          <w:rFonts w:hint="eastAsia"/>
          <w:lang w:val="en-US" w:eastAsia="zh-CN"/>
        </w:rPr>
        <w:t xml:space="preserve">   </w:t>
      </w:r>
      <w:r>
        <w:drawing>
          <wp:inline distT="0" distB="0" distL="114300" distR="114300">
            <wp:extent cx="2761615" cy="1817370"/>
            <wp:effectExtent l="0" t="0" r="635" b="11430"/>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7"/>
                    <a:stretch>
                      <a:fillRect/>
                    </a:stretch>
                  </pic:blipFill>
                  <pic:spPr>
                    <a:xfrm>
                      <a:off x="0" y="0"/>
                      <a:ext cx="2761615" cy="1817370"/>
                    </a:xfrm>
                    <a:prstGeom prst="rect">
                      <a:avLst/>
                    </a:prstGeom>
                    <a:noFill/>
                    <a:ln>
                      <a:noFill/>
                    </a:ln>
                  </pic:spPr>
                </pic:pic>
              </a:graphicData>
            </a:graphic>
          </wp:inline>
        </w:drawing>
      </w:r>
    </w:p>
    <w:p>
      <w:pPr>
        <w:pageBreakBefore w:val="0"/>
        <w:numPr>
          <w:ilvl w:val="0"/>
          <w:numId w:val="0"/>
        </w:numPr>
        <w:kinsoku/>
        <w:wordWrap/>
        <w:overflowPunct/>
        <w:topLinePunct w:val="0"/>
        <w:autoSpaceDE/>
        <w:autoSpaceDN/>
        <w:bidi w:val="0"/>
        <w:adjustRightInd/>
        <w:snapToGrid/>
        <w:spacing w:beforeLines="0" w:line="560" w:lineRule="exact"/>
        <w:ind w:firstLine="560" w:firstLineChars="200"/>
        <w:rPr>
          <w:rFonts w:hint="eastAsia" w:ascii="仿宋_GB2312" w:hAnsi="仿宋_GB2312" w:eastAsia="仿宋_GB2312" w:cs="仿宋_GB2312"/>
          <w:sz w:val="28"/>
          <w:szCs w:val="24"/>
          <w:highlight w:val="none"/>
          <w:lang w:val="en-US" w:eastAsia="zh-CN"/>
        </w:rPr>
      </w:pPr>
      <w:r>
        <w:rPr>
          <w:rFonts w:hint="eastAsia" w:ascii="仿宋_GB2312" w:hAnsi="仿宋_GB2312" w:eastAsia="仿宋_GB2312" w:cs="仿宋_GB2312"/>
          <w:sz w:val="28"/>
          <w:szCs w:val="24"/>
          <w:highlight w:val="none"/>
          <w:lang w:val="en-US" w:eastAsia="zh-CN"/>
        </w:rPr>
        <w:t>2、评估项目均</w:t>
      </w:r>
      <w:r>
        <w:rPr>
          <w:rFonts w:hint="eastAsia" w:ascii="仿宋_GB2312" w:hAnsi="仿宋_GB2312" w:eastAsia="仿宋_GB2312" w:cs="仿宋_GB2312"/>
          <w:sz w:val="28"/>
          <w:szCs w:val="24"/>
          <w:highlight w:val="none"/>
        </w:rPr>
        <w:t>按相关</w:t>
      </w:r>
      <w:r>
        <w:rPr>
          <w:rFonts w:hint="eastAsia" w:ascii="仿宋_GB2312" w:hAnsi="仿宋_GB2312" w:eastAsia="仿宋_GB2312" w:cs="仿宋_GB2312"/>
          <w:sz w:val="28"/>
          <w:szCs w:val="24"/>
          <w:highlight w:val="none"/>
          <w:lang w:val="en-US" w:eastAsia="zh-CN"/>
        </w:rPr>
        <w:t>规定发</w:t>
      </w:r>
      <w:r>
        <w:rPr>
          <w:rFonts w:hint="eastAsia" w:ascii="仿宋_GB2312" w:hAnsi="仿宋_GB2312" w:eastAsia="仿宋_GB2312" w:cs="仿宋_GB2312"/>
          <w:sz w:val="28"/>
          <w:szCs w:val="24"/>
          <w:highlight w:val="none"/>
        </w:rPr>
        <w:t>布招标公告、招标文件、答疑补遗等信息，并将资格审查、</w:t>
      </w:r>
      <w:r>
        <w:rPr>
          <w:rFonts w:hint="eastAsia" w:ascii="仿宋_GB2312" w:hAnsi="仿宋_GB2312" w:eastAsia="仿宋_GB2312" w:cs="仿宋_GB2312"/>
          <w:sz w:val="28"/>
          <w:szCs w:val="24"/>
          <w:highlight w:val="none"/>
          <w:lang w:val="en-US" w:eastAsia="zh-CN"/>
        </w:rPr>
        <w:t>开标、入围、</w:t>
      </w:r>
      <w:r>
        <w:rPr>
          <w:rFonts w:hint="eastAsia" w:ascii="仿宋_GB2312" w:hAnsi="仿宋_GB2312" w:eastAsia="仿宋_GB2312" w:cs="仿宋_GB2312"/>
          <w:sz w:val="28"/>
          <w:szCs w:val="24"/>
          <w:highlight w:val="none"/>
        </w:rPr>
        <w:t>评标、定标结果及时公示；</w:t>
      </w:r>
    </w:p>
    <w:p>
      <w:pPr>
        <w:pageBreakBefore w:val="0"/>
        <w:numPr>
          <w:ilvl w:val="0"/>
          <w:numId w:val="0"/>
        </w:numPr>
        <w:kinsoku/>
        <w:wordWrap/>
        <w:overflowPunct/>
        <w:topLinePunct w:val="0"/>
        <w:autoSpaceDE/>
        <w:autoSpaceDN/>
        <w:bidi w:val="0"/>
        <w:adjustRightInd/>
        <w:snapToGrid/>
        <w:spacing w:beforeLines="0" w:line="560" w:lineRule="exact"/>
        <w:ind w:firstLine="560" w:firstLineChars="200"/>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lang w:val="en-US" w:eastAsia="zh-CN"/>
        </w:rPr>
        <w:t>3、评估项目基本</w:t>
      </w:r>
      <w:r>
        <w:rPr>
          <w:rFonts w:hint="eastAsia" w:ascii="仿宋_GB2312" w:hAnsi="仿宋_GB2312" w:eastAsia="仿宋_GB2312" w:cs="仿宋_GB2312"/>
          <w:sz w:val="28"/>
          <w:szCs w:val="24"/>
          <w:highlight w:val="none"/>
        </w:rPr>
        <w:t>设置</w:t>
      </w:r>
      <w:r>
        <w:rPr>
          <w:rFonts w:hint="eastAsia" w:ascii="仿宋_GB2312" w:hAnsi="仿宋_GB2312" w:eastAsia="仿宋_GB2312" w:cs="仿宋_GB2312"/>
          <w:sz w:val="28"/>
          <w:szCs w:val="24"/>
          <w:highlight w:val="none"/>
          <w:lang w:val="en-US" w:eastAsia="zh-CN"/>
        </w:rPr>
        <w:t>了</w:t>
      </w:r>
      <w:r>
        <w:rPr>
          <w:rFonts w:hint="eastAsia" w:ascii="仿宋_GB2312" w:hAnsi="仿宋_GB2312" w:eastAsia="仿宋_GB2312" w:cs="仿宋_GB2312"/>
          <w:sz w:val="28"/>
          <w:szCs w:val="24"/>
          <w:highlight w:val="none"/>
        </w:rPr>
        <w:t>合理的定标工作方案</w:t>
      </w:r>
      <w:r>
        <w:rPr>
          <w:rFonts w:hint="eastAsia" w:ascii="仿宋_GB2312" w:hAnsi="仿宋_GB2312" w:eastAsia="仿宋_GB2312" w:cs="仿宋_GB2312"/>
          <w:sz w:val="28"/>
          <w:szCs w:val="24"/>
          <w:highlight w:val="none"/>
          <w:lang w:val="en-US" w:eastAsia="zh-CN"/>
        </w:rPr>
        <w:t>和</w:t>
      </w:r>
      <w:r>
        <w:rPr>
          <w:rFonts w:hint="eastAsia" w:ascii="仿宋_GB2312" w:hAnsi="仿宋_GB2312" w:eastAsia="仿宋_GB2312" w:cs="仿宋_GB2312"/>
          <w:sz w:val="28"/>
          <w:szCs w:val="24"/>
          <w:highlight w:val="none"/>
        </w:rPr>
        <w:t>择优</w:t>
      </w:r>
      <w:r>
        <w:rPr>
          <w:rFonts w:hint="eastAsia" w:ascii="仿宋_GB2312" w:hAnsi="仿宋_GB2312" w:eastAsia="仿宋_GB2312" w:cs="仿宋_GB2312"/>
          <w:sz w:val="28"/>
          <w:szCs w:val="24"/>
          <w:highlight w:val="none"/>
          <w:lang w:val="en-US" w:eastAsia="zh-CN"/>
        </w:rPr>
        <w:t>要素</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rPr>
        <w:t>在过多投标人淘汰环节</w:t>
      </w:r>
      <w:r>
        <w:rPr>
          <w:rFonts w:hint="eastAsia" w:ascii="仿宋_GB2312" w:hAnsi="仿宋_GB2312" w:eastAsia="仿宋_GB2312" w:cs="仿宋_GB2312"/>
          <w:sz w:val="28"/>
          <w:szCs w:val="24"/>
          <w:highlight w:val="none"/>
          <w:lang w:val="en-US" w:eastAsia="zh-CN"/>
        </w:rPr>
        <w:t>和定标环节</w:t>
      </w:r>
      <w:r>
        <w:rPr>
          <w:rFonts w:hint="eastAsia" w:ascii="仿宋_GB2312" w:hAnsi="仿宋_GB2312" w:eastAsia="仿宋_GB2312" w:cs="仿宋_GB2312"/>
          <w:sz w:val="28"/>
          <w:szCs w:val="24"/>
          <w:highlight w:val="none"/>
        </w:rPr>
        <w:t>能够遵循择优原则</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最终确定</w:t>
      </w:r>
      <w:r>
        <w:rPr>
          <w:rFonts w:hint="eastAsia" w:ascii="仿宋_GB2312" w:hAnsi="仿宋_GB2312" w:eastAsia="仿宋_GB2312" w:cs="仿宋_GB2312"/>
          <w:sz w:val="28"/>
          <w:szCs w:val="24"/>
          <w:highlight w:val="none"/>
        </w:rPr>
        <w:t>综合实力较强</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rPr>
        <w:t>价格合理的</w:t>
      </w:r>
      <w:r>
        <w:rPr>
          <w:rFonts w:hint="eastAsia" w:ascii="仿宋_GB2312" w:hAnsi="仿宋_GB2312" w:eastAsia="仿宋_GB2312" w:cs="仿宋_GB2312"/>
          <w:sz w:val="28"/>
          <w:szCs w:val="24"/>
          <w:highlight w:val="none"/>
          <w:lang w:val="en-US" w:eastAsia="zh-CN"/>
        </w:rPr>
        <w:t>投标人中标</w:t>
      </w:r>
      <w:r>
        <w:rPr>
          <w:rFonts w:hint="eastAsia" w:ascii="仿宋_GB2312" w:hAnsi="仿宋_GB2312" w:eastAsia="仿宋_GB2312" w:cs="仿宋_GB2312"/>
          <w:sz w:val="28"/>
          <w:szCs w:val="24"/>
          <w:highlight w:val="none"/>
        </w:rPr>
        <w:t>。</w:t>
      </w:r>
    </w:p>
    <w:p>
      <w:pPr>
        <w:pageBreakBefore w:val="0"/>
        <w:numPr>
          <w:ilvl w:val="0"/>
          <w:numId w:val="0"/>
        </w:numPr>
        <w:kinsoku/>
        <w:wordWrap/>
        <w:overflowPunct/>
        <w:topLinePunct w:val="0"/>
        <w:autoSpaceDE/>
        <w:autoSpaceDN/>
        <w:bidi w:val="0"/>
        <w:adjustRightInd/>
        <w:snapToGrid/>
        <w:spacing w:beforeLines="0" w:line="560" w:lineRule="exact"/>
        <w:ind w:firstLine="560" w:firstLineChars="200"/>
        <w:rPr>
          <w:rFonts w:hint="eastAsia" w:ascii="仿宋_GB2312" w:hAnsi="仿宋_GB2312" w:eastAsia="仿宋_GB2312" w:cs="仿宋_GB2312"/>
          <w:sz w:val="28"/>
          <w:szCs w:val="24"/>
          <w:highlight w:val="green"/>
          <w:lang w:val="en-US" w:eastAsia="zh-CN"/>
        </w:rPr>
      </w:pPr>
      <w:r>
        <w:rPr>
          <w:rFonts w:hint="eastAsia" w:ascii="仿宋_GB2312" w:hAnsi="仿宋_GB2312" w:eastAsia="仿宋_GB2312" w:cs="仿宋_GB2312"/>
          <w:sz w:val="28"/>
          <w:szCs w:val="24"/>
          <w:highlight w:val="none"/>
          <w:lang w:val="en-US" w:eastAsia="zh-CN"/>
        </w:rPr>
        <w:t>4、评估项目存在的问题主要包括</w:t>
      </w:r>
      <w:r>
        <w:rPr>
          <w:rFonts w:hint="eastAsia" w:ascii="仿宋_GB2312" w:hAnsi="仿宋_GB2312" w:eastAsia="仿宋_GB2312" w:cs="仿宋_GB2312"/>
          <w:sz w:val="28"/>
        </w:rPr>
        <w:t>资格条件设置不合规、资格审查不合规</w:t>
      </w:r>
      <w:r>
        <w:rPr>
          <w:rFonts w:hint="eastAsia" w:ascii="仿宋_GB2312" w:hAnsi="仿宋_GB2312" w:eastAsia="仿宋_GB2312" w:cs="仿宋_GB2312"/>
          <w:sz w:val="28"/>
          <w:lang w:val="en-US" w:eastAsia="zh-CN"/>
        </w:rPr>
        <w:t>以及合同条款设置不合理等。</w:t>
      </w:r>
    </w:p>
    <w:p>
      <w:pPr>
        <w:pStyle w:val="3"/>
        <w:spacing w:before="120" w:beforeLines="0" w:afterLines="-2147483648" w:line="560" w:lineRule="exact"/>
        <w:ind w:left="0" w:leftChars="0"/>
        <w:rPr>
          <w:rFonts w:hint="eastAsia" w:ascii="黑体" w:hAnsi="黑体" w:eastAsia="黑体" w:cs="黑体"/>
          <w:b w:val="0"/>
          <w:bCs/>
          <w:szCs w:val="28"/>
          <w:lang w:val="en-US"/>
        </w:rPr>
      </w:pPr>
      <w:bookmarkStart w:id="534" w:name="_Toc18686"/>
      <w:bookmarkStart w:id="535" w:name="_Toc21897"/>
      <w:bookmarkStart w:id="536" w:name="_Toc6145"/>
      <w:bookmarkStart w:id="537" w:name="_Toc23741"/>
      <w:bookmarkStart w:id="538" w:name="_Toc20365"/>
      <w:bookmarkStart w:id="539" w:name="_Toc7479"/>
      <w:bookmarkStart w:id="540" w:name="_Toc29239"/>
      <w:bookmarkStart w:id="541" w:name="_Toc24524"/>
      <w:bookmarkStart w:id="542" w:name="_Toc27805"/>
      <w:bookmarkStart w:id="543" w:name="_Toc4211"/>
      <w:bookmarkStart w:id="544" w:name="_Toc1198"/>
      <w:bookmarkStart w:id="545" w:name="_Toc8524"/>
      <w:bookmarkStart w:id="546" w:name="_Toc4275"/>
      <w:bookmarkStart w:id="547" w:name="_Toc15469"/>
      <w:bookmarkStart w:id="548" w:name="_Toc6376"/>
      <w:bookmarkStart w:id="549" w:name="_Toc30618"/>
      <w:bookmarkStart w:id="550" w:name="_Toc9135"/>
      <w:bookmarkStart w:id="551" w:name="_Toc11159"/>
      <w:bookmarkStart w:id="552" w:name="_Toc14362"/>
      <w:bookmarkStart w:id="553" w:name="_Toc7399"/>
      <w:bookmarkStart w:id="554" w:name="_Toc31147"/>
      <w:bookmarkStart w:id="555" w:name="_Toc27155"/>
      <w:bookmarkStart w:id="556" w:name="_Toc20607"/>
      <w:bookmarkStart w:id="557" w:name="_Toc5663"/>
      <w:bookmarkStart w:id="558" w:name="_Toc3323"/>
      <w:bookmarkStart w:id="559" w:name="_Toc7736"/>
      <w:bookmarkStart w:id="560" w:name="_Toc14207"/>
      <w:r>
        <w:rPr>
          <w:rFonts w:hint="eastAsia" w:ascii="黑体" w:hAnsi="黑体" w:eastAsia="黑体" w:cs="黑体"/>
          <w:b w:val="0"/>
          <w:bCs/>
          <w:szCs w:val="28"/>
          <w:lang w:val="en-US" w:eastAsia="zh-CN"/>
        </w:rPr>
        <w:t>3.2存在的问题</w:t>
      </w:r>
      <w:bookmarkEnd w:id="505"/>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pPr>
        <w:pStyle w:val="4"/>
        <w:spacing w:before="0" w:beforeLines="0" w:line="560" w:lineRule="exact"/>
        <w:ind w:left="0" w:leftChars="0" w:firstLine="560" w:firstLineChars="200"/>
        <w:rPr>
          <w:rFonts w:hint="eastAsia" w:ascii="仿宋_GB2312" w:hAnsi="仿宋_GB2312" w:eastAsia="仿宋_GB2312" w:cs="仿宋_GB2312"/>
          <w:b w:val="0"/>
          <w:bCs w:val="0"/>
          <w:sz w:val="28"/>
          <w:szCs w:val="32"/>
          <w:lang w:val="en-US" w:eastAsia="zh-CN"/>
        </w:rPr>
      </w:pPr>
      <w:bookmarkStart w:id="561" w:name="_Toc19410"/>
      <w:bookmarkStart w:id="562" w:name="_Toc5658"/>
      <w:bookmarkStart w:id="563" w:name="_Toc346"/>
      <w:bookmarkStart w:id="564" w:name="_Toc7174"/>
      <w:bookmarkStart w:id="565" w:name="_Toc7284"/>
      <w:bookmarkStart w:id="566" w:name="_Toc1880"/>
      <w:bookmarkStart w:id="567" w:name="_Toc5140"/>
      <w:bookmarkStart w:id="568" w:name="_Toc30740"/>
      <w:bookmarkStart w:id="569" w:name="_Toc28954"/>
      <w:bookmarkStart w:id="570" w:name="_Toc6100"/>
      <w:bookmarkStart w:id="571" w:name="_Toc17334"/>
      <w:bookmarkStart w:id="572" w:name="_Toc11362"/>
      <w:bookmarkStart w:id="573" w:name="_Toc1132"/>
      <w:bookmarkStart w:id="574" w:name="_Toc24889"/>
      <w:bookmarkStart w:id="575" w:name="_Toc1494"/>
      <w:bookmarkStart w:id="576" w:name="_Toc26591"/>
      <w:bookmarkStart w:id="577" w:name="_Toc3103"/>
      <w:bookmarkStart w:id="578" w:name="_Toc16294"/>
      <w:bookmarkStart w:id="579" w:name="_Toc19635"/>
      <w:bookmarkStart w:id="580" w:name="_Toc25337"/>
      <w:bookmarkStart w:id="581" w:name="_Toc17873"/>
      <w:bookmarkStart w:id="582" w:name="_Toc4289"/>
      <w:bookmarkStart w:id="583" w:name="_Toc31911"/>
      <w:bookmarkStart w:id="584" w:name="_Toc27595"/>
      <w:bookmarkStart w:id="585" w:name="_Toc27877"/>
      <w:bookmarkStart w:id="586" w:name="_Toc29294"/>
      <w:bookmarkStart w:id="587" w:name="_Toc18342"/>
      <w:r>
        <w:rPr>
          <w:rFonts w:hint="eastAsia" w:ascii="仿宋_GB2312" w:hAnsi="仿宋_GB2312" w:eastAsia="仿宋_GB2312" w:cs="仿宋_GB2312"/>
          <w:b w:val="0"/>
          <w:bCs w:val="0"/>
          <w:sz w:val="28"/>
          <w:szCs w:val="32"/>
          <w:lang w:val="en-US" w:eastAsia="zh-CN"/>
        </w:rPr>
        <w:t>3.2.1 招标公告发布环节</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1.资格条件设置</w:t>
      </w:r>
    </w:p>
    <w:p>
      <w:p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（1）经评估，共6个（占比3%）项目投标人资质条件设置过高，涉嫌违反《深圳市人民政府印发关于建设工程招标投标改革若干规定的通知》（深府〔2015〕73号）“第二十七条 招标人设置投标人资质条件应当遵守以下规定：（一）一般不得高于该工程所需要的最低资质要求”</w:t>
      </w:r>
      <w:r>
        <w:rPr>
          <w:rFonts w:hint="eastAsia" w:ascii="仿宋_GB2312" w:hAnsi="仿宋_GB2312" w:eastAsia="仿宋_GB2312" w:cs="仿宋_GB2312"/>
          <w:b w:val="0"/>
          <w:bCs w:val="0"/>
          <w:kern w:val="2"/>
          <w:sz w:val="28"/>
          <w:szCs w:val="28"/>
          <w:lang w:val="en-US" w:eastAsia="zh-CN" w:bidi="ar-SA"/>
        </w:rPr>
        <w:t>的规定</w:t>
      </w:r>
      <w:r>
        <w:rPr>
          <w:rFonts w:hint="eastAsia" w:ascii="仿宋_GB2312" w:hAnsi="仿宋_GB2312" w:eastAsia="仿宋_GB2312" w:cs="仿宋_GB2312"/>
          <w:b w:val="0"/>
          <w:kern w:val="2"/>
          <w:sz w:val="28"/>
          <w:szCs w:val="28"/>
          <w:lang w:val="en-US" w:eastAsia="zh-CN" w:bidi="ar-SA"/>
        </w:rPr>
        <w:t>。</w:t>
      </w:r>
    </w:p>
    <w:p>
      <w:p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例1：某施工总承包项目，总建筑面积132830㎡，建筑高度81.9m，招标文件设置的资质要求为建筑工程施工总承包一级及以上资质。根据《建筑企业资质标准》（</w:t>
      </w:r>
      <w:r>
        <w:rPr>
          <w:rFonts w:hint="eastAsia" w:ascii="仿宋_GB2312" w:hAnsi="仿宋_GB2312" w:eastAsia="仿宋_GB2312" w:cs="仿宋_GB2312"/>
          <w:sz w:val="28"/>
          <w:szCs w:val="28"/>
          <w:highlight w:val="none"/>
          <w:lang w:val="en-US" w:eastAsia="zh-CN"/>
        </w:rPr>
        <w:t>建市</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2014〕159号文）和《住房城乡建设部关于简化建筑业企业资质标准部分指标的通知》(建市</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2016〕226号)规定</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b/>
          <w:bCs/>
          <w:sz w:val="28"/>
          <w:szCs w:val="28"/>
          <w:lang w:val="en-US" w:eastAsia="zh-CN"/>
        </w:rPr>
        <w:t>建筑工程施工总承包二级资质企业可承担建筑面积15万平方米以下的建筑工程，高度100m以下的工业、民用建筑工程的施工。本项目企业资质条件应设置为建筑工程施工总承包二级及以上。</w:t>
      </w:r>
    </w:p>
    <w:p>
      <w:p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例2：某施工项目新建海堤长度约555.2m，陆域形成面积约1.25万㎡，招标文件设置的资质要求为港口与航道工程施工总承包一级及以上资质，根据《建筑业企业资质标准》（建市</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2014〕159号），</w:t>
      </w:r>
      <w:r>
        <w:rPr>
          <w:rFonts w:hint="eastAsia" w:ascii="仿宋_GB2312" w:hAnsi="仿宋_GB2312" w:eastAsia="仿宋_GB2312" w:cs="仿宋_GB2312"/>
          <w:b/>
          <w:bCs/>
          <w:sz w:val="28"/>
          <w:szCs w:val="28"/>
          <w:lang w:val="en-US" w:eastAsia="zh-CN"/>
        </w:rPr>
        <w:t>港口与航道工程施工总承包三级资质企业可承担300万立方米以下陆域吹填工程，800m以下围堤护岸工程的施工。本项目企业资质条件应设置为港口与航道工程施工总承包三级及以上。</w:t>
      </w:r>
    </w:p>
    <w:p>
      <w:pPr>
        <w:numPr>
          <w:ilvl w:val="-1"/>
          <w:numId w:val="0"/>
        </w:numPr>
        <w:spacing w:line="56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（2）</w:t>
      </w:r>
      <w:r>
        <w:rPr>
          <w:rFonts w:hint="eastAsia" w:ascii="仿宋_GB2312" w:hAnsi="仿宋_GB2312" w:eastAsia="仿宋_GB2312" w:cs="仿宋_GB2312"/>
          <w:sz w:val="28"/>
          <w:szCs w:val="28"/>
          <w:lang w:val="en-US" w:eastAsia="zh-CN"/>
        </w:rPr>
        <w:t>经评估，共4个（占比2%）项目将非国家规定的强制性认证设置为资格条件，涉嫌违反《深圳市人民政府印发关于建设工程招标投标改革若干规定的通知》（深府〔2015〕73号）“</w:t>
      </w:r>
      <w:r>
        <w:rPr>
          <w:rFonts w:hint="eastAsia" w:ascii="仿宋_GB2312" w:hAnsi="仿宋_GB2312" w:eastAsia="仿宋_GB2312" w:cs="仿宋_GB2312"/>
          <w:b w:val="0"/>
          <w:i w:val="0"/>
          <w:iCs w:val="0"/>
          <w:caps w:val="0"/>
          <w:spacing w:val="0"/>
          <w:sz w:val="28"/>
          <w:szCs w:val="28"/>
          <w:shd w:val="clear"/>
          <w:lang w:val="en-US" w:eastAsia="zh-CN"/>
        </w:rPr>
        <w:t>第二十五条 货物招标人可以将投标人的企业资质、项目负责人执业资格、同类工程经验（业绩）要求、</w:t>
      </w:r>
      <w:r>
        <w:rPr>
          <w:rFonts w:hint="eastAsia" w:ascii="仿宋_GB2312" w:hAnsi="仿宋_GB2312" w:eastAsia="仿宋_GB2312" w:cs="仿宋_GB2312"/>
          <w:b/>
          <w:bCs/>
          <w:i w:val="0"/>
          <w:iCs w:val="0"/>
          <w:caps w:val="0"/>
          <w:spacing w:val="0"/>
          <w:sz w:val="28"/>
          <w:szCs w:val="28"/>
          <w:shd w:val="clear"/>
          <w:lang w:val="en-US" w:eastAsia="zh-CN"/>
        </w:rPr>
        <w:t>国家规定的强制性认证</w:t>
      </w:r>
      <w:r>
        <w:rPr>
          <w:rFonts w:hint="eastAsia" w:ascii="仿宋_GB2312" w:hAnsi="仿宋_GB2312" w:eastAsia="仿宋_GB2312" w:cs="仿宋_GB2312"/>
          <w:b w:val="0"/>
          <w:bCs w:val="0"/>
          <w:i w:val="0"/>
          <w:iCs w:val="0"/>
          <w:caps w:val="0"/>
          <w:spacing w:val="0"/>
          <w:sz w:val="28"/>
          <w:szCs w:val="28"/>
          <w:shd w:val="clear"/>
          <w:lang w:val="en-US" w:eastAsia="zh-CN"/>
        </w:rPr>
        <w:t>、特种产品生产许可证</w:t>
      </w:r>
      <w:r>
        <w:rPr>
          <w:rFonts w:hint="eastAsia" w:ascii="仿宋_GB2312" w:hAnsi="仿宋_GB2312" w:eastAsia="仿宋_GB2312" w:cs="仿宋_GB2312"/>
          <w:b w:val="0"/>
          <w:i w:val="0"/>
          <w:iCs w:val="0"/>
          <w:caps w:val="0"/>
          <w:spacing w:val="0"/>
          <w:sz w:val="28"/>
          <w:szCs w:val="28"/>
          <w:shd w:val="clear"/>
          <w:lang w:val="en-US" w:eastAsia="zh-CN"/>
        </w:rPr>
        <w:t>、制造商授权等作为投标资格条件”</w:t>
      </w:r>
      <w:r>
        <w:rPr>
          <w:rFonts w:hint="eastAsia" w:ascii="仿宋_GB2312" w:hAnsi="仿宋_GB2312" w:eastAsia="仿宋_GB2312" w:cs="仿宋_GB2312"/>
          <w:b w:val="0"/>
          <w:bCs w:val="0"/>
          <w:kern w:val="2"/>
          <w:sz w:val="28"/>
          <w:szCs w:val="28"/>
          <w:lang w:val="en-US" w:eastAsia="zh-CN" w:bidi="ar-SA"/>
        </w:rPr>
        <w:t>的规定</w:t>
      </w:r>
      <w:r>
        <w:rPr>
          <w:rFonts w:hint="eastAsia" w:ascii="仿宋_GB2312" w:hAnsi="仿宋_GB2312" w:eastAsia="仿宋_GB2312" w:cs="仿宋_GB2312"/>
          <w:b w:val="0"/>
          <w:kern w:val="2"/>
          <w:sz w:val="28"/>
          <w:szCs w:val="28"/>
          <w:lang w:val="en-US" w:eastAsia="zh-CN" w:bidi="ar-SA"/>
        </w:rPr>
        <w:t>。</w:t>
      </w:r>
    </w:p>
    <w:p>
      <w:pPr>
        <w:numPr>
          <w:ilvl w:val="-1"/>
          <w:numId w:val="0"/>
        </w:numPr>
        <w:spacing w:line="560" w:lineRule="exact"/>
        <w:ind w:firstLine="560" w:firstLineChars="200"/>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例1：某采购及安装项目要求：</w:t>
      </w:r>
      <w:r>
        <w:rPr>
          <w:rFonts w:hint="eastAsia" w:ascii="仿宋_GB2312" w:hAnsi="仿宋_GB2312" w:eastAsia="仿宋_GB2312" w:cs="仿宋_GB2312"/>
          <w:b/>
          <w:bCs/>
          <w:kern w:val="2"/>
          <w:sz w:val="28"/>
          <w:szCs w:val="28"/>
          <w:highlight w:val="none"/>
          <w:lang w:val="en-US" w:eastAsia="zh-CN" w:bidi="ar-SA"/>
        </w:rPr>
        <w:t>投标人必须具有有效的ISO9001系列质量认证证书。体系认证证书不属于国家规定的强制性认证。</w:t>
      </w:r>
    </w:p>
    <w:p>
      <w:pPr>
        <w:numPr>
          <w:ilvl w:val="-1"/>
          <w:numId w:val="0"/>
        </w:numPr>
        <w:spacing w:line="560" w:lineRule="exact"/>
        <w:ind w:firstLine="560" w:firstLineChars="200"/>
        <w:rPr>
          <w:rFonts w:hint="default"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highlight w:val="none"/>
          <w:lang w:val="en-US" w:eastAsia="zh-CN" w:bidi="ar-SA"/>
        </w:rPr>
        <w:t>例2：某采购项目要</w:t>
      </w:r>
      <w:r>
        <w:rPr>
          <w:rFonts w:hint="eastAsia" w:ascii="仿宋_GB2312" w:hAnsi="仿宋_GB2312" w:eastAsia="仿宋_GB2312" w:cs="仿宋_GB2312"/>
          <w:b w:val="0"/>
          <w:kern w:val="2"/>
          <w:sz w:val="28"/>
          <w:szCs w:val="28"/>
          <w:lang w:val="en-US" w:eastAsia="zh-CN" w:bidi="ar-SA"/>
        </w:rPr>
        <w:t>求：投标人</w:t>
      </w: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具有ISO9001:2008或以上系列质量体系认证。体系认证证书不属于国家规定的强制性认证。</w:t>
      </w:r>
    </w:p>
    <w:p>
      <w:pPr>
        <w:spacing w:line="56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（3）</w:t>
      </w:r>
      <w:r>
        <w:rPr>
          <w:rFonts w:hint="eastAsia" w:ascii="仿宋_GB2312" w:hAnsi="仿宋_GB2312" w:eastAsia="仿宋_GB2312" w:cs="仿宋_GB2312"/>
          <w:sz w:val="28"/>
          <w:szCs w:val="28"/>
          <w:lang w:val="en-US" w:eastAsia="zh-CN"/>
        </w:rPr>
        <w:t>经评估，共8个（占比5%）项目将项目负责人职称、社保证明、业绩经验设置为资格条件，涉嫌违反《深圳市人民政府印发关于建设工程招标投标改革若干规定的通知》（深府〔2015〕73号）“</w:t>
      </w:r>
      <w:r>
        <w:rPr>
          <w:rFonts w:hint="eastAsia" w:ascii="仿宋_GB2312" w:hAnsi="仿宋_GB2312" w:eastAsia="仿宋_GB2312" w:cs="仿宋_GB2312"/>
          <w:b w:val="0"/>
          <w:i w:val="0"/>
          <w:iCs w:val="0"/>
          <w:caps w:val="0"/>
          <w:spacing w:val="0"/>
          <w:sz w:val="28"/>
          <w:szCs w:val="28"/>
          <w:shd w:val="clear"/>
        </w:rPr>
        <w:t>第二十四条 工程施工和服务项目的招标人可以将投标人的企业资质、</w:t>
      </w:r>
      <w:r>
        <w:rPr>
          <w:rFonts w:hint="eastAsia" w:ascii="仿宋_GB2312" w:hAnsi="仿宋_GB2312" w:eastAsia="仿宋_GB2312" w:cs="仿宋_GB2312"/>
          <w:b w:val="0"/>
          <w:bCs w:val="0"/>
          <w:i w:val="0"/>
          <w:iCs w:val="0"/>
          <w:caps w:val="0"/>
          <w:spacing w:val="0"/>
          <w:sz w:val="28"/>
          <w:szCs w:val="28"/>
          <w:shd w:val="clear"/>
        </w:rPr>
        <w:t>项目负责人执业资格</w:t>
      </w:r>
      <w:r>
        <w:rPr>
          <w:rFonts w:hint="eastAsia" w:ascii="仿宋_GB2312" w:hAnsi="仿宋_GB2312" w:eastAsia="仿宋_GB2312" w:cs="仿宋_GB2312"/>
          <w:b w:val="0"/>
          <w:i w:val="0"/>
          <w:iCs w:val="0"/>
          <w:caps w:val="0"/>
          <w:spacing w:val="0"/>
          <w:sz w:val="28"/>
          <w:szCs w:val="28"/>
          <w:shd w:val="clear"/>
        </w:rPr>
        <w:t>、同类工程经验（业绩）要求等作为投标资格条件</w:t>
      </w:r>
      <w:r>
        <w:rPr>
          <w:rFonts w:hint="eastAsia" w:ascii="仿宋_GB2312" w:hAnsi="仿宋_GB2312" w:eastAsia="仿宋_GB2312" w:cs="仿宋_GB2312"/>
          <w:b w:val="0"/>
          <w:bCs w:val="0"/>
          <w:kern w:val="2"/>
          <w:sz w:val="28"/>
          <w:szCs w:val="28"/>
          <w:lang w:val="en-US" w:eastAsia="zh-CN" w:bidi="ar-SA"/>
        </w:rPr>
        <w:t>”的规定</w:t>
      </w:r>
      <w:r>
        <w:rPr>
          <w:rFonts w:hint="eastAsia" w:ascii="仿宋_GB2312" w:hAnsi="仿宋_GB2312" w:eastAsia="仿宋_GB2312" w:cs="仿宋_GB2312"/>
          <w:b w:val="0"/>
          <w:kern w:val="2"/>
          <w:sz w:val="28"/>
          <w:szCs w:val="28"/>
          <w:lang w:val="en-US" w:eastAsia="zh-CN" w:bidi="ar-SA"/>
        </w:rPr>
        <w:t>。</w:t>
      </w:r>
    </w:p>
    <w:p>
      <w:pPr>
        <w:spacing w:line="560" w:lineRule="exact"/>
        <w:ind w:firstLine="560" w:firstLineChars="200"/>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例1：</w:t>
      </w:r>
      <w:r>
        <w:rPr>
          <w:rFonts w:hint="eastAsia" w:ascii="仿宋_GB2312" w:hAnsi="仿宋_GB2312" w:eastAsia="仿宋_GB2312" w:cs="仿宋_GB2312"/>
          <w:sz w:val="28"/>
          <w:szCs w:val="28"/>
          <w:lang w:val="en-US" w:eastAsia="zh-CN"/>
        </w:rPr>
        <w:t>某监理项目</w:t>
      </w:r>
      <w:r>
        <w:rPr>
          <w:rFonts w:hint="eastAsia" w:ascii="仿宋_GB2312" w:hAnsi="仿宋_GB2312" w:eastAsia="仿宋_GB2312" w:cs="仿宋_GB2312"/>
          <w:b w:val="0"/>
          <w:kern w:val="2"/>
          <w:sz w:val="28"/>
          <w:szCs w:val="28"/>
          <w:lang w:val="en-US" w:eastAsia="zh-CN" w:bidi="ar-SA"/>
        </w:rPr>
        <w:t>要求项目总监具有高级工程师职称（建筑工程）。</w:t>
      </w:r>
    </w:p>
    <w:p>
      <w:pPr>
        <w:spacing w:line="560" w:lineRule="exact"/>
        <w:ind w:firstLine="560" w:firstLineChars="200"/>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例2：某施工总承包项目要求项目负责人具备5年及以上同类工程施工管理经验。</w:t>
      </w:r>
    </w:p>
    <w:p>
      <w:pPr>
        <w:numPr>
          <w:ilvl w:val="-1"/>
          <w:numId w:val="0"/>
        </w:numPr>
        <w:spacing w:line="56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2.投标担保</w:t>
      </w:r>
    </w:p>
    <w:p>
      <w:pPr>
        <w:spacing w:afterLines="0" w:line="560" w:lineRule="exact"/>
        <w:ind w:firstLine="560" w:firstLineChars="200"/>
        <w:rPr>
          <w:rFonts w:hint="default"/>
          <w:lang w:val="en-US"/>
        </w:rPr>
      </w:pPr>
      <w:r>
        <w:rPr>
          <w:rFonts w:hint="eastAsia" w:ascii="仿宋_GB2312" w:hAnsi="仿宋_GB2312" w:eastAsia="仿宋_GB2312" w:cs="仿宋_GB2312"/>
          <w:sz w:val="28"/>
          <w:szCs w:val="28"/>
          <w:lang w:val="en-US" w:eastAsia="zh-CN"/>
        </w:rPr>
        <w:t>（1）经评估，共7个（占比4%）项目投标保证金设置为80万元，涉嫌违反《</w:t>
      </w:r>
      <w:r>
        <w:rPr>
          <w:rFonts w:hint="eastAsia" w:ascii="仿宋_GB2312" w:hAnsi="仿宋_GB2312" w:eastAsia="仿宋_GB2312" w:cs="仿宋_GB2312"/>
          <w:sz w:val="28"/>
          <w:szCs w:val="28"/>
        </w:rPr>
        <w:t>广东省住房和城乡建设厅关于严格规范房屋市政工程保证担保管理工作的通知</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(粤建市函〔2019〕911号)</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房屋市政工程施工招标的投标保证金最高不得超过50万元</w:t>
      </w:r>
      <w:r>
        <w:rPr>
          <w:rFonts w:hint="eastAsia" w:ascii="仿宋_GB2312" w:hAnsi="仿宋_GB2312" w:eastAsia="仿宋_GB2312" w:cs="仿宋_GB2312"/>
          <w:sz w:val="28"/>
          <w:szCs w:val="28"/>
          <w:lang w:val="en-US" w:eastAsia="zh-CN"/>
        </w:rPr>
        <w:t>”的规定。</w:t>
      </w:r>
    </w:p>
    <w:p>
      <w:pPr>
        <w:numPr>
          <w:ilvl w:val="-1"/>
          <w:numId w:val="0"/>
        </w:num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例</w:t>
      </w:r>
      <w:r>
        <w:rPr>
          <w:rFonts w:hint="eastAsia" w:ascii="仿宋_GB2312" w:hAnsi="仿宋_GB2312" w:eastAsia="仿宋_GB2312" w:cs="仿宋_GB2312"/>
          <w:sz w:val="28"/>
          <w:szCs w:val="28"/>
          <w:lang w:val="en-US" w:eastAsia="zh-CN"/>
        </w:rPr>
        <w:t>：某施工总承包项目投标保证金为80万元。</w:t>
      </w:r>
    </w:p>
    <w:p>
      <w:pPr>
        <w:numPr>
          <w:ilvl w:val="-1"/>
          <w:numId w:val="0"/>
        </w:num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经评估，共7个（占比4%）项目投标保证金仅接受现金形式，涉嫌违反《深圳市住房和建设局关于明确投标担保相关事宜的通知》（深建市场〔2020〕10号）“招标工程投标担保可通过保证金、银行保函（含电子保函）等多种形式提交”的规定。</w:t>
      </w:r>
    </w:p>
    <w:p>
      <w:pPr>
        <w:numPr>
          <w:ilvl w:val="-1"/>
          <w:numId w:val="0"/>
        </w:numPr>
        <w:spacing w:line="560" w:lineRule="exact"/>
        <w:ind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例：某施工总承包项目投标保证金采用现金转账或支票形式。</w:t>
      </w:r>
    </w:p>
    <w:p>
      <w:pPr>
        <w:numPr>
          <w:ilvl w:val="-1"/>
          <w:numId w:val="0"/>
        </w:num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经评估，共92个（占比51%）项目未接受保险形式投标担保，涉嫌违反《深圳市住房和建设局关于推行工程投标保证保险的通知》（深建市场〔2020〕30号）“投标人在投标时提交其与保险公司签订的投标保证保险合同或保险单的，应当视同已经缴纳投标保证金”的规定。</w:t>
      </w:r>
    </w:p>
    <w:p>
      <w:pPr>
        <w:numPr>
          <w:ilvl w:val="-1"/>
          <w:numId w:val="0"/>
        </w:numPr>
        <w:spacing w:line="560" w:lineRule="exact"/>
        <w:ind w:firstLine="560" w:firstLineChars="200"/>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highlight w:val="none"/>
          <w:lang w:val="en-US" w:eastAsia="zh-CN"/>
        </w:rPr>
        <w:t>例</w:t>
      </w:r>
      <w:r>
        <w:rPr>
          <w:rFonts w:hint="eastAsia" w:ascii="仿宋_GB2312" w:hAnsi="仿宋_GB2312" w:eastAsia="仿宋_GB2312" w:cs="仿宋_GB2312"/>
          <w:sz w:val="28"/>
          <w:szCs w:val="28"/>
          <w:lang w:val="en-US" w:eastAsia="zh-CN"/>
        </w:rPr>
        <w:t>：某</w:t>
      </w:r>
      <w:r>
        <w:rPr>
          <w:rFonts w:hint="default" w:ascii="仿宋_GB2312" w:hAnsi="仿宋_GB2312" w:eastAsia="仿宋_GB2312" w:cs="仿宋_GB2312"/>
          <w:sz w:val="28"/>
          <w:szCs w:val="28"/>
          <w:lang w:val="en-US" w:eastAsia="zh-CN"/>
        </w:rPr>
        <w:t>设计施工一体化</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b w:val="0"/>
          <w:bCs w:val="0"/>
          <w:color w:val="auto"/>
          <w:sz w:val="28"/>
          <w:szCs w:val="28"/>
          <w:lang w:val="en-US" w:eastAsia="zh-CN"/>
        </w:rPr>
        <w:t>投标保证金采用现金转账或投标保函形式</w:t>
      </w:r>
      <w:r>
        <w:rPr>
          <w:rFonts w:hint="eastAsia" w:ascii="仿宋_GB2312" w:hAnsi="仿宋_GB2312" w:eastAsia="仿宋_GB2312" w:cs="仿宋_GB2312"/>
          <w:b w:val="0"/>
          <w:bCs w:val="0"/>
          <w:color w:val="auto"/>
          <w:sz w:val="28"/>
          <w:szCs w:val="28"/>
          <w:lang w:eastAsia="zh-CN"/>
        </w:rPr>
        <w:t>。</w:t>
      </w:r>
    </w:p>
    <w:p>
      <w:pPr>
        <w:pStyle w:val="4"/>
        <w:spacing w:before="0" w:beforeLines="0" w:line="560" w:lineRule="exact"/>
        <w:rPr>
          <w:rFonts w:hint="eastAsia" w:ascii="仿宋_GB2312" w:hAnsi="仿宋_GB2312" w:eastAsia="仿宋_GB2312" w:cs="仿宋_GB2312"/>
          <w:b w:val="0"/>
          <w:bCs w:val="0"/>
          <w:sz w:val="28"/>
          <w:szCs w:val="32"/>
          <w:lang w:val="en-US" w:eastAsia="zh-CN"/>
        </w:rPr>
      </w:pPr>
      <w:bookmarkStart w:id="588" w:name="_Toc5002"/>
      <w:bookmarkStart w:id="589" w:name="_Toc31783"/>
      <w:bookmarkStart w:id="590" w:name="_Toc8491"/>
      <w:bookmarkStart w:id="591" w:name="_Toc6000"/>
      <w:bookmarkStart w:id="592" w:name="_Toc79"/>
      <w:bookmarkStart w:id="593" w:name="_Toc22074"/>
      <w:bookmarkStart w:id="594" w:name="_Toc16914"/>
      <w:bookmarkStart w:id="595" w:name="_Toc12888"/>
      <w:bookmarkStart w:id="596" w:name="_Toc1113"/>
      <w:bookmarkStart w:id="597" w:name="_Toc16307"/>
      <w:bookmarkStart w:id="598" w:name="_Toc15396"/>
      <w:bookmarkStart w:id="599" w:name="_Toc16903"/>
      <w:bookmarkStart w:id="600" w:name="_Toc13530"/>
      <w:bookmarkStart w:id="601" w:name="_Toc30552"/>
      <w:bookmarkStart w:id="602" w:name="_Toc22603"/>
      <w:bookmarkStart w:id="603" w:name="_Toc9655"/>
      <w:bookmarkStart w:id="604" w:name="_Toc12009"/>
      <w:bookmarkStart w:id="605" w:name="_Toc3818"/>
      <w:bookmarkStart w:id="606" w:name="_Toc20603"/>
      <w:bookmarkStart w:id="607" w:name="_Toc4867"/>
      <w:bookmarkStart w:id="608" w:name="_Toc10257"/>
      <w:bookmarkStart w:id="609" w:name="_Toc1050"/>
      <w:bookmarkStart w:id="610" w:name="_Toc18568"/>
      <w:bookmarkStart w:id="611" w:name="_Toc30655"/>
      <w:bookmarkStart w:id="612" w:name="_Toc7770"/>
      <w:bookmarkStart w:id="613" w:name="_Toc19567"/>
      <w:bookmarkStart w:id="614" w:name="_Toc7280"/>
      <w:bookmarkStart w:id="615" w:name="_Toc5973"/>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32"/>
          <w:lang w:val="en-US" w:eastAsia="zh-CN"/>
        </w:rPr>
        <w:t xml:space="preserve">.2.2 </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Pr>
          <w:rFonts w:hint="eastAsia" w:ascii="仿宋_GB2312" w:hAnsi="仿宋_GB2312" w:eastAsia="仿宋_GB2312" w:cs="仿宋_GB2312"/>
          <w:b w:val="0"/>
          <w:bCs w:val="0"/>
          <w:sz w:val="28"/>
          <w:szCs w:val="32"/>
          <w:lang w:val="en-US" w:eastAsia="zh-CN"/>
        </w:rPr>
        <w:t>开标环节</w:t>
      </w:r>
      <w:bookmarkEnd w:id="603"/>
      <w:bookmarkEnd w:id="604"/>
      <w:bookmarkEnd w:id="605"/>
      <w:bookmarkEnd w:id="606"/>
      <w:bookmarkEnd w:id="607"/>
      <w:bookmarkEnd w:id="608"/>
      <w:bookmarkEnd w:id="609"/>
      <w:bookmarkEnd w:id="610"/>
      <w:bookmarkEnd w:id="611"/>
      <w:bookmarkEnd w:id="612"/>
      <w:bookmarkEnd w:id="613"/>
      <w:bookmarkEnd w:id="614"/>
      <w:bookmarkEnd w:id="615"/>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1.资格审查</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经评估，共12个（占比7%）项目未按招标文件要求进行资格审查。涉嫌违反《关于建设工程招标投标改革的若干规定》（深府〔2015〕73号）“招标人应当对投标人进行资格审查，资格审查不合格的投标人不得进入后续程序”的规定。</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例1：某采购及安装项目截标时间为2020年12月27日，投标有效期为180天，招标文件约定投标保函应在投标有效期满后28天内继续有效，即应在2021年7月22日之前有效。某投标人投标保函约定“保函到期日最迟不超过2021年7月18日，到期失效”。</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例2：某采购及安装项目某投标人未按招标文件要求提供安全生产考核合格证。</w:t>
      </w:r>
    </w:p>
    <w:p>
      <w:pPr>
        <w:spacing w:line="56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lang w:val="en-US" w:eastAsia="zh-CN"/>
        </w:rPr>
        <w:t>共10个（占比6%）项目投标人</w:t>
      </w:r>
      <w:r>
        <w:rPr>
          <w:rFonts w:hint="eastAsia" w:ascii="仿宋_GB2312" w:hAnsi="仿宋_GB2312" w:eastAsia="仿宋_GB2312" w:cs="仿宋_GB2312"/>
          <w:sz w:val="28"/>
          <w:szCs w:val="28"/>
          <w:highlight w:val="none"/>
          <w:lang w:val="en-US" w:eastAsia="zh-CN"/>
        </w:rPr>
        <w:t>一级建造师</w:t>
      </w:r>
      <w:r>
        <w:rPr>
          <w:rFonts w:hint="eastAsia" w:ascii="仿宋_GB2312" w:hAnsi="仿宋_GB2312" w:eastAsia="仿宋_GB2312" w:cs="仿宋_GB2312"/>
          <w:sz w:val="28"/>
          <w:szCs w:val="28"/>
          <w:lang w:val="en-US" w:eastAsia="zh-CN"/>
        </w:rPr>
        <w:t>电子证书</w:t>
      </w:r>
      <w:r>
        <w:rPr>
          <w:rFonts w:hint="eastAsia" w:ascii="仿宋_GB2312" w:hAnsi="仿宋_GB2312" w:eastAsia="仿宋_GB2312" w:cs="仿宋_GB2312"/>
          <w:sz w:val="28"/>
          <w:szCs w:val="28"/>
          <w:highlight w:val="none"/>
          <w:lang w:val="en-US" w:eastAsia="zh-CN"/>
        </w:rPr>
        <w:t>未手写签字，涉嫌违反</w:t>
      </w:r>
      <w:r>
        <w:rPr>
          <w:rFonts w:hint="eastAsia" w:ascii="仿宋_GB2312" w:hAnsi="仿宋_GB2312" w:eastAsia="仿宋_GB2312" w:cs="仿宋_GB2312"/>
          <w:sz w:val="28"/>
          <w:szCs w:val="28"/>
          <w:lang w:val="en-US" w:eastAsia="zh-CN"/>
        </w:rPr>
        <w:t>《住房和城乡建设部办公厅关于全面实行一级建造师电子注册证书的通知》“二、（二）一级建造师打印电子证书后，应在个人签名处手写本人签名，未手写签名或与签名图像笔迹不一致的，该电子证书无效”的规定。</w:t>
      </w:r>
    </w:p>
    <w:p>
      <w:pPr>
        <w:spacing w:line="560" w:lineRule="exact"/>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例：某精装修项目要求投标人项目经理提供一级建造师（建筑工程）注册证书，某投标人提供的一级建造师电子注册证书，其建造师本人未手写签名。</w:t>
      </w:r>
    </w:p>
    <w:p>
      <w:pPr>
        <w:numPr>
          <w:ilvl w:val="-1"/>
          <w:numId w:val="0"/>
        </w:numPr>
        <w:spacing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2.投标报价区间分布</w:t>
      </w:r>
      <w:r>
        <w:rPr>
          <w:rFonts w:hint="eastAsia" w:ascii="仿宋_GB2312" w:hAnsi="仿宋_GB2312" w:eastAsia="仿宋_GB2312" w:cs="仿宋_GB2312"/>
          <w:sz w:val="28"/>
          <w:lang w:val="en-US" w:eastAsia="zh-CN"/>
        </w:rPr>
        <w:t>情况</w:t>
      </w:r>
    </w:p>
    <w:p>
      <w:pPr>
        <w:spacing w:before="0" w:beforeLines="0" w:after="0" w:afterLines="0" w:line="560"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经评估，共</w:t>
      </w: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个（占比</w:t>
      </w:r>
      <w:r>
        <w:rPr>
          <w:rFonts w:hint="eastAsia" w:ascii="仿宋_GB2312" w:hAnsi="仿宋_GB2312" w:eastAsia="仿宋_GB2312" w:cs="仿宋_GB2312"/>
          <w:sz w:val="28"/>
          <w:szCs w:val="28"/>
          <w:highlight w:val="none"/>
          <w:lang w:eastAsia="zh-CN"/>
        </w:rPr>
        <w:t>7</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lang w:val="en-US" w:eastAsia="zh-CN"/>
        </w:rPr>
        <w:t>项目存在超过75%的投标人</w:t>
      </w:r>
      <w:r>
        <w:rPr>
          <w:rFonts w:hint="eastAsia" w:ascii="仿宋_GB2312" w:hAnsi="仿宋_GB2312" w:eastAsia="仿宋_GB2312" w:cs="仿宋_GB2312"/>
          <w:sz w:val="28"/>
          <w:szCs w:val="28"/>
        </w:rPr>
        <w:t>投标报价</w:t>
      </w:r>
      <w:r>
        <w:rPr>
          <w:rFonts w:hint="eastAsia" w:ascii="仿宋_GB2312" w:hAnsi="仿宋_GB2312" w:eastAsia="仿宋_GB2312" w:cs="仿宋_GB2312"/>
          <w:sz w:val="28"/>
          <w:szCs w:val="28"/>
          <w:lang w:val="en-US" w:eastAsia="zh-CN"/>
        </w:rPr>
        <w:t>位于高报价区间</w:t>
      </w:r>
      <w:r>
        <w:rPr>
          <w:rFonts w:hint="eastAsia" w:ascii="仿宋_GB2312" w:hAnsi="仿宋_GB2312" w:eastAsia="仿宋_GB2312" w:cs="仿宋_GB2312"/>
          <w:sz w:val="28"/>
          <w:szCs w:val="28"/>
        </w:rPr>
        <w:t>的现象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此情况很难在票决过程中实现竞价。例：某EPC项目，投标单位投标报价分布情况：低报价区间为1家，中报价区间为1家，高报价区间为9家，各投标人未充分竞价。</w:t>
      </w:r>
    </w:p>
    <w:p>
      <w:pPr>
        <w:spacing w:before="0" w:beforeLines="-2147483648" w:after="0" w:afterLines="-2147483648" w:line="240" w:lineRule="auto"/>
        <w:ind w:firstLine="560" w:firstLineChars="20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将评估项目按定标方法划分发现此情况多发生于采用直接票决法项目（详见表七）。</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right="0" w:firstLine="1440" w:firstLineChars="600"/>
        <w:jc w:val="both"/>
        <w:textAlignment w:val="auto"/>
        <w:rPr>
          <w:rFonts w:hint="eastAsia" w:ascii="黑体" w:hAnsi="黑体" w:eastAsia="黑体" w:cs="黑体"/>
          <w:b w:val="0"/>
          <w:bCs w:val="0"/>
          <w:spacing w:val="0"/>
          <w:w w:val="100"/>
          <w:sz w:val="24"/>
          <w:szCs w:val="24"/>
          <w:lang w:val="en-US" w:eastAsia="zh-CN"/>
        </w:rPr>
      </w:pPr>
      <w:r>
        <w:rPr>
          <w:rFonts w:hint="eastAsia" w:ascii="黑体" w:hAnsi="黑体" w:eastAsia="黑体" w:cs="黑体"/>
          <w:b w:val="0"/>
          <w:bCs w:val="0"/>
          <w:spacing w:val="0"/>
          <w:w w:val="100"/>
          <w:sz w:val="24"/>
          <w:szCs w:val="24"/>
          <w:lang w:val="en-US" w:eastAsia="zh-CN"/>
        </w:rPr>
        <w:t xml:space="preserve"> 表七 投标报价区间分布分析表（按定标方法划分）</w:t>
      </w:r>
    </w:p>
    <w:tbl>
      <w:tblPr>
        <w:tblStyle w:val="19"/>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108"/>
        <w:gridCol w:w="2800"/>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tcBorders>
              <w:top w:val="single" w:color="auto" w:sz="12" w:space="0"/>
              <w:left w:val="nil"/>
            </w:tcBorders>
            <w:vAlign w:val="center"/>
          </w:tcPr>
          <w:p>
            <w:pPr>
              <w:keepNext w:val="0"/>
              <w:keepLines w:val="0"/>
              <w:suppressLineNumbers w:val="0"/>
              <w:spacing w:before="0" w:beforeAutospacing="0" w:after="0" w:afterAutospacing="0"/>
              <w:ind w:left="0" w:right="0"/>
              <w:jc w:val="center"/>
              <w:rPr>
                <w:rFonts w:hint="eastAsia" w:ascii="黑体" w:hAnsi="黑体" w:eastAsia="黑体" w:cs="黑体"/>
                <w:szCs w:val="21"/>
              </w:rPr>
            </w:pPr>
            <w:r>
              <w:rPr>
                <w:rFonts w:hint="eastAsia" w:ascii="黑体" w:hAnsi="黑体" w:eastAsia="黑体" w:cs="黑体"/>
                <w:szCs w:val="21"/>
              </w:rPr>
              <w:t>定标方法</w:t>
            </w:r>
          </w:p>
        </w:tc>
        <w:tc>
          <w:tcPr>
            <w:tcW w:w="1108" w:type="dxa"/>
            <w:tcBorders>
              <w:top w:val="single" w:color="auto" w:sz="12" w:space="0"/>
            </w:tcBorders>
            <w:vAlign w:val="center"/>
          </w:tcPr>
          <w:p>
            <w:pPr>
              <w:keepNext w:val="0"/>
              <w:keepLines w:val="0"/>
              <w:suppressLineNumbers w:val="0"/>
              <w:spacing w:before="0" w:beforeAutospacing="0" w:after="0" w:afterAutospacing="0"/>
              <w:ind w:left="0" w:right="0"/>
              <w:jc w:val="center"/>
              <w:rPr>
                <w:rFonts w:hint="eastAsia" w:ascii="黑体" w:hAnsi="黑体" w:eastAsia="黑体" w:cs="黑体"/>
                <w:szCs w:val="21"/>
              </w:rPr>
            </w:pPr>
            <w:r>
              <w:rPr>
                <w:rFonts w:hint="eastAsia" w:ascii="黑体" w:hAnsi="黑体" w:eastAsia="黑体" w:cs="黑体"/>
                <w:szCs w:val="21"/>
              </w:rPr>
              <w:t>项目个数</w:t>
            </w:r>
          </w:p>
        </w:tc>
        <w:tc>
          <w:tcPr>
            <w:tcW w:w="2800" w:type="dxa"/>
            <w:tcBorders>
              <w:top w:val="single" w:color="auto" w:sz="12" w:space="0"/>
            </w:tcBorders>
            <w:vAlign w:val="center"/>
          </w:tcPr>
          <w:p>
            <w:pPr>
              <w:keepNext w:val="0"/>
              <w:keepLines w:val="0"/>
              <w:suppressLineNumbers w:val="0"/>
              <w:spacing w:before="0" w:beforeAutospacing="0" w:after="0" w:afterAutospacing="0"/>
              <w:ind w:left="0" w:right="0"/>
              <w:jc w:val="both"/>
              <w:rPr>
                <w:rFonts w:hint="eastAsia" w:ascii="黑体" w:hAnsi="黑体" w:eastAsia="黑体" w:cs="黑体"/>
                <w:szCs w:val="21"/>
                <w:lang w:eastAsia="zh-CN"/>
              </w:rPr>
            </w:pPr>
            <w:r>
              <w:rPr>
                <w:rFonts w:hint="eastAsia" w:ascii="黑体" w:hAnsi="黑体" w:eastAsia="黑体" w:cs="黑体"/>
                <w:szCs w:val="21"/>
              </w:rPr>
              <w:t>报价位于中低区间</w:t>
            </w:r>
            <w:r>
              <w:rPr>
                <w:rFonts w:hint="eastAsia" w:ascii="黑体" w:hAnsi="黑体" w:eastAsia="黑体" w:cs="黑体"/>
                <w:szCs w:val="21"/>
                <w:lang w:val="en-US" w:eastAsia="zh-CN"/>
              </w:rPr>
              <w:t>项目</w:t>
            </w:r>
            <w:r>
              <w:rPr>
                <w:rFonts w:hint="eastAsia" w:ascii="黑体" w:hAnsi="黑体" w:eastAsia="黑体" w:cs="黑体"/>
                <w:szCs w:val="21"/>
              </w:rPr>
              <w:t>数量</w:t>
            </w:r>
          </w:p>
          <w:p>
            <w:pPr>
              <w:keepNext w:val="0"/>
              <w:keepLines w:val="0"/>
              <w:suppressLineNumbers w:val="0"/>
              <w:spacing w:before="0" w:beforeAutospacing="0" w:after="0" w:afterAutospacing="0"/>
              <w:ind w:left="0" w:right="0"/>
              <w:jc w:val="center"/>
              <w:rPr>
                <w:rFonts w:hint="eastAsia" w:ascii="黑体" w:hAnsi="黑体" w:eastAsia="黑体" w:cs="黑体"/>
                <w:szCs w:val="21"/>
              </w:rPr>
            </w:pPr>
            <w:r>
              <w:rPr>
                <w:rFonts w:hint="eastAsia" w:ascii="黑体" w:hAnsi="黑体" w:eastAsia="黑体" w:cs="黑体"/>
                <w:szCs w:val="21"/>
              </w:rPr>
              <w:t>（区间1、2）</w:t>
            </w:r>
          </w:p>
        </w:tc>
        <w:tc>
          <w:tcPr>
            <w:tcW w:w="3175" w:type="dxa"/>
            <w:tcBorders>
              <w:top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黑体" w:hAnsi="黑体" w:eastAsia="黑体" w:cs="黑体"/>
                <w:szCs w:val="21"/>
              </w:rPr>
            </w:pPr>
            <w:r>
              <w:rPr>
                <w:rFonts w:hint="eastAsia" w:ascii="黑体" w:hAnsi="黑体" w:eastAsia="黑体" w:cs="黑体"/>
                <w:szCs w:val="21"/>
              </w:rPr>
              <w:t>报价贴近上限</w:t>
            </w:r>
            <w:r>
              <w:rPr>
                <w:rFonts w:hint="eastAsia" w:ascii="黑体" w:hAnsi="黑体" w:eastAsia="黑体" w:cs="黑体"/>
                <w:szCs w:val="21"/>
                <w:lang w:val="en-US" w:eastAsia="zh-CN"/>
              </w:rPr>
              <w:t>项目</w:t>
            </w:r>
            <w:r>
              <w:rPr>
                <w:rFonts w:hint="eastAsia" w:ascii="黑体" w:hAnsi="黑体" w:eastAsia="黑体" w:cs="黑体"/>
                <w:szCs w:val="21"/>
              </w:rPr>
              <w:t>数量</w:t>
            </w:r>
          </w:p>
          <w:p>
            <w:pPr>
              <w:keepNext w:val="0"/>
              <w:keepLines w:val="0"/>
              <w:suppressLineNumbers w:val="0"/>
              <w:spacing w:before="0" w:beforeAutospacing="0" w:after="0" w:afterAutospacing="0"/>
              <w:ind w:left="0" w:right="0"/>
              <w:jc w:val="both"/>
              <w:rPr>
                <w:rFonts w:hint="eastAsia" w:ascii="黑体" w:hAnsi="黑体" w:eastAsia="黑体" w:cs="黑体"/>
                <w:szCs w:val="21"/>
              </w:rPr>
            </w:pPr>
            <w:r>
              <w:rPr>
                <w:rFonts w:hint="eastAsia" w:ascii="黑体" w:hAnsi="黑体" w:eastAsia="黑体" w:cs="黑体"/>
                <w:szCs w:val="21"/>
              </w:rPr>
              <w:t>（超过75%的投标人位于区间3）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1415" w:type="dxa"/>
            <w:tcBorders>
              <w:left w:val="nil"/>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Cs w:val="21"/>
              </w:rPr>
            </w:pPr>
            <w:r>
              <w:rPr>
                <w:rFonts w:hint="eastAsia" w:ascii="仿宋_GB2312" w:hAnsi="仿宋_GB2312" w:eastAsia="仿宋_GB2312" w:cs="仿宋_GB2312"/>
                <w:b w:val="0"/>
                <w:bCs w:val="0"/>
                <w:szCs w:val="21"/>
              </w:rPr>
              <w:t>直接票决</w:t>
            </w:r>
          </w:p>
        </w:tc>
        <w:tc>
          <w:tcPr>
            <w:tcW w:w="1108"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142</w:t>
            </w:r>
          </w:p>
        </w:tc>
        <w:tc>
          <w:tcPr>
            <w:tcW w:w="2800"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130</w:t>
            </w:r>
          </w:p>
        </w:tc>
        <w:tc>
          <w:tcPr>
            <w:tcW w:w="3175" w:type="dxa"/>
            <w:tcBorders>
              <w:right w:val="nil"/>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1415" w:type="dxa"/>
            <w:tcBorders>
              <w:left w:val="nil"/>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Cs w:val="21"/>
              </w:rPr>
            </w:pPr>
            <w:r>
              <w:rPr>
                <w:rFonts w:hint="eastAsia" w:ascii="仿宋_GB2312" w:hAnsi="仿宋_GB2312" w:eastAsia="仿宋_GB2312" w:cs="仿宋_GB2312"/>
                <w:b w:val="0"/>
                <w:bCs w:val="0"/>
                <w:szCs w:val="21"/>
              </w:rPr>
              <w:t>票决抽签</w:t>
            </w:r>
          </w:p>
        </w:tc>
        <w:tc>
          <w:tcPr>
            <w:tcW w:w="1108"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36</w:t>
            </w:r>
          </w:p>
        </w:tc>
        <w:tc>
          <w:tcPr>
            <w:tcW w:w="2800"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36</w:t>
            </w:r>
          </w:p>
        </w:tc>
        <w:tc>
          <w:tcPr>
            <w:tcW w:w="3175" w:type="dxa"/>
            <w:tcBorders>
              <w:right w:val="nil"/>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1415" w:type="dxa"/>
            <w:tcBorders>
              <w:left w:val="nil"/>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集体议事法</w:t>
            </w:r>
          </w:p>
        </w:tc>
        <w:tc>
          <w:tcPr>
            <w:tcW w:w="1108"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2</w:t>
            </w:r>
          </w:p>
        </w:tc>
        <w:tc>
          <w:tcPr>
            <w:tcW w:w="2800"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1</w:t>
            </w:r>
          </w:p>
        </w:tc>
        <w:tc>
          <w:tcPr>
            <w:tcW w:w="3175" w:type="dxa"/>
            <w:tcBorders>
              <w:right w:val="nil"/>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415" w:type="dxa"/>
            <w:tcBorders>
              <w:left w:val="nil"/>
              <w:bottom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b w:val="0"/>
                <w:bCs w:val="0"/>
                <w:szCs w:val="21"/>
              </w:rPr>
            </w:pPr>
            <w:r>
              <w:rPr>
                <w:rFonts w:hint="eastAsia" w:ascii="仿宋_GB2312" w:hAnsi="仿宋_GB2312" w:eastAsia="仿宋_GB2312" w:cs="仿宋_GB2312"/>
                <w:b w:val="0"/>
                <w:bCs w:val="0"/>
                <w:szCs w:val="21"/>
              </w:rPr>
              <w:t>汇总</w:t>
            </w:r>
          </w:p>
        </w:tc>
        <w:tc>
          <w:tcPr>
            <w:tcW w:w="1108" w:type="dxa"/>
            <w:tcBorders>
              <w:bottom w:val="single" w:color="auto" w:sz="12"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180</w:t>
            </w:r>
          </w:p>
        </w:tc>
        <w:tc>
          <w:tcPr>
            <w:tcW w:w="2800" w:type="dxa"/>
            <w:tcBorders>
              <w:bottom w:val="single" w:color="auto" w:sz="12"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167</w:t>
            </w:r>
          </w:p>
        </w:tc>
        <w:tc>
          <w:tcPr>
            <w:tcW w:w="3175" w:type="dxa"/>
            <w:tcBorders>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13</w:t>
            </w:r>
          </w:p>
        </w:tc>
      </w:tr>
    </w:tbl>
    <w:p>
      <w:pPr>
        <w:spacing w:before="0" w:beforeLines="-2147483648" w:afterLines="-2147483648" w:line="240" w:lineRule="auto"/>
        <w:ind w:firstLine="0" w:firstLineChars="0"/>
        <w:outlineLvl w:val="9"/>
        <w:rPr>
          <w:rFonts w:hint="eastAsia" w:ascii="仿宋" w:hAnsi="仿宋" w:eastAsia="仿宋" w:cs="仿宋"/>
          <w:b w:val="0"/>
          <w:bCs w:val="0"/>
          <w:sz w:val="28"/>
          <w:szCs w:val="32"/>
          <w:lang w:val="en-US" w:eastAsia="zh-CN"/>
        </w:rPr>
      </w:pPr>
      <w:bookmarkStart w:id="616" w:name="_Toc17433"/>
      <w:bookmarkStart w:id="617" w:name="_Toc29786"/>
      <w:bookmarkStart w:id="618" w:name="_Toc11624"/>
      <w:bookmarkStart w:id="619" w:name="_Toc31974"/>
      <w:bookmarkStart w:id="620" w:name="_Toc29983"/>
      <w:bookmarkStart w:id="621" w:name="_Toc27943"/>
      <w:bookmarkStart w:id="622" w:name="_Toc5178"/>
      <w:bookmarkStart w:id="623" w:name="_Toc13559"/>
      <w:bookmarkStart w:id="624" w:name="_Toc3104"/>
      <w:bookmarkStart w:id="625" w:name="_Toc489"/>
      <w:bookmarkStart w:id="626" w:name="_Toc3894"/>
      <w:bookmarkStart w:id="627" w:name="_Toc22921"/>
      <w:bookmarkStart w:id="628" w:name="_Toc26801"/>
      <w:bookmarkStart w:id="629" w:name="_Toc26486"/>
      <w:bookmarkStart w:id="630" w:name="_Toc4008"/>
      <w:bookmarkStart w:id="631" w:name="_Toc19274"/>
      <w:bookmarkStart w:id="632" w:name="_Toc32391"/>
      <w:bookmarkStart w:id="633" w:name="_Toc3137"/>
      <w:bookmarkStart w:id="634" w:name="_Toc7700"/>
      <w:bookmarkStart w:id="635" w:name="_Toc902"/>
      <w:bookmarkStart w:id="636" w:name="_Toc23352"/>
      <w:r>
        <w:rPr>
          <w:rFonts w:hint="eastAsia" w:ascii="仿宋" w:hAnsi="仿宋" w:eastAsia="仿宋" w:cs="仿宋"/>
          <w:b w:val="0"/>
          <w:bCs w:val="0"/>
          <w:sz w:val="28"/>
          <w:szCs w:val="32"/>
          <w:lang w:val="en-US" w:eastAsia="zh-CN"/>
        </w:rPr>
        <w:br w:type="page"/>
      </w:r>
    </w:p>
    <w:p>
      <w:pPr>
        <w:spacing w:before="0" w:beforeLines="0" w:afterLines="0" w:line="500" w:lineRule="exact"/>
        <w:ind w:firstLine="560" w:firstLineChars="200"/>
        <w:outlineLvl w:val="9"/>
        <w:rPr>
          <w:rFonts w:hint="eastAsia" w:ascii="仿宋_GB2312" w:hAnsi="仿宋_GB2312" w:eastAsia="仿宋_GB2312" w:cs="仿宋_GB2312"/>
          <w:b w:val="0"/>
          <w:bCs w:val="0"/>
          <w:sz w:val="28"/>
          <w:szCs w:val="32"/>
          <w:lang w:val="en-US" w:eastAsia="zh-CN"/>
        </w:rPr>
      </w:pPr>
      <w:r>
        <w:rPr>
          <w:rFonts w:hint="eastAsia" w:ascii="仿宋_GB2312" w:hAnsi="仿宋_GB2312" w:eastAsia="仿宋_GB2312" w:cs="仿宋_GB2312"/>
          <w:b w:val="0"/>
          <w:bCs w:val="0"/>
          <w:sz w:val="28"/>
          <w:szCs w:val="32"/>
          <w:lang w:val="en-US" w:eastAsia="zh-CN"/>
        </w:rPr>
        <w:t>3.按定标方法分析投标家数（详见表八）</w:t>
      </w:r>
    </w:p>
    <w:p>
      <w:pPr>
        <w:pStyle w:val="7"/>
        <w:keepNext w:val="0"/>
        <w:keepLines w:val="0"/>
        <w:pageBreakBefore w:val="0"/>
        <w:widowControl w:val="0"/>
        <w:kinsoku/>
        <w:wordWrap/>
        <w:overflowPunct/>
        <w:topLinePunct w:val="0"/>
        <w:autoSpaceDE/>
        <w:autoSpaceDN/>
        <w:bidi w:val="0"/>
        <w:adjustRightInd/>
        <w:snapToGrid/>
        <w:spacing w:before="159" w:beforeLines="50" w:after="159" w:afterLines="50"/>
        <w:ind w:left="0" w:right="0"/>
        <w:jc w:val="center"/>
        <w:textAlignment w:val="auto"/>
        <w:rPr>
          <w:rFonts w:ascii="黑体" w:hAnsi="黑体" w:eastAsia="黑体" w:cs="黑体"/>
          <w:b w:val="0"/>
          <w:bCs w:val="0"/>
          <w:spacing w:val="0"/>
          <w:w w:val="100"/>
          <w:sz w:val="24"/>
          <w:szCs w:val="24"/>
        </w:rPr>
      </w:pPr>
      <w:r>
        <w:rPr>
          <w:rFonts w:hint="eastAsia" w:ascii="黑体" w:hAnsi="黑体" w:eastAsia="黑体" w:cs="黑体"/>
          <w:b w:val="0"/>
          <w:bCs w:val="0"/>
          <w:spacing w:val="0"/>
          <w:w w:val="100"/>
          <w:sz w:val="24"/>
          <w:szCs w:val="24"/>
          <w:lang w:val="en-US" w:eastAsia="zh-CN"/>
        </w:rPr>
        <w:t>表八 投标家数情况（按定标方法划分）</w:t>
      </w:r>
    </w:p>
    <w:tbl>
      <w:tblPr>
        <w:tblStyle w:val="19"/>
        <w:tblW w:w="8789" w:type="dxa"/>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1418"/>
        <w:gridCol w:w="1276"/>
        <w:gridCol w:w="1275"/>
        <w:gridCol w:w="2410"/>
        <w:gridCol w:w="2410"/>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643" w:hRule="atLeast"/>
          <w:jc w:val="center"/>
        </w:trPr>
        <w:tc>
          <w:tcPr>
            <w:tcW w:w="141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黑体"/>
                <w:szCs w:val="21"/>
              </w:rPr>
            </w:pPr>
            <w:r>
              <w:rPr>
                <w:rFonts w:hint="eastAsia" w:ascii="Times New Roman" w:hAnsi="Times New Roman" w:eastAsia="黑体" w:cs="黑体"/>
                <w:szCs w:val="21"/>
              </w:rPr>
              <w:t>定标方法</w:t>
            </w:r>
          </w:p>
        </w:tc>
        <w:tc>
          <w:tcPr>
            <w:tcW w:w="127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黑体"/>
                <w:szCs w:val="21"/>
              </w:rPr>
            </w:pPr>
            <w:r>
              <w:rPr>
                <w:rFonts w:hint="eastAsia" w:ascii="Times New Roman" w:hAnsi="Times New Roman" w:eastAsia="黑体" w:cs="黑体"/>
                <w:szCs w:val="21"/>
              </w:rPr>
              <w:t>项目个数</w:t>
            </w:r>
          </w:p>
        </w:tc>
        <w:tc>
          <w:tcPr>
            <w:tcW w:w="127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黑体"/>
                <w:szCs w:val="21"/>
              </w:rPr>
            </w:pPr>
            <w:r>
              <w:rPr>
                <w:rFonts w:hint="eastAsia" w:ascii="Times New Roman" w:hAnsi="Times New Roman" w:eastAsia="黑体" w:cs="黑体"/>
                <w:szCs w:val="21"/>
              </w:rPr>
              <w:t>投标家数</w:t>
            </w:r>
          </w:p>
        </w:tc>
        <w:tc>
          <w:tcPr>
            <w:tcW w:w="241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黑体"/>
                <w:szCs w:val="21"/>
              </w:rPr>
            </w:pPr>
            <w:r>
              <w:rPr>
                <w:rFonts w:hint="eastAsia" w:ascii="Times New Roman" w:hAnsi="Times New Roman" w:eastAsia="黑体" w:cs="黑体"/>
                <w:szCs w:val="21"/>
              </w:rPr>
              <w:t>平均单个项目投标家数</w:t>
            </w:r>
          </w:p>
        </w:tc>
        <w:tc>
          <w:tcPr>
            <w:tcW w:w="241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黑体"/>
                <w:szCs w:val="21"/>
              </w:rPr>
            </w:pPr>
            <w:r>
              <w:rPr>
                <w:rFonts w:hint="eastAsia" w:ascii="Times New Roman" w:hAnsi="Times New Roman" w:eastAsia="黑体" w:cs="黑体"/>
                <w:szCs w:val="21"/>
              </w:rPr>
              <w:t>单个项目最高投标家数</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441" w:hRule="exact"/>
          <w:jc w:val="center"/>
        </w:trPr>
        <w:tc>
          <w:tcPr>
            <w:tcW w:w="1418"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直接票决</w:t>
            </w:r>
          </w:p>
        </w:tc>
        <w:tc>
          <w:tcPr>
            <w:tcW w:w="1276"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142</w:t>
            </w:r>
          </w:p>
        </w:tc>
        <w:tc>
          <w:tcPr>
            <w:tcW w:w="1275" w:type="dxa"/>
            <w:vAlign w:val="center"/>
          </w:tcPr>
          <w:p>
            <w:pPr>
              <w:keepNext w:val="0"/>
              <w:keepLines w:val="0"/>
              <w:suppressLineNumbers w:val="0"/>
              <w:snapToGrid w:val="0"/>
              <w:spacing w:before="0" w:beforeAutospacing="0" w:after="0" w:afterAutospacing="0"/>
              <w:ind w:left="34" w:leftChars="16" w:right="0"/>
              <w:jc w:val="center"/>
              <w:rPr>
                <w:rFonts w:hint="default" w:ascii="仿宋_GB2312" w:hAnsi="仿宋_GB2312" w:eastAsia="仿宋_GB2312" w:cs="仿宋_GB2312"/>
                <w:b w:val="0"/>
                <w:bCs w:val="0"/>
                <w:szCs w:val="21"/>
                <w:lang w:val="en-US"/>
              </w:rPr>
            </w:pPr>
            <w:r>
              <w:rPr>
                <w:rFonts w:hint="eastAsia" w:ascii="仿宋_GB2312" w:hAnsi="仿宋_GB2312" w:eastAsia="仿宋_GB2312" w:cs="仿宋_GB2312"/>
                <w:b w:val="0"/>
                <w:bCs w:val="0"/>
                <w:szCs w:val="21"/>
                <w:lang w:val="en-US" w:eastAsia="zh-CN"/>
              </w:rPr>
              <w:t>1478</w:t>
            </w:r>
          </w:p>
        </w:tc>
        <w:tc>
          <w:tcPr>
            <w:tcW w:w="2410"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10</w:t>
            </w:r>
          </w:p>
        </w:tc>
        <w:tc>
          <w:tcPr>
            <w:tcW w:w="2410"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28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511" w:hRule="exact"/>
          <w:jc w:val="center"/>
        </w:trPr>
        <w:tc>
          <w:tcPr>
            <w:tcW w:w="1418"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票决抽签</w:t>
            </w:r>
          </w:p>
        </w:tc>
        <w:tc>
          <w:tcPr>
            <w:tcW w:w="1276"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36</w:t>
            </w:r>
          </w:p>
        </w:tc>
        <w:tc>
          <w:tcPr>
            <w:tcW w:w="1275" w:type="dxa"/>
            <w:vAlign w:val="center"/>
          </w:tcPr>
          <w:p>
            <w:pPr>
              <w:keepNext w:val="0"/>
              <w:keepLines w:val="0"/>
              <w:suppressLineNumbers w:val="0"/>
              <w:snapToGrid w:val="0"/>
              <w:spacing w:before="0" w:beforeAutospacing="0" w:after="0" w:afterAutospacing="0"/>
              <w:ind w:left="34" w:leftChars="16" w:right="0"/>
              <w:jc w:val="center"/>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797</w:t>
            </w:r>
          </w:p>
        </w:tc>
        <w:tc>
          <w:tcPr>
            <w:tcW w:w="2410"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22</w:t>
            </w:r>
          </w:p>
        </w:tc>
        <w:tc>
          <w:tcPr>
            <w:tcW w:w="2410"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92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502" w:hRule="exact"/>
          <w:jc w:val="center"/>
        </w:trPr>
        <w:tc>
          <w:tcPr>
            <w:tcW w:w="1418"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集体议事</w:t>
            </w:r>
          </w:p>
        </w:tc>
        <w:tc>
          <w:tcPr>
            <w:tcW w:w="1276"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2</w:t>
            </w:r>
          </w:p>
        </w:tc>
        <w:tc>
          <w:tcPr>
            <w:tcW w:w="1275"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16</w:t>
            </w:r>
          </w:p>
        </w:tc>
        <w:tc>
          <w:tcPr>
            <w:tcW w:w="2410"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8</w:t>
            </w:r>
          </w:p>
        </w:tc>
        <w:tc>
          <w:tcPr>
            <w:tcW w:w="2410" w:type="dxa"/>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11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522" w:hRule="exact"/>
          <w:jc w:val="center"/>
        </w:trPr>
        <w:tc>
          <w:tcPr>
            <w:tcW w:w="1418" w:type="dxa"/>
            <w:vAlign w:val="center"/>
          </w:tcPr>
          <w:p>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szCs w:val="21"/>
              </w:rPr>
              <w:t>汇总</w:t>
            </w:r>
          </w:p>
        </w:tc>
        <w:tc>
          <w:tcPr>
            <w:tcW w:w="1276" w:type="dxa"/>
            <w:vAlign w:val="center"/>
          </w:tcPr>
          <w:p>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szCs w:val="21"/>
                <w:highlight w:val="none"/>
                <w:lang w:val="en-US" w:eastAsia="zh-CN"/>
              </w:rPr>
              <w:t>180</w:t>
            </w:r>
          </w:p>
        </w:tc>
        <w:tc>
          <w:tcPr>
            <w:tcW w:w="1275" w:type="dxa"/>
            <w:vAlign w:val="center"/>
          </w:tcPr>
          <w:p>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szCs w:val="21"/>
                <w:lang w:val="en-US" w:eastAsia="zh-CN"/>
              </w:rPr>
              <w:t>2291</w:t>
            </w:r>
          </w:p>
        </w:tc>
        <w:tc>
          <w:tcPr>
            <w:tcW w:w="2410" w:type="dxa"/>
            <w:vAlign w:val="center"/>
          </w:tcPr>
          <w:p>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szCs w:val="21"/>
                <w:lang w:val="en-US" w:eastAsia="zh-CN"/>
              </w:rPr>
              <w:t>13</w:t>
            </w:r>
          </w:p>
        </w:tc>
        <w:tc>
          <w:tcPr>
            <w:tcW w:w="2410" w:type="dxa"/>
            <w:vAlign w:val="center"/>
          </w:tcPr>
          <w:p>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szCs w:val="21"/>
                <w:lang w:val="en-US" w:eastAsia="zh-CN"/>
              </w:rPr>
              <w:t>92</w:t>
            </w:r>
          </w:p>
        </w:tc>
      </w:tr>
    </w:tbl>
    <w:p>
      <w:pPr>
        <w:numPr>
          <w:ilvl w:val="0"/>
          <w:numId w:val="0"/>
        </w:numPr>
        <w:spacing w:before="0" w:beforeLines="0" w:afterLines="0" w:line="560" w:lineRule="exact"/>
        <w:ind w:firstLine="560" w:firstLineChars="200"/>
        <w:outlineLvl w:val="9"/>
        <w:rPr>
          <w:rFonts w:hint="eastAsia" w:ascii="仿宋_GB2312" w:hAnsi="仿宋_GB2312" w:eastAsia="仿宋_GB2312" w:cs="仿宋_GB2312"/>
          <w:b w:val="0"/>
          <w:bCs w:val="0"/>
          <w:sz w:val="28"/>
          <w:szCs w:val="24"/>
          <w:lang w:val="en-US" w:eastAsia="zh-CN"/>
        </w:rPr>
      </w:pPr>
      <w:r>
        <w:rPr>
          <w:rFonts w:hint="eastAsia" w:ascii="仿宋_GB2312" w:hAnsi="仿宋_GB2312" w:eastAsia="仿宋_GB2312" w:cs="仿宋_GB2312"/>
          <w:sz w:val="28"/>
          <w:szCs w:val="24"/>
          <w:lang w:val="en-US" w:eastAsia="zh-CN"/>
        </w:rPr>
        <w:t>经统计</w:t>
      </w:r>
      <w:r>
        <w:rPr>
          <w:rFonts w:hint="eastAsia" w:ascii="仿宋_GB2312" w:hAnsi="仿宋_GB2312" w:eastAsia="仿宋_GB2312" w:cs="仿宋_GB2312"/>
          <w:sz w:val="28"/>
          <w:szCs w:val="24"/>
        </w:rPr>
        <w:t>，</w:t>
      </w:r>
      <w:r>
        <w:rPr>
          <w:rFonts w:hint="eastAsia" w:ascii="仿宋_GB2312" w:hAnsi="仿宋_GB2312" w:eastAsia="仿宋_GB2312" w:cs="仿宋_GB2312"/>
          <w:sz w:val="28"/>
          <w:szCs w:val="24"/>
          <w:lang w:val="en-US" w:eastAsia="zh-CN"/>
        </w:rPr>
        <w:t>采用</w:t>
      </w:r>
      <w:r>
        <w:rPr>
          <w:rFonts w:hint="eastAsia" w:ascii="仿宋_GB2312" w:hAnsi="仿宋_GB2312" w:eastAsia="仿宋_GB2312" w:cs="仿宋_GB2312"/>
          <w:sz w:val="28"/>
          <w:szCs w:val="24"/>
        </w:rPr>
        <w:t>直接票决法</w:t>
      </w:r>
      <w:r>
        <w:rPr>
          <w:rFonts w:hint="eastAsia" w:ascii="仿宋_GB2312" w:hAnsi="仿宋_GB2312" w:eastAsia="仿宋_GB2312" w:cs="仿宋_GB2312"/>
          <w:sz w:val="28"/>
          <w:szCs w:val="24"/>
          <w:lang w:eastAsia="zh-CN"/>
        </w:rPr>
        <w:t>（逐轮票决）</w:t>
      </w:r>
      <w:r>
        <w:rPr>
          <w:rFonts w:hint="eastAsia" w:ascii="仿宋_GB2312" w:hAnsi="仿宋_GB2312" w:eastAsia="仿宋_GB2312" w:cs="仿宋_GB2312"/>
          <w:sz w:val="28"/>
          <w:szCs w:val="24"/>
          <w:lang w:val="en-US" w:eastAsia="zh-CN"/>
        </w:rPr>
        <w:t>定标的项目平均投标家数明显少于票决抽签法定标的项目。</w:t>
      </w:r>
    </w:p>
    <w:p>
      <w:pPr>
        <w:pStyle w:val="4"/>
        <w:spacing w:before="0" w:beforeLines="0" w:line="500" w:lineRule="exact"/>
        <w:rPr>
          <w:rFonts w:hint="eastAsia" w:ascii="仿宋_GB2312" w:hAnsi="仿宋_GB2312" w:eastAsia="仿宋_GB2312" w:cs="仿宋_GB2312"/>
          <w:b w:val="0"/>
          <w:bCs w:val="0"/>
          <w:sz w:val="28"/>
          <w:szCs w:val="32"/>
          <w:lang w:val="en-US" w:eastAsia="zh-CN"/>
        </w:rPr>
      </w:pPr>
      <w:bookmarkStart w:id="637" w:name="_Toc15315"/>
      <w:bookmarkStart w:id="638" w:name="_Toc3317"/>
      <w:bookmarkStart w:id="639" w:name="_Toc16773"/>
      <w:bookmarkStart w:id="640" w:name="_Toc27512"/>
      <w:bookmarkStart w:id="641" w:name="_Toc25184"/>
      <w:bookmarkStart w:id="642" w:name="_Toc31271"/>
      <w:bookmarkStart w:id="643" w:name="_Toc3298"/>
      <w:r>
        <w:rPr>
          <w:rFonts w:hint="eastAsia" w:ascii="仿宋_GB2312" w:hAnsi="仿宋_GB2312" w:eastAsia="仿宋_GB2312" w:cs="仿宋_GB2312"/>
          <w:b w:val="0"/>
          <w:bCs w:val="0"/>
          <w:sz w:val="28"/>
          <w:szCs w:val="32"/>
          <w:lang w:val="en-US" w:eastAsia="zh-CN"/>
        </w:rPr>
        <w:t>3.2.3过多投标人淘汰环节</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pPr>
        <w:numPr>
          <w:ilvl w:val="0"/>
          <w:numId w:val="0"/>
        </w:numPr>
        <w:spacing w:beforeLines="0" w:line="560" w:lineRule="exact"/>
        <w:ind w:firstLine="560" w:firstLineChars="200"/>
        <w:outlineLvl w:val="9"/>
        <w:rPr>
          <w:rFonts w:hint="eastAsia" w:ascii="仿宋_GB2312" w:hAnsi="仿宋_GB2312" w:eastAsia="仿宋_GB2312" w:cs="仿宋_GB2312"/>
          <w:b w:val="0"/>
          <w:bCs w:val="0"/>
          <w:sz w:val="28"/>
          <w:szCs w:val="24"/>
          <w:lang w:val="en-US" w:eastAsia="zh-CN"/>
        </w:rPr>
      </w:pPr>
      <w:r>
        <w:rPr>
          <w:rFonts w:hint="eastAsia" w:ascii="仿宋_GB2312" w:hAnsi="仿宋_GB2312" w:eastAsia="仿宋_GB2312" w:cs="仿宋_GB2312"/>
          <w:b w:val="0"/>
          <w:bCs w:val="0"/>
          <w:sz w:val="28"/>
          <w:szCs w:val="24"/>
          <w:lang w:val="en-US" w:eastAsia="zh-CN"/>
        </w:rPr>
        <w:t>经评估，共9个（占比5%）项目未提供入围择优资料</w:t>
      </w:r>
      <w:r>
        <w:rPr>
          <w:rFonts w:hint="eastAsia" w:ascii="仿宋_GB2312" w:hAnsi="仿宋_GB2312" w:eastAsia="仿宋_GB2312" w:cs="仿宋_GB2312"/>
          <w:b w:val="0"/>
          <w:bCs w:val="0"/>
          <w:sz w:val="28"/>
          <w:szCs w:val="24"/>
          <w:highlight w:val="none"/>
          <w:lang w:val="en-US" w:eastAsia="zh-CN"/>
        </w:rPr>
        <w:t>,</w:t>
      </w:r>
      <w:r>
        <w:rPr>
          <w:rFonts w:hint="eastAsia" w:ascii="仿宋_GB2312" w:hAnsi="仿宋_GB2312" w:eastAsia="仿宋_GB2312" w:cs="仿宋_GB2312"/>
          <w:b w:val="0"/>
          <w:bCs w:val="0"/>
          <w:sz w:val="28"/>
          <w:szCs w:val="24"/>
          <w:lang w:val="en-US" w:eastAsia="zh-CN"/>
        </w:rPr>
        <w:t>共3个（占比2%）项目入围票选原则不明确,</w:t>
      </w:r>
      <w:r>
        <w:rPr>
          <w:rFonts w:hint="eastAsia" w:ascii="仿宋_GB2312" w:hAnsi="仿宋_GB2312" w:eastAsia="仿宋_GB2312" w:cs="仿宋_GB2312"/>
          <w:b w:val="0"/>
          <w:bCs w:val="0"/>
          <w:sz w:val="28"/>
          <w:szCs w:val="24"/>
          <w:highlight w:val="none"/>
          <w:lang w:val="en-US" w:eastAsia="zh-CN"/>
        </w:rPr>
        <w:t>该情形不</w:t>
      </w:r>
      <w:r>
        <w:rPr>
          <w:rFonts w:hint="eastAsia" w:ascii="仿宋_GB2312" w:hAnsi="仿宋_GB2312" w:eastAsia="仿宋_GB2312" w:cs="仿宋_GB2312"/>
          <w:b w:val="0"/>
          <w:bCs w:val="0"/>
          <w:sz w:val="28"/>
          <w:szCs w:val="24"/>
          <w:lang w:val="en-US" w:eastAsia="zh-CN"/>
        </w:rPr>
        <w:t>利于招标人在过多投标人淘汰环节达到择优的目的。</w:t>
      </w:r>
    </w:p>
    <w:p>
      <w:pPr>
        <w:numPr>
          <w:ilvl w:val="0"/>
          <w:numId w:val="0"/>
        </w:numPr>
        <w:spacing w:beforeLines="0" w:line="560" w:lineRule="exact"/>
        <w:ind w:firstLine="560" w:firstLineChars="200"/>
        <w:outlineLvl w:val="9"/>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b w:val="0"/>
          <w:bCs w:val="0"/>
          <w:sz w:val="28"/>
          <w:szCs w:val="24"/>
          <w:highlight w:val="none"/>
          <w:lang w:val="en-US" w:eastAsia="zh-CN"/>
        </w:rPr>
        <w:t>例：某施工总承包项目</w:t>
      </w:r>
      <w:r>
        <w:rPr>
          <w:rFonts w:hint="eastAsia" w:ascii="仿宋_GB2312" w:hAnsi="仿宋_GB2312" w:eastAsia="仿宋_GB2312" w:cs="仿宋_GB2312"/>
          <w:sz w:val="28"/>
          <w:szCs w:val="24"/>
          <w:highlight w:val="none"/>
          <w:lang w:val="en-US" w:eastAsia="zh-CN"/>
        </w:rPr>
        <w:t>未提供入围择优资料</w:t>
      </w:r>
      <w:r>
        <w:rPr>
          <w:rFonts w:hint="eastAsia" w:ascii="仿宋_GB2312" w:hAnsi="仿宋_GB2312" w:eastAsia="仿宋_GB2312" w:cs="仿宋_GB2312"/>
          <w:sz w:val="28"/>
          <w:szCs w:val="24"/>
          <w:lang w:val="en-US" w:eastAsia="zh-CN"/>
        </w:rPr>
        <w:t>。</w:t>
      </w:r>
    </w:p>
    <w:p>
      <w:pPr>
        <w:pStyle w:val="4"/>
        <w:spacing w:before="0" w:beforeLines="0" w:line="500" w:lineRule="exact"/>
        <w:rPr>
          <w:rFonts w:hint="eastAsia" w:ascii="仿宋_GB2312" w:hAnsi="仿宋_GB2312" w:eastAsia="仿宋_GB2312" w:cs="仿宋_GB2312"/>
          <w:b w:val="0"/>
          <w:bCs w:val="0"/>
          <w:highlight w:val="none"/>
          <w:lang w:val="en-US" w:eastAsia="zh-CN"/>
        </w:rPr>
      </w:pPr>
      <w:bookmarkStart w:id="644" w:name="_Toc12531"/>
      <w:bookmarkStart w:id="645" w:name="_Toc12724"/>
      <w:bookmarkStart w:id="646" w:name="_Toc13685"/>
      <w:bookmarkStart w:id="647" w:name="_Toc2877"/>
      <w:bookmarkStart w:id="648" w:name="_Toc31912"/>
      <w:bookmarkStart w:id="649" w:name="_Toc18911"/>
      <w:bookmarkStart w:id="650" w:name="_Toc23485"/>
      <w:bookmarkStart w:id="651" w:name="_Toc7968"/>
      <w:bookmarkStart w:id="652" w:name="_Toc27743"/>
      <w:bookmarkStart w:id="653" w:name="_Toc31193"/>
      <w:bookmarkStart w:id="654" w:name="_Toc19204"/>
      <w:bookmarkStart w:id="655" w:name="_Toc27335"/>
      <w:bookmarkStart w:id="656" w:name="_Toc5824"/>
      <w:bookmarkStart w:id="657" w:name="_Toc5916"/>
      <w:bookmarkStart w:id="658" w:name="_Toc14505"/>
      <w:bookmarkStart w:id="659" w:name="_Toc27471"/>
      <w:bookmarkStart w:id="660" w:name="_Toc14381"/>
      <w:bookmarkStart w:id="661" w:name="_Toc14067"/>
      <w:bookmarkStart w:id="662" w:name="_Toc3552"/>
      <w:bookmarkStart w:id="663" w:name="_Toc20888"/>
      <w:bookmarkStart w:id="664" w:name="_Toc12226"/>
      <w:bookmarkStart w:id="665" w:name="_Toc25149"/>
      <w:bookmarkStart w:id="666" w:name="_Toc7821"/>
      <w:bookmarkStart w:id="667" w:name="_Toc32691"/>
      <w:bookmarkStart w:id="668" w:name="_Toc18594"/>
      <w:bookmarkStart w:id="669" w:name="_Toc31098"/>
      <w:bookmarkStart w:id="670" w:name="_Toc29713"/>
      <w:bookmarkStart w:id="671" w:name="_Toc1288"/>
      <w:r>
        <w:rPr>
          <w:rFonts w:hint="eastAsia" w:ascii="仿宋_GB2312" w:hAnsi="仿宋_GB2312" w:eastAsia="仿宋_GB2312" w:cs="仿宋_GB2312"/>
          <w:b w:val="0"/>
          <w:bCs w:val="0"/>
          <w:highlight w:val="none"/>
          <w:lang w:val="en-US" w:eastAsia="zh-CN"/>
        </w:rPr>
        <w:t>3.2.4评标环节</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widowControl/>
        <w:numPr>
          <w:ilvl w:val="0"/>
          <w:numId w:val="0"/>
        </w:numPr>
        <w:spacing w:beforeLines="0" w:line="560" w:lineRule="exact"/>
        <w:ind w:firstLine="560" w:firstLineChars="200"/>
        <w:jc w:val="both"/>
        <w:outlineLvl w:val="9"/>
        <w:rPr>
          <w:rFonts w:hint="eastAsia" w:ascii="仿宋_GB2312" w:hAnsi="仿宋_GB2312" w:eastAsia="仿宋_GB2312" w:cs="仿宋_GB2312"/>
          <w:kern w:val="2"/>
          <w:sz w:val="28"/>
          <w:szCs w:val="24"/>
          <w:lang w:val="en-US" w:eastAsia="zh-CN" w:bidi="ar"/>
        </w:rPr>
      </w:pPr>
      <w:r>
        <w:rPr>
          <w:rFonts w:hint="eastAsia" w:ascii="仿宋_GB2312" w:hAnsi="仿宋_GB2312" w:eastAsia="仿宋_GB2312" w:cs="仿宋_GB2312"/>
          <w:kern w:val="2"/>
          <w:sz w:val="28"/>
          <w:szCs w:val="24"/>
          <w:lang w:val="en-US" w:eastAsia="zh-CN" w:bidi="ar"/>
        </w:rPr>
        <w:t>经评估，共3个（占比2%）项目未按照招标文件规定进行评审。</w:t>
      </w:r>
    </w:p>
    <w:p>
      <w:pPr>
        <w:widowControl/>
        <w:numPr>
          <w:ilvl w:val="0"/>
          <w:numId w:val="0"/>
        </w:numPr>
        <w:spacing w:beforeLines="0" w:line="560" w:lineRule="exact"/>
        <w:ind w:firstLine="560" w:firstLineChars="200"/>
        <w:jc w:val="both"/>
        <w:outlineLvl w:val="9"/>
        <w:rPr>
          <w:rFonts w:hint="eastAsia" w:ascii="仿宋_GB2312" w:hAnsi="仿宋_GB2312" w:eastAsia="仿宋_GB2312" w:cs="仿宋_GB2312"/>
          <w:kern w:val="2"/>
          <w:sz w:val="28"/>
          <w:szCs w:val="24"/>
          <w:lang w:val="en-US" w:eastAsia="zh-CN" w:bidi="ar"/>
        </w:rPr>
      </w:pPr>
      <w:r>
        <w:rPr>
          <w:rFonts w:hint="eastAsia" w:ascii="仿宋_GB2312" w:hAnsi="仿宋_GB2312" w:eastAsia="仿宋_GB2312" w:cs="仿宋_GB2312"/>
          <w:sz w:val="28"/>
          <w:szCs w:val="24"/>
          <w:lang w:val="en-US" w:eastAsia="zh-CN"/>
        </w:rPr>
        <w:t>例1：某EPC项目商务标定性评审表中评审项目为投标报价。评标委员会评审出具的评标报告，详细评审情况描述为“</w:t>
      </w:r>
      <w:r>
        <w:rPr>
          <w:rFonts w:hint="eastAsia" w:ascii="仿宋_GB2312" w:hAnsi="仿宋_GB2312" w:eastAsia="仿宋_GB2312" w:cs="仿宋_GB2312"/>
          <w:kern w:val="2"/>
          <w:sz w:val="28"/>
          <w:szCs w:val="24"/>
          <w:lang w:val="en-US" w:eastAsia="zh-CN" w:bidi="ar"/>
        </w:rPr>
        <w:t>经详细评审，4家投标单位的投标文件均未见商务报价，未进行商务标评审。4家投标单位的技术标投标文件全部合格，详见技术标定性评审汇总表”。</w:t>
      </w:r>
    </w:p>
    <w:p>
      <w:pPr>
        <w:widowControl/>
        <w:numPr>
          <w:ilvl w:val="0"/>
          <w:numId w:val="0"/>
        </w:numPr>
        <w:spacing w:beforeLines="0" w:line="560" w:lineRule="exact"/>
        <w:ind w:firstLine="560" w:firstLineChars="200"/>
        <w:jc w:val="both"/>
        <w:outlineLvl w:val="9"/>
        <w:rPr>
          <w:rFonts w:hint="default" w:ascii="仿宋_GB2312" w:hAnsi="仿宋_GB2312" w:eastAsia="仿宋_GB2312" w:cs="仿宋_GB2312"/>
          <w:kern w:val="2"/>
          <w:sz w:val="28"/>
          <w:szCs w:val="24"/>
          <w:lang w:val="en-US" w:eastAsia="zh-CN" w:bidi="ar"/>
        </w:rPr>
      </w:pPr>
      <w:r>
        <w:rPr>
          <w:rFonts w:hint="eastAsia" w:ascii="仿宋_GB2312" w:hAnsi="仿宋_GB2312" w:eastAsia="仿宋_GB2312" w:cs="仿宋_GB2312"/>
          <w:kern w:val="2"/>
          <w:sz w:val="28"/>
          <w:szCs w:val="24"/>
          <w:lang w:val="en-US" w:eastAsia="zh-CN" w:bidi="ar"/>
        </w:rPr>
        <w:t>例2：某全过程工程咨询服务项目要求对投标报价进行商务标定性评审，评标报告中未体现该内容。</w:t>
      </w:r>
    </w:p>
    <w:p>
      <w:pPr>
        <w:pStyle w:val="4"/>
        <w:spacing w:before="0" w:beforeLines="0" w:line="500" w:lineRule="exact"/>
        <w:rPr>
          <w:rFonts w:hint="eastAsia" w:ascii="仿宋_GB2312" w:hAnsi="仿宋_GB2312" w:eastAsia="仿宋_GB2312" w:cs="仿宋_GB2312"/>
          <w:b w:val="0"/>
          <w:bCs w:val="0"/>
          <w:lang w:val="en-US" w:eastAsia="zh-CN"/>
        </w:rPr>
      </w:pPr>
      <w:bookmarkStart w:id="672" w:name="_Toc2375"/>
      <w:bookmarkStart w:id="673" w:name="_Toc21410"/>
      <w:bookmarkStart w:id="674" w:name="_Toc6001"/>
      <w:bookmarkStart w:id="675" w:name="_Toc14471"/>
      <w:bookmarkStart w:id="676" w:name="_Toc3472"/>
      <w:bookmarkStart w:id="677" w:name="_Toc5190"/>
      <w:bookmarkStart w:id="678" w:name="_Toc27408"/>
      <w:bookmarkStart w:id="679" w:name="_Toc9740"/>
      <w:bookmarkStart w:id="680" w:name="_Toc17349"/>
      <w:bookmarkStart w:id="681" w:name="_Toc25506"/>
      <w:bookmarkStart w:id="682" w:name="_Toc24225"/>
      <w:bookmarkStart w:id="683" w:name="_Toc19233"/>
      <w:bookmarkStart w:id="684" w:name="_Toc18289"/>
      <w:bookmarkStart w:id="685" w:name="_Toc25107"/>
      <w:bookmarkStart w:id="686" w:name="_Toc17098"/>
      <w:bookmarkStart w:id="687" w:name="_Toc3809"/>
      <w:bookmarkStart w:id="688" w:name="_Toc30668"/>
      <w:bookmarkStart w:id="689" w:name="_Toc30650"/>
      <w:bookmarkStart w:id="690" w:name="_Toc15830"/>
      <w:bookmarkStart w:id="691" w:name="_Toc29717"/>
      <w:bookmarkStart w:id="692" w:name="_Toc8098"/>
      <w:bookmarkStart w:id="693" w:name="_Toc23934"/>
      <w:bookmarkStart w:id="694" w:name="_Toc8169"/>
      <w:bookmarkStart w:id="695" w:name="_Toc2230"/>
      <w:bookmarkStart w:id="696" w:name="_Toc14279"/>
      <w:bookmarkStart w:id="697" w:name="_Toc5741"/>
      <w:bookmarkStart w:id="698" w:name="_Toc4529"/>
      <w:bookmarkStart w:id="699" w:name="_Toc28758"/>
      <w:r>
        <w:rPr>
          <w:rFonts w:hint="eastAsia" w:ascii="仿宋_GB2312" w:hAnsi="仿宋_GB2312" w:eastAsia="仿宋_GB2312" w:cs="仿宋_GB2312"/>
          <w:b w:val="0"/>
          <w:bCs w:val="0"/>
          <w:lang w:val="en-US" w:eastAsia="zh-CN"/>
        </w:rPr>
        <w:t>3.2.5清标环节</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pPr>
        <w:widowControl/>
        <w:numPr>
          <w:ilvl w:val="0"/>
          <w:numId w:val="0"/>
        </w:numPr>
        <w:spacing w:beforeLines="0" w:line="560" w:lineRule="exact"/>
        <w:ind w:firstLine="560" w:firstLineChars="200"/>
        <w:jc w:val="both"/>
        <w:outlineLvl w:val="9"/>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szCs w:val="24"/>
          <w:lang w:val="en-US" w:eastAsia="zh-CN"/>
        </w:rPr>
        <w:t>（1）经评估，共18个（占比10%）项目未提供清标报告，</w:t>
      </w:r>
      <w:r>
        <w:rPr>
          <w:rFonts w:hint="eastAsia" w:ascii="仿宋_GB2312" w:hAnsi="仿宋_GB2312" w:eastAsia="仿宋_GB2312" w:cs="仿宋_GB2312"/>
          <w:sz w:val="28"/>
          <w:lang w:val="en-US" w:eastAsia="zh-CN"/>
        </w:rPr>
        <w:t>涉嫌违反</w:t>
      </w:r>
      <w:r>
        <w:rPr>
          <w:rFonts w:hint="eastAsia" w:ascii="仿宋_GB2312" w:hAnsi="仿宋_GB2312" w:eastAsia="仿宋_GB2312" w:cs="仿宋_GB2312"/>
          <w:sz w:val="28"/>
        </w:rPr>
        <w:t>《进一步完善建设工程招标投标制度的若干措施》</w:t>
      </w:r>
      <w:r>
        <w:rPr>
          <w:rFonts w:hint="eastAsia" w:ascii="仿宋_GB2312" w:hAnsi="仿宋_GB2312" w:eastAsia="仿宋_GB2312" w:cs="仿宋_GB2312"/>
          <w:sz w:val="28"/>
          <w:lang w:eastAsia="zh-CN"/>
        </w:rPr>
        <w:t>（</w:t>
      </w:r>
      <w:r>
        <w:rPr>
          <w:rFonts w:hint="eastAsia" w:ascii="仿宋_GB2312" w:hAnsi="仿宋_GB2312" w:eastAsia="仿宋_GB2312" w:cs="仿宋_GB2312"/>
          <w:i w:val="0"/>
          <w:iCs w:val="0"/>
          <w:caps w:val="0"/>
          <w:color w:val="auto"/>
          <w:spacing w:val="0"/>
          <w:sz w:val="28"/>
          <w:szCs w:val="24"/>
          <w:shd w:val="clear" w:fill="auto"/>
        </w:rPr>
        <w:t>深建规〔2020〕1号</w:t>
      </w:r>
      <w:r>
        <w:rPr>
          <w:rFonts w:hint="eastAsia" w:ascii="仿宋_GB2312" w:hAnsi="仿宋_GB2312" w:eastAsia="仿宋_GB2312" w:cs="仿宋_GB2312"/>
          <w:sz w:val="28"/>
          <w:lang w:eastAsia="zh-CN"/>
        </w:rPr>
        <w:t>）“</w:t>
      </w:r>
      <w:r>
        <w:rPr>
          <w:rFonts w:hint="eastAsia" w:ascii="仿宋_GB2312" w:hAnsi="仿宋_GB2312" w:eastAsia="仿宋_GB2312" w:cs="仿宋_GB2312"/>
          <w:sz w:val="28"/>
        </w:rPr>
        <w:t>第三十三条 清标工作完成后，招标人应当形成清标报告，作为定标的辅助</w:t>
      </w:r>
      <w:r>
        <w:rPr>
          <w:rFonts w:hint="eastAsia" w:ascii="仿宋_GB2312" w:hAnsi="仿宋_GB2312" w:eastAsia="仿宋_GB2312" w:cs="仿宋_GB2312"/>
          <w:sz w:val="28"/>
          <w:lang w:eastAsia="zh-CN"/>
        </w:rPr>
        <w:t>”的</w:t>
      </w:r>
      <w:r>
        <w:rPr>
          <w:rFonts w:hint="eastAsia" w:ascii="仿宋_GB2312" w:hAnsi="仿宋_GB2312" w:eastAsia="仿宋_GB2312" w:cs="仿宋_GB2312"/>
          <w:sz w:val="28"/>
          <w:lang w:val="en-US" w:eastAsia="zh-CN"/>
        </w:rPr>
        <w:t>规定。</w:t>
      </w:r>
    </w:p>
    <w:p>
      <w:pPr>
        <w:widowControl/>
        <w:numPr>
          <w:ilvl w:val="0"/>
          <w:numId w:val="0"/>
        </w:numPr>
        <w:spacing w:beforeLines="0" w:line="560" w:lineRule="exact"/>
        <w:ind w:firstLine="560" w:firstLineChars="200"/>
        <w:jc w:val="both"/>
        <w:outlineLvl w:val="9"/>
        <w:rPr>
          <w:rFonts w:hint="default"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例：某施工项目未提供清标报告。</w:t>
      </w:r>
    </w:p>
    <w:p>
      <w:pPr>
        <w:widowControl/>
        <w:numPr>
          <w:ilvl w:val="0"/>
          <w:numId w:val="0"/>
        </w:numPr>
        <w:spacing w:beforeLines="0" w:afterLines="-2147483648" w:line="560" w:lineRule="exact"/>
        <w:ind w:firstLine="560" w:firstLineChars="200"/>
        <w:jc w:val="both"/>
        <w:outlineLvl w:val="9"/>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sz w:val="28"/>
          <w:szCs w:val="24"/>
          <w:lang w:val="en-US" w:eastAsia="zh-CN"/>
        </w:rPr>
        <w:t>（2）经评估，共2个（占比1%）项目清标报告过于简单，容易导致定标环节“择优”准确度失真。</w:t>
      </w:r>
    </w:p>
    <w:p>
      <w:pPr>
        <w:widowControl/>
        <w:numPr>
          <w:ilvl w:val="0"/>
          <w:numId w:val="0"/>
        </w:numPr>
        <w:spacing w:beforeLines="0" w:line="560" w:lineRule="exact"/>
        <w:ind w:firstLine="560" w:firstLineChars="200"/>
        <w:jc w:val="both"/>
        <w:outlineLvl w:val="9"/>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sz w:val="28"/>
          <w:szCs w:val="24"/>
          <w:lang w:val="en-US" w:eastAsia="zh-CN"/>
        </w:rPr>
        <w:t>例：某设计施工一体化项目，清标报告择优项仅为建筑装修装饰工程专业承包分类分级等级，12家投标单位仅1家单位处于B级，其余11家单位处于A级及以上。</w:t>
      </w:r>
    </w:p>
    <w:p>
      <w:pPr>
        <w:widowControl/>
        <w:numPr>
          <w:ilvl w:val="0"/>
          <w:numId w:val="0"/>
        </w:numPr>
        <w:spacing w:beforeLines="0" w:line="560" w:lineRule="exact"/>
        <w:ind w:firstLine="560" w:firstLineChars="200"/>
        <w:jc w:val="both"/>
        <w:outlineLvl w:val="9"/>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sz w:val="28"/>
          <w:szCs w:val="24"/>
          <w:lang w:val="en-US" w:eastAsia="zh-CN"/>
        </w:rPr>
        <w:t>（3）经评估，共4个（占比2%）项目清标报告不符合招标文件要求。</w:t>
      </w:r>
    </w:p>
    <w:p>
      <w:pPr>
        <w:widowControl/>
        <w:numPr>
          <w:ilvl w:val="0"/>
          <w:numId w:val="0"/>
        </w:numPr>
        <w:spacing w:beforeLines="0" w:line="560" w:lineRule="exact"/>
        <w:ind w:firstLine="560" w:firstLineChars="200"/>
        <w:jc w:val="both"/>
        <w:outlineLvl w:val="9"/>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sz w:val="28"/>
          <w:szCs w:val="24"/>
          <w:lang w:val="en-US" w:eastAsia="zh-CN"/>
        </w:rPr>
        <w:t>例：某智能化项目招标文件资信标要求一览表同类工程业绩有关要求或说明：“提供近五年（从招标公告发布之日起倒算）投标人自认为最具代表性的同类智能化工程业绩（不超过10项），注明在建或已完工”，在该项目清标报告附件5投标人同类业绩及人员资历中，某投标人业绩数量摘录为14项，另一投标人业绩数量摘录为11项，其余投标人均为10项。</w:t>
      </w:r>
    </w:p>
    <w:p>
      <w:pPr>
        <w:pStyle w:val="4"/>
        <w:spacing w:before="0" w:beforeLines="0" w:line="500" w:lineRule="exact"/>
        <w:rPr>
          <w:rFonts w:hint="eastAsia" w:ascii="仿宋_GB2312" w:hAnsi="仿宋_GB2312" w:eastAsia="仿宋_GB2312" w:cs="仿宋_GB2312"/>
          <w:b w:val="0"/>
          <w:bCs w:val="0"/>
          <w:lang w:val="en-US" w:eastAsia="zh-CN"/>
        </w:rPr>
      </w:pPr>
      <w:bookmarkStart w:id="700" w:name="_Toc2774"/>
      <w:bookmarkStart w:id="701" w:name="_Toc14875"/>
      <w:bookmarkStart w:id="702" w:name="_Toc890"/>
      <w:bookmarkStart w:id="703" w:name="_Toc18925"/>
      <w:bookmarkStart w:id="704" w:name="_Toc23013"/>
      <w:bookmarkStart w:id="705" w:name="_Toc10904"/>
      <w:bookmarkStart w:id="706" w:name="_Toc23294"/>
      <w:bookmarkStart w:id="707" w:name="_Toc8437"/>
      <w:bookmarkStart w:id="708" w:name="_Toc23873"/>
      <w:bookmarkStart w:id="709" w:name="_Toc9491"/>
      <w:bookmarkStart w:id="710" w:name="_Toc23209"/>
      <w:bookmarkStart w:id="711" w:name="_Toc31668"/>
      <w:bookmarkStart w:id="712" w:name="_Toc58"/>
      <w:bookmarkStart w:id="713" w:name="_Toc23481"/>
      <w:bookmarkStart w:id="714" w:name="_Toc30895"/>
      <w:bookmarkStart w:id="715" w:name="_Toc24974"/>
      <w:bookmarkStart w:id="716" w:name="_Toc18691"/>
      <w:bookmarkStart w:id="717" w:name="_Toc30890"/>
      <w:bookmarkStart w:id="718" w:name="_Toc2412"/>
      <w:bookmarkStart w:id="719" w:name="_Toc18544"/>
      <w:bookmarkStart w:id="720" w:name="_Toc20106"/>
      <w:bookmarkStart w:id="721" w:name="_Toc11285"/>
      <w:bookmarkStart w:id="722" w:name="_Toc22686"/>
      <w:bookmarkStart w:id="723" w:name="_Toc26454"/>
      <w:bookmarkStart w:id="724" w:name="_Toc1891"/>
      <w:bookmarkStart w:id="725" w:name="_Toc13158"/>
      <w:bookmarkStart w:id="726" w:name="_Toc1791"/>
      <w:bookmarkStart w:id="727" w:name="_Toc5549"/>
      <w:r>
        <w:rPr>
          <w:rFonts w:hint="eastAsia" w:ascii="仿宋_GB2312" w:hAnsi="仿宋_GB2312" w:eastAsia="仿宋_GB2312" w:cs="仿宋_GB2312"/>
          <w:b w:val="0"/>
          <w:bCs w:val="0"/>
          <w:lang w:val="en-US" w:eastAsia="zh-CN"/>
        </w:rPr>
        <w:t>3.2.6定标环节</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pPr>
        <w:widowControl/>
        <w:numPr>
          <w:ilvl w:val="0"/>
          <w:numId w:val="0"/>
        </w:numPr>
        <w:spacing w:beforeLines="0" w:line="560" w:lineRule="exact"/>
        <w:ind w:firstLine="560" w:firstLineChars="200"/>
        <w:jc w:val="both"/>
        <w:outlineLvl w:val="9"/>
        <w:rPr>
          <w:rFonts w:hint="default" w:ascii="仿宋_GB2312" w:hAnsi="仿宋_GB2312" w:eastAsia="仿宋_GB2312" w:cs="仿宋_GB2312"/>
          <w:sz w:val="28"/>
          <w:szCs w:val="24"/>
          <w:lang w:val="en-US" w:eastAsia="zh-CN"/>
        </w:rPr>
      </w:pPr>
      <w:r>
        <w:rPr>
          <w:rFonts w:hint="eastAsia" w:ascii="仿宋_GB2312" w:hAnsi="仿宋_GB2312" w:eastAsia="仿宋_GB2312" w:cs="仿宋_GB2312"/>
          <w:sz w:val="28"/>
          <w:szCs w:val="24"/>
          <w:lang w:val="en-US" w:eastAsia="zh-CN"/>
        </w:rPr>
        <w:t>（1）经评估，共14个（占比8%）项目未提供项目定标方案，涉嫌违反《关于进一步完善建设工程招标投标制度的若干措施》（深建规〔2020〕1号）“在招标公告发布前，招标人应当结合项目实际，根据定标工作规则，制定项目定标方案”的规定。</w:t>
      </w:r>
    </w:p>
    <w:p>
      <w:pPr>
        <w:widowControl/>
        <w:numPr>
          <w:ilvl w:val="0"/>
          <w:numId w:val="0"/>
        </w:numPr>
        <w:spacing w:beforeLines="0" w:line="560" w:lineRule="exact"/>
        <w:ind w:firstLine="560" w:firstLineChars="200"/>
        <w:jc w:val="both"/>
        <w:outlineLvl w:val="9"/>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sz w:val="28"/>
          <w:szCs w:val="24"/>
          <w:lang w:val="en-US" w:eastAsia="zh-CN"/>
        </w:rPr>
        <w:t>例：某EPC项目未提供项目定标方案</w:t>
      </w:r>
      <w:r>
        <w:rPr>
          <w:rFonts w:hint="eastAsia" w:ascii="仿宋_GB2312" w:hAnsi="仿宋_GB2312" w:eastAsia="仿宋_GB2312" w:cs="仿宋_GB2312"/>
          <w:sz w:val="28"/>
          <w:szCs w:val="24"/>
          <w:lang w:eastAsia="zh-CN"/>
        </w:rPr>
        <w:t>。</w:t>
      </w:r>
    </w:p>
    <w:p>
      <w:pPr>
        <w:widowControl/>
        <w:numPr>
          <w:ilvl w:val="0"/>
          <w:numId w:val="0"/>
        </w:numPr>
        <w:spacing w:beforeLines="0" w:line="560" w:lineRule="exact"/>
        <w:ind w:firstLine="560" w:firstLineChars="200"/>
        <w:jc w:val="both"/>
        <w:outlineLvl w:val="9"/>
        <w:rPr>
          <w:rFonts w:hint="default" w:ascii="仿宋_GB2312" w:hAnsi="仿宋_GB2312" w:eastAsia="仿宋_GB2312" w:cs="仿宋_GB2312"/>
          <w:sz w:val="28"/>
          <w:szCs w:val="24"/>
          <w:lang w:val="en-US" w:eastAsia="zh-CN"/>
        </w:rPr>
      </w:pPr>
      <w:r>
        <w:rPr>
          <w:rFonts w:hint="eastAsia" w:ascii="仿宋_GB2312" w:hAnsi="仿宋_GB2312" w:eastAsia="仿宋_GB2312" w:cs="仿宋_GB2312"/>
          <w:sz w:val="28"/>
          <w:szCs w:val="24"/>
          <w:lang w:val="en-US" w:eastAsia="zh-CN"/>
        </w:rPr>
        <w:t>（2）经评估，共24个（占比13%）项目定标方案内容不全、择优顺序不明确，涉嫌违反《关于进一步完善建设工程招标投标制度的若干措施》（深建规〔2020〕1号）“项目定标方案应当对清标内容、定标操作细则、择优要素及优先级别等内容予以明确”的规定。</w:t>
      </w:r>
    </w:p>
    <w:p>
      <w:pPr>
        <w:widowControl/>
        <w:numPr>
          <w:ilvl w:val="0"/>
          <w:numId w:val="0"/>
        </w:numPr>
        <w:spacing w:beforeLines="0" w:afterLines="-2147483648" w:line="560" w:lineRule="exact"/>
        <w:ind w:firstLine="560" w:firstLineChars="200"/>
        <w:jc w:val="both"/>
        <w:outlineLvl w:val="9"/>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例：某施工总承包项目，</w:t>
      </w:r>
      <w:r>
        <w:rPr>
          <w:rFonts w:hint="eastAsia" w:ascii="仿宋_GB2312" w:hAnsi="仿宋_GB2312" w:eastAsia="仿宋_GB2312" w:cs="仿宋_GB2312"/>
          <w:sz w:val="28"/>
          <w:szCs w:val="24"/>
        </w:rPr>
        <w:t>定标方案</w:t>
      </w:r>
      <w:r>
        <w:rPr>
          <w:rFonts w:hint="eastAsia" w:ascii="仿宋_GB2312" w:hAnsi="仿宋_GB2312" w:eastAsia="仿宋_GB2312" w:cs="仿宋_GB2312"/>
          <w:sz w:val="28"/>
          <w:szCs w:val="24"/>
          <w:lang w:val="en-US" w:eastAsia="zh-CN"/>
        </w:rPr>
        <w:t>中未明确</w:t>
      </w:r>
      <w:r>
        <w:rPr>
          <w:rFonts w:hint="eastAsia" w:ascii="仿宋_GB2312" w:hAnsi="仿宋_GB2312" w:eastAsia="仿宋_GB2312" w:cs="仿宋_GB2312"/>
          <w:sz w:val="28"/>
          <w:szCs w:val="24"/>
        </w:rPr>
        <w:t>择优要素</w:t>
      </w:r>
      <w:r>
        <w:rPr>
          <w:rFonts w:hint="eastAsia" w:ascii="仿宋_GB2312" w:hAnsi="仿宋_GB2312" w:eastAsia="仿宋_GB2312" w:cs="仿宋_GB2312"/>
          <w:sz w:val="28"/>
          <w:szCs w:val="24"/>
          <w:highlight w:val="none"/>
        </w:rPr>
        <w:t>及优先级别</w:t>
      </w:r>
      <w:r>
        <w:rPr>
          <w:rFonts w:hint="eastAsia" w:ascii="仿宋_GB2312" w:hAnsi="仿宋_GB2312" w:eastAsia="仿宋_GB2312" w:cs="仿宋_GB2312"/>
          <w:sz w:val="28"/>
          <w:szCs w:val="24"/>
          <w:lang w:val="en-US" w:eastAsia="zh-CN"/>
        </w:rPr>
        <w:t>等</w:t>
      </w:r>
      <w:r>
        <w:rPr>
          <w:rFonts w:hint="eastAsia" w:ascii="仿宋_GB2312" w:hAnsi="仿宋_GB2312" w:eastAsia="仿宋_GB2312" w:cs="仿宋_GB2312"/>
          <w:sz w:val="28"/>
          <w:szCs w:val="24"/>
        </w:rPr>
        <w:t>内容。</w:t>
      </w:r>
    </w:p>
    <w:p>
      <w:pPr>
        <w:pStyle w:val="4"/>
        <w:spacing w:before="0" w:beforeLines="0" w:line="500" w:lineRule="exact"/>
        <w:rPr>
          <w:rFonts w:hint="eastAsia" w:ascii="仿宋_GB2312" w:hAnsi="仿宋_GB2312" w:eastAsia="仿宋_GB2312" w:cs="仿宋_GB2312"/>
          <w:b w:val="0"/>
          <w:bCs w:val="0"/>
          <w:lang w:val="en-US" w:eastAsia="zh-CN"/>
        </w:rPr>
      </w:pPr>
      <w:bookmarkStart w:id="728" w:name="_Toc15938"/>
      <w:bookmarkStart w:id="729" w:name="_Toc17723"/>
      <w:bookmarkStart w:id="730" w:name="_Toc1427"/>
      <w:bookmarkStart w:id="731" w:name="_Toc2695"/>
      <w:bookmarkStart w:id="732" w:name="_Toc3437"/>
      <w:bookmarkStart w:id="733" w:name="_Toc8065"/>
      <w:bookmarkStart w:id="734" w:name="_Toc2075"/>
      <w:bookmarkStart w:id="735" w:name="_Toc7098"/>
      <w:bookmarkStart w:id="736" w:name="_Toc22117"/>
      <w:bookmarkStart w:id="737" w:name="_Toc1812"/>
      <w:bookmarkStart w:id="738" w:name="_Toc25977"/>
      <w:bookmarkStart w:id="739" w:name="_Toc2367"/>
      <w:bookmarkStart w:id="740" w:name="_Toc13566"/>
      <w:bookmarkStart w:id="741" w:name="_Toc18874"/>
      <w:bookmarkStart w:id="742" w:name="_Toc6653"/>
      <w:bookmarkStart w:id="743" w:name="_Toc7193"/>
      <w:bookmarkStart w:id="744" w:name="_Toc7722"/>
      <w:bookmarkStart w:id="745" w:name="_Toc20574"/>
      <w:bookmarkStart w:id="746" w:name="_Toc8285"/>
      <w:bookmarkStart w:id="747" w:name="_Toc13377"/>
      <w:bookmarkStart w:id="748" w:name="_Toc5787"/>
      <w:bookmarkStart w:id="749" w:name="_Toc24541"/>
      <w:bookmarkStart w:id="750" w:name="_Toc23059"/>
      <w:bookmarkStart w:id="751" w:name="_Toc21669"/>
      <w:bookmarkStart w:id="752" w:name="_Toc3153"/>
      <w:bookmarkStart w:id="753" w:name="_Toc11601"/>
      <w:bookmarkStart w:id="754" w:name="_Toc12150"/>
      <w:bookmarkStart w:id="755" w:name="_Toc780"/>
      <w:r>
        <w:rPr>
          <w:rFonts w:hint="eastAsia" w:ascii="仿宋_GB2312" w:hAnsi="仿宋_GB2312" w:eastAsia="仿宋_GB2312" w:cs="仿宋_GB2312"/>
          <w:b w:val="0"/>
          <w:bCs w:val="0"/>
          <w:lang w:val="en-US" w:eastAsia="zh-CN"/>
        </w:rPr>
        <w:t>3.2.7异常情况</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pPr>
        <w:widowControl/>
        <w:numPr>
          <w:ilvl w:val="0"/>
          <w:numId w:val="0"/>
        </w:numPr>
        <w:spacing w:beforeLines="0" w:afterLines="-2147483648" w:line="560" w:lineRule="exact"/>
        <w:ind w:firstLine="560" w:firstLineChars="200"/>
        <w:jc w:val="both"/>
        <w:outlineLvl w:val="9"/>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sz w:val="28"/>
          <w:szCs w:val="24"/>
          <w:lang w:val="en-US" w:eastAsia="zh-CN"/>
        </w:rPr>
        <w:t>经评估，共18个（占比10%）项目出现异议投诉情况，均已回复处理，异议处理过程未发现问题。</w:t>
      </w:r>
    </w:p>
    <w:p>
      <w:pPr>
        <w:pStyle w:val="4"/>
        <w:spacing w:before="0" w:beforeLines="0" w:line="500" w:lineRule="exact"/>
        <w:rPr>
          <w:rFonts w:hint="eastAsia" w:ascii="仿宋_GB2312" w:hAnsi="仿宋_GB2312" w:eastAsia="仿宋_GB2312" w:cs="仿宋_GB2312"/>
          <w:b w:val="0"/>
          <w:bCs w:val="0"/>
          <w:lang w:val="en-US" w:eastAsia="zh-CN"/>
        </w:rPr>
      </w:pPr>
      <w:bookmarkStart w:id="756" w:name="_Toc13091"/>
      <w:bookmarkStart w:id="757" w:name="_Toc26530"/>
      <w:bookmarkStart w:id="758" w:name="_Toc20066"/>
      <w:bookmarkStart w:id="759" w:name="_Toc8837"/>
      <w:bookmarkStart w:id="760" w:name="_Toc5574"/>
      <w:bookmarkStart w:id="761" w:name="_Toc288"/>
      <w:bookmarkStart w:id="762" w:name="_Toc6676"/>
      <w:bookmarkStart w:id="763" w:name="_Toc21694"/>
      <w:bookmarkStart w:id="764" w:name="_Toc3515"/>
      <w:bookmarkStart w:id="765" w:name="_Toc6608"/>
      <w:bookmarkStart w:id="766" w:name="_Toc25411"/>
      <w:bookmarkStart w:id="767" w:name="_Toc23799"/>
      <w:bookmarkStart w:id="768" w:name="_Toc28016"/>
      <w:bookmarkStart w:id="769" w:name="_Toc12373"/>
      <w:bookmarkStart w:id="770" w:name="_Toc27225"/>
      <w:bookmarkStart w:id="771" w:name="_Toc6407"/>
      <w:bookmarkStart w:id="772" w:name="_Toc19883"/>
      <w:bookmarkStart w:id="773" w:name="_Toc20116"/>
      <w:bookmarkStart w:id="774" w:name="_Toc31948"/>
      <w:bookmarkStart w:id="775" w:name="_Toc19959"/>
      <w:bookmarkStart w:id="776" w:name="_Toc23410"/>
      <w:bookmarkStart w:id="777" w:name="_Toc18952"/>
      <w:bookmarkStart w:id="778" w:name="_Toc3255"/>
      <w:bookmarkStart w:id="779" w:name="_Toc31736"/>
      <w:bookmarkStart w:id="780" w:name="_Toc9289"/>
      <w:bookmarkStart w:id="781" w:name="_Toc5433"/>
      <w:bookmarkStart w:id="782" w:name="_Toc12719"/>
      <w:bookmarkStart w:id="783" w:name="_Toc26914"/>
      <w:r>
        <w:rPr>
          <w:rFonts w:hint="eastAsia" w:ascii="仿宋_GB2312" w:hAnsi="仿宋_GB2312" w:eastAsia="仿宋_GB2312" w:cs="仿宋_GB2312"/>
          <w:b w:val="0"/>
          <w:bCs w:val="0"/>
          <w:lang w:val="en-US" w:eastAsia="zh-CN"/>
        </w:rPr>
        <w:t>3.2.8</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r>
        <w:rPr>
          <w:rFonts w:hint="eastAsia" w:ascii="仿宋_GB2312" w:hAnsi="仿宋_GB2312" w:eastAsia="仿宋_GB2312" w:cs="仿宋_GB2312"/>
          <w:b w:val="0"/>
          <w:bCs w:val="0"/>
          <w:lang w:val="en-US" w:eastAsia="zh-CN"/>
        </w:rPr>
        <w:t>履约评价</w:t>
      </w:r>
      <w:bookmarkEnd w:id="778"/>
      <w:bookmarkEnd w:id="779"/>
      <w:bookmarkEnd w:id="780"/>
      <w:bookmarkEnd w:id="781"/>
      <w:bookmarkEnd w:id="782"/>
      <w:bookmarkEnd w:id="783"/>
    </w:p>
    <w:p>
      <w:pPr>
        <w:widowControl/>
        <w:numPr>
          <w:ilvl w:val="0"/>
          <w:numId w:val="0"/>
        </w:numPr>
        <w:spacing w:beforeLines="0" w:afterLines="-2147483648" w:line="560" w:lineRule="exact"/>
        <w:ind w:firstLine="560" w:firstLineChars="200"/>
        <w:jc w:val="both"/>
        <w:outlineLvl w:val="9"/>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sz w:val="28"/>
          <w:szCs w:val="24"/>
          <w:lang w:val="en-US" w:eastAsia="zh-CN"/>
        </w:rPr>
        <w:t>经评估，共101个（占比56%）项目无履约评价，未落实《深圳市建设工程承包商履约评价管理办法》（深建规〔2021〕13号）“</w:t>
      </w:r>
      <w:r>
        <w:rPr>
          <w:rFonts w:hint="eastAsia" w:ascii="仿宋_GB2312" w:hAnsi="仿宋_GB2312" w:eastAsia="仿宋_GB2312" w:cs="仿宋_GB2312"/>
          <w:sz w:val="28"/>
          <w:szCs w:val="24"/>
        </w:rPr>
        <w:t xml:space="preserve"> （三）年度履约评价应当于次年3月底前完成</w:t>
      </w:r>
      <w:r>
        <w:rPr>
          <w:rFonts w:hint="eastAsia" w:ascii="仿宋_GB2312" w:hAnsi="仿宋_GB2312" w:eastAsia="仿宋_GB2312" w:cs="仿宋_GB2312"/>
          <w:sz w:val="28"/>
          <w:szCs w:val="24"/>
          <w:lang w:val="en-US" w:eastAsia="zh-CN"/>
        </w:rPr>
        <w:t>”的规定。</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line="500" w:lineRule="exact"/>
        <w:ind w:firstLine="560" w:firstLineChars="200"/>
        <w:textAlignment w:val="auto"/>
        <w:rPr>
          <w:rFonts w:hint="eastAsia" w:ascii="仿宋_GB2312" w:hAnsi="仿宋_GB2312" w:eastAsia="仿宋_GB2312" w:cs="仿宋_GB2312"/>
          <w:b w:val="0"/>
          <w:bCs w:val="0"/>
          <w:sz w:val="28"/>
          <w:szCs w:val="28"/>
          <w:lang w:val="en-US" w:eastAsia="zh-CN"/>
        </w:rPr>
      </w:pPr>
      <w:bookmarkStart w:id="784" w:name="_Toc21723"/>
      <w:bookmarkStart w:id="785" w:name="_Toc20599"/>
      <w:bookmarkStart w:id="786" w:name="_Toc3541"/>
      <w:bookmarkStart w:id="787" w:name="_Toc13629"/>
      <w:bookmarkStart w:id="788" w:name="_Toc15"/>
      <w:bookmarkStart w:id="789" w:name="_Toc9793"/>
      <w:bookmarkStart w:id="790" w:name="_Toc10263"/>
      <w:bookmarkStart w:id="791" w:name="_Toc15287"/>
      <w:bookmarkStart w:id="792" w:name="_Toc27449"/>
      <w:bookmarkStart w:id="793" w:name="_Toc1457"/>
      <w:bookmarkStart w:id="794" w:name="_Toc14331"/>
      <w:bookmarkStart w:id="795" w:name="_Toc22940"/>
      <w:bookmarkStart w:id="796" w:name="_Toc12013"/>
      <w:r>
        <w:rPr>
          <w:rFonts w:hint="eastAsia" w:ascii="仿宋_GB2312" w:hAnsi="仿宋_GB2312" w:eastAsia="仿宋_GB2312" w:cs="仿宋_GB2312"/>
          <w:b w:val="0"/>
          <w:bCs w:val="0"/>
          <w:lang w:val="en-US" w:eastAsia="zh-CN"/>
        </w:rPr>
        <w:t>3.2.9合同核查</w:t>
      </w:r>
      <w:bookmarkEnd w:id="784"/>
      <w:bookmarkEnd w:id="785"/>
      <w:bookmarkEnd w:id="786"/>
      <w:bookmarkEnd w:id="787"/>
      <w:bookmarkEnd w:id="788"/>
      <w:bookmarkEnd w:id="789"/>
      <w:bookmarkEnd w:id="790"/>
      <w:bookmarkEnd w:id="791"/>
      <w:bookmarkEnd w:id="792"/>
      <w:bookmarkEnd w:id="793"/>
      <w:bookmarkEnd w:id="794"/>
      <w:bookmarkEnd w:id="795"/>
      <w:bookmarkEnd w:id="796"/>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color w:val="auto"/>
          <w:sz w:val="28"/>
          <w:szCs w:val="28"/>
          <w:highlight w:val="none"/>
          <w:lang w:val="en-US" w:eastAsia="zh-CN"/>
        </w:rPr>
        <w:t>合同条款合法性</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经评估，共3个（占比2%）项目人材机调差约定不一致。涉嫌违反《中华人民共和国招标投标法》“招标人和中标人应当按照招标文件和中标人的投标文件订立书面合同，不得订立背离合同实质性内容的其他协议”的规定。</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例：某幕墙工程项目招标文件中人材机调差约定为：“铝型材和玻璃调差，人工、机械均不调差”。签订合同约定为：“人工、铝型材、钢材和玻璃调差，其余工料机均不调差。</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经评估，共1个（占比1%）项目奖励约定不一致。涉嫌违反《中华人民共和国招标投标法》“招标人和中标人应当按照招标文件和中标人的投标文件订立书面合同，不得订立背离合同实质性内容的其他协议”的规定。</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例：某EPC项目在招标文件中约定：“获得“深圳市建设工程安全生产与文明施工优良工地”，奖30万元； 未获得“深圳市建设工程安全生产与文明施工优良工地”，罚款30万元，直接在结算款中扣除”。签订合同无该项奖励条款。 </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经评估，共7个（占比4%）项目违约约定不一致。涉嫌违反《中华人民共和国招标投标法》“招标人和中标人应当按照招标文件和中标人的投标文件订立书面合同，不得订立背离合同实质性内容的其他协议”的规定。</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例1：某精装修项目招标文件约定：“承包人的项目经理与投标文件的承诺不一致，或项目经理未及时到位，或同时兼任承包人其它工程项目的项目经理的，承包人应向发包人支付违约金每次合同价的</w:t>
      </w:r>
      <w:r>
        <w:rPr>
          <w:rFonts w:hint="eastAsia" w:ascii="仿宋_GB2312" w:hAnsi="仿宋_GB2312" w:eastAsia="仿宋_GB2312" w:cs="仿宋_GB2312"/>
          <w:b/>
          <w:bCs/>
          <w:sz w:val="28"/>
          <w:szCs w:val="28"/>
          <w:lang w:val="en-US" w:eastAsia="zh-CN"/>
        </w:rPr>
        <w:t xml:space="preserve"> 1%</w:t>
      </w:r>
      <w:r>
        <w:rPr>
          <w:rFonts w:hint="eastAsia" w:ascii="仿宋_GB2312" w:hAnsi="仿宋_GB2312" w:eastAsia="仿宋_GB2312" w:cs="仿宋_GB2312"/>
          <w:b w:val="0"/>
          <w:bCs w:val="0"/>
          <w:sz w:val="28"/>
          <w:szCs w:val="28"/>
          <w:lang w:val="en-US" w:eastAsia="zh-CN"/>
        </w:rPr>
        <w:t>标准”。签订合同约定：“承包人的项目经理与投标文件的承诺不一致，或项目经理未及时到位，或同时兼任承包人其它工程项目的项目经理的，承包人应向发包人支付违约金每次合同价的</w:t>
      </w:r>
      <w:r>
        <w:rPr>
          <w:rFonts w:hint="eastAsia" w:ascii="仿宋_GB2312" w:hAnsi="仿宋_GB2312" w:eastAsia="仿宋_GB2312" w:cs="仿宋_GB2312"/>
          <w:b/>
          <w:bCs/>
          <w:sz w:val="28"/>
          <w:szCs w:val="28"/>
          <w:lang w:val="en-US" w:eastAsia="zh-CN"/>
        </w:rPr>
        <w:t>0.1%</w:t>
      </w:r>
      <w:r>
        <w:rPr>
          <w:rFonts w:hint="eastAsia" w:ascii="仿宋_GB2312" w:hAnsi="仿宋_GB2312" w:eastAsia="仿宋_GB2312" w:cs="仿宋_GB2312"/>
          <w:b w:val="0"/>
          <w:bCs w:val="0"/>
          <w:sz w:val="28"/>
          <w:szCs w:val="28"/>
          <w:lang w:val="en-US" w:eastAsia="zh-CN"/>
        </w:rPr>
        <w:t>标准”。</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例2：某勘察项目招标文件约定：“合同签订后，因甲方原因导致合同终止或解除的，乙方未进入现场工作前，甲方向乙方偿付合同价款的30%”。签订合同约定：“合同签订后，因甲方原因导致合同终止或解除的，乙方未进入现场工作前，甲方无需向乙方支付任何费用”。</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经评估，共7个（占比4%）项目存在投标承诺工期与合同签订工期不一致情形。涉嫌违反《中华人民共和国招标投标法》“招标人和中标人应当按照招标文件和中标人的投标文件订立书面合同，不得订立背离合同实质性内容的其他协议”的规定。</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例1：</w:t>
      </w:r>
      <w:r>
        <w:rPr>
          <w:rFonts w:hint="eastAsia" w:ascii="仿宋_GB2312" w:hAnsi="仿宋_GB2312" w:eastAsia="仿宋_GB2312" w:cs="仿宋_GB2312"/>
          <w:sz w:val="28"/>
          <w:szCs w:val="28"/>
          <w:lang w:eastAsia="zh-CN"/>
        </w:rPr>
        <w:t>某施工项目</w:t>
      </w:r>
      <w:r>
        <w:rPr>
          <w:rFonts w:hint="eastAsia" w:ascii="仿宋_GB2312" w:hAnsi="仿宋_GB2312" w:eastAsia="仿宋_GB2312" w:cs="仿宋_GB2312"/>
          <w:b w:val="0"/>
          <w:bCs w:val="0"/>
          <w:sz w:val="28"/>
          <w:szCs w:val="28"/>
          <w:lang w:val="en-US" w:eastAsia="zh-CN"/>
        </w:rPr>
        <w:t>中标人响应工期为415天，签订合同工期为427天。</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例2：某施工总承包项目中标人响应工期为669天，签订合同工期为678天。</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（5）经评估，共15个（占比8%）项目存在合同逾期签订情形，涉嫌违反《中华人民共和国招标投标法》“</w:t>
      </w:r>
      <w:r>
        <w:rPr>
          <w:rFonts w:hint="eastAsia" w:ascii="仿宋_GB2312" w:hAnsi="仿宋_GB2312" w:eastAsia="仿宋_GB2312" w:cs="仿宋_GB2312"/>
          <w:b/>
          <w:bCs/>
          <w:sz w:val="28"/>
          <w:szCs w:val="28"/>
          <w:lang w:val="en-US" w:eastAsia="zh-CN"/>
        </w:rPr>
        <w:t>招标人和中标人应当自中标通知书发出之日起三十日内，按照招标文件和中标人的投标文件订立书面合同</w:t>
      </w:r>
      <w:r>
        <w:rPr>
          <w:rFonts w:hint="eastAsia" w:ascii="仿宋_GB2312" w:hAnsi="仿宋_GB2312" w:eastAsia="仿宋_GB2312" w:cs="仿宋_GB2312"/>
          <w:b w:val="0"/>
          <w:bCs w:val="0"/>
          <w:sz w:val="28"/>
          <w:szCs w:val="28"/>
          <w:lang w:val="en-US" w:eastAsia="zh-CN"/>
        </w:rPr>
        <w:t>”的规定。</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line="560" w:lineRule="exact"/>
        <w:ind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lang w:val="en-US" w:eastAsia="zh-CN"/>
        </w:rPr>
        <w:t>例1：</w:t>
      </w:r>
      <w:r>
        <w:rPr>
          <w:rFonts w:hint="eastAsia" w:ascii="仿宋_GB2312" w:hAnsi="仿宋_GB2312" w:eastAsia="仿宋_GB2312" w:cs="仿宋_GB2312"/>
          <w:sz w:val="28"/>
          <w:szCs w:val="28"/>
          <w:lang w:eastAsia="zh-CN"/>
        </w:rPr>
        <w:t>某设计</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中标通知书</w:t>
      </w:r>
      <w:r>
        <w:rPr>
          <w:rFonts w:hint="eastAsia" w:ascii="仿宋_GB2312" w:hAnsi="仿宋_GB2312" w:eastAsia="仿宋_GB2312" w:cs="仿宋_GB2312"/>
          <w:sz w:val="28"/>
          <w:szCs w:val="28"/>
          <w:lang w:val="en-US" w:eastAsia="zh-CN"/>
        </w:rPr>
        <w:t>时间为2021年</w:t>
      </w:r>
      <w:r>
        <w:rPr>
          <w:rFonts w:hint="eastAsia" w:ascii="仿宋_GB2312" w:hAnsi="仿宋_GB2312" w:eastAsia="仿宋_GB2312" w:cs="仿宋_GB2312"/>
          <w:sz w:val="28"/>
          <w:szCs w:val="28"/>
        </w:rPr>
        <w:t>4月6日</w:t>
      </w:r>
      <w:r>
        <w:rPr>
          <w:rFonts w:hint="eastAsia" w:ascii="仿宋_GB2312" w:hAnsi="仿宋_GB2312" w:eastAsia="仿宋_GB2312" w:cs="仿宋_GB2312"/>
          <w:sz w:val="28"/>
          <w:szCs w:val="28"/>
          <w:lang w:val="en-US" w:eastAsia="zh-CN"/>
        </w:rPr>
        <w:t>，合同于2021年</w:t>
      </w:r>
      <w:r>
        <w:rPr>
          <w:rFonts w:hint="eastAsia" w:ascii="仿宋_GB2312" w:hAnsi="仿宋_GB2312" w:eastAsia="仿宋_GB2312" w:cs="仿宋_GB2312"/>
          <w:sz w:val="28"/>
          <w:szCs w:val="28"/>
        </w:rPr>
        <w:t>12月31日</w:t>
      </w:r>
      <w:r>
        <w:rPr>
          <w:rFonts w:hint="eastAsia" w:ascii="仿宋_GB2312" w:hAnsi="仿宋_GB2312" w:eastAsia="仿宋_GB2312" w:cs="仿宋_GB2312"/>
          <w:sz w:val="28"/>
          <w:szCs w:val="28"/>
          <w:lang w:val="en-US" w:eastAsia="zh-CN"/>
        </w:rPr>
        <w:t>订立</w:t>
      </w:r>
      <w:r>
        <w:rPr>
          <w:rFonts w:hint="eastAsia" w:ascii="仿宋_GB2312" w:hAnsi="仿宋_GB2312" w:eastAsia="仿宋_GB2312" w:cs="仿宋_GB2312"/>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例2：某施工项目</w:t>
      </w:r>
      <w:r>
        <w:rPr>
          <w:rFonts w:hint="eastAsia" w:ascii="仿宋_GB2312" w:hAnsi="仿宋_GB2312" w:eastAsia="仿宋_GB2312" w:cs="仿宋_GB2312"/>
          <w:b w:val="0"/>
          <w:bCs w:val="0"/>
          <w:color w:val="auto"/>
          <w:kern w:val="2"/>
          <w:sz w:val="28"/>
          <w:szCs w:val="28"/>
          <w:highlight w:val="none"/>
          <w:lang w:val="en-US" w:eastAsia="zh-CN" w:bidi="ar-SA"/>
        </w:rPr>
        <w:t>中标通知书时间为2021年12月16日，合同于2022年1月26日订立。</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w:t>
      </w:r>
      <w:r>
        <w:rPr>
          <w:rFonts w:hint="eastAsia" w:ascii="仿宋_GB2312" w:hAnsi="仿宋_GB2312" w:eastAsia="仿宋_GB2312" w:cs="仿宋_GB2312"/>
          <w:b w:val="0"/>
          <w:bCs w:val="0"/>
          <w:color w:val="auto"/>
          <w:sz w:val="28"/>
          <w:szCs w:val="28"/>
          <w:highlight w:val="none"/>
          <w:lang w:val="en-US" w:eastAsia="zh-CN"/>
        </w:rPr>
        <w:t>合同条款规范性</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（1）经评估，共12个（占比7%）项目指定少于3家的工程材料设备生产厂、供应商。涉嫌违反《关于建设工程招标投标改革的若干规定》</w:t>
      </w:r>
      <w:r>
        <w:rPr>
          <w:rFonts w:hint="eastAsia" w:ascii="仿宋_GB2312" w:hAnsi="仿宋_GB2312" w:eastAsia="仿宋_GB2312" w:cs="仿宋_GB2312"/>
          <w:sz w:val="28"/>
          <w:szCs w:val="28"/>
          <w:lang w:val="en-US" w:eastAsia="zh-CN"/>
        </w:rPr>
        <w:t>（深府〔2015〕73号）“</w:t>
      </w:r>
      <w:r>
        <w:rPr>
          <w:rFonts w:hint="eastAsia" w:ascii="仿宋_GB2312" w:hAnsi="仿宋_GB2312" w:eastAsia="仿宋_GB2312" w:cs="仿宋_GB2312"/>
          <w:b/>
          <w:bCs/>
          <w:sz w:val="28"/>
          <w:szCs w:val="28"/>
          <w:lang w:val="en-US" w:eastAsia="zh-CN"/>
        </w:rPr>
        <w:t>属于承包人自行采购的主要材料、设备，招标人应当在招标文件中提出材料、设备的技术标准或者质量要求，或者提供不少于3个品牌进行选择</w:t>
      </w:r>
      <w:r>
        <w:rPr>
          <w:rFonts w:hint="eastAsia" w:ascii="仿宋_GB2312" w:hAnsi="仿宋_GB2312" w:eastAsia="仿宋_GB2312" w:cs="仿宋_GB2312"/>
          <w:sz w:val="28"/>
          <w:szCs w:val="28"/>
          <w:lang w:val="en-US" w:eastAsia="zh-CN"/>
        </w:rPr>
        <w:t>”的规定。</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例1:某EPC项目材料设备品牌范围约定：内墙涂料：多乐士、立邦；UPS电池：松下、阳光；音频矩阵：百威、EXTRON。</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例2：某智能化项目材料设备品牌范围约定：有线电视系统：迈威、天威视讯。</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 w:val="0"/>
          <w:bCs w:val="0"/>
          <w:sz w:val="28"/>
          <w:szCs w:val="28"/>
          <w:lang w:val="en-US" w:eastAsia="zh-CN"/>
        </w:rPr>
        <w:t>经评估，共83个（占比46%）项目要求履约担保，未提供支付担保。涉嫌违反《深圳市住房和建设局关于严格落实工程款支付担保制度及保障农民工工资足额支付工作的通知》（深建市场〔2021〕16号）“</w:t>
      </w:r>
      <w:r>
        <w:rPr>
          <w:rFonts w:hint="eastAsia" w:ascii="仿宋_GB2312" w:hAnsi="仿宋_GB2312" w:eastAsia="仿宋_GB2312" w:cs="仿宋_GB2312"/>
          <w:b/>
          <w:bCs/>
          <w:sz w:val="28"/>
          <w:szCs w:val="28"/>
          <w:lang w:val="en-US" w:eastAsia="zh-CN"/>
        </w:rPr>
        <w:t>建设单位应严格落实工程款支付担保制度，向施工单位提供工程款支付担保</w:t>
      </w:r>
      <w:r>
        <w:rPr>
          <w:rFonts w:hint="eastAsia" w:ascii="仿宋_GB2312" w:hAnsi="仿宋_GB2312" w:eastAsia="仿宋_GB2312" w:cs="仿宋_GB2312"/>
          <w:b w:val="0"/>
          <w:bCs w:val="0"/>
          <w:sz w:val="28"/>
          <w:szCs w:val="28"/>
          <w:lang w:val="en-US" w:eastAsia="zh-CN"/>
        </w:rPr>
        <w:t>”以及《工程建设项目货物招标投标办法》“</w:t>
      </w:r>
      <w:r>
        <w:rPr>
          <w:rFonts w:hint="eastAsia" w:ascii="仿宋_GB2312" w:hAnsi="仿宋_GB2312" w:eastAsia="仿宋_GB2312" w:cs="仿宋_GB2312"/>
          <w:b/>
          <w:bCs/>
          <w:sz w:val="28"/>
          <w:szCs w:val="28"/>
          <w:lang w:val="en-US" w:eastAsia="zh-CN"/>
        </w:rPr>
        <w:t>招标人要求中标人提供履约保证金或其他形式履约担保的，招标人应当同时向中标人提供货物款支付担保</w:t>
      </w:r>
      <w:r>
        <w:rPr>
          <w:rFonts w:hint="eastAsia" w:ascii="仿宋_GB2312" w:hAnsi="仿宋_GB2312" w:eastAsia="仿宋_GB2312" w:cs="仿宋_GB2312"/>
          <w:b w:val="0"/>
          <w:bCs w:val="0"/>
          <w:sz w:val="28"/>
          <w:szCs w:val="28"/>
          <w:lang w:val="en-US" w:eastAsia="zh-CN"/>
        </w:rPr>
        <w:t>”的规定。</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例1：某装修项目要求履约担保，但不提供支付担保。</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例2：某采购及安装项目要求履约担保，但不提供支付担保。</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（3）经评估，共1个（占比1%）项目保证金预留比例高于工程价款结算总额的3%，</w:t>
      </w:r>
      <w:r>
        <w:rPr>
          <w:rFonts w:hint="eastAsia" w:ascii="仿宋_GB2312" w:hAnsi="仿宋_GB2312" w:eastAsia="仿宋_GB2312" w:cs="仿宋_GB2312"/>
          <w:b w:val="0"/>
          <w:bCs w:val="0"/>
          <w:color w:val="auto"/>
          <w:sz w:val="28"/>
          <w:szCs w:val="28"/>
          <w:highlight w:val="none"/>
          <w:lang w:val="en-US" w:eastAsia="zh-CN"/>
        </w:rPr>
        <w:t>涉嫌违反《</w:t>
      </w:r>
      <w:r>
        <w:rPr>
          <w:rFonts w:hint="eastAsia" w:ascii="仿宋_GB2312" w:hAnsi="仿宋_GB2312" w:eastAsia="仿宋_GB2312" w:cs="仿宋_GB2312"/>
          <w:b w:val="0"/>
          <w:bCs w:val="0"/>
          <w:sz w:val="28"/>
          <w:szCs w:val="28"/>
          <w:lang w:val="en-US" w:eastAsia="zh-CN"/>
        </w:rPr>
        <w:t>建设工程质量保证金管理办法》（建质</w:t>
      </w:r>
      <w:r>
        <w:rPr>
          <w:rFonts w:hint="eastAsia" w:ascii="仿宋_GB2312" w:hAnsi="仿宋_GB2312" w:eastAsia="仿宋_GB2312" w:cs="仿宋_GB2312"/>
          <w:i w:val="0"/>
          <w:iCs w:val="0"/>
          <w:caps w:val="0"/>
          <w:spacing w:val="0"/>
          <w:sz w:val="28"/>
          <w:szCs w:val="28"/>
          <w:shd w:val="clear"/>
        </w:rPr>
        <w:t>〔</w:t>
      </w:r>
      <w:r>
        <w:rPr>
          <w:rFonts w:hint="eastAsia" w:ascii="仿宋_GB2312" w:hAnsi="仿宋_GB2312" w:eastAsia="仿宋_GB2312" w:cs="仿宋_GB2312"/>
          <w:i w:val="0"/>
          <w:iCs w:val="0"/>
          <w:caps w:val="0"/>
          <w:spacing w:val="0"/>
          <w:sz w:val="28"/>
          <w:szCs w:val="28"/>
          <w:shd w:val="clear"/>
          <w:lang w:val="en-US" w:eastAsia="zh-CN"/>
        </w:rPr>
        <w:t>2017</w:t>
      </w:r>
      <w:r>
        <w:rPr>
          <w:rFonts w:hint="eastAsia" w:ascii="仿宋_GB2312" w:hAnsi="仿宋_GB2312" w:eastAsia="仿宋_GB2312" w:cs="仿宋_GB2312"/>
          <w:i w:val="0"/>
          <w:iCs w:val="0"/>
          <w:caps w:val="0"/>
          <w:spacing w:val="0"/>
          <w:sz w:val="28"/>
          <w:szCs w:val="28"/>
          <w:shd w:val="clear"/>
        </w:rPr>
        <w:t>〕</w:t>
      </w:r>
      <w:r>
        <w:rPr>
          <w:rFonts w:hint="eastAsia" w:ascii="仿宋_GB2312" w:hAnsi="仿宋_GB2312" w:eastAsia="仿宋_GB2312" w:cs="仿宋_GB2312"/>
          <w:i w:val="0"/>
          <w:iCs w:val="0"/>
          <w:caps w:val="0"/>
          <w:spacing w:val="0"/>
          <w:sz w:val="28"/>
          <w:szCs w:val="28"/>
          <w:shd w:val="clear"/>
          <w:lang w:val="en-US" w:eastAsia="zh-CN"/>
        </w:rPr>
        <w:t>138）</w:t>
      </w:r>
      <w:r>
        <w:rPr>
          <w:rFonts w:hint="eastAsia" w:ascii="仿宋_GB2312" w:hAnsi="仿宋_GB2312" w:eastAsia="仿宋_GB2312" w:cs="仿宋_GB2312"/>
          <w:b/>
          <w:bCs/>
          <w:sz w:val="28"/>
          <w:szCs w:val="28"/>
          <w:lang w:val="en-US" w:eastAsia="zh-CN"/>
        </w:rPr>
        <w:t>“发包人应按照合同约定方式预留保证金，保证金总预留比例不得高于工程价款结算总额的3%。合同约定由承包人以银行保函替代预留保证金的，保函金额不得高于工程价款结算总额的3%</w:t>
      </w:r>
      <w:r>
        <w:rPr>
          <w:rFonts w:hint="eastAsia" w:ascii="仿宋_GB2312" w:hAnsi="仿宋_GB2312" w:eastAsia="仿宋_GB2312" w:cs="仿宋_GB2312"/>
          <w:b w:val="0"/>
          <w:bCs w:val="0"/>
          <w:sz w:val="28"/>
          <w:szCs w:val="28"/>
          <w:lang w:val="en-US" w:eastAsia="zh-CN"/>
        </w:rPr>
        <w:t>”的规定。</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color w:val="auto"/>
          <w:sz w:val="28"/>
          <w:szCs w:val="28"/>
          <w:highlight w:val="none"/>
          <w:lang w:val="en-US" w:eastAsia="zh-CN"/>
        </w:rPr>
        <w:t>例：某幕墙工程项目</w:t>
      </w:r>
      <w:r>
        <w:rPr>
          <w:rFonts w:hint="eastAsia" w:ascii="仿宋_GB2312" w:hAnsi="仿宋_GB2312" w:eastAsia="仿宋_GB2312" w:cs="仿宋_GB2312"/>
          <w:color w:val="auto"/>
          <w:sz w:val="28"/>
          <w:szCs w:val="28"/>
          <w:highlight w:val="none"/>
          <w:lang w:val="en-US" w:eastAsia="zh-CN"/>
        </w:rPr>
        <w:t>合同约定“</w:t>
      </w:r>
      <w:r>
        <w:rPr>
          <w:rFonts w:hint="eastAsia" w:ascii="仿宋_GB2312" w:hAnsi="仿宋_GB2312" w:eastAsia="仿宋_GB2312" w:cs="仿宋_GB2312"/>
          <w:b w:val="0"/>
          <w:bCs w:val="0"/>
          <w:color w:val="auto"/>
          <w:sz w:val="28"/>
          <w:szCs w:val="28"/>
          <w:highlight w:val="none"/>
          <w:lang w:val="en-US" w:eastAsia="zh-CN"/>
        </w:rPr>
        <w:t>项目整体竣工验收完成，支付至合同金额的 85%；结算完成，支付至结算金额的95%，5%作为工程保修金待本工程竣工备案满3年后一个月内无息支付”。</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（4）经评估，共4个（占比2%）项目质量保证金预留年限超缺陷责任期。</w:t>
      </w:r>
      <w:r>
        <w:rPr>
          <w:rFonts w:hint="eastAsia" w:ascii="仿宋_GB2312" w:hAnsi="仿宋_GB2312" w:eastAsia="仿宋_GB2312" w:cs="仿宋_GB2312"/>
          <w:b w:val="0"/>
          <w:bCs w:val="0"/>
          <w:color w:val="auto"/>
          <w:sz w:val="28"/>
          <w:szCs w:val="28"/>
          <w:highlight w:val="none"/>
          <w:lang w:val="en-US" w:eastAsia="zh-CN"/>
        </w:rPr>
        <w:t>涉嫌违反《</w:t>
      </w:r>
      <w:r>
        <w:rPr>
          <w:rFonts w:hint="eastAsia" w:ascii="仿宋_GB2312" w:hAnsi="仿宋_GB2312" w:eastAsia="仿宋_GB2312" w:cs="仿宋_GB2312"/>
          <w:b w:val="0"/>
          <w:bCs w:val="0"/>
          <w:sz w:val="28"/>
          <w:szCs w:val="28"/>
          <w:lang w:val="en-US" w:eastAsia="zh-CN"/>
        </w:rPr>
        <w:t>建设工程质量保证金管理办法》（建质</w:t>
      </w:r>
      <w:r>
        <w:rPr>
          <w:rFonts w:hint="eastAsia" w:ascii="仿宋_GB2312" w:hAnsi="仿宋_GB2312" w:eastAsia="仿宋_GB2312" w:cs="仿宋_GB2312"/>
          <w:i w:val="0"/>
          <w:iCs w:val="0"/>
          <w:caps w:val="0"/>
          <w:spacing w:val="0"/>
          <w:sz w:val="28"/>
          <w:szCs w:val="28"/>
          <w:shd w:val="clear"/>
        </w:rPr>
        <w:t>〔</w:t>
      </w:r>
      <w:r>
        <w:rPr>
          <w:rFonts w:hint="eastAsia" w:ascii="仿宋_GB2312" w:hAnsi="仿宋_GB2312" w:eastAsia="仿宋_GB2312" w:cs="仿宋_GB2312"/>
          <w:i w:val="0"/>
          <w:iCs w:val="0"/>
          <w:caps w:val="0"/>
          <w:spacing w:val="0"/>
          <w:sz w:val="28"/>
          <w:szCs w:val="28"/>
          <w:shd w:val="clear"/>
          <w:lang w:val="en-US" w:eastAsia="zh-CN"/>
        </w:rPr>
        <w:t>2017</w:t>
      </w:r>
      <w:r>
        <w:rPr>
          <w:rFonts w:hint="eastAsia" w:ascii="仿宋_GB2312" w:hAnsi="仿宋_GB2312" w:eastAsia="仿宋_GB2312" w:cs="仿宋_GB2312"/>
          <w:i w:val="0"/>
          <w:iCs w:val="0"/>
          <w:caps w:val="0"/>
          <w:spacing w:val="0"/>
          <w:sz w:val="28"/>
          <w:szCs w:val="28"/>
          <w:shd w:val="clear"/>
        </w:rPr>
        <w:t>〕</w:t>
      </w:r>
      <w:r>
        <w:rPr>
          <w:rFonts w:hint="eastAsia" w:ascii="仿宋_GB2312" w:hAnsi="仿宋_GB2312" w:eastAsia="仿宋_GB2312" w:cs="仿宋_GB2312"/>
          <w:i w:val="0"/>
          <w:iCs w:val="0"/>
          <w:caps w:val="0"/>
          <w:spacing w:val="0"/>
          <w:sz w:val="28"/>
          <w:szCs w:val="28"/>
          <w:shd w:val="clear"/>
          <w:lang w:val="en-US" w:eastAsia="zh-CN"/>
        </w:rPr>
        <w:t>138）</w:t>
      </w:r>
      <w:r>
        <w:rPr>
          <w:rFonts w:hint="eastAsia" w:ascii="仿宋_GB2312" w:hAnsi="仿宋_GB2312" w:eastAsia="仿宋_GB2312" w:cs="仿宋_GB2312"/>
          <w:b/>
          <w:bCs/>
          <w:sz w:val="28"/>
          <w:szCs w:val="28"/>
          <w:lang w:val="en-US" w:eastAsia="zh-CN"/>
        </w:rPr>
        <w:t>“缺陷责任期一般为1年，最长不超过2年，由发、承包双方在合同中约定和缺陷责任期内，承包人认真履行合同约定的责任，到期后，承包人向发包人申请返还保证金</w:t>
      </w:r>
      <w:r>
        <w:rPr>
          <w:rFonts w:hint="eastAsia" w:ascii="仿宋_GB2312" w:hAnsi="仿宋_GB2312" w:eastAsia="仿宋_GB2312" w:cs="仿宋_GB2312"/>
          <w:b w:val="0"/>
          <w:bCs w:val="0"/>
          <w:sz w:val="28"/>
          <w:szCs w:val="28"/>
          <w:lang w:val="en-US" w:eastAsia="zh-CN"/>
        </w:rPr>
        <w:t>”的规定。</w:t>
      </w:r>
    </w:p>
    <w:p>
      <w:pPr>
        <w:pStyle w:val="96"/>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color w:val="auto"/>
          <w:sz w:val="28"/>
          <w:szCs w:val="28"/>
          <w:highlight w:val="none"/>
          <w:lang w:val="en-US" w:eastAsia="zh-CN"/>
        </w:rPr>
        <w:t>例：某施工总承包项目合同约定“质量保证金为结算价款的3%，承包人按发包人要求履行了合同约定保修义务且取得工程竣工备案回执满二年后支付结算价款2%（不计利息）的工程质量保证金，其余1%（不计利息）待承包人按发包人要求履行了合同约定保修义务且取得工程竣工备案回执满五年后支付，但并不免除承包人在保修期内的保修责任”。</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（5）经评估，</w:t>
      </w:r>
      <w:r>
        <w:rPr>
          <w:rFonts w:hint="eastAsia" w:ascii="仿宋_GB2312" w:hAnsi="仿宋_GB2312" w:eastAsia="仿宋_GB2312" w:cs="仿宋_GB2312"/>
          <w:b w:val="0"/>
          <w:bCs w:val="0"/>
          <w:sz w:val="28"/>
          <w:szCs w:val="28"/>
          <w:highlight w:val="none"/>
          <w:lang w:val="en-US" w:eastAsia="zh-CN"/>
        </w:rPr>
        <w:t>共2个（占比1%）项目合同中未明确要求施工企业设立工资专户。</w:t>
      </w:r>
      <w:r>
        <w:rPr>
          <w:rFonts w:hint="eastAsia" w:ascii="仿宋_GB2312" w:hAnsi="仿宋_GB2312" w:eastAsia="仿宋_GB2312" w:cs="仿宋_GB2312"/>
          <w:b w:val="0"/>
          <w:bCs w:val="0"/>
          <w:sz w:val="28"/>
          <w:szCs w:val="28"/>
          <w:lang w:val="en-US" w:eastAsia="zh-CN"/>
        </w:rPr>
        <w:t>涉嫌违反</w:t>
      </w:r>
      <w:r>
        <w:rPr>
          <w:rFonts w:hint="eastAsia" w:ascii="仿宋_GB2312" w:hAnsi="仿宋_GB2312" w:eastAsia="仿宋_GB2312" w:cs="仿宋_GB2312"/>
          <w:sz w:val="28"/>
          <w:szCs w:val="28"/>
          <w:lang w:val="en-US" w:eastAsia="zh-CN"/>
        </w:rPr>
        <w:t>《广东省建设工程领域工人工资支付专用账户管理办法》（</w:t>
      </w:r>
      <w:r>
        <w:rPr>
          <w:rFonts w:hint="eastAsia" w:ascii="仿宋_GB2312" w:hAnsi="仿宋_GB2312" w:eastAsia="仿宋_GB2312" w:cs="仿宋_GB2312"/>
          <w:i w:val="0"/>
          <w:iCs w:val="0"/>
          <w:caps w:val="0"/>
          <w:spacing w:val="0"/>
          <w:sz w:val="28"/>
          <w:szCs w:val="28"/>
          <w:shd w:val="clear"/>
        </w:rPr>
        <w:t>粤人社规〔2018〕14号</w:t>
      </w:r>
      <w:r>
        <w:rPr>
          <w:rFonts w:hint="eastAsia" w:ascii="仿宋_GB2312" w:hAnsi="仿宋_GB2312" w:eastAsia="仿宋_GB2312" w:cs="仿宋_GB2312"/>
          <w:i w:val="0"/>
          <w:iCs w:val="0"/>
          <w:caps w:val="0"/>
          <w:spacing w:val="0"/>
          <w:sz w:val="28"/>
          <w:szCs w:val="28"/>
          <w:shd w:val="clear"/>
          <w:lang w:eastAsia="zh-CN"/>
        </w:rPr>
        <w:t>）“</w:t>
      </w:r>
      <w:r>
        <w:rPr>
          <w:rFonts w:hint="eastAsia" w:ascii="仿宋_GB2312" w:hAnsi="仿宋_GB2312" w:eastAsia="仿宋_GB2312" w:cs="仿宋_GB2312"/>
          <w:b/>
          <w:bCs/>
          <w:sz w:val="28"/>
          <w:szCs w:val="28"/>
        </w:rPr>
        <w:t>建设单位编制发布的建设项目招标文件应当明确要求施工企业设立工资专户。建设单位与施工总承包企业签订工程承包合同时，应当对施工总承包企业设立工资专户、工程进度款中工人工资款的比例、工资款拨付的期限等事项作出明确约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的规定</w:t>
      </w:r>
      <w:r>
        <w:rPr>
          <w:rFonts w:hint="eastAsia" w:ascii="仿宋_GB2312" w:hAnsi="仿宋_GB2312" w:eastAsia="仿宋_GB2312" w:cs="仿宋_GB2312"/>
          <w:sz w:val="28"/>
          <w:szCs w:val="28"/>
        </w:rPr>
        <w:t>。</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例：某施工总承包项目合同未对工人工资专用账户、拨付工资款项方式以及建立劳动用工管理台账等事项作出明确约定。</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sz w:val="28"/>
          <w:szCs w:val="28"/>
          <w:lang w:val="en-US" w:eastAsia="zh-CN"/>
        </w:rPr>
        <w:t>（6）经评估，共1个（占比1%）项目专业工程暂估价超规定，</w:t>
      </w:r>
      <w:r>
        <w:rPr>
          <w:rFonts w:hint="eastAsia" w:ascii="仿宋_GB2312" w:hAnsi="仿宋_GB2312" w:eastAsia="仿宋_GB2312" w:cs="仿宋_GB2312"/>
          <w:b w:val="0"/>
          <w:bCs w:val="0"/>
          <w:sz w:val="28"/>
          <w:szCs w:val="28"/>
          <w:highlight w:val="none"/>
          <w:lang w:val="en-US" w:eastAsia="zh-CN"/>
        </w:rPr>
        <w:t>涉嫌违反</w:t>
      </w:r>
      <w:r>
        <w:rPr>
          <w:rFonts w:hint="eastAsia" w:ascii="仿宋_GB2312" w:hAnsi="仿宋_GB2312" w:eastAsia="仿宋_GB2312" w:cs="仿宋_GB2312"/>
          <w:sz w:val="28"/>
          <w:szCs w:val="28"/>
          <w:lang w:val="en-US" w:eastAsia="zh-CN"/>
        </w:rPr>
        <w:t>《关于建设工程招标投标改革的若干规定》（深府〔2015〕73号）“</w:t>
      </w:r>
      <w:r>
        <w:rPr>
          <w:rFonts w:hint="eastAsia" w:ascii="仿宋_GB2312" w:hAnsi="仿宋_GB2312" w:eastAsia="仿宋_GB2312" w:cs="仿宋_GB2312"/>
          <w:b/>
          <w:bCs/>
          <w:sz w:val="28"/>
          <w:szCs w:val="28"/>
          <w:lang w:val="en-US" w:eastAsia="zh-CN"/>
        </w:rPr>
        <w:t>采用工程量清单进行施工招标的工程，无法提供专业工程的图纸或者工程量清单的，招标人可以在招标文件中暂估该部分工程的造价，并明确暂估价部分工程的定价方法或者结算原则，但暂估部分的工程估价累计不得超过本工程按照图纸计算的建安工程造价的15%</w:t>
      </w:r>
      <w:r>
        <w:rPr>
          <w:rFonts w:hint="eastAsia" w:ascii="仿宋_GB2312" w:hAnsi="仿宋_GB2312" w:eastAsia="仿宋_GB2312" w:cs="仿宋_GB2312"/>
          <w:sz w:val="28"/>
          <w:szCs w:val="28"/>
          <w:lang w:val="en-US" w:eastAsia="zh-CN"/>
        </w:rPr>
        <w:t>”的规定。</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例：某施工总承包项目招标控制价为124830.105067万元，暂列金额5879.022319万元，专业工程暂估价24450万元，专业工程暂估价为本工程按照图纸计算的建安工程造价的25.87%。</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3.合同条款合理性</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（1）经评估，共30个（占比17%）项目招标人出具了《关于不设置“霸王条款”的承诺书》，但在合同条款中仍然存在“霸王条款”。</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例1：某施工总承包项目在合同专用条款：“10.4.1 变更估价原则，（6）本项目措施费用包干使用，不因工程数量和工程项目的增加或减少而调整”。</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例2：某精装修项目在合同专用条款：“23.1 （3）承包人应充分理解资金未及时到位而导致发包人不能按时支付预付款的风险，在预付款未按合同约定支付时，仍应筹措资金继续开展各项施工工作，未经发包人允许绝不随意停工”。</w:t>
      </w:r>
    </w:p>
    <w:p>
      <w:pPr>
        <w:pStyle w:val="3"/>
        <w:spacing w:before="120"/>
        <w:rPr>
          <w:rFonts w:hint="eastAsia" w:ascii="CESI黑体-GB2312" w:hAnsi="CESI黑体-GB2312" w:eastAsia="CESI黑体-GB2312" w:cs="CESI黑体-GB2312"/>
          <w:b w:val="0"/>
          <w:bCs/>
          <w:sz w:val="28"/>
          <w:szCs w:val="28"/>
          <w:lang w:val="en-US" w:eastAsia="zh-CN"/>
        </w:rPr>
      </w:pPr>
      <w:bookmarkStart w:id="797" w:name="_Toc1336"/>
      <w:bookmarkStart w:id="798" w:name="_Toc28431"/>
      <w:bookmarkStart w:id="799" w:name="_Toc25631"/>
      <w:bookmarkStart w:id="800" w:name="_Toc22400"/>
      <w:bookmarkStart w:id="801" w:name="_Toc24069"/>
      <w:bookmarkStart w:id="802" w:name="_Toc28740"/>
      <w:r>
        <w:rPr>
          <w:rFonts w:hint="eastAsia" w:ascii="CESI黑体-GB2312" w:hAnsi="CESI黑体-GB2312" w:eastAsia="CESI黑体-GB2312" w:cs="CESI黑体-GB2312"/>
          <w:b w:val="0"/>
          <w:bCs/>
          <w:sz w:val="28"/>
          <w:szCs w:val="28"/>
          <w:lang w:val="en-US" w:eastAsia="zh-CN"/>
        </w:rPr>
        <w:t>3.3原因分析</w:t>
      </w:r>
      <w:bookmarkEnd w:id="797"/>
      <w:bookmarkEnd w:id="798"/>
      <w:bookmarkEnd w:id="799"/>
      <w:bookmarkEnd w:id="800"/>
      <w:bookmarkEnd w:id="801"/>
      <w:bookmarkEnd w:id="802"/>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exact"/>
        <w:ind w:firstLine="560" w:firstLineChars="200"/>
        <w:jc w:val="both"/>
        <w:textAlignment w:val="auto"/>
        <w:outlineLvl w:val="9"/>
        <w:rPr>
          <w:rFonts w:hint="eastAsia" w:ascii="仿宋_GB2312" w:hAnsi="仿宋_GB2312" w:eastAsia="仿宋_GB2312" w:cs="仿宋_GB2312"/>
          <w:b w:val="0"/>
          <w:bCs w:val="0"/>
          <w:sz w:val="28"/>
          <w:szCs w:val="24"/>
          <w:lang w:val="en-US" w:eastAsia="zh-CN"/>
        </w:rPr>
      </w:pPr>
      <w:r>
        <w:rPr>
          <w:rFonts w:hint="eastAsia" w:ascii="仿宋_GB2312" w:hAnsi="仿宋_GB2312" w:eastAsia="仿宋_GB2312" w:cs="仿宋_GB2312"/>
          <w:b w:val="0"/>
          <w:bCs w:val="0"/>
          <w:sz w:val="28"/>
          <w:szCs w:val="24"/>
          <w:lang w:val="en-US" w:eastAsia="zh-CN"/>
        </w:rPr>
        <w:t>对本次评估发现的问题进行分析，主要原因如下：</w:t>
      </w:r>
    </w:p>
    <w:p>
      <w:pPr>
        <w:widowControl/>
        <w:numPr>
          <w:ilvl w:val="-1"/>
          <w:numId w:val="0"/>
        </w:numPr>
        <w:spacing w:beforeLines="0" w:line="560" w:lineRule="exact"/>
        <w:ind w:firstLine="560" w:firstLineChars="200"/>
        <w:jc w:val="both"/>
        <w:outlineLvl w:val="9"/>
        <w:rPr>
          <w:rFonts w:hint="eastAsia" w:ascii="仿宋_GB2312" w:hAnsi="仿宋_GB2312" w:eastAsia="仿宋_GB2312" w:cs="仿宋_GB2312"/>
          <w:b w:val="0"/>
          <w:bCs w:val="0"/>
          <w:sz w:val="28"/>
          <w:szCs w:val="24"/>
          <w:lang w:val="en-US" w:eastAsia="zh-CN"/>
        </w:rPr>
      </w:pPr>
      <w:r>
        <w:rPr>
          <w:rFonts w:hint="eastAsia" w:ascii="仿宋_GB2312" w:hAnsi="仿宋_GB2312" w:eastAsia="仿宋_GB2312" w:cs="仿宋_GB2312"/>
          <w:b w:val="0"/>
          <w:bCs w:val="0"/>
          <w:sz w:val="28"/>
          <w:szCs w:val="24"/>
          <w:lang w:val="en-US" w:eastAsia="zh-CN"/>
        </w:rPr>
        <w:t>（1）未遵守资质管理办法及相关政策文件的规定；未充分理解“</w:t>
      </w:r>
      <w:r>
        <w:rPr>
          <w:rFonts w:hint="eastAsia" w:ascii="仿宋_GB2312" w:hAnsi="仿宋_GB2312" w:eastAsia="仿宋_GB2312" w:cs="仿宋_GB2312"/>
          <w:sz w:val="28"/>
          <w:lang w:val="en-US" w:eastAsia="zh-CN"/>
        </w:rPr>
        <w:t>深府〔2015〕73号</w:t>
      </w:r>
      <w:r>
        <w:rPr>
          <w:rFonts w:hint="eastAsia" w:ascii="仿宋_GB2312" w:hAnsi="仿宋_GB2312" w:eastAsia="仿宋_GB2312" w:cs="仿宋_GB2312"/>
          <w:b w:val="0"/>
          <w:bCs w:val="0"/>
          <w:sz w:val="28"/>
          <w:szCs w:val="24"/>
          <w:lang w:val="en-US" w:eastAsia="zh-CN"/>
        </w:rPr>
        <w:t>”</w:t>
      </w:r>
      <w:r>
        <w:rPr>
          <w:rFonts w:hint="eastAsia" w:ascii="仿宋_GB2312" w:hAnsi="仿宋_GB2312" w:eastAsia="仿宋_GB2312" w:cs="仿宋_GB2312"/>
          <w:sz w:val="28"/>
          <w:lang w:val="en-US" w:eastAsia="zh-CN"/>
        </w:rPr>
        <w:t>文</w:t>
      </w:r>
      <w:r>
        <w:rPr>
          <w:rFonts w:hint="eastAsia" w:ascii="仿宋_GB2312" w:hAnsi="仿宋_GB2312" w:eastAsia="仿宋_GB2312" w:cs="仿宋_GB2312"/>
          <w:b w:val="0"/>
          <w:bCs w:val="0"/>
          <w:sz w:val="28"/>
          <w:szCs w:val="24"/>
          <w:lang w:val="en-US" w:eastAsia="zh-CN"/>
        </w:rPr>
        <w:t>中关于投标资格条件设置的要求；未严格按招标文件要求进行资格审查。</w:t>
      </w:r>
    </w:p>
    <w:p>
      <w:pPr>
        <w:widowControl/>
        <w:numPr>
          <w:ilvl w:val="-1"/>
          <w:numId w:val="0"/>
        </w:numPr>
        <w:spacing w:beforeLines="0" w:line="560" w:lineRule="exact"/>
        <w:ind w:firstLine="560" w:firstLineChars="200"/>
        <w:jc w:val="both"/>
        <w:outlineLvl w:val="9"/>
        <w:rPr>
          <w:rFonts w:hint="eastAsia" w:ascii="仿宋_GB2312" w:hAnsi="仿宋_GB2312" w:eastAsia="仿宋_GB2312" w:cs="仿宋_GB2312"/>
          <w:b w:val="0"/>
          <w:bCs w:val="0"/>
          <w:sz w:val="28"/>
          <w:szCs w:val="24"/>
          <w:lang w:val="en-US" w:eastAsia="zh-CN"/>
        </w:rPr>
      </w:pPr>
      <w:r>
        <w:rPr>
          <w:rFonts w:hint="eastAsia" w:ascii="仿宋_GB2312" w:hAnsi="仿宋_GB2312" w:eastAsia="仿宋_GB2312" w:cs="仿宋_GB2312"/>
          <w:b w:val="0"/>
          <w:bCs w:val="0"/>
          <w:sz w:val="28"/>
          <w:szCs w:val="24"/>
          <w:lang w:val="en-US" w:eastAsia="zh-CN"/>
        </w:rPr>
        <w:t>（2）未严格遵守关于收取保证金的相关规定；未积极响应优化招投标市场营商环境的举措。</w:t>
      </w:r>
    </w:p>
    <w:p>
      <w:pPr>
        <w:widowControl/>
        <w:numPr>
          <w:ilvl w:val="0"/>
          <w:numId w:val="0"/>
        </w:numPr>
        <w:spacing w:beforeLines="0" w:line="560" w:lineRule="exact"/>
        <w:ind w:firstLine="560" w:firstLineChars="200"/>
        <w:jc w:val="both"/>
        <w:outlineLvl w:val="9"/>
        <w:rPr>
          <w:rFonts w:hint="eastAsia" w:ascii="仿宋_GB2312" w:hAnsi="仿宋_GB2312" w:eastAsia="仿宋_GB2312" w:cs="仿宋_GB2312"/>
          <w:b w:val="0"/>
          <w:bCs w:val="0"/>
          <w:sz w:val="28"/>
          <w:szCs w:val="24"/>
          <w:lang w:val="en-US" w:eastAsia="zh-CN"/>
        </w:rPr>
      </w:pPr>
      <w:r>
        <w:rPr>
          <w:rFonts w:hint="eastAsia" w:ascii="仿宋_GB2312" w:hAnsi="仿宋_GB2312" w:eastAsia="仿宋_GB2312" w:cs="仿宋_GB2312"/>
          <w:b w:val="0"/>
          <w:bCs w:val="0"/>
          <w:sz w:val="28"/>
          <w:szCs w:val="24"/>
          <w:lang w:val="en-US" w:eastAsia="zh-CN"/>
        </w:rPr>
        <w:t>（3）现行政策文件没有过多投标人淘汰环节相关资料编制及</w:t>
      </w:r>
      <w:r>
        <w:rPr>
          <w:rFonts w:hint="eastAsia" w:ascii="仿宋_GB2312" w:hAnsi="仿宋_GB2312" w:eastAsia="仿宋_GB2312" w:cs="仿宋_GB2312"/>
          <w:sz w:val="28"/>
          <w:szCs w:val="24"/>
        </w:rPr>
        <w:t>留存备查</w:t>
      </w:r>
      <w:r>
        <w:rPr>
          <w:rFonts w:hint="eastAsia" w:ascii="仿宋_GB2312" w:hAnsi="仿宋_GB2312" w:eastAsia="仿宋_GB2312" w:cs="仿宋_GB2312"/>
          <w:b w:val="0"/>
          <w:bCs w:val="0"/>
          <w:sz w:val="28"/>
          <w:szCs w:val="24"/>
          <w:lang w:val="en-US" w:eastAsia="zh-CN"/>
        </w:rPr>
        <w:t>要求，且招标人未严格落实“深建规〔2020〕1号”</w:t>
      </w:r>
      <w:r>
        <w:rPr>
          <w:rFonts w:hint="eastAsia" w:ascii="仿宋_GB2312" w:hAnsi="仿宋_GB2312" w:eastAsia="仿宋_GB2312" w:cs="仿宋_GB2312"/>
          <w:sz w:val="28"/>
          <w:lang w:val="en-US" w:eastAsia="zh-CN"/>
        </w:rPr>
        <w:t>文</w:t>
      </w:r>
      <w:r>
        <w:rPr>
          <w:rFonts w:hint="eastAsia" w:ascii="仿宋_GB2312" w:hAnsi="仿宋_GB2312" w:eastAsia="仿宋_GB2312" w:cs="仿宋_GB2312"/>
          <w:b w:val="0"/>
          <w:bCs w:val="0"/>
          <w:sz w:val="28"/>
          <w:szCs w:val="24"/>
          <w:lang w:val="en-US" w:eastAsia="zh-CN"/>
        </w:rPr>
        <w:t>中关于此环节择优的要求。</w:t>
      </w:r>
    </w:p>
    <w:p>
      <w:pPr>
        <w:widowControl/>
        <w:numPr>
          <w:ilvl w:val="0"/>
          <w:numId w:val="0"/>
        </w:numPr>
        <w:spacing w:beforeLines="0" w:line="560" w:lineRule="exact"/>
        <w:ind w:firstLine="560" w:firstLineChars="200"/>
        <w:jc w:val="both"/>
        <w:outlineLvl w:val="9"/>
        <w:rPr>
          <w:rFonts w:hint="eastAsia" w:ascii="仿宋_GB2312" w:hAnsi="仿宋_GB2312" w:eastAsia="仿宋_GB2312" w:cs="仿宋_GB2312"/>
          <w:b w:val="0"/>
          <w:bCs w:val="0"/>
          <w:sz w:val="28"/>
          <w:szCs w:val="24"/>
        </w:rPr>
      </w:pP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lang w:val="en-US" w:eastAsia="zh-CN"/>
        </w:rPr>
        <w:t>4</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rPr>
        <w:t>项目定标方案</w:t>
      </w:r>
      <w:r>
        <w:rPr>
          <w:rFonts w:hint="eastAsia" w:ascii="仿宋_GB2312" w:hAnsi="仿宋_GB2312" w:eastAsia="仿宋_GB2312" w:cs="仿宋_GB2312"/>
          <w:sz w:val="28"/>
          <w:szCs w:val="24"/>
          <w:lang w:val="en-US" w:eastAsia="zh-CN"/>
        </w:rPr>
        <w:t>未</w:t>
      </w:r>
      <w:r>
        <w:rPr>
          <w:rFonts w:hint="eastAsia" w:ascii="仿宋_GB2312" w:hAnsi="仿宋_GB2312" w:eastAsia="仿宋_GB2312" w:cs="仿宋_GB2312"/>
          <w:sz w:val="28"/>
          <w:szCs w:val="24"/>
        </w:rPr>
        <w:t>结合定标工作规则和项目实际</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rPr>
        <w:t>细化择优要素、竞价因素</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rPr>
        <w:t>明确定标流程、投票规则等内容</w:t>
      </w:r>
      <w:r>
        <w:rPr>
          <w:rFonts w:hint="eastAsia" w:ascii="仿宋_GB2312" w:hAnsi="仿宋_GB2312" w:eastAsia="仿宋_GB2312" w:cs="仿宋_GB2312"/>
          <w:sz w:val="28"/>
          <w:szCs w:val="24"/>
          <w:lang w:val="en-US" w:eastAsia="zh-CN"/>
        </w:rPr>
        <w:t>进行编制</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lang w:val="en-US" w:eastAsia="zh-CN"/>
        </w:rPr>
        <w:t>无法明确</w:t>
      </w:r>
      <w:r>
        <w:rPr>
          <w:rFonts w:hint="eastAsia" w:ascii="仿宋_GB2312" w:hAnsi="仿宋_GB2312" w:eastAsia="仿宋_GB2312" w:cs="仿宋_GB2312"/>
          <w:sz w:val="28"/>
          <w:szCs w:val="24"/>
        </w:rPr>
        <w:t>指导定标委员会开展定标</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b w:val="0"/>
          <w:bCs w:val="0"/>
          <w:sz w:val="28"/>
          <w:szCs w:val="24"/>
          <w:lang w:val="en-US" w:eastAsia="zh-CN"/>
        </w:rPr>
        <w:t>对清标工作要求</w:t>
      </w:r>
      <w:r>
        <w:rPr>
          <w:rFonts w:hint="eastAsia" w:ascii="仿宋_GB2312" w:hAnsi="仿宋_GB2312" w:eastAsia="仿宋_GB2312" w:cs="仿宋_GB2312"/>
          <w:b w:val="0"/>
          <w:bCs w:val="0"/>
          <w:sz w:val="28"/>
          <w:szCs w:val="24"/>
        </w:rPr>
        <w:t>理解不深、把握不严，</w:t>
      </w:r>
      <w:r>
        <w:rPr>
          <w:rFonts w:hint="eastAsia" w:ascii="仿宋_GB2312" w:hAnsi="仿宋_GB2312" w:eastAsia="仿宋_GB2312" w:cs="仿宋_GB2312"/>
          <w:sz w:val="28"/>
          <w:szCs w:val="24"/>
        </w:rPr>
        <w:t>实际操作不够规范</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b w:val="0"/>
          <w:bCs w:val="0"/>
          <w:sz w:val="28"/>
          <w:szCs w:val="24"/>
          <w:lang w:val="en-US" w:eastAsia="zh-CN"/>
        </w:rPr>
        <w:t>导致部分项目清标报告质量不理想，起不到辅助定标的效果。</w:t>
      </w:r>
    </w:p>
    <w:p>
      <w:pPr>
        <w:widowControl/>
        <w:numPr>
          <w:ilvl w:val="0"/>
          <w:numId w:val="0"/>
        </w:numPr>
        <w:spacing w:before="0" w:beforeLines="0" w:afterLines="-2147483648" w:line="560" w:lineRule="exact"/>
        <w:ind w:firstLine="560" w:firstLineChars="200"/>
        <w:jc w:val="both"/>
        <w:outlineLvl w:val="9"/>
        <w:rPr>
          <w:rFonts w:hint="default" w:ascii="仿宋_GB2312" w:hAnsi="仿宋_GB2312" w:eastAsia="仿宋_GB2312" w:cs="仿宋_GB2312"/>
          <w:sz w:val="28"/>
          <w:szCs w:val="24"/>
          <w:lang w:val="en-US" w:eastAsia="zh-CN"/>
        </w:rPr>
      </w:pPr>
      <w:r>
        <w:rPr>
          <w:rFonts w:hint="eastAsia" w:ascii="仿宋_GB2312" w:hAnsi="仿宋_GB2312" w:eastAsia="仿宋_GB2312" w:cs="仿宋_GB2312"/>
          <w:b w:val="0"/>
          <w:bCs w:val="0"/>
          <w:sz w:val="28"/>
          <w:szCs w:val="24"/>
          <w:lang w:val="en-US" w:eastAsia="zh-CN"/>
        </w:rPr>
        <w:t>（5）</w:t>
      </w:r>
      <w:r>
        <w:rPr>
          <w:rFonts w:hint="eastAsia" w:ascii="仿宋_GB2312" w:hAnsi="仿宋_GB2312" w:eastAsia="仿宋_GB2312" w:cs="仿宋_GB2312"/>
          <w:b w:val="0"/>
          <w:bCs w:val="0"/>
          <w:sz w:val="28"/>
          <w:szCs w:val="24"/>
        </w:rPr>
        <w:t>招标人</w:t>
      </w:r>
      <w:r>
        <w:rPr>
          <w:rFonts w:hint="eastAsia" w:ascii="仿宋_GB2312" w:hAnsi="仿宋_GB2312" w:eastAsia="仿宋_GB2312" w:cs="仿宋_GB2312"/>
          <w:sz w:val="28"/>
          <w:szCs w:val="24"/>
          <w:lang w:val="en-US" w:eastAsia="zh-CN"/>
        </w:rPr>
        <w:t>对编制招标文件、资格审查、清标、定标</w:t>
      </w:r>
      <w:r>
        <w:rPr>
          <w:rFonts w:hint="eastAsia" w:ascii="仿宋_GB2312" w:hAnsi="仿宋_GB2312" w:eastAsia="仿宋_GB2312" w:cs="仿宋_GB2312"/>
          <w:sz w:val="28"/>
          <w:szCs w:val="24"/>
        </w:rPr>
        <w:t>等</w:t>
      </w:r>
      <w:r>
        <w:rPr>
          <w:rFonts w:hint="eastAsia" w:ascii="仿宋_GB2312" w:hAnsi="仿宋_GB2312" w:eastAsia="仿宋_GB2312" w:cs="仿宋_GB2312"/>
          <w:sz w:val="28"/>
          <w:szCs w:val="24"/>
          <w:lang w:val="en-US" w:eastAsia="zh-CN"/>
        </w:rPr>
        <w:t>环节内控管理意识不足</w:t>
      </w:r>
      <w:r>
        <w:rPr>
          <w:rFonts w:hint="eastAsia" w:ascii="仿宋_GB2312" w:hAnsi="仿宋_GB2312" w:eastAsia="仿宋_GB2312" w:cs="仿宋_GB2312"/>
          <w:sz w:val="28"/>
          <w:szCs w:val="24"/>
        </w:rPr>
        <w:t>，</w:t>
      </w:r>
      <w:r>
        <w:rPr>
          <w:rFonts w:hint="eastAsia" w:ascii="仿宋_GB2312" w:hAnsi="仿宋_GB2312" w:eastAsia="仿宋_GB2312" w:cs="仿宋_GB2312"/>
          <w:b w:val="0"/>
          <w:bCs w:val="0"/>
          <w:sz w:val="28"/>
          <w:szCs w:val="24"/>
          <w:lang w:val="en-US" w:eastAsia="zh-CN"/>
        </w:rPr>
        <w:t>未严格落实</w:t>
      </w:r>
      <w:r>
        <w:rPr>
          <w:rFonts w:hint="eastAsia" w:ascii="仿宋_GB2312" w:hAnsi="仿宋_GB2312" w:eastAsia="仿宋_GB2312" w:cs="仿宋_GB2312"/>
          <w:b w:val="0"/>
          <w:bCs w:val="0"/>
          <w:sz w:val="28"/>
          <w:szCs w:val="24"/>
        </w:rPr>
        <w:t>招标人负责制</w:t>
      </w:r>
      <w:r>
        <w:rPr>
          <w:rFonts w:hint="eastAsia" w:ascii="仿宋_GB2312" w:hAnsi="仿宋_GB2312" w:eastAsia="仿宋_GB2312" w:cs="仿宋_GB2312"/>
          <w:sz w:val="28"/>
          <w:szCs w:val="24"/>
          <w:lang w:val="en-US" w:eastAsia="zh-CN"/>
        </w:rPr>
        <w:t>。</w:t>
      </w:r>
    </w:p>
    <w:p>
      <w:pPr>
        <w:widowControl/>
        <w:numPr>
          <w:ilvl w:val="0"/>
          <w:numId w:val="0"/>
        </w:numPr>
        <w:spacing w:before="0" w:beforeLines="0" w:line="560" w:lineRule="exact"/>
        <w:ind w:firstLine="560" w:firstLineChars="200"/>
        <w:jc w:val="both"/>
        <w:outlineLvl w:val="9"/>
        <w:rPr>
          <w:rFonts w:hint="eastAsia" w:ascii="仿宋_GB2312" w:hAnsi="仿宋_GB2312" w:eastAsia="仿宋_GB2312" w:cs="仿宋_GB2312"/>
          <w:b w:val="0"/>
          <w:bCs w:val="0"/>
          <w:sz w:val="28"/>
          <w:szCs w:val="24"/>
          <w:lang w:eastAsia="zh-CN"/>
        </w:rPr>
      </w:pPr>
      <w:r>
        <w:rPr>
          <w:rFonts w:hint="eastAsia" w:ascii="仿宋_GB2312" w:hAnsi="仿宋_GB2312" w:eastAsia="仿宋_GB2312" w:cs="仿宋_GB2312"/>
          <w:b w:val="0"/>
          <w:bCs w:val="0"/>
          <w:sz w:val="28"/>
          <w:szCs w:val="24"/>
          <w:lang w:val="en-US" w:eastAsia="zh-CN"/>
        </w:rPr>
        <w:t>（6）</w:t>
      </w:r>
      <w:r>
        <w:rPr>
          <w:rFonts w:hint="eastAsia" w:ascii="仿宋_GB2312" w:hAnsi="仿宋_GB2312" w:eastAsia="仿宋_GB2312" w:cs="仿宋_GB2312"/>
          <w:sz w:val="28"/>
          <w:szCs w:val="24"/>
        </w:rPr>
        <w:t>招投标</w:t>
      </w:r>
      <w:r>
        <w:rPr>
          <w:rFonts w:hint="eastAsia" w:ascii="仿宋_GB2312" w:hAnsi="仿宋_GB2312" w:eastAsia="仿宋_GB2312" w:cs="仿宋_GB2312"/>
          <w:sz w:val="28"/>
          <w:szCs w:val="24"/>
          <w:lang w:val="en-US" w:eastAsia="zh-CN"/>
        </w:rPr>
        <w:t>相关</w:t>
      </w:r>
      <w:r>
        <w:rPr>
          <w:rFonts w:hint="eastAsia" w:ascii="仿宋_GB2312" w:hAnsi="仿宋_GB2312" w:eastAsia="仿宋_GB2312" w:cs="仿宋_GB2312"/>
          <w:sz w:val="28"/>
          <w:szCs w:val="24"/>
        </w:rPr>
        <w:t>从业人员</w:t>
      </w:r>
      <w:r>
        <w:rPr>
          <w:rFonts w:hint="eastAsia" w:ascii="仿宋_GB2312" w:hAnsi="仿宋_GB2312" w:eastAsia="仿宋_GB2312" w:cs="仿宋_GB2312"/>
          <w:b w:val="0"/>
          <w:bCs w:val="0"/>
          <w:sz w:val="28"/>
          <w:szCs w:val="24"/>
        </w:rPr>
        <w:t>素质</w:t>
      </w:r>
      <w:r>
        <w:rPr>
          <w:rFonts w:hint="eastAsia" w:ascii="仿宋_GB2312" w:hAnsi="仿宋_GB2312" w:eastAsia="仿宋_GB2312" w:cs="仿宋_GB2312"/>
          <w:b w:val="0"/>
          <w:bCs w:val="0"/>
          <w:sz w:val="28"/>
          <w:szCs w:val="24"/>
          <w:lang w:eastAsia="zh-CN"/>
        </w:rPr>
        <w:t>、</w:t>
      </w:r>
      <w:r>
        <w:rPr>
          <w:rFonts w:hint="eastAsia" w:ascii="仿宋_GB2312" w:hAnsi="仿宋_GB2312" w:eastAsia="仿宋_GB2312" w:cs="仿宋_GB2312"/>
          <w:b w:val="0"/>
          <w:bCs w:val="0"/>
          <w:sz w:val="28"/>
          <w:szCs w:val="24"/>
          <w:lang w:val="en-US" w:eastAsia="zh-CN"/>
        </w:rPr>
        <w:t>业务</w:t>
      </w:r>
      <w:r>
        <w:rPr>
          <w:rFonts w:hint="eastAsia" w:ascii="仿宋_GB2312" w:hAnsi="仿宋_GB2312" w:eastAsia="仿宋_GB2312" w:cs="仿宋_GB2312"/>
          <w:b w:val="0"/>
          <w:bCs w:val="0"/>
          <w:sz w:val="28"/>
          <w:szCs w:val="24"/>
        </w:rPr>
        <w:t>能力参差不齐，流动性大</w:t>
      </w:r>
      <w:r>
        <w:rPr>
          <w:rFonts w:hint="eastAsia" w:ascii="仿宋_GB2312" w:hAnsi="仿宋_GB2312" w:eastAsia="仿宋_GB2312" w:cs="仿宋_GB2312"/>
          <w:b w:val="0"/>
          <w:bCs w:val="0"/>
          <w:sz w:val="28"/>
          <w:szCs w:val="24"/>
          <w:lang w:eastAsia="zh-CN"/>
        </w:rPr>
        <w:t>，</w:t>
      </w:r>
      <w:r>
        <w:rPr>
          <w:rFonts w:hint="eastAsia" w:ascii="仿宋_GB2312" w:hAnsi="仿宋_GB2312" w:eastAsia="仿宋_GB2312" w:cs="仿宋_GB2312"/>
          <w:b w:val="0"/>
          <w:bCs w:val="0"/>
          <w:sz w:val="28"/>
          <w:szCs w:val="24"/>
          <w:lang w:val="en-US" w:eastAsia="zh-CN"/>
        </w:rPr>
        <w:t>招投标活动质量没有有效保证</w:t>
      </w:r>
      <w:r>
        <w:rPr>
          <w:rFonts w:hint="eastAsia" w:ascii="仿宋_GB2312" w:hAnsi="仿宋_GB2312" w:eastAsia="仿宋_GB2312" w:cs="仿宋_GB2312"/>
          <w:b w:val="0"/>
          <w:bCs w:val="0"/>
          <w:sz w:val="28"/>
          <w:szCs w:val="24"/>
          <w:lang w:eastAsia="zh-CN"/>
        </w:rPr>
        <w:t>。</w:t>
      </w:r>
    </w:p>
    <w:p>
      <w:pPr>
        <w:widowControl/>
        <w:numPr>
          <w:ilvl w:val="0"/>
          <w:numId w:val="0"/>
        </w:numPr>
        <w:spacing w:before="0" w:beforeLines="0" w:line="560" w:lineRule="exact"/>
        <w:ind w:firstLine="560" w:firstLineChars="200"/>
        <w:jc w:val="both"/>
        <w:outlineLvl w:val="9"/>
        <w:rPr>
          <w:rFonts w:hint="default" w:ascii="仿宋_GB2312" w:hAnsi="仿宋_GB2312" w:eastAsia="仿宋_GB2312" w:cs="仿宋_GB2312"/>
          <w:b w:val="0"/>
          <w:bCs w:val="0"/>
          <w:sz w:val="28"/>
          <w:szCs w:val="24"/>
          <w:lang w:val="en-US" w:eastAsia="zh-CN"/>
        </w:rPr>
      </w:pPr>
      <w:r>
        <w:rPr>
          <w:rFonts w:hint="eastAsia" w:ascii="仿宋_GB2312" w:hAnsi="仿宋_GB2312" w:eastAsia="仿宋_GB2312" w:cs="仿宋_GB2312"/>
          <w:b w:val="0"/>
          <w:bCs w:val="0"/>
          <w:sz w:val="28"/>
          <w:szCs w:val="24"/>
          <w:lang w:eastAsia="zh-CN"/>
        </w:rPr>
        <w:t>（</w:t>
      </w:r>
      <w:r>
        <w:rPr>
          <w:rFonts w:hint="eastAsia" w:ascii="仿宋_GB2312" w:hAnsi="仿宋_GB2312" w:eastAsia="仿宋_GB2312" w:cs="仿宋_GB2312"/>
          <w:b w:val="0"/>
          <w:bCs w:val="0"/>
          <w:sz w:val="28"/>
          <w:szCs w:val="24"/>
          <w:lang w:val="en-US" w:eastAsia="zh-CN"/>
        </w:rPr>
        <w:t>7）招标人对合同编制及签订的相关法律法规理解不透彻、执行不到位，导致合同签订履约问题较多。</w:t>
      </w:r>
    </w:p>
    <w:p>
      <w:pPr>
        <w:widowControl/>
        <w:numPr>
          <w:ilvl w:val="-1"/>
          <w:numId w:val="0"/>
        </w:numPr>
        <w:spacing w:before="0" w:beforeLines="-2147483648" w:line="240" w:lineRule="auto"/>
        <w:ind w:firstLine="0" w:firstLineChars="0"/>
        <w:jc w:val="left"/>
        <w:outlineLvl w:val="9"/>
        <w:rPr>
          <w:rFonts w:hint="eastAsia" w:ascii="仿宋_GB2312" w:hAnsi="仿宋_GB2312" w:eastAsia="仿宋_GB2312" w:cs="仿宋_GB2312"/>
          <w:b w:val="0"/>
          <w:bCs w:val="0"/>
          <w:sz w:val="28"/>
          <w:szCs w:val="24"/>
          <w:lang w:eastAsia="zh-CN"/>
        </w:rPr>
      </w:pPr>
      <w:r>
        <w:rPr>
          <w:rFonts w:hint="eastAsia" w:ascii="仿宋_GB2312" w:hAnsi="仿宋_GB2312" w:eastAsia="仿宋_GB2312" w:cs="仿宋_GB2312"/>
          <w:b w:val="0"/>
          <w:bCs w:val="0"/>
          <w:sz w:val="28"/>
          <w:szCs w:val="24"/>
          <w:lang w:eastAsia="zh-CN"/>
        </w:rPr>
        <w:br w:type="page"/>
      </w:r>
    </w:p>
    <w:p>
      <w:pPr>
        <w:pStyle w:val="2"/>
        <w:spacing w:before="0" w:after="0" w:afterLines="0" w:line="560" w:lineRule="exact"/>
        <w:ind w:firstLine="0" w:firstLineChars="0"/>
        <w:rPr>
          <w:rFonts w:hint="eastAsia" w:ascii="黑体" w:hAnsi="黑体" w:eastAsia="黑体" w:cs="黑体"/>
          <w:b w:val="0"/>
          <w:bCs/>
          <w:sz w:val="32"/>
          <w:szCs w:val="32"/>
          <w:lang w:val="en-US" w:eastAsia="zh-CN"/>
        </w:rPr>
      </w:pPr>
      <w:bookmarkStart w:id="803" w:name="_Toc27276"/>
      <w:bookmarkStart w:id="804" w:name="_Toc30158"/>
      <w:bookmarkStart w:id="805" w:name="_Toc20549"/>
      <w:bookmarkStart w:id="806" w:name="_Toc27349"/>
      <w:bookmarkStart w:id="807" w:name="_Toc14488"/>
      <w:bookmarkStart w:id="808" w:name="_Toc18493"/>
      <w:bookmarkStart w:id="809" w:name="_Toc17289"/>
      <w:r>
        <w:rPr>
          <w:rFonts w:hint="eastAsia" w:ascii="黑体" w:hAnsi="黑体" w:eastAsia="黑体" w:cs="黑体"/>
          <w:b w:val="0"/>
          <w:bCs/>
          <w:sz w:val="32"/>
          <w:szCs w:val="32"/>
          <w:lang w:val="en-US" w:eastAsia="zh-CN"/>
        </w:rPr>
        <w:t>第4章  改进措施及合理化建议</w:t>
      </w:r>
      <w:bookmarkEnd w:id="803"/>
      <w:bookmarkEnd w:id="804"/>
      <w:bookmarkEnd w:id="805"/>
      <w:bookmarkEnd w:id="806"/>
      <w:bookmarkEnd w:id="807"/>
      <w:bookmarkEnd w:id="808"/>
      <w:bookmarkEnd w:id="809"/>
    </w:p>
    <w:p>
      <w:pPr>
        <w:pStyle w:val="3"/>
        <w:spacing w:before="0" w:beforeLines="0" w:line="560" w:lineRule="exact"/>
        <w:ind w:left="0" w:leftChars="0"/>
        <w:rPr>
          <w:rFonts w:hint="default" w:ascii="黑体" w:hAnsi="黑体" w:eastAsia="黑体" w:cs="黑体"/>
          <w:bCs/>
          <w:sz w:val="28"/>
          <w:szCs w:val="28"/>
          <w:lang w:val="en-US" w:eastAsia="zh-CN"/>
        </w:rPr>
      </w:pPr>
      <w:bookmarkStart w:id="810" w:name="_Toc15306"/>
      <w:bookmarkStart w:id="811" w:name="_Toc25860"/>
      <w:bookmarkStart w:id="812" w:name="_Toc31728"/>
      <w:bookmarkStart w:id="813" w:name="_Toc9515"/>
      <w:bookmarkStart w:id="814" w:name="_Toc8369"/>
      <w:bookmarkStart w:id="815" w:name="_Toc16224"/>
      <w:bookmarkStart w:id="816" w:name="_Toc19016"/>
      <w:r>
        <w:rPr>
          <w:rFonts w:hint="eastAsia" w:ascii="黑体" w:hAnsi="黑体" w:eastAsia="黑体" w:cs="黑体"/>
          <w:b w:val="0"/>
          <w:bCs/>
          <w:sz w:val="28"/>
          <w:szCs w:val="28"/>
          <w:lang w:val="en-US" w:eastAsia="zh-CN"/>
        </w:rPr>
        <w:t>4.1</w:t>
      </w:r>
      <w:bookmarkEnd w:id="810"/>
      <w:bookmarkEnd w:id="811"/>
      <w:bookmarkEnd w:id="812"/>
      <w:bookmarkEnd w:id="813"/>
      <w:r>
        <w:rPr>
          <w:rFonts w:hint="eastAsia" w:ascii="黑体" w:hAnsi="黑体" w:cs="黑体"/>
          <w:highlight w:val="none"/>
          <w:lang w:val="en-US" w:eastAsia="zh-CN"/>
        </w:rPr>
        <w:t>规范投标条件的设置及审查</w:t>
      </w:r>
      <w:bookmarkEnd w:id="814"/>
      <w:bookmarkEnd w:id="815"/>
      <w:bookmarkEnd w:id="816"/>
    </w:p>
    <w:p>
      <w:pPr>
        <w:widowControl/>
        <w:numPr>
          <w:ilvl w:val="0"/>
          <w:numId w:val="0"/>
        </w:numPr>
        <w:spacing w:beforeLines="0" w:afterLines="0" w:line="560" w:lineRule="exact"/>
        <w:ind w:firstLine="560" w:firstLineChars="200"/>
        <w:outlineLvl w:val="9"/>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1、建议制定资质设置说明的格式，包括项目概况，采用的企业资质（项目负责人资格）标准，设置企业资质（项目负责人资格）等级所对应的实际指标，设置同类工程经验（业绩）的依据等</w:t>
      </w:r>
      <w:r>
        <w:rPr>
          <w:rFonts w:hint="eastAsia" w:ascii="仿宋_GB2312" w:hAnsi="仿宋_GB2312" w:eastAsia="仿宋_GB2312" w:cs="仿宋_GB2312"/>
          <w:sz w:val="28"/>
          <w:szCs w:val="24"/>
        </w:rPr>
        <w:t>。限制招标人</w:t>
      </w:r>
      <w:r>
        <w:rPr>
          <w:rFonts w:hint="eastAsia" w:ascii="仿宋_GB2312" w:hAnsi="仿宋_GB2312" w:eastAsia="仿宋_GB2312" w:cs="仿宋_GB2312"/>
          <w:sz w:val="28"/>
          <w:szCs w:val="24"/>
          <w:lang w:val="en-US" w:eastAsia="zh-CN"/>
        </w:rPr>
        <w:t>不按规定设置投标资质条件的同时也</w:t>
      </w:r>
      <w:r>
        <w:rPr>
          <w:rFonts w:hint="eastAsia" w:ascii="仿宋_GB2312" w:hAnsi="仿宋_GB2312" w:eastAsia="仿宋_GB2312" w:cs="仿宋_GB2312"/>
          <w:sz w:val="28"/>
          <w:szCs w:val="24"/>
        </w:rPr>
        <w:t>便于监管。</w:t>
      </w:r>
    </w:p>
    <w:p>
      <w:pPr>
        <w:widowControl/>
        <w:numPr>
          <w:ilvl w:val="0"/>
          <w:numId w:val="0"/>
        </w:numPr>
        <w:spacing w:beforeLines="0" w:afterLines="0" w:line="560" w:lineRule="exact"/>
        <w:ind w:firstLine="560" w:firstLineChars="200"/>
        <w:outlineLvl w:val="9"/>
        <w:rPr>
          <w:rFonts w:hint="eastAsia" w:ascii="仿宋_GB2312" w:hAnsi="仿宋_GB2312" w:eastAsia="仿宋_GB2312" w:cs="仿宋_GB2312"/>
          <w:b w:val="0"/>
          <w:bCs w:val="0"/>
          <w:sz w:val="28"/>
          <w:szCs w:val="24"/>
          <w:lang w:val="en-US" w:eastAsia="zh-CN"/>
        </w:rPr>
      </w:pPr>
      <w:r>
        <w:rPr>
          <w:rFonts w:hint="eastAsia" w:ascii="仿宋_GB2312" w:hAnsi="仿宋_GB2312" w:eastAsia="仿宋_GB2312" w:cs="仿宋_GB2312"/>
          <w:sz w:val="28"/>
          <w:szCs w:val="24"/>
          <w:lang w:val="en-US" w:eastAsia="zh-CN"/>
        </w:rPr>
        <w:t>2、</w:t>
      </w:r>
      <w:r>
        <w:rPr>
          <w:rFonts w:hint="eastAsia" w:ascii="仿宋_GB2312" w:hAnsi="仿宋_GB2312" w:eastAsia="仿宋_GB2312" w:cs="仿宋_GB2312"/>
          <w:b w:val="0"/>
          <w:bCs w:val="0"/>
          <w:kern w:val="2"/>
          <w:sz w:val="28"/>
          <w:szCs w:val="24"/>
          <w:u w:val="none"/>
          <w:lang w:val="en-US" w:eastAsia="zh-CN" w:bidi="ar-SA"/>
        </w:rPr>
        <w:t>各招标人及招标代理应严格按照招标文件规定的资格审查内容对所有投标文件进行审查。</w:t>
      </w:r>
    </w:p>
    <w:p>
      <w:pPr>
        <w:widowControl/>
        <w:numPr>
          <w:ilvl w:val="0"/>
          <w:numId w:val="0"/>
        </w:numPr>
        <w:spacing w:beforeLines="0" w:afterLines="0" w:line="560" w:lineRule="exact"/>
        <w:ind w:firstLine="0" w:firstLineChars="0"/>
        <w:outlineLvl w:val="1"/>
        <w:rPr>
          <w:rFonts w:hint="default" w:ascii="黑体" w:hAnsi="黑体" w:eastAsia="黑体" w:cs="黑体"/>
          <w:b w:val="0"/>
          <w:bCs w:val="0"/>
          <w:sz w:val="28"/>
          <w:szCs w:val="24"/>
          <w:highlight w:val="none"/>
          <w:lang w:val="en-US" w:eastAsia="zh-CN"/>
        </w:rPr>
      </w:pPr>
      <w:bookmarkStart w:id="817" w:name="_Toc15691"/>
      <w:bookmarkStart w:id="818" w:name="_Toc20774"/>
      <w:bookmarkStart w:id="819" w:name="_Toc844"/>
      <w:r>
        <w:rPr>
          <w:rFonts w:hint="eastAsia" w:ascii="黑体" w:hAnsi="黑体" w:eastAsia="黑体" w:cs="黑体"/>
          <w:b w:val="0"/>
          <w:bCs w:val="0"/>
          <w:sz w:val="28"/>
          <w:szCs w:val="24"/>
          <w:highlight w:val="none"/>
          <w:lang w:val="en-US" w:eastAsia="zh-CN"/>
        </w:rPr>
        <w:t>4.2规范清标报告的编制</w:t>
      </w:r>
      <w:bookmarkEnd w:id="817"/>
      <w:bookmarkEnd w:id="818"/>
      <w:bookmarkEnd w:id="819"/>
    </w:p>
    <w:p>
      <w:pPr>
        <w:widowControl/>
        <w:numPr>
          <w:ilvl w:val="0"/>
          <w:numId w:val="0"/>
        </w:numPr>
        <w:spacing w:beforeLines="0" w:afterLines="0" w:line="560" w:lineRule="exact"/>
        <w:ind w:firstLine="560" w:firstLineChars="200"/>
        <w:outlineLvl w:val="9"/>
        <w:rPr>
          <w:rFonts w:hint="eastAsia" w:ascii="仿宋_GB2312" w:hAnsi="仿宋_GB2312" w:eastAsia="仿宋_GB2312" w:cs="仿宋_GB2312"/>
          <w:b w:val="0"/>
          <w:bCs w:val="0"/>
          <w:sz w:val="28"/>
          <w:szCs w:val="24"/>
          <w:lang w:val="en-US" w:eastAsia="zh-CN"/>
        </w:rPr>
      </w:pPr>
      <w:r>
        <w:rPr>
          <w:rFonts w:hint="eastAsia" w:ascii="仿宋_GB2312" w:hAnsi="仿宋_GB2312" w:eastAsia="仿宋_GB2312" w:cs="仿宋_GB2312"/>
          <w:b w:val="0"/>
          <w:bCs w:val="0"/>
          <w:sz w:val="28"/>
          <w:szCs w:val="24"/>
          <w:lang w:val="en-US" w:eastAsia="zh-CN"/>
        </w:rPr>
        <w:t>清标是择优的重要前置工作，目前对清标工作如何开展未有统一规定，导致部分项目清标报告质量不理想，起不到择优参考的效果。建议就清标环节出具相关细则或提供参考案例，规范和指导清标工作。</w:t>
      </w:r>
    </w:p>
    <w:p>
      <w:pPr>
        <w:widowControl/>
        <w:numPr>
          <w:ilvl w:val="0"/>
          <w:numId w:val="0"/>
        </w:numPr>
        <w:spacing w:before="0" w:beforeLines="0" w:afterLines="0" w:line="560" w:lineRule="exact"/>
        <w:ind w:left="0" w:leftChars="0" w:firstLine="0" w:firstLineChars="0"/>
        <w:outlineLvl w:val="1"/>
        <w:rPr>
          <w:rFonts w:hint="eastAsia" w:ascii="黑体" w:hAnsi="黑体" w:eastAsia="黑体" w:cs="黑体"/>
          <w:b w:val="0"/>
          <w:bCs w:val="0"/>
          <w:sz w:val="28"/>
          <w:szCs w:val="28"/>
          <w:lang w:val="en-US" w:eastAsia="zh-CN"/>
        </w:rPr>
      </w:pPr>
      <w:bookmarkStart w:id="820" w:name="_Toc10477"/>
      <w:bookmarkStart w:id="821" w:name="_Toc6002"/>
      <w:bookmarkStart w:id="822" w:name="_Toc31687"/>
      <w:r>
        <w:rPr>
          <w:rFonts w:hint="eastAsia" w:ascii="黑体" w:hAnsi="黑体" w:eastAsia="黑体" w:cs="黑体"/>
          <w:b w:val="0"/>
          <w:bCs w:val="0"/>
          <w:color w:val="auto"/>
          <w:sz w:val="28"/>
          <w:szCs w:val="28"/>
          <w:highlight w:val="none"/>
          <w:lang w:val="en-US" w:eastAsia="zh-CN"/>
        </w:rPr>
        <w:t>4.3</w:t>
      </w:r>
      <w:r>
        <w:rPr>
          <w:rFonts w:hint="eastAsia" w:ascii="黑体" w:hAnsi="黑体" w:eastAsia="黑体" w:cs="黑体"/>
          <w:sz w:val="28"/>
          <w:szCs w:val="28"/>
          <w:lang w:val="en-US" w:eastAsia="zh-CN"/>
        </w:rPr>
        <w:t>加强资料管理</w:t>
      </w:r>
      <w:bookmarkEnd w:id="820"/>
      <w:bookmarkEnd w:id="821"/>
      <w:bookmarkEnd w:id="822"/>
    </w:p>
    <w:p>
      <w:pPr>
        <w:widowControl/>
        <w:numPr>
          <w:ilvl w:val="0"/>
          <w:numId w:val="0"/>
        </w:numPr>
        <w:spacing w:beforeLines="0" w:afterLines="0" w:line="560" w:lineRule="exact"/>
        <w:ind w:firstLine="560" w:firstLineChars="200"/>
        <w:outlineLvl w:val="9"/>
        <w:rPr>
          <w:rFonts w:hint="eastAsia" w:ascii="仿宋_GB2312" w:hAnsi="仿宋_GB2312" w:eastAsia="仿宋_GB2312" w:cs="仿宋_GB2312"/>
          <w:sz w:val="28"/>
          <w:szCs w:val="24"/>
          <w:lang w:eastAsia="zh-CN"/>
        </w:rPr>
      </w:pPr>
      <w:r>
        <w:rPr>
          <w:rFonts w:hint="eastAsia" w:ascii="仿宋_GB2312" w:hAnsi="仿宋_GB2312" w:eastAsia="仿宋_GB2312" w:cs="仿宋_GB2312"/>
          <w:b w:val="0"/>
          <w:bCs w:val="0"/>
          <w:sz w:val="28"/>
          <w:szCs w:val="24"/>
          <w:lang w:val="en-US" w:eastAsia="zh-CN"/>
        </w:rPr>
        <w:t>建议招标人制定入围择优方案，并在入围环节将入围择优方案及入围资料上传至电子招标交易系统，</w:t>
      </w:r>
      <w:r>
        <w:rPr>
          <w:rFonts w:hint="eastAsia" w:ascii="仿宋_GB2312" w:hAnsi="仿宋_GB2312" w:eastAsia="仿宋_GB2312" w:cs="仿宋_GB2312"/>
          <w:sz w:val="28"/>
          <w:szCs w:val="24"/>
        </w:rPr>
        <w:t>让事中事后监管有迹可循</w:t>
      </w:r>
      <w:r>
        <w:rPr>
          <w:rFonts w:hint="eastAsia" w:ascii="仿宋_GB2312" w:hAnsi="仿宋_GB2312" w:eastAsia="仿宋_GB2312" w:cs="仿宋_GB2312"/>
          <w:sz w:val="28"/>
          <w:szCs w:val="24"/>
          <w:lang w:eastAsia="zh-CN"/>
        </w:rPr>
        <w:t>。</w:t>
      </w:r>
    </w:p>
    <w:p>
      <w:pPr>
        <w:widowControl/>
        <w:numPr>
          <w:ilvl w:val="0"/>
          <w:numId w:val="0"/>
        </w:numPr>
        <w:spacing w:beforeLines="0" w:afterLines="0" w:line="560" w:lineRule="exact"/>
        <w:ind w:firstLine="0" w:firstLineChars="0"/>
        <w:outlineLvl w:val="1"/>
        <w:rPr>
          <w:rFonts w:hint="eastAsia" w:ascii="黑体" w:hAnsi="黑体" w:eastAsia="黑体" w:cs="黑体"/>
          <w:sz w:val="28"/>
          <w:szCs w:val="28"/>
          <w:lang w:val="en-US" w:eastAsia="zh-CN"/>
        </w:rPr>
      </w:pPr>
      <w:bookmarkStart w:id="823" w:name="_Toc7607"/>
      <w:r>
        <w:rPr>
          <w:rFonts w:hint="eastAsia" w:ascii="黑体" w:hAnsi="黑体" w:eastAsia="黑体" w:cs="黑体"/>
          <w:sz w:val="28"/>
          <w:szCs w:val="28"/>
          <w:lang w:val="en-US" w:eastAsia="zh-CN"/>
        </w:rPr>
        <w:t>4.4.加强合同管理</w:t>
      </w:r>
      <w:bookmarkEnd w:id="823"/>
    </w:p>
    <w:p>
      <w:pPr>
        <w:widowControl/>
        <w:numPr>
          <w:ilvl w:val="0"/>
          <w:numId w:val="0"/>
        </w:numPr>
        <w:spacing w:before="0" w:beforeLines="0" w:afterLines="0" w:line="560" w:lineRule="exact"/>
        <w:ind w:left="0" w:leftChars="0" w:firstLine="560" w:firstLineChars="200"/>
        <w:outlineLvl w:val="9"/>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sz w:val="28"/>
        </w:rPr>
        <w:t>建议招标人加强合同条款合法合规性审查，不签订与招标文件、中标人的投标文件主要条款不一致的合同，避免合同履约中</w:t>
      </w:r>
      <w:r>
        <w:rPr>
          <w:rFonts w:hint="eastAsia" w:ascii="仿宋_GB2312" w:hAnsi="仿宋_GB2312" w:eastAsia="仿宋_GB2312" w:cs="仿宋_GB2312"/>
          <w:sz w:val="28"/>
          <w:lang w:eastAsia="zh-CN"/>
        </w:rPr>
        <w:t>产生争议纠纷</w:t>
      </w:r>
      <w:r>
        <w:rPr>
          <w:rFonts w:hint="eastAsia" w:ascii="仿宋_GB2312" w:hAnsi="仿宋_GB2312" w:eastAsia="仿宋_GB2312" w:cs="仿宋_GB2312"/>
          <w:sz w:val="28"/>
          <w:szCs w:val="24"/>
          <w:lang w:val="en-US" w:eastAsia="zh-CN"/>
        </w:rPr>
        <w:t>。</w:t>
      </w:r>
    </w:p>
    <w:p>
      <w:pPr>
        <w:widowControl/>
        <w:numPr>
          <w:ilvl w:val="0"/>
          <w:numId w:val="0"/>
        </w:numPr>
        <w:spacing w:before="0" w:beforeLines="0" w:afterLines="0" w:line="560" w:lineRule="exact"/>
        <w:ind w:left="0" w:leftChars="0" w:firstLine="0" w:firstLineChars="0"/>
        <w:outlineLvl w:val="1"/>
        <w:rPr>
          <w:rFonts w:hint="eastAsia" w:ascii="黑体" w:hAnsi="黑体" w:eastAsia="黑体" w:cs="黑体"/>
          <w:b w:val="0"/>
          <w:bCs w:val="0"/>
          <w:sz w:val="28"/>
          <w:szCs w:val="28"/>
          <w:lang w:val="en-US" w:eastAsia="zh-CN"/>
        </w:rPr>
      </w:pPr>
      <w:bookmarkStart w:id="824" w:name="_Toc15912"/>
      <w:bookmarkStart w:id="825" w:name="_Toc16084"/>
      <w:bookmarkStart w:id="826" w:name="_Toc14122"/>
      <w:bookmarkStart w:id="827" w:name="_Toc24508"/>
      <w:bookmarkStart w:id="828" w:name="_Toc11577"/>
      <w:bookmarkStart w:id="829" w:name="_Toc29679"/>
      <w:bookmarkStart w:id="830" w:name="_Toc29653"/>
      <w:r>
        <w:rPr>
          <w:rFonts w:hint="eastAsia" w:ascii="黑体" w:hAnsi="黑体" w:eastAsia="黑体" w:cs="黑体"/>
          <w:b w:val="0"/>
          <w:bCs w:val="0"/>
          <w:sz w:val="28"/>
          <w:szCs w:val="28"/>
          <w:highlight w:val="none"/>
          <w:lang w:val="en-US" w:eastAsia="zh-CN"/>
        </w:rPr>
        <w:t>4.</w:t>
      </w:r>
      <w:bookmarkEnd w:id="824"/>
      <w:bookmarkEnd w:id="825"/>
      <w:bookmarkEnd w:id="826"/>
      <w:bookmarkEnd w:id="827"/>
      <w:r>
        <w:rPr>
          <w:rFonts w:hint="eastAsia" w:ascii="黑体" w:hAnsi="黑体" w:eastAsia="黑体" w:cs="黑体"/>
          <w:b w:val="0"/>
          <w:bCs w:val="0"/>
          <w:sz w:val="28"/>
          <w:szCs w:val="28"/>
          <w:highlight w:val="none"/>
          <w:lang w:val="en-US" w:eastAsia="zh-CN"/>
        </w:rPr>
        <w:t>5加强招投标政策法规解读及宣贯</w:t>
      </w:r>
      <w:bookmarkEnd w:id="828"/>
      <w:bookmarkEnd w:id="829"/>
      <w:bookmarkEnd w:id="830"/>
    </w:p>
    <w:p>
      <w:pPr>
        <w:widowControl/>
        <w:numPr>
          <w:ilvl w:val="0"/>
          <w:numId w:val="0"/>
        </w:numPr>
        <w:spacing w:beforeLines="0" w:afterLines="0" w:line="560" w:lineRule="exact"/>
        <w:ind w:firstLine="560" w:firstLineChars="20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1、建议相关平台增设招标投标政策解读及相关问题咨询功能。招标投标主管部门对咨询的问题进行研究，并就有关问题作出答复，对于带有共性的问题，统一在平台发布。</w:t>
      </w:r>
    </w:p>
    <w:p>
      <w:pPr>
        <w:widowControl/>
        <w:numPr>
          <w:ilvl w:val="0"/>
          <w:numId w:val="0"/>
        </w:numPr>
        <w:spacing w:before="0" w:beforeLines="0" w:line="560" w:lineRule="exact"/>
        <w:ind w:left="0" w:leftChars="0" w:firstLine="560" w:firstLineChars="200"/>
        <w:outlineLvl w:val="9"/>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sz w:val="28"/>
          <w:szCs w:val="28"/>
          <w:lang w:val="en-US" w:eastAsia="zh-CN"/>
        </w:rPr>
        <w:t>2、建议定期</w:t>
      </w:r>
      <w:r>
        <w:rPr>
          <w:rFonts w:hint="eastAsia" w:ascii="仿宋_GB2312" w:hAnsi="仿宋_GB2312" w:eastAsia="仿宋_GB2312" w:cs="仿宋_GB2312"/>
          <w:sz w:val="28"/>
          <w:szCs w:val="28"/>
        </w:rPr>
        <w:t>举办招标投标</w:t>
      </w:r>
      <w:r>
        <w:rPr>
          <w:rFonts w:hint="eastAsia" w:ascii="仿宋_GB2312" w:hAnsi="仿宋_GB2312" w:eastAsia="仿宋_GB2312" w:cs="仿宋_GB2312"/>
          <w:sz w:val="28"/>
          <w:szCs w:val="28"/>
          <w:lang w:val="en-US" w:eastAsia="zh-CN"/>
        </w:rPr>
        <w:t>培训交流活动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邀请行业资深专家进行政策解读，分析典型项目案例，提升招标投标从业人员职业素养和</w:t>
      </w:r>
      <w:r>
        <w:rPr>
          <w:rFonts w:hint="eastAsia" w:ascii="仿宋_GB2312" w:hAnsi="仿宋_GB2312" w:eastAsia="仿宋_GB2312" w:cs="仿宋_GB2312"/>
          <w:sz w:val="28"/>
          <w:szCs w:val="28"/>
        </w:rPr>
        <w:t>业务水平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进一步规范</w:t>
      </w:r>
      <w:r>
        <w:rPr>
          <w:rFonts w:hint="eastAsia" w:ascii="仿宋_GB2312" w:hAnsi="仿宋_GB2312" w:eastAsia="仿宋_GB2312" w:cs="仿宋_GB2312"/>
          <w:sz w:val="28"/>
          <w:szCs w:val="28"/>
          <w:lang w:val="en-US" w:eastAsia="zh-CN"/>
        </w:rPr>
        <w:t>各方责任主体</w:t>
      </w:r>
      <w:r>
        <w:rPr>
          <w:rFonts w:hint="eastAsia" w:ascii="仿宋_GB2312" w:hAnsi="仿宋_GB2312" w:eastAsia="仿宋_GB2312" w:cs="仿宋_GB2312"/>
          <w:sz w:val="28"/>
          <w:szCs w:val="28"/>
        </w:rPr>
        <w:t>的行为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促进招标投标活动健康发展。</w:t>
      </w:r>
      <w:bookmarkEnd w:id="506"/>
      <w:bookmarkEnd w:id="587"/>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隶书">
    <w:altName w:val="方正隶书_GBK"/>
    <w:panose1 w:val="0201050906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imes">
    <w:altName w:val="DejaVu Sans"/>
    <w:panose1 w:val="00000500000000020000"/>
    <w:charset w:val="00"/>
    <w:family w:val="roman"/>
    <w:pitch w:val="default"/>
    <w:sig w:usb0="00000000" w:usb1="00000000" w:usb2="00000000" w:usb3="00000000" w:csb0="2000019F" w:csb1="4F010000"/>
  </w:font>
  <w:font w:name="幼圆">
    <w:panose1 w:val="0201050906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方正隶书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mMGVmZjBmZDdkZTYwMWExZDM3MjgwOTcwODU1YzQifQ=="/>
  </w:docVars>
  <w:rsids>
    <w:rsidRoot w:val="00BB5D95"/>
    <w:rsid w:val="00001254"/>
    <w:rsid w:val="00007B6B"/>
    <w:rsid w:val="00010B94"/>
    <w:rsid w:val="000110A4"/>
    <w:rsid w:val="00013BE0"/>
    <w:rsid w:val="00013D25"/>
    <w:rsid w:val="00015F5D"/>
    <w:rsid w:val="000231B1"/>
    <w:rsid w:val="00023AF1"/>
    <w:rsid w:val="0002561E"/>
    <w:rsid w:val="00026D6C"/>
    <w:rsid w:val="00030732"/>
    <w:rsid w:val="00036351"/>
    <w:rsid w:val="000421AD"/>
    <w:rsid w:val="000437EE"/>
    <w:rsid w:val="00044F4B"/>
    <w:rsid w:val="00051D23"/>
    <w:rsid w:val="00052567"/>
    <w:rsid w:val="00055F61"/>
    <w:rsid w:val="0006200F"/>
    <w:rsid w:val="00064B63"/>
    <w:rsid w:val="000650C6"/>
    <w:rsid w:val="00072557"/>
    <w:rsid w:val="00080E03"/>
    <w:rsid w:val="0008472D"/>
    <w:rsid w:val="000C3EC3"/>
    <w:rsid w:val="000C66B0"/>
    <w:rsid w:val="000D1AE4"/>
    <w:rsid w:val="000D3BCA"/>
    <w:rsid w:val="000F5C6D"/>
    <w:rsid w:val="000F6DB3"/>
    <w:rsid w:val="0010435B"/>
    <w:rsid w:val="00117385"/>
    <w:rsid w:val="00117D58"/>
    <w:rsid w:val="0012263F"/>
    <w:rsid w:val="00123C91"/>
    <w:rsid w:val="00124194"/>
    <w:rsid w:val="00126853"/>
    <w:rsid w:val="00140381"/>
    <w:rsid w:val="001462E3"/>
    <w:rsid w:val="00150139"/>
    <w:rsid w:val="00152BFD"/>
    <w:rsid w:val="00155783"/>
    <w:rsid w:val="0017250E"/>
    <w:rsid w:val="00176B3F"/>
    <w:rsid w:val="0019290A"/>
    <w:rsid w:val="001948E8"/>
    <w:rsid w:val="001A25BA"/>
    <w:rsid w:val="001A6BCF"/>
    <w:rsid w:val="001B5BD2"/>
    <w:rsid w:val="001C05D6"/>
    <w:rsid w:val="001C0A54"/>
    <w:rsid w:val="001C0B5F"/>
    <w:rsid w:val="001D0877"/>
    <w:rsid w:val="001E3E31"/>
    <w:rsid w:val="001F0ACA"/>
    <w:rsid w:val="001F15DB"/>
    <w:rsid w:val="001F65F2"/>
    <w:rsid w:val="002030F3"/>
    <w:rsid w:val="00203ECA"/>
    <w:rsid w:val="0020736E"/>
    <w:rsid w:val="002112FF"/>
    <w:rsid w:val="00213884"/>
    <w:rsid w:val="002160BB"/>
    <w:rsid w:val="00217388"/>
    <w:rsid w:val="002249E4"/>
    <w:rsid w:val="00232212"/>
    <w:rsid w:val="00237B35"/>
    <w:rsid w:val="00244E21"/>
    <w:rsid w:val="00247CEA"/>
    <w:rsid w:val="002605CD"/>
    <w:rsid w:val="002759AF"/>
    <w:rsid w:val="002778FB"/>
    <w:rsid w:val="002806A8"/>
    <w:rsid w:val="0028089B"/>
    <w:rsid w:val="00284F0F"/>
    <w:rsid w:val="0028778B"/>
    <w:rsid w:val="0029275A"/>
    <w:rsid w:val="00293655"/>
    <w:rsid w:val="00296725"/>
    <w:rsid w:val="002B082C"/>
    <w:rsid w:val="002B59C8"/>
    <w:rsid w:val="002C2406"/>
    <w:rsid w:val="002D7005"/>
    <w:rsid w:val="002E4021"/>
    <w:rsid w:val="002E5A1E"/>
    <w:rsid w:val="002E6570"/>
    <w:rsid w:val="002E7235"/>
    <w:rsid w:val="002F15DD"/>
    <w:rsid w:val="002F435A"/>
    <w:rsid w:val="00301612"/>
    <w:rsid w:val="003107F3"/>
    <w:rsid w:val="003132B9"/>
    <w:rsid w:val="003211C7"/>
    <w:rsid w:val="003224D8"/>
    <w:rsid w:val="00324A4F"/>
    <w:rsid w:val="00325789"/>
    <w:rsid w:val="003314C4"/>
    <w:rsid w:val="0033513B"/>
    <w:rsid w:val="0034599F"/>
    <w:rsid w:val="00345C39"/>
    <w:rsid w:val="00346C14"/>
    <w:rsid w:val="00347E90"/>
    <w:rsid w:val="00355750"/>
    <w:rsid w:val="003572C3"/>
    <w:rsid w:val="0036536B"/>
    <w:rsid w:val="00365F86"/>
    <w:rsid w:val="00366BED"/>
    <w:rsid w:val="00371209"/>
    <w:rsid w:val="00371628"/>
    <w:rsid w:val="00371787"/>
    <w:rsid w:val="0037222A"/>
    <w:rsid w:val="00373868"/>
    <w:rsid w:val="00385FF8"/>
    <w:rsid w:val="00396E07"/>
    <w:rsid w:val="003B3E55"/>
    <w:rsid w:val="003C06FB"/>
    <w:rsid w:val="003D45B4"/>
    <w:rsid w:val="003E71AB"/>
    <w:rsid w:val="003F0A40"/>
    <w:rsid w:val="003F602B"/>
    <w:rsid w:val="003F6E9D"/>
    <w:rsid w:val="00400B31"/>
    <w:rsid w:val="0040105F"/>
    <w:rsid w:val="00413528"/>
    <w:rsid w:val="00414B2B"/>
    <w:rsid w:val="0043718B"/>
    <w:rsid w:val="0043762F"/>
    <w:rsid w:val="00441521"/>
    <w:rsid w:val="00450F92"/>
    <w:rsid w:val="0046621C"/>
    <w:rsid w:val="00490EC4"/>
    <w:rsid w:val="00492D14"/>
    <w:rsid w:val="004B0514"/>
    <w:rsid w:val="004B3826"/>
    <w:rsid w:val="004C241D"/>
    <w:rsid w:val="004C6C4F"/>
    <w:rsid w:val="004D133C"/>
    <w:rsid w:val="004D1893"/>
    <w:rsid w:val="004D6856"/>
    <w:rsid w:val="004D70F9"/>
    <w:rsid w:val="004F0B79"/>
    <w:rsid w:val="004F3401"/>
    <w:rsid w:val="004F709E"/>
    <w:rsid w:val="005006D6"/>
    <w:rsid w:val="0050694C"/>
    <w:rsid w:val="00510193"/>
    <w:rsid w:val="005115BB"/>
    <w:rsid w:val="005161BF"/>
    <w:rsid w:val="00534147"/>
    <w:rsid w:val="00534D37"/>
    <w:rsid w:val="005419FC"/>
    <w:rsid w:val="00550A30"/>
    <w:rsid w:val="00550B41"/>
    <w:rsid w:val="005759A3"/>
    <w:rsid w:val="00576773"/>
    <w:rsid w:val="005773AA"/>
    <w:rsid w:val="00583E80"/>
    <w:rsid w:val="005906E0"/>
    <w:rsid w:val="005909A5"/>
    <w:rsid w:val="005B367A"/>
    <w:rsid w:val="005B6778"/>
    <w:rsid w:val="005B6C30"/>
    <w:rsid w:val="005B7D9C"/>
    <w:rsid w:val="005C2F18"/>
    <w:rsid w:val="005D7821"/>
    <w:rsid w:val="005E3FD8"/>
    <w:rsid w:val="005F021C"/>
    <w:rsid w:val="005F02BC"/>
    <w:rsid w:val="005F115D"/>
    <w:rsid w:val="00602463"/>
    <w:rsid w:val="00605EE2"/>
    <w:rsid w:val="006116AC"/>
    <w:rsid w:val="006120E3"/>
    <w:rsid w:val="00625B76"/>
    <w:rsid w:val="00631F33"/>
    <w:rsid w:val="0063478E"/>
    <w:rsid w:val="006505DC"/>
    <w:rsid w:val="006540FE"/>
    <w:rsid w:val="00655C9C"/>
    <w:rsid w:val="00660DA2"/>
    <w:rsid w:val="006634F0"/>
    <w:rsid w:val="00667FB0"/>
    <w:rsid w:val="00672ADD"/>
    <w:rsid w:val="00674745"/>
    <w:rsid w:val="00677ED6"/>
    <w:rsid w:val="006808AF"/>
    <w:rsid w:val="00680C55"/>
    <w:rsid w:val="00685C3D"/>
    <w:rsid w:val="006940C3"/>
    <w:rsid w:val="006A06DE"/>
    <w:rsid w:val="006A55B0"/>
    <w:rsid w:val="006B5A0C"/>
    <w:rsid w:val="006D55D7"/>
    <w:rsid w:val="006E0905"/>
    <w:rsid w:val="006E1519"/>
    <w:rsid w:val="006E3AE1"/>
    <w:rsid w:val="006E403A"/>
    <w:rsid w:val="006E70E6"/>
    <w:rsid w:val="006F67C6"/>
    <w:rsid w:val="007035A2"/>
    <w:rsid w:val="00724B35"/>
    <w:rsid w:val="0073225C"/>
    <w:rsid w:val="00732733"/>
    <w:rsid w:val="007357B8"/>
    <w:rsid w:val="00735B8B"/>
    <w:rsid w:val="00736EA3"/>
    <w:rsid w:val="007416FD"/>
    <w:rsid w:val="00741CE1"/>
    <w:rsid w:val="0075247D"/>
    <w:rsid w:val="00755994"/>
    <w:rsid w:val="00760A45"/>
    <w:rsid w:val="00771EB0"/>
    <w:rsid w:val="0078001D"/>
    <w:rsid w:val="007835D1"/>
    <w:rsid w:val="00783A99"/>
    <w:rsid w:val="00786813"/>
    <w:rsid w:val="007868DB"/>
    <w:rsid w:val="00787B21"/>
    <w:rsid w:val="00792B39"/>
    <w:rsid w:val="007B5D68"/>
    <w:rsid w:val="007D5A92"/>
    <w:rsid w:val="007E3D35"/>
    <w:rsid w:val="007E5234"/>
    <w:rsid w:val="007E560D"/>
    <w:rsid w:val="007F4034"/>
    <w:rsid w:val="00814714"/>
    <w:rsid w:val="00824E65"/>
    <w:rsid w:val="0083012B"/>
    <w:rsid w:val="0083078C"/>
    <w:rsid w:val="00841C42"/>
    <w:rsid w:val="00847E98"/>
    <w:rsid w:val="0085454D"/>
    <w:rsid w:val="00863FE4"/>
    <w:rsid w:val="008670A0"/>
    <w:rsid w:val="00872B1C"/>
    <w:rsid w:val="00891A2C"/>
    <w:rsid w:val="008A0496"/>
    <w:rsid w:val="008A0E6E"/>
    <w:rsid w:val="008A5BB2"/>
    <w:rsid w:val="008B04A8"/>
    <w:rsid w:val="008B0FAC"/>
    <w:rsid w:val="008B21A7"/>
    <w:rsid w:val="008C133D"/>
    <w:rsid w:val="008C3DA0"/>
    <w:rsid w:val="008C46DF"/>
    <w:rsid w:val="008C506A"/>
    <w:rsid w:val="008D0796"/>
    <w:rsid w:val="008D5150"/>
    <w:rsid w:val="008D6E18"/>
    <w:rsid w:val="008D7D64"/>
    <w:rsid w:val="008E26AA"/>
    <w:rsid w:val="008E327A"/>
    <w:rsid w:val="008E3A46"/>
    <w:rsid w:val="008E4932"/>
    <w:rsid w:val="008E5E63"/>
    <w:rsid w:val="008F5486"/>
    <w:rsid w:val="008F7944"/>
    <w:rsid w:val="009034D6"/>
    <w:rsid w:val="009118F1"/>
    <w:rsid w:val="00913370"/>
    <w:rsid w:val="0091611C"/>
    <w:rsid w:val="0092570E"/>
    <w:rsid w:val="00932FF4"/>
    <w:rsid w:val="00934133"/>
    <w:rsid w:val="0093669D"/>
    <w:rsid w:val="00943053"/>
    <w:rsid w:val="0094396E"/>
    <w:rsid w:val="009511C8"/>
    <w:rsid w:val="0095691F"/>
    <w:rsid w:val="0096348E"/>
    <w:rsid w:val="00964352"/>
    <w:rsid w:val="00967AA1"/>
    <w:rsid w:val="00971B16"/>
    <w:rsid w:val="00972E5D"/>
    <w:rsid w:val="00983254"/>
    <w:rsid w:val="0099366C"/>
    <w:rsid w:val="009A2146"/>
    <w:rsid w:val="009A25A5"/>
    <w:rsid w:val="009A57C5"/>
    <w:rsid w:val="009A5C75"/>
    <w:rsid w:val="009A5E5D"/>
    <w:rsid w:val="009B4DB1"/>
    <w:rsid w:val="009B59B8"/>
    <w:rsid w:val="009C0255"/>
    <w:rsid w:val="009C3C35"/>
    <w:rsid w:val="009C4391"/>
    <w:rsid w:val="009C644C"/>
    <w:rsid w:val="009D30B2"/>
    <w:rsid w:val="009D5F83"/>
    <w:rsid w:val="009E157E"/>
    <w:rsid w:val="009E5D28"/>
    <w:rsid w:val="009E6672"/>
    <w:rsid w:val="009F6536"/>
    <w:rsid w:val="009F6BCB"/>
    <w:rsid w:val="009F7BF8"/>
    <w:rsid w:val="00A11FF9"/>
    <w:rsid w:val="00A162C2"/>
    <w:rsid w:val="00A2175F"/>
    <w:rsid w:val="00A22D3B"/>
    <w:rsid w:val="00A233D4"/>
    <w:rsid w:val="00A2345E"/>
    <w:rsid w:val="00A23E31"/>
    <w:rsid w:val="00A27DFC"/>
    <w:rsid w:val="00A4593B"/>
    <w:rsid w:val="00A46CEE"/>
    <w:rsid w:val="00A541D0"/>
    <w:rsid w:val="00A56E40"/>
    <w:rsid w:val="00A62487"/>
    <w:rsid w:val="00A627E2"/>
    <w:rsid w:val="00A63BB4"/>
    <w:rsid w:val="00A71A0C"/>
    <w:rsid w:val="00A74BF4"/>
    <w:rsid w:val="00A75D4B"/>
    <w:rsid w:val="00A81BE0"/>
    <w:rsid w:val="00A82CFE"/>
    <w:rsid w:val="00A91D94"/>
    <w:rsid w:val="00A954DA"/>
    <w:rsid w:val="00AA18F9"/>
    <w:rsid w:val="00AA40EF"/>
    <w:rsid w:val="00AA4326"/>
    <w:rsid w:val="00AB68F0"/>
    <w:rsid w:val="00AC3C99"/>
    <w:rsid w:val="00AC4E33"/>
    <w:rsid w:val="00AD4081"/>
    <w:rsid w:val="00AE331D"/>
    <w:rsid w:val="00AE6B9D"/>
    <w:rsid w:val="00AE720A"/>
    <w:rsid w:val="00AF38BD"/>
    <w:rsid w:val="00AF477C"/>
    <w:rsid w:val="00AF70C2"/>
    <w:rsid w:val="00AF76D1"/>
    <w:rsid w:val="00B0143A"/>
    <w:rsid w:val="00B10315"/>
    <w:rsid w:val="00B121EB"/>
    <w:rsid w:val="00B256AB"/>
    <w:rsid w:val="00B30F22"/>
    <w:rsid w:val="00B37FAC"/>
    <w:rsid w:val="00B40941"/>
    <w:rsid w:val="00B40C9F"/>
    <w:rsid w:val="00B47D16"/>
    <w:rsid w:val="00B50E80"/>
    <w:rsid w:val="00B613E2"/>
    <w:rsid w:val="00B67E27"/>
    <w:rsid w:val="00B72415"/>
    <w:rsid w:val="00B748F7"/>
    <w:rsid w:val="00B84600"/>
    <w:rsid w:val="00B85084"/>
    <w:rsid w:val="00B861F9"/>
    <w:rsid w:val="00BA3E9C"/>
    <w:rsid w:val="00BB0481"/>
    <w:rsid w:val="00BB0834"/>
    <w:rsid w:val="00BB5D95"/>
    <w:rsid w:val="00BC0B7F"/>
    <w:rsid w:val="00BD7A26"/>
    <w:rsid w:val="00BF58D1"/>
    <w:rsid w:val="00C005AC"/>
    <w:rsid w:val="00C01C35"/>
    <w:rsid w:val="00C03745"/>
    <w:rsid w:val="00C047E0"/>
    <w:rsid w:val="00C111FC"/>
    <w:rsid w:val="00C22F8C"/>
    <w:rsid w:val="00C22FFA"/>
    <w:rsid w:val="00C23C72"/>
    <w:rsid w:val="00C242F9"/>
    <w:rsid w:val="00C24F72"/>
    <w:rsid w:val="00C2517D"/>
    <w:rsid w:val="00C26FFB"/>
    <w:rsid w:val="00C30E1B"/>
    <w:rsid w:val="00C35D15"/>
    <w:rsid w:val="00C35EE4"/>
    <w:rsid w:val="00C41C1C"/>
    <w:rsid w:val="00C450B1"/>
    <w:rsid w:val="00C45396"/>
    <w:rsid w:val="00C54839"/>
    <w:rsid w:val="00C55AAC"/>
    <w:rsid w:val="00C66869"/>
    <w:rsid w:val="00C7473C"/>
    <w:rsid w:val="00C80D29"/>
    <w:rsid w:val="00C82D73"/>
    <w:rsid w:val="00C90577"/>
    <w:rsid w:val="00C944E4"/>
    <w:rsid w:val="00CA1D3A"/>
    <w:rsid w:val="00CA728D"/>
    <w:rsid w:val="00CB32F1"/>
    <w:rsid w:val="00CB601C"/>
    <w:rsid w:val="00CC0AD4"/>
    <w:rsid w:val="00CC6D47"/>
    <w:rsid w:val="00CD3ABA"/>
    <w:rsid w:val="00CE6B8E"/>
    <w:rsid w:val="00CF2032"/>
    <w:rsid w:val="00CF78B7"/>
    <w:rsid w:val="00D0491C"/>
    <w:rsid w:val="00D07204"/>
    <w:rsid w:val="00D07359"/>
    <w:rsid w:val="00D07FAA"/>
    <w:rsid w:val="00D21292"/>
    <w:rsid w:val="00D224E9"/>
    <w:rsid w:val="00D2498B"/>
    <w:rsid w:val="00D279CA"/>
    <w:rsid w:val="00D33DBB"/>
    <w:rsid w:val="00D36BDE"/>
    <w:rsid w:val="00D51AF9"/>
    <w:rsid w:val="00D65BDC"/>
    <w:rsid w:val="00D74609"/>
    <w:rsid w:val="00D82B87"/>
    <w:rsid w:val="00D904EC"/>
    <w:rsid w:val="00D95712"/>
    <w:rsid w:val="00D95F9E"/>
    <w:rsid w:val="00D970C9"/>
    <w:rsid w:val="00D97A70"/>
    <w:rsid w:val="00DA07C4"/>
    <w:rsid w:val="00DA6E79"/>
    <w:rsid w:val="00DA7EC8"/>
    <w:rsid w:val="00DB364C"/>
    <w:rsid w:val="00DC3A9B"/>
    <w:rsid w:val="00DD72DF"/>
    <w:rsid w:val="00DE076A"/>
    <w:rsid w:val="00DE1D26"/>
    <w:rsid w:val="00DE494F"/>
    <w:rsid w:val="00DE5BA3"/>
    <w:rsid w:val="00DE6F91"/>
    <w:rsid w:val="00DF2662"/>
    <w:rsid w:val="00DF5469"/>
    <w:rsid w:val="00E01DA3"/>
    <w:rsid w:val="00E055B7"/>
    <w:rsid w:val="00E0572D"/>
    <w:rsid w:val="00E058F0"/>
    <w:rsid w:val="00E06BB3"/>
    <w:rsid w:val="00E24B86"/>
    <w:rsid w:val="00E26FBC"/>
    <w:rsid w:val="00E27A26"/>
    <w:rsid w:val="00E326B5"/>
    <w:rsid w:val="00E41449"/>
    <w:rsid w:val="00E44AA0"/>
    <w:rsid w:val="00E466E8"/>
    <w:rsid w:val="00E51A6B"/>
    <w:rsid w:val="00E568CD"/>
    <w:rsid w:val="00E74E5F"/>
    <w:rsid w:val="00E769D6"/>
    <w:rsid w:val="00E83165"/>
    <w:rsid w:val="00E843AB"/>
    <w:rsid w:val="00E84487"/>
    <w:rsid w:val="00E854EE"/>
    <w:rsid w:val="00E85FD2"/>
    <w:rsid w:val="00EA4826"/>
    <w:rsid w:val="00EA703C"/>
    <w:rsid w:val="00EC1F5C"/>
    <w:rsid w:val="00EC33D1"/>
    <w:rsid w:val="00EC415C"/>
    <w:rsid w:val="00EC5AEF"/>
    <w:rsid w:val="00ED1E38"/>
    <w:rsid w:val="00ED3E2A"/>
    <w:rsid w:val="00EE1A64"/>
    <w:rsid w:val="00EE3F3C"/>
    <w:rsid w:val="00EE40BC"/>
    <w:rsid w:val="00EF65A8"/>
    <w:rsid w:val="00F070C4"/>
    <w:rsid w:val="00F14867"/>
    <w:rsid w:val="00F23A11"/>
    <w:rsid w:val="00F47EC0"/>
    <w:rsid w:val="00F70F4C"/>
    <w:rsid w:val="00F73D30"/>
    <w:rsid w:val="00F87A2E"/>
    <w:rsid w:val="00F95423"/>
    <w:rsid w:val="00FA56BD"/>
    <w:rsid w:val="00FB4B43"/>
    <w:rsid w:val="00FC5B42"/>
    <w:rsid w:val="00FC6B92"/>
    <w:rsid w:val="00FD240E"/>
    <w:rsid w:val="00FD4355"/>
    <w:rsid w:val="00FD5138"/>
    <w:rsid w:val="00FF0E90"/>
    <w:rsid w:val="00FF3D6D"/>
    <w:rsid w:val="011D74CB"/>
    <w:rsid w:val="01304007"/>
    <w:rsid w:val="01716E7A"/>
    <w:rsid w:val="0179515F"/>
    <w:rsid w:val="01961934"/>
    <w:rsid w:val="019A427D"/>
    <w:rsid w:val="01AA0754"/>
    <w:rsid w:val="01AE08B5"/>
    <w:rsid w:val="01D051BB"/>
    <w:rsid w:val="02035A41"/>
    <w:rsid w:val="026849C0"/>
    <w:rsid w:val="028C5696"/>
    <w:rsid w:val="0297460A"/>
    <w:rsid w:val="029931D0"/>
    <w:rsid w:val="02BB41A6"/>
    <w:rsid w:val="02BC5A5B"/>
    <w:rsid w:val="02C44E0D"/>
    <w:rsid w:val="02F06C9D"/>
    <w:rsid w:val="031D2E4C"/>
    <w:rsid w:val="0333471D"/>
    <w:rsid w:val="033613A7"/>
    <w:rsid w:val="034172DB"/>
    <w:rsid w:val="034E6502"/>
    <w:rsid w:val="03756464"/>
    <w:rsid w:val="03C61D4F"/>
    <w:rsid w:val="03E6025A"/>
    <w:rsid w:val="03F92DE5"/>
    <w:rsid w:val="0440700E"/>
    <w:rsid w:val="04731D74"/>
    <w:rsid w:val="04831F74"/>
    <w:rsid w:val="04AB787A"/>
    <w:rsid w:val="04EA0992"/>
    <w:rsid w:val="04FA2D68"/>
    <w:rsid w:val="05097E71"/>
    <w:rsid w:val="05106CBF"/>
    <w:rsid w:val="054E5138"/>
    <w:rsid w:val="058B673D"/>
    <w:rsid w:val="05BD5FBD"/>
    <w:rsid w:val="05EC50F4"/>
    <w:rsid w:val="064512A9"/>
    <w:rsid w:val="066E4AE6"/>
    <w:rsid w:val="067D5B7A"/>
    <w:rsid w:val="06B02939"/>
    <w:rsid w:val="06B555F9"/>
    <w:rsid w:val="06D03D80"/>
    <w:rsid w:val="06E81723"/>
    <w:rsid w:val="06F71772"/>
    <w:rsid w:val="070B3D7A"/>
    <w:rsid w:val="07236B8C"/>
    <w:rsid w:val="075C5614"/>
    <w:rsid w:val="077A3BB5"/>
    <w:rsid w:val="07822B85"/>
    <w:rsid w:val="07847DCA"/>
    <w:rsid w:val="07A60F16"/>
    <w:rsid w:val="07B90210"/>
    <w:rsid w:val="080C7ECC"/>
    <w:rsid w:val="085F49AC"/>
    <w:rsid w:val="08640973"/>
    <w:rsid w:val="0883508B"/>
    <w:rsid w:val="08940DDD"/>
    <w:rsid w:val="08CB596A"/>
    <w:rsid w:val="08CE0793"/>
    <w:rsid w:val="08D17B30"/>
    <w:rsid w:val="08E07BCA"/>
    <w:rsid w:val="08F22BC4"/>
    <w:rsid w:val="09194EEB"/>
    <w:rsid w:val="091E5277"/>
    <w:rsid w:val="093033FB"/>
    <w:rsid w:val="093F2481"/>
    <w:rsid w:val="0991235D"/>
    <w:rsid w:val="09CC6BC2"/>
    <w:rsid w:val="0A1A7FFF"/>
    <w:rsid w:val="0A247459"/>
    <w:rsid w:val="0A5210B0"/>
    <w:rsid w:val="0A5922DF"/>
    <w:rsid w:val="0A6F53C1"/>
    <w:rsid w:val="0A77263C"/>
    <w:rsid w:val="0A831238"/>
    <w:rsid w:val="0ACB6EB9"/>
    <w:rsid w:val="0ACD2D46"/>
    <w:rsid w:val="0B18263C"/>
    <w:rsid w:val="0B311777"/>
    <w:rsid w:val="0B5D0962"/>
    <w:rsid w:val="0B645D4B"/>
    <w:rsid w:val="0B9903A7"/>
    <w:rsid w:val="0BA86026"/>
    <w:rsid w:val="0BCC5D27"/>
    <w:rsid w:val="0BE42F54"/>
    <w:rsid w:val="0BFC412C"/>
    <w:rsid w:val="0C0A5BD0"/>
    <w:rsid w:val="0C942738"/>
    <w:rsid w:val="0CB065F3"/>
    <w:rsid w:val="0CCD3D59"/>
    <w:rsid w:val="0CD44551"/>
    <w:rsid w:val="0CF24CA8"/>
    <w:rsid w:val="0D5B2E9F"/>
    <w:rsid w:val="0D696264"/>
    <w:rsid w:val="0DAC49E8"/>
    <w:rsid w:val="0DD675B8"/>
    <w:rsid w:val="0DEA1BCB"/>
    <w:rsid w:val="0E0575AE"/>
    <w:rsid w:val="0E155DB8"/>
    <w:rsid w:val="0E2014F7"/>
    <w:rsid w:val="0E590CBE"/>
    <w:rsid w:val="0E5D07D1"/>
    <w:rsid w:val="0E8809B7"/>
    <w:rsid w:val="0E8F3E9B"/>
    <w:rsid w:val="0E9651C6"/>
    <w:rsid w:val="0E98645C"/>
    <w:rsid w:val="0F2E2033"/>
    <w:rsid w:val="0F6C703D"/>
    <w:rsid w:val="0F6F54EB"/>
    <w:rsid w:val="0F7F2A89"/>
    <w:rsid w:val="0F92597A"/>
    <w:rsid w:val="0FAC5B87"/>
    <w:rsid w:val="0FDB438F"/>
    <w:rsid w:val="10143E77"/>
    <w:rsid w:val="105C6013"/>
    <w:rsid w:val="106B53D9"/>
    <w:rsid w:val="108266ED"/>
    <w:rsid w:val="11671785"/>
    <w:rsid w:val="116E53A7"/>
    <w:rsid w:val="11942D53"/>
    <w:rsid w:val="11A0116E"/>
    <w:rsid w:val="11C41477"/>
    <w:rsid w:val="11DC741D"/>
    <w:rsid w:val="11F1720F"/>
    <w:rsid w:val="12236764"/>
    <w:rsid w:val="12414426"/>
    <w:rsid w:val="124C4061"/>
    <w:rsid w:val="12676FFF"/>
    <w:rsid w:val="12782B8A"/>
    <w:rsid w:val="12960626"/>
    <w:rsid w:val="12BD1331"/>
    <w:rsid w:val="12DC1AD1"/>
    <w:rsid w:val="134675C3"/>
    <w:rsid w:val="13964EC8"/>
    <w:rsid w:val="13A22A69"/>
    <w:rsid w:val="13C01FF1"/>
    <w:rsid w:val="14043E95"/>
    <w:rsid w:val="143C532B"/>
    <w:rsid w:val="14627FE2"/>
    <w:rsid w:val="1469383C"/>
    <w:rsid w:val="147719BF"/>
    <w:rsid w:val="149F01DB"/>
    <w:rsid w:val="14E03A40"/>
    <w:rsid w:val="151A266A"/>
    <w:rsid w:val="154657CE"/>
    <w:rsid w:val="156571CC"/>
    <w:rsid w:val="15D17689"/>
    <w:rsid w:val="16020EE7"/>
    <w:rsid w:val="161D6BBF"/>
    <w:rsid w:val="162B4B2F"/>
    <w:rsid w:val="16467BBB"/>
    <w:rsid w:val="16484497"/>
    <w:rsid w:val="16837AEE"/>
    <w:rsid w:val="16A830E5"/>
    <w:rsid w:val="16F90F0C"/>
    <w:rsid w:val="1715758D"/>
    <w:rsid w:val="173E3549"/>
    <w:rsid w:val="17465999"/>
    <w:rsid w:val="176D0153"/>
    <w:rsid w:val="17A728DB"/>
    <w:rsid w:val="17BE3BEA"/>
    <w:rsid w:val="17C5406C"/>
    <w:rsid w:val="182D3CAA"/>
    <w:rsid w:val="185A27C4"/>
    <w:rsid w:val="186026BD"/>
    <w:rsid w:val="18C51906"/>
    <w:rsid w:val="190338B1"/>
    <w:rsid w:val="190C1233"/>
    <w:rsid w:val="192815E7"/>
    <w:rsid w:val="19417046"/>
    <w:rsid w:val="194D2612"/>
    <w:rsid w:val="195858B7"/>
    <w:rsid w:val="19985577"/>
    <w:rsid w:val="19C06448"/>
    <w:rsid w:val="1A056DDF"/>
    <w:rsid w:val="1A252427"/>
    <w:rsid w:val="1A255D39"/>
    <w:rsid w:val="1A2B0B50"/>
    <w:rsid w:val="1A4764D7"/>
    <w:rsid w:val="1A832BA2"/>
    <w:rsid w:val="1ABB40A7"/>
    <w:rsid w:val="1AFA5A0A"/>
    <w:rsid w:val="1B063DBD"/>
    <w:rsid w:val="1B210CBA"/>
    <w:rsid w:val="1B445528"/>
    <w:rsid w:val="1B546B71"/>
    <w:rsid w:val="1B5931A0"/>
    <w:rsid w:val="1B6568BD"/>
    <w:rsid w:val="1B6734BC"/>
    <w:rsid w:val="1B99146E"/>
    <w:rsid w:val="1BF43C15"/>
    <w:rsid w:val="1C0B6A41"/>
    <w:rsid w:val="1C203E69"/>
    <w:rsid w:val="1C3C1CBE"/>
    <w:rsid w:val="1C7C2A55"/>
    <w:rsid w:val="1C8562EC"/>
    <w:rsid w:val="1C967043"/>
    <w:rsid w:val="1CA24FB7"/>
    <w:rsid w:val="1CA5446D"/>
    <w:rsid w:val="1CAD4CB5"/>
    <w:rsid w:val="1CCC78BB"/>
    <w:rsid w:val="1CD2331D"/>
    <w:rsid w:val="1CF1633D"/>
    <w:rsid w:val="1D2120F0"/>
    <w:rsid w:val="1D26350B"/>
    <w:rsid w:val="1D3C4B45"/>
    <w:rsid w:val="1D45184C"/>
    <w:rsid w:val="1D67391C"/>
    <w:rsid w:val="1D752FDD"/>
    <w:rsid w:val="1D8B5868"/>
    <w:rsid w:val="1D983934"/>
    <w:rsid w:val="1DC37908"/>
    <w:rsid w:val="1DC8022B"/>
    <w:rsid w:val="1DCE5405"/>
    <w:rsid w:val="1DD1325C"/>
    <w:rsid w:val="1E1C01DC"/>
    <w:rsid w:val="1E376E83"/>
    <w:rsid w:val="1E865D3E"/>
    <w:rsid w:val="1E8D23C0"/>
    <w:rsid w:val="1E8E4FE5"/>
    <w:rsid w:val="1E8F5CCB"/>
    <w:rsid w:val="1EAD42F4"/>
    <w:rsid w:val="1EBB6C6C"/>
    <w:rsid w:val="1EFB4038"/>
    <w:rsid w:val="1EFB43E8"/>
    <w:rsid w:val="1F10532D"/>
    <w:rsid w:val="1F1F71FB"/>
    <w:rsid w:val="1F4324F8"/>
    <w:rsid w:val="1F746099"/>
    <w:rsid w:val="1FC819CF"/>
    <w:rsid w:val="1FD71BBF"/>
    <w:rsid w:val="1FD93544"/>
    <w:rsid w:val="1FD9750F"/>
    <w:rsid w:val="1FDE6176"/>
    <w:rsid w:val="1FFB4A81"/>
    <w:rsid w:val="1FFF695C"/>
    <w:rsid w:val="20340B65"/>
    <w:rsid w:val="205864FE"/>
    <w:rsid w:val="20733FF6"/>
    <w:rsid w:val="20EB12E1"/>
    <w:rsid w:val="212D4CB2"/>
    <w:rsid w:val="21353B53"/>
    <w:rsid w:val="214A5500"/>
    <w:rsid w:val="215E1AE4"/>
    <w:rsid w:val="21613DAB"/>
    <w:rsid w:val="21631457"/>
    <w:rsid w:val="21B02296"/>
    <w:rsid w:val="21C66027"/>
    <w:rsid w:val="21C871DD"/>
    <w:rsid w:val="21EA4440"/>
    <w:rsid w:val="2216168D"/>
    <w:rsid w:val="221E4270"/>
    <w:rsid w:val="223A0BF9"/>
    <w:rsid w:val="225C1CA4"/>
    <w:rsid w:val="22604A84"/>
    <w:rsid w:val="226A3F87"/>
    <w:rsid w:val="2273722B"/>
    <w:rsid w:val="22785F2A"/>
    <w:rsid w:val="228D4479"/>
    <w:rsid w:val="229A70B8"/>
    <w:rsid w:val="22CB45F2"/>
    <w:rsid w:val="22E5075C"/>
    <w:rsid w:val="231928C3"/>
    <w:rsid w:val="232F76C9"/>
    <w:rsid w:val="23690F03"/>
    <w:rsid w:val="236E7EFC"/>
    <w:rsid w:val="2376091A"/>
    <w:rsid w:val="237D6BE6"/>
    <w:rsid w:val="23A0431E"/>
    <w:rsid w:val="23BC1AEB"/>
    <w:rsid w:val="23DB55C2"/>
    <w:rsid w:val="24267823"/>
    <w:rsid w:val="242C2E25"/>
    <w:rsid w:val="24337348"/>
    <w:rsid w:val="247334C3"/>
    <w:rsid w:val="24771887"/>
    <w:rsid w:val="24ED3E74"/>
    <w:rsid w:val="24F57412"/>
    <w:rsid w:val="25312645"/>
    <w:rsid w:val="25350FA2"/>
    <w:rsid w:val="257B7C7D"/>
    <w:rsid w:val="257D45FF"/>
    <w:rsid w:val="25CA18FF"/>
    <w:rsid w:val="25CE4A7A"/>
    <w:rsid w:val="25E116AE"/>
    <w:rsid w:val="26504FAB"/>
    <w:rsid w:val="26616829"/>
    <w:rsid w:val="269761C6"/>
    <w:rsid w:val="269843FE"/>
    <w:rsid w:val="26C4493A"/>
    <w:rsid w:val="26CD3438"/>
    <w:rsid w:val="26E200F9"/>
    <w:rsid w:val="26EB3F16"/>
    <w:rsid w:val="27082C6B"/>
    <w:rsid w:val="270A0156"/>
    <w:rsid w:val="273A579D"/>
    <w:rsid w:val="277A7496"/>
    <w:rsid w:val="277B10E0"/>
    <w:rsid w:val="27A532C8"/>
    <w:rsid w:val="27B83EA4"/>
    <w:rsid w:val="27BF06B3"/>
    <w:rsid w:val="27C80E43"/>
    <w:rsid w:val="27DE224F"/>
    <w:rsid w:val="27E56B08"/>
    <w:rsid w:val="27F33914"/>
    <w:rsid w:val="27FC632B"/>
    <w:rsid w:val="28051F0F"/>
    <w:rsid w:val="280A5DC2"/>
    <w:rsid w:val="280F1527"/>
    <w:rsid w:val="28235FAE"/>
    <w:rsid w:val="28527D3C"/>
    <w:rsid w:val="2867680C"/>
    <w:rsid w:val="286B525F"/>
    <w:rsid w:val="28750FDF"/>
    <w:rsid w:val="28795B13"/>
    <w:rsid w:val="287C4FBB"/>
    <w:rsid w:val="28A80D14"/>
    <w:rsid w:val="28AB1AFF"/>
    <w:rsid w:val="28AF769C"/>
    <w:rsid w:val="28BB5A0C"/>
    <w:rsid w:val="28BF4ADA"/>
    <w:rsid w:val="28D35CF8"/>
    <w:rsid w:val="28DE0C81"/>
    <w:rsid w:val="28DE55C6"/>
    <w:rsid w:val="28E05061"/>
    <w:rsid w:val="29066CDF"/>
    <w:rsid w:val="29084CAD"/>
    <w:rsid w:val="29087756"/>
    <w:rsid w:val="293752FC"/>
    <w:rsid w:val="2949776D"/>
    <w:rsid w:val="29540E41"/>
    <w:rsid w:val="2969636B"/>
    <w:rsid w:val="297E0155"/>
    <w:rsid w:val="298B3E92"/>
    <w:rsid w:val="29A1158F"/>
    <w:rsid w:val="29A56C3B"/>
    <w:rsid w:val="29F668B2"/>
    <w:rsid w:val="2A2770CC"/>
    <w:rsid w:val="2A795649"/>
    <w:rsid w:val="2A797394"/>
    <w:rsid w:val="2A87350D"/>
    <w:rsid w:val="2AA60CEE"/>
    <w:rsid w:val="2AAA5F37"/>
    <w:rsid w:val="2AD2699C"/>
    <w:rsid w:val="2AF2697D"/>
    <w:rsid w:val="2B1A314E"/>
    <w:rsid w:val="2B200583"/>
    <w:rsid w:val="2B34785E"/>
    <w:rsid w:val="2B3E1793"/>
    <w:rsid w:val="2B8D7ED8"/>
    <w:rsid w:val="2B9E4E3A"/>
    <w:rsid w:val="2BA2368E"/>
    <w:rsid w:val="2BC56247"/>
    <w:rsid w:val="2BFD29E2"/>
    <w:rsid w:val="2C0046DC"/>
    <w:rsid w:val="2C02455B"/>
    <w:rsid w:val="2C0612EB"/>
    <w:rsid w:val="2C196DC9"/>
    <w:rsid w:val="2C1E498F"/>
    <w:rsid w:val="2C240FCC"/>
    <w:rsid w:val="2C5E2D40"/>
    <w:rsid w:val="2C79316D"/>
    <w:rsid w:val="2C7E42D4"/>
    <w:rsid w:val="2C876DD3"/>
    <w:rsid w:val="2C8C0898"/>
    <w:rsid w:val="2C9F787C"/>
    <w:rsid w:val="2CA22470"/>
    <w:rsid w:val="2CAF57CD"/>
    <w:rsid w:val="2CC86764"/>
    <w:rsid w:val="2CD605A8"/>
    <w:rsid w:val="2CE27F0E"/>
    <w:rsid w:val="2CF35E43"/>
    <w:rsid w:val="2CF83479"/>
    <w:rsid w:val="2D447596"/>
    <w:rsid w:val="2D4E0F86"/>
    <w:rsid w:val="2D7E3C87"/>
    <w:rsid w:val="2D882A36"/>
    <w:rsid w:val="2DA322B1"/>
    <w:rsid w:val="2DD00881"/>
    <w:rsid w:val="2DDF5A78"/>
    <w:rsid w:val="2DE74071"/>
    <w:rsid w:val="2DEB4E86"/>
    <w:rsid w:val="2DF04ED2"/>
    <w:rsid w:val="2E0C5AEF"/>
    <w:rsid w:val="2E2940A6"/>
    <w:rsid w:val="2E2E19C0"/>
    <w:rsid w:val="2E3364C4"/>
    <w:rsid w:val="2E5B10EC"/>
    <w:rsid w:val="2E6D5A10"/>
    <w:rsid w:val="2E746749"/>
    <w:rsid w:val="2E9A4F14"/>
    <w:rsid w:val="2EAB6DE2"/>
    <w:rsid w:val="2EB208EB"/>
    <w:rsid w:val="2EC51D03"/>
    <w:rsid w:val="2EDE2B3E"/>
    <w:rsid w:val="2EFA35E8"/>
    <w:rsid w:val="2EFA758E"/>
    <w:rsid w:val="2F07253E"/>
    <w:rsid w:val="2F4B1946"/>
    <w:rsid w:val="2F912E64"/>
    <w:rsid w:val="2FA2113D"/>
    <w:rsid w:val="2FC5794B"/>
    <w:rsid w:val="2FD5358C"/>
    <w:rsid w:val="2FE02B11"/>
    <w:rsid w:val="30047101"/>
    <w:rsid w:val="30576A7D"/>
    <w:rsid w:val="30634745"/>
    <w:rsid w:val="307556BC"/>
    <w:rsid w:val="308A45DB"/>
    <w:rsid w:val="30BF0BFA"/>
    <w:rsid w:val="30E55CF6"/>
    <w:rsid w:val="31032B51"/>
    <w:rsid w:val="310B4542"/>
    <w:rsid w:val="31454306"/>
    <w:rsid w:val="314E571E"/>
    <w:rsid w:val="315D0508"/>
    <w:rsid w:val="319B680D"/>
    <w:rsid w:val="31D23578"/>
    <w:rsid w:val="31D52A21"/>
    <w:rsid w:val="31DC05C5"/>
    <w:rsid w:val="31FD4891"/>
    <w:rsid w:val="321D615B"/>
    <w:rsid w:val="321F59F4"/>
    <w:rsid w:val="324C0DF9"/>
    <w:rsid w:val="325F316D"/>
    <w:rsid w:val="326A66FC"/>
    <w:rsid w:val="326B39F7"/>
    <w:rsid w:val="329B2264"/>
    <w:rsid w:val="32A061DC"/>
    <w:rsid w:val="32C428A4"/>
    <w:rsid w:val="32FA5DFD"/>
    <w:rsid w:val="33010016"/>
    <w:rsid w:val="330A5F1C"/>
    <w:rsid w:val="33181932"/>
    <w:rsid w:val="33474577"/>
    <w:rsid w:val="33476182"/>
    <w:rsid w:val="3355518F"/>
    <w:rsid w:val="335C2DDE"/>
    <w:rsid w:val="33C308A7"/>
    <w:rsid w:val="33FB5425"/>
    <w:rsid w:val="341E5018"/>
    <w:rsid w:val="342A4489"/>
    <w:rsid w:val="347A1316"/>
    <w:rsid w:val="34A81A43"/>
    <w:rsid w:val="34BB756E"/>
    <w:rsid w:val="34C71FC4"/>
    <w:rsid w:val="34D8532A"/>
    <w:rsid w:val="34D8759C"/>
    <w:rsid w:val="34DA2826"/>
    <w:rsid w:val="34FD1EE4"/>
    <w:rsid w:val="35487B72"/>
    <w:rsid w:val="35491D28"/>
    <w:rsid w:val="355B6129"/>
    <w:rsid w:val="36071486"/>
    <w:rsid w:val="362A1267"/>
    <w:rsid w:val="363A40E8"/>
    <w:rsid w:val="36407D2B"/>
    <w:rsid w:val="367F336A"/>
    <w:rsid w:val="368B574E"/>
    <w:rsid w:val="37464A40"/>
    <w:rsid w:val="37BD5087"/>
    <w:rsid w:val="383525DC"/>
    <w:rsid w:val="38394932"/>
    <w:rsid w:val="383A0D25"/>
    <w:rsid w:val="383F3338"/>
    <w:rsid w:val="38963AA8"/>
    <w:rsid w:val="38A05BF2"/>
    <w:rsid w:val="38A96619"/>
    <w:rsid w:val="38C232D5"/>
    <w:rsid w:val="38F7130C"/>
    <w:rsid w:val="38F85755"/>
    <w:rsid w:val="39061E3F"/>
    <w:rsid w:val="39700C81"/>
    <w:rsid w:val="39AC51F4"/>
    <w:rsid w:val="39B822CE"/>
    <w:rsid w:val="39B94E67"/>
    <w:rsid w:val="39BD1693"/>
    <w:rsid w:val="39C93233"/>
    <w:rsid w:val="39CC41B5"/>
    <w:rsid w:val="3A0A0D7C"/>
    <w:rsid w:val="3A332E35"/>
    <w:rsid w:val="3A34399B"/>
    <w:rsid w:val="3A73044B"/>
    <w:rsid w:val="3A76760F"/>
    <w:rsid w:val="3A7C2ED9"/>
    <w:rsid w:val="3A8044AB"/>
    <w:rsid w:val="3A96260F"/>
    <w:rsid w:val="3A967C15"/>
    <w:rsid w:val="3AB402EB"/>
    <w:rsid w:val="3ADD4983"/>
    <w:rsid w:val="3AE933ED"/>
    <w:rsid w:val="3B00063C"/>
    <w:rsid w:val="3B06646D"/>
    <w:rsid w:val="3B5F0C53"/>
    <w:rsid w:val="3BB6283D"/>
    <w:rsid w:val="3BE64548"/>
    <w:rsid w:val="3BF375F7"/>
    <w:rsid w:val="3C7D13B0"/>
    <w:rsid w:val="3CBC36CD"/>
    <w:rsid w:val="3CC96D30"/>
    <w:rsid w:val="3D366336"/>
    <w:rsid w:val="3D483969"/>
    <w:rsid w:val="3D60392B"/>
    <w:rsid w:val="3D673957"/>
    <w:rsid w:val="3D815B50"/>
    <w:rsid w:val="3D816F36"/>
    <w:rsid w:val="3DA87020"/>
    <w:rsid w:val="3DB90035"/>
    <w:rsid w:val="3DC847CF"/>
    <w:rsid w:val="3DD8171C"/>
    <w:rsid w:val="3DDC05B4"/>
    <w:rsid w:val="3DED05C5"/>
    <w:rsid w:val="3E564FDE"/>
    <w:rsid w:val="3E9A64DA"/>
    <w:rsid w:val="3E9B1F59"/>
    <w:rsid w:val="3EB4612B"/>
    <w:rsid w:val="3EFE48D7"/>
    <w:rsid w:val="3F0E7614"/>
    <w:rsid w:val="3F1C5269"/>
    <w:rsid w:val="3F4F4C1C"/>
    <w:rsid w:val="3F8C1DDD"/>
    <w:rsid w:val="3F994854"/>
    <w:rsid w:val="3FA5EE9D"/>
    <w:rsid w:val="3FBC1642"/>
    <w:rsid w:val="3FBF0007"/>
    <w:rsid w:val="3FFC76F0"/>
    <w:rsid w:val="40032CD8"/>
    <w:rsid w:val="402C7D5E"/>
    <w:rsid w:val="402D59C2"/>
    <w:rsid w:val="403D7DDE"/>
    <w:rsid w:val="40517549"/>
    <w:rsid w:val="408C17A0"/>
    <w:rsid w:val="4092090C"/>
    <w:rsid w:val="409F5F96"/>
    <w:rsid w:val="40AD4C32"/>
    <w:rsid w:val="40B86900"/>
    <w:rsid w:val="40C21E89"/>
    <w:rsid w:val="410145FA"/>
    <w:rsid w:val="41334253"/>
    <w:rsid w:val="414021E0"/>
    <w:rsid w:val="41562480"/>
    <w:rsid w:val="4171696B"/>
    <w:rsid w:val="41761BD4"/>
    <w:rsid w:val="41942EF7"/>
    <w:rsid w:val="41C433E0"/>
    <w:rsid w:val="41C50C38"/>
    <w:rsid w:val="41D07553"/>
    <w:rsid w:val="41FF00A0"/>
    <w:rsid w:val="42156A6E"/>
    <w:rsid w:val="423672D8"/>
    <w:rsid w:val="42380450"/>
    <w:rsid w:val="425F182C"/>
    <w:rsid w:val="42A146DA"/>
    <w:rsid w:val="42AF1BFC"/>
    <w:rsid w:val="42F671FE"/>
    <w:rsid w:val="435229EC"/>
    <w:rsid w:val="436C237C"/>
    <w:rsid w:val="438778EB"/>
    <w:rsid w:val="43993994"/>
    <w:rsid w:val="43C55389"/>
    <w:rsid w:val="43DB5537"/>
    <w:rsid w:val="440456E9"/>
    <w:rsid w:val="44115D43"/>
    <w:rsid w:val="4415611B"/>
    <w:rsid w:val="441D033A"/>
    <w:rsid w:val="445E0EF9"/>
    <w:rsid w:val="445E404C"/>
    <w:rsid w:val="44B70277"/>
    <w:rsid w:val="44EB7FFA"/>
    <w:rsid w:val="451505D5"/>
    <w:rsid w:val="456C238B"/>
    <w:rsid w:val="457027B8"/>
    <w:rsid w:val="45B9115D"/>
    <w:rsid w:val="45BB4959"/>
    <w:rsid w:val="45FF75A8"/>
    <w:rsid w:val="460F46A4"/>
    <w:rsid w:val="461D2B96"/>
    <w:rsid w:val="463B73CF"/>
    <w:rsid w:val="46D97338"/>
    <w:rsid w:val="46F118DB"/>
    <w:rsid w:val="46F50A83"/>
    <w:rsid w:val="47017805"/>
    <w:rsid w:val="470E79D1"/>
    <w:rsid w:val="47836D96"/>
    <w:rsid w:val="47A23D19"/>
    <w:rsid w:val="47B508D2"/>
    <w:rsid w:val="480B51FA"/>
    <w:rsid w:val="485637A2"/>
    <w:rsid w:val="487C4CF2"/>
    <w:rsid w:val="48A01B8E"/>
    <w:rsid w:val="48BA79A9"/>
    <w:rsid w:val="48C164F7"/>
    <w:rsid w:val="48CA437D"/>
    <w:rsid w:val="4907427B"/>
    <w:rsid w:val="490E38A5"/>
    <w:rsid w:val="492614F5"/>
    <w:rsid w:val="493D00FA"/>
    <w:rsid w:val="49476594"/>
    <w:rsid w:val="495A2DF1"/>
    <w:rsid w:val="496F1CBE"/>
    <w:rsid w:val="497F6D1E"/>
    <w:rsid w:val="4989645F"/>
    <w:rsid w:val="498E392B"/>
    <w:rsid w:val="49A95790"/>
    <w:rsid w:val="49BC4108"/>
    <w:rsid w:val="49FB61C3"/>
    <w:rsid w:val="4A551E5F"/>
    <w:rsid w:val="4A5B1490"/>
    <w:rsid w:val="4A7D5F48"/>
    <w:rsid w:val="4A9203FB"/>
    <w:rsid w:val="4A9A31D5"/>
    <w:rsid w:val="4AB4004D"/>
    <w:rsid w:val="4AC069EE"/>
    <w:rsid w:val="4B0B6EC2"/>
    <w:rsid w:val="4B0D6F0A"/>
    <w:rsid w:val="4B173776"/>
    <w:rsid w:val="4B2379EC"/>
    <w:rsid w:val="4B400F89"/>
    <w:rsid w:val="4B882F05"/>
    <w:rsid w:val="4B911B38"/>
    <w:rsid w:val="4B946FE6"/>
    <w:rsid w:val="4BAC5FBF"/>
    <w:rsid w:val="4C1C4862"/>
    <w:rsid w:val="4C1D4986"/>
    <w:rsid w:val="4C78230E"/>
    <w:rsid w:val="4CBB7D35"/>
    <w:rsid w:val="4CCD2E09"/>
    <w:rsid w:val="4CE0596C"/>
    <w:rsid w:val="4CF4755A"/>
    <w:rsid w:val="4D057D5B"/>
    <w:rsid w:val="4D50655F"/>
    <w:rsid w:val="4D5A7878"/>
    <w:rsid w:val="4D6C0166"/>
    <w:rsid w:val="4D956060"/>
    <w:rsid w:val="4D9F036A"/>
    <w:rsid w:val="4DE624D3"/>
    <w:rsid w:val="4DF91EE1"/>
    <w:rsid w:val="4E1E3B01"/>
    <w:rsid w:val="4E28137E"/>
    <w:rsid w:val="4E487756"/>
    <w:rsid w:val="4E907C65"/>
    <w:rsid w:val="4EB2519F"/>
    <w:rsid w:val="4EBA433A"/>
    <w:rsid w:val="4F304D04"/>
    <w:rsid w:val="4F6E5D9D"/>
    <w:rsid w:val="4FD00D8E"/>
    <w:rsid w:val="4FEE4A82"/>
    <w:rsid w:val="50624F5F"/>
    <w:rsid w:val="509600BA"/>
    <w:rsid w:val="50AC44E3"/>
    <w:rsid w:val="50B42925"/>
    <w:rsid w:val="50BE1C1A"/>
    <w:rsid w:val="50C16EFA"/>
    <w:rsid w:val="50E80977"/>
    <w:rsid w:val="51155D42"/>
    <w:rsid w:val="51162112"/>
    <w:rsid w:val="511E7EF7"/>
    <w:rsid w:val="513A7F5D"/>
    <w:rsid w:val="51800D07"/>
    <w:rsid w:val="51832BDD"/>
    <w:rsid w:val="519261E5"/>
    <w:rsid w:val="51C05513"/>
    <w:rsid w:val="51DF5FAD"/>
    <w:rsid w:val="51EC7146"/>
    <w:rsid w:val="51F63F4E"/>
    <w:rsid w:val="52072E5B"/>
    <w:rsid w:val="522531E7"/>
    <w:rsid w:val="52291B0B"/>
    <w:rsid w:val="524F232B"/>
    <w:rsid w:val="528C72AD"/>
    <w:rsid w:val="52A7146A"/>
    <w:rsid w:val="52F03E16"/>
    <w:rsid w:val="53043E75"/>
    <w:rsid w:val="530D3355"/>
    <w:rsid w:val="531150CD"/>
    <w:rsid w:val="53362125"/>
    <w:rsid w:val="53377C76"/>
    <w:rsid w:val="535539C7"/>
    <w:rsid w:val="538D7BAD"/>
    <w:rsid w:val="53915DC3"/>
    <w:rsid w:val="53B97C8A"/>
    <w:rsid w:val="53FD623F"/>
    <w:rsid w:val="54162172"/>
    <w:rsid w:val="542052B0"/>
    <w:rsid w:val="54217256"/>
    <w:rsid w:val="54235797"/>
    <w:rsid w:val="5471524D"/>
    <w:rsid w:val="547966C1"/>
    <w:rsid w:val="54AA56AE"/>
    <w:rsid w:val="54CB5D8C"/>
    <w:rsid w:val="54E41E22"/>
    <w:rsid w:val="54F91043"/>
    <w:rsid w:val="54FE26E7"/>
    <w:rsid w:val="551037ED"/>
    <w:rsid w:val="552223BF"/>
    <w:rsid w:val="55232C5E"/>
    <w:rsid w:val="55232E99"/>
    <w:rsid w:val="5547437F"/>
    <w:rsid w:val="555F2FBC"/>
    <w:rsid w:val="559527B3"/>
    <w:rsid w:val="559C0334"/>
    <w:rsid w:val="55BC2FD2"/>
    <w:rsid w:val="562E14F6"/>
    <w:rsid w:val="56524211"/>
    <w:rsid w:val="565E0B02"/>
    <w:rsid w:val="566A414A"/>
    <w:rsid w:val="568B6C0F"/>
    <w:rsid w:val="569949C3"/>
    <w:rsid w:val="56A20109"/>
    <w:rsid w:val="56D565F8"/>
    <w:rsid w:val="573331E3"/>
    <w:rsid w:val="57611D65"/>
    <w:rsid w:val="577C3551"/>
    <w:rsid w:val="57917F8F"/>
    <w:rsid w:val="57C1150C"/>
    <w:rsid w:val="57D360B1"/>
    <w:rsid w:val="57D93BF3"/>
    <w:rsid w:val="582B1445"/>
    <w:rsid w:val="5836605A"/>
    <w:rsid w:val="584A6390"/>
    <w:rsid w:val="588F1CCB"/>
    <w:rsid w:val="58923090"/>
    <w:rsid w:val="589A13F4"/>
    <w:rsid w:val="58AF0BBB"/>
    <w:rsid w:val="58B4292E"/>
    <w:rsid w:val="58B90848"/>
    <w:rsid w:val="59122C33"/>
    <w:rsid w:val="591414FC"/>
    <w:rsid w:val="59185CF5"/>
    <w:rsid w:val="591F2042"/>
    <w:rsid w:val="59322764"/>
    <w:rsid w:val="5953548F"/>
    <w:rsid w:val="596835D2"/>
    <w:rsid w:val="596B42BF"/>
    <w:rsid w:val="59D83D06"/>
    <w:rsid w:val="59DB27CA"/>
    <w:rsid w:val="59F97FA1"/>
    <w:rsid w:val="5A1847D8"/>
    <w:rsid w:val="5A1C6664"/>
    <w:rsid w:val="5A3F6BA9"/>
    <w:rsid w:val="5A95328C"/>
    <w:rsid w:val="5ADE30DF"/>
    <w:rsid w:val="5AEB20AC"/>
    <w:rsid w:val="5AF06F26"/>
    <w:rsid w:val="5B14011E"/>
    <w:rsid w:val="5B525A7B"/>
    <w:rsid w:val="5BA0604D"/>
    <w:rsid w:val="5BBE2848"/>
    <w:rsid w:val="5BDD422A"/>
    <w:rsid w:val="5BE06850"/>
    <w:rsid w:val="5BE27D44"/>
    <w:rsid w:val="5C0A3674"/>
    <w:rsid w:val="5C2F5ABA"/>
    <w:rsid w:val="5C5D37B9"/>
    <w:rsid w:val="5C7D497E"/>
    <w:rsid w:val="5CF505E1"/>
    <w:rsid w:val="5CFB674B"/>
    <w:rsid w:val="5D151232"/>
    <w:rsid w:val="5DBF08DE"/>
    <w:rsid w:val="5DD54F0D"/>
    <w:rsid w:val="5E791F55"/>
    <w:rsid w:val="5E874069"/>
    <w:rsid w:val="5E9F7435"/>
    <w:rsid w:val="5ED73167"/>
    <w:rsid w:val="5EE23F36"/>
    <w:rsid w:val="5EF916F1"/>
    <w:rsid w:val="5EFC13DC"/>
    <w:rsid w:val="5F2D475F"/>
    <w:rsid w:val="5F860A37"/>
    <w:rsid w:val="5FAC5C10"/>
    <w:rsid w:val="5FBC64F7"/>
    <w:rsid w:val="5FBEC1E5"/>
    <w:rsid w:val="5FE056E7"/>
    <w:rsid w:val="601A3161"/>
    <w:rsid w:val="60241A26"/>
    <w:rsid w:val="607E12CC"/>
    <w:rsid w:val="608B407B"/>
    <w:rsid w:val="608C677E"/>
    <w:rsid w:val="60A01243"/>
    <w:rsid w:val="60D94CE2"/>
    <w:rsid w:val="60ED127C"/>
    <w:rsid w:val="60EE6484"/>
    <w:rsid w:val="61207D8E"/>
    <w:rsid w:val="6181125A"/>
    <w:rsid w:val="61D20927"/>
    <w:rsid w:val="61DC6433"/>
    <w:rsid w:val="62025ED5"/>
    <w:rsid w:val="621B2CF2"/>
    <w:rsid w:val="62207B63"/>
    <w:rsid w:val="62A07D9C"/>
    <w:rsid w:val="62DE0E3D"/>
    <w:rsid w:val="63091321"/>
    <w:rsid w:val="634A111A"/>
    <w:rsid w:val="636B5F6A"/>
    <w:rsid w:val="63C54F9A"/>
    <w:rsid w:val="63CE0607"/>
    <w:rsid w:val="63DF0B69"/>
    <w:rsid w:val="63FE733A"/>
    <w:rsid w:val="6422104C"/>
    <w:rsid w:val="643B5CD0"/>
    <w:rsid w:val="644B7137"/>
    <w:rsid w:val="64542A70"/>
    <w:rsid w:val="64724559"/>
    <w:rsid w:val="647B0A82"/>
    <w:rsid w:val="64970BAF"/>
    <w:rsid w:val="64A33956"/>
    <w:rsid w:val="64CE2907"/>
    <w:rsid w:val="65023A13"/>
    <w:rsid w:val="65184C2E"/>
    <w:rsid w:val="654912EC"/>
    <w:rsid w:val="65501489"/>
    <w:rsid w:val="658810E5"/>
    <w:rsid w:val="65A93569"/>
    <w:rsid w:val="65B05EAC"/>
    <w:rsid w:val="660D421E"/>
    <w:rsid w:val="66143D3F"/>
    <w:rsid w:val="66144E82"/>
    <w:rsid w:val="666D37F4"/>
    <w:rsid w:val="667A4052"/>
    <w:rsid w:val="667F75B5"/>
    <w:rsid w:val="669D778A"/>
    <w:rsid w:val="66A02212"/>
    <w:rsid w:val="66C152BB"/>
    <w:rsid w:val="66FD1C15"/>
    <w:rsid w:val="670323F9"/>
    <w:rsid w:val="6716225F"/>
    <w:rsid w:val="673F4B0E"/>
    <w:rsid w:val="67573C47"/>
    <w:rsid w:val="677C5536"/>
    <w:rsid w:val="67804562"/>
    <w:rsid w:val="67B41253"/>
    <w:rsid w:val="68122A55"/>
    <w:rsid w:val="68326531"/>
    <w:rsid w:val="68527C3D"/>
    <w:rsid w:val="685957F0"/>
    <w:rsid w:val="685A6B02"/>
    <w:rsid w:val="688417DF"/>
    <w:rsid w:val="68BF2482"/>
    <w:rsid w:val="68C65329"/>
    <w:rsid w:val="68DF6248"/>
    <w:rsid w:val="68E10710"/>
    <w:rsid w:val="68F77802"/>
    <w:rsid w:val="690E6668"/>
    <w:rsid w:val="691F1916"/>
    <w:rsid w:val="69261E81"/>
    <w:rsid w:val="69390E53"/>
    <w:rsid w:val="69456E2B"/>
    <w:rsid w:val="694D5CE0"/>
    <w:rsid w:val="696A25D9"/>
    <w:rsid w:val="698E6A32"/>
    <w:rsid w:val="69B032BA"/>
    <w:rsid w:val="69D07858"/>
    <w:rsid w:val="69D6080A"/>
    <w:rsid w:val="69F2550D"/>
    <w:rsid w:val="6A2101E6"/>
    <w:rsid w:val="6A3243A0"/>
    <w:rsid w:val="6A337068"/>
    <w:rsid w:val="6A3C5AD3"/>
    <w:rsid w:val="6A733782"/>
    <w:rsid w:val="6A853B89"/>
    <w:rsid w:val="6AD43E1B"/>
    <w:rsid w:val="6AE818C2"/>
    <w:rsid w:val="6AFB3D82"/>
    <w:rsid w:val="6AFE49C4"/>
    <w:rsid w:val="6B193C07"/>
    <w:rsid w:val="6B371CC1"/>
    <w:rsid w:val="6B490C5F"/>
    <w:rsid w:val="6B542122"/>
    <w:rsid w:val="6B5B4C5C"/>
    <w:rsid w:val="6B754865"/>
    <w:rsid w:val="6B862D73"/>
    <w:rsid w:val="6B8B0FE8"/>
    <w:rsid w:val="6BAC4EFB"/>
    <w:rsid w:val="6BD14E2B"/>
    <w:rsid w:val="6BDE5FD4"/>
    <w:rsid w:val="6C1100C1"/>
    <w:rsid w:val="6C4922EF"/>
    <w:rsid w:val="6C5870BC"/>
    <w:rsid w:val="6C6E4DBF"/>
    <w:rsid w:val="6C7361E8"/>
    <w:rsid w:val="6C7420D7"/>
    <w:rsid w:val="6C792D7D"/>
    <w:rsid w:val="6C8C346A"/>
    <w:rsid w:val="6CA46C9A"/>
    <w:rsid w:val="6CA87DFD"/>
    <w:rsid w:val="6CD543E0"/>
    <w:rsid w:val="6CF21078"/>
    <w:rsid w:val="6CFD19B5"/>
    <w:rsid w:val="6D0263E3"/>
    <w:rsid w:val="6D1F56BE"/>
    <w:rsid w:val="6D2776F2"/>
    <w:rsid w:val="6D356946"/>
    <w:rsid w:val="6D444BFD"/>
    <w:rsid w:val="6D4825A1"/>
    <w:rsid w:val="6D4D3667"/>
    <w:rsid w:val="6D867A52"/>
    <w:rsid w:val="6DAF0D17"/>
    <w:rsid w:val="6DC34ABE"/>
    <w:rsid w:val="6DFF1B4A"/>
    <w:rsid w:val="6E217E67"/>
    <w:rsid w:val="6E352979"/>
    <w:rsid w:val="6E6C3371"/>
    <w:rsid w:val="6E761744"/>
    <w:rsid w:val="6E8A7D27"/>
    <w:rsid w:val="6E902619"/>
    <w:rsid w:val="6EE525E4"/>
    <w:rsid w:val="6EE94F83"/>
    <w:rsid w:val="6F0F4B51"/>
    <w:rsid w:val="6F1227B3"/>
    <w:rsid w:val="6F193E16"/>
    <w:rsid w:val="6F344C52"/>
    <w:rsid w:val="6F3747B1"/>
    <w:rsid w:val="6F5304E7"/>
    <w:rsid w:val="6F8D4C52"/>
    <w:rsid w:val="6F8F6429"/>
    <w:rsid w:val="6FA5675C"/>
    <w:rsid w:val="6FD56223"/>
    <w:rsid w:val="6FE0165C"/>
    <w:rsid w:val="6FEC3057"/>
    <w:rsid w:val="6FFA7B42"/>
    <w:rsid w:val="70003C1B"/>
    <w:rsid w:val="700154E6"/>
    <w:rsid w:val="70065B89"/>
    <w:rsid w:val="701E3DCB"/>
    <w:rsid w:val="702F6F8A"/>
    <w:rsid w:val="70836585"/>
    <w:rsid w:val="70A57AFA"/>
    <w:rsid w:val="70BC2D4C"/>
    <w:rsid w:val="70C978F8"/>
    <w:rsid w:val="70CB699B"/>
    <w:rsid w:val="70CD0D76"/>
    <w:rsid w:val="70D32F6E"/>
    <w:rsid w:val="70E60BCB"/>
    <w:rsid w:val="70F779B2"/>
    <w:rsid w:val="70FC5D55"/>
    <w:rsid w:val="71215BC5"/>
    <w:rsid w:val="712D79C8"/>
    <w:rsid w:val="71354BF3"/>
    <w:rsid w:val="71704C61"/>
    <w:rsid w:val="71C254BD"/>
    <w:rsid w:val="71C46181"/>
    <w:rsid w:val="72562E2B"/>
    <w:rsid w:val="72716A3B"/>
    <w:rsid w:val="728A69D5"/>
    <w:rsid w:val="72AF5849"/>
    <w:rsid w:val="72D8486C"/>
    <w:rsid w:val="72E82487"/>
    <w:rsid w:val="73060B8F"/>
    <w:rsid w:val="730F0517"/>
    <w:rsid w:val="73216014"/>
    <w:rsid w:val="7355410F"/>
    <w:rsid w:val="735942AB"/>
    <w:rsid w:val="736660DE"/>
    <w:rsid w:val="737816AF"/>
    <w:rsid w:val="73B8ED14"/>
    <w:rsid w:val="73BD7BA6"/>
    <w:rsid w:val="73C43766"/>
    <w:rsid w:val="73DDDB82"/>
    <w:rsid w:val="73EF24F6"/>
    <w:rsid w:val="74041D84"/>
    <w:rsid w:val="74164446"/>
    <w:rsid w:val="7420661F"/>
    <w:rsid w:val="742F5305"/>
    <w:rsid w:val="744877CF"/>
    <w:rsid w:val="74823736"/>
    <w:rsid w:val="74B94F6A"/>
    <w:rsid w:val="74DB38A2"/>
    <w:rsid w:val="74FF5755"/>
    <w:rsid w:val="753D30AC"/>
    <w:rsid w:val="754859FB"/>
    <w:rsid w:val="75772C41"/>
    <w:rsid w:val="758F4FB2"/>
    <w:rsid w:val="75BB5949"/>
    <w:rsid w:val="75BC5093"/>
    <w:rsid w:val="75C60D5E"/>
    <w:rsid w:val="75C67393"/>
    <w:rsid w:val="75EA0132"/>
    <w:rsid w:val="76117694"/>
    <w:rsid w:val="7659561C"/>
    <w:rsid w:val="768B544E"/>
    <w:rsid w:val="76BA64D9"/>
    <w:rsid w:val="76C14D7E"/>
    <w:rsid w:val="76D10412"/>
    <w:rsid w:val="76E60906"/>
    <w:rsid w:val="76F80055"/>
    <w:rsid w:val="7771703D"/>
    <w:rsid w:val="777B7BB8"/>
    <w:rsid w:val="77AF7AF5"/>
    <w:rsid w:val="77BE04D4"/>
    <w:rsid w:val="77DA4DA3"/>
    <w:rsid w:val="77E830F4"/>
    <w:rsid w:val="77F60440"/>
    <w:rsid w:val="78407785"/>
    <w:rsid w:val="786775AC"/>
    <w:rsid w:val="786A0485"/>
    <w:rsid w:val="78754792"/>
    <w:rsid w:val="78804BEA"/>
    <w:rsid w:val="78A738A0"/>
    <w:rsid w:val="78C33D56"/>
    <w:rsid w:val="78D479E9"/>
    <w:rsid w:val="78DE6954"/>
    <w:rsid w:val="78FC64D1"/>
    <w:rsid w:val="79060DB6"/>
    <w:rsid w:val="790D1E3F"/>
    <w:rsid w:val="7931117A"/>
    <w:rsid w:val="79326C58"/>
    <w:rsid w:val="793348D1"/>
    <w:rsid w:val="794F4F3C"/>
    <w:rsid w:val="79747281"/>
    <w:rsid w:val="798A2314"/>
    <w:rsid w:val="79A640E2"/>
    <w:rsid w:val="79BA4CCB"/>
    <w:rsid w:val="79C3633F"/>
    <w:rsid w:val="79D1152B"/>
    <w:rsid w:val="79E22391"/>
    <w:rsid w:val="79FB70E6"/>
    <w:rsid w:val="7A0B2FE6"/>
    <w:rsid w:val="7A194BCF"/>
    <w:rsid w:val="7A3E3DB2"/>
    <w:rsid w:val="7A6F43CB"/>
    <w:rsid w:val="7A80428C"/>
    <w:rsid w:val="7AA275F6"/>
    <w:rsid w:val="7AAD65DE"/>
    <w:rsid w:val="7AD66DBE"/>
    <w:rsid w:val="7AF65C2B"/>
    <w:rsid w:val="7AFA0CD1"/>
    <w:rsid w:val="7B110657"/>
    <w:rsid w:val="7B661450"/>
    <w:rsid w:val="7B6F16FF"/>
    <w:rsid w:val="7B9D6653"/>
    <w:rsid w:val="7BB87621"/>
    <w:rsid w:val="7BC378C7"/>
    <w:rsid w:val="7BF21E28"/>
    <w:rsid w:val="7C146E53"/>
    <w:rsid w:val="7C4D46D8"/>
    <w:rsid w:val="7C6D1FC3"/>
    <w:rsid w:val="7C7D3096"/>
    <w:rsid w:val="7C84660E"/>
    <w:rsid w:val="7C8D33AE"/>
    <w:rsid w:val="7C945011"/>
    <w:rsid w:val="7CA43D6F"/>
    <w:rsid w:val="7CBB2E26"/>
    <w:rsid w:val="7CC844A3"/>
    <w:rsid w:val="7CD839BA"/>
    <w:rsid w:val="7D372FE3"/>
    <w:rsid w:val="7D550FFE"/>
    <w:rsid w:val="7D6E2A38"/>
    <w:rsid w:val="7E0B60CA"/>
    <w:rsid w:val="7E413AFE"/>
    <w:rsid w:val="7E417613"/>
    <w:rsid w:val="7E867872"/>
    <w:rsid w:val="7EB25842"/>
    <w:rsid w:val="7EB95FDF"/>
    <w:rsid w:val="7EE21B2D"/>
    <w:rsid w:val="7EE992E2"/>
    <w:rsid w:val="7EED5BB2"/>
    <w:rsid w:val="7EF80342"/>
    <w:rsid w:val="7F6A02DD"/>
    <w:rsid w:val="7FC22735"/>
    <w:rsid w:val="7FF12288"/>
    <w:rsid w:val="7FFC2F31"/>
    <w:rsid w:val="7FFFFB14"/>
    <w:rsid w:val="9BECC151"/>
    <w:rsid w:val="BAF7DB89"/>
    <w:rsid w:val="BFBFCB1E"/>
    <w:rsid w:val="CF6EAD8B"/>
    <w:rsid w:val="CFE58DD8"/>
    <w:rsid w:val="DDBFDFEA"/>
    <w:rsid w:val="FDBF8E09"/>
    <w:rsid w:val="FDDB8C5C"/>
    <w:rsid w:val="FED65958"/>
    <w:rsid w:val="FF17D252"/>
    <w:rsid w:val="FFDF87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2"/>
    <w:qFormat/>
    <w:uiPriority w:val="0"/>
    <w:pPr>
      <w:keepNext/>
      <w:keepLines/>
      <w:spacing w:before="260" w:after="260" w:line="416" w:lineRule="auto"/>
      <w:jc w:val="center"/>
      <w:outlineLvl w:val="0"/>
    </w:pPr>
    <w:rPr>
      <w:rFonts w:ascii="Times New Roman" w:hAnsi="Times New Roman" w:eastAsia="黑体" w:cs="Times New Roman"/>
      <w:bCs/>
      <w:kern w:val="44"/>
      <w:sz w:val="32"/>
      <w:szCs w:val="44"/>
    </w:rPr>
  </w:style>
  <w:style w:type="paragraph" w:styleId="3">
    <w:name w:val="heading 2"/>
    <w:basedOn w:val="1"/>
    <w:next w:val="1"/>
    <w:link w:val="33"/>
    <w:qFormat/>
    <w:uiPriority w:val="0"/>
    <w:pPr>
      <w:keepNext/>
      <w:keepLines/>
      <w:spacing w:before="100" w:beforeLines="100" w:line="416" w:lineRule="auto"/>
      <w:ind w:left="525" w:leftChars="250"/>
      <w:outlineLvl w:val="1"/>
    </w:pPr>
    <w:rPr>
      <w:rFonts w:ascii="Arial" w:hAnsi="Arial" w:eastAsia="黑体" w:cs="Times New Roman"/>
      <w:sz w:val="28"/>
    </w:rPr>
  </w:style>
  <w:style w:type="paragraph" w:styleId="4">
    <w:name w:val="heading 3"/>
    <w:basedOn w:val="1"/>
    <w:next w:val="1"/>
    <w:unhideWhenUsed/>
    <w:qFormat/>
    <w:uiPriority w:val="0"/>
    <w:pPr>
      <w:keepNext/>
      <w:keepLines/>
      <w:spacing w:before="100" w:beforeLines="100"/>
      <w:ind w:left="525" w:leftChars="250"/>
      <w:outlineLvl w:val="2"/>
    </w:pPr>
    <w:rPr>
      <w:rFonts w:eastAsia="仿宋_GB2312"/>
      <w:b/>
      <w:bCs/>
      <w:sz w:val="28"/>
      <w:szCs w:val="32"/>
    </w:rPr>
  </w:style>
  <w:style w:type="paragraph" w:styleId="5">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link w:val="63"/>
    <w:semiHidden/>
    <w:unhideWhenUsed/>
    <w:qFormat/>
    <w:uiPriority w:val="99"/>
    <w:pPr>
      <w:jc w:val="left"/>
    </w:pPr>
  </w:style>
  <w:style w:type="paragraph" w:styleId="7">
    <w:name w:val="Body Text"/>
    <w:basedOn w:val="1"/>
    <w:qFormat/>
    <w:uiPriority w:val="1"/>
    <w:pPr>
      <w:ind w:left="138"/>
    </w:pPr>
    <w:rPr>
      <w:rFonts w:ascii="仿宋" w:hAnsi="仿宋" w:eastAsia="仿宋"/>
      <w:sz w:val="28"/>
      <w:szCs w:val="28"/>
    </w:rPr>
  </w:style>
  <w:style w:type="paragraph" w:styleId="8">
    <w:name w:val="toc 3"/>
    <w:basedOn w:val="1"/>
    <w:next w:val="1"/>
    <w:unhideWhenUsed/>
    <w:qFormat/>
    <w:uiPriority w:val="39"/>
    <w:pPr>
      <w:ind w:left="840" w:leftChars="400"/>
    </w:pPr>
  </w:style>
  <w:style w:type="paragraph" w:styleId="9">
    <w:name w:val="Date"/>
    <w:basedOn w:val="1"/>
    <w:next w:val="1"/>
    <w:qFormat/>
    <w:uiPriority w:val="0"/>
    <w:rPr>
      <w:rFonts w:ascii="仿宋_GB2312" w:hAnsi="Times New Roman" w:eastAsia="隶书" w:cs="Times New Roman"/>
      <w:sz w:val="20"/>
      <w:szCs w:val="20"/>
    </w:rPr>
  </w:style>
  <w:style w:type="paragraph" w:styleId="10">
    <w:name w:val="Balloon Text"/>
    <w:basedOn w:val="1"/>
    <w:link w:val="47"/>
    <w:semiHidden/>
    <w:unhideWhenUsed/>
    <w:qFormat/>
    <w:uiPriority w:val="99"/>
    <w:rPr>
      <w:sz w:val="18"/>
      <w:szCs w:val="18"/>
    </w:rPr>
  </w:style>
  <w:style w:type="paragraph" w:styleId="11">
    <w:name w:val="footer"/>
    <w:basedOn w:val="1"/>
    <w:link w:val="31"/>
    <w:unhideWhenUsed/>
    <w:qFormat/>
    <w:uiPriority w:val="99"/>
    <w:pPr>
      <w:tabs>
        <w:tab w:val="center" w:pos="4153"/>
        <w:tab w:val="right" w:pos="8306"/>
      </w:tabs>
      <w:snapToGrid w:val="0"/>
      <w:jc w:val="left"/>
    </w:pPr>
    <w:rPr>
      <w:sz w:val="18"/>
      <w:szCs w:val="18"/>
    </w:rPr>
  </w:style>
  <w:style w:type="paragraph" w:styleId="12">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296"/>
      </w:tabs>
    </w:pPr>
  </w:style>
  <w:style w:type="paragraph" w:styleId="1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5">
    <w:name w:val="toc 2"/>
    <w:basedOn w:val="1"/>
    <w:next w:val="1"/>
    <w:unhideWhenUsed/>
    <w:qFormat/>
    <w:uiPriority w:val="39"/>
    <w:pPr>
      <w:ind w:left="420" w:leftChars="200"/>
    </w:pPr>
  </w:style>
  <w:style w:type="paragraph" w:styleId="16">
    <w:name w:val="Normal (Web)"/>
    <w:basedOn w:val="1"/>
    <w:semiHidden/>
    <w:unhideWhenUsed/>
    <w:qFormat/>
    <w:uiPriority w:val="99"/>
    <w:pPr>
      <w:spacing w:beforeAutospacing="1" w:afterAutospacing="1"/>
      <w:jc w:val="left"/>
    </w:pPr>
    <w:rPr>
      <w:rFonts w:cs="Times New Roman"/>
      <w:kern w:val="0"/>
      <w:sz w:val="24"/>
    </w:rPr>
  </w:style>
  <w:style w:type="paragraph" w:styleId="17">
    <w:name w:val="annotation subject"/>
    <w:basedOn w:val="6"/>
    <w:next w:val="6"/>
    <w:link w:val="64"/>
    <w:semiHidden/>
    <w:unhideWhenUsed/>
    <w:qFormat/>
    <w:uiPriority w:val="99"/>
    <w:rPr>
      <w:b/>
      <w:bCs/>
    </w:rPr>
  </w:style>
  <w:style w:type="table" w:styleId="19">
    <w:name w:val="Table Grid"/>
    <w:basedOn w:val="18"/>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FollowedHyperlink"/>
    <w:basedOn w:val="20"/>
    <w:semiHidden/>
    <w:unhideWhenUsed/>
    <w:qFormat/>
    <w:uiPriority w:val="99"/>
    <w:rPr>
      <w:color w:val="800080"/>
      <w:u w:val="none"/>
    </w:rPr>
  </w:style>
  <w:style w:type="character" w:styleId="23">
    <w:name w:val="Emphasis"/>
    <w:basedOn w:val="20"/>
    <w:qFormat/>
    <w:uiPriority w:val="20"/>
  </w:style>
  <w:style w:type="character" w:styleId="24">
    <w:name w:val="HTML Definition"/>
    <w:basedOn w:val="20"/>
    <w:semiHidden/>
    <w:unhideWhenUsed/>
    <w:qFormat/>
    <w:uiPriority w:val="99"/>
  </w:style>
  <w:style w:type="character" w:styleId="25">
    <w:name w:val="HTML Variable"/>
    <w:basedOn w:val="20"/>
    <w:semiHidden/>
    <w:unhideWhenUsed/>
    <w:qFormat/>
    <w:uiPriority w:val="99"/>
  </w:style>
  <w:style w:type="character" w:styleId="26">
    <w:name w:val="Hyperlink"/>
    <w:basedOn w:val="20"/>
    <w:unhideWhenUsed/>
    <w:qFormat/>
    <w:uiPriority w:val="99"/>
    <w:rPr>
      <w:color w:val="0000FF"/>
      <w:u w:val="none"/>
    </w:rPr>
  </w:style>
  <w:style w:type="character" w:styleId="27">
    <w:name w:val="HTML Code"/>
    <w:basedOn w:val="20"/>
    <w:semiHidden/>
    <w:unhideWhenUsed/>
    <w:qFormat/>
    <w:uiPriority w:val="99"/>
    <w:rPr>
      <w:rFonts w:ascii="Courier New" w:hAnsi="Courier New"/>
      <w:sz w:val="20"/>
    </w:rPr>
  </w:style>
  <w:style w:type="character" w:styleId="28">
    <w:name w:val="annotation reference"/>
    <w:basedOn w:val="20"/>
    <w:semiHidden/>
    <w:unhideWhenUsed/>
    <w:qFormat/>
    <w:uiPriority w:val="99"/>
    <w:rPr>
      <w:sz w:val="21"/>
      <w:szCs w:val="21"/>
    </w:rPr>
  </w:style>
  <w:style w:type="character" w:styleId="29">
    <w:name w:val="HTML Cite"/>
    <w:basedOn w:val="20"/>
    <w:semiHidden/>
    <w:unhideWhenUsed/>
    <w:qFormat/>
    <w:uiPriority w:val="99"/>
  </w:style>
  <w:style w:type="character" w:customStyle="1" w:styleId="30">
    <w:name w:val="页眉 字符"/>
    <w:basedOn w:val="20"/>
    <w:link w:val="12"/>
    <w:qFormat/>
    <w:uiPriority w:val="99"/>
    <w:rPr>
      <w:sz w:val="18"/>
      <w:szCs w:val="18"/>
    </w:rPr>
  </w:style>
  <w:style w:type="character" w:customStyle="1" w:styleId="31">
    <w:name w:val="页脚 字符"/>
    <w:basedOn w:val="20"/>
    <w:link w:val="11"/>
    <w:qFormat/>
    <w:uiPriority w:val="99"/>
    <w:rPr>
      <w:sz w:val="18"/>
      <w:szCs w:val="18"/>
    </w:rPr>
  </w:style>
  <w:style w:type="character" w:customStyle="1" w:styleId="32">
    <w:name w:val="标题 1 字符"/>
    <w:basedOn w:val="20"/>
    <w:link w:val="2"/>
    <w:qFormat/>
    <w:uiPriority w:val="0"/>
    <w:rPr>
      <w:rFonts w:ascii="Times New Roman" w:hAnsi="Times New Roman" w:eastAsia="黑体" w:cs="Times New Roman"/>
      <w:bCs/>
      <w:kern w:val="44"/>
      <w:sz w:val="32"/>
      <w:szCs w:val="44"/>
    </w:rPr>
  </w:style>
  <w:style w:type="character" w:customStyle="1" w:styleId="33">
    <w:name w:val="标题 2 字符"/>
    <w:basedOn w:val="20"/>
    <w:link w:val="3"/>
    <w:qFormat/>
    <w:uiPriority w:val="0"/>
    <w:rPr>
      <w:rFonts w:ascii="Arial" w:hAnsi="Arial" w:eastAsia="黑体" w:cs="Times New Roman"/>
      <w:sz w:val="28"/>
      <w:szCs w:val="24"/>
    </w:rPr>
  </w:style>
  <w:style w:type="paragraph" w:customStyle="1" w:styleId="34">
    <w:name w:val="段落格式"/>
    <w:basedOn w:val="1"/>
    <w:qFormat/>
    <w:uiPriority w:val="0"/>
    <w:pPr>
      <w:ind w:firstLine="546" w:firstLineChars="197"/>
    </w:pPr>
    <w:rPr>
      <w:rFonts w:ascii="仿宋_GB2312" w:hAnsi="Times New Roman" w:eastAsia="仿宋_GB2312" w:cs="宋体"/>
      <w:sz w:val="28"/>
      <w:szCs w:val="20"/>
    </w:rPr>
  </w:style>
  <w:style w:type="character" w:customStyle="1" w:styleId="35">
    <w:name w:val="hover17"/>
    <w:basedOn w:val="20"/>
    <w:qFormat/>
    <w:uiPriority w:val="0"/>
    <w:rPr>
      <w:color w:val="FFFFFF"/>
      <w:shd w:val="clear" w:color="auto" w:fill="59CF00"/>
    </w:rPr>
  </w:style>
  <w:style w:type="character" w:customStyle="1" w:styleId="36">
    <w:name w:val="hover18"/>
    <w:basedOn w:val="20"/>
    <w:qFormat/>
    <w:uiPriority w:val="0"/>
    <w:rPr>
      <w:color w:val="FFFFFF"/>
      <w:shd w:val="clear" w:color="auto" w:fill="0067CC"/>
    </w:rPr>
  </w:style>
  <w:style w:type="character" w:customStyle="1" w:styleId="37">
    <w:name w:val="hover19"/>
    <w:basedOn w:val="20"/>
    <w:qFormat/>
    <w:uiPriority w:val="0"/>
    <w:rPr>
      <w:color w:val="FFFFFF"/>
      <w:shd w:val="clear" w:color="auto" w:fill="E04A2B"/>
    </w:rPr>
  </w:style>
  <w:style w:type="character" w:customStyle="1" w:styleId="38">
    <w:name w:val="hover20"/>
    <w:basedOn w:val="20"/>
    <w:qFormat/>
    <w:uiPriority w:val="0"/>
    <w:rPr>
      <w:shd w:val="clear" w:color="auto" w:fill="47AD68"/>
    </w:rPr>
  </w:style>
  <w:style w:type="character" w:customStyle="1" w:styleId="39">
    <w:name w:val="hover21"/>
    <w:basedOn w:val="20"/>
    <w:qFormat/>
    <w:uiPriority w:val="0"/>
    <w:rPr>
      <w:shd w:val="clear" w:color="auto" w:fill="47AD68"/>
    </w:rPr>
  </w:style>
  <w:style w:type="character" w:customStyle="1" w:styleId="40">
    <w:name w:val="hover22"/>
    <w:basedOn w:val="20"/>
    <w:qFormat/>
    <w:uiPriority w:val="0"/>
    <w:rPr>
      <w:shd w:val="clear" w:color="auto" w:fill="970815"/>
    </w:rPr>
  </w:style>
  <w:style w:type="character" w:customStyle="1" w:styleId="41">
    <w:name w:val="hover23"/>
    <w:basedOn w:val="20"/>
    <w:qFormat/>
    <w:uiPriority w:val="0"/>
    <w:rPr>
      <w:shd w:val="clear" w:color="auto" w:fill="DADADA"/>
    </w:rPr>
  </w:style>
  <w:style w:type="character" w:customStyle="1" w:styleId="42">
    <w:name w:val="hover24"/>
    <w:basedOn w:val="20"/>
    <w:qFormat/>
    <w:uiPriority w:val="0"/>
  </w:style>
  <w:style w:type="character" w:customStyle="1" w:styleId="43">
    <w:name w:val="number"/>
    <w:basedOn w:val="20"/>
    <w:qFormat/>
    <w:uiPriority w:val="0"/>
  </w:style>
  <w:style w:type="character" w:customStyle="1" w:styleId="44">
    <w:name w:val="name"/>
    <w:basedOn w:val="20"/>
    <w:qFormat/>
    <w:uiPriority w:val="0"/>
  </w:style>
  <w:style w:type="character" w:customStyle="1" w:styleId="45">
    <w:name w:val="bg"/>
    <w:basedOn w:val="20"/>
    <w:qFormat/>
    <w:uiPriority w:val="0"/>
    <w:rPr>
      <w:color w:val="FFFFFF"/>
      <w:shd w:val="clear" w:color="auto" w:fill="3D7FCA"/>
    </w:rPr>
  </w:style>
  <w:style w:type="character" w:customStyle="1" w:styleId="46">
    <w:name w:val="bn-arrows-right"/>
    <w:basedOn w:val="20"/>
    <w:qFormat/>
    <w:uiPriority w:val="0"/>
  </w:style>
  <w:style w:type="character" w:customStyle="1" w:styleId="47">
    <w:name w:val="批注框文本 字符"/>
    <w:basedOn w:val="20"/>
    <w:link w:val="10"/>
    <w:semiHidden/>
    <w:qFormat/>
    <w:uiPriority w:val="99"/>
    <w:rPr>
      <w:rFonts w:asciiTheme="minorHAnsi" w:hAnsiTheme="minorHAnsi" w:eastAsiaTheme="minorEastAsia" w:cstheme="minorBidi"/>
      <w:kern w:val="2"/>
      <w:sz w:val="18"/>
      <w:szCs w:val="18"/>
    </w:rPr>
  </w:style>
  <w:style w:type="character" w:customStyle="1" w:styleId="48">
    <w:name w:val="hover"/>
    <w:basedOn w:val="20"/>
    <w:qFormat/>
    <w:uiPriority w:val="0"/>
    <w:rPr>
      <w:color w:val="FFFFFF"/>
      <w:shd w:val="clear" w:color="auto" w:fill="59CF00"/>
    </w:rPr>
  </w:style>
  <w:style w:type="character" w:customStyle="1" w:styleId="49">
    <w:name w:val="hover1"/>
    <w:basedOn w:val="20"/>
    <w:qFormat/>
    <w:uiPriority w:val="0"/>
    <w:rPr>
      <w:shd w:val="clear" w:color="auto" w:fill="970815"/>
    </w:rPr>
  </w:style>
  <w:style w:type="character" w:customStyle="1" w:styleId="50">
    <w:name w:val="hover2"/>
    <w:basedOn w:val="20"/>
    <w:qFormat/>
    <w:uiPriority w:val="0"/>
    <w:rPr>
      <w:color w:val="FFFFFF"/>
      <w:shd w:val="clear" w:color="auto" w:fill="0067CC"/>
    </w:rPr>
  </w:style>
  <w:style w:type="character" w:customStyle="1" w:styleId="51">
    <w:name w:val="hover3"/>
    <w:basedOn w:val="20"/>
    <w:qFormat/>
    <w:uiPriority w:val="0"/>
    <w:rPr>
      <w:shd w:val="clear" w:color="auto" w:fill="47AD68"/>
    </w:rPr>
  </w:style>
  <w:style w:type="character" w:customStyle="1" w:styleId="52">
    <w:name w:val="hover4"/>
    <w:basedOn w:val="20"/>
    <w:qFormat/>
    <w:uiPriority w:val="0"/>
    <w:rPr>
      <w:color w:val="FFFFFF"/>
      <w:shd w:val="clear" w:color="auto" w:fill="E04A2B"/>
    </w:rPr>
  </w:style>
  <w:style w:type="character" w:customStyle="1" w:styleId="53">
    <w:name w:val="hover5"/>
    <w:basedOn w:val="20"/>
    <w:qFormat/>
    <w:uiPriority w:val="0"/>
    <w:rPr>
      <w:shd w:val="clear" w:color="auto" w:fill="47AD68"/>
    </w:rPr>
  </w:style>
  <w:style w:type="character" w:customStyle="1" w:styleId="54">
    <w:name w:val="hover6"/>
    <w:basedOn w:val="20"/>
    <w:qFormat/>
    <w:uiPriority w:val="0"/>
    <w:rPr>
      <w:shd w:val="clear" w:color="auto" w:fill="DADADA"/>
    </w:rPr>
  </w:style>
  <w:style w:type="character" w:customStyle="1" w:styleId="55">
    <w:name w:val="hover26"/>
    <w:basedOn w:val="20"/>
    <w:qFormat/>
    <w:uiPriority w:val="0"/>
  </w:style>
  <w:style w:type="character" w:customStyle="1" w:styleId="56">
    <w:name w:val="hover25"/>
    <w:basedOn w:val="20"/>
    <w:qFormat/>
    <w:uiPriority w:val="0"/>
  </w:style>
  <w:style w:type="character" w:customStyle="1" w:styleId="57">
    <w:name w:val="bg1"/>
    <w:basedOn w:val="20"/>
    <w:qFormat/>
    <w:uiPriority w:val="0"/>
    <w:rPr>
      <w:color w:val="FFFFFF"/>
      <w:shd w:val="clear" w:color="auto" w:fill="3D7FCA"/>
    </w:rPr>
  </w:style>
  <w:style w:type="character" w:customStyle="1" w:styleId="58">
    <w:name w:val="hover28"/>
    <w:basedOn w:val="20"/>
    <w:qFormat/>
    <w:uiPriority w:val="0"/>
  </w:style>
  <w:style w:type="character" w:customStyle="1" w:styleId="59">
    <w:name w:val="hover16"/>
    <w:basedOn w:val="20"/>
    <w:qFormat/>
    <w:uiPriority w:val="0"/>
    <w:rPr>
      <w:color w:val="FFFFFF"/>
      <w:shd w:val="clear" w:color="auto" w:fill="59CF00"/>
    </w:rPr>
  </w:style>
  <w:style w:type="character" w:customStyle="1" w:styleId="60">
    <w:name w:val="hover7"/>
    <w:basedOn w:val="20"/>
    <w:qFormat/>
    <w:uiPriority w:val="0"/>
    <w:rPr>
      <w:shd w:val="clear" w:color="auto" w:fill="970815"/>
    </w:rPr>
  </w:style>
  <w:style w:type="character" w:customStyle="1" w:styleId="61">
    <w:name w:val="hover8"/>
    <w:basedOn w:val="20"/>
    <w:qFormat/>
    <w:uiPriority w:val="0"/>
    <w:rPr>
      <w:shd w:val="clear" w:color="auto" w:fill="DADADA"/>
    </w:rPr>
  </w:style>
  <w:style w:type="character" w:customStyle="1" w:styleId="62">
    <w:name w:val="hover29"/>
    <w:basedOn w:val="20"/>
    <w:qFormat/>
    <w:uiPriority w:val="0"/>
  </w:style>
  <w:style w:type="character" w:customStyle="1" w:styleId="63">
    <w:name w:val="批注文字 字符"/>
    <w:basedOn w:val="20"/>
    <w:link w:val="6"/>
    <w:semiHidden/>
    <w:qFormat/>
    <w:uiPriority w:val="99"/>
    <w:rPr>
      <w:rFonts w:asciiTheme="minorHAnsi" w:hAnsiTheme="minorHAnsi" w:eastAsiaTheme="minorEastAsia" w:cstheme="minorBidi"/>
      <w:kern w:val="2"/>
      <w:sz w:val="21"/>
      <w:szCs w:val="24"/>
    </w:rPr>
  </w:style>
  <w:style w:type="character" w:customStyle="1" w:styleId="64">
    <w:name w:val="批注主题 字符"/>
    <w:basedOn w:val="63"/>
    <w:link w:val="17"/>
    <w:semiHidden/>
    <w:qFormat/>
    <w:uiPriority w:val="99"/>
    <w:rPr>
      <w:rFonts w:asciiTheme="minorHAnsi" w:hAnsiTheme="minorHAnsi" w:eastAsiaTheme="minorEastAsia" w:cstheme="minorBidi"/>
      <w:b/>
      <w:bCs/>
      <w:kern w:val="2"/>
      <w:sz w:val="21"/>
      <w:szCs w:val="24"/>
    </w:rPr>
  </w:style>
  <w:style w:type="paragraph" w:styleId="65">
    <w:name w:val="List Paragraph"/>
    <w:basedOn w:val="1"/>
    <w:qFormat/>
    <w:uiPriority w:val="34"/>
    <w:pPr>
      <w:ind w:firstLine="420" w:firstLineChars="200"/>
    </w:pPr>
    <w:rPr>
      <w:szCs w:val="22"/>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9">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70">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71">
    <w:name w:val="font01"/>
    <w:basedOn w:val="20"/>
    <w:qFormat/>
    <w:uiPriority w:val="0"/>
    <w:rPr>
      <w:rFonts w:hint="eastAsia" w:ascii="等线" w:hAnsi="等线" w:eastAsia="等线" w:cs="等线"/>
      <w:color w:val="000000"/>
      <w:sz w:val="22"/>
      <w:szCs w:val="22"/>
      <w:u w:val="none"/>
    </w:rPr>
  </w:style>
  <w:style w:type="character" w:customStyle="1" w:styleId="72">
    <w:name w:val="font21"/>
    <w:basedOn w:val="20"/>
    <w:qFormat/>
    <w:uiPriority w:val="0"/>
    <w:rPr>
      <w:rFonts w:hint="eastAsia" w:ascii="宋体" w:hAnsi="宋体" w:eastAsia="宋体" w:cs="宋体"/>
      <w:color w:val="000000"/>
      <w:sz w:val="21"/>
      <w:szCs w:val="21"/>
      <w:u w:val="none"/>
    </w:rPr>
  </w:style>
  <w:style w:type="character" w:customStyle="1" w:styleId="73">
    <w:name w:val="font11"/>
    <w:basedOn w:val="20"/>
    <w:qFormat/>
    <w:uiPriority w:val="0"/>
    <w:rPr>
      <w:rFonts w:hint="default" w:ascii="仿宋_GB2312" w:eastAsia="仿宋_GB2312" w:cs="仿宋_GB2312"/>
      <w:color w:val="000000"/>
      <w:sz w:val="21"/>
      <w:szCs w:val="21"/>
      <w:u w:val="none"/>
    </w:rPr>
  </w:style>
  <w:style w:type="character" w:customStyle="1" w:styleId="74">
    <w:name w:val="font51"/>
    <w:basedOn w:val="20"/>
    <w:qFormat/>
    <w:uiPriority w:val="0"/>
    <w:rPr>
      <w:rFonts w:ascii="Wingdings" w:hAnsi="Wingdings" w:cs="Wingdings"/>
      <w:color w:val="000000"/>
      <w:sz w:val="21"/>
      <w:szCs w:val="21"/>
      <w:u w:val="none"/>
    </w:rPr>
  </w:style>
  <w:style w:type="character" w:customStyle="1" w:styleId="75">
    <w:name w:val="font31"/>
    <w:basedOn w:val="20"/>
    <w:qFormat/>
    <w:uiPriority w:val="0"/>
    <w:rPr>
      <w:rFonts w:hint="eastAsia" w:ascii="微软雅黑" w:hAnsi="微软雅黑" w:eastAsia="微软雅黑" w:cs="微软雅黑"/>
      <w:color w:val="000000"/>
      <w:sz w:val="20"/>
      <w:szCs w:val="20"/>
      <w:u w:val="none"/>
    </w:rPr>
  </w:style>
  <w:style w:type="character" w:customStyle="1" w:styleId="76">
    <w:name w:val="font71"/>
    <w:basedOn w:val="20"/>
    <w:qFormat/>
    <w:uiPriority w:val="0"/>
    <w:rPr>
      <w:rFonts w:hint="eastAsia" w:ascii="微软雅黑" w:hAnsi="微软雅黑" w:eastAsia="微软雅黑" w:cs="微软雅黑"/>
      <w:color w:val="000000"/>
      <w:sz w:val="20"/>
      <w:szCs w:val="20"/>
      <w:u w:val="none"/>
    </w:rPr>
  </w:style>
  <w:style w:type="character" w:customStyle="1" w:styleId="77">
    <w:name w:val="font61"/>
    <w:basedOn w:val="20"/>
    <w:qFormat/>
    <w:uiPriority w:val="0"/>
    <w:rPr>
      <w:rFonts w:hint="eastAsia" w:ascii="微软雅黑" w:hAnsi="微软雅黑" w:eastAsia="微软雅黑" w:cs="微软雅黑"/>
      <w:b/>
      <w:bCs/>
      <w:color w:val="000000"/>
      <w:sz w:val="20"/>
      <w:szCs w:val="20"/>
      <w:u w:val="none"/>
    </w:rPr>
  </w:style>
  <w:style w:type="character" w:customStyle="1" w:styleId="78">
    <w:name w:val="font81"/>
    <w:basedOn w:val="20"/>
    <w:qFormat/>
    <w:uiPriority w:val="0"/>
    <w:rPr>
      <w:rFonts w:hint="eastAsia" w:ascii="微软雅黑" w:hAnsi="微软雅黑" w:eastAsia="微软雅黑" w:cs="微软雅黑"/>
      <w:b/>
      <w:bCs/>
      <w:color w:val="000000"/>
      <w:sz w:val="20"/>
      <w:szCs w:val="20"/>
      <w:u w:val="none"/>
    </w:rPr>
  </w:style>
  <w:style w:type="character" w:customStyle="1" w:styleId="79">
    <w:name w:val="font112"/>
    <w:basedOn w:val="20"/>
    <w:qFormat/>
    <w:uiPriority w:val="0"/>
    <w:rPr>
      <w:rFonts w:hint="eastAsia" w:ascii="宋体" w:hAnsi="宋体" w:eastAsia="宋体" w:cs="宋体"/>
      <w:b/>
      <w:bCs/>
      <w:color w:val="000000"/>
      <w:sz w:val="22"/>
      <w:szCs w:val="22"/>
      <w:u w:val="single"/>
    </w:rPr>
  </w:style>
  <w:style w:type="character" w:customStyle="1" w:styleId="80">
    <w:name w:val="font121"/>
    <w:basedOn w:val="20"/>
    <w:qFormat/>
    <w:uiPriority w:val="0"/>
    <w:rPr>
      <w:rFonts w:hint="eastAsia" w:ascii="宋体" w:hAnsi="宋体" w:eastAsia="宋体" w:cs="宋体"/>
      <w:b/>
      <w:bCs/>
      <w:color w:val="000000"/>
      <w:sz w:val="22"/>
      <w:szCs w:val="22"/>
      <w:u w:val="single"/>
    </w:rPr>
  </w:style>
  <w:style w:type="character" w:customStyle="1" w:styleId="81">
    <w:name w:val="f-fl2"/>
    <w:basedOn w:val="20"/>
    <w:qFormat/>
    <w:uiPriority w:val="0"/>
  </w:style>
  <w:style w:type="character" w:customStyle="1" w:styleId="82">
    <w:name w:val="f-fl3"/>
    <w:basedOn w:val="20"/>
    <w:qFormat/>
    <w:uiPriority w:val="0"/>
    <w:rPr>
      <w:color w:val="FFFFFF"/>
      <w:sz w:val="27"/>
      <w:szCs w:val="27"/>
      <w:shd w:val="clear" w:fill="015293"/>
    </w:rPr>
  </w:style>
  <w:style w:type="character" w:customStyle="1" w:styleId="83">
    <w:name w:val="f-fl4"/>
    <w:basedOn w:val="20"/>
    <w:qFormat/>
    <w:uiPriority w:val="0"/>
    <w:rPr>
      <w:color w:val="FFFFFF"/>
      <w:sz w:val="27"/>
      <w:szCs w:val="27"/>
      <w:shd w:val="clear" w:fill="8C4E7F"/>
    </w:rPr>
  </w:style>
  <w:style w:type="character" w:customStyle="1" w:styleId="84">
    <w:name w:val="f-fl5"/>
    <w:basedOn w:val="20"/>
    <w:qFormat/>
    <w:uiPriority w:val="0"/>
  </w:style>
  <w:style w:type="character" w:customStyle="1" w:styleId="85">
    <w:name w:val="f-fl6"/>
    <w:basedOn w:val="20"/>
    <w:qFormat/>
    <w:uiPriority w:val="0"/>
  </w:style>
  <w:style w:type="character" w:customStyle="1" w:styleId="86">
    <w:name w:val="f-fr2"/>
    <w:basedOn w:val="20"/>
    <w:qFormat/>
    <w:uiPriority w:val="0"/>
  </w:style>
  <w:style w:type="character" w:customStyle="1" w:styleId="87">
    <w:name w:val="f-fr3"/>
    <w:basedOn w:val="20"/>
    <w:qFormat/>
    <w:uiPriority w:val="0"/>
  </w:style>
  <w:style w:type="character" w:customStyle="1" w:styleId="88">
    <w:name w:val="f-fr4"/>
    <w:basedOn w:val="20"/>
    <w:qFormat/>
    <w:uiPriority w:val="0"/>
    <w:rPr>
      <w:color w:val="999999"/>
    </w:rPr>
  </w:style>
  <w:style w:type="character" w:customStyle="1" w:styleId="89">
    <w:name w:val="f-fr5"/>
    <w:basedOn w:val="20"/>
    <w:qFormat/>
    <w:uiPriority w:val="0"/>
    <w:rPr>
      <w:color w:val="FFFFFF"/>
      <w:sz w:val="27"/>
      <w:szCs w:val="27"/>
    </w:rPr>
  </w:style>
  <w:style w:type="character" w:customStyle="1" w:styleId="90">
    <w:name w:val="f-fr"/>
    <w:basedOn w:val="20"/>
    <w:qFormat/>
    <w:uiPriority w:val="0"/>
  </w:style>
  <w:style w:type="character" w:customStyle="1" w:styleId="91">
    <w:name w:val="f-fl"/>
    <w:basedOn w:val="20"/>
    <w:qFormat/>
    <w:uiPriority w:val="0"/>
    <w:rPr>
      <w:color w:val="FFFFFF"/>
      <w:sz w:val="27"/>
      <w:szCs w:val="27"/>
      <w:shd w:val="clear" w:fill="8C4E7F"/>
    </w:rPr>
  </w:style>
  <w:style w:type="character" w:customStyle="1" w:styleId="92">
    <w:name w:val="f-fl1"/>
    <w:basedOn w:val="20"/>
    <w:qFormat/>
    <w:uiPriority w:val="0"/>
  </w:style>
  <w:style w:type="character" w:customStyle="1" w:styleId="93">
    <w:name w:val="font91"/>
    <w:basedOn w:val="20"/>
    <w:qFormat/>
    <w:uiPriority w:val="0"/>
    <w:rPr>
      <w:rFonts w:hint="eastAsia" w:ascii="微软雅黑" w:hAnsi="微软雅黑" w:eastAsia="微软雅黑" w:cs="微软雅黑"/>
      <w:b/>
      <w:bCs/>
      <w:color w:val="000000"/>
      <w:sz w:val="20"/>
      <w:szCs w:val="20"/>
      <w:u w:val="none"/>
    </w:rPr>
  </w:style>
  <w:style w:type="character" w:customStyle="1" w:styleId="94">
    <w:name w:val="font41"/>
    <w:basedOn w:val="20"/>
    <w:qFormat/>
    <w:uiPriority w:val="0"/>
    <w:rPr>
      <w:rFonts w:ascii="Wingdings" w:hAnsi="Wingdings" w:cs="Wingdings"/>
      <w:color w:val="000000"/>
      <w:sz w:val="21"/>
      <w:szCs w:val="21"/>
      <w:u w:val="none"/>
    </w:rPr>
  </w:style>
  <w:style w:type="character" w:customStyle="1" w:styleId="95">
    <w:name w:val="font101"/>
    <w:basedOn w:val="20"/>
    <w:qFormat/>
    <w:uiPriority w:val="0"/>
    <w:rPr>
      <w:rFonts w:hint="eastAsia" w:ascii="微软雅黑" w:hAnsi="微软雅黑" w:eastAsia="微软雅黑" w:cs="微软雅黑"/>
      <w:b/>
      <w:bCs/>
      <w:color w:val="000000"/>
      <w:sz w:val="20"/>
      <w:szCs w:val="20"/>
      <w:u w:val="none"/>
    </w:rPr>
  </w:style>
  <w:style w:type="paragraph" w:customStyle="1" w:styleId="96">
    <w:name w:val="l正文"/>
    <w:basedOn w:val="1"/>
    <w:qFormat/>
    <w:uiPriority w:val="0"/>
    <w:pPr>
      <w:spacing w:line="300" w:lineRule="auto"/>
      <w:ind w:firstLine="200" w:firstLineChars="200"/>
    </w:pPr>
    <w:rPr>
      <w:rFonts w:ascii="楷体_GB2312" w:hAnsi="Times" w:eastAsia="楷体_GB2312"/>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mycomputer</Company>
  <Pages>35</Pages>
  <Words>16386</Words>
  <Characters>17591</Characters>
  <Lines>1</Lines>
  <Paragraphs>1</Paragraphs>
  <TotalTime>89</TotalTime>
  <ScaleCrop>false</ScaleCrop>
  <LinksUpToDate>false</LinksUpToDate>
  <CharactersWithSpaces>17886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2020-01-14T07:57:00Z</dcterms:created>
  <dc:creator>广东省机电设备招标有限公司</dc:creator>
  <cp:lastModifiedBy>yanliping</cp:lastModifiedBy>
  <cp:lastPrinted>2022-11-23T20:36:00Z</cp:lastPrinted>
  <dcterms:modified xsi:type="dcterms:W3CDTF">2023-03-14T17:49:35Z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0CC8CCA0D02C4CC6A0CD33EEE9913DF8</vt:lpwstr>
  </property>
</Properties>
</file>