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60" w:lineRule="exact"/>
        <w:jc w:val="center"/>
        <w:rPr>
          <w:rFonts w:hint="eastAsia" w:ascii="宋体" w:hAnsi="宋体" w:eastAsia="宋体" w:cs="宋体"/>
          <w:b/>
          <w:bCs/>
          <w:sz w:val="44"/>
          <w:szCs w:val="44"/>
          <w:lang w:eastAsia="zh-CN"/>
        </w:rPr>
      </w:pPr>
    </w:p>
    <w:p>
      <w:pPr>
        <w:keepNext w:val="0"/>
        <w:keepLines w:val="0"/>
        <w:widowControl/>
        <w:suppressLineNumbers w:val="0"/>
        <w:spacing w:line="560" w:lineRule="exact"/>
        <w:jc w:val="center"/>
        <w:rPr>
          <w:rFonts w:hint="eastAsia" w:ascii="宋体" w:hAnsi="宋体" w:eastAsia="宋体" w:cs="宋体"/>
          <w:b/>
          <w:bCs/>
          <w:sz w:val="44"/>
          <w:szCs w:val="44"/>
          <w:lang w:eastAsia="zh-CN"/>
        </w:rPr>
      </w:pPr>
    </w:p>
    <w:p>
      <w:pPr>
        <w:jc w:val="both"/>
        <w:rPr>
          <w:rFonts w:hint="eastAsia" w:ascii="黑体" w:hAnsi="黑体" w:eastAsia="黑体" w:cs="黑体"/>
          <w:b/>
          <w:bCs/>
          <w:sz w:val="32"/>
          <w:szCs w:val="32"/>
          <w:lang w:val="en-US" w:eastAsia="zh-CN"/>
        </w:rPr>
      </w:pPr>
      <w:r>
        <w:rPr>
          <w:rFonts w:hint="eastAsia" w:ascii="黑体" w:hAnsi="黑体" w:eastAsia="黑体" w:cs="黑体"/>
          <w:sz w:val="32"/>
          <w:szCs w:val="32"/>
          <w:lang w:val="en-US" w:eastAsia="zh-CN"/>
        </w:rPr>
        <w:t>附件</w:t>
      </w:r>
      <w:r>
        <w:rPr>
          <w:rFonts w:hint="eastAsia" w:ascii="黑体" w:hAnsi="黑体" w:eastAsia="黑体" w:cs="黑体"/>
          <w:b/>
          <w:bCs/>
          <w:sz w:val="32"/>
          <w:szCs w:val="32"/>
          <w:lang w:val="en-US" w:eastAsia="zh-CN"/>
        </w:rPr>
        <w:t xml:space="preserve"> </w:t>
      </w:r>
      <w:bookmarkStart w:id="0" w:name="_GoBack"/>
      <w:bookmarkEnd w:id="0"/>
    </w:p>
    <w:p>
      <w:pPr>
        <w:jc w:val="center"/>
        <w:rPr>
          <w:rFonts w:hint="eastAsia" w:ascii="宋体" w:hAnsi="宋体" w:eastAsia="宋体" w:cs="宋体"/>
          <w:b/>
          <w:bCs/>
          <w:sz w:val="44"/>
          <w:szCs w:val="44"/>
          <w:lang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重大行政决策事项和听证事项目录</w:t>
      </w:r>
    </w:p>
    <w:tbl>
      <w:tblPr>
        <w:tblStyle w:val="3"/>
        <w:tblW w:w="13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6678"/>
        <w:gridCol w:w="2547"/>
        <w:gridCol w:w="1491"/>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130" w:type="dxa"/>
            <w:noWrap w:val="0"/>
            <w:vAlign w:val="center"/>
          </w:tcPr>
          <w:p>
            <w:pPr>
              <w:spacing w:line="240" w:lineRule="auto"/>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序号</w:t>
            </w:r>
          </w:p>
        </w:tc>
        <w:tc>
          <w:tcPr>
            <w:tcW w:w="6678" w:type="dxa"/>
            <w:noWrap w:val="0"/>
            <w:vAlign w:val="center"/>
          </w:tcPr>
          <w:p>
            <w:pPr>
              <w:spacing w:line="240" w:lineRule="auto"/>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决策事项名称</w:t>
            </w:r>
          </w:p>
        </w:tc>
        <w:tc>
          <w:tcPr>
            <w:tcW w:w="2547" w:type="dxa"/>
            <w:noWrap w:val="0"/>
            <w:vAlign w:val="center"/>
          </w:tcPr>
          <w:p>
            <w:pPr>
              <w:spacing w:line="240" w:lineRule="auto"/>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组织承办部门</w:t>
            </w:r>
          </w:p>
        </w:tc>
        <w:tc>
          <w:tcPr>
            <w:tcW w:w="1491" w:type="dxa"/>
            <w:noWrap w:val="0"/>
            <w:vAlign w:val="center"/>
          </w:tcPr>
          <w:p>
            <w:pPr>
              <w:spacing w:line="400" w:lineRule="exact"/>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决策时间计划</w:t>
            </w:r>
          </w:p>
        </w:tc>
        <w:tc>
          <w:tcPr>
            <w:tcW w:w="1793" w:type="dxa"/>
            <w:noWrap w:val="0"/>
            <w:vAlign w:val="center"/>
          </w:tcPr>
          <w:p>
            <w:pPr>
              <w:spacing w:line="240" w:lineRule="auto"/>
              <w:jc w:val="center"/>
              <w:rPr>
                <w:rFonts w:hint="eastAsia" w:ascii="Times New Roman" w:hAnsi="Times New Roman" w:eastAsia="宋体" w:cs="Times New Roman"/>
                <w:b/>
                <w:bCs/>
                <w:sz w:val="32"/>
                <w:szCs w:val="32"/>
              </w:rPr>
            </w:pPr>
            <w:r>
              <w:rPr>
                <w:rFonts w:hint="eastAsia" w:ascii="Times New Roman" w:hAnsi="Times New Roman" w:eastAsia="宋体" w:cs="Times New Roman"/>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130" w:type="dxa"/>
            <w:noWrap w:val="0"/>
            <w:vAlign w:val="center"/>
          </w:tcPr>
          <w:p>
            <w:pPr>
              <w:keepNext w:val="0"/>
              <w:keepLines w:val="0"/>
              <w:widowControl/>
              <w:suppressLineNumbers w:val="0"/>
              <w:jc w:val="center"/>
              <w:rPr>
                <w:rFonts w:hint="default"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eastAsia="仿宋_GB2312" w:cs="仿宋_GB2312"/>
                <w:i w:val="0"/>
                <w:caps w:val="0"/>
                <w:spacing w:val="0"/>
                <w:kern w:val="0"/>
                <w:sz w:val="32"/>
                <w:szCs w:val="32"/>
                <w:shd w:val="clear" w:color="auto" w:fill="FFFFFF"/>
                <w:lang w:val="en-US" w:eastAsia="zh-CN" w:bidi="ar"/>
              </w:rPr>
              <w:t>1</w:t>
            </w:r>
          </w:p>
        </w:tc>
        <w:tc>
          <w:tcPr>
            <w:tcW w:w="6678"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w:t>
            </w:r>
            <w:r>
              <w:rPr>
                <w:rFonts w:hint="eastAsia" w:ascii="仿宋_GB2312" w:hAnsi="仿宋_GB2312" w:eastAsia="仿宋_GB2312" w:cs="仿宋_GB2312"/>
                <w:sz w:val="32"/>
                <w:szCs w:val="40"/>
                <w:lang w:val="en-US" w:eastAsia="zh-CN"/>
              </w:rPr>
              <w:t>深圳市建设工程评标专家管理实施细则》</w:t>
            </w:r>
          </w:p>
        </w:tc>
        <w:tc>
          <w:tcPr>
            <w:tcW w:w="2547"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建筑市场与招标投标监管处</w:t>
            </w:r>
          </w:p>
        </w:tc>
        <w:tc>
          <w:tcPr>
            <w:tcW w:w="1491"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1-12月</w:t>
            </w:r>
          </w:p>
        </w:tc>
        <w:tc>
          <w:tcPr>
            <w:tcW w:w="1793" w:type="dxa"/>
            <w:noWrap w:val="0"/>
            <w:vAlign w:val="center"/>
          </w:tcPr>
          <w:p>
            <w:pPr>
              <w:keepNext w:val="0"/>
              <w:keepLines w:val="0"/>
              <w:widowControl/>
              <w:suppressLineNumbers w:val="0"/>
              <w:ind w:firstLine="640" w:firstLineChars="200"/>
              <w:jc w:val="left"/>
              <w:rPr>
                <w:rFonts w:hint="eastAsia" w:ascii="仿宋_GB2312" w:hAnsi="Calibri" w:eastAsia="仿宋_GB2312" w:cs="仿宋_GB2312"/>
                <w:i w:val="0"/>
                <w:caps w:val="0"/>
                <w:spacing w:val="0"/>
                <w:kern w:val="0"/>
                <w:sz w:val="32"/>
                <w:szCs w:val="3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130" w:type="dxa"/>
            <w:noWrap w:val="0"/>
            <w:vAlign w:val="center"/>
          </w:tcPr>
          <w:p>
            <w:pPr>
              <w:keepNext w:val="0"/>
              <w:keepLines w:val="0"/>
              <w:widowControl/>
              <w:suppressLineNumbers w:val="0"/>
              <w:jc w:val="center"/>
              <w:rPr>
                <w:rFonts w:hint="default"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eastAsia="仿宋_GB2312" w:cs="仿宋_GB2312"/>
                <w:i w:val="0"/>
                <w:caps w:val="0"/>
                <w:spacing w:val="0"/>
                <w:kern w:val="0"/>
                <w:sz w:val="32"/>
                <w:szCs w:val="32"/>
                <w:shd w:val="clear" w:color="auto" w:fill="FFFFFF"/>
                <w:lang w:val="en-US" w:eastAsia="zh-CN" w:bidi="ar"/>
              </w:rPr>
              <w:t>2</w:t>
            </w:r>
          </w:p>
        </w:tc>
        <w:tc>
          <w:tcPr>
            <w:tcW w:w="6678" w:type="dxa"/>
            <w:noWrap w:val="0"/>
            <w:vAlign w:val="center"/>
          </w:tcPr>
          <w:p>
            <w:pPr>
              <w:keepNext w:val="0"/>
              <w:keepLines w:val="0"/>
              <w:widowControl/>
              <w:suppressLineNumbers w:val="0"/>
              <w:jc w:val="left"/>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《深圳市住房和建设局 深圳市交通运输局 深圳市水务局关于进一步加强房屋建筑和市政基础设施工程勘察设计质量管理的通知》</w:t>
            </w:r>
          </w:p>
        </w:tc>
        <w:tc>
          <w:tcPr>
            <w:tcW w:w="2547"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勘察设计与建设科技处</w:t>
            </w:r>
          </w:p>
        </w:tc>
        <w:tc>
          <w:tcPr>
            <w:tcW w:w="1491"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1-12月</w:t>
            </w:r>
          </w:p>
        </w:tc>
        <w:tc>
          <w:tcPr>
            <w:tcW w:w="1793" w:type="dxa"/>
            <w:noWrap w:val="0"/>
            <w:vAlign w:val="center"/>
          </w:tcPr>
          <w:p>
            <w:pPr>
              <w:keepNext w:val="0"/>
              <w:keepLines w:val="0"/>
              <w:widowControl/>
              <w:suppressLineNumbers w:val="0"/>
              <w:ind w:firstLine="640" w:firstLineChars="200"/>
              <w:jc w:val="left"/>
              <w:rPr>
                <w:rFonts w:hint="eastAsia" w:ascii="仿宋_GB2312" w:hAnsi="Calibri" w:eastAsia="仿宋_GB2312" w:cs="仿宋_GB2312"/>
                <w:i w:val="0"/>
                <w:caps w:val="0"/>
                <w:spacing w:val="0"/>
                <w:kern w:val="0"/>
                <w:sz w:val="32"/>
                <w:szCs w:val="3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130" w:type="dxa"/>
            <w:noWrap w:val="0"/>
            <w:vAlign w:val="center"/>
          </w:tcPr>
          <w:p>
            <w:pPr>
              <w:keepNext w:val="0"/>
              <w:keepLines w:val="0"/>
              <w:widowControl/>
              <w:suppressLineNumbers w:val="0"/>
              <w:jc w:val="center"/>
              <w:rPr>
                <w:rFonts w:hint="default"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eastAsia="仿宋_GB2312" w:cs="仿宋_GB2312"/>
                <w:i w:val="0"/>
                <w:caps w:val="0"/>
                <w:spacing w:val="0"/>
                <w:kern w:val="0"/>
                <w:sz w:val="32"/>
                <w:szCs w:val="32"/>
                <w:shd w:val="clear" w:color="auto" w:fill="FFFFFF"/>
                <w:lang w:val="en-US" w:eastAsia="zh-CN" w:bidi="ar"/>
              </w:rPr>
              <w:t>3</w:t>
            </w:r>
          </w:p>
        </w:tc>
        <w:tc>
          <w:tcPr>
            <w:tcW w:w="6678"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《深圳市城市建设档案查询利用规定》</w:t>
            </w:r>
          </w:p>
        </w:tc>
        <w:tc>
          <w:tcPr>
            <w:tcW w:w="2547"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城市建设档案馆</w:t>
            </w:r>
          </w:p>
        </w:tc>
        <w:tc>
          <w:tcPr>
            <w:tcW w:w="1491" w:type="dxa"/>
            <w:noWrap w:val="0"/>
            <w:vAlign w:val="center"/>
          </w:tcPr>
          <w:p>
            <w:pPr>
              <w:keepNext w:val="0"/>
              <w:keepLines w:val="0"/>
              <w:widowControl/>
              <w:suppressLineNumbers w:val="0"/>
              <w:jc w:val="center"/>
              <w:rPr>
                <w:rFonts w:hint="eastAsia" w:ascii="仿宋_GB2312" w:hAnsi="Calibri" w:eastAsia="仿宋_GB2312" w:cs="仿宋_GB2312"/>
                <w:i w:val="0"/>
                <w:caps w:val="0"/>
                <w:spacing w:val="0"/>
                <w:kern w:val="0"/>
                <w:sz w:val="32"/>
                <w:szCs w:val="32"/>
                <w:shd w:val="clear" w:color="auto" w:fill="FFFFFF"/>
                <w:lang w:val="en-US" w:eastAsia="zh-CN" w:bidi="ar"/>
              </w:rPr>
            </w:pPr>
            <w:r>
              <w:rPr>
                <w:rFonts w:hint="eastAsia" w:ascii="仿宋_GB2312" w:hAnsi="Calibri" w:eastAsia="仿宋_GB2312" w:cs="仿宋_GB2312"/>
                <w:i w:val="0"/>
                <w:caps w:val="0"/>
                <w:spacing w:val="0"/>
                <w:kern w:val="0"/>
                <w:sz w:val="32"/>
                <w:szCs w:val="32"/>
                <w:shd w:val="clear" w:color="auto" w:fill="FFFFFF"/>
                <w:lang w:val="en-US" w:eastAsia="zh-CN" w:bidi="ar"/>
              </w:rPr>
              <w:t>1-12月</w:t>
            </w:r>
          </w:p>
        </w:tc>
        <w:tc>
          <w:tcPr>
            <w:tcW w:w="1793" w:type="dxa"/>
            <w:noWrap w:val="0"/>
            <w:vAlign w:val="center"/>
          </w:tcPr>
          <w:p>
            <w:pPr>
              <w:keepNext w:val="0"/>
              <w:keepLines w:val="0"/>
              <w:widowControl/>
              <w:suppressLineNumbers w:val="0"/>
              <w:jc w:val="center"/>
              <w:rPr>
                <w:rFonts w:hint="default" w:ascii="仿宋_GB2312" w:hAnsi="Calibri" w:eastAsia="仿宋_GB2312" w:cs="仿宋_GB2312"/>
                <w:i w:val="0"/>
                <w:caps w:val="0"/>
                <w:spacing w:val="0"/>
                <w:kern w:val="0"/>
                <w:sz w:val="32"/>
                <w:szCs w:val="32"/>
                <w:shd w:val="clear" w:color="auto" w:fill="FFFFFF"/>
                <w:lang w:val="en" w:eastAsia="zh-CN" w:bidi="ar"/>
              </w:rPr>
            </w:pPr>
            <w:r>
              <w:rPr>
                <w:rFonts w:hint="eastAsia" w:ascii="仿宋_GB2312" w:eastAsia="仿宋_GB2312" w:cs="仿宋_GB2312"/>
                <w:i w:val="0"/>
                <w:caps w:val="0"/>
                <w:spacing w:val="0"/>
                <w:kern w:val="0"/>
                <w:sz w:val="32"/>
                <w:szCs w:val="32"/>
                <w:shd w:val="clear" w:color="auto" w:fill="FFFFFF"/>
                <w:lang w:val="en" w:eastAsia="zh-CN" w:bidi="ar"/>
              </w:rPr>
              <w:t>同时列为听证事项</w:t>
            </w:r>
          </w:p>
        </w:tc>
      </w:tr>
    </w:tbl>
    <w:p>
      <w:pPr>
        <w:keepNext w:val="0"/>
        <w:keepLines w:val="0"/>
        <w:widowControl/>
        <w:suppressLineNumbers w:val="0"/>
        <w:wordWrap w:val="0"/>
        <w:jc w:val="both"/>
        <w:rPr>
          <w:rFonts w:hint="default" w:ascii="仿宋_GB2312" w:hAnsi="仿宋_GB2312" w:eastAsia="仿宋_GB2312" w:cs="仿宋_GB2312"/>
          <w:sz w:val="32"/>
          <w:szCs w:val="40"/>
          <w:lang w:val="en-US" w:eastAsia="zh-CN"/>
        </w:rPr>
      </w:pPr>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CFE556"/>
    <w:rsid w:val="5CFB2713"/>
    <w:rsid w:val="667C18EF"/>
    <w:rsid w:val="75D89F07"/>
    <w:rsid w:val="B9B6B1C6"/>
    <w:rsid w:val="E4DFF161"/>
    <w:rsid w:val="EBEFDE4A"/>
    <w:rsid w:val="FF6F4D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2023-04-24T03:07:00Z</dcterms:created>
  <dc:creator>liu</dc:creator>
  <cp:lastModifiedBy>liu</cp:lastModifiedBy>
  <dcterms:modified xsi:type="dcterms:W3CDTF">2023-04-24T18:08:06Z</dcterms:modified>
  <dc:title>深圳市住房和建设局关于公布《2023年度重大行政决策事项和听证事项目录》的通知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