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ind w:right="-1"/>
        <w:jc w:val="center"/>
        <w:rPr>
          <w:rFonts w:eastAsia="黑体" w:cs="黑体"/>
          <w:b/>
          <w:bCs/>
          <w:i/>
          <w:iCs/>
          <w:color w:val="FF0000"/>
          <w:sz w:val="44"/>
          <w:szCs w:val="44"/>
        </w:rPr>
      </w:pPr>
    </w:p>
    <w:p>
      <w:pPr>
        <w:ind w:right="-1"/>
        <w:jc w:val="center"/>
        <w:rPr>
          <w:rFonts w:eastAsia="黑体"/>
          <w:sz w:val="52"/>
          <w:szCs w:val="52"/>
        </w:rPr>
      </w:pPr>
    </w:p>
    <w:p>
      <w:pPr>
        <w:ind w:right="-1"/>
        <w:jc w:val="center"/>
        <w:rPr>
          <w:rFonts w:eastAsia="黑体"/>
          <w:sz w:val="52"/>
          <w:szCs w:val="52"/>
        </w:rPr>
      </w:pPr>
      <w:r>
        <w:rPr>
          <w:rFonts w:hint="eastAsia" w:eastAsia="黑体" w:cs="黑体"/>
          <w:sz w:val="52"/>
          <w:szCs w:val="52"/>
        </w:rPr>
        <w:t>【服务类】</w:t>
      </w:r>
    </w:p>
    <w:p/>
    <w:p>
      <w:pPr>
        <w:rPr>
          <w:sz w:val="44"/>
          <w:szCs w:val="44"/>
        </w:rPr>
      </w:pPr>
    </w:p>
    <w:p>
      <w:pPr>
        <w:rPr>
          <w:sz w:val="44"/>
          <w:szCs w:val="44"/>
        </w:rPr>
      </w:pPr>
    </w:p>
    <w:p>
      <w:pPr>
        <w:jc w:val="center"/>
        <w:rPr>
          <w:b/>
          <w:bCs/>
          <w:sz w:val="44"/>
          <w:szCs w:val="44"/>
        </w:rPr>
      </w:pPr>
      <w:r>
        <w:rPr>
          <w:rFonts w:hint="eastAsia" w:cs="宋体"/>
          <w:b/>
          <w:bCs/>
          <w:sz w:val="44"/>
          <w:szCs w:val="44"/>
        </w:rPr>
        <w:t>项目编号：</w:t>
      </w:r>
      <w:r>
        <w:rPr>
          <w:b/>
          <w:bCs/>
          <w:sz w:val="44"/>
          <w:szCs w:val="44"/>
        </w:rPr>
        <w:t>JX2022ZB-F054</w:t>
      </w:r>
    </w:p>
    <w:p>
      <w:pPr>
        <w:rPr>
          <w:sz w:val="52"/>
          <w:szCs w:val="52"/>
        </w:rPr>
      </w:pPr>
    </w:p>
    <w:p>
      <w:pPr>
        <w:rPr>
          <w:sz w:val="52"/>
          <w:szCs w:val="52"/>
        </w:rPr>
      </w:pPr>
    </w:p>
    <w:p>
      <w:pPr>
        <w:rPr>
          <w:sz w:val="52"/>
          <w:szCs w:val="52"/>
        </w:rPr>
      </w:pPr>
    </w:p>
    <w:p>
      <w:pPr>
        <w:ind w:right="-1"/>
        <w:jc w:val="center"/>
        <w:rPr>
          <w:b/>
          <w:bCs/>
          <w:sz w:val="52"/>
          <w:szCs w:val="52"/>
        </w:rPr>
      </w:pPr>
      <w:r>
        <w:rPr>
          <w:rFonts w:hint="eastAsia" w:cs="宋体"/>
          <w:b/>
          <w:bCs/>
          <w:sz w:val="52"/>
          <w:szCs w:val="52"/>
        </w:rPr>
        <w:t>深圳市住房和建设局2022年度全媒体网络信息查询服务项目</w:t>
      </w:r>
    </w:p>
    <w:p>
      <w:pPr>
        <w:jc w:val="center"/>
        <w:rPr>
          <w:b/>
          <w:bCs/>
          <w:sz w:val="52"/>
          <w:szCs w:val="52"/>
        </w:rPr>
      </w:pPr>
    </w:p>
    <w:p>
      <w:pPr>
        <w:jc w:val="center"/>
        <w:rPr>
          <w:b/>
          <w:bCs/>
          <w:sz w:val="52"/>
          <w:szCs w:val="52"/>
        </w:rPr>
      </w:pPr>
    </w:p>
    <w:p>
      <w:pPr>
        <w:rPr>
          <w:b/>
          <w:bCs/>
          <w:sz w:val="52"/>
          <w:szCs w:val="52"/>
        </w:rPr>
      </w:pPr>
    </w:p>
    <w:p>
      <w:pPr>
        <w:jc w:val="center"/>
        <w:rPr>
          <w:b/>
          <w:bCs/>
          <w:sz w:val="52"/>
          <w:szCs w:val="52"/>
        </w:rPr>
      </w:pPr>
      <w:r>
        <w:rPr>
          <w:rFonts w:hint="eastAsia"/>
          <w:b/>
          <w:sz w:val="52"/>
          <w:szCs w:val="52"/>
        </w:rPr>
        <w:t>招标</w:t>
      </w:r>
      <w:r>
        <w:rPr>
          <w:b/>
          <w:sz w:val="52"/>
          <w:szCs w:val="52"/>
        </w:rPr>
        <w:t>文件</w:t>
      </w:r>
    </w:p>
    <w:p>
      <w:pPr>
        <w:jc w:val="center"/>
        <w:rPr>
          <w:b/>
          <w:bCs/>
          <w:i/>
          <w:iCs/>
          <w:color w:val="FF0000"/>
          <w:sz w:val="32"/>
          <w:szCs w:val="32"/>
        </w:rPr>
      </w:pPr>
    </w:p>
    <w:p>
      <w:pPr>
        <w:rPr>
          <w:sz w:val="52"/>
          <w:szCs w:val="52"/>
        </w:rPr>
      </w:pPr>
    </w:p>
    <w:p>
      <w:pPr>
        <w:rPr>
          <w:sz w:val="52"/>
          <w:szCs w:val="52"/>
        </w:rPr>
      </w:pPr>
    </w:p>
    <w:p>
      <w:pPr>
        <w:rPr>
          <w:sz w:val="52"/>
          <w:szCs w:val="52"/>
        </w:rPr>
      </w:pPr>
    </w:p>
    <w:p>
      <w:pPr>
        <w:rPr>
          <w:sz w:val="52"/>
          <w:szCs w:val="52"/>
        </w:rPr>
      </w:pPr>
    </w:p>
    <w:p>
      <w:pPr>
        <w:jc w:val="center"/>
        <w:rPr>
          <w:sz w:val="44"/>
          <w:szCs w:val="44"/>
        </w:rPr>
      </w:pPr>
      <w:r>
        <w:rPr>
          <w:rFonts w:hint="eastAsia" w:cs="宋体"/>
          <w:b/>
          <w:bCs/>
          <w:sz w:val="44"/>
          <w:szCs w:val="44"/>
        </w:rPr>
        <w:t>深圳市建星项目管理顾问有限公司</w:t>
      </w:r>
    </w:p>
    <w:p>
      <w:pPr>
        <w:jc w:val="center"/>
        <w:rPr>
          <w:sz w:val="44"/>
          <w:szCs w:val="44"/>
        </w:rPr>
      </w:pPr>
    </w:p>
    <w:p>
      <w:pPr>
        <w:jc w:val="center"/>
        <w:rPr>
          <w:rFonts w:ascii="宋体" w:hAnsi="宋体"/>
          <w:color w:val="FF0000"/>
          <w:kern w:val="2"/>
        </w:rPr>
      </w:pPr>
      <w:r>
        <w:rPr>
          <w:rFonts w:hint="eastAsia" w:cs="宋体"/>
          <w:sz w:val="44"/>
          <w:szCs w:val="44"/>
        </w:rPr>
        <w:t>二〇二二年十月</w:t>
      </w:r>
      <w:r>
        <w:rPr>
          <w:sz w:val="44"/>
          <w:szCs w:val="44"/>
        </w:rPr>
        <w:cr/>
      </w:r>
      <w:r>
        <w:rPr>
          <w:sz w:val="44"/>
          <w:szCs w:val="44"/>
        </w:rPr>
        <w:br w:type="page"/>
      </w:r>
      <w:r>
        <w:rPr>
          <w:rFonts w:hint="eastAsia" w:ascii="宋体" w:hAnsi="宋体" w:eastAsia="黑体"/>
          <w:b/>
          <w:bCs/>
          <w:color w:val="FF0000"/>
          <w:kern w:val="44"/>
          <w:sz w:val="28"/>
          <w:szCs w:val="44"/>
        </w:rPr>
        <w:t>警示条款</w:t>
      </w:r>
    </w:p>
    <w:p>
      <w:pPr>
        <w:jc w:val="center"/>
        <w:rPr>
          <w:rFonts w:ascii="宋体" w:hAnsi="宋体"/>
          <w:color w:val="FF0000"/>
          <w:kern w:val="2"/>
          <w:sz w:val="20"/>
          <w:szCs w:val="20"/>
        </w:rPr>
      </w:pPr>
    </w:p>
    <w:p>
      <w:pPr>
        <w:widowControl w:val="0"/>
        <w:ind w:firstLine="279" w:firstLineChars="133"/>
        <w:rPr>
          <w:color w:val="FF0000"/>
          <w:kern w:val="2"/>
        </w:rPr>
      </w:pPr>
      <w:r>
        <w:rPr>
          <w:rFonts w:hint="eastAsia"/>
          <w:color w:val="FF0000"/>
          <w:kern w:val="2"/>
        </w:rPr>
        <w:t>一、《深圳经济特区政府采购条例》</w:t>
      </w:r>
    </w:p>
    <w:p>
      <w:pPr>
        <w:widowControl w:val="0"/>
        <w:ind w:firstLine="279" w:firstLineChars="133"/>
        <w:rPr>
          <w:color w:val="FF0000"/>
          <w:kern w:val="2"/>
        </w:rPr>
      </w:pPr>
      <w:r>
        <w:rPr>
          <w:rFonts w:hint="eastAsia"/>
          <w:color w:val="FF0000"/>
          <w:kern w:val="2"/>
        </w:rPr>
        <w:t>第五十七条供应商在政府采购中，有下列行为之一的，一至三年内禁止其参与本市政府采购，并由主管部门记入供应商诚信档案，处以采购金额千分之十以上千分之二十以下的罚款；情节严重的，取消其参与本市政府采购资格，处以采购金额千分之二十以上千分之三十以下的罚款，并由市场监管部门依法吊销其营业执照；给他人造成损失的，依法承担赔偿责任；构成犯罪的，依法追究刑事责任：</w:t>
      </w:r>
    </w:p>
    <w:p>
      <w:pPr>
        <w:widowControl w:val="0"/>
        <w:ind w:firstLine="279" w:firstLineChars="133"/>
        <w:rPr>
          <w:color w:val="FF0000"/>
          <w:kern w:val="2"/>
        </w:rPr>
      </w:pPr>
      <w:r>
        <w:rPr>
          <w:rFonts w:hint="eastAsia"/>
          <w:color w:val="FF0000"/>
          <w:kern w:val="2"/>
        </w:rPr>
        <w:t>（一）在采购活动中应当回避而未回避的；</w:t>
      </w:r>
    </w:p>
    <w:p>
      <w:pPr>
        <w:widowControl w:val="0"/>
        <w:ind w:firstLine="279" w:firstLineChars="133"/>
        <w:rPr>
          <w:color w:val="FF0000"/>
          <w:kern w:val="2"/>
        </w:rPr>
      </w:pPr>
      <w:r>
        <w:rPr>
          <w:rFonts w:hint="eastAsia"/>
          <w:color w:val="FF0000"/>
          <w:kern w:val="2"/>
        </w:rPr>
        <w:t>（二）未按本条例规定签订、履行采购合同，造成严重后果的；</w:t>
      </w:r>
    </w:p>
    <w:p>
      <w:pPr>
        <w:widowControl w:val="0"/>
        <w:ind w:firstLine="279" w:firstLineChars="133"/>
        <w:rPr>
          <w:color w:val="FF0000"/>
          <w:kern w:val="2"/>
        </w:rPr>
      </w:pPr>
      <w:r>
        <w:rPr>
          <w:rFonts w:hint="eastAsia"/>
          <w:color w:val="FF0000"/>
          <w:kern w:val="2"/>
        </w:rPr>
        <w:t>（三）隐瞒真实情况，提供虚假资料的；</w:t>
      </w:r>
    </w:p>
    <w:p>
      <w:pPr>
        <w:widowControl w:val="0"/>
        <w:ind w:firstLine="279" w:firstLineChars="133"/>
        <w:rPr>
          <w:color w:val="FF0000"/>
          <w:kern w:val="2"/>
        </w:rPr>
      </w:pPr>
      <w:r>
        <w:rPr>
          <w:rFonts w:hint="eastAsia"/>
          <w:color w:val="FF0000"/>
          <w:kern w:val="2"/>
        </w:rPr>
        <w:t>（四）以非法手段排斥其他供应商参与竞争的；</w:t>
      </w:r>
    </w:p>
    <w:p>
      <w:pPr>
        <w:widowControl w:val="0"/>
        <w:ind w:firstLine="279" w:firstLineChars="133"/>
        <w:rPr>
          <w:color w:val="FF0000"/>
          <w:kern w:val="2"/>
        </w:rPr>
      </w:pPr>
      <w:r>
        <w:rPr>
          <w:rFonts w:hint="eastAsia"/>
          <w:color w:val="FF0000"/>
          <w:kern w:val="2"/>
        </w:rPr>
        <w:t>（五）与其他采购参加人串通投标的；</w:t>
      </w:r>
    </w:p>
    <w:p>
      <w:pPr>
        <w:widowControl w:val="0"/>
        <w:ind w:firstLine="279" w:firstLineChars="133"/>
        <w:rPr>
          <w:color w:val="FF0000"/>
          <w:kern w:val="2"/>
        </w:rPr>
      </w:pPr>
      <w:r>
        <w:rPr>
          <w:rFonts w:hint="eastAsia"/>
          <w:color w:val="FF0000"/>
          <w:kern w:val="2"/>
        </w:rPr>
        <w:t>（六）恶意投诉的；</w:t>
      </w:r>
    </w:p>
    <w:p>
      <w:pPr>
        <w:widowControl w:val="0"/>
        <w:ind w:firstLine="279" w:firstLineChars="133"/>
        <w:rPr>
          <w:color w:val="FF0000"/>
          <w:kern w:val="2"/>
        </w:rPr>
      </w:pPr>
      <w:r>
        <w:rPr>
          <w:rFonts w:hint="eastAsia"/>
          <w:color w:val="FF0000"/>
          <w:kern w:val="2"/>
        </w:rPr>
        <w:t>（七）向采购项目相关人行贿或者提供其他不当利益的；</w:t>
      </w:r>
    </w:p>
    <w:p>
      <w:pPr>
        <w:widowControl w:val="0"/>
        <w:ind w:firstLine="279" w:firstLineChars="133"/>
        <w:rPr>
          <w:color w:val="FF0000"/>
          <w:kern w:val="2"/>
        </w:rPr>
      </w:pPr>
      <w:r>
        <w:rPr>
          <w:rFonts w:hint="eastAsia"/>
          <w:color w:val="FF0000"/>
          <w:kern w:val="2"/>
        </w:rPr>
        <w:t>（八）阻碍、抗拒主管部门监督检查的；</w:t>
      </w:r>
    </w:p>
    <w:p>
      <w:pPr>
        <w:widowControl w:val="0"/>
        <w:ind w:firstLine="279" w:firstLineChars="133"/>
        <w:rPr>
          <w:color w:val="FF0000"/>
          <w:kern w:val="2"/>
        </w:rPr>
      </w:pPr>
      <w:r>
        <w:rPr>
          <w:rFonts w:hint="eastAsia"/>
          <w:color w:val="FF0000"/>
          <w:kern w:val="2"/>
        </w:rPr>
        <w:t>（九）其他违反本条例规定的行为。</w:t>
      </w:r>
    </w:p>
    <w:p>
      <w:pPr>
        <w:widowControl w:val="0"/>
        <w:ind w:firstLine="279" w:firstLineChars="133"/>
        <w:rPr>
          <w:color w:val="FF0000"/>
          <w:kern w:val="2"/>
        </w:rPr>
      </w:pPr>
      <w:r>
        <w:rPr>
          <w:rFonts w:hint="eastAsia"/>
          <w:color w:val="FF0000"/>
          <w:kern w:val="2"/>
        </w:rPr>
        <w:t>二、《深圳经济特区政府采购条例实施细则》</w:t>
      </w:r>
    </w:p>
    <w:p>
      <w:pPr>
        <w:widowControl w:val="0"/>
        <w:ind w:firstLine="279" w:firstLineChars="133"/>
        <w:rPr>
          <w:color w:val="FF0000"/>
          <w:kern w:val="2"/>
        </w:rPr>
      </w:pPr>
      <w:r>
        <w:rPr>
          <w:rFonts w:hint="eastAsia"/>
          <w:color w:val="FF0000"/>
          <w:kern w:val="2"/>
        </w:rPr>
        <w:t>第七十九条供应商有下列情形之一的，属于采购条例所称的串通投标行为，按照采购条例第五十七条有关规定处理：</w:t>
      </w:r>
    </w:p>
    <w:p>
      <w:pPr>
        <w:widowControl w:val="0"/>
        <w:ind w:firstLine="279" w:firstLineChars="133"/>
        <w:rPr>
          <w:color w:val="FF0000"/>
          <w:kern w:val="2"/>
        </w:rPr>
      </w:pPr>
      <w:r>
        <w:rPr>
          <w:rFonts w:hint="eastAsia"/>
          <w:color w:val="FF0000"/>
          <w:kern w:val="2"/>
        </w:rPr>
        <w:t>（一）投标供应商之间相互约定给予未中标的供应商利益补偿。</w:t>
      </w:r>
    </w:p>
    <w:p>
      <w:pPr>
        <w:widowControl w:val="0"/>
        <w:ind w:firstLine="279" w:firstLineChars="133"/>
        <w:rPr>
          <w:color w:val="FF0000"/>
          <w:kern w:val="2"/>
        </w:rPr>
      </w:pPr>
      <w:r>
        <w:rPr>
          <w:rFonts w:hint="eastAsia"/>
          <w:color w:val="FF0000"/>
          <w:kern w:val="2"/>
        </w:rPr>
        <w:t>（二）不同投标供应商的法定代表人、主要经营负责人、项目投标授权代表人、项目负责人、主要技术人员为同一人、属同一单位或者在同一单位缴纳社会保险。</w:t>
      </w:r>
    </w:p>
    <w:p>
      <w:pPr>
        <w:widowControl w:val="0"/>
        <w:ind w:firstLine="279" w:firstLineChars="133"/>
        <w:rPr>
          <w:color w:val="FF0000"/>
          <w:kern w:val="2"/>
        </w:rPr>
      </w:pPr>
      <w:r>
        <w:rPr>
          <w:rFonts w:hint="eastAsia"/>
          <w:color w:val="FF0000"/>
          <w:kern w:val="2"/>
        </w:rPr>
        <w:t>（三）不同投标供应商的投标文件由同一单位或者同一人编制，或者由同一人分阶段参与编制的。</w:t>
      </w:r>
    </w:p>
    <w:p>
      <w:pPr>
        <w:widowControl w:val="0"/>
        <w:ind w:firstLine="279" w:firstLineChars="133"/>
        <w:rPr>
          <w:color w:val="FF0000"/>
          <w:kern w:val="2"/>
        </w:rPr>
      </w:pPr>
      <w:r>
        <w:rPr>
          <w:rFonts w:hint="eastAsia"/>
          <w:color w:val="FF0000"/>
          <w:kern w:val="2"/>
        </w:rPr>
        <w:t>（四）不同投标供应商的投标文件或部分投标文件相互混装。</w:t>
      </w:r>
    </w:p>
    <w:p>
      <w:pPr>
        <w:widowControl w:val="0"/>
        <w:ind w:firstLine="279" w:firstLineChars="133"/>
        <w:rPr>
          <w:color w:val="FF0000"/>
          <w:kern w:val="2"/>
        </w:rPr>
      </w:pPr>
      <w:r>
        <w:rPr>
          <w:rFonts w:hint="eastAsia"/>
          <w:color w:val="FF0000"/>
          <w:kern w:val="2"/>
        </w:rPr>
        <w:t>（五）不同投标供应商的投标文件内容存在非正常一致。</w:t>
      </w:r>
    </w:p>
    <w:p>
      <w:pPr>
        <w:widowControl w:val="0"/>
        <w:ind w:firstLine="279" w:firstLineChars="133"/>
        <w:rPr>
          <w:color w:val="FF0000"/>
          <w:kern w:val="2"/>
        </w:rPr>
      </w:pPr>
      <w:r>
        <w:rPr>
          <w:rFonts w:hint="eastAsia"/>
          <w:color w:val="FF0000"/>
          <w:kern w:val="2"/>
        </w:rPr>
        <w:t>（六）由同一单位工作人员为两家以上（含两家）供应商进行同一项投标活动的。</w:t>
      </w:r>
    </w:p>
    <w:p>
      <w:pPr>
        <w:widowControl w:val="0"/>
        <w:ind w:firstLine="279" w:firstLineChars="133"/>
        <w:rPr>
          <w:color w:val="FF0000"/>
          <w:kern w:val="2"/>
        </w:rPr>
      </w:pPr>
      <w:r>
        <w:rPr>
          <w:rFonts w:hint="eastAsia"/>
          <w:color w:val="FF0000"/>
          <w:kern w:val="2"/>
        </w:rPr>
        <w:t>（七）主管部门依照法律、法规认定的其他情形。</w:t>
      </w:r>
    </w:p>
    <w:p>
      <w:pPr>
        <w:widowControl w:val="0"/>
        <w:ind w:firstLine="279" w:firstLineChars="133"/>
        <w:rPr>
          <w:color w:val="FF0000"/>
          <w:kern w:val="2"/>
        </w:rPr>
      </w:pPr>
      <w:r>
        <w:rPr>
          <w:rFonts w:hint="eastAsia"/>
          <w:color w:val="FF0000"/>
          <w:kern w:val="2"/>
        </w:rPr>
        <w:t>第八十一条供应商有下列情形之一的，属于隐瞒真实情况，提供虚假资料，按照采购条例第五十七条的有关规定处理：</w:t>
      </w:r>
    </w:p>
    <w:p>
      <w:pPr>
        <w:widowControl w:val="0"/>
        <w:ind w:firstLine="279" w:firstLineChars="133"/>
        <w:rPr>
          <w:color w:val="FF0000"/>
          <w:kern w:val="2"/>
        </w:rPr>
      </w:pPr>
      <w:r>
        <w:rPr>
          <w:rFonts w:hint="eastAsia"/>
          <w:color w:val="FF0000"/>
          <w:kern w:val="2"/>
        </w:rPr>
        <w:t>（一）通过转让或者租借等方式从其他单位获取资格或者资质证书投标的。</w:t>
      </w:r>
    </w:p>
    <w:p>
      <w:pPr>
        <w:widowControl w:val="0"/>
        <w:ind w:firstLine="279" w:firstLineChars="133"/>
        <w:rPr>
          <w:color w:val="FF0000"/>
          <w:kern w:val="2"/>
        </w:rPr>
      </w:pPr>
      <w:r>
        <w:rPr>
          <w:rFonts w:hint="eastAsia"/>
          <w:color w:val="FF0000"/>
          <w:kern w:val="2"/>
        </w:rPr>
        <w:t>（二）由其他单位或者其他单位负责人在投标供应商编制的投标文件上加盖印章或者签字的。</w:t>
      </w:r>
    </w:p>
    <w:p>
      <w:pPr>
        <w:widowControl w:val="0"/>
        <w:ind w:firstLine="279" w:firstLineChars="133"/>
        <w:rPr>
          <w:color w:val="FF0000"/>
          <w:kern w:val="2"/>
        </w:rPr>
      </w:pPr>
      <w:r>
        <w:rPr>
          <w:rFonts w:hint="eastAsia"/>
          <w:color w:val="FF0000"/>
          <w:kern w:val="2"/>
        </w:rPr>
        <w:t>（三）项目负责人或者主要技术人员不是本单位人员的。</w:t>
      </w:r>
    </w:p>
    <w:p>
      <w:pPr>
        <w:widowControl w:val="0"/>
        <w:ind w:firstLine="279" w:firstLineChars="133"/>
        <w:rPr>
          <w:color w:val="FF0000"/>
          <w:kern w:val="2"/>
        </w:rPr>
      </w:pPr>
      <w:r>
        <w:rPr>
          <w:rFonts w:hint="eastAsia"/>
          <w:color w:val="FF0000"/>
          <w:kern w:val="2"/>
        </w:rPr>
        <w:t>（四）投标保证金不是从投标供应商基本账户转出的。</w:t>
      </w:r>
    </w:p>
    <w:p>
      <w:pPr>
        <w:widowControl w:val="0"/>
        <w:ind w:firstLine="279" w:firstLineChars="133"/>
        <w:rPr>
          <w:color w:val="FF0000"/>
          <w:kern w:val="2"/>
        </w:rPr>
      </w:pPr>
      <w:r>
        <w:rPr>
          <w:rFonts w:hint="eastAsia"/>
          <w:color w:val="FF0000"/>
          <w:kern w:val="2"/>
        </w:rPr>
        <w:t>（五）其他隐瞒真实情况、提供虚假资料的行为。</w:t>
      </w:r>
    </w:p>
    <w:p>
      <w:pPr>
        <w:widowControl w:val="0"/>
        <w:ind w:firstLine="279" w:firstLineChars="133"/>
        <w:rPr>
          <w:color w:val="FF0000"/>
          <w:kern w:val="2"/>
        </w:rPr>
      </w:pPr>
      <w:r>
        <w:rPr>
          <w:rFonts w:hint="eastAsia"/>
          <w:color w:val="FF0000"/>
          <w:kern w:val="2"/>
        </w:rPr>
        <w:t>投标供应商不能提供项目负责人或者主要技术人员的劳动合同、社会保险等劳动关系证明材料的，视为存在前款第（三）项规定的情形。</w:t>
      </w:r>
    </w:p>
    <w:p>
      <w:pPr>
        <w:widowControl w:val="0"/>
        <w:ind w:firstLine="279" w:firstLineChars="133"/>
        <w:rPr>
          <w:color w:val="FF0000"/>
          <w:kern w:val="2"/>
        </w:rPr>
      </w:pPr>
      <w:r>
        <w:rPr>
          <w:rFonts w:hint="eastAsia"/>
          <w:color w:val="FF0000"/>
          <w:kern w:val="2"/>
        </w:rPr>
        <w:t>第八十四条供应商有下列行为之一的，招标机构或采购人不予退还其交纳的投标保证金，情节严重的，并由主管部门记入供应商诚信档案，予以通报。</w:t>
      </w:r>
    </w:p>
    <w:p>
      <w:pPr>
        <w:widowControl w:val="0"/>
        <w:ind w:firstLine="279" w:firstLineChars="133"/>
        <w:rPr>
          <w:color w:val="FF0000"/>
          <w:kern w:val="2"/>
        </w:rPr>
      </w:pPr>
      <w:r>
        <w:rPr>
          <w:rFonts w:hint="eastAsia"/>
          <w:color w:val="FF0000"/>
          <w:kern w:val="2"/>
        </w:rPr>
        <w:t>（一）投标截止后，撤销投标的。</w:t>
      </w:r>
    </w:p>
    <w:p>
      <w:pPr>
        <w:widowControl w:val="0"/>
        <w:ind w:firstLine="279" w:firstLineChars="133"/>
        <w:rPr>
          <w:color w:val="FF0000"/>
          <w:kern w:val="2"/>
        </w:rPr>
      </w:pPr>
      <w:r>
        <w:rPr>
          <w:rFonts w:hint="eastAsia"/>
          <w:color w:val="FF0000"/>
          <w:kern w:val="2"/>
        </w:rPr>
        <w:t>（二）中标后无正当理由未在规定期限内签订合同的。</w:t>
      </w:r>
    </w:p>
    <w:p>
      <w:pPr>
        <w:widowControl w:val="0"/>
        <w:ind w:firstLine="279" w:firstLineChars="133"/>
        <w:rPr>
          <w:color w:val="FF0000"/>
          <w:kern w:val="2"/>
        </w:rPr>
      </w:pPr>
      <w:r>
        <w:rPr>
          <w:rFonts w:hint="eastAsia"/>
          <w:color w:val="FF0000"/>
          <w:kern w:val="2"/>
        </w:rPr>
        <w:t>（三）将中标项目转让给他人或者在投标文件中未说明且未经采购人、采购招标机构同意，将中标项目分包给他人的。</w:t>
      </w:r>
    </w:p>
    <w:p>
      <w:pPr>
        <w:widowControl w:val="0"/>
        <w:ind w:firstLine="279" w:firstLineChars="133"/>
        <w:rPr>
          <w:color w:val="FF0000"/>
          <w:kern w:val="2"/>
        </w:rPr>
      </w:pPr>
      <w:r>
        <w:rPr>
          <w:rFonts w:hint="eastAsia"/>
          <w:color w:val="FF0000"/>
          <w:kern w:val="2"/>
        </w:rPr>
        <w:t>（四）拒绝履行合同义务的。</w:t>
      </w:r>
    </w:p>
    <w:p>
      <w:pPr>
        <w:widowControl w:val="0"/>
        <w:ind w:firstLine="279" w:firstLineChars="133"/>
        <w:rPr>
          <w:color w:val="FF0000"/>
          <w:kern w:val="2"/>
        </w:rPr>
      </w:pPr>
      <w:r>
        <w:rPr>
          <w:rFonts w:hint="eastAsia"/>
          <w:color w:val="FF0000"/>
          <w:kern w:val="2"/>
        </w:rPr>
        <w:t>不予退还的投标保证金及其利息应当上缴国库。</w:t>
      </w:r>
    </w:p>
    <w:p>
      <w:pPr>
        <w:widowControl w:val="0"/>
        <w:ind w:firstLine="279" w:firstLineChars="133"/>
        <w:rPr>
          <w:color w:val="FF0000"/>
          <w:kern w:val="2"/>
        </w:rPr>
      </w:pPr>
      <w:r>
        <w:rPr>
          <w:rFonts w:hint="eastAsia"/>
          <w:color w:val="FF0000"/>
          <w:kern w:val="2"/>
        </w:rPr>
        <w:t>三、《深圳市财政局关于明确政府采购保证金管理工作的通知》（深财购[2019]42号）</w:t>
      </w:r>
    </w:p>
    <w:p>
      <w:pPr>
        <w:widowControl w:val="0"/>
        <w:ind w:firstLine="279" w:firstLineChars="133"/>
        <w:rPr>
          <w:color w:val="FF0000"/>
          <w:kern w:val="2"/>
        </w:rPr>
      </w:pPr>
      <w:r>
        <w:rPr>
          <w:rFonts w:hint="eastAsia"/>
          <w:color w:val="FF0000"/>
          <w:kern w:val="2"/>
        </w:rPr>
        <w:t>若供应商在政府采购活动中出现《深圳经济特区政府采购条例实施细则》第八十四条规定情形的，采购人或招标机构可将有关情况报同级财政部门，由财政部门根据实际情况记入供应商诚信档案，予以通报。市、区财政部门将加大对违法违规供应商的惩戒力度，实施联合惩戒。</w:t>
      </w:r>
    </w:p>
    <w:p>
      <w:pPr>
        <w:jc w:val="left"/>
        <w:rPr>
          <w:color w:val="FF0000"/>
          <w:sz w:val="24"/>
          <w:szCs w:val="24"/>
        </w:rPr>
      </w:pPr>
    </w:p>
    <w:p>
      <w:pPr>
        <w:jc w:val="center"/>
        <w:rPr>
          <w:sz w:val="36"/>
          <w:szCs w:val="36"/>
        </w:rPr>
        <w:sectPr>
          <w:footerReference r:id="rId5" w:type="first"/>
          <w:headerReference r:id="rId3" w:type="default"/>
          <w:footerReference r:id="rId4" w:type="default"/>
          <w:pgSz w:w="11906" w:h="16838"/>
          <w:pgMar w:top="1134" w:right="1134" w:bottom="1134" w:left="1134" w:header="851" w:footer="992" w:gutter="0"/>
          <w:cols w:space="720" w:num="1"/>
          <w:titlePg/>
        </w:sectPr>
      </w:pPr>
    </w:p>
    <w:p>
      <w:pPr>
        <w:pStyle w:val="69"/>
      </w:pPr>
      <w:r>
        <w:rPr>
          <w:rFonts w:hint="eastAsia"/>
        </w:rPr>
        <w:t>关键信息</w:t>
      </w:r>
    </w:p>
    <w:p>
      <w:pPr>
        <w:pStyle w:val="73"/>
        <w:jc w:val="center"/>
        <w:rPr>
          <w:rFonts w:ascii="Times New Roman" w:hAnsi="Times New Roman"/>
        </w:rPr>
      </w:pPr>
      <w:r>
        <w:rPr>
          <w:rFonts w:hint="eastAsia" w:ascii="Times New Roman" w:hAnsi="Times New Roman" w:cs="黑体"/>
        </w:rPr>
        <w:t>投标须知前附表</w:t>
      </w:r>
    </w:p>
    <w:tbl>
      <w:tblPr>
        <w:tblStyle w:val="32"/>
        <w:tblW w:w="0" w:type="auto"/>
        <w:tblInd w:w="42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200"/>
        <w:gridCol w:w="65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36" w:hRule="atLeast"/>
        </w:trPr>
        <w:tc>
          <w:tcPr>
            <w:tcW w:w="2200" w:type="dxa"/>
            <w:noWrap/>
          </w:tcPr>
          <w:p>
            <w:pPr>
              <w:jc w:val="center"/>
            </w:pPr>
            <w:r>
              <w:rPr>
                <w:rFonts w:hint="eastAsia" w:cs="宋体"/>
              </w:rPr>
              <w:t>项目类型</w:t>
            </w:r>
          </w:p>
        </w:tc>
        <w:tc>
          <w:tcPr>
            <w:tcW w:w="6588" w:type="dxa"/>
            <w:noWrap/>
          </w:tcPr>
          <w:p>
            <w:pPr>
              <w:jc w:val="center"/>
            </w:pPr>
            <w:r>
              <w:rPr>
                <w:rFonts w:hint="eastAsia" w:cs="宋体"/>
              </w:rPr>
              <w:t>服务类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36" w:hRule="atLeast"/>
        </w:trPr>
        <w:tc>
          <w:tcPr>
            <w:tcW w:w="2200" w:type="dxa"/>
            <w:noWrap/>
          </w:tcPr>
          <w:p>
            <w:pPr>
              <w:jc w:val="center"/>
            </w:pPr>
            <w:r>
              <w:rPr>
                <w:rFonts w:hint="eastAsia" w:cs="宋体"/>
              </w:rPr>
              <w:t>采购方式</w:t>
            </w:r>
          </w:p>
        </w:tc>
        <w:tc>
          <w:tcPr>
            <w:tcW w:w="6588" w:type="dxa"/>
            <w:noWrap/>
          </w:tcPr>
          <w:p>
            <w:pPr>
              <w:jc w:val="center"/>
            </w:pPr>
            <w:r>
              <w:rPr>
                <w:rFonts w:hint="eastAsia" w:cs="宋体"/>
              </w:rPr>
              <w:t>公开招标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36" w:hRule="atLeast"/>
        </w:trPr>
        <w:tc>
          <w:tcPr>
            <w:tcW w:w="2200" w:type="dxa"/>
            <w:noWrap/>
          </w:tcPr>
          <w:p>
            <w:pPr>
              <w:jc w:val="center"/>
              <w:rPr>
                <w:rFonts w:cs="宋体"/>
              </w:rPr>
            </w:pPr>
            <w:r>
              <w:rPr>
                <w:rFonts w:hint="eastAsia" w:cs="宋体"/>
              </w:rPr>
              <w:t>评标方法</w:t>
            </w:r>
          </w:p>
        </w:tc>
        <w:tc>
          <w:tcPr>
            <w:tcW w:w="6588" w:type="dxa"/>
            <w:noWrap/>
          </w:tcPr>
          <w:p>
            <w:pPr>
              <w:jc w:val="center"/>
              <w:rPr>
                <w:rFonts w:cs="宋体"/>
              </w:rPr>
            </w:pPr>
            <w:r>
              <w:rPr>
                <w:rFonts w:hint="eastAsia" w:cs="宋体"/>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0" w:hRule="atLeast"/>
        </w:trPr>
        <w:tc>
          <w:tcPr>
            <w:tcW w:w="2200" w:type="dxa"/>
            <w:noWrap/>
          </w:tcPr>
          <w:p>
            <w:pPr>
              <w:jc w:val="center"/>
            </w:pPr>
            <w:r>
              <w:rPr>
                <w:rFonts w:hint="eastAsia" w:cs="宋体"/>
              </w:rPr>
              <w:t>货币类型</w:t>
            </w:r>
          </w:p>
        </w:tc>
        <w:tc>
          <w:tcPr>
            <w:tcW w:w="6588" w:type="dxa"/>
            <w:noWrap/>
          </w:tcPr>
          <w:p>
            <w:pPr>
              <w:jc w:val="center"/>
            </w:pPr>
            <w:r>
              <w:rPr>
                <w:rFonts w:hint="eastAsia" w:cs="宋体"/>
              </w:rPr>
              <w:t>人民币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36" w:hRule="atLeast"/>
        </w:trPr>
        <w:tc>
          <w:tcPr>
            <w:tcW w:w="2200" w:type="dxa"/>
            <w:noWrap/>
            <w:vAlign w:val="center"/>
          </w:tcPr>
          <w:p>
            <w:pPr>
              <w:jc w:val="center"/>
              <w:rPr>
                <w:b/>
                <w:bCs/>
              </w:rPr>
            </w:pPr>
            <w:r>
              <w:rPr>
                <w:rFonts w:hint="eastAsia" w:cs="宋体"/>
                <w:b/>
                <w:bCs/>
              </w:rPr>
              <w:t>招标控制金额</w:t>
            </w:r>
          </w:p>
        </w:tc>
        <w:tc>
          <w:tcPr>
            <w:tcW w:w="6588" w:type="dxa"/>
            <w:noWrap/>
            <w:vAlign w:val="center"/>
          </w:tcPr>
          <w:p>
            <w:pPr>
              <w:jc w:val="center"/>
              <w:rPr>
                <w:b/>
                <w:bCs/>
              </w:rPr>
            </w:pPr>
            <w:r>
              <w:rPr>
                <w:rFonts w:hint="eastAsia" w:cs="宋体"/>
                <w:b/>
                <w:bCs/>
                <w:iCs/>
              </w:rPr>
              <w:t>人民币肆拾伍万元整</w:t>
            </w:r>
            <w:r>
              <w:rPr>
                <w:rFonts w:hint="eastAsia" w:cs="宋体"/>
                <w:b/>
                <w:bCs/>
              </w:rPr>
              <w:t>（</w:t>
            </w:r>
            <w:r>
              <w:rPr>
                <w:b/>
                <w:bCs/>
              </w:rPr>
              <w:t>¥</w:t>
            </w:r>
            <w:r>
              <w:rPr>
                <w:rFonts w:hint="eastAsia" w:cs="宋体"/>
                <w:b/>
                <w:bCs/>
                <w:iCs/>
              </w:rPr>
              <w:t>450,00</w:t>
            </w:r>
            <w:r>
              <w:rPr>
                <w:rFonts w:cs="宋体"/>
                <w:b/>
                <w:bCs/>
                <w:iCs/>
              </w:rPr>
              <w:t>0</w:t>
            </w:r>
            <w:r>
              <w:rPr>
                <w:rFonts w:hint="eastAsia" w:cs="宋体"/>
                <w:b/>
                <w:bCs/>
                <w:iCs/>
              </w:rPr>
              <w:t>.00</w:t>
            </w:r>
            <w:r>
              <w:rPr>
                <w:rFonts w:hint="eastAsia" w:cs="宋体"/>
                <w:b/>
                <w:bCs/>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72" w:hRule="atLeast"/>
        </w:trPr>
        <w:tc>
          <w:tcPr>
            <w:tcW w:w="2200" w:type="dxa"/>
            <w:noWrap/>
            <w:tcMar>
              <w:top w:w="-1" w:type="dxa"/>
              <w:left w:w="-1" w:type="dxa"/>
              <w:bottom w:w="-1" w:type="dxa"/>
              <w:right w:w="-1" w:type="dxa"/>
            </w:tcMar>
            <w:vAlign w:val="center"/>
          </w:tcPr>
          <w:p>
            <w:pPr>
              <w:jc w:val="center"/>
              <w:rPr>
                <w:b/>
                <w:bCs/>
              </w:rPr>
            </w:pPr>
            <w:r>
              <w:rPr>
                <w:rFonts w:hint="eastAsia" w:cs="宋体"/>
                <w:b/>
                <w:bCs/>
              </w:rPr>
              <w:t>投标保证金</w:t>
            </w:r>
          </w:p>
        </w:tc>
        <w:tc>
          <w:tcPr>
            <w:tcW w:w="6588" w:type="dxa"/>
            <w:noWrap/>
            <w:tcMar>
              <w:top w:w="-1" w:type="dxa"/>
              <w:left w:w="-1" w:type="dxa"/>
              <w:bottom w:w="-1" w:type="dxa"/>
              <w:right w:w="-1" w:type="dxa"/>
            </w:tcMar>
            <w:vAlign w:val="center"/>
          </w:tcPr>
          <w:p>
            <w:pPr>
              <w:jc w:val="center"/>
              <w:rPr>
                <w:b/>
                <w:bCs/>
                <w:snapToGrid w:val="0"/>
                <w:u w:val="single"/>
                <w:lang w:val="zh-CN"/>
              </w:rPr>
            </w:pPr>
            <w:r>
              <w:rPr>
                <w:rFonts w:hint="eastAsia" w:cs="宋体"/>
                <w:b/>
                <w:bCs/>
              </w:rPr>
              <w:t>本项目无需缴纳投标保证金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36" w:hRule="atLeast"/>
        </w:trPr>
        <w:tc>
          <w:tcPr>
            <w:tcW w:w="2200" w:type="dxa"/>
            <w:noWrap/>
            <w:vAlign w:val="center"/>
          </w:tcPr>
          <w:p>
            <w:pPr>
              <w:jc w:val="center"/>
            </w:pPr>
            <w:r>
              <w:rPr>
                <w:rFonts w:hint="eastAsia" w:cs="宋体"/>
              </w:rPr>
              <w:t>投标人的替代方案</w:t>
            </w:r>
          </w:p>
        </w:tc>
        <w:tc>
          <w:tcPr>
            <w:tcW w:w="6588" w:type="dxa"/>
            <w:noWrap/>
            <w:vAlign w:val="center"/>
          </w:tcPr>
          <w:p>
            <w:pPr>
              <w:jc w:val="center"/>
              <w:rPr>
                <w:u w:val="single"/>
              </w:rPr>
            </w:pPr>
            <w:r>
              <w:rPr>
                <w:rFonts w:hint="eastAsia" w:cs="宋体"/>
              </w:rPr>
              <w:t>不允许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36" w:hRule="atLeast"/>
        </w:trPr>
        <w:tc>
          <w:tcPr>
            <w:tcW w:w="2200" w:type="dxa"/>
            <w:noWrap/>
            <w:vAlign w:val="center"/>
          </w:tcPr>
          <w:p>
            <w:pPr>
              <w:jc w:val="center"/>
            </w:pPr>
            <w:r>
              <w:rPr>
                <w:rFonts w:hint="eastAsia" w:cs="宋体"/>
              </w:rPr>
              <w:t>投标有效期</w:t>
            </w:r>
          </w:p>
        </w:tc>
        <w:tc>
          <w:tcPr>
            <w:tcW w:w="6588" w:type="dxa"/>
            <w:noWrap/>
            <w:vAlign w:val="center"/>
          </w:tcPr>
          <w:p>
            <w:pPr>
              <w:jc w:val="center"/>
            </w:pPr>
            <w:r>
              <w:rPr>
                <w:rFonts w:hint="eastAsia"/>
              </w:rPr>
              <w:t>120日历天（从投标截止之日算起）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20" w:hRule="atLeast"/>
        </w:trPr>
        <w:tc>
          <w:tcPr>
            <w:tcW w:w="2200" w:type="dxa"/>
            <w:noWrap/>
            <w:vAlign w:val="center"/>
          </w:tcPr>
          <w:p>
            <w:pPr>
              <w:jc w:val="center"/>
            </w:pPr>
            <w:r>
              <w:rPr>
                <w:rFonts w:hint="eastAsia" w:cs="宋体"/>
              </w:rPr>
              <w:t>履约担保金额</w:t>
            </w:r>
          </w:p>
        </w:tc>
        <w:tc>
          <w:tcPr>
            <w:tcW w:w="6588" w:type="dxa"/>
            <w:noWrap/>
            <w:vAlign w:val="center"/>
          </w:tcPr>
          <w:p>
            <w:pPr>
              <w:jc w:val="center"/>
            </w:pPr>
            <w:r>
              <w:rPr>
                <w:rFonts w:hint="eastAsia" w:cs="宋体"/>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72" w:hRule="atLeast"/>
        </w:trPr>
        <w:tc>
          <w:tcPr>
            <w:tcW w:w="2200" w:type="dxa"/>
            <w:noWrap/>
            <w:vAlign w:val="center"/>
          </w:tcPr>
          <w:p>
            <w:pPr>
              <w:jc w:val="center"/>
            </w:pPr>
            <w:r>
              <w:rPr>
                <w:rFonts w:hint="eastAsia" w:cs="宋体"/>
              </w:rPr>
              <w:t>代理服务费</w:t>
            </w:r>
          </w:p>
        </w:tc>
        <w:tc>
          <w:tcPr>
            <w:tcW w:w="6588" w:type="dxa"/>
            <w:noWrap/>
            <w:vAlign w:val="center"/>
          </w:tcPr>
          <w:p>
            <w:pPr>
              <w:jc w:val="center"/>
            </w:pPr>
            <w:r>
              <w:rPr>
                <w:rFonts w:hint="eastAsia" w:cs="宋体"/>
              </w:rPr>
              <w:t>本项目适用服务类项目收费标准，详见第一部分第九章第</w:t>
            </w:r>
            <w:r>
              <w:t>41</w:t>
            </w:r>
            <w:r>
              <w:rPr>
                <w:rFonts w:hint="eastAsia" w:cs="宋体"/>
              </w:rPr>
              <w:t>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36" w:hRule="atLeast"/>
        </w:trPr>
        <w:tc>
          <w:tcPr>
            <w:tcW w:w="2200" w:type="dxa"/>
            <w:noWrap/>
            <w:vAlign w:val="center"/>
          </w:tcPr>
          <w:p>
            <w:pPr>
              <w:jc w:val="center"/>
            </w:pPr>
            <w:r>
              <w:rPr>
                <w:rFonts w:hint="eastAsia" w:cs="宋体"/>
              </w:rPr>
              <w:t>投标文件份数</w:t>
            </w:r>
          </w:p>
        </w:tc>
        <w:tc>
          <w:tcPr>
            <w:tcW w:w="6588" w:type="dxa"/>
            <w:noWrap/>
            <w:vAlign w:val="center"/>
          </w:tcPr>
          <w:p>
            <w:pPr>
              <w:jc w:val="center"/>
            </w:pPr>
            <w:r>
              <w:rPr>
                <w:rFonts w:ascii="宋体" w:hAnsi="宋体"/>
                <w:kern w:val="2"/>
              </w:rPr>
              <w:t>唱标信封1份及投标文件正本</w:t>
            </w:r>
            <w:r>
              <w:rPr>
                <w:rFonts w:hint="eastAsia" w:ascii="宋体" w:hAnsi="宋体"/>
                <w:kern w:val="2"/>
              </w:rPr>
              <w:t>1</w:t>
            </w:r>
            <w:r>
              <w:rPr>
                <w:rFonts w:ascii="宋体" w:hAnsi="宋体"/>
                <w:kern w:val="2"/>
              </w:rPr>
              <w:t>份，副本4份，</w:t>
            </w:r>
            <w:r>
              <w:rPr>
                <w:rFonts w:ascii="宋体" w:hAnsi="宋体"/>
              </w:rPr>
              <w:t>附有投标文件电子文档的光盘</w:t>
            </w:r>
            <w:r>
              <w:rPr>
                <w:rFonts w:hint="eastAsia" w:ascii="宋体" w:hAnsi="宋体"/>
              </w:rPr>
              <w:t>或U盘</w:t>
            </w:r>
            <w:r>
              <w:rPr>
                <w:rFonts w:ascii="宋体" w:hAnsi="宋体"/>
                <w:kern w:val="2"/>
              </w:rPr>
              <w:t>。</w:t>
            </w:r>
          </w:p>
        </w:tc>
      </w:tr>
    </w:tbl>
    <w:p>
      <w:pPr>
        <w:pStyle w:val="73"/>
        <w:jc w:val="center"/>
        <w:rPr>
          <w:rFonts w:ascii="Times New Roman" w:hAnsi="Times New Roman"/>
          <w:sz w:val="36"/>
          <w:szCs w:val="36"/>
        </w:rPr>
      </w:pPr>
      <w:r>
        <w:rPr>
          <w:rFonts w:hint="eastAsia" w:ascii="Times New Roman" w:hAnsi="Times New Roman" w:cs="黑体"/>
          <w:sz w:val="36"/>
          <w:szCs w:val="36"/>
        </w:rPr>
        <w:t>投标文件初审表</w:t>
      </w:r>
    </w:p>
    <w:tbl>
      <w:tblPr>
        <w:tblStyle w:val="3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396"/>
        <w:gridCol w:w="74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8802" w:type="dxa"/>
            <w:gridSpan w:val="2"/>
          </w:tcPr>
          <w:p>
            <w:pPr>
              <w:jc w:val="center"/>
            </w:pPr>
            <w:r>
              <w:rPr>
                <w:rFonts w:hint="eastAsia" w:cs="宋体"/>
              </w:rPr>
              <w:t>资格性检查表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396" w:type="dxa"/>
            <w:tcMar>
              <w:top w:w="-1" w:type="dxa"/>
              <w:left w:w="-1" w:type="dxa"/>
              <w:bottom w:w="-1" w:type="dxa"/>
              <w:right w:w="-1" w:type="dxa"/>
            </w:tcMar>
          </w:tcPr>
          <w:p>
            <w:pPr>
              <w:jc w:val="center"/>
            </w:pPr>
            <w:r>
              <w:t>1</w:t>
            </w:r>
          </w:p>
        </w:tc>
        <w:tc>
          <w:tcPr>
            <w:tcW w:w="7406" w:type="dxa"/>
            <w:tcMar>
              <w:top w:w="-1" w:type="dxa"/>
              <w:left w:w="-1" w:type="dxa"/>
              <w:bottom w:w="-1" w:type="dxa"/>
              <w:right w:w="-1" w:type="dxa"/>
            </w:tcMar>
          </w:tcPr>
          <w:p>
            <w:r>
              <w:rPr>
                <w:rFonts w:hint="eastAsia" w:cs="宋体"/>
              </w:rPr>
              <w:t>投标人不具备招标资质要求，或未提交相应资格证明材料</w:t>
            </w:r>
            <w:r>
              <w:t>(</w:t>
            </w:r>
            <w:r>
              <w:rPr>
                <w:rFonts w:hint="eastAsia" w:cs="宋体"/>
              </w:rPr>
              <w:t>详见招标公告投标人资质要求，其中未列示的资质要求不得导致废标。</w:t>
            </w:r>
            <w: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8802" w:type="dxa"/>
            <w:gridSpan w:val="2"/>
            <w:vAlign w:val="center"/>
          </w:tcPr>
          <w:p>
            <w:pPr>
              <w:jc w:val="center"/>
            </w:pPr>
            <w:r>
              <w:rPr>
                <w:rFonts w:hint="eastAsia" w:cs="宋体"/>
              </w:rPr>
              <w:t>符合性检查表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396" w:type="dxa"/>
            <w:tcMar>
              <w:top w:w="-1" w:type="dxa"/>
              <w:left w:w="-1" w:type="dxa"/>
              <w:bottom w:w="-1" w:type="dxa"/>
              <w:right w:w="-1" w:type="dxa"/>
            </w:tcMar>
          </w:tcPr>
          <w:p>
            <w:pPr>
              <w:jc w:val="center"/>
            </w:pPr>
            <w:r>
              <w:t>1</w:t>
            </w:r>
          </w:p>
        </w:tc>
        <w:tc>
          <w:tcPr>
            <w:tcW w:w="7406" w:type="dxa"/>
            <w:tcMar>
              <w:top w:w="-1" w:type="dxa"/>
              <w:left w:w="-1" w:type="dxa"/>
              <w:bottom w:w="-1" w:type="dxa"/>
              <w:right w:w="-1" w:type="dxa"/>
            </w:tcMar>
          </w:tcPr>
          <w:p>
            <w:r>
              <w:rPr>
                <w:rFonts w:hint="eastAsia" w:cs="宋体"/>
              </w:rPr>
              <w:t>将一个包中的内容拆开投标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396" w:type="dxa"/>
            <w:tcMar>
              <w:top w:w="-1" w:type="dxa"/>
              <w:left w:w="-1" w:type="dxa"/>
              <w:bottom w:w="-1" w:type="dxa"/>
              <w:right w:w="-1" w:type="dxa"/>
            </w:tcMar>
          </w:tcPr>
          <w:p>
            <w:pPr>
              <w:jc w:val="center"/>
            </w:pPr>
            <w:r>
              <w:t>2</w:t>
            </w:r>
          </w:p>
        </w:tc>
        <w:tc>
          <w:tcPr>
            <w:tcW w:w="7406" w:type="dxa"/>
            <w:tcMar>
              <w:top w:w="-1" w:type="dxa"/>
              <w:left w:w="-1" w:type="dxa"/>
              <w:bottom w:w="-1" w:type="dxa"/>
              <w:right w:w="-1" w:type="dxa"/>
            </w:tcMar>
          </w:tcPr>
          <w:p>
            <w:r>
              <w:rPr>
                <w:rFonts w:hint="eastAsia" w:cs="宋体"/>
              </w:rPr>
              <w:t>招标文件未规定允许有替代方案时，对同一服务投标时，同时提供两套或两套以上的投标方案</w:t>
            </w:r>
            <w:r>
              <w:t>（招标文件另有规定的除外）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396" w:type="dxa"/>
            <w:tcMar>
              <w:top w:w="-1" w:type="dxa"/>
              <w:left w:w="-1" w:type="dxa"/>
              <w:bottom w:w="-1" w:type="dxa"/>
              <w:right w:w="-1" w:type="dxa"/>
            </w:tcMar>
          </w:tcPr>
          <w:p>
            <w:pPr>
              <w:jc w:val="center"/>
            </w:pPr>
            <w:r>
              <w:t>3</w:t>
            </w:r>
          </w:p>
        </w:tc>
        <w:tc>
          <w:tcPr>
            <w:tcW w:w="7406" w:type="dxa"/>
            <w:tcMar>
              <w:top w:w="-1" w:type="dxa"/>
              <w:left w:w="-1" w:type="dxa"/>
              <w:bottom w:w="-1" w:type="dxa"/>
              <w:right w:w="-1" w:type="dxa"/>
            </w:tcMar>
          </w:tcPr>
          <w:p>
            <w:r>
              <w:rPr>
                <w:rFonts w:hint="eastAsia"/>
              </w:rPr>
              <w:t>分项报价或投标总价</w:t>
            </w:r>
            <w:r>
              <w:t>高于预算</w:t>
            </w:r>
            <w:r>
              <w:rPr>
                <w:rFonts w:hint="eastAsia"/>
              </w:rPr>
              <w:t>金额</w:t>
            </w:r>
            <w:r>
              <w:t>（最高投标限价）的；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396" w:type="dxa"/>
            <w:tcMar>
              <w:top w:w="-1" w:type="dxa"/>
              <w:left w:w="-1" w:type="dxa"/>
              <w:bottom w:w="-1" w:type="dxa"/>
              <w:right w:w="-1" w:type="dxa"/>
            </w:tcMar>
          </w:tcPr>
          <w:p>
            <w:pPr>
              <w:jc w:val="center"/>
            </w:pPr>
            <w:r>
              <w:t>4</w:t>
            </w:r>
          </w:p>
        </w:tc>
        <w:tc>
          <w:tcPr>
            <w:tcW w:w="7406" w:type="dxa"/>
            <w:tcMar>
              <w:top w:w="-1" w:type="dxa"/>
              <w:left w:w="-1" w:type="dxa"/>
              <w:bottom w:w="-1" w:type="dxa"/>
              <w:right w:w="-1" w:type="dxa"/>
            </w:tcMar>
          </w:tcPr>
          <w:p>
            <w:r>
              <w:rPr>
                <w:rFonts w:hint="eastAsia" w:cs="宋体"/>
              </w:rPr>
              <w:t>同一项目出现两个及以上报价，按规定又无法确定哪个是有效报价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396" w:type="dxa"/>
            <w:tcMar>
              <w:top w:w="-1" w:type="dxa"/>
              <w:left w:w="-1" w:type="dxa"/>
              <w:bottom w:w="-1" w:type="dxa"/>
              <w:right w:w="-1" w:type="dxa"/>
            </w:tcMar>
          </w:tcPr>
          <w:p>
            <w:pPr>
              <w:jc w:val="center"/>
            </w:pPr>
            <w:r>
              <w:t>5</w:t>
            </w:r>
          </w:p>
        </w:tc>
        <w:tc>
          <w:tcPr>
            <w:tcW w:w="7406" w:type="dxa"/>
            <w:tcMar>
              <w:top w:w="-1" w:type="dxa"/>
              <w:left w:w="-1" w:type="dxa"/>
              <w:bottom w:w="-1" w:type="dxa"/>
              <w:right w:w="-1" w:type="dxa"/>
            </w:tcMar>
          </w:tcPr>
          <w:p>
            <w:pPr>
              <w:rPr>
                <w:color w:val="FF0000"/>
              </w:rPr>
            </w:pPr>
            <w:r>
              <w:rPr>
                <w:color w:val="FF0000"/>
              </w:rPr>
              <w:t>评审委员会认为投标人的报价明显低于其他通过符合性审查投标人的报价，有可能影响产品质量或者不能诚信履约的，应当要求其在评审现场合理的时间内提供书面说明，必要时提交相关证明材料；在此情况下，投标人仍不能证明其报价合理性的（评审委员会成员对投标人提供的说明材料判断不一致的，按照“少数服从多数”的原则确定评审委员会的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396" w:type="dxa"/>
            <w:tcMar>
              <w:top w:w="-1" w:type="dxa"/>
              <w:left w:w="-1" w:type="dxa"/>
              <w:bottom w:w="-1" w:type="dxa"/>
              <w:right w:w="-1" w:type="dxa"/>
            </w:tcMar>
          </w:tcPr>
          <w:p>
            <w:pPr>
              <w:jc w:val="center"/>
            </w:pPr>
            <w:r>
              <w:t>6</w:t>
            </w:r>
          </w:p>
        </w:tc>
        <w:tc>
          <w:tcPr>
            <w:tcW w:w="7406" w:type="dxa"/>
            <w:tcMar>
              <w:top w:w="-1" w:type="dxa"/>
              <w:left w:w="-1" w:type="dxa"/>
              <w:bottom w:w="-1" w:type="dxa"/>
              <w:right w:w="-1" w:type="dxa"/>
            </w:tcMar>
          </w:tcPr>
          <w:p>
            <w:r>
              <w:rPr>
                <w:rFonts w:hint="eastAsia" w:cs="宋体"/>
              </w:rPr>
              <w:t>投标文件载明的招标项目完成或服务期限不满足招标文件规定的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396" w:type="dxa"/>
            <w:tcMar>
              <w:top w:w="-1" w:type="dxa"/>
              <w:left w:w="-1" w:type="dxa"/>
              <w:bottom w:w="-1" w:type="dxa"/>
              <w:right w:w="-1" w:type="dxa"/>
            </w:tcMar>
          </w:tcPr>
          <w:p>
            <w:pPr>
              <w:jc w:val="center"/>
            </w:pPr>
            <w:r>
              <w:t>7</w:t>
            </w:r>
          </w:p>
        </w:tc>
        <w:tc>
          <w:tcPr>
            <w:tcW w:w="7406" w:type="dxa"/>
            <w:tcMar>
              <w:top w:w="-1" w:type="dxa"/>
              <w:left w:w="-1" w:type="dxa"/>
              <w:bottom w:w="-1" w:type="dxa"/>
              <w:right w:w="-1" w:type="dxa"/>
            </w:tcMar>
          </w:tcPr>
          <w:p>
            <w:r>
              <w:rPr>
                <w:rFonts w:hint="eastAsia" w:cs="宋体"/>
              </w:rPr>
              <w:t>所投产品、工程、服务在质量、技术、方案等方面没有实质性满足招标文件要求（是否实质性满足招标文件要求，由评标委员会来做出评判）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396" w:type="dxa"/>
            <w:tcMar>
              <w:top w:w="-1" w:type="dxa"/>
              <w:left w:w="-1" w:type="dxa"/>
              <w:bottom w:w="-1" w:type="dxa"/>
              <w:right w:w="-1" w:type="dxa"/>
            </w:tcMar>
          </w:tcPr>
          <w:p>
            <w:pPr>
              <w:jc w:val="center"/>
            </w:pPr>
            <w:r>
              <w:t>8</w:t>
            </w:r>
          </w:p>
        </w:tc>
        <w:tc>
          <w:tcPr>
            <w:tcW w:w="7406" w:type="dxa"/>
            <w:tcMar>
              <w:top w:w="-1" w:type="dxa"/>
              <w:left w:w="-1" w:type="dxa"/>
              <w:bottom w:w="-1" w:type="dxa"/>
              <w:right w:w="-1" w:type="dxa"/>
            </w:tcMar>
          </w:tcPr>
          <w:p>
            <w:r>
              <w:t>未按招标文件所提供的样式填写《投标函》；未按招标文件所提供的《政府采购投标及履约承诺函》进行承诺；未按招标文件对投标文件组成的要求提供投标文件的（投标文件组成不完整）；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396" w:type="dxa"/>
            <w:tcMar>
              <w:top w:w="-1" w:type="dxa"/>
              <w:left w:w="-1" w:type="dxa"/>
              <w:bottom w:w="-1" w:type="dxa"/>
              <w:right w:w="-1" w:type="dxa"/>
            </w:tcMar>
          </w:tcPr>
          <w:p>
            <w:pPr>
              <w:jc w:val="center"/>
            </w:pPr>
            <w:r>
              <w:t>9</w:t>
            </w:r>
          </w:p>
        </w:tc>
        <w:tc>
          <w:tcPr>
            <w:tcW w:w="7406" w:type="dxa"/>
            <w:tcMar>
              <w:top w:w="-1" w:type="dxa"/>
              <w:left w:w="-1" w:type="dxa"/>
              <w:bottom w:w="-1" w:type="dxa"/>
              <w:right w:w="-1" w:type="dxa"/>
            </w:tcMar>
          </w:tcPr>
          <w:p>
            <w:r>
              <w:t>投标报价有严重缺漏项目或对招标文件规定的服务清单项目及数量进行修改；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396" w:type="dxa"/>
            <w:tcMar>
              <w:top w:w="-1" w:type="dxa"/>
              <w:left w:w="-1" w:type="dxa"/>
              <w:bottom w:w="-1" w:type="dxa"/>
              <w:right w:w="-1" w:type="dxa"/>
            </w:tcMar>
          </w:tcPr>
          <w:p>
            <w:pPr>
              <w:jc w:val="center"/>
            </w:pPr>
            <w:r>
              <w:t>10</w:t>
            </w:r>
          </w:p>
        </w:tc>
        <w:tc>
          <w:tcPr>
            <w:tcW w:w="7406" w:type="dxa"/>
            <w:tcMar>
              <w:top w:w="-1" w:type="dxa"/>
              <w:left w:w="-1" w:type="dxa"/>
              <w:bottom w:w="-1" w:type="dxa"/>
              <w:right w:w="-1" w:type="dxa"/>
            </w:tcMar>
          </w:tcPr>
          <w:p>
            <w:r>
              <w:rPr>
                <w:rFonts w:hint="eastAsia" w:cs="宋体"/>
              </w:rPr>
              <w:t>法律、法规规定的其他情形</w:t>
            </w:r>
          </w:p>
        </w:tc>
      </w:tr>
    </w:tbl>
    <w:p/>
    <w:p>
      <w:pPr>
        <w:pStyle w:val="73"/>
        <w:jc w:val="center"/>
        <w:rPr>
          <w:rFonts w:ascii="Times New Roman" w:hAnsi="Times New Roman"/>
          <w:sz w:val="36"/>
          <w:szCs w:val="36"/>
        </w:rPr>
      </w:pPr>
      <w:r>
        <w:rPr>
          <w:rFonts w:hint="eastAsia" w:ascii="Times New Roman" w:hAnsi="Times New Roman" w:cs="黑体"/>
          <w:sz w:val="36"/>
          <w:szCs w:val="36"/>
        </w:rPr>
        <w:t>评标信息</w:t>
      </w:r>
    </w:p>
    <w:p>
      <w:pPr>
        <w:widowControl w:val="0"/>
        <w:ind w:firstLine="420" w:firstLineChars="200"/>
        <w:rPr>
          <w:rFonts w:ascii="Calibri" w:hAnsi="Calibri"/>
          <w:kern w:val="2"/>
          <w:szCs w:val="24"/>
        </w:rPr>
      </w:pPr>
      <w:r>
        <w:rPr>
          <w:rFonts w:hint="eastAsia" w:ascii="Calibri" w:hAnsi="Calibri"/>
          <w:kern w:val="2"/>
          <w:szCs w:val="24"/>
        </w:rPr>
        <w:t>本项目评标方法：</w:t>
      </w:r>
      <w:r>
        <w:rPr>
          <w:rFonts w:ascii="Calibri" w:hAnsi="Calibri"/>
          <w:kern w:val="2"/>
          <w:szCs w:val="24"/>
        </w:rPr>
        <w:t>综合评分法，综合评分法是指投标文件满足招标文件全部实质性要求，且按照评审因素的量化指标评审得分最高的投标人为中标候选人的评标方法。</w:t>
      </w:r>
    </w:p>
    <w:p>
      <w:pPr>
        <w:widowControl w:val="0"/>
        <w:rPr>
          <w:rFonts w:ascii="Calibri" w:hAnsi="Calibri"/>
          <w:kern w:val="2"/>
          <w:szCs w:val="24"/>
        </w:rPr>
      </w:pPr>
      <w:r>
        <w:rPr>
          <w:rFonts w:ascii="Calibri" w:hAnsi="Calibri"/>
          <w:kern w:val="2"/>
          <w:szCs w:val="24"/>
        </w:rPr>
        <w:t>价格分计算方法：</w:t>
      </w:r>
    </w:p>
    <w:p>
      <w:pPr>
        <w:widowControl w:val="0"/>
        <w:ind w:firstLine="435"/>
        <w:rPr>
          <w:rFonts w:ascii="Calibri" w:hAnsi="Calibri"/>
          <w:kern w:val="2"/>
          <w:szCs w:val="24"/>
        </w:rPr>
      </w:pPr>
      <w:r>
        <w:rPr>
          <w:rFonts w:ascii="Calibri" w:hAnsi="Calibri"/>
          <w:kern w:val="2"/>
          <w:szCs w:val="24"/>
        </w:rPr>
        <w:t>采用低价优先法计算，即满足招标文件要求且投标价格最低的投标报价为评标基准价，其价格分为满分。其他投标人的价格分统一按照下列公式计算：</w:t>
      </w:r>
    </w:p>
    <w:p>
      <w:pPr>
        <w:widowControl w:val="0"/>
        <w:ind w:firstLine="435"/>
        <w:rPr>
          <w:rFonts w:ascii="Calibri" w:hAnsi="Calibri"/>
          <w:kern w:val="2"/>
          <w:szCs w:val="24"/>
        </w:rPr>
      </w:pPr>
      <w:r>
        <w:rPr>
          <w:rFonts w:ascii="Calibri" w:hAnsi="Calibri"/>
          <w:kern w:val="2"/>
          <w:szCs w:val="24"/>
        </w:rPr>
        <w:t xml:space="preserve">投标报价得分=(评标基准价／投标报价)×100 </w:t>
      </w:r>
    </w:p>
    <w:p>
      <w:pPr>
        <w:widowControl w:val="0"/>
        <w:ind w:firstLine="435"/>
        <w:rPr>
          <w:rFonts w:ascii="Calibri" w:hAnsi="Calibri"/>
          <w:kern w:val="2"/>
          <w:szCs w:val="24"/>
        </w:rPr>
      </w:pPr>
      <w:r>
        <w:rPr>
          <w:rFonts w:ascii="Calibri" w:hAnsi="Calibri"/>
          <w:kern w:val="2"/>
          <w:szCs w:val="24"/>
        </w:rPr>
        <w:t>评标总得分＝F1×A1＋F2×A2＋……＋Fn×An</w:t>
      </w:r>
    </w:p>
    <w:p>
      <w:pPr>
        <w:widowControl w:val="0"/>
        <w:ind w:firstLine="435"/>
        <w:rPr>
          <w:rFonts w:ascii="Calibri" w:hAnsi="Calibri"/>
          <w:kern w:val="2"/>
          <w:szCs w:val="24"/>
        </w:rPr>
      </w:pPr>
      <w:r>
        <w:rPr>
          <w:rFonts w:ascii="Calibri" w:hAnsi="Calibri"/>
          <w:kern w:val="2"/>
          <w:szCs w:val="24"/>
        </w:rPr>
        <w:t>F1、F2……Fn分别为各项评审因素的得分；</w:t>
      </w:r>
    </w:p>
    <w:p>
      <w:pPr>
        <w:widowControl w:val="0"/>
        <w:ind w:firstLine="435"/>
        <w:rPr>
          <w:rFonts w:ascii="Calibri" w:hAnsi="Calibri"/>
          <w:kern w:val="2"/>
          <w:szCs w:val="24"/>
        </w:rPr>
      </w:pPr>
      <w:r>
        <w:rPr>
          <w:rFonts w:ascii="Calibri" w:hAnsi="Calibri"/>
          <w:kern w:val="2"/>
          <w:szCs w:val="24"/>
        </w:rPr>
        <w:t>A1、A2、……An 分别为各项评审因素所占的权重(A1＋A2＋……＋An＝1)。</w:t>
      </w:r>
    </w:p>
    <w:p>
      <w:pPr>
        <w:widowControl w:val="0"/>
        <w:ind w:firstLine="435"/>
        <w:rPr>
          <w:rFonts w:ascii="Calibri" w:hAnsi="Calibri"/>
          <w:kern w:val="2"/>
          <w:szCs w:val="24"/>
        </w:rPr>
      </w:pPr>
      <w:r>
        <w:rPr>
          <w:rFonts w:ascii="Calibri" w:hAnsi="Calibri"/>
          <w:kern w:val="2"/>
          <w:szCs w:val="24"/>
        </w:rPr>
        <w:t>评标过程中，不得去掉报价中的最高报价和最低报价。</w:t>
      </w:r>
    </w:p>
    <w:p>
      <w:pPr>
        <w:widowControl w:val="0"/>
        <w:ind w:firstLine="435"/>
        <w:rPr>
          <w:rFonts w:ascii="Calibri" w:hAnsi="Calibri"/>
          <w:kern w:val="2"/>
          <w:szCs w:val="24"/>
        </w:rPr>
      </w:pPr>
      <w:r>
        <w:rPr>
          <w:rFonts w:ascii="Calibri" w:hAnsi="Calibri"/>
          <w:kern w:val="2"/>
          <w:szCs w:val="24"/>
        </w:rPr>
        <w:t>此方法适用于货物类、服务类、工程类项目。</w:t>
      </w:r>
    </w:p>
    <w:tbl>
      <w:tblPr>
        <w:tblStyle w:val="32"/>
        <w:tblW w:w="9072"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20" w:type="dxa"/>
          <w:left w:w="108" w:type="dxa"/>
          <w:bottom w:w="20" w:type="dxa"/>
          <w:right w:w="108" w:type="dxa"/>
        </w:tblCellMar>
      </w:tblPr>
      <w:tblGrid>
        <w:gridCol w:w="676"/>
        <w:gridCol w:w="675"/>
        <w:gridCol w:w="2792"/>
        <w:gridCol w:w="776"/>
        <w:gridCol w:w="4153"/>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676" w:type="dxa"/>
            <w:tcBorders>
              <w:top w:val="single" w:color="000000" w:sz="8" w:space="0"/>
              <w:left w:val="single" w:color="000000" w:sz="8" w:space="0"/>
              <w:bottom w:val="single" w:color="000000" w:sz="8" w:space="0"/>
              <w:right w:val="single" w:color="000000" w:sz="8" w:space="0"/>
            </w:tcBorders>
            <w:shd w:val="clear" w:color="auto" w:fill="E6EFFA"/>
            <w:vAlign w:val="center"/>
          </w:tcPr>
          <w:p>
            <w:pPr>
              <w:widowControl w:val="0"/>
              <w:wordWrap w:val="0"/>
              <w:jc w:val="center"/>
              <w:rPr>
                <w:rFonts w:ascii="宋体" w:hAnsi="宋体" w:cs="宋体"/>
                <w:b/>
                <w:bCs/>
                <w:kern w:val="2"/>
                <w:sz w:val="24"/>
                <w:szCs w:val="24"/>
              </w:rPr>
            </w:pPr>
            <w:r>
              <w:rPr>
                <w:b/>
                <w:bCs/>
                <w:kern w:val="2"/>
                <w:szCs w:val="24"/>
              </w:rPr>
              <w:t>序号</w:t>
            </w:r>
          </w:p>
        </w:tc>
        <w:tc>
          <w:tcPr>
            <w:tcW w:w="4243" w:type="dxa"/>
            <w:gridSpan w:val="3"/>
            <w:tcBorders>
              <w:top w:val="single" w:color="000000" w:sz="8" w:space="0"/>
              <w:left w:val="single" w:color="000000" w:sz="8" w:space="0"/>
              <w:bottom w:val="single" w:color="000000" w:sz="8" w:space="0"/>
              <w:right w:val="single" w:color="000000" w:sz="8" w:space="0"/>
            </w:tcBorders>
            <w:shd w:val="clear" w:color="auto" w:fill="E6EFFA"/>
            <w:vAlign w:val="center"/>
          </w:tcPr>
          <w:p>
            <w:pPr>
              <w:widowControl w:val="0"/>
              <w:wordWrap w:val="0"/>
              <w:jc w:val="center"/>
              <w:rPr>
                <w:rFonts w:ascii="宋体" w:hAnsi="宋体" w:cs="宋体"/>
                <w:b/>
                <w:bCs/>
                <w:kern w:val="2"/>
                <w:sz w:val="24"/>
                <w:szCs w:val="24"/>
              </w:rPr>
            </w:pPr>
            <w:r>
              <w:rPr>
                <w:b/>
                <w:bCs/>
                <w:kern w:val="2"/>
                <w:szCs w:val="24"/>
              </w:rPr>
              <w:t>评分项</w:t>
            </w:r>
          </w:p>
        </w:tc>
        <w:tc>
          <w:tcPr>
            <w:tcW w:w="4153" w:type="dxa"/>
            <w:tcBorders>
              <w:top w:val="single" w:color="000000" w:sz="8" w:space="0"/>
              <w:left w:val="single" w:color="000000" w:sz="8" w:space="0"/>
              <w:bottom w:val="single" w:color="000000" w:sz="8" w:space="0"/>
              <w:right w:val="single" w:color="000000" w:sz="8" w:space="0"/>
            </w:tcBorders>
            <w:shd w:val="clear" w:color="auto" w:fill="E6EFFA"/>
            <w:vAlign w:val="center"/>
          </w:tcPr>
          <w:p>
            <w:pPr>
              <w:widowControl w:val="0"/>
              <w:wordWrap w:val="0"/>
              <w:jc w:val="center"/>
              <w:rPr>
                <w:rFonts w:ascii="宋体" w:hAnsi="宋体" w:cs="宋体"/>
                <w:b/>
                <w:bCs/>
                <w:kern w:val="2"/>
                <w:sz w:val="24"/>
                <w:szCs w:val="24"/>
              </w:rPr>
            </w:pPr>
            <w:r>
              <w:rPr>
                <w:b/>
                <w:bCs/>
                <w:kern w:val="2"/>
                <w:szCs w:val="24"/>
              </w:rPr>
              <w:t>权重(%)</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676" w:type="dxa"/>
            <w:vMerge w:val="restart"/>
            <w:tcBorders>
              <w:top w:val="single" w:color="000000" w:sz="8" w:space="0"/>
              <w:left w:val="single" w:color="000000" w:sz="8" w:space="0"/>
              <w:bottom w:val="single" w:color="000000" w:sz="8" w:space="0"/>
              <w:right w:val="single" w:color="000000" w:sz="8" w:space="0"/>
            </w:tcBorders>
          </w:tcPr>
          <w:p>
            <w:pPr>
              <w:widowControl w:val="0"/>
              <w:wordWrap w:val="0"/>
              <w:jc w:val="center"/>
              <w:rPr>
                <w:rFonts w:ascii="宋体" w:hAnsi="宋体" w:cs="宋体"/>
                <w:b/>
                <w:bCs/>
                <w:color w:val="0000FF"/>
                <w:kern w:val="2"/>
                <w:sz w:val="24"/>
                <w:szCs w:val="24"/>
              </w:rPr>
            </w:pPr>
            <w:r>
              <w:rPr>
                <w:b/>
                <w:bCs/>
                <w:color w:val="0000FF"/>
                <w:kern w:val="2"/>
                <w:szCs w:val="24"/>
              </w:rPr>
              <w:t>1</w:t>
            </w:r>
          </w:p>
        </w:tc>
        <w:tc>
          <w:tcPr>
            <w:tcW w:w="4243" w:type="dxa"/>
            <w:gridSpan w:val="3"/>
            <w:tcBorders>
              <w:top w:val="single" w:color="000000" w:sz="8" w:space="0"/>
              <w:left w:val="single" w:color="000000" w:sz="8" w:space="0"/>
              <w:bottom w:val="single" w:color="000000" w:sz="8" w:space="0"/>
              <w:right w:val="single" w:color="000000" w:sz="8" w:space="0"/>
            </w:tcBorders>
          </w:tcPr>
          <w:p>
            <w:pPr>
              <w:widowControl w:val="0"/>
              <w:wordWrap w:val="0"/>
              <w:jc w:val="center"/>
              <w:rPr>
                <w:rFonts w:ascii="宋体" w:hAnsi="宋体" w:cs="宋体"/>
                <w:b/>
                <w:bCs/>
                <w:color w:val="0000FF"/>
                <w:kern w:val="2"/>
                <w:sz w:val="24"/>
                <w:szCs w:val="24"/>
              </w:rPr>
            </w:pPr>
            <w:r>
              <w:rPr>
                <w:b/>
                <w:bCs/>
                <w:color w:val="0000FF"/>
                <w:kern w:val="2"/>
                <w:szCs w:val="24"/>
              </w:rPr>
              <w:t>价格</w:t>
            </w:r>
          </w:p>
        </w:tc>
        <w:tc>
          <w:tcPr>
            <w:tcW w:w="4153" w:type="dxa"/>
            <w:tcBorders>
              <w:top w:val="single" w:color="000000" w:sz="8" w:space="0"/>
              <w:left w:val="single" w:color="000000" w:sz="8" w:space="0"/>
              <w:bottom w:val="single" w:color="000000" w:sz="8" w:space="0"/>
              <w:right w:val="single" w:color="000000" w:sz="8" w:space="0"/>
            </w:tcBorders>
          </w:tcPr>
          <w:p>
            <w:pPr>
              <w:widowControl w:val="0"/>
              <w:wordWrap w:val="0"/>
              <w:jc w:val="center"/>
              <w:rPr>
                <w:rFonts w:ascii="宋体" w:hAnsi="宋体" w:cs="宋体"/>
                <w:b/>
                <w:bCs/>
                <w:color w:val="0000FF"/>
                <w:kern w:val="2"/>
                <w:sz w:val="24"/>
                <w:szCs w:val="24"/>
              </w:rPr>
            </w:pPr>
            <w:r>
              <w:rPr>
                <w:rFonts w:hint="eastAsia"/>
                <w:b/>
                <w:bCs/>
                <w:color w:val="0000FF"/>
                <w:kern w:val="2"/>
                <w:szCs w:val="24"/>
              </w:rPr>
              <w:t>10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0" w:type="auto"/>
            <w:vMerge w:val="continue"/>
            <w:tcBorders>
              <w:top w:val="single" w:color="000000" w:sz="8" w:space="0"/>
              <w:left w:val="single" w:color="000000" w:sz="8" w:space="0"/>
              <w:bottom w:val="single" w:color="000000" w:sz="8" w:space="0"/>
              <w:right w:val="single" w:color="000000" w:sz="8" w:space="0"/>
            </w:tcBorders>
            <w:vAlign w:val="center"/>
          </w:tcPr>
          <w:p>
            <w:pPr>
              <w:widowControl w:val="0"/>
              <w:rPr>
                <w:rFonts w:ascii="宋体" w:hAnsi="宋体" w:cs="宋体"/>
                <w:b/>
                <w:bCs/>
                <w:color w:val="0000FF"/>
                <w:kern w:val="2"/>
                <w:sz w:val="24"/>
                <w:szCs w:val="24"/>
              </w:rPr>
            </w:pPr>
          </w:p>
        </w:tc>
        <w:tc>
          <w:tcPr>
            <w:tcW w:w="8396" w:type="dxa"/>
            <w:gridSpan w:val="4"/>
            <w:tcBorders>
              <w:top w:val="single" w:color="000000" w:sz="8" w:space="0"/>
              <w:left w:val="single" w:color="000000" w:sz="8" w:space="0"/>
              <w:bottom w:val="single" w:color="000000" w:sz="8" w:space="0"/>
              <w:right w:val="single" w:color="000000" w:sz="8" w:space="0"/>
            </w:tcBorders>
          </w:tcPr>
          <w:p>
            <w:pPr>
              <w:widowControl w:val="0"/>
              <w:wordWrap w:val="0"/>
              <w:rPr>
                <w:rFonts w:ascii="宋体" w:hAnsi="宋体" w:cs="宋体"/>
                <w:kern w:val="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676" w:type="dxa"/>
            <w:vMerge w:val="restart"/>
            <w:tcBorders>
              <w:top w:val="single" w:color="000000" w:sz="8" w:space="0"/>
              <w:left w:val="single" w:color="000000" w:sz="8" w:space="0"/>
              <w:bottom w:val="single" w:color="000000" w:sz="8" w:space="0"/>
              <w:right w:val="single" w:color="000000" w:sz="8" w:space="0"/>
            </w:tcBorders>
          </w:tcPr>
          <w:p>
            <w:pPr>
              <w:widowControl w:val="0"/>
              <w:wordWrap w:val="0"/>
              <w:jc w:val="center"/>
              <w:rPr>
                <w:rFonts w:ascii="宋体" w:hAnsi="宋体" w:cs="宋体"/>
                <w:b/>
                <w:bCs/>
                <w:color w:val="0000FF"/>
                <w:kern w:val="2"/>
                <w:sz w:val="24"/>
                <w:szCs w:val="24"/>
              </w:rPr>
            </w:pPr>
            <w:r>
              <w:rPr>
                <w:b/>
                <w:bCs/>
                <w:color w:val="0000FF"/>
                <w:kern w:val="2"/>
                <w:szCs w:val="24"/>
              </w:rPr>
              <w:t>2</w:t>
            </w:r>
          </w:p>
        </w:tc>
        <w:tc>
          <w:tcPr>
            <w:tcW w:w="4243" w:type="dxa"/>
            <w:gridSpan w:val="3"/>
            <w:tcBorders>
              <w:top w:val="single" w:color="000000" w:sz="8" w:space="0"/>
              <w:left w:val="single" w:color="000000" w:sz="8" w:space="0"/>
              <w:bottom w:val="single" w:color="000000" w:sz="8" w:space="0"/>
              <w:right w:val="single" w:color="000000" w:sz="8" w:space="0"/>
            </w:tcBorders>
          </w:tcPr>
          <w:p>
            <w:pPr>
              <w:widowControl w:val="0"/>
              <w:wordWrap w:val="0"/>
              <w:jc w:val="center"/>
              <w:rPr>
                <w:rFonts w:ascii="宋体" w:hAnsi="宋体" w:cs="宋体"/>
                <w:b/>
                <w:bCs/>
                <w:color w:val="0000FF"/>
                <w:kern w:val="2"/>
                <w:sz w:val="24"/>
                <w:szCs w:val="24"/>
              </w:rPr>
            </w:pPr>
            <w:r>
              <w:rPr>
                <w:b/>
                <w:bCs/>
                <w:color w:val="0000FF"/>
                <w:kern w:val="2"/>
                <w:szCs w:val="24"/>
              </w:rPr>
              <w:t>技术</w:t>
            </w:r>
            <w:r>
              <w:rPr>
                <w:rFonts w:hint="eastAsia"/>
                <w:b/>
                <w:bCs/>
                <w:color w:val="0000FF"/>
                <w:kern w:val="2"/>
                <w:szCs w:val="24"/>
              </w:rPr>
              <w:t>部分</w:t>
            </w:r>
          </w:p>
        </w:tc>
        <w:tc>
          <w:tcPr>
            <w:tcW w:w="4153" w:type="dxa"/>
            <w:tcBorders>
              <w:top w:val="single" w:color="000000" w:sz="8" w:space="0"/>
              <w:left w:val="single" w:color="000000" w:sz="8" w:space="0"/>
              <w:bottom w:val="single" w:color="000000" w:sz="8" w:space="0"/>
              <w:right w:val="single" w:color="000000" w:sz="8" w:space="0"/>
            </w:tcBorders>
          </w:tcPr>
          <w:p>
            <w:pPr>
              <w:widowControl w:val="0"/>
              <w:wordWrap w:val="0"/>
              <w:jc w:val="center"/>
              <w:rPr>
                <w:rFonts w:ascii="宋体" w:hAnsi="宋体" w:cs="宋体"/>
                <w:b/>
                <w:bCs/>
                <w:color w:val="0000FF"/>
                <w:kern w:val="2"/>
                <w:sz w:val="24"/>
                <w:szCs w:val="24"/>
              </w:rPr>
            </w:pPr>
            <w:r>
              <w:rPr>
                <w:rFonts w:hint="eastAsia" w:ascii="宋体" w:hAnsi="宋体"/>
                <w:kern w:val="2"/>
              </w:rPr>
              <w:t>60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0" w:type="auto"/>
            <w:vMerge w:val="continue"/>
            <w:tcBorders>
              <w:top w:val="single" w:color="000000" w:sz="8" w:space="0"/>
              <w:left w:val="single" w:color="000000" w:sz="8" w:space="0"/>
              <w:bottom w:val="single" w:color="000000" w:sz="8" w:space="0"/>
              <w:right w:val="single" w:color="000000" w:sz="8" w:space="0"/>
            </w:tcBorders>
            <w:vAlign w:val="center"/>
          </w:tcPr>
          <w:p>
            <w:pPr>
              <w:widowControl w:val="0"/>
              <w:rPr>
                <w:rFonts w:ascii="宋体" w:hAnsi="宋体" w:cs="宋体"/>
                <w:b/>
                <w:bCs/>
                <w:color w:val="0000FF"/>
                <w:kern w:val="2"/>
                <w:sz w:val="24"/>
                <w:szCs w:val="24"/>
              </w:rPr>
            </w:pPr>
          </w:p>
        </w:tc>
        <w:tc>
          <w:tcPr>
            <w:tcW w:w="8396" w:type="dxa"/>
            <w:gridSpan w:val="4"/>
            <w:tcBorders>
              <w:top w:val="single" w:color="000000" w:sz="8" w:space="0"/>
              <w:left w:val="single" w:color="000000" w:sz="8" w:space="0"/>
              <w:bottom w:val="single" w:color="000000" w:sz="8" w:space="0"/>
              <w:right w:val="single" w:color="000000" w:sz="8" w:space="0"/>
            </w:tcBorders>
          </w:tcPr>
          <w:p>
            <w:pPr>
              <w:widowControl w:val="0"/>
              <w:wordWrap w:val="0"/>
              <w:rPr>
                <w:rFonts w:ascii="宋体" w:hAnsi="宋体" w:cs="宋体"/>
                <w:kern w:val="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0" w:type="auto"/>
            <w:vMerge w:val="continue"/>
            <w:tcBorders>
              <w:top w:val="single" w:color="000000" w:sz="8" w:space="0"/>
              <w:left w:val="single" w:color="000000" w:sz="8" w:space="0"/>
              <w:bottom w:val="single" w:color="000000" w:sz="8" w:space="0"/>
              <w:right w:val="single" w:color="000000" w:sz="8" w:space="0"/>
            </w:tcBorders>
            <w:shd w:val="clear" w:color="auto" w:fill="E6EFFA"/>
            <w:vAlign w:val="center"/>
          </w:tcPr>
          <w:p>
            <w:pPr>
              <w:widowControl w:val="0"/>
              <w:rPr>
                <w:rFonts w:ascii="宋体" w:hAnsi="宋体" w:cs="宋体"/>
                <w:b/>
                <w:bCs/>
                <w:color w:val="0000FF"/>
                <w:kern w:val="2"/>
                <w:sz w:val="24"/>
                <w:szCs w:val="24"/>
              </w:rPr>
            </w:pPr>
          </w:p>
        </w:tc>
        <w:tc>
          <w:tcPr>
            <w:tcW w:w="675" w:type="dxa"/>
            <w:tcBorders>
              <w:top w:val="outset" w:color="000000" w:sz="6" w:space="0"/>
              <w:left w:val="outset" w:color="000000" w:sz="6" w:space="0"/>
              <w:bottom w:val="outset" w:color="000000" w:sz="6" w:space="0"/>
              <w:right w:val="outset" w:color="000000" w:sz="6" w:space="0"/>
            </w:tcBorders>
            <w:shd w:val="clear" w:color="auto" w:fill="E6EFFA"/>
            <w:vAlign w:val="center"/>
          </w:tcPr>
          <w:p>
            <w:pPr>
              <w:widowControl w:val="0"/>
              <w:wordWrap w:val="0"/>
              <w:jc w:val="center"/>
              <w:rPr>
                <w:rFonts w:ascii="宋体" w:hAnsi="宋体" w:cs="宋体"/>
                <w:kern w:val="2"/>
              </w:rPr>
            </w:pPr>
            <w:r>
              <w:rPr>
                <w:kern w:val="2"/>
              </w:rPr>
              <w:t>序号</w:t>
            </w:r>
          </w:p>
        </w:tc>
        <w:tc>
          <w:tcPr>
            <w:tcW w:w="2792" w:type="dxa"/>
            <w:tcBorders>
              <w:top w:val="outset" w:color="000000" w:sz="6" w:space="0"/>
              <w:left w:val="outset" w:color="000000" w:sz="6" w:space="0"/>
              <w:bottom w:val="outset" w:color="000000" w:sz="6" w:space="0"/>
              <w:right w:val="outset" w:color="000000" w:sz="6" w:space="0"/>
            </w:tcBorders>
            <w:shd w:val="clear" w:color="auto" w:fill="E6EFFA"/>
            <w:vAlign w:val="center"/>
          </w:tcPr>
          <w:p>
            <w:pPr>
              <w:widowControl w:val="0"/>
              <w:wordWrap w:val="0"/>
              <w:jc w:val="center"/>
              <w:rPr>
                <w:rFonts w:ascii="宋体" w:hAnsi="宋体" w:cs="宋体"/>
                <w:kern w:val="2"/>
              </w:rPr>
            </w:pPr>
            <w:r>
              <w:rPr>
                <w:kern w:val="2"/>
              </w:rPr>
              <w:t>评分因素</w:t>
            </w:r>
          </w:p>
        </w:tc>
        <w:tc>
          <w:tcPr>
            <w:tcW w:w="776" w:type="dxa"/>
            <w:tcBorders>
              <w:top w:val="outset" w:color="000000" w:sz="6" w:space="0"/>
              <w:left w:val="outset" w:color="000000" w:sz="6" w:space="0"/>
              <w:bottom w:val="outset" w:color="000000" w:sz="6" w:space="0"/>
              <w:right w:val="outset" w:color="000000" w:sz="6" w:space="0"/>
            </w:tcBorders>
            <w:shd w:val="clear" w:color="auto" w:fill="E6EFFA"/>
            <w:vAlign w:val="center"/>
          </w:tcPr>
          <w:p>
            <w:pPr>
              <w:widowControl w:val="0"/>
              <w:wordWrap w:val="0"/>
              <w:jc w:val="center"/>
              <w:rPr>
                <w:rFonts w:ascii="宋体" w:hAnsi="宋体" w:cs="宋体"/>
                <w:kern w:val="2"/>
              </w:rPr>
            </w:pPr>
            <w:r>
              <w:rPr>
                <w:kern w:val="2"/>
              </w:rPr>
              <w:t>权重(%)</w:t>
            </w:r>
          </w:p>
        </w:tc>
        <w:tc>
          <w:tcPr>
            <w:tcW w:w="4153" w:type="dxa"/>
            <w:tcBorders>
              <w:top w:val="outset" w:color="000000" w:sz="6" w:space="0"/>
              <w:left w:val="outset" w:color="000000" w:sz="6" w:space="0"/>
              <w:bottom w:val="outset" w:color="000000" w:sz="6" w:space="0"/>
              <w:right w:val="outset" w:color="000000" w:sz="6" w:space="0"/>
            </w:tcBorders>
            <w:shd w:val="clear" w:color="auto" w:fill="E6EFFA"/>
            <w:vAlign w:val="center"/>
          </w:tcPr>
          <w:p>
            <w:pPr>
              <w:widowControl w:val="0"/>
              <w:wordWrap w:val="0"/>
              <w:jc w:val="center"/>
              <w:rPr>
                <w:rFonts w:ascii="宋体" w:hAnsi="宋体" w:cs="宋体"/>
                <w:kern w:val="2"/>
              </w:rPr>
            </w:pPr>
            <w:r>
              <w:rPr>
                <w:kern w:val="2"/>
              </w:rPr>
              <w:t>评分准则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0" w:type="auto"/>
            <w:vMerge w:val="continue"/>
            <w:tcBorders>
              <w:top w:val="single" w:color="000000" w:sz="8" w:space="0"/>
              <w:left w:val="single" w:color="000000" w:sz="8" w:space="0"/>
              <w:bottom w:val="single" w:color="000000" w:sz="8" w:space="0"/>
              <w:right w:val="single" w:color="000000" w:sz="8" w:space="0"/>
            </w:tcBorders>
            <w:vAlign w:val="center"/>
          </w:tcPr>
          <w:p>
            <w:pPr>
              <w:widowControl w:val="0"/>
              <w:rPr>
                <w:rFonts w:ascii="宋体" w:hAnsi="宋体" w:cs="宋体"/>
                <w:b/>
                <w:bCs/>
                <w:color w:val="0000FF"/>
                <w:kern w:val="2"/>
                <w:sz w:val="24"/>
                <w:szCs w:val="24"/>
              </w:rPr>
            </w:pPr>
          </w:p>
        </w:tc>
        <w:tc>
          <w:tcPr>
            <w:tcW w:w="675" w:type="dxa"/>
            <w:tcBorders>
              <w:top w:val="single" w:color="000000" w:sz="8" w:space="0"/>
              <w:left w:val="single" w:color="000000" w:sz="8" w:space="0"/>
              <w:bottom w:val="single" w:color="000000" w:sz="8" w:space="0"/>
              <w:right w:val="single" w:color="000000" w:sz="8" w:space="0"/>
            </w:tcBorders>
            <w:vAlign w:val="center"/>
          </w:tcPr>
          <w:p>
            <w:pPr>
              <w:widowControl w:val="0"/>
              <w:wordWrap w:val="0"/>
              <w:jc w:val="center"/>
              <w:rPr>
                <w:rFonts w:ascii="宋体" w:hAnsi="宋体" w:cs="宋体"/>
                <w:kern w:val="2"/>
              </w:rPr>
            </w:pPr>
            <w:r>
              <w:rPr>
                <w:rFonts w:ascii="宋体" w:hAnsi="宋体"/>
                <w:kern w:val="2"/>
              </w:rPr>
              <w:t>1</w:t>
            </w:r>
          </w:p>
        </w:tc>
        <w:tc>
          <w:tcPr>
            <w:tcW w:w="2792" w:type="dxa"/>
            <w:tcBorders>
              <w:top w:val="single" w:color="000000" w:sz="8" w:space="0"/>
              <w:left w:val="single" w:color="000000" w:sz="8" w:space="0"/>
              <w:bottom w:val="single" w:color="000000" w:sz="8" w:space="0"/>
              <w:right w:val="single" w:color="000000" w:sz="8" w:space="0"/>
            </w:tcBorders>
            <w:vAlign w:val="center"/>
          </w:tcPr>
          <w:p>
            <w:pPr>
              <w:widowControl w:val="0"/>
              <w:wordWrap w:val="0"/>
              <w:jc w:val="center"/>
              <w:rPr>
                <w:rFonts w:ascii="宋体" w:hAnsi="宋体" w:cs="宋体"/>
                <w:kern w:val="2"/>
              </w:rPr>
            </w:pPr>
            <w:r>
              <w:rPr>
                <w:rFonts w:hint="eastAsia" w:ascii="宋体" w:hAnsi="宋体"/>
                <w:kern w:val="2"/>
              </w:rPr>
              <w:t>实施方案</w:t>
            </w:r>
          </w:p>
        </w:tc>
        <w:tc>
          <w:tcPr>
            <w:tcW w:w="776" w:type="dxa"/>
            <w:tcBorders>
              <w:top w:val="single" w:color="000000" w:sz="8" w:space="0"/>
              <w:left w:val="single" w:color="000000" w:sz="8" w:space="0"/>
              <w:bottom w:val="single" w:color="000000" w:sz="8" w:space="0"/>
              <w:right w:val="single" w:color="000000" w:sz="8" w:space="0"/>
            </w:tcBorders>
            <w:vAlign w:val="center"/>
          </w:tcPr>
          <w:p>
            <w:pPr>
              <w:widowControl w:val="0"/>
              <w:wordWrap w:val="0"/>
              <w:jc w:val="center"/>
              <w:rPr>
                <w:rFonts w:ascii="宋体" w:hAnsi="宋体" w:cs="宋体"/>
                <w:kern w:val="2"/>
              </w:rPr>
            </w:pPr>
            <w:r>
              <w:rPr>
                <w:rFonts w:hint="eastAsia" w:ascii="宋体" w:hAnsi="宋体"/>
                <w:kern w:val="2"/>
              </w:rPr>
              <w:t>15</w:t>
            </w:r>
          </w:p>
        </w:tc>
        <w:tc>
          <w:tcPr>
            <w:tcW w:w="4153" w:type="dxa"/>
            <w:tcBorders>
              <w:top w:val="single" w:color="000000" w:sz="8" w:space="0"/>
              <w:left w:val="single" w:color="000000" w:sz="8" w:space="0"/>
              <w:bottom w:val="single" w:color="000000" w:sz="8" w:space="0"/>
              <w:right w:val="single" w:color="000000" w:sz="8" w:space="0"/>
            </w:tcBorders>
          </w:tcPr>
          <w:p>
            <w:pPr>
              <w:widowControl w:val="0"/>
              <w:autoSpaceDE w:val="0"/>
              <w:autoSpaceDN w:val="0"/>
              <w:adjustRightInd w:val="0"/>
              <w:spacing w:line="360" w:lineRule="exact"/>
              <w:jc w:val="left"/>
              <w:rPr>
                <w:rFonts w:ascii="宋体" w:hAnsi="宋体"/>
                <w:b/>
                <w:kern w:val="2"/>
              </w:rPr>
            </w:pPr>
            <w:r>
              <w:rPr>
                <w:rFonts w:hint="eastAsia" w:ascii="宋体" w:hAnsi="宋体"/>
                <w:b/>
                <w:kern w:val="2"/>
              </w:rPr>
              <w:t>评审内容：</w:t>
            </w:r>
          </w:p>
          <w:p>
            <w:pPr>
              <w:widowControl w:val="0"/>
              <w:spacing w:line="360" w:lineRule="exact"/>
              <w:rPr>
                <w:rFonts w:ascii="宋体" w:hAnsi="宋体"/>
                <w:kern w:val="2"/>
              </w:rPr>
            </w:pPr>
            <w:r>
              <w:rPr>
                <w:rFonts w:hint="eastAsia" w:ascii="宋体" w:hAnsi="宋体"/>
                <w:kern w:val="2"/>
              </w:rPr>
              <w:t>投标人提供的项目实施方案进行综合评审，包括但不限于以下内容：</w:t>
            </w:r>
          </w:p>
          <w:p>
            <w:pPr>
              <w:widowControl w:val="0"/>
              <w:spacing w:line="360" w:lineRule="exact"/>
              <w:rPr>
                <w:rFonts w:ascii="宋体" w:hAnsi="宋体"/>
                <w:kern w:val="2"/>
              </w:rPr>
            </w:pPr>
            <w:r>
              <w:rPr>
                <w:rFonts w:hint="eastAsia" w:ascii="宋体" w:hAnsi="宋体"/>
                <w:kern w:val="2"/>
              </w:rPr>
              <w:t>1、</w:t>
            </w:r>
            <w:r>
              <w:rPr>
                <w:rFonts w:hint="eastAsia" w:ascii="宋体" w:hAnsi="宋体" w:cs="宋体"/>
                <w:color w:val="000000"/>
                <w:kern w:val="2"/>
              </w:rPr>
              <w:t>对项目现状理解，项目背景、项目需求分析等</w:t>
            </w:r>
            <w:r>
              <w:rPr>
                <w:rFonts w:hint="eastAsia" w:ascii="宋体" w:hAnsi="宋体"/>
                <w:kern w:val="2"/>
              </w:rPr>
              <w:t>；</w:t>
            </w:r>
          </w:p>
          <w:p>
            <w:pPr>
              <w:widowControl w:val="0"/>
              <w:jc w:val="left"/>
              <w:rPr>
                <w:rFonts w:ascii="宋体" w:hAnsi="宋体" w:cs="宋体"/>
                <w:color w:val="000000"/>
                <w:kern w:val="2"/>
              </w:rPr>
            </w:pPr>
            <w:r>
              <w:rPr>
                <w:rFonts w:hint="eastAsia" w:ascii="宋体" w:hAnsi="宋体"/>
                <w:kern w:val="2"/>
              </w:rPr>
              <w:t>2、</w:t>
            </w:r>
            <w:r>
              <w:rPr>
                <w:rFonts w:hint="eastAsia" w:ascii="宋体" w:hAnsi="宋体" w:cs="宋体"/>
                <w:color w:val="000000"/>
                <w:kern w:val="2"/>
              </w:rPr>
              <w:t>工作内容和基本状况、技术路线和方案等。</w:t>
            </w:r>
          </w:p>
          <w:p>
            <w:pPr>
              <w:widowControl w:val="0"/>
              <w:autoSpaceDE w:val="0"/>
              <w:autoSpaceDN w:val="0"/>
              <w:adjustRightInd w:val="0"/>
              <w:spacing w:line="360" w:lineRule="exact"/>
              <w:jc w:val="left"/>
              <w:rPr>
                <w:rFonts w:ascii="宋体" w:hAnsi="宋体"/>
                <w:b/>
                <w:kern w:val="2"/>
              </w:rPr>
            </w:pPr>
            <w:r>
              <w:rPr>
                <w:rFonts w:hint="eastAsia" w:ascii="宋体" w:hAnsi="宋体"/>
                <w:b/>
                <w:kern w:val="2"/>
              </w:rPr>
              <w:t>评审标准：</w:t>
            </w:r>
          </w:p>
          <w:p>
            <w:pPr>
              <w:widowControl w:val="0"/>
              <w:autoSpaceDE w:val="0"/>
              <w:autoSpaceDN w:val="0"/>
              <w:adjustRightInd w:val="0"/>
              <w:spacing w:line="360" w:lineRule="exact"/>
              <w:jc w:val="left"/>
              <w:rPr>
                <w:rFonts w:ascii="宋体" w:hAnsi="宋体" w:cs="宋体"/>
                <w:kern w:val="2"/>
              </w:rPr>
            </w:pPr>
            <w:r>
              <w:rPr>
                <w:rFonts w:hint="eastAsia"/>
                <w:kern w:val="2"/>
              </w:rPr>
              <w:t>考察以上两点，满足任意两点得8</w:t>
            </w:r>
            <w:r>
              <w:rPr>
                <w:kern w:val="2"/>
              </w:rPr>
              <w:t>0%</w:t>
            </w:r>
            <w:r>
              <w:rPr>
                <w:rFonts w:hint="eastAsia"/>
                <w:kern w:val="2"/>
              </w:rPr>
              <w:t>分，满足任意一点得3</w:t>
            </w:r>
            <w:r>
              <w:rPr>
                <w:kern w:val="2"/>
              </w:rPr>
              <w:t>0%</w:t>
            </w:r>
            <w:r>
              <w:rPr>
                <w:rFonts w:hint="eastAsia"/>
                <w:kern w:val="2"/>
              </w:rPr>
              <w:t>分，未满足不得分。在此基础上，专家根据各供应商的具体响应内容按照量化的评审因素指标进一步评审，评审为优（</w:t>
            </w:r>
            <w:r>
              <w:rPr>
                <w:rFonts w:hint="eastAsia" w:ascii="宋体" w:hAnsi="宋体"/>
                <w:kern w:val="2"/>
              </w:rPr>
              <w:t>方案非常全面具体、针对性强、科学合理、可操作性强</w:t>
            </w:r>
            <w:r>
              <w:rPr>
                <w:rFonts w:hint="eastAsia"/>
                <w:kern w:val="2"/>
              </w:rPr>
              <w:t>）的加</w:t>
            </w:r>
            <w:r>
              <w:rPr>
                <w:kern w:val="2"/>
              </w:rPr>
              <w:t>20%</w:t>
            </w:r>
            <w:r>
              <w:rPr>
                <w:rFonts w:hint="eastAsia"/>
                <w:kern w:val="2"/>
              </w:rPr>
              <w:t>，评审为良（</w:t>
            </w:r>
            <w:r>
              <w:rPr>
                <w:rFonts w:hint="eastAsia" w:ascii="宋体" w:hAnsi="宋体"/>
                <w:kern w:val="2"/>
              </w:rPr>
              <w:t>方案较为全面具体、针对性较强、较为科学合理、有较好可操作性</w:t>
            </w:r>
            <w:r>
              <w:rPr>
                <w:rFonts w:hint="eastAsia"/>
                <w:kern w:val="2"/>
              </w:rPr>
              <w:t>）的加</w:t>
            </w:r>
            <w:r>
              <w:rPr>
                <w:kern w:val="2"/>
              </w:rPr>
              <w:t>15%</w:t>
            </w:r>
            <w:r>
              <w:rPr>
                <w:rFonts w:hint="eastAsia"/>
                <w:kern w:val="2"/>
              </w:rPr>
              <w:t>分，评审为中（</w:t>
            </w:r>
            <w:r>
              <w:rPr>
                <w:rFonts w:hint="eastAsia" w:ascii="宋体" w:hAnsi="宋体"/>
                <w:kern w:val="2"/>
              </w:rPr>
              <w:t>方案不够全面具体、针对性一般、科学合理性一般、可操作性一般</w:t>
            </w:r>
            <w:r>
              <w:rPr>
                <w:rFonts w:hint="eastAsia"/>
                <w:kern w:val="2"/>
              </w:rPr>
              <w:t>）的加</w:t>
            </w:r>
            <w:r>
              <w:rPr>
                <w:kern w:val="2"/>
              </w:rPr>
              <w:t>10%</w:t>
            </w:r>
            <w:r>
              <w:rPr>
                <w:rFonts w:hint="eastAsia"/>
                <w:kern w:val="2"/>
              </w:rPr>
              <w:t>分，评审为差（</w:t>
            </w:r>
            <w:r>
              <w:rPr>
                <w:rFonts w:hint="eastAsia" w:ascii="宋体" w:hAnsi="宋体"/>
                <w:kern w:val="2"/>
              </w:rPr>
              <w:t>无针对性、不科学合理、可操作性差</w:t>
            </w:r>
            <w:r>
              <w:rPr>
                <w:rFonts w:hint="eastAsia"/>
                <w:kern w:val="2"/>
              </w:rPr>
              <w:t>）的得</w:t>
            </w:r>
            <w:r>
              <w:rPr>
                <w:kern w:val="2"/>
              </w:rPr>
              <w:t>0</w:t>
            </w:r>
            <w:r>
              <w:rPr>
                <w:rFonts w:hint="eastAsia"/>
                <w:kern w:val="2"/>
              </w:rPr>
              <w:t>分。如果评审为差，要求专家书面说明理由，并记录在档。</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0" w:type="auto"/>
            <w:vMerge w:val="continue"/>
            <w:tcBorders>
              <w:top w:val="single" w:color="000000" w:sz="8" w:space="0"/>
              <w:left w:val="single" w:color="000000" w:sz="8" w:space="0"/>
              <w:bottom w:val="single" w:color="000000" w:sz="8" w:space="0"/>
              <w:right w:val="single" w:color="000000" w:sz="8" w:space="0"/>
            </w:tcBorders>
            <w:vAlign w:val="center"/>
          </w:tcPr>
          <w:p>
            <w:pPr>
              <w:widowControl w:val="0"/>
              <w:rPr>
                <w:rFonts w:ascii="宋体" w:hAnsi="宋体" w:cs="宋体"/>
                <w:b/>
                <w:bCs/>
                <w:color w:val="0000FF"/>
                <w:kern w:val="2"/>
                <w:sz w:val="24"/>
                <w:szCs w:val="24"/>
              </w:rPr>
            </w:pPr>
          </w:p>
        </w:tc>
        <w:tc>
          <w:tcPr>
            <w:tcW w:w="675" w:type="dxa"/>
            <w:tcBorders>
              <w:top w:val="single" w:color="000000" w:sz="8" w:space="0"/>
              <w:left w:val="single" w:color="000000" w:sz="8" w:space="0"/>
              <w:bottom w:val="single" w:color="000000" w:sz="8" w:space="0"/>
              <w:right w:val="single" w:color="000000" w:sz="8" w:space="0"/>
            </w:tcBorders>
            <w:vAlign w:val="center"/>
          </w:tcPr>
          <w:p>
            <w:pPr>
              <w:widowControl w:val="0"/>
              <w:wordWrap w:val="0"/>
              <w:jc w:val="center"/>
              <w:rPr>
                <w:rFonts w:ascii="宋体" w:hAnsi="宋体" w:cs="宋体"/>
                <w:kern w:val="2"/>
              </w:rPr>
            </w:pPr>
            <w:r>
              <w:rPr>
                <w:rFonts w:ascii="宋体" w:hAnsi="宋体"/>
                <w:kern w:val="2"/>
              </w:rPr>
              <w:t>2</w:t>
            </w:r>
          </w:p>
        </w:tc>
        <w:tc>
          <w:tcPr>
            <w:tcW w:w="2792" w:type="dxa"/>
            <w:tcBorders>
              <w:top w:val="single" w:color="000000" w:sz="8" w:space="0"/>
              <w:left w:val="single" w:color="000000" w:sz="8" w:space="0"/>
              <w:bottom w:val="single" w:color="000000" w:sz="8" w:space="0"/>
              <w:right w:val="single" w:color="000000" w:sz="8" w:space="0"/>
            </w:tcBorders>
            <w:vAlign w:val="center"/>
          </w:tcPr>
          <w:p>
            <w:pPr>
              <w:widowControl w:val="0"/>
              <w:wordWrap w:val="0"/>
              <w:jc w:val="center"/>
              <w:rPr>
                <w:rFonts w:ascii="宋体" w:hAnsi="宋体" w:cs="宋体"/>
                <w:kern w:val="2"/>
              </w:rPr>
            </w:pPr>
            <w:r>
              <w:rPr>
                <w:rFonts w:hint="eastAsia" w:ascii="宋体" w:hAnsi="宋体"/>
                <w:kern w:val="2"/>
              </w:rPr>
              <w:t>项目重点难点分析、应对措施及相关的合理化建议</w:t>
            </w:r>
          </w:p>
        </w:tc>
        <w:tc>
          <w:tcPr>
            <w:tcW w:w="776" w:type="dxa"/>
            <w:tcBorders>
              <w:top w:val="single" w:color="000000" w:sz="8" w:space="0"/>
              <w:left w:val="single" w:color="000000" w:sz="8" w:space="0"/>
              <w:bottom w:val="single" w:color="000000" w:sz="8" w:space="0"/>
              <w:right w:val="single" w:color="000000" w:sz="8" w:space="0"/>
            </w:tcBorders>
            <w:vAlign w:val="center"/>
          </w:tcPr>
          <w:p>
            <w:pPr>
              <w:widowControl w:val="0"/>
              <w:wordWrap w:val="0"/>
              <w:jc w:val="center"/>
              <w:rPr>
                <w:rFonts w:ascii="宋体" w:hAnsi="宋体" w:cs="宋体"/>
                <w:kern w:val="2"/>
              </w:rPr>
            </w:pPr>
            <w:r>
              <w:rPr>
                <w:rFonts w:hint="eastAsia" w:ascii="宋体" w:hAnsi="宋体"/>
                <w:kern w:val="2"/>
              </w:rPr>
              <w:t>15</w:t>
            </w:r>
          </w:p>
        </w:tc>
        <w:tc>
          <w:tcPr>
            <w:tcW w:w="4153" w:type="dxa"/>
            <w:tcBorders>
              <w:top w:val="single" w:color="000000" w:sz="8" w:space="0"/>
              <w:left w:val="single" w:color="000000" w:sz="8" w:space="0"/>
              <w:bottom w:val="single" w:color="000000" w:sz="8" w:space="0"/>
              <w:right w:val="single" w:color="000000" w:sz="8" w:space="0"/>
            </w:tcBorders>
            <w:vAlign w:val="center"/>
          </w:tcPr>
          <w:p>
            <w:pPr>
              <w:widowControl w:val="0"/>
              <w:autoSpaceDE w:val="0"/>
              <w:autoSpaceDN w:val="0"/>
              <w:adjustRightInd w:val="0"/>
              <w:spacing w:line="360" w:lineRule="exact"/>
              <w:jc w:val="left"/>
              <w:rPr>
                <w:rFonts w:ascii="宋体" w:hAnsi="宋体"/>
                <w:b/>
                <w:kern w:val="2"/>
              </w:rPr>
            </w:pPr>
            <w:r>
              <w:rPr>
                <w:rFonts w:hint="eastAsia" w:ascii="宋体" w:hAnsi="宋体"/>
                <w:b/>
                <w:kern w:val="2"/>
              </w:rPr>
              <w:t>评审内容：</w:t>
            </w:r>
          </w:p>
          <w:p>
            <w:pPr>
              <w:widowControl w:val="0"/>
              <w:autoSpaceDE w:val="0"/>
              <w:autoSpaceDN w:val="0"/>
              <w:adjustRightInd w:val="0"/>
              <w:spacing w:line="360" w:lineRule="exact"/>
              <w:jc w:val="left"/>
              <w:rPr>
                <w:rFonts w:ascii="宋体" w:hAnsi="宋体"/>
                <w:b/>
                <w:kern w:val="2"/>
              </w:rPr>
            </w:pPr>
            <w:r>
              <w:rPr>
                <w:rFonts w:hint="eastAsia" w:ascii="宋体" w:hAnsi="宋体"/>
                <w:kern w:val="2"/>
              </w:rPr>
              <w:t>根据对投标人提供的服务重点难点分析、应对措施及相关的合理化建议进行综合评审。</w:t>
            </w:r>
          </w:p>
          <w:p>
            <w:pPr>
              <w:widowControl w:val="0"/>
              <w:autoSpaceDE w:val="0"/>
              <w:autoSpaceDN w:val="0"/>
              <w:adjustRightInd w:val="0"/>
              <w:spacing w:line="360" w:lineRule="exact"/>
              <w:jc w:val="left"/>
              <w:rPr>
                <w:rFonts w:ascii="宋体" w:hAnsi="宋体"/>
                <w:bCs/>
                <w:kern w:val="2"/>
              </w:rPr>
            </w:pPr>
            <w:r>
              <w:rPr>
                <w:rFonts w:hint="eastAsia" w:ascii="宋体" w:hAnsi="宋体"/>
                <w:bCs/>
                <w:kern w:val="2"/>
              </w:rPr>
              <w:t>1.重点难点分析</w:t>
            </w:r>
          </w:p>
          <w:p>
            <w:pPr>
              <w:widowControl w:val="0"/>
              <w:autoSpaceDE w:val="0"/>
              <w:autoSpaceDN w:val="0"/>
              <w:adjustRightInd w:val="0"/>
              <w:spacing w:line="360" w:lineRule="exact"/>
              <w:jc w:val="left"/>
              <w:rPr>
                <w:rFonts w:ascii="宋体" w:hAnsi="宋体"/>
                <w:bCs/>
                <w:kern w:val="2"/>
              </w:rPr>
            </w:pPr>
            <w:r>
              <w:rPr>
                <w:rFonts w:hint="eastAsia" w:ascii="宋体" w:hAnsi="宋体"/>
                <w:bCs/>
                <w:kern w:val="2"/>
              </w:rPr>
              <w:t>2.应对措施及相关的合理化建议</w:t>
            </w:r>
          </w:p>
          <w:p>
            <w:pPr>
              <w:widowControl w:val="0"/>
              <w:autoSpaceDE w:val="0"/>
              <w:autoSpaceDN w:val="0"/>
              <w:adjustRightInd w:val="0"/>
              <w:spacing w:line="360" w:lineRule="exact"/>
              <w:jc w:val="left"/>
              <w:rPr>
                <w:rFonts w:ascii="宋体" w:hAnsi="宋体"/>
                <w:b/>
                <w:kern w:val="2"/>
              </w:rPr>
            </w:pPr>
            <w:r>
              <w:rPr>
                <w:rFonts w:hint="eastAsia" w:ascii="宋体" w:hAnsi="宋体"/>
                <w:b/>
                <w:kern w:val="2"/>
              </w:rPr>
              <w:t>评审标准：</w:t>
            </w:r>
          </w:p>
          <w:p>
            <w:pPr>
              <w:widowControl w:val="0"/>
              <w:autoSpaceDE w:val="0"/>
              <w:autoSpaceDN w:val="0"/>
              <w:adjustRightInd w:val="0"/>
              <w:spacing w:line="360" w:lineRule="exact"/>
              <w:jc w:val="left"/>
              <w:rPr>
                <w:rFonts w:ascii="宋体" w:hAnsi="宋体" w:cs="宋体"/>
                <w:kern w:val="2"/>
              </w:rPr>
            </w:pPr>
            <w:r>
              <w:rPr>
                <w:rFonts w:hint="eastAsia"/>
                <w:kern w:val="2"/>
              </w:rPr>
              <w:t>考察以上两点，满足任意两点得8</w:t>
            </w:r>
            <w:r>
              <w:rPr>
                <w:kern w:val="2"/>
              </w:rPr>
              <w:t>0%</w:t>
            </w:r>
            <w:r>
              <w:rPr>
                <w:rFonts w:hint="eastAsia"/>
                <w:kern w:val="2"/>
              </w:rPr>
              <w:t>分，满足任意一点得3</w:t>
            </w:r>
            <w:r>
              <w:rPr>
                <w:kern w:val="2"/>
              </w:rPr>
              <w:t>0%</w:t>
            </w:r>
            <w:r>
              <w:rPr>
                <w:rFonts w:hint="eastAsia"/>
                <w:kern w:val="2"/>
              </w:rPr>
              <w:t>分，未满足不得分。在此基础上，专家根据各供应商的具体响应内容按照量化的评审因素指标进一步评审，评审为优（分析</w:t>
            </w:r>
            <w:r>
              <w:rPr>
                <w:rFonts w:hint="eastAsia" w:ascii="宋体" w:hAnsi="宋体"/>
                <w:kern w:val="2"/>
              </w:rPr>
              <w:t>非常全面具体、针对性强，措施科学合理、可操作性强</w:t>
            </w:r>
            <w:r>
              <w:rPr>
                <w:rFonts w:hint="eastAsia"/>
                <w:kern w:val="2"/>
              </w:rPr>
              <w:t>）的加</w:t>
            </w:r>
            <w:r>
              <w:rPr>
                <w:kern w:val="2"/>
              </w:rPr>
              <w:t>20%</w:t>
            </w:r>
            <w:r>
              <w:rPr>
                <w:rFonts w:hint="eastAsia"/>
                <w:kern w:val="2"/>
              </w:rPr>
              <w:t>，评审为良（</w:t>
            </w:r>
            <w:r>
              <w:rPr>
                <w:rFonts w:hint="eastAsia" w:ascii="宋体" w:hAnsi="宋体"/>
                <w:kern w:val="2"/>
              </w:rPr>
              <w:t>分析较为全面具体、针对性较强，措施较为科学合理、有较好可操作性</w:t>
            </w:r>
            <w:r>
              <w:rPr>
                <w:rFonts w:hint="eastAsia"/>
                <w:kern w:val="2"/>
              </w:rPr>
              <w:t>）的加</w:t>
            </w:r>
            <w:r>
              <w:rPr>
                <w:kern w:val="2"/>
              </w:rPr>
              <w:t>15%</w:t>
            </w:r>
            <w:r>
              <w:rPr>
                <w:rFonts w:hint="eastAsia"/>
                <w:kern w:val="2"/>
              </w:rPr>
              <w:t>分，评审为中（分析</w:t>
            </w:r>
            <w:r>
              <w:rPr>
                <w:rFonts w:hint="eastAsia" w:ascii="宋体" w:hAnsi="宋体"/>
                <w:kern w:val="2"/>
              </w:rPr>
              <w:t>不够全面具体、针对性一般，措施科学合理性一般、可操作性一般</w:t>
            </w:r>
            <w:r>
              <w:rPr>
                <w:rFonts w:hint="eastAsia"/>
                <w:kern w:val="2"/>
              </w:rPr>
              <w:t>）的加</w:t>
            </w:r>
            <w:r>
              <w:rPr>
                <w:kern w:val="2"/>
              </w:rPr>
              <w:t>10%</w:t>
            </w:r>
            <w:r>
              <w:rPr>
                <w:rFonts w:hint="eastAsia"/>
                <w:kern w:val="2"/>
              </w:rPr>
              <w:t>分，评审为差（分析</w:t>
            </w:r>
            <w:r>
              <w:rPr>
                <w:rFonts w:hint="eastAsia" w:ascii="宋体" w:hAnsi="宋体"/>
                <w:kern w:val="2"/>
              </w:rPr>
              <w:t>无针对性、措施不科学合理、可操作性差</w:t>
            </w:r>
            <w:r>
              <w:rPr>
                <w:rFonts w:hint="eastAsia"/>
                <w:kern w:val="2"/>
              </w:rPr>
              <w:t>）的得</w:t>
            </w:r>
            <w:r>
              <w:rPr>
                <w:kern w:val="2"/>
              </w:rPr>
              <w:t>0</w:t>
            </w:r>
            <w:r>
              <w:rPr>
                <w:rFonts w:hint="eastAsia"/>
                <w:kern w:val="2"/>
              </w:rPr>
              <w:t>分。如果评审为差，要求专家书面说明理由，并记录在档。</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0" w:type="auto"/>
            <w:vMerge w:val="continue"/>
            <w:tcBorders>
              <w:top w:val="single" w:color="000000" w:sz="8" w:space="0"/>
              <w:left w:val="single" w:color="000000" w:sz="8" w:space="0"/>
              <w:bottom w:val="single" w:color="000000" w:sz="8" w:space="0"/>
              <w:right w:val="single" w:color="000000" w:sz="8" w:space="0"/>
            </w:tcBorders>
            <w:vAlign w:val="center"/>
          </w:tcPr>
          <w:p>
            <w:pPr>
              <w:widowControl w:val="0"/>
              <w:rPr>
                <w:rFonts w:ascii="宋体" w:hAnsi="宋体" w:cs="宋体"/>
                <w:b/>
                <w:bCs/>
                <w:color w:val="0000FF"/>
                <w:kern w:val="2"/>
                <w:sz w:val="24"/>
                <w:szCs w:val="24"/>
              </w:rPr>
            </w:pPr>
          </w:p>
        </w:tc>
        <w:tc>
          <w:tcPr>
            <w:tcW w:w="675" w:type="dxa"/>
            <w:tcBorders>
              <w:top w:val="single" w:color="000000" w:sz="8" w:space="0"/>
              <w:left w:val="single" w:color="000000" w:sz="8" w:space="0"/>
              <w:bottom w:val="single" w:color="000000" w:sz="8" w:space="0"/>
              <w:right w:val="single" w:color="000000" w:sz="8" w:space="0"/>
            </w:tcBorders>
            <w:vAlign w:val="center"/>
          </w:tcPr>
          <w:p>
            <w:pPr>
              <w:widowControl w:val="0"/>
              <w:wordWrap w:val="0"/>
              <w:jc w:val="center"/>
              <w:rPr>
                <w:rFonts w:ascii="宋体" w:hAnsi="宋体" w:cs="宋体"/>
                <w:kern w:val="2"/>
              </w:rPr>
            </w:pPr>
            <w:r>
              <w:rPr>
                <w:rFonts w:ascii="宋体" w:hAnsi="宋体"/>
                <w:kern w:val="2"/>
              </w:rPr>
              <w:t>3</w:t>
            </w:r>
          </w:p>
        </w:tc>
        <w:tc>
          <w:tcPr>
            <w:tcW w:w="2792" w:type="dxa"/>
            <w:tcBorders>
              <w:top w:val="single" w:color="000000" w:sz="8" w:space="0"/>
              <w:left w:val="single" w:color="000000" w:sz="8" w:space="0"/>
              <w:bottom w:val="single" w:color="000000" w:sz="8" w:space="0"/>
              <w:right w:val="single" w:color="000000" w:sz="8" w:space="0"/>
            </w:tcBorders>
            <w:vAlign w:val="center"/>
          </w:tcPr>
          <w:p>
            <w:pPr>
              <w:widowControl w:val="0"/>
              <w:wordWrap w:val="0"/>
              <w:jc w:val="center"/>
              <w:rPr>
                <w:rFonts w:ascii="宋体" w:hAnsi="宋体" w:cs="宋体"/>
                <w:kern w:val="2"/>
              </w:rPr>
            </w:pPr>
            <w:r>
              <w:rPr>
                <w:rFonts w:hint="eastAsia" w:ascii="宋体" w:hAnsi="宋体"/>
                <w:kern w:val="2"/>
              </w:rPr>
              <w:t>质量（完成时间、安全、环保）保障措施及方案</w:t>
            </w:r>
          </w:p>
        </w:tc>
        <w:tc>
          <w:tcPr>
            <w:tcW w:w="776" w:type="dxa"/>
            <w:tcBorders>
              <w:top w:val="single" w:color="000000" w:sz="8" w:space="0"/>
              <w:left w:val="single" w:color="000000" w:sz="8" w:space="0"/>
              <w:bottom w:val="single" w:color="000000" w:sz="8" w:space="0"/>
              <w:right w:val="single" w:color="000000" w:sz="8" w:space="0"/>
            </w:tcBorders>
            <w:vAlign w:val="center"/>
          </w:tcPr>
          <w:p>
            <w:pPr>
              <w:widowControl w:val="0"/>
              <w:wordWrap w:val="0"/>
              <w:jc w:val="center"/>
              <w:rPr>
                <w:rFonts w:ascii="宋体" w:hAnsi="宋体" w:cs="宋体"/>
                <w:kern w:val="2"/>
              </w:rPr>
            </w:pPr>
            <w:r>
              <w:rPr>
                <w:rFonts w:hint="eastAsia" w:ascii="宋体" w:hAnsi="宋体"/>
                <w:kern w:val="2"/>
              </w:rPr>
              <w:t>15</w:t>
            </w:r>
          </w:p>
        </w:tc>
        <w:tc>
          <w:tcPr>
            <w:tcW w:w="4153" w:type="dxa"/>
            <w:tcBorders>
              <w:top w:val="single" w:color="000000" w:sz="8" w:space="0"/>
              <w:left w:val="single" w:color="000000" w:sz="8" w:space="0"/>
              <w:bottom w:val="single" w:color="000000" w:sz="8" w:space="0"/>
              <w:right w:val="single" w:color="000000" w:sz="8" w:space="0"/>
            </w:tcBorders>
            <w:vAlign w:val="center"/>
          </w:tcPr>
          <w:p>
            <w:pPr>
              <w:widowControl w:val="0"/>
              <w:autoSpaceDE w:val="0"/>
              <w:autoSpaceDN w:val="0"/>
              <w:adjustRightInd w:val="0"/>
              <w:spacing w:line="360" w:lineRule="exact"/>
              <w:jc w:val="left"/>
              <w:rPr>
                <w:rFonts w:ascii="宋体" w:hAnsi="宋体"/>
                <w:b/>
                <w:kern w:val="2"/>
              </w:rPr>
            </w:pPr>
            <w:r>
              <w:rPr>
                <w:rFonts w:hint="eastAsia" w:ascii="宋体" w:hAnsi="宋体"/>
                <w:b/>
                <w:kern w:val="2"/>
              </w:rPr>
              <w:t>评审内容：</w:t>
            </w:r>
          </w:p>
          <w:p>
            <w:pPr>
              <w:widowControl w:val="0"/>
              <w:autoSpaceDE w:val="0"/>
              <w:autoSpaceDN w:val="0"/>
              <w:adjustRightInd w:val="0"/>
              <w:spacing w:line="360" w:lineRule="exact"/>
              <w:jc w:val="left"/>
              <w:rPr>
                <w:rFonts w:ascii="宋体" w:hAnsi="宋体"/>
                <w:bCs/>
                <w:kern w:val="2"/>
              </w:rPr>
            </w:pPr>
            <w:r>
              <w:rPr>
                <w:rFonts w:hint="eastAsia" w:ascii="宋体" w:hAnsi="宋体"/>
                <w:bCs/>
                <w:kern w:val="2"/>
              </w:rPr>
              <w:t>根据投标人提供的项目服务工期安排及应急保障措施进行综合评审，包括但不限于以下内容：</w:t>
            </w:r>
          </w:p>
          <w:p>
            <w:pPr>
              <w:widowControl w:val="0"/>
              <w:autoSpaceDE w:val="0"/>
              <w:autoSpaceDN w:val="0"/>
              <w:adjustRightInd w:val="0"/>
              <w:spacing w:line="360" w:lineRule="exact"/>
              <w:jc w:val="left"/>
              <w:rPr>
                <w:rFonts w:ascii="宋体" w:hAnsi="宋体"/>
                <w:bCs/>
                <w:kern w:val="2"/>
              </w:rPr>
            </w:pPr>
            <w:r>
              <w:rPr>
                <w:rFonts w:hint="eastAsia" w:ascii="宋体" w:hAnsi="宋体"/>
                <w:bCs/>
                <w:kern w:val="2"/>
              </w:rPr>
              <w:t>1、对项目需求收集、系统实施、服务分工等工作的时间安排是否合理，包含相关时间安排及工作安排内容等；</w:t>
            </w:r>
          </w:p>
          <w:p>
            <w:pPr>
              <w:widowControl w:val="0"/>
              <w:autoSpaceDE w:val="0"/>
              <w:autoSpaceDN w:val="0"/>
              <w:adjustRightInd w:val="0"/>
              <w:spacing w:line="360" w:lineRule="exact"/>
              <w:jc w:val="left"/>
              <w:rPr>
                <w:rFonts w:ascii="宋体" w:hAnsi="宋体"/>
                <w:bCs/>
                <w:kern w:val="2"/>
              </w:rPr>
            </w:pPr>
            <w:r>
              <w:rPr>
                <w:rFonts w:hint="eastAsia" w:ascii="宋体" w:hAnsi="宋体"/>
                <w:bCs/>
                <w:kern w:val="2"/>
              </w:rPr>
              <w:t>2、对项目的</w:t>
            </w:r>
            <w:r>
              <w:rPr>
                <w:rFonts w:hint="eastAsia" w:ascii="宋体" w:hAnsi="宋体" w:cs="宋体"/>
                <w:color w:val="000000"/>
                <w:kern w:val="2"/>
              </w:rPr>
              <w:t>质量保证体系及措施</w:t>
            </w:r>
            <w:r>
              <w:rPr>
                <w:rFonts w:hint="eastAsia" w:ascii="宋体" w:hAnsi="宋体"/>
                <w:bCs/>
                <w:kern w:val="2"/>
              </w:rPr>
              <w:t>等内容。</w:t>
            </w:r>
          </w:p>
          <w:p>
            <w:pPr>
              <w:widowControl w:val="0"/>
              <w:autoSpaceDE w:val="0"/>
              <w:autoSpaceDN w:val="0"/>
              <w:adjustRightInd w:val="0"/>
              <w:spacing w:line="360" w:lineRule="exact"/>
              <w:jc w:val="left"/>
              <w:rPr>
                <w:rFonts w:ascii="宋体" w:hAnsi="宋体"/>
                <w:b/>
                <w:kern w:val="2"/>
              </w:rPr>
            </w:pPr>
            <w:r>
              <w:rPr>
                <w:rFonts w:hint="eastAsia" w:ascii="宋体" w:hAnsi="宋体"/>
                <w:b/>
                <w:kern w:val="2"/>
              </w:rPr>
              <w:t>评审标准：</w:t>
            </w:r>
          </w:p>
          <w:p>
            <w:pPr>
              <w:widowControl w:val="0"/>
              <w:autoSpaceDE w:val="0"/>
              <w:autoSpaceDN w:val="0"/>
              <w:adjustRightInd w:val="0"/>
              <w:spacing w:line="360" w:lineRule="exact"/>
              <w:jc w:val="left"/>
              <w:rPr>
                <w:rFonts w:ascii="宋体" w:hAnsi="宋体" w:cs="宋体"/>
                <w:kern w:val="2"/>
              </w:rPr>
            </w:pPr>
            <w:r>
              <w:rPr>
                <w:rFonts w:hint="eastAsia"/>
                <w:kern w:val="2"/>
              </w:rPr>
              <w:t>考察以上两点，满足任意两点得8</w:t>
            </w:r>
            <w:r>
              <w:rPr>
                <w:kern w:val="2"/>
              </w:rPr>
              <w:t>0%</w:t>
            </w:r>
            <w:r>
              <w:rPr>
                <w:rFonts w:hint="eastAsia"/>
                <w:kern w:val="2"/>
              </w:rPr>
              <w:t>分，满足任意一点得3</w:t>
            </w:r>
            <w:r>
              <w:rPr>
                <w:kern w:val="2"/>
              </w:rPr>
              <w:t>0%</w:t>
            </w:r>
            <w:r>
              <w:rPr>
                <w:rFonts w:hint="eastAsia"/>
                <w:kern w:val="2"/>
              </w:rPr>
              <w:t>分，未满足不得分。在此基础上，专家根据各供应商的具体响应内容按照量化的评审因素指标进一步评审，评审为优（</w:t>
            </w:r>
            <w:r>
              <w:rPr>
                <w:rFonts w:hint="eastAsia"/>
                <w:color w:val="000000"/>
                <w:kern w:val="2"/>
              </w:rPr>
              <w:t>进度计划详实可靠、进度安排合理、</w:t>
            </w:r>
            <w:r>
              <w:rPr>
                <w:rFonts w:hint="eastAsia" w:ascii="宋体" w:hAnsi="宋体" w:cs="宋体"/>
                <w:color w:val="000000"/>
                <w:kern w:val="2"/>
              </w:rPr>
              <w:t>质量保证体系健全且措施合理</w:t>
            </w:r>
            <w:r>
              <w:rPr>
                <w:rFonts w:hint="eastAsia"/>
                <w:kern w:val="2"/>
              </w:rPr>
              <w:t>）的加</w:t>
            </w:r>
            <w:r>
              <w:rPr>
                <w:kern w:val="2"/>
              </w:rPr>
              <w:t>20%</w:t>
            </w:r>
            <w:r>
              <w:rPr>
                <w:rFonts w:hint="eastAsia"/>
                <w:kern w:val="2"/>
              </w:rPr>
              <w:t>，评审为良（</w:t>
            </w:r>
            <w:r>
              <w:rPr>
                <w:rFonts w:hint="eastAsia"/>
                <w:color w:val="000000"/>
                <w:kern w:val="2"/>
              </w:rPr>
              <w:t>进度计划较详实、安排基本合理、</w:t>
            </w:r>
            <w:r>
              <w:rPr>
                <w:rFonts w:hint="eastAsia" w:ascii="宋体" w:hAnsi="宋体" w:cs="宋体"/>
                <w:color w:val="000000"/>
                <w:kern w:val="2"/>
              </w:rPr>
              <w:t>质量保证体系较健全、措施一般</w:t>
            </w:r>
            <w:r>
              <w:rPr>
                <w:rFonts w:hint="eastAsia"/>
                <w:kern w:val="2"/>
              </w:rPr>
              <w:t>）的加</w:t>
            </w:r>
            <w:r>
              <w:rPr>
                <w:kern w:val="2"/>
              </w:rPr>
              <w:t>15%</w:t>
            </w:r>
            <w:r>
              <w:rPr>
                <w:rFonts w:hint="eastAsia"/>
                <w:kern w:val="2"/>
              </w:rPr>
              <w:t>分，评审为中（</w:t>
            </w:r>
            <w:r>
              <w:rPr>
                <w:rFonts w:hint="eastAsia" w:ascii="宋体" w:hAnsi="宋体"/>
                <w:kern w:val="2"/>
              </w:rPr>
              <w:t>进度计划与安排一般、</w:t>
            </w:r>
            <w:r>
              <w:rPr>
                <w:rFonts w:hint="eastAsia" w:ascii="宋体" w:hAnsi="宋体" w:cs="宋体"/>
                <w:color w:val="000000"/>
                <w:kern w:val="2"/>
              </w:rPr>
              <w:t>质量保证体系不够健全、措施较差</w:t>
            </w:r>
            <w:r>
              <w:rPr>
                <w:rFonts w:hint="eastAsia"/>
                <w:kern w:val="2"/>
              </w:rPr>
              <w:t>）的加</w:t>
            </w:r>
            <w:r>
              <w:rPr>
                <w:kern w:val="2"/>
              </w:rPr>
              <w:t>10%</w:t>
            </w:r>
            <w:r>
              <w:rPr>
                <w:rFonts w:hint="eastAsia"/>
                <w:kern w:val="2"/>
              </w:rPr>
              <w:t>分，评审为差（</w:t>
            </w:r>
            <w:r>
              <w:rPr>
                <w:rFonts w:hint="eastAsia"/>
                <w:color w:val="000000"/>
                <w:kern w:val="2"/>
              </w:rPr>
              <w:t>无进度说明、</w:t>
            </w:r>
            <w:r>
              <w:rPr>
                <w:rFonts w:hint="eastAsia" w:ascii="宋体" w:hAnsi="宋体" w:cs="宋体"/>
                <w:color w:val="000000"/>
                <w:kern w:val="2"/>
              </w:rPr>
              <w:t>无质量保证体系与措施</w:t>
            </w:r>
            <w:r>
              <w:rPr>
                <w:rFonts w:hint="eastAsia"/>
                <w:kern w:val="2"/>
              </w:rPr>
              <w:t>）的得</w:t>
            </w:r>
            <w:r>
              <w:rPr>
                <w:kern w:val="2"/>
              </w:rPr>
              <w:t>0</w:t>
            </w:r>
            <w:r>
              <w:rPr>
                <w:rFonts w:hint="eastAsia"/>
                <w:kern w:val="2"/>
              </w:rPr>
              <w:t>分。如果评审为差，要求专家书面说明理由，并记录在档。</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0" w:type="auto"/>
            <w:vMerge w:val="continue"/>
            <w:tcBorders>
              <w:top w:val="single" w:color="000000" w:sz="8" w:space="0"/>
              <w:left w:val="single" w:color="000000" w:sz="8" w:space="0"/>
              <w:bottom w:val="single" w:color="000000" w:sz="8" w:space="0"/>
              <w:right w:val="single" w:color="000000" w:sz="8" w:space="0"/>
            </w:tcBorders>
            <w:vAlign w:val="center"/>
          </w:tcPr>
          <w:p>
            <w:pPr>
              <w:widowControl w:val="0"/>
              <w:rPr>
                <w:rFonts w:ascii="宋体" w:hAnsi="宋体" w:cs="宋体"/>
                <w:b/>
                <w:bCs/>
                <w:color w:val="0000FF"/>
                <w:kern w:val="2"/>
                <w:sz w:val="24"/>
                <w:szCs w:val="24"/>
              </w:rPr>
            </w:pPr>
          </w:p>
        </w:tc>
        <w:tc>
          <w:tcPr>
            <w:tcW w:w="675" w:type="dxa"/>
            <w:tcBorders>
              <w:top w:val="single" w:color="000000" w:sz="8" w:space="0"/>
              <w:left w:val="single" w:color="000000" w:sz="8" w:space="0"/>
              <w:bottom w:val="single" w:color="000000" w:sz="8" w:space="0"/>
              <w:right w:val="single" w:color="000000" w:sz="8" w:space="0"/>
            </w:tcBorders>
            <w:vAlign w:val="center"/>
          </w:tcPr>
          <w:p>
            <w:pPr>
              <w:widowControl w:val="0"/>
              <w:wordWrap w:val="0"/>
              <w:jc w:val="center"/>
              <w:rPr>
                <w:rFonts w:ascii="宋体" w:hAnsi="宋体" w:cs="宋体"/>
                <w:kern w:val="2"/>
              </w:rPr>
            </w:pPr>
            <w:r>
              <w:rPr>
                <w:rFonts w:hint="eastAsia" w:ascii="宋体" w:hAnsi="宋体"/>
                <w:kern w:val="2"/>
              </w:rPr>
              <w:t>4</w:t>
            </w:r>
          </w:p>
        </w:tc>
        <w:tc>
          <w:tcPr>
            <w:tcW w:w="2792" w:type="dxa"/>
            <w:tcBorders>
              <w:top w:val="single" w:color="000000" w:sz="8" w:space="0"/>
              <w:left w:val="single" w:color="000000" w:sz="8" w:space="0"/>
              <w:bottom w:val="single" w:color="000000" w:sz="8" w:space="0"/>
              <w:right w:val="single" w:color="000000" w:sz="8" w:space="0"/>
            </w:tcBorders>
            <w:vAlign w:val="center"/>
          </w:tcPr>
          <w:p>
            <w:pPr>
              <w:widowControl w:val="0"/>
              <w:wordWrap w:val="0"/>
              <w:jc w:val="center"/>
              <w:rPr>
                <w:rFonts w:ascii="宋体" w:hAnsi="宋体" w:cs="宋体"/>
                <w:kern w:val="2"/>
              </w:rPr>
            </w:pPr>
            <w:r>
              <w:rPr>
                <w:rFonts w:hint="eastAsia" w:ascii="宋体" w:hAnsi="宋体"/>
                <w:kern w:val="2"/>
              </w:rPr>
              <w:t>拟安排的项目负责人情况（仅限一人）</w:t>
            </w:r>
          </w:p>
        </w:tc>
        <w:tc>
          <w:tcPr>
            <w:tcW w:w="776" w:type="dxa"/>
            <w:tcBorders>
              <w:top w:val="single" w:color="000000" w:sz="8" w:space="0"/>
              <w:left w:val="single" w:color="000000" w:sz="8" w:space="0"/>
              <w:bottom w:val="single" w:color="000000" w:sz="8" w:space="0"/>
              <w:right w:val="single" w:color="000000" w:sz="8" w:space="0"/>
            </w:tcBorders>
            <w:vAlign w:val="center"/>
          </w:tcPr>
          <w:p>
            <w:pPr>
              <w:widowControl w:val="0"/>
              <w:wordWrap w:val="0"/>
              <w:jc w:val="center"/>
              <w:rPr>
                <w:rFonts w:ascii="宋体" w:hAnsi="宋体" w:cs="宋体"/>
                <w:kern w:val="2"/>
              </w:rPr>
            </w:pPr>
            <w:r>
              <w:rPr>
                <w:rFonts w:hint="eastAsia" w:ascii="宋体" w:hAnsi="宋体"/>
                <w:kern w:val="2"/>
              </w:rPr>
              <w:t>5</w:t>
            </w:r>
          </w:p>
        </w:tc>
        <w:tc>
          <w:tcPr>
            <w:tcW w:w="4153" w:type="dxa"/>
            <w:tcBorders>
              <w:top w:val="single" w:color="000000" w:sz="8" w:space="0"/>
              <w:left w:val="single" w:color="000000" w:sz="8" w:space="0"/>
              <w:bottom w:val="single" w:color="000000" w:sz="8" w:space="0"/>
              <w:right w:val="single" w:color="000000" w:sz="8" w:space="0"/>
            </w:tcBorders>
          </w:tcPr>
          <w:p>
            <w:pPr>
              <w:widowControl w:val="0"/>
              <w:autoSpaceDE w:val="0"/>
              <w:autoSpaceDN w:val="0"/>
              <w:adjustRightInd w:val="0"/>
              <w:spacing w:line="360" w:lineRule="exact"/>
              <w:jc w:val="left"/>
              <w:rPr>
                <w:rFonts w:ascii="宋体" w:hAnsi="宋体"/>
                <w:bCs/>
                <w:kern w:val="2"/>
              </w:rPr>
            </w:pPr>
            <w:r>
              <w:rPr>
                <w:rFonts w:hint="eastAsia" w:ascii="宋体" w:hAnsi="宋体"/>
                <w:bCs/>
                <w:kern w:val="2"/>
              </w:rPr>
              <w:t>（一）评分内容：拟安排项目负责人为投标单位员工（以社保为准），否则本项不得分。</w:t>
            </w:r>
          </w:p>
          <w:p>
            <w:pPr>
              <w:widowControl w:val="0"/>
              <w:autoSpaceDE w:val="0"/>
              <w:autoSpaceDN w:val="0"/>
              <w:adjustRightInd w:val="0"/>
              <w:spacing w:line="360" w:lineRule="exact"/>
              <w:jc w:val="left"/>
              <w:rPr>
                <w:rFonts w:ascii="宋体" w:hAnsi="宋体"/>
                <w:b/>
                <w:kern w:val="2"/>
              </w:rPr>
            </w:pPr>
            <w:r>
              <w:rPr>
                <w:rFonts w:hint="eastAsia" w:ascii="宋体" w:hAnsi="宋体"/>
                <w:b/>
                <w:kern w:val="2"/>
              </w:rPr>
              <w:t>评审标准：</w:t>
            </w:r>
          </w:p>
          <w:p>
            <w:pPr>
              <w:widowControl w:val="0"/>
              <w:autoSpaceDE w:val="0"/>
              <w:autoSpaceDN w:val="0"/>
              <w:adjustRightInd w:val="0"/>
              <w:spacing w:line="360" w:lineRule="exact"/>
              <w:jc w:val="left"/>
              <w:rPr>
                <w:rFonts w:ascii="宋体" w:hAnsi="宋体"/>
                <w:bCs/>
                <w:kern w:val="2"/>
              </w:rPr>
            </w:pPr>
            <w:r>
              <w:rPr>
                <w:rFonts w:hint="eastAsia" w:ascii="宋体" w:hAnsi="宋体"/>
                <w:bCs/>
                <w:kern w:val="2"/>
              </w:rPr>
              <w:t>根据投标人提供的项目负责人情况进行评审：</w:t>
            </w:r>
          </w:p>
          <w:p>
            <w:pPr>
              <w:widowControl w:val="0"/>
              <w:numPr>
                <w:ilvl w:val="0"/>
                <w:numId w:val="1"/>
              </w:numPr>
              <w:autoSpaceDE w:val="0"/>
              <w:autoSpaceDN w:val="0"/>
              <w:adjustRightInd w:val="0"/>
              <w:spacing w:line="360" w:lineRule="exact"/>
              <w:jc w:val="left"/>
              <w:rPr>
                <w:rFonts w:ascii="宋体" w:hAnsi="宋体"/>
                <w:bCs/>
                <w:kern w:val="2"/>
              </w:rPr>
            </w:pPr>
            <w:r>
              <w:rPr>
                <w:rFonts w:hint="eastAsia" w:ascii="宋体" w:hAnsi="宋体"/>
                <w:bCs/>
                <w:kern w:val="2"/>
              </w:rPr>
              <w:t>本科及以上学历，得1分；</w:t>
            </w:r>
          </w:p>
          <w:p>
            <w:pPr>
              <w:widowControl w:val="0"/>
              <w:numPr>
                <w:ilvl w:val="0"/>
                <w:numId w:val="1"/>
              </w:numPr>
              <w:autoSpaceDE w:val="0"/>
              <w:autoSpaceDN w:val="0"/>
              <w:adjustRightInd w:val="0"/>
              <w:spacing w:line="360" w:lineRule="exact"/>
              <w:jc w:val="left"/>
              <w:rPr>
                <w:rFonts w:ascii="宋体" w:hAnsi="宋体"/>
                <w:bCs/>
                <w:kern w:val="2"/>
              </w:rPr>
            </w:pPr>
            <w:r>
              <w:rPr>
                <w:rFonts w:hint="eastAsia" w:ascii="宋体" w:hAnsi="宋体"/>
                <w:bCs/>
                <w:kern w:val="2"/>
              </w:rPr>
              <w:t>拥有高级信息系统项目管理师证书，得2分；</w:t>
            </w:r>
          </w:p>
          <w:p>
            <w:pPr>
              <w:widowControl w:val="0"/>
              <w:numPr>
                <w:ilvl w:val="0"/>
                <w:numId w:val="1"/>
              </w:numPr>
              <w:autoSpaceDE w:val="0"/>
              <w:autoSpaceDN w:val="0"/>
              <w:adjustRightInd w:val="0"/>
              <w:spacing w:line="360" w:lineRule="exact"/>
              <w:jc w:val="left"/>
              <w:rPr>
                <w:rFonts w:ascii="宋体" w:hAnsi="宋体"/>
                <w:bCs/>
                <w:kern w:val="2"/>
              </w:rPr>
            </w:pPr>
            <w:r>
              <w:rPr>
                <w:rFonts w:hint="eastAsia" w:ascii="宋体" w:hAnsi="宋体"/>
                <w:bCs/>
                <w:kern w:val="2"/>
              </w:rPr>
              <w:t xml:space="preserve">拥有高级系统分析师证书，得2分； </w:t>
            </w:r>
          </w:p>
          <w:p>
            <w:pPr>
              <w:widowControl w:val="0"/>
              <w:autoSpaceDE w:val="0"/>
              <w:autoSpaceDN w:val="0"/>
              <w:adjustRightInd w:val="0"/>
              <w:spacing w:line="360" w:lineRule="exact"/>
              <w:jc w:val="left"/>
              <w:rPr>
                <w:rFonts w:ascii="宋体" w:hAnsi="宋体"/>
                <w:bCs/>
                <w:kern w:val="2"/>
              </w:rPr>
            </w:pPr>
            <w:r>
              <w:rPr>
                <w:rFonts w:hint="eastAsia" w:ascii="宋体" w:hAnsi="宋体"/>
                <w:bCs/>
                <w:kern w:val="2"/>
              </w:rPr>
              <w:t>以上合计最高得分5分，不提供不得分。</w:t>
            </w:r>
          </w:p>
          <w:p>
            <w:pPr>
              <w:widowControl w:val="0"/>
              <w:autoSpaceDE w:val="0"/>
              <w:autoSpaceDN w:val="0"/>
              <w:adjustRightInd w:val="0"/>
              <w:spacing w:line="360" w:lineRule="exact"/>
              <w:jc w:val="left"/>
              <w:rPr>
                <w:rFonts w:ascii="宋体" w:hAnsi="宋体"/>
                <w:bCs/>
                <w:kern w:val="2"/>
              </w:rPr>
            </w:pPr>
            <w:r>
              <w:rPr>
                <w:rFonts w:hint="eastAsia" w:ascii="宋体" w:hAnsi="宋体"/>
                <w:bCs/>
                <w:kern w:val="2"/>
              </w:rPr>
              <w:t>（二）评分依据：</w:t>
            </w:r>
          </w:p>
          <w:p>
            <w:pPr>
              <w:widowControl w:val="0"/>
              <w:autoSpaceDE w:val="0"/>
              <w:autoSpaceDN w:val="0"/>
              <w:adjustRightInd w:val="0"/>
              <w:spacing w:line="360" w:lineRule="exact"/>
              <w:jc w:val="left"/>
              <w:rPr>
                <w:rFonts w:ascii="宋体" w:hAnsi="宋体"/>
                <w:bCs/>
                <w:kern w:val="2"/>
              </w:rPr>
            </w:pPr>
            <w:r>
              <w:rPr>
                <w:rFonts w:hint="eastAsia" w:ascii="宋体" w:hAnsi="宋体"/>
                <w:bCs/>
                <w:kern w:val="2"/>
              </w:rPr>
              <w:t>1.要求提供通过投标人缴纳的近半年内连续三个月的社保证明作为本单位员工的证明依据。</w:t>
            </w:r>
          </w:p>
          <w:p>
            <w:pPr>
              <w:widowControl w:val="0"/>
              <w:autoSpaceDE w:val="0"/>
              <w:autoSpaceDN w:val="0"/>
              <w:adjustRightInd w:val="0"/>
              <w:spacing w:line="360" w:lineRule="exact"/>
              <w:jc w:val="left"/>
              <w:rPr>
                <w:rFonts w:ascii="宋体" w:hAnsi="宋体"/>
                <w:bCs/>
                <w:kern w:val="2"/>
              </w:rPr>
            </w:pPr>
            <w:r>
              <w:rPr>
                <w:rFonts w:hint="eastAsia" w:ascii="宋体" w:hAnsi="宋体"/>
                <w:bCs/>
                <w:kern w:val="2"/>
              </w:rPr>
              <w:t>2.要求提供投标人相关证明资料作为得分依据。</w:t>
            </w:r>
          </w:p>
          <w:p>
            <w:pPr>
              <w:widowControl w:val="0"/>
              <w:autoSpaceDE w:val="0"/>
              <w:autoSpaceDN w:val="0"/>
              <w:adjustRightInd w:val="0"/>
              <w:spacing w:line="360" w:lineRule="exact"/>
              <w:jc w:val="left"/>
              <w:rPr>
                <w:rFonts w:ascii="宋体" w:hAnsi="宋体" w:cs="宋体"/>
                <w:kern w:val="2"/>
              </w:rPr>
            </w:pPr>
            <w:r>
              <w:rPr>
                <w:rFonts w:hint="eastAsia" w:ascii="宋体" w:hAnsi="宋体"/>
                <w:bCs/>
                <w:kern w:val="2"/>
              </w:rPr>
              <w:t>3.以上资料均要求提供扫描件（或官方网站截图），原件备查。评分中出现无证明资料或专家无法凭所提供资料判断是否得分的情况，一律作不得分处理。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0" w:type="auto"/>
            <w:vMerge w:val="continue"/>
            <w:tcBorders>
              <w:top w:val="single" w:color="000000" w:sz="8" w:space="0"/>
              <w:left w:val="single" w:color="000000" w:sz="8" w:space="0"/>
              <w:bottom w:val="single" w:color="000000" w:sz="8" w:space="0"/>
              <w:right w:val="single" w:color="000000" w:sz="8" w:space="0"/>
            </w:tcBorders>
            <w:vAlign w:val="center"/>
          </w:tcPr>
          <w:p>
            <w:pPr>
              <w:widowControl w:val="0"/>
              <w:rPr>
                <w:rFonts w:ascii="宋体" w:hAnsi="宋体" w:cs="宋体"/>
                <w:b/>
                <w:bCs/>
                <w:color w:val="0000FF"/>
                <w:kern w:val="2"/>
                <w:sz w:val="24"/>
                <w:szCs w:val="24"/>
              </w:rPr>
            </w:pPr>
          </w:p>
        </w:tc>
        <w:tc>
          <w:tcPr>
            <w:tcW w:w="675" w:type="dxa"/>
            <w:tcBorders>
              <w:top w:val="single" w:color="auto" w:sz="4" w:space="0"/>
              <w:left w:val="single" w:color="auto" w:sz="4" w:space="0"/>
              <w:bottom w:val="single" w:color="auto" w:sz="4" w:space="0"/>
              <w:right w:val="single" w:color="auto" w:sz="4" w:space="0"/>
            </w:tcBorders>
            <w:vAlign w:val="center"/>
          </w:tcPr>
          <w:p>
            <w:pPr>
              <w:widowControl w:val="0"/>
              <w:wordWrap w:val="0"/>
              <w:jc w:val="center"/>
              <w:rPr>
                <w:rFonts w:ascii="宋体" w:hAnsi="宋体"/>
                <w:kern w:val="2"/>
              </w:rPr>
            </w:pPr>
            <w:r>
              <w:rPr>
                <w:rFonts w:hint="eastAsia" w:ascii="宋体" w:hAnsi="宋体"/>
                <w:kern w:val="2"/>
              </w:rPr>
              <w:t>5</w:t>
            </w:r>
          </w:p>
        </w:tc>
        <w:tc>
          <w:tcPr>
            <w:tcW w:w="2792" w:type="dxa"/>
            <w:tcBorders>
              <w:top w:val="single" w:color="000000" w:sz="8" w:space="0"/>
              <w:left w:val="single" w:color="000000" w:sz="8" w:space="0"/>
              <w:bottom w:val="single" w:color="000000" w:sz="8" w:space="0"/>
              <w:right w:val="single" w:color="000000" w:sz="8" w:space="0"/>
            </w:tcBorders>
            <w:vAlign w:val="center"/>
          </w:tcPr>
          <w:p>
            <w:pPr>
              <w:widowControl w:val="0"/>
              <w:wordWrap w:val="0"/>
              <w:jc w:val="center"/>
              <w:rPr>
                <w:rFonts w:ascii="宋体" w:hAnsi="宋体" w:cs="宋体"/>
                <w:kern w:val="2"/>
              </w:rPr>
            </w:pPr>
            <w:r>
              <w:rPr>
                <w:rFonts w:hint="eastAsia" w:ascii="宋体" w:hAnsi="宋体"/>
                <w:kern w:val="2"/>
              </w:rPr>
              <w:t>拟安排的项目主要团队成员（主要技术人员）情况（项目负责人除外）</w:t>
            </w:r>
          </w:p>
        </w:tc>
        <w:tc>
          <w:tcPr>
            <w:tcW w:w="776" w:type="dxa"/>
            <w:tcBorders>
              <w:top w:val="single" w:color="000000" w:sz="8" w:space="0"/>
              <w:left w:val="single" w:color="000000" w:sz="8" w:space="0"/>
              <w:bottom w:val="single" w:color="000000" w:sz="8" w:space="0"/>
              <w:right w:val="single" w:color="000000" w:sz="8" w:space="0"/>
            </w:tcBorders>
            <w:vAlign w:val="center"/>
          </w:tcPr>
          <w:p>
            <w:pPr>
              <w:widowControl w:val="0"/>
              <w:wordWrap w:val="0"/>
              <w:jc w:val="center"/>
              <w:rPr>
                <w:rFonts w:ascii="宋体" w:hAnsi="宋体" w:cs="宋体"/>
                <w:kern w:val="2"/>
              </w:rPr>
            </w:pPr>
            <w:r>
              <w:rPr>
                <w:rFonts w:hint="eastAsia" w:ascii="宋体" w:hAnsi="宋体" w:cs="宋体"/>
                <w:kern w:val="2"/>
              </w:rPr>
              <w:t>10</w:t>
            </w:r>
          </w:p>
        </w:tc>
        <w:tc>
          <w:tcPr>
            <w:tcW w:w="4153" w:type="dxa"/>
            <w:tcBorders>
              <w:top w:val="single" w:color="000000" w:sz="8" w:space="0"/>
              <w:left w:val="single" w:color="000000" w:sz="8" w:space="0"/>
              <w:bottom w:val="single" w:color="000000" w:sz="8" w:space="0"/>
              <w:right w:val="single" w:color="000000" w:sz="8" w:space="0"/>
            </w:tcBorders>
          </w:tcPr>
          <w:p>
            <w:pPr>
              <w:widowControl w:val="0"/>
              <w:autoSpaceDE w:val="0"/>
              <w:autoSpaceDN w:val="0"/>
              <w:adjustRightInd w:val="0"/>
              <w:spacing w:line="360" w:lineRule="exact"/>
              <w:jc w:val="left"/>
              <w:rPr>
                <w:rFonts w:ascii="宋体" w:hAnsi="宋体"/>
                <w:bCs/>
                <w:kern w:val="2"/>
              </w:rPr>
            </w:pPr>
            <w:r>
              <w:rPr>
                <w:rFonts w:hint="eastAsia" w:ascii="宋体" w:hAnsi="宋体"/>
                <w:bCs/>
                <w:kern w:val="2"/>
              </w:rPr>
              <w:t>（一）评分内容：拟安排项目主要团队成员为投标单位员工（以社保为准），否则该人员情况不计分。</w:t>
            </w:r>
          </w:p>
          <w:p>
            <w:pPr>
              <w:widowControl w:val="0"/>
              <w:autoSpaceDE w:val="0"/>
              <w:autoSpaceDN w:val="0"/>
              <w:adjustRightInd w:val="0"/>
              <w:spacing w:line="360" w:lineRule="exact"/>
              <w:jc w:val="left"/>
              <w:rPr>
                <w:rFonts w:ascii="宋体" w:hAnsi="宋体"/>
                <w:bCs/>
                <w:kern w:val="2"/>
              </w:rPr>
            </w:pPr>
            <w:r>
              <w:rPr>
                <w:rFonts w:hint="eastAsia" w:ascii="宋体" w:hAnsi="宋体"/>
                <w:bCs/>
                <w:kern w:val="2"/>
              </w:rPr>
              <w:t>1.项目团队至少7人及以上，岗位分明，该项满足得1分。</w:t>
            </w:r>
          </w:p>
          <w:p>
            <w:pPr>
              <w:widowControl w:val="0"/>
              <w:autoSpaceDE w:val="0"/>
              <w:autoSpaceDN w:val="0"/>
              <w:adjustRightInd w:val="0"/>
              <w:spacing w:line="360" w:lineRule="exact"/>
              <w:jc w:val="left"/>
              <w:rPr>
                <w:rFonts w:ascii="宋体" w:hAnsi="宋体"/>
                <w:bCs/>
                <w:kern w:val="2"/>
              </w:rPr>
            </w:pPr>
            <w:r>
              <w:rPr>
                <w:rFonts w:hint="eastAsia" w:ascii="宋体" w:hAnsi="宋体"/>
                <w:bCs/>
                <w:kern w:val="2"/>
              </w:rPr>
              <w:t>2.成员中至少有1人具备PMP（项目管理）资质，每增加1人得1分，完全满足得2分。</w:t>
            </w:r>
          </w:p>
          <w:p>
            <w:pPr>
              <w:widowControl w:val="0"/>
              <w:autoSpaceDE w:val="0"/>
              <w:autoSpaceDN w:val="0"/>
              <w:adjustRightInd w:val="0"/>
              <w:spacing w:line="360" w:lineRule="exact"/>
              <w:jc w:val="left"/>
              <w:rPr>
                <w:rFonts w:ascii="宋体" w:hAnsi="宋体"/>
                <w:bCs/>
                <w:kern w:val="2"/>
              </w:rPr>
            </w:pPr>
            <w:r>
              <w:rPr>
                <w:rFonts w:hint="eastAsia" w:ascii="宋体" w:hAnsi="宋体"/>
                <w:bCs/>
                <w:kern w:val="2"/>
              </w:rPr>
              <w:t>3.成员中至少有1人拥有高级信息系统项目管理师证书，该项满足得1分。</w:t>
            </w:r>
          </w:p>
          <w:p>
            <w:pPr>
              <w:widowControl w:val="0"/>
              <w:autoSpaceDE w:val="0"/>
              <w:autoSpaceDN w:val="0"/>
              <w:adjustRightInd w:val="0"/>
              <w:spacing w:line="360" w:lineRule="exact"/>
              <w:jc w:val="left"/>
              <w:rPr>
                <w:rFonts w:ascii="宋体" w:hAnsi="宋体"/>
                <w:bCs/>
                <w:kern w:val="2"/>
              </w:rPr>
            </w:pPr>
            <w:r>
              <w:rPr>
                <w:rFonts w:hint="eastAsia" w:ascii="宋体" w:hAnsi="宋体"/>
                <w:bCs/>
                <w:kern w:val="2"/>
              </w:rPr>
              <w:t>4.成员中至少有1人拥有中级</w:t>
            </w:r>
            <w:r>
              <w:rPr>
                <w:rFonts w:hint="eastAsia" w:ascii="宋体" w:hAnsi="宋体" w:cs="宋体"/>
              </w:rPr>
              <w:t>系统集成项目管理工程师证书</w:t>
            </w:r>
            <w:r>
              <w:rPr>
                <w:rFonts w:hint="eastAsia" w:ascii="宋体" w:hAnsi="宋体"/>
                <w:bCs/>
                <w:kern w:val="2"/>
              </w:rPr>
              <w:t>，每增加1人加1分，完全满足得3分。</w:t>
            </w:r>
          </w:p>
          <w:p>
            <w:pPr>
              <w:widowControl w:val="0"/>
              <w:autoSpaceDE w:val="0"/>
              <w:autoSpaceDN w:val="0"/>
              <w:adjustRightInd w:val="0"/>
              <w:spacing w:line="360" w:lineRule="exact"/>
              <w:jc w:val="left"/>
              <w:rPr>
                <w:rFonts w:ascii="宋体" w:hAnsi="宋体"/>
                <w:bCs/>
                <w:kern w:val="2"/>
              </w:rPr>
            </w:pPr>
            <w:r>
              <w:rPr>
                <w:rFonts w:hint="eastAsia" w:ascii="宋体" w:hAnsi="宋体"/>
                <w:bCs/>
                <w:kern w:val="2"/>
              </w:rPr>
              <w:t>6.成员中至少有2人具有人社部网络信息分析师岗位培训考核（CETTIC）证书，每增加1人得1分，完全满足得3分。</w:t>
            </w:r>
          </w:p>
          <w:p>
            <w:pPr>
              <w:widowControl w:val="0"/>
              <w:autoSpaceDE w:val="0"/>
              <w:autoSpaceDN w:val="0"/>
              <w:adjustRightInd w:val="0"/>
              <w:spacing w:line="360" w:lineRule="exact"/>
              <w:jc w:val="left"/>
              <w:rPr>
                <w:rFonts w:ascii="宋体" w:hAnsi="宋体"/>
                <w:bCs/>
                <w:kern w:val="2"/>
              </w:rPr>
            </w:pPr>
            <w:r>
              <w:rPr>
                <w:rFonts w:hint="eastAsia" w:ascii="宋体" w:hAnsi="宋体"/>
                <w:bCs/>
                <w:kern w:val="2"/>
              </w:rPr>
              <w:t>（二）评分依据：</w:t>
            </w:r>
          </w:p>
          <w:p>
            <w:pPr>
              <w:widowControl w:val="0"/>
              <w:autoSpaceDE w:val="0"/>
              <w:autoSpaceDN w:val="0"/>
              <w:adjustRightInd w:val="0"/>
              <w:spacing w:line="360" w:lineRule="exact"/>
              <w:jc w:val="left"/>
              <w:rPr>
                <w:rFonts w:ascii="宋体" w:hAnsi="宋体"/>
                <w:bCs/>
                <w:kern w:val="2"/>
              </w:rPr>
            </w:pPr>
            <w:r>
              <w:rPr>
                <w:rFonts w:hint="eastAsia" w:ascii="宋体" w:hAnsi="宋体"/>
                <w:bCs/>
                <w:kern w:val="2"/>
              </w:rPr>
              <w:t>1. 要求提供通过投标人缴纳的近半年内连续三个月的社保证明作为本单位员工的证明依据。</w:t>
            </w:r>
          </w:p>
          <w:p>
            <w:pPr>
              <w:widowControl w:val="0"/>
              <w:autoSpaceDE w:val="0"/>
              <w:autoSpaceDN w:val="0"/>
              <w:adjustRightInd w:val="0"/>
              <w:spacing w:line="360" w:lineRule="exact"/>
              <w:jc w:val="left"/>
              <w:rPr>
                <w:rFonts w:ascii="宋体" w:hAnsi="宋体"/>
                <w:bCs/>
                <w:kern w:val="2"/>
              </w:rPr>
            </w:pPr>
            <w:r>
              <w:rPr>
                <w:rFonts w:hint="eastAsia" w:ascii="宋体" w:hAnsi="宋体"/>
                <w:bCs/>
                <w:kern w:val="2"/>
              </w:rPr>
              <w:t>2.要求提供投标人相关证明资料作为得分依据。</w:t>
            </w:r>
          </w:p>
          <w:p>
            <w:pPr>
              <w:widowControl w:val="0"/>
              <w:autoSpaceDE w:val="0"/>
              <w:autoSpaceDN w:val="0"/>
              <w:adjustRightInd w:val="0"/>
              <w:spacing w:line="360" w:lineRule="exact"/>
              <w:jc w:val="left"/>
              <w:rPr>
                <w:rFonts w:ascii="宋体" w:hAnsi="宋体"/>
                <w:kern w:val="2"/>
              </w:rPr>
            </w:pPr>
            <w:r>
              <w:rPr>
                <w:rFonts w:hint="eastAsia" w:ascii="宋体" w:hAnsi="宋体"/>
                <w:bCs/>
                <w:kern w:val="2"/>
              </w:rPr>
              <w:t>3.以上资料均要求提供扫描件（或官方网站截图），原件备查。评分中出现无证明资料或专家无法凭所提供资料判断是否得分的情况，一律作不得分处理。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676" w:type="dxa"/>
            <w:vMerge w:val="restart"/>
            <w:tcBorders>
              <w:top w:val="single" w:color="000000" w:sz="8" w:space="0"/>
              <w:left w:val="single" w:color="000000" w:sz="8" w:space="0"/>
              <w:bottom w:val="single" w:color="000000" w:sz="8" w:space="0"/>
              <w:right w:val="single" w:color="000000" w:sz="8" w:space="0"/>
            </w:tcBorders>
          </w:tcPr>
          <w:p>
            <w:pPr>
              <w:widowControl w:val="0"/>
              <w:wordWrap w:val="0"/>
              <w:jc w:val="center"/>
              <w:rPr>
                <w:rFonts w:ascii="宋体" w:hAnsi="宋体" w:cs="宋体"/>
                <w:b/>
                <w:bCs/>
                <w:color w:val="0000FF"/>
                <w:kern w:val="2"/>
                <w:sz w:val="24"/>
                <w:szCs w:val="24"/>
              </w:rPr>
            </w:pPr>
            <w:r>
              <w:rPr>
                <w:b/>
                <w:bCs/>
                <w:color w:val="0000FF"/>
                <w:kern w:val="2"/>
                <w:szCs w:val="24"/>
              </w:rPr>
              <w:t>3</w:t>
            </w:r>
          </w:p>
        </w:tc>
        <w:tc>
          <w:tcPr>
            <w:tcW w:w="4243" w:type="dxa"/>
            <w:gridSpan w:val="3"/>
            <w:tcBorders>
              <w:top w:val="single" w:color="000000" w:sz="8" w:space="0"/>
              <w:left w:val="single" w:color="000000" w:sz="8" w:space="0"/>
              <w:bottom w:val="single" w:color="000000" w:sz="8" w:space="0"/>
              <w:right w:val="single" w:color="000000" w:sz="8" w:space="0"/>
            </w:tcBorders>
          </w:tcPr>
          <w:p>
            <w:pPr>
              <w:widowControl w:val="0"/>
              <w:wordWrap w:val="0"/>
              <w:jc w:val="center"/>
              <w:rPr>
                <w:rFonts w:ascii="宋体" w:hAnsi="宋体" w:cs="宋体"/>
                <w:b/>
                <w:bCs/>
                <w:color w:val="0000FF"/>
                <w:kern w:val="2"/>
                <w:sz w:val="24"/>
                <w:szCs w:val="24"/>
              </w:rPr>
            </w:pPr>
            <w:r>
              <w:rPr>
                <w:b/>
                <w:bCs/>
                <w:color w:val="0000FF"/>
                <w:kern w:val="2"/>
                <w:szCs w:val="24"/>
              </w:rPr>
              <w:t>综合实力</w:t>
            </w:r>
          </w:p>
        </w:tc>
        <w:tc>
          <w:tcPr>
            <w:tcW w:w="4153" w:type="dxa"/>
            <w:tcBorders>
              <w:top w:val="single" w:color="000000" w:sz="8" w:space="0"/>
              <w:left w:val="single" w:color="000000" w:sz="8" w:space="0"/>
              <w:bottom w:val="single" w:color="000000" w:sz="8" w:space="0"/>
              <w:right w:val="single" w:color="000000" w:sz="8" w:space="0"/>
            </w:tcBorders>
          </w:tcPr>
          <w:p>
            <w:pPr>
              <w:widowControl w:val="0"/>
              <w:wordWrap w:val="0"/>
              <w:jc w:val="center"/>
              <w:rPr>
                <w:rFonts w:ascii="宋体" w:hAnsi="宋体" w:cs="宋体"/>
                <w:b/>
                <w:bCs/>
                <w:color w:val="0000FF"/>
                <w:kern w:val="2"/>
                <w:sz w:val="24"/>
                <w:szCs w:val="24"/>
              </w:rPr>
            </w:pPr>
            <w:r>
              <w:rPr>
                <w:rFonts w:hint="eastAsia" w:ascii="宋体" w:hAnsi="宋体"/>
                <w:kern w:val="2"/>
              </w:rPr>
              <w:t>30</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0" w:type="auto"/>
            <w:vMerge w:val="continue"/>
            <w:tcBorders>
              <w:top w:val="single" w:color="000000" w:sz="8" w:space="0"/>
              <w:left w:val="single" w:color="000000" w:sz="8" w:space="0"/>
              <w:bottom w:val="single" w:color="000000" w:sz="8" w:space="0"/>
              <w:right w:val="single" w:color="000000" w:sz="8" w:space="0"/>
            </w:tcBorders>
            <w:vAlign w:val="center"/>
          </w:tcPr>
          <w:p>
            <w:pPr>
              <w:widowControl w:val="0"/>
              <w:rPr>
                <w:rFonts w:ascii="宋体" w:hAnsi="宋体" w:cs="宋体"/>
                <w:b/>
                <w:bCs/>
                <w:color w:val="0000FF"/>
                <w:kern w:val="2"/>
                <w:sz w:val="24"/>
                <w:szCs w:val="24"/>
              </w:rPr>
            </w:pPr>
          </w:p>
        </w:tc>
        <w:tc>
          <w:tcPr>
            <w:tcW w:w="8396" w:type="dxa"/>
            <w:gridSpan w:val="4"/>
            <w:tcBorders>
              <w:top w:val="single" w:color="000000" w:sz="8" w:space="0"/>
              <w:left w:val="single" w:color="000000" w:sz="8" w:space="0"/>
              <w:bottom w:val="single" w:color="000000" w:sz="8" w:space="0"/>
              <w:right w:val="single" w:color="000000" w:sz="8" w:space="0"/>
            </w:tcBorders>
          </w:tcPr>
          <w:p>
            <w:pPr>
              <w:widowControl w:val="0"/>
              <w:wordWrap w:val="0"/>
              <w:rPr>
                <w:rFonts w:ascii="宋体" w:hAnsi="宋体" w:cs="宋体"/>
                <w:kern w:val="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0" w:type="auto"/>
            <w:vMerge w:val="continue"/>
            <w:tcBorders>
              <w:top w:val="single" w:color="000000" w:sz="8" w:space="0"/>
              <w:left w:val="single" w:color="000000" w:sz="8" w:space="0"/>
              <w:bottom w:val="single" w:color="000000" w:sz="8" w:space="0"/>
              <w:right w:val="single" w:color="000000" w:sz="8" w:space="0"/>
            </w:tcBorders>
            <w:shd w:val="clear" w:color="auto" w:fill="E6EFFA"/>
            <w:vAlign w:val="center"/>
          </w:tcPr>
          <w:p>
            <w:pPr>
              <w:widowControl w:val="0"/>
              <w:rPr>
                <w:rFonts w:ascii="宋体" w:hAnsi="宋体" w:cs="宋体"/>
                <w:b/>
                <w:bCs/>
                <w:color w:val="0000FF"/>
                <w:kern w:val="2"/>
                <w:sz w:val="24"/>
                <w:szCs w:val="24"/>
              </w:rPr>
            </w:pPr>
          </w:p>
        </w:tc>
        <w:tc>
          <w:tcPr>
            <w:tcW w:w="675" w:type="dxa"/>
            <w:tcBorders>
              <w:top w:val="outset" w:color="000000" w:sz="6" w:space="0"/>
              <w:left w:val="outset" w:color="000000" w:sz="6" w:space="0"/>
              <w:bottom w:val="outset" w:color="000000" w:sz="6" w:space="0"/>
              <w:right w:val="outset" w:color="000000" w:sz="6" w:space="0"/>
            </w:tcBorders>
            <w:shd w:val="clear" w:color="auto" w:fill="E6EFFA"/>
            <w:vAlign w:val="center"/>
          </w:tcPr>
          <w:p>
            <w:pPr>
              <w:widowControl w:val="0"/>
              <w:wordWrap w:val="0"/>
              <w:jc w:val="center"/>
              <w:rPr>
                <w:rFonts w:ascii="宋体" w:hAnsi="宋体" w:cs="宋体"/>
                <w:kern w:val="2"/>
              </w:rPr>
            </w:pPr>
            <w:r>
              <w:rPr>
                <w:kern w:val="2"/>
              </w:rPr>
              <w:t>序号</w:t>
            </w:r>
          </w:p>
        </w:tc>
        <w:tc>
          <w:tcPr>
            <w:tcW w:w="2792" w:type="dxa"/>
            <w:tcBorders>
              <w:top w:val="outset" w:color="000000" w:sz="6" w:space="0"/>
              <w:left w:val="outset" w:color="000000" w:sz="6" w:space="0"/>
              <w:bottom w:val="outset" w:color="000000" w:sz="6" w:space="0"/>
              <w:right w:val="outset" w:color="000000" w:sz="6" w:space="0"/>
            </w:tcBorders>
            <w:shd w:val="clear" w:color="auto" w:fill="E6EFFA"/>
            <w:vAlign w:val="center"/>
          </w:tcPr>
          <w:p>
            <w:pPr>
              <w:widowControl w:val="0"/>
              <w:wordWrap w:val="0"/>
              <w:jc w:val="center"/>
              <w:rPr>
                <w:rFonts w:ascii="宋体" w:hAnsi="宋体" w:cs="宋体"/>
                <w:kern w:val="2"/>
              </w:rPr>
            </w:pPr>
            <w:r>
              <w:rPr>
                <w:kern w:val="2"/>
              </w:rPr>
              <w:t>评分因素</w:t>
            </w:r>
          </w:p>
        </w:tc>
        <w:tc>
          <w:tcPr>
            <w:tcW w:w="776" w:type="dxa"/>
            <w:tcBorders>
              <w:top w:val="outset" w:color="000000" w:sz="6" w:space="0"/>
              <w:left w:val="outset" w:color="000000" w:sz="6" w:space="0"/>
              <w:bottom w:val="outset" w:color="000000" w:sz="6" w:space="0"/>
              <w:right w:val="outset" w:color="000000" w:sz="6" w:space="0"/>
            </w:tcBorders>
            <w:shd w:val="clear" w:color="auto" w:fill="E6EFFA"/>
            <w:vAlign w:val="center"/>
          </w:tcPr>
          <w:p>
            <w:pPr>
              <w:widowControl w:val="0"/>
              <w:wordWrap w:val="0"/>
              <w:jc w:val="center"/>
              <w:rPr>
                <w:rFonts w:ascii="宋体" w:hAnsi="宋体" w:cs="宋体"/>
                <w:kern w:val="2"/>
              </w:rPr>
            </w:pPr>
            <w:r>
              <w:rPr>
                <w:kern w:val="2"/>
              </w:rPr>
              <w:t>权重(%)</w:t>
            </w:r>
          </w:p>
        </w:tc>
        <w:tc>
          <w:tcPr>
            <w:tcW w:w="4153" w:type="dxa"/>
            <w:tcBorders>
              <w:top w:val="outset" w:color="000000" w:sz="6" w:space="0"/>
              <w:left w:val="outset" w:color="000000" w:sz="6" w:space="0"/>
              <w:bottom w:val="outset" w:color="000000" w:sz="6" w:space="0"/>
              <w:right w:val="outset" w:color="000000" w:sz="6" w:space="0"/>
            </w:tcBorders>
            <w:shd w:val="clear" w:color="auto" w:fill="E6EFFA"/>
            <w:vAlign w:val="center"/>
          </w:tcPr>
          <w:p>
            <w:pPr>
              <w:widowControl w:val="0"/>
              <w:wordWrap w:val="0"/>
              <w:jc w:val="center"/>
              <w:rPr>
                <w:rFonts w:ascii="宋体" w:hAnsi="宋体" w:cs="宋体"/>
                <w:kern w:val="2"/>
              </w:rPr>
            </w:pPr>
            <w:r>
              <w:rPr>
                <w:kern w:val="2"/>
              </w:rPr>
              <w:t>评分准则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0" w:type="auto"/>
            <w:vMerge w:val="continue"/>
            <w:tcBorders>
              <w:top w:val="single" w:color="000000" w:sz="8" w:space="0"/>
              <w:left w:val="single" w:color="000000" w:sz="8" w:space="0"/>
              <w:bottom w:val="single" w:color="000000" w:sz="8" w:space="0"/>
              <w:right w:val="single" w:color="000000" w:sz="8" w:space="0"/>
            </w:tcBorders>
            <w:vAlign w:val="center"/>
          </w:tcPr>
          <w:p>
            <w:pPr>
              <w:widowControl w:val="0"/>
              <w:rPr>
                <w:rFonts w:ascii="宋体" w:hAnsi="宋体" w:cs="宋体"/>
                <w:b/>
                <w:bCs/>
                <w:color w:val="0000FF"/>
                <w:kern w:val="2"/>
                <w:sz w:val="24"/>
                <w:szCs w:val="24"/>
              </w:rPr>
            </w:pPr>
          </w:p>
        </w:tc>
        <w:tc>
          <w:tcPr>
            <w:tcW w:w="675" w:type="dxa"/>
            <w:tcBorders>
              <w:top w:val="single" w:color="000000" w:sz="8" w:space="0"/>
              <w:left w:val="single" w:color="000000" w:sz="8" w:space="0"/>
              <w:bottom w:val="single" w:color="000000" w:sz="8" w:space="0"/>
              <w:right w:val="single" w:color="000000" w:sz="8" w:space="0"/>
            </w:tcBorders>
            <w:vAlign w:val="center"/>
          </w:tcPr>
          <w:p>
            <w:pPr>
              <w:widowControl w:val="0"/>
              <w:wordWrap w:val="0"/>
              <w:jc w:val="center"/>
              <w:rPr>
                <w:rFonts w:ascii="宋体" w:hAnsi="宋体" w:cs="宋体"/>
                <w:kern w:val="2"/>
              </w:rPr>
            </w:pPr>
            <w:r>
              <w:rPr>
                <w:rFonts w:ascii="宋体" w:hAnsi="宋体"/>
                <w:kern w:val="2"/>
              </w:rPr>
              <w:t>1</w:t>
            </w:r>
          </w:p>
        </w:tc>
        <w:tc>
          <w:tcPr>
            <w:tcW w:w="2792" w:type="dxa"/>
            <w:tcBorders>
              <w:top w:val="single" w:color="000000" w:sz="8" w:space="0"/>
              <w:left w:val="single" w:color="000000" w:sz="8" w:space="0"/>
              <w:bottom w:val="single" w:color="000000" w:sz="8" w:space="0"/>
              <w:right w:val="single" w:color="000000" w:sz="8" w:space="0"/>
            </w:tcBorders>
            <w:vAlign w:val="center"/>
          </w:tcPr>
          <w:p>
            <w:pPr>
              <w:widowControl w:val="0"/>
              <w:wordWrap w:val="0"/>
              <w:jc w:val="center"/>
              <w:rPr>
                <w:rFonts w:ascii="宋体" w:hAnsi="宋体" w:cs="宋体"/>
                <w:kern w:val="2"/>
              </w:rPr>
            </w:pPr>
            <w:r>
              <w:rPr>
                <w:rFonts w:hint="eastAsia" w:ascii="宋体" w:hAnsi="宋体"/>
                <w:kern w:val="2"/>
              </w:rPr>
              <w:t>供应商资格（资质、认证）情况</w:t>
            </w:r>
          </w:p>
        </w:tc>
        <w:tc>
          <w:tcPr>
            <w:tcW w:w="776" w:type="dxa"/>
            <w:tcBorders>
              <w:top w:val="single" w:color="000000" w:sz="8" w:space="0"/>
              <w:left w:val="single" w:color="000000" w:sz="8" w:space="0"/>
              <w:bottom w:val="single" w:color="000000" w:sz="8" w:space="0"/>
              <w:right w:val="single" w:color="000000" w:sz="8" w:space="0"/>
            </w:tcBorders>
            <w:vAlign w:val="center"/>
          </w:tcPr>
          <w:p>
            <w:pPr>
              <w:widowControl w:val="0"/>
              <w:wordWrap w:val="0"/>
              <w:jc w:val="center"/>
              <w:rPr>
                <w:rFonts w:ascii="宋体" w:hAnsi="宋体" w:cs="宋体"/>
                <w:kern w:val="2"/>
              </w:rPr>
            </w:pPr>
            <w:r>
              <w:rPr>
                <w:rFonts w:hint="eastAsia" w:ascii="宋体" w:hAnsi="宋体"/>
                <w:kern w:val="2"/>
              </w:rPr>
              <w:t>6</w:t>
            </w:r>
          </w:p>
        </w:tc>
        <w:tc>
          <w:tcPr>
            <w:tcW w:w="4153" w:type="dxa"/>
            <w:tcBorders>
              <w:top w:val="single" w:color="000000" w:sz="8" w:space="0"/>
              <w:left w:val="single" w:color="000000" w:sz="8" w:space="0"/>
              <w:bottom w:val="single" w:color="000000" w:sz="8" w:space="0"/>
              <w:right w:val="single" w:color="000000" w:sz="8" w:space="0"/>
            </w:tcBorders>
          </w:tcPr>
          <w:p>
            <w:pPr>
              <w:widowControl w:val="0"/>
              <w:autoSpaceDE w:val="0"/>
              <w:autoSpaceDN w:val="0"/>
              <w:adjustRightInd w:val="0"/>
              <w:spacing w:line="360" w:lineRule="exact"/>
              <w:jc w:val="left"/>
              <w:rPr>
                <w:rFonts w:ascii="宋体" w:hAnsi="宋体"/>
                <w:kern w:val="2"/>
              </w:rPr>
            </w:pPr>
            <w:r>
              <w:rPr>
                <w:rFonts w:hint="eastAsia" w:ascii="宋体" w:hAnsi="宋体"/>
                <w:kern w:val="2"/>
              </w:rPr>
              <w:t>（一）评分内容：</w:t>
            </w:r>
          </w:p>
          <w:p>
            <w:pPr>
              <w:widowControl w:val="0"/>
              <w:autoSpaceDE w:val="0"/>
              <w:autoSpaceDN w:val="0"/>
              <w:adjustRightInd w:val="0"/>
              <w:spacing w:line="360" w:lineRule="exact"/>
              <w:jc w:val="left"/>
              <w:rPr>
                <w:rFonts w:ascii="宋体" w:hAnsi="宋体"/>
                <w:kern w:val="2"/>
              </w:rPr>
            </w:pPr>
            <w:r>
              <w:rPr>
                <w:rFonts w:hint="eastAsia" w:ascii="宋体" w:hAnsi="宋体"/>
                <w:kern w:val="2"/>
              </w:rPr>
              <w:t>1.投标人具有ISO9001质量管理体系认证证书，得1分；</w:t>
            </w:r>
          </w:p>
          <w:p>
            <w:pPr>
              <w:widowControl w:val="0"/>
              <w:autoSpaceDE w:val="0"/>
              <w:autoSpaceDN w:val="0"/>
              <w:adjustRightInd w:val="0"/>
              <w:spacing w:line="360" w:lineRule="exact"/>
              <w:jc w:val="left"/>
              <w:rPr>
                <w:rFonts w:ascii="宋体" w:hAnsi="宋体"/>
                <w:kern w:val="2"/>
              </w:rPr>
            </w:pPr>
            <w:r>
              <w:rPr>
                <w:rFonts w:hint="eastAsia" w:ascii="宋体" w:hAnsi="宋体"/>
                <w:kern w:val="2"/>
              </w:rPr>
              <w:t>2.投标人具有ISO20000信息技术服务管理体系认证证书，得1分；</w:t>
            </w:r>
          </w:p>
          <w:p>
            <w:pPr>
              <w:widowControl w:val="0"/>
              <w:autoSpaceDE w:val="0"/>
              <w:autoSpaceDN w:val="0"/>
              <w:adjustRightInd w:val="0"/>
              <w:spacing w:line="360" w:lineRule="exact"/>
              <w:jc w:val="left"/>
              <w:rPr>
                <w:rFonts w:ascii="宋体" w:hAnsi="宋体"/>
                <w:kern w:val="2"/>
              </w:rPr>
            </w:pPr>
            <w:r>
              <w:rPr>
                <w:rFonts w:hint="eastAsia" w:ascii="宋体" w:hAnsi="宋体"/>
                <w:kern w:val="2"/>
              </w:rPr>
              <w:t>3.投标人被纳入所在地重点互联网党建企业名目的，得2分；</w:t>
            </w:r>
          </w:p>
          <w:p>
            <w:pPr>
              <w:widowControl w:val="0"/>
              <w:autoSpaceDE w:val="0"/>
              <w:autoSpaceDN w:val="0"/>
              <w:adjustRightInd w:val="0"/>
              <w:spacing w:line="360" w:lineRule="exact"/>
              <w:jc w:val="left"/>
              <w:rPr>
                <w:rFonts w:ascii="宋体" w:hAnsi="宋体"/>
                <w:kern w:val="2"/>
              </w:rPr>
            </w:pPr>
            <w:r>
              <w:rPr>
                <w:rFonts w:hint="eastAsia" w:ascii="宋体" w:hAnsi="宋体"/>
                <w:kern w:val="2"/>
              </w:rPr>
              <w:t>4.投标人具有省级及以上专精特新企业认证，得2分；</w:t>
            </w:r>
          </w:p>
          <w:p>
            <w:pPr>
              <w:widowControl w:val="0"/>
              <w:autoSpaceDE w:val="0"/>
              <w:autoSpaceDN w:val="0"/>
              <w:adjustRightInd w:val="0"/>
              <w:spacing w:line="360" w:lineRule="exact"/>
              <w:jc w:val="left"/>
              <w:rPr>
                <w:rFonts w:ascii="宋体" w:hAnsi="宋体"/>
                <w:kern w:val="2"/>
              </w:rPr>
            </w:pPr>
            <w:r>
              <w:rPr>
                <w:rFonts w:hint="eastAsia" w:ascii="宋体" w:hAnsi="宋体"/>
                <w:kern w:val="2"/>
              </w:rPr>
              <w:t>以上合计最高得分6分，不提供不得分。</w:t>
            </w:r>
          </w:p>
          <w:p>
            <w:pPr>
              <w:widowControl w:val="0"/>
              <w:autoSpaceDE w:val="0"/>
              <w:autoSpaceDN w:val="0"/>
              <w:adjustRightInd w:val="0"/>
              <w:spacing w:line="360" w:lineRule="exact"/>
              <w:jc w:val="left"/>
              <w:rPr>
                <w:rFonts w:ascii="宋体" w:hAnsi="宋体"/>
                <w:kern w:val="2"/>
              </w:rPr>
            </w:pPr>
            <w:r>
              <w:rPr>
                <w:rFonts w:hint="eastAsia" w:ascii="宋体" w:hAnsi="宋体"/>
                <w:kern w:val="2"/>
              </w:rPr>
              <w:t>（二）评分依据：</w:t>
            </w:r>
          </w:p>
          <w:p>
            <w:pPr>
              <w:widowControl w:val="0"/>
              <w:autoSpaceDE w:val="0"/>
              <w:autoSpaceDN w:val="0"/>
              <w:adjustRightInd w:val="0"/>
              <w:spacing w:line="360" w:lineRule="exact"/>
              <w:jc w:val="left"/>
              <w:rPr>
                <w:rFonts w:ascii="宋体" w:hAnsi="宋体"/>
                <w:kern w:val="2"/>
              </w:rPr>
            </w:pPr>
            <w:r>
              <w:rPr>
                <w:rFonts w:hint="eastAsia" w:ascii="宋体" w:hAnsi="宋体"/>
                <w:kern w:val="2"/>
              </w:rPr>
              <w:t>1.要求提供有效的认证证书作为得分依据。</w:t>
            </w:r>
          </w:p>
          <w:p>
            <w:pPr>
              <w:widowControl w:val="0"/>
              <w:autoSpaceDE w:val="0"/>
              <w:autoSpaceDN w:val="0"/>
              <w:adjustRightInd w:val="0"/>
              <w:spacing w:line="360" w:lineRule="exact"/>
              <w:jc w:val="left"/>
              <w:rPr>
                <w:kern w:val="2"/>
              </w:rPr>
            </w:pPr>
            <w:r>
              <w:rPr>
                <w:rFonts w:hint="eastAsia" w:ascii="宋体" w:hAnsi="宋体"/>
                <w:kern w:val="2"/>
              </w:rPr>
              <w:t>2.以上资料均要求提供扫描件（或官方网站截图），原件备查。评分中出现无证明资料或专家无法凭所提供资料判断是否得分的情况，一律作不得分处理。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trHeight w:val="559" w:hRule="atLeast"/>
          <w:jc w:val="center"/>
        </w:trPr>
        <w:tc>
          <w:tcPr>
            <w:tcW w:w="0" w:type="auto"/>
            <w:vMerge w:val="continue"/>
            <w:tcBorders>
              <w:top w:val="single" w:color="000000" w:sz="8" w:space="0"/>
              <w:left w:val="single" w:color="000000" w:sz="8" w:space="0"/>
              <w:bottom w:val="single" w:color="000000" w:sz="8" w:space="0"/>
              <w:right w:val="single" w:color="000000" w:sz="8" w:space="0"/>
            </w:tcBorders>
            <w:vAlign w:val="center"/>
          </w:tcPr>
          <w:p>
            <w:pPr>
              <w:widowControl w:val="0"/>
              <w:rPr>
                <w:rFonts w:ascii="宋体" w:hAnsi="宋体" w:cs="宋体"/>
                <w:b/>
                <w:bCs/>
                <w:color w:val="0000FF"/>
                <w:kern w:val="2"/>
                <w:sz w:val="24"/>
                <w:szCs w:val="24"/>
              </w:rPr>
            </w:pPr>
          </w:p>
        </w:tc>
        <w:tc>
          <w:tcPr>
            <w:tcW w:w="675" w:type="dxa"/>
            <w:tcBorders>
              <w:top w:val="single" w:color="000000" w:sz="8" w:space="0"/>
              <w:left w:val="single" w:color="000000" w:sz="8" w:space="0"/>
              <w:bottom w:val="single" w:color="000000" w:sz="8" w:space="0"/>
              <w:right w:val="single" w:color="000000" w:sz="8" w:space="0"/>
            </w:tcBorders>
            <w:vAlign w:val="center"/>
          </w:tcPr>
          <w:p>
            <w:pPr>
              <w:widowControl w:val="0"/>
              <w:wordWrap w:val="0"/>
              <w:jc w:val="center"/>
              <w:rPr>
                <w:rFonts w:ascii="宋体" w:hAnsi="宋体" w:cs="宋体"/>
                <w:kern w:val="2"/>
              </w:rPr>
            </w:pPr>
            <w:r>
              <w:rPr>
                <w:rFonts w:hint="eastAsia" w:ascii="宋体" w:hAnsi="宋体"/>
                <w:kern w:val="2"/>
              </w:rPr>
              <w:t>2</w:t>
            </w:r>
          </w:p>
        </w:tc>
        <w:tc>
          <w:tcPr>
            <w:tcW w:w="2792" w:type="dxa"/>
            <w:tcBorders>
              <w:top w:val="single" w:color="000000" w:sz="8" w:space="0"/>
              <w:left w:val="single" w:color="000000" w:sz="8" w:space="0"/>
              <w:bottom w:val="single" w:color="000000" w:sz="8" w:space="0"/>
              <w:right w:val="single" w:color="000000" w:sz="8" w:space="0"/>
            </w:tcBorders>
            <w:vAlign w:val="center"/>
          </w:tcPr>
          <w:p>
            <w:pPr>
              <w:widowControl w:val="0"/>
              <w:wordWrap w:val="0"/>
              <w:jc w:val="center"/>
              <w:rPr>
                <w:rFonts w:ascii="宋体" w:hAnsi="宋体" w:cs="宋体"/>
                <w:kern w:val="2"/>
              </w:rPr>
            </w:pPr>
            <w:r>
              <w:rPr>
                <w:rFonts w:hint="eastAsia" w:ascii="宋体" w:hAnsi="宋体"/>
                <w:kern w:val="2"/>
              </w:rPr>
              <w:t>供应商同类项目业绩情况</w:t>
            </w:r>
          </w:p>
        </w:tc>
        <w:tc>
          <w:tcPr>
            <w:tcW w:w="776" w:type="dxa"/>
            <w:tcBorders>
              <w:top w:val="single" w:color="000000" w:sz="8" w:space="0"/>
              <w:left w:val="single" w:color="000000" w:sz="8" w:space="0"/>
              <w:bottom w:val="single" w:color="000000" w:sz="8" w:space="0"/>
              <w:right w:val="single" w:color="000000" w:sz="8" w:space="0"/>
            </w:tcBorders>
            <w:vAlign w:val="center"/>
          </w:tcPr>
          <w:p>
            <w:pPr>
              <w:widowControl w:val="0"/>
              <w:wordWrap w:val="0"/>
              <w:jc w:val="center"/>
              <w:rPr>
                <w:rFonts w:ascii="宋体" w:hAnsi="宋体" w:cs="宋体"/>
                <w:kern w:val="2"/>
              </w:rPr>
            </w:pPr>
            <w:r>
              <w:rPr>
                <w:rFonts w:hint="eastAsia" w:ascii="宋体" w:hAnsi="宋体"/>
                <w:kern w:val="2"/>
              </w:rPr>
              <w:t>6</w:t>
            </w:r>
          </w:p>
        </w:tc>
        <w:tc>
          <w:tcPr>
            <w:tcW w:w="4153" w:type="dxa"/>
            <w:tcBorders>
              <w:top w:val="single" w:color="000000" w:sz="8" w:space="0"/>
              <w:left w:val="single" w:color="000000" w:sz="8" w:space="0"/>
              <w:bottom w:val="single" w:color="000000" w:sz="8" w:space="0"/>
              <w:right w:val="single" w:color="000000" w:sz="8" w:space="0"/>
            </w:tcBorders>
          </w:tcPr>
          <w:p>
            <w:pPr>
              <w:widowControl w:val="0"/>
              <w:autoSpaceDE w:val="0"/>
              <w:autoSpaceDN w:val="0"/>
              <w:adjustRightInd w:val="0"/>
              <w:spacing w:line="360" w:lineRule="exact"/>
              <w:jc w:val="left"/>
              <w:rPr>
                <w:rFonts w:ascii="宋体" w:hAnsi="宋体"/>
                <w:kern w:val="2"/>
              </w:rPr>
            </w:pPr>
            <w:r>
              <w:rPr>
                <w:rFonts w:hint="eastAsia" w:ascii="宋体" w:hAnsi="宋体"/>
                <w:kern w:val="2"/>
              </w:rPr>
              <w:t>（一）评分内容：</w:t>
            </w:r>
          </w:p>
          <w:p>
            <w:pPr>
              <w:widowControl w:val="0"/>
              <w:autoSpaceDE w:val="0"/>
              <w:autoSpaceDN w:val="0"/>
              <w:adjustRightInd w:val="0"/>
              <w:spacing w:line="360" w:lineRule="exact"/>
              <w:jc w:val="left"/>
              <w:rPr>
                <w:rFonts w:ascii="宋体" w:hAnsi="宋体"/>
                <w:kern w:val="2"/>
              </w:rPr>
            </w:pPr>
            <w:r>
              <w:rPr>
                <w:rFonts w:hint="eastAsia" w:ascii="宋体" w:hAnsi="宋体"/>
                <w:kern w:val="2"/>
              </w:rPr>
              <w:t>投标人近三年（2019年9月至本项目投标截止日前，以证明文件时间为准）承担过政府部门主导的</w:t>
            </w:r>
            <w:r>
              <w:rPr>
                <w:rFonts w:hint="eastAsia" w:ascii="宋体" w:hAnsi="宋体" w:cs="宋体"/>
                <w:color w:val="000000"/>
                <w:kern w:val="2"/>
              </w:rPr>
              <w:t>网络舆情类</w:t>
            </w:r>
            <w:r>
              <w:rPr>
                <w:rFonts w:hint="eastAsia" w:ascii="宋体" w:hAnsi="宋体"/>
                <w:kern w:val="2"/>
              </w:rPr>
              <w:t>项目经验（附业绩案例合同证明材料）的，提供1份得2分，最高得6分，不提供不得分。</w:t>
            </w:r>
          </w:p>
          <w:p>
            <w:pPr>
              <w:widowControl w:val="0"/>
              <w:autoSpaceDE w:val="0"/>
              <w:autoSpaceDN w:val="0"/>
              <w:adjustRightInd w:val="0"/>
              <w:spacing w:line="360" w:lineRule="exact"/>
              <w:jc w:val="left"/>
              <w:rPr>
                <w:rFonts w:ascii="宋体" w:hAnsi="宋体"/>
                <w:kern w:val="2"/>
              </w:rPr>
            </w:pPr>
            <w:r>
              <w:rPr>
                <w:rFonts w:hint="eastAsia" w:ascii="宋体" w:hAnsi="宋体"/>
                <w:kern w:val="2"/>
              </w:rPr>
              <w:t>（二）评分依据：</w:t>
            </w:r>
          </w:p>
          <w:p>
            <w:pPr>
              <w:widowControl w:val="0"/>
              <w:autoSpaceDE w:val="0"/>
              <w:autoSpaceDN w:val="0"/>
              <w:adjustRightInd w:val="0"/>
              <w:spacing w:line="360" w:lineRule="exact"/>
              <w:jc w:val="left"/>
              <w:rPr>
                <w:rFonts w:ascii="宋体" w:hAnsi="宋体"/>
                <w:kern w:val="2"/>
              </w:rPr>
            </w:pPr>
            <w:r>
              <w:rPr>
                <w:rFonts w:hint="eastAsia" w:ascii="宋体" w:hAnsi="宋体"/>
                <w:kern w:val="2"/>
              </w:rPr>
              <w:t>1.要求同时提供合同关键信息和已完成，且履约评价合格或者验收合格证明文件作为得分依据，履约评价合格或者验收合格证明文件需加盖合同甲方公章（或甲方业务章）。</w:t>
            </w:r>
          </w:p>
          <w:p>
            <w:pPr>
              <w:widowControl w:val="0"/>
              <w:autoSpaceDE w:val="0"/>
              <w:autoSpaceDN w:val="0"/>
              <w:adjustRightInd w:val="0"/>
              <w:spacing w:line="360" w:lineRule="exact"/>
              <w:jc w:val="left"/>
              <w:rPr>
                <w:rFonts w:ascii="宋体" w:hAnsi="宋体"/>
                <w:kern w:val="2"/>
              </w:rPr>
            </w:pPr>
            <w:r>
              <w:rPr>
                <w:rFonts w:hint="eastAsia" w:ascii="宋体" w:hAnsi="宋体"/>
                <w:kern w:val="2"/>
              </w:rPr>
              <w:t>2.通过合同关键信息无法判断是否得分的，还须同时提供能证明得分的其它证明资料，如项目报告或合同甲方出具的证明文件等。</w:t>
            </w:r>
          </w:p>
          <w:p>
            <w:pPr>
              <w:widowControl w:val="0"/>
              <w:autoSpaceDE w:val="0"/>
              <w:autoSpaceDN w:val="0"/>
              <w:adjustRightInd w:val="0"/>
              <w:spacing w:line="360" w:lineRule="exact"/>
              <w:jc w:val="left"/>
              <w:rPr>
                <w:kern w:val="2"/>
              </w:rPr>
            </w:pPr>
            <w:r>
              <w:rPr>
                <w:rFonts w:hint="eastAsia" w:ascii="宋体" w:hAnsi="宋体"/>
                <w:kern w:val="2"/>
              </w:rPr>
              <w:t>3.以上资料均要求提供扫描件，原件备查。评分中出现无证明资料或专家无法凭所提供资料判断是否得分的情况，一律作不得分处理。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0" w:type="auto"/>
            <w:vMerge w:val="continue"/>
            <w:tcBorders>
              <w:top w:val="single" w:color="000000" w:sz="8" w:space="0"/>
              <w:left w:val="single" w:color="000000" w:sz="8" w:space="0"/>
              <w:bottom w:val="single" w:color="000000" w:sz="8" w:space="0"/>
              <w:right w:val="single" w:color="000000" w:sz="8" w:space="0"/>
            </w:tcBorders>
            <w:vAlign w:val="center"/>
          </w:tcPr>
          <w:p>
            <w:pPr>
              <w:widowControl w:val="0"/>
              <w:rPr>
                <w:rFonts w:ascii="宋体" w:hAnsi="宋体" w:cs="宋体"/>
                <w:b/>
                <w:bCs/>
                <w:color w:val="0000FF"/>
                <w:kern w:val="2"/>
                <w:sz w:val="24"/>
                <w:szCs w:val="24"/>
              </w:rPr>
            </w:pPr>
          </w:p>
        </w:tc>
        <w:tc>
          <w:tcPr>
            <w:tcW w:w="675" w:type="dxa"/>
            <w:tcBorders>
              <w:top w:val="single" w:color="000000" w:sz="8" w:space="0"/>
              <w:left w:val="single" w:color="000000" w:sz="8" w:space="0"/>
              <w:bottom w:val="single" w:color="000000" w:sz="8" w:space="0"/>
              <w:right w:val="single" w:color="000000" w:sz="8" w:space="0"/>
            </w:tcBorders>
            <w:vAlign w:val="center"/>
          </w:tcPr>
          <w:p>
            <w:pPr>
              <w:widowControl w:val="0"/>
              <w:wordWrap w:val="0"/>
              <w:jc w:val="center"/>
              <w:rPr>
                <w:rFonts w:ascii="宋体" w:hAnsi="宋体" w:cs="宋体"/>
                <w:kern w:val="2"/>
              </w:rPr>
            </w:pPr>
            <w:r>
              <w:rPr>
                <w:rFonts w:hint="eastAsia" w:ascii="宋体" w:hAnsi="宋体"/>
                <w:kern w:val="2"/>
              </w:rPr>
              <w:t>3</w:t>
            </w:r>
          </w:p>
        </w:tc>
        <w:tc>
          <w:tcPr>
            <w:tcW w:w="2792" w:type="dxa"/>
            <w:tcBorders>
              <w:top w:val="single" w:color="000000" w:sz="8" w:space="0"/>
              <w:left w:val="single" w:color="000000" w:sz="8" w:space="0"/>
              <w:bottom w:val="single" w:color="000000" w:sz="8" w:space="0"/>
              <w:right w:val="single" w:color="000000" w:sz="8" w:space="0"/>
            </w:tcBorders>
            <w:vAlign w:val="center"/>
          </w:tcPr>
          <w:p>
            <w:pPr>
              <w:widowControl w:val="0"/>
              <w:wordWrap w:val="0"/>
              <w:jc w:val="center"/>
              <w:rPr>
                <w:rFonts w:ascii="宋体" w:hAnsi="宋体" w:cs="宋体"/>
                <w:kern w:val="2"/>
              </w:rPr>
            </w:pPr>
            <w:r>
              <w:rPr>
                <w:rFonts w:hint="eastAsia" w:ascii="宋体" w:hAnsi="宋体"/>
                <w:kern w:val="2"/>
              </w:rPr>
              <w:t>供应商获奖情况</w:t>
            </w:r>
          </w:p>
        </w:tc>
        <w:tc>
          <w:tcPr>
            <w:tcW w:w="776" w:type="dxa"/>
            <w:tcBorders>
              <w:top w:val="single" w:color="000000" w:sz="8" w:space="0"/>
              <w:left w:val="single" w:color="000000" w:sz="8" w:space="0"/>
              <w:bottom w:val="single" w:color="000000" w:sz="8" w:space="0"/>
              <w:right w:val="single" w:color="000000" w:sz="8" w:space="0"/>
            </w:tcBorders>
            <w:vAlign w:val="center"/>
          </w:tcPr>
          <w:p>
            <w:pPr>
              <w:widowControl w:val="0"/>
              <w:wordWrap w:val="0"/>
              <w:jc w:val="center"/>
              <w:rPr>
                <w:rFonts w:ascii="宋体" w:hAnsi="宋体" w:cs="宋体"/>
                <w:kern w:val="2"/>
              </w:rPr>
            </w:pPr>
            <w:r>
              <w:rPr>
                <w:rFonts w:ascii="宋体" w:hAnsi="宋体"/>
                <w:kern w:val="2"/>
              </w:rPr>
              <w:t>5</w:t>
            </w:r>
          </w:p>
        </w:tc>
        <w:tc>
          <w:tcPr>
            <w:tcW w:w="4153" w:type="dxa"/>
            <w:tcBorders>
              <w:top w:val="single" w:color="000000" w:sz="8" w:space="0"/>
              <w:left w:val="single" w:color="000000" w:sz="8" w:space="0"/>
              <w:bottom w:val="single" w:color="000000" w:sz="8" w:space="0"/>
              <w:right w:val="single" w:color="000000" w:sz="8" w:space="0"/>
            </w:tcBorders>
          </w:tcPr>
          <w:p>
            <w:pPr>
              <w:widowControl w:val="0"/>
              <w:autoSpaceDE w:val="0"/>
              <w:autoSpaceDN w:val="0"/>
              <w:adjustRightInd w:val="0"/>
              <w:spacing w:line="360" w:lineRule="exact"/>
              <w:jc w:val="left"/>
              <w:rPr>
                <w:rFonts w:ascii="宋体" w:hAnsi="宋体"/>
                <w:kern w:val="2"/>
              </w:rPr>
            </w:pPr>
            <w:r>
              <w:rPr>
                <w:rFonts w:hint="eastAsia" w:ascii="宋体" w:hAnsi="宋体"/>
                <w:kern w:val="2"/>
              </w:rPr>
              <w:t>（一）评分内容：</w:t>
            </w:r>
          </w:p>
          <w:p>
            <w:pPr>
              <w:widowControl w:val="0"/>
              <w:autoSpaceDE w:val="0"/>
              <w:autoSpaceDN w:val="0"/>
              <w:adjustRightInd w:val="0"/>
              <w:spacing w:line="360" w:lineRule="exact"/>
              <w:jc w:val="left"/>
              <w:rPr>
                <w:rFonts w:ascii="宋体" w:hAnsi="宋体"/>
                <w:kern w:val="2"/>
              </w:rPr>
            </w:pPr>
            <w:r>
              <w:rPr>
                <w:rFonts w:hint="eastAsia" w:ascii="宋体" w:hAnsi="宋体"/>
                <w:kern w:val="2"/>
              </w:rPr>
              <w:t>1.投标人近三年获得市级及以上网络应急优秀支撑单位荣誉的得2分；</w:t>
            </w:r>
          </w:p>
          <w:p>
            <w:pPr>
              <w:widowControl w:val="0"/>
              <w:autoSpaceDE w:val="0"/>
              <w:autoSpaceDN w:val="0"/>
              <w:adjustRightInd w:val="0"/>
              <w:spacing w:line="360" w:lineRule="exact"/>
              <w:jc w:val="left"/>
              <w:rPr>
                <w:rFonts w:ascii="宋体" w:hAnsi="宋体"/>
                <w:kern w:val="2"/>
              </w:rPr>
            </w:pPr>
            <w:r>
              <w:rPr>
                <w:rFonts w:hint="eastAsia" w:ascii="宋体" w:hAnsi="宋体"/>
                <w:kern w:val="2"/>
              </w:rPr>
              <w:t>2.投标人近三年获得市级及以上党政信息工作先进单位荣誉的得2分；</w:t>
            </w:r>
          </w:p>
          <w:p>
            <w:pPr>
              <w:widowControl w:val="0"/>
              <w:autoSpaceDE w:val="0"/>
              <w:autoSpaceDN w:val="0"/>
              <w:adjustRightInd w:val="0"/>
              <w:spacing w:line="360" w:lineRule="exact"/>
              <w:jc w:val="left"/>
              <w:rPr>
                <w:rFonts w:ascii="宋体" w:hAnsi="宋体"/>
                <w:kern w:val="2"/>
              </w:rPr>
            </w:pPr>
            <w:r>
              <w:rPr>
                <w:rFonts w:hint="eastAsia" w:ascii="宋体" w:hAnsi="宋体"/>
                <w:kern w:val="2"/>
              </w:rPr>
              <w:t>3.投标人单位成员近三年获得市级及以上党政信息工作先进个人得1分。</w:t>
            </w:r>
          </w:p>
          <w:p>
            <w:pPr>
              <w:widowControl w:val="0"/>
              <w:autoSpaceDE w:val="0"/>
              <w:autoSpaceDN w:val="0"/>
              <w:adjustRightInd w:val="0"/>
              <w:spacing w:line="360" w:lineRule="exact"/>
              <w:jc w:val="left"/>
              <w:rPr>
                <w:rFonts w:ascii="宋体" w:hAnsi="宋体"/>
                <w:kern w:val="2"/>
              </w:rPr>
            </w:pPr>
            <w:r>
              <w:rPr>
                <w:rFonts w:hint="eastAsia" w:ascii="宋体" w:hAnsi="宋体"/>
                <w:kern w:val="2"/>
              </w:rPr>
              <w:t>（二）评分依据：</w:t>
            </w:r>
          </w:p>
          <w:p>
            <w:pPr>
              <w:widowControl w:val="0"/>
              <w:autoSpaceDE w:val="0"/>
              <w:autoSpaceDN w:val="0"/>
              <w:adjustRightInd w:val="0"/>
              <w:spacing w:line="360" w:lineRule="exact"/>
              <w:jc w:val="left"/>
              <w:rPr>
                <w:rFonts w:ascii="宋体" w:hAnsi="宋体"/>
                <w:kern w:val="2"/>
              </w:rPr>
            </w:pPr>
            <w:r>
              <w:rPr>
                <w:rFonts w:hint="eastAsia" w:ascii="宋体" w:hAnsi="宋体"/>
                <w:kern w:val="2"/>
              </w:rPr>
              <w:t>1.要求提供奖项照片或获奖（荣誉）证书等证明材料作为得分依据。</w:t>
            </w:r>
          </w:p>
          <w:p>
            <w:pPr>
              <w:widowControl w:val="0"/>
              <w:autoSpaceDE w:val="0"/>
              <w:autoSpaceDN w:val="0"/>
              <w:adjustRightInd w:val="0"/>
              <w:spacing w:line="360" w:lineRule="exact"/>
              <w:jc w:val="left"/>
              <w:rPr>
                <w:kern w:val="2"/>
              </w:rPr>
            </w:pPr>
            <w:r>
              <w:rPr>
                <w:rFonts w:hint="eastAsia" w:ascii="宋体" w:hAnsi="宋体"/>
                <w:kern w:val="2"/>
              </w:rPr>
              <w:t>2.以上资料均要求提供扫描件（或官方网站截图），原件备查。评分中出现无证明资料或专家无法凭所提供资料判断是否得分的情况，一律作不得分处理。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trHeight w:val="638" w:hRule="atLeast"/>
          <w:jc w:val="center"/>
        </w:trPr>
        <w:tc>
          <w:tcPr>
            <w:tcW w:w="0" w:type="auto"/>
            <w:vMerge w:val="continue"/>
            <w:tcBorders>
              <w:top w:val="single" w:color="000000" w:sz="8" w:space="0"/>
              <w:left w:val="single" w:color="000000" w:sz="8" w:space="0"/>
              <w:bottom w:val="single" w:color="000000" w:sz="8" w:space="0"/>
              <w:right w:val="single" w:color="000000" w:sz="8" w:space="0"/>
            </w:tcBorders>
            <w:vAlign w:val="center"/>
          </w:tcPr>
          <w:p>
            <w:pPr>
              <w:widowControl w:val="0"/>
              <w:rPr>
                <w:rFonts w:ascii="宋体" w:hAnsi="宋体" w:cs="宋体"/>
                <w:b/>
                <w:bCs/>
                <w:color w:val="0000FF"/>
                <w:kern w:val="2"/>
                <w:sz w:val="24"/>
                <w:szCs w:val="24"/>
              </w:rPr>
            </w:pPr>
          </w:p>
        </w:tc>
        <w:tc>
          <w:tcPr>
            <w:tcW w:w="675" w:type="dxa"/>
            <w:tcBorders>
              <w:top w:val="single" w:color="000000" w:sz="8" w:space="0"/>
              <w:left w:val="single" w:color="000000" w:sz="8" w:space="0"/>
              <w:bottom w:val="single" w:color="000000" w:sz="8" w:space="0"/>
              <w:right w:val="single" w:color="000000" w:sz="8" w:space="0"/>
            </w:tcBorders>
            <w:vAlign w:val="center"/>
          </w:tcPr>
          <w:p>
            <w:pPr>
              <w:widowControl w:val="0"/>
              <w:wordWrap w:val="0"/>
              <w:jc w:val="center"/>
              <w:rPr>
                <w:rFonts w:ascii="宋体" w:hAnsi="宋体" w:cs="宋体"/>
                <w:kern w:val="2"/>
              </w:rPr>
            </w:pPr>
            <w:r>
              <w:rPr>
                <w:rFonts w:ascii="宋体" w:hAnsi="宋体"/>
                <w:kern w:val="2"/>
              </w:rPr>
              <w:t>4</w:t>
            </w:r>
          </w:p>
        </w:tc>
        <w:tc>
          <w:tcPr>
            <w:tcW w:w="2792" w:type="dxa"/>
            <w:tcBorders>
              <w:top w:val="single" w:color="000000" w:sz="8" w:space="0"/>
              <w:left w:val="single" w:color="000000" w:sz="8" w:space="0"/>
              <w:bottom w:val="single" w:color="000000" w:sz="8" w:space="0"/>
              <w:right w:val="single" w:color="000000" w:sz="8" w:space="0"/>
            </w:tcBorders>
            <w:vAlign w:val="center"/>
          </w:tcPr>
          <w:p>
            <w:pPr>
              <w:widowControl w:val="0"/>
              <w:wordWrap w:val="0"/>
              <w:jc w:val="center"/>
              <w:rPr>
                <w:rFonts w:ascii="宋体" w:hAnsi="宋体" w:cs="宋体"/>
                <w:kern w:val="2"/>
              </w:rPr>
            </w:pPr>
            <w:r>
              <w:rPr>
                <w:rFonts w:hint="eastAsia" w:ascii="宋体" w:hAnsi="宋体"/>
                <w:kern w:val="2"/>
              </w:rPr>
              <w:t>供应商自主知识产权产品（创新、设计）情况</w:t>
            </w:r>
          </w:p>
        </w:tc>
        <w:tc>
          <w:tcPr>
            <w:tcW w:w="776" w:type="dxa"/>
            <w:tcBorders>
              <w:top w:val="single" w:color="000000" w:sz="8" w:space="0"/>
              <w:left w:val="single" w:color="000000" w:sz="8" w:space="0"/>
              <w:bottom w:val="single" w:color="000000" w:sz="8" w:space="0"/>
              <w:right w:val="single" w:color="000000" w:sz="8" w:space="0"/>
            </w:tcBorders>
            <w:vAlign w:val="center"/>
          </w:tcPr>
          <w:p>
            <w:pPr>
              <w:widowControl w:val="0"/>
              <w:wordWrap w:val="0"/>
              <w:jc w:val="center"/>
              <w:rPr>
                <w:rFonts w:ascii="宋体" w:hAnsi="宋体" w:cs="宋体"/>
                <w:kern w:val="2"/>
              </w:rPr>
            </w:pPr>
            <w:r>
              <w:rPr>
                <w:rFonts w:hint="eastAsia" w:ascii="宋体" w:hAnsi="宋体"/>
                <w:kern w:val="2"/>
              </w:rPr>
              <w:t>10</w:t>
            </w:r>
          </w:p>
        </w:tc>
        <w:tc>
          <w:tcPr>
            <w:tcW w:w="4153" w:type="dxa"/>
            <w:tcBorders>
              <w:top w:val="single" w:color="000000" w:sz="8" w:space="0"/>
              <w:left w:val="single" w:color="000000" w:sz="8" w:space="0"/>
              <w:bottom w:val="single" w:color="000000" w:sz="8" w:space="0"/>
              <w:right w:val="single" w:color="000000" w:sz="8" w:space="0"/>
            </w:tcBorders>
          </w:tcPr>
          <w:p>
            <w:pPr>
              <w:widowControl w:val="0"/>
              <w:autoSpaceDE w:val="0"/>
              <w:autoSpaceDN w:val="0"/>
              <w:adjustRightInd w:val="0"/>
              <w:spacing w:line="360" w:lineRule="exact"/>
              <w:jc w:val="left"/>
              <w:rPr>
                <w:rFonts w:ascii="宋体" w:hAnsi="宋体"/>
                <w:kern w:val="2"/>
              </w:rPr>
            </w:pPr>
            <w:r>
              <w:rPr>
                <w:rFonts w:hint="eastAsia" w:ascii="宋体" w:hAnsi="宋体"/>
                <w:kern w:val="2"/>
              </w:rPr>
              <w:t>（一）评分内容：</w:t>
            </w:r>
          </w:p>
          <w:p>
            <w:pPr>
              <w:widowControl w:val="0"/>
              <w:autoSpaceDE w:val="0"/>
              <w:autoSpaceDN w:val="0"/>
              <w:adjustRightInd w:val="0"/>
              <w:spacing w:line="360" w:lineRule="exact"/>
              <w:jc w:val="left"/>
              <w:rPr>
                <w:rFonts w:ascii="宋体" w:hAnsi="宋体"/>
                <w:kern w:val="2"/>
              </w:rPr>
            </w:pPr>
            <w:r>
              <w:rPr>
                <w:rFonts w:hint="eastAsia" w:ascii="宋体" w:hAnsi="宋体"/>
                <w:kern w:val="2"/>
              </w:rPr>
              <w:t>1.投标人具有</w:t>
            </w:r>
            <w:r>
              <w:rPr>
                <w:rFonts w:hint="eastAsia" w:ascii="宋体" w:hAnsi="宋体" w:cs="宋体"/>
                <w:color w:val="000000"/>
                <w:kern w:val="2"/>
              </w:rPr>
              <w:t>“热点信息追踪”、“自媒体采集”、“智能分析”、“舆论引导”、“大数据洞察”、“实训演练”、“热度指数”、“短视频监测”、“网络人物特征信息”、“新媒体传播”</w:t>
            </w:r>
            <w:r>
              <w:rPr>
                <w:rFonts w:hint="eastAsia" w:ascii="宋体" w:hAnsi="宋体"/>
                <w:kern w:val="2"/>
              </w:rPr>
              <w:t>对应的计算机软件著作权证书，每提供1个得0.5分，最多得5分。</w:t>
            </w:r>
          </w:p>
          <w:p>
            <w:pPr>
              <w:widowControl w:val="0"/>
              <w:autoSpaceDE w:val="0"/>
              <w:autoSpaceDN w:val="0"/>
              <w:adjustRightInd w:val="0"/>
              <w:spacing w:line="360" w:lineRule="exact"/>
              <w:jc w:val="left"/>
              <w:rPr>
                <w:rFonts w:ascii="宋体" w:hAnsi="宋体"/>
                <w:kern w:val="2"/>
              </w:rPr>
            </w:pPr>
            <w:r>
              <w:rPr>
                <w:rFonts w:hint="eastAsia" w:ascii="宋体" w:hAnsi="宋体"/>
                <w:kern w:val="2"/>
              </w:rPr>
              <w:t>2.投标人</w:t>
            </w:r>
            <w:r>
              <w:rPr>
                <w:kern w:val="2"/>
                <w:szCs w:val="24"/>
              </w:rPr>
              <w:t>具有“人名分类”、“文本中地名识别类”、“文本自动分段类”、“重点博主追踪类”、“基于浏</w:t>
            </w:r>
            <w:r>
              <w:rPr>
                <w:rFonts w:hint="eastAsia"/>
                <w:kern w:val="2"/>
                <w:szCs w:val="24"/>
              </w:rPr>
              <w:t>虚拟机</w:t>
            </w:r>
            <w:r>
              <w:rPr>
                <w:kern w:val="2"/>
                <w:szCs w:val="24"/>
              </w:rPr>
              <w:t>的微信公众号数据采集类”方面获得的自主知识产权证书</w:t>
            </w:r>
            <w:r>
              <w:rPr>
                <w:rFonts w:hint="eastAsia" w:ascii="宋体" w:hAnsi="宋体"/>
                <w:kern w:val="2"/>
              </w:rPr>
              <w:t>，每提供一项知识产权得1分，最高得5分。</w:t>
            </w:r>
          </w:p>
          <w:p>
            <w:pPr>
              <w:widowControl w:val="0"/>
              <w:autoSpaceDE w:val="0"/>
              <w:autoSpaceDN w:val="0"/>
              <w:adjustRightInd w:val="0"/>
              <w:spacing w:line="360" w:lineRule="exact"/>
              <w:jc w:val="left"/>
              <w:rPr>
                <w:rFonts w:ascii="宋体" w:hAnsi="宋体"/>
                <w:kern w:val="2"/>
              </w:rPr>
            </w:pPr>
            <w:r>
              <w:rPr>
                <w:rFonts w:hint="eastAsia" w:ascii="宋体" w:hAnsi="宋体"/>
                <w:kern w:val="2"/>
              </w:rPr>
              <w:t>（二）评分依据:</w:t>
            </w:r>
          </w:p>
          <w:p>
            <w:pPr>
              <w:widowControl w:val="0"/>
              <w:autoSpaceDE w:val="0"/>
              <w:autoSpaceDN w:val="0"/>
              <w:adjustRightInd w:val="0"/>
              <w:spacing w:line="360" w:lineRule="exact"/>
              <w:jc w:val="left"/>
              <w:rPr>
                <w:rFonts w:ascii="宋体" w:hAnsi="宋体"/>
                <w:kern w:val="2"/>
              </w:rPr>
            </w:pPr>
            <w:r>
              <w:rPr>
                <w:rFonts w:hint="eastAsia" w:ascii="宋体" w:hAnsi="宋体"/>
                <w:kern w:val="2"/>
              </w:rPr>
              <w:t>1.要求提供有效的产权（专利）证书等证明材料作为得分依据。</w:t>
            </w:r>
          </w:p>
          <w:p>
            <w:pPr>
              <w:widowControl w:val="0"/>
              <w:autoSpaceDE w:val="0"/>
              <w:autoSpaceDN w:val="0"/>
              <w:adjustRightInd w:val="0"/>
              <w:spacing w:line="360" w:lineRule="exact"/>
              <w:jc w:val="left"/>
              <w:rPr>
                <w:kern w:val="2"/>
              </w:rPr>
            </w:pPr>
            <w:r>
              <w:rPr>
                <w:rFonts w:hint="eastAsia" w:ascii="宋体" w:hAnsi="宋体"/>
                <w:kern w:val="2"/>
              </w:rPr>
              <w:t>2.以上资料均要求提供扫描件（或官方网站截图），原件备查。评分中出现无证明资料或专家无法凭所提供资料判断是否得分的情况，一律作不得分处理。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20" w:type="dxa"/>
            <w:left w:w="108" w:type="dxa"/>
            <w:bottom w:w="20" w:type="dxa"/>
            <w:right w:w="108" w:type="dxa"/>
          </w:tblCellMar>
        </w:tblPrEx>
        <w:trPr>
          <w:jc w:val="center"/>
        </w:trPr>
        <w:tc>
          <w:tcPr>
            <w:tcW w:w="0" w:type="auto"/>
            <w:vMerge w:val="continue"/>
            <w:tcBorders>
              <w:top w:val="single" w:color="000000" w:sz="8" w:space="0"/>
              <w:left w:val="single" w:color="000000" w:sz="8" w:space="0"/>
              <w:bottom w:val="single" w:color="000000" w:sz="8" w:space="0"/>
              <w:right w:val="single" w:color="000000" w:sz="8" w:space="0"/>
            </w:tcBorders>
            <w:vAlign w:val="center"/>
          </w:tcPr>
          <w:p>
            <w:pPr>
              <w:widowControl w:val="0"/>
              <w:rPr>
                <w:rFonts w:ascii="宋体" w:hAnsi="宋体" w:cs="宋体"/>
                <w:b/>
                <w:bCs/>
                <w:color w:val="0000FF"/>
                <w:kern w:val="2"/>
                <w:sz w:val="24"/>
                <w:szCs w:val="24"/>
              </w:rPr>
            </w:pPr>
          </w:p>
        </w:tc>
        <w:tc>
          <w:tcPr>
            <w:tcW w:w="675" w:type="dxa"/>
            <w:tcBorders>
              <w:top w:val="single" w:color="auto" w:sz="4" w:space="0"/>
              <w:left w:val="single" w:color="auto" w:sz="4" w:space="0"/>
              <w:bottom w:val="single" w:color="auto" w:sz="4" w:space="0"/>
              <w:right w:val="single" w:color="auto" w:sz="4" w:space="0"/>
            </w:tcBorders>
            <w:vAlign w:val="center"/>
          </w:tcPr>
          <w:p>
            <w:pPr>
              <w:widowControl w:val="0"/>
              <w:wordWrap w:val="0"/>
              <w:jc w:val="center"/>
              <w:rPr>
                <w:rFonts w:ascii="宋体" w:hAnsi="宋体" w:cs="宋体"/>
                <w:kern w:val="2"/>
              </w:rPr>
            </w:pPr>
            <w:r>
              <w:rPr>
                <w:rFonts w:ascii="宋体" w:hAnsi="宋体"/>
                <w:kern w:val="2"/>
              </w:rPr>
              <w:t>5</w:t>
            </w:r>
          </w:p>
        </w:tc>
        <w:tc>
          <w:tcPr>
            <w:tcW w:w="2792" w:type="dxa"/>
            <w:tcBorders>
              <w:top w:val="single" w:color="auto" w:sz="4" w:space="0"/>
              <w:left w:val="single" w:color="auto" w:sz="4" w:space="0"/>
              <w:bottom w:val="single" w:color="auto" w:sz="4" w:space="0"/>
              <w:right w:val="single" w:color="auto" w:sz="4" w:space="0"/>
            </w:tcBorders>
            <w:vAlign w:val="center"/>
          </w:tcPr>
          <w:p>
            <w:pPr>
              <w:widowControl w:val="0"/>
              <w:wordWrap w:val="0"/>
              <w:jc w:val="center"/>
              <w:rPr>
                <w:rFonts w:ascii="宋体" w:hAnsi="宋体" w:cs="宋体"/>
                <w:kern w:val="2"/>
              </w:rPr>
            </w:pPr>
            <w:r>
              <w:rPr>
                <w:rFonts w:hint="eastAsia" w:ascii="宋体" w:hAnsi="宋体"/>
                <w:kern w:val="2"/>
              </w:rPr>
              <w:t>服务网点</w:t>
            </w:r>
          </w:p>
        </w:tc>
        <w:tc>
          <w:tcPr>
            <w:tcW w:w="776" w:type="dxa"/>
            <w:tcBorders>
              <w:top w:val="single" w:color="auto" w:sz="4" w:space="0"/>
              <w:left w:val="single" w:color="auto" w:sz="4" w:space="0"/>
              <w:bottom w:val="single" w:color="auto" w:sz="4" w:space="0"/>
              <w:right w:val="single" w:color="auto" w:sz="4" w:space="0"/>
            </w:tcBorders>
            <w:vAlign w:val="center"/>
          </w:tcPr>
          <w:p>
            <w:pPr>
              <w:widowControl w:val="0"/>
              <w:wordWrap w:val="0"/>
              <w:jc w:val="center"/>
              <w:rPr>
                <w:rFonts w:ascii="宋体" w:hAnsi="宋体" w:cs="宋体"/>
                <w:kern w:val="2"/>
              </w:rPr>
            </w:pPr>
            <w:r>
              <w:rPr>
                <w:rFonts w:hint="eastAsia" w:ascii="宋体" w:hAnsi="宋体"/>
                <w:kern w:val="2"/>
              </w:rPr>
              <w:t>3</w:t>
            </w:r>
          </w:p>
        </w:tc>
        <w:tc>
          <w:tcPr>
            <w:tcW w:w="4153" w:type="dxa"/>
            <w:tcBorders>
              <w:top w:val="single" w:color="auto" w:sz="4" w:space="0"/>
              <w:left w:val="single" w:color="auto" w:sz="4" w:space="0"/>
              <w:bottom w:val="single" w:color="auto" w:sz="4" w:space="0"/>
              <w:right w:val="single" w:color="auto" w:sz="4" w:space="0"/>
            </w:tcBorders>
          </w:tcPr>
          <w:p>
            <w:pPr>
              <w:widowControl w:val="0"/>
              <w:jc w:val="left"/>
              <w:rPr>
                <w:rFonts w:ascii="宋体" w:hAnsi="宋体"/>
                <w:kern w:val="2"/>
              </w:rPr>
            </w:pPr>
            <w:r>
              <w:rPr>
                <w:rFonts w:hint="eastAsia" w:ascii="宋体" w:hAnsi="宋体"/>
                <w:kern w:val="2"/>
              </w:rPr>
              <w:t>1、</w:t>
            </w:r>
            <w:r>
              <w:rPr>
                <w:rFonts w:ascii="宋体" w:hAnsi="宋体"/>
                <w:kern w:val="2"/>
              </w:rPr>
              <w:t>深圳供应商，或非深圳供应商但在深圳有合法注册的分公司</w:t>
            </w:r>
            <w:r>
              <w:rPr>
                <w:rFonts w:hint="eastAsia" w:ascii="宋体" w:hAnsi="宋体"/>
                <w:kern w:val="2"/>
              </w:rPr>
              <w:t>（或售后机构）</w:t>
            </w:r>
            <w:r>
              <w:rPr>
                <w:rFonts w:ascii="宋体" w:hAnsi="宋体"/>
                <w:kern w:val="2"/>
              </w:rPr>
              <w:t>（</w:t>
            </w:r>
            <w:r>
              <w:rPr>
                <w:rFonts w:hint="eastAsia" w:ascii="宋体" w:hAnsi="宋体"/>
                <w:kern w:val="2"/>
              </w:rPr>
              <w:t>分公司的</w:t>
            </w:r>
            <w:r>
              <w:rPr>
                <w:rFonts w:ascii="宋体" w:hAnsi="宋体"/>
                <w:kern w:val="2"/>
              </w:rPr>
              <w:t>必须提供分公司营业执照扫描件</w:t>
            </w:r>
            <w:r>
              <w:rPr>
                <w:rFonts w:hint="eastAsia" w:ascii="宋体" w:hAnsi="宋体"/>
                <w:kern w:val="2"/>
              </w:rPr>
              <w:t>，售后机构必须同时提供售后服务合作合同及售后机构营业执照扫描件作为得分依据</w:t>
            </w:r>
            <w:r>
              <w:rPr>
                <w:rFonts w:ascii="宋体" w:hAnsi="宋体"/>
                <w:kern w:val="2"/>
              </w:rPr>
              <w:t>，原件备查）的，得</w:t>
            </w:r>
            <w:r>
              <w:rPr>
                <w:rFonts w:hint="eastAsia" w:ascii="宋体" w:hAnsi="宋体"/>
                <w:kern w:val="2"/>
              </w:rPr>
              <w:t>3</w:t>
            </w:r>
            <w:r>
              <w:rPr>
                <w:rFonts w:ascii="宋体" w:hAnsi="宋体"/>
                <w:kern w:val="2"/>
              </w:rPr>
              <w:t>分；否则不得分</w:t>
            </w:r>
            <w:r>
              <w:rPr>
                <w:rFonts w:hint="eastAsia" w:ascii="宋体" w:hAnsi="宋体"/>
                <w:kern w:val="2"/>
              </w:rPr>
              <w:t>。</w:t>
            </w:r>
          </w:p>
          <w:p>
            <w:pPr>
              <w:widowControl w:val="0"/>
              <w:jc w:val="left"/>
              <w:rPr>
                <w:rFonts w:ascii="宋体" w:hAnsi="宋体"/>
                <w:kern w:val="2"/>
              </w:rPr>
            </w:pPr>
            <w:r>
              <w:rPr>
                <w:rFonts w:hint="eastAsia" w:ascii="宋体" w:hAnsi="宋体"/>
                <w:kern w:val="2"/>
              </w:rPr>
              <w:t>2、外地供应商承诺：中标后设立本地经营（服务）网点的，提供承诺文件（格式自定）的，得1分；未提供承诺或承诺内容不满足要求均不得分。</w:t>
            </w:r>
          </w:p>
        </w:tc>
      </w:tr>
    </w:tbl>
    <w:p>
      <w:pPr>
        <w:widowControl w:val="0"/>
        <w:shd w:val="clear" w:color="auto" w:fill="FFFFFF"/>
        <w:spacing w:after="115"/>
        <w:ind w:firstLine="420" w:firstLineChars="200"/>
        <w:rPr>
          <w:rFonts w:ascii="Calibri" w:hAnsi="Calibri"/>
          <w:color w:val="000000"/>
          <w:kern w:val="2"/>
        </w:rPr>
      </w:pPr>
      <w:r>
        <w:rPr>
          <w:rFonts w:ascii="Calibri" w:hAnsi="Calibri"/>
          <w:color w:val="000000"/>
          <w:kern w:val="2"/>
        </w:rPr>
        <w:t>注：1.每一项的得分均不能超过该项最高分值。</w:t>
      </w:r>
    </w:p>
    <w:p>
      <w:pPr>
        <w:widowControl w:val="0"/>
        <w:shd w:val="clear" w:color="auto" w:fill="FFFFFF"/>
        <w:spacing w:after="115"/>
        <w:ind w:firstLine="420" w:firstLineChars="200"/>
        <w:rPr>
          <w:rFonts w:ascii="Calibri" w:hAnsi="Calibri"/>
          <w:color w:val="000000"/>
          <w:kern w:val="2"/>
        </w:rPr>
      </w:pPr>
      <w:r>
        <w:rPr>
          <w:rFonts w:ascii="Calibri" w:hAnsi="Calibri"/>
          <w:color w:val="000000"/>
          <w:kern w:val="2"/>
        </w:rPr>
        <w:t>2.缺项则该项为0分或不合格为0分。</w:t>
      </w:r>
    </w:p>
    <w:p>
      <w:pPr>
        <w:widowControl w:val="0"/>
        <w:shd w:val="clear" w:color="auto" w:fill="FFFFFF"/>
        <w:spacing w:after="115"/>
        <w:ind w:firstLine="420" w:firstLineChars="200"/>
        <w:rPr>
          <w:rFonts w:ascii="Calibri" w:hAnsi="Calibri"/>
          <w:color w:val="000000"/>
          <w:kern w:val="2"/>
        </w:rPr>
      </w:pPr>
      <w:r>
        <w:rPr>
          <w:rFonts w:ascii="Calibri" w:hAnsi="Calibri"/>
          <w:color w:val="000000"/>
          <w:kern w:val="2"/>
        </w:rPr>
        <w:t>3.价格、技术、商务部分为针对项目具体情况设置项目，累加满分为100分。</w:t>
      </w:r>
    </w:p>
    <w:p>
      <w:pPr>
        <w:widowControl w:val="0"/>
        <w:shd w:val="clear" w:color="auto" w:fill="FFFFFF"/>
        <w:spacing w:after="115"/>
        <w:ind w:firstLine="420" w:firstLineChars="200"/>
        <w:rPr>
          <w:rFonts w:ascii="Calibri" w:hAnsi="Calibri"/>
          <w:color w:val="000000"/>
          <w:kern w:val="2"/>
        </w:rPr>
      </w:pPr>
      <w:r>
        <w:rPr>
          <w:rFonts w:ascii="Calibri" w:hAnsi="Calibri"/>
          <w:color w:val="000000"/>
          <w:kern w:val="2"/>
        </w:rPr>
        <w:t>4.综合以上分析比较，评委会将对各投标文件进行书面的量化评定，得分精确到小数点后二位。</w:t>
      </w:r>
    </w:p>
    <w:p>
      <w:pPr>
        <w:jc w:val="left"/>
        <w:rPr>
          <w:color w:val="FF0000"/>
        </w:rPr>
      </w:pPr>
    </w:p>
    <w:p>
      <w:pPr>
        <w:widowControl w:val="0"/>
        <w:jc w:val="center"/>
        <w:rPr>
          <w:rFonts w:ascii="Calibri" w:hAnsi="Calibri"/>
          <w:b/>
          <w:kern w:val="2"/>
          <w:sz w:val="30"/>
          <w:szCs w:val="30"/>
        </w:rPr>
      </w:pPr>
      <w:r>
        <w:rPr>
          <w:rFonts w:ascii="Calibri" w:hAnsi="Calibri"/>
          <w:b/>
          <w:kern w:val="2"/>
          <w:sz w:val="30"/>
          <w:szCs w:val="30"/>
        </w:rPr>
        <w:br w:type="page"/>
      </w:r>
      <w:r>
        <w:rPr>
          <w:rFonts w:hint="eastAsia" w:ascii="Calibri" w:hAnsi="Calibri"/>
          <w:b/>
          <w:kern w:val="2"/>
          <w:sz w:val="30"/>
          <w:szCs w:val="30"/>
        </w:rPr>
        <w:t>其它关键信息</w:t>
      </w:r>
    </w:p>
    <w:p>
      <w:pPr>
        <w:widowControl w:val="0"/>
        <w:jc w:val="center"/>
        <w:rPr>
          <w:rFonts w:ascii="Calibri" w:hAnsi="Calibri"/>
          <w:b/>
          <w:kern w:val="2"/>
          <w:szCs w:val="24"/>
        </w:rPr>
      </w:pPr>
      <w:r>
        <w:rPr>
          <w:rFonts w:hint="eastAsia" w:ascii="Calibri" w:hAnsi="Calibri"/>
          <w:b/>
          <w:kern w:val="2"/>
          <w:szCs w:val="24"/>
        </w:rPr>
        <w:t>一、评标定标信息</w:t>
      </w:r>
    </w:p>
    <w:p>
      <w:pPr>
        <w:widowControl w:val="0"/>
        <w:jc w:val="center"/>
        <w:rPr>
          <w:b/>
          <w:kern w:val="2"/>
          <w:szCs w:val="24"/>
        </w:rPr>
      </w:pPr>
      <w:r>
        <w:rPr>
          <w:rFonts w:hint="eastAsia"/>
          <w:b/>
          <w:kern w:val="2"/>
          <w:szCs w:val="24"/>
        </w:rPr>
        <w:t>（一）非评定分离项目</w:t>
      </w:r>
    </w:p>
    <w:tbl>
      <w:tblPr>
        <w:tblStyle w:val="32"/>
        <w:tblW w:w="0" w:type="auto"/>
        <w:tblInd w:w="67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589"/>
        <w:gridCol w:w="42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89" w:type="dxa"/>
            <w:noWrap/>
          </w:tcPr>
          <w:p>
            <w:pPr>
              <w:widowControl w:val="0"/>
              <w:jc w:val="center"/>
              <w:rPr>
                <w:kern w:val="2"/>
                <w:szCs w:val="24"/>
              </w:rPr>
            </w:pPr>
            <w:r>
              <w:rPr>
                <w:rFonts w:hint="eastAsia"/>
                <w:kern w:val="2"/>
                <w:szCs w:val="24"/>
              </w:rPr>
              <w:t>评标方法</w:t>
            </w:r>
          </w:p>
        </w:tc>
        <w:tc>
          <w:tcPr>
            <w:tcW w:w="4265" w:type="dxa"/>
            <w:noWrap/>
          </w:tcPr>
          <w:p>
            <w:pPr>
              <w:widowControl w:val="0"/>
              <w:jc w:val="center"/>
              <w:rPr>
                <w:kern w:val="2"/>
                <w:szCs w:val="24"/>
              </w:rPr>
            </w:pPr>
            <w:r>
              <w:rPr>
                <w:rFonts w:hint="eastAsia"/>
                <w:color w:val="FF0000"/>
                <w:kern w:val="2"/>
                <w:szCs w:val="24"/>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89" w:type="dxa"/>
            <w:noWrap/>
          </w:tcPr>
          <w:p>
            <w:pPr>
              <w:widowControl w:val="0"/>
              <w:jc w:val="center"/>
              <w:rPr>
                <w:kern w:val="2"/>
                <w:szCs w:val="24"/>
              </w:rPr>
            </w:pPr>
            <w:r>
              <w:rPr>
                <w:rFonts w:hint="eastAsia"/>
                <w:kern w:val="2"/>
                <w:szCs w:val="24"/>
              </w:rPr>
              <w:t>中标供应商家数</w:t>
            </w:r>
          </w:p>
        </w:tc>
        <w:tc>
          <w:tcPr>
            <w:tcW w:w="4265" w:type="dxa"/>
            <w:noWrap/>
          </w:tcPr>
          <w:p>
            <w:pPr>
              <w:widowControl w:val="0"/>
              <w:jc w:val="center"/>
              <w:rPr>
                <w:kern w:val="2"/>
                <w:szCs w:val="24"/>
              </w:rPr>
            </w:pPr>
            <w:r>
              <w:rPr>
                <w:rFonts w:hint="eastAsia"/>
                <w:kern w:val="2"/>
                <w:szCs w:val="24"/>
              </w:rPr>
              <w:t>1</w:t>
            </w:r>
          </w:p>
        </w:tc>
      </w:tr>
    </w:tbl>
    <w:p>
      <w:pPr>
        <w:widowControl w:val="0"/>
        <w:rPr>
          <w:rFonts w:ascii="Calibri" w:hAnsi="Calibri"/>
          <w:kern w:val="2"/>
          <w:szCs w:val="24"/>
        </w:rPr>
      </w:pPr>
    </w:p>
    <w:p>
      <w:pPr>
        <w:widowControl w:val="0"/>
        <w:rPr>
          <w:rFonts w:ascii="Calibri" w:hAnsi="Calibri"/>
          <w:kern w:val="2"/>
          <w:szCs w:val="24"/>
        </w:rPr>
      </w:pPr>
    </w:p>
    <w:p>
      <w:pPr>
        <w:widowControl w:val="0"/>
        <w:jc w:val="center"/>
        <w:rPr>
          <w:rFonts w:ascii="Calibri" w:hAnsi="Calibri"/>
          <w:b/>
          <w:kern w:val="2"/>
          <w:szCs w:val="24"/>
        </w:rPr>
      </w:pPr>
      <w:r>
        <w:rPr>
          <w:rFonts w:hint="eastAsia" w:ascii="Calibri" w:hAnsi="Calibri"/>
          <w:b/>
          <w:kern w:val="2"/>
          <w:szCs w:val="24"/>
        </w:rPr>
        <w:t>二、关于享受优惠政策的主体及价格扣除比例</w:t>
      </w:r>
    </w:p>
    <w:p>
      <w:pPr>
        <w:widowControl w:val="0"/>
        <w:ind w:firstLine="420" w:firstLineChars="200"/>
        <w:rPr>
          <w:kern w:val="2"/>
          <w:szCs w:val="24"/>
        </w:rPr>
      </w:pPr>
      <w:r>
        <w:rPr>
          <w:rFonts w:hint="eastAsia"/>
          <w:kern w:val="2"/>
          <w:szCs w:val="24"/>
        </w:rPr>
        <w:t>（1）投标人提供的服务</w:t>
      </w:r>
      <w:r>
        <w:rPr>
          <w:rFonts w:hint="eastAsia"/>
          <w:b/>
          <w:kern w:val="2"/>
          <w:szCs w:val="24"/>
        </w:rPr>
        <w:t>全部</w:t>
      </w:r>
      <w:r>
        <w:rPr>
          <w:rFonts w:hint="eastAsia"/>
          <w:kern w:val="2"/>
          <w:szCs w:val="24"/>
        </w:rPr>
        <w:t>均由优惠主体承接，则对其投标总价给予</w:t>
      </w:r>
      <w:r>
        <w:rPr>
          <w:rStyle w:val="41"/>
          <w:rFonts w:hint="eastAsia"/>
          <w:color w:val="FF0000"/>
          <w:u w:val="single"/>
        </w:rPr>
        <w:t>10</w:t>
      </w:r>
      <w:r>
        <w:rPr>
          <w:color w:val="FF0000"/>
          <w:kern w:val="2"/>
          <w:szCs w:val="24"/>
          <w:highlight w:val="yellow"/>
          <w:u w:val="single"/>
        </w:rPr>
        <w:t>%</w:t>
      </w:r>
      <w:r>
        <w:rPr>
          <w:rFonts w:hint="eastAsia"/>
          <w:kern w:val="2"/>
          <w:szCs w:val="24"/>
        </w:rPr>
        <w:t>的扣除，用扣除后的价格参与评审。满足多项优惠政策的企业，不重复享受多项价格扣除政策。</w:t>
      </w:r>
    </w:p>
    <w:p>
      <w:pPr>
        <w:widowControl w:val="0"/>
        <w:ind w:firstLine="420" w:firstLineChars="200"/>
        <w:rPr>
          <w:kern w:val="2"/>
          <w:szCs w:val="24"/>
        </w:rPr>
      </w:pPr>
      <w:r>
        <w:rPr>
          <w:rFonts w:hint="eastAsia"/>
          <w:kern w:val="2"/>
          <w:szCs w:val="24"/>
        </w:rPr>
        <w:t>备注：（a）优惠主体包括小型企业、微型企业、监狱企业、残疾人福利性单位；中小企业是指在中华人民共和国境内依法设立，依据国务院批准的中小企业划分标准确定的中型企业、小型企业、微型企业，但与大企业的负责人为同一人，或者与大企业存在直接控股、管理关系的除外；符合中小企业划分标准的个体工商户，在政府采购活动中视同中小企业；(</w:t>
      </w:r>
      <w:r>
        <w:rPr>
          <w:kern w:val="2"/>
          <w:szCs w:val="24"/>
        </w:rPr>
        <w:t>b)</w:t>
      </w:r>
      <w:r>
        <w:rPr>
          <w:rFonts w:hint="eastAsia"/>
          <w:kern w:val="2"/>
          <w:szCs w:val="24"/>
        </w:rPr>
        <w:t>优惠主体承接是指提供服务的人员为中小企业依照《中华人民共和国劳动合同法》订立劳动合同的从业人员。</w:t>
      </w:r>
    </w:p>
    <w:p>
      <w:pPr>
        <w:widowControl w:val="0"/>
        <w:ind w:firstLine="420" w:firstLineChars="200"/>
        <w:rPr>
          <w:kern w:val="2"/>
          <w:szCs w:val="24"/>
        </w:rPr>
      </w:pPr>
      <w:r>
        <w:rPr>
          <w:rFonts w:hint="eastAsia"/>
          <w:kern w:val="2"/>
          <w:szCs w:val="24"/>
        </w:rPr>
        <w:t>（2）根据《工业和信息化部、国家统计局、国家发展和改革委员会、财政部关于印发中小企业划型标准规定的通知》（工信部联企业〔2011〕300 号），本项目采购标的（服务需求）对应的中小企业划分标准所属行业为</w:t>
      </w:r>
      <w:r>
        <w:rPr>
          <w:rFonts w:hint="eastAsia" w:ascii="宋体" w:hAnsi="宋体"/>
          <w:u w:val="single"/>
        </w:rPr>
        <w:t xml:space="preserve">  其他专业技术服务        </w:t>
      </w:r>
      <w:r>
        <w:rPr>
          <w:rFonts w:hint="eastAsia"/>
          <w:kern w:val="2"/>
          <w:szCs w:val="24"/>
        </w:rPr>
        <w:t>。</w:t>
      </w:r>
    </w:p>
    <w:p>
      <w:pPr>
        <w:widowControl w:val="0"/>
        <w:ind w:firstLine="420" w:firstLineChars="200"/>
        <w:rPr>
          <w:kern w:val="2"/>
          <w:szCs w:val="24"/>
        </w:rPr>
      </w:pPr>
      <w:r>
        <w:rPr>
          <w:rFonts w:hint="eastAsia"/>
          <w:kern w:val="2"/>
          <w:szCs w:val="24"/>
        </w:rPr>
        <w:t>（3）小型企业、微型企业、残疾人福利性单位作为优惠主体的认定资料为《中小企业声明函》、《残疾人福利性单位声明函》；监狱企业作为优惠主体的认定资料为省级以上监狱管理局、戒毒管理局出具的监狱企业证明文件。声明函样式</w:t>
      </w:r>
      <w:r>
        <w:rPr>
          <w:rFonts w:hint="eastAsia"/>
          <w:color w:val="0070C0"/>
          <w:kern w:val="2"/>
          <w:szCs w:val="24"/>
        </w:rPr>
        <w:t>见本采购文件</w:t>
      </w:r>
      <w:r>
        <w:rPr>
          <w:rFonts w:hint="eastAsia"/>
          <w:kern w:val="2"/>
          <w:szCs w:val="24"/>
        </w:rPr>
        <w:t>。</w:t>
      </w:r>
    </w:p>
    <w:p>
      <w:pPr>
        <w:widowControl w:val="0"/>
        <w:ind w:firstLine="420" w:firstLineChars="200"/>
        <w:rPr>
          <w:kern w:val="2"/>
          <w:szCs w:val="24"/>
        </w:rPr>
      </w:pPr>
      <w:r>
        <w:rPr>
          <w:rFonts w:hint="eastAsia"/>
          <w:kern w:val="2"/>
          <w:szCs w:val="24"/>
        </w:rPr>
        <w:t>（4）享受价格扣除获得政府采购合同的，小微企业不得将合同分包给大中型企业。</w:t>
      </w:r>
    </w:p>
    <w:p>
      <w:pPr>
        <w:widowControl w:val="0"/>
        <w:ind w:firstLine="420" w:firstLineChars="200"/>
        <w:rPr>
          <w:rFonts w:ascii="Calibri" w:hAnsi="Calibri"/>
          <w:kern w:val="2"/>
          <w:szCs w:val="24"/>
        </w:rPr>
      </w:pPr>
    </w:p>
    <w:p>
      <w:pPr>
        <w:widowControl w:val="0"/>
        <w:rPr>
          <w:rFonts w:ascii="Calibri" w:hAnsi="Calibri"/>
          <w:kern w:val="2"/>
          <w:szCs w:val="24"/>
        </w:rPr>
      </w:pPr>
    </w:p>
    <w:p>
      <w:pPr>
        <w:widowControl w:val="0"/>
        <w:jc w:val="center"/>
        <w:rPr>
          <w:rFonts w:ascii="Calibri" w:hAnsi="Calibri"/>
          <w:color w:val="FF0000"/>
          <w:kern w:val="2"/>
          <w:szCs w:val="24"/>
        </w:rPr>
      </w:pPr>
    </w:p>
    <w:p>
      <w:pPr>
        <w:widowControl w:val="0"/>
        <w:jc w:val="center"/>
        <w:rPr>
          <w:rFonts w:ascii="Calibri" w:hAnsi="Calibri"/>
          <w:color w:val="FF0000"/>
          <w:kern w:val="2"/>
          <w:szCs w:val="24"/>
        </w:rPr>
      </w:pPr>
      <w:r>
        <w:rPr>
          <w:rFonts w:hint="eastAsia" w:ascii="Calibri" w:hAnsi="Calibri"/>
          <w:color w:val="FF0000"/>
          <w:kern w:val="2"/>
          <w:szCs w:val="24"/>
        </w:rPr>
        <w:t>三、其他说明</w:t>
      </w:r>
    </w:p>
    <w:p>
      <w:pPr>
        <w:widowControl w:val="0"/>
        <w:jc w:val="left"/>
        <w:rPr>
          <w:rFonts w:ascii="Calibri" w:hAnsi="Calibri"/>
          <w:b/>
          <w:color w:val="FF0000"/>
          <w:kern w:val="2"/>
          <w:szCs w:val="24"/>
        </w:rPr>
      </w:pPr>
    </w:p>
    <w:p>
      <w:pPr>
        <w:widowControl w:val="0"/>
        <w:spacing w:line="360" w:lineRule="auto"/>
        <w:jc w:val="left"/>
        <w:rPr>
          <w:rFonts w:ascii="Calibri" w:hAnsi="Calibri"/>
          <w:color w:val="FF0000"/>
          <w:kern w:val="2"/>
          <w:szCs w:val="24"/>
        </w:rPr>
      </w:pPr>
      <w:r>
        <w:rPr>
          <w:rFonts w:hint="eastAsia" w:ascii="Calibri" w:hAnsi="Calibri"/>
          <w:color w:val="FF0000"/>
          <w:kern w:val="2"/>
          <w:szCs w:val="24"/>
        </w:rPr>
        <w:t>依据《中华人民共和国政府采购法实施条例》第十八条规定，单位负责人为同一人或者存在直接控股、管理关系的不同供应商，不得参加同一合同项下的政府采购活动。</w:t>
      </w:r>
    </w:p>
    <w:p>
      <w:pPr>
        <w:widowControl w:val="0"/>
        <w:spacing w:line="360" w:lineRule="auto"/>
        <w:rPr>
          <w:rFonts w:ascii="宋体" w:hAnsi="宋体"/>
          <w:bCs/>
          <w:color w:val="FF0000"/>
          <w:kern w:val="2"/>
          <w:sz w:val="20"/>
          <w:szCs w:val="20"/>
        </w:rPr>
      </w:pPr>
    </w:p>
    <w:p>
      <w:pPr>
        <w:widowControl w:val="0"/>
        <w:spacing w:line="360" w:lineRule="auto"/>
        <w:rPr>
          <w:rFonts w:ascii="Calibri" w:hAnsi="Calibri"/>
          <w:color w:val="FF0000"/>
          <w:kern w:val="2"/>
          <w:szCs w:val="24"/>
        </w:rPr>
      </w:pPr>
      <w:r>
        <w:rPr>
          <w:rFonts w:ascii="宋体" w:hAnsi="宋体"/>
          <w:bCs/>
          <w:color w:val="FF0000"/>
          <w:kern w:val="2"/>
          <w:sz w:val="20"/>
          <w:szCs w:val="20"/>
        </w:rPr>
        <w:t>单位负责人，是指单位法定代表人或者法律、行政法规规定代表单位行使职权的主要负责人。控股关系，是指单位或个人股东的控股关系。控股股东，是指其出资额占有限责任公司资本总额百分之五十以上或者其持有的股份占股份有限公司股本总额百分之五十以上的股东；出资额或者持有股份的比例虽然不足百分之五十，但依其出资额或者持有的股份所享有的表决权已足以对股东会、股东大会的决议产生重大影响的股东。管理关系，是指不具有出资持股关系的其他单位之间存在的管理与被管理关系，如一些上下级关系的事业单位和团体组织。上述规定的控股、管理关系仅限于直接控股、直接管理关系，不包括间接的控股或管理关系。</w:t>
      </w:r>
    </w:p>
    <w:p>
      <w:pPr>
        <w:spacing w:line="360" w:lineRule="auto"/>
        <w:jc w:val="center"/>
        <w:rPr>
          <w:rFonts w:eastAsia="黑体"/>
          <w:sz w:val="24"/>
          <w:szCs w:val="24"/>
        </w:rPr>
      </w:pPr>
      <w:r>
        <w:rPr>
          <w:rFonts w:eastAsia="黑体" w:cs="黑体"/>
          <w:sz w:val="24"/>
          <w:szCs w:val="24"/>
        </w:rPr>
        <w:br w:type="page"/>
      </w:r>
      <w:r>
        <w:rPr>
          <w:rFonts w:hint="eastAsia" w:eastAsia="黑体" w:cs="黑体"/>
          <w:sz w:val="24"/>
          <w:szCs w:val="24"/>
        </w:rPr>
        <w:t>目　　录</w:t>
      </w:r>
    </w:p>
    <w:p>
      <w:pPr>
        <w:spacing w:line="360" w:lineRule="auto"/>
        <w:rPr>
          <w:rFonts w:eastAsia="黑体"/>
          <w:sz w:val="24"/>
          <w:szCs w:val="24"/>
        </w:rPr>
      </w:pPr>
      <w:r>
        <w:rPr>
          <w:rFonts w:hint="eastAsia" w:eastAsia="黑体" w:cs="黑体"/>
          <w:sz w:val="24"/>
          <w:szCs w:val="24"/>
        </w:rPr>
        <w:t>第一部分投标须知</w:t>
      </w:r>
    </w:p>
    <w:p>
      <w:pPr>
        <w:tabs>
          <w:tab w:val="left" w:pos="360"/>
        </w:tabs>
        <w:spacing w:line="360" w:lineRule="auto"/>
        <w:ind w:firstLine="540"/>
        <w:rPr>
          <w:sz w:val="24"/>
          <w:szCs w:val="24"/>
        </w:rPr>
      </w:pPr>
      <w:r>
        <w:rPr>
          <w:rFonts w:hint="eastAsia" w:cs="宋体"/>
          <w:sz w:val="24"/>
          <w:szCs w:val="24"/>
        </w:rPr>
        <w:t>第一章总则</w:t>
      </w:r>
    </w:p>
    <w:p>
      <w:pPr>
        <w:tabs>
          <w:tab w:val="left" w:pos="360"/>
        </w:tabs>
        <w:spacing w:line="360" w:lineRule="auto"/>
        <w:ind w:firstLine="540"/>
        <w:rPr>
          <w:sz w:val="24"/>
          <w:szCs w:val="24"/>
        </w:rPr>
      </w:pPr>
      <w:r>
        <w:rPr>
          <w:rFonts w:hint="eastAsia" w:cs="宋体"/>
          <w:sz w:val="24"/>
          <w:szCs w:val="24"/>
        </w:rPr>
        <w:t>第二章招标文件</w:t>
      </w:r>
    </w:p>
    <w:p>
      <w:pPr>
        <w:tabs>
          <w:tab w:val="left" w:pos="360"/>
        </w:tabs>
        <w:spacing w:line="360" w:lineRule="auto"/>
        <w:ind w:firstLine="540"/>
        <w:rPr>
          <w:sz w:val="24"/>
          <w:szCs w:val="24"/>
        </w:rPr>
      </w:pPr>
      <w:r>
        <w:rPr>
          <w:rFonts w:hint="eastAsia" w:cs="宋体"/>
          <w:sz w:val="24"/>
          <w:szCs w:val="24"/>
        </w:rPr>
        <w:t>第三章投标文件的编制</w:t>
      </w:r>
    </w:p>
    <w:p>
      <w:pPr>
        <w:tabs>
          <w:tab w:val="left" w:pos="360"/>
        </w:tabs>
        <w:spacing w:line="360" w:lineRule="auto"/>
        <w:ind w:firstLine="540"/>
        <w:rPr>
          <w:sz w:val="24"/>
          <w:szCs w:val="24"/>
        </w:rPr>
      </w:pPr>
      <w:r>
        <w:rPr>
          <w:rFonts w:hint="eastAsia" w:cs="宋体"/>
          <w:sz w:val="24"/>
          <w:szCs w:val="24"/>
        </w:rPr>
        <w:t>第四章投标文件的递交</w:t>
      </w:r>
    </w:p>
    <w:p>
      <w:pPr>
        <w:tabs>
          <w:tab w:val="left" w:pos="360"/>
        </w:tabs>
        <w:spacing w:line="360" w:lineRule="auto"/>
        <w:ind w:firstLine="540"/>
        <w:rPr>
          <w:sz w:val="24"/>
          <w:szCs w:val="24"/>
        </w:rPr>
      </w:pPr>
      <w:r>
        <w:rPr>
          <w:rFonts w:hint="eastAsia" w:cs="宋体"/>
          <w:sz w:val="24"/>
          <w:szCs w:val="24"/>
        </w:rPr>
        <w:t>第五章开标</w:t>
      </w:r>
    </w:p>
    <w:p>
      <w:pPr>
        <w:tabs>
          <w:tab w:val="left" w:pos="360"/>
        </w:tabs>
        <w:spacing w:line="360" w:lineRule="auto"/>
        <w:ind w:firstLine="540"/>
        <w:rPr>
          <w:sz w:val="24"/>
          <w:szCs w:val="24"/>
        </w:rPr>
      </w:pPr>
      <w:r>
        <w:rPr>
          <w:rFonts w:hint="eastAsia" w:cs="宋体"/>
          <w:sz w:val="24"/>
          <w:szCs w:val="24"/>
        </w:rPr>
        <w:t>第六章评标要求</w:t>
      </w:r>
    </w:p>
    <w:p>
      <w:pPr>
        <w:tabs>
          <w:tab w:val="left" w:pos="360"/>
        </w:tabs>
        <w:spacing w:line="360" w:lineRule="auto"/>
        <w:ind w:firstLine="540"/>
        <w:rPr>
          <w:sz w:val="24"/>
          <w:szCs w:val="24"/>
        </w:rPr>
      </w:pPr>
      <w:r>
        <w:rPr>
          <w:rFonts w:hint="eastAsia" w:cs="宋体"/>
          <w:sz w:val="24"/>
          <w:szCs w:val="24"/>
        </w:rPr>
        <w:t>第七章评标程序及评标方法</w:t>
      </w:r>
    </w:p>
    <w:p>
      <w:pPr>
        <w:tabs>
          <w:tab w:val="left" w:pos="360"/>
        </w:tabs>
        <w:spacing w:line="360" w:lineRule="auto"/>
        <w:ind w:firstLine="540"/>
        <w:rPr>
          <w:sz w:val="24"/>
          <w:szCs w:val="24"/>
        </w:rPr>
      </w:pPr>
      <w:r>
        <w:rPr>
          <w:rFonts w:hint="eastAsia" w:cs="宋体"/>
          <w:sz w:val="24"/>
          <w:szCs w:val="24"/>
        </w:rPr>
        <w:t>第八章公开招标失败的后续处理</w:t>
      </w:r>
    </w:p>
    <w:p>
      <w:pPr>
        <w:tabs>
          <w:tab w:val="left" w:pos="360"/>
        </w:tabs>
        <w:spacing w:line="360" w:lineRule="auto"/>
        <w:ind w:firstLine="540"/>
        <w:rPr>
          <w:sz w:val="24"/>
          <w:szCs w:val="24"/>
        </w:rPr>
      </w:pPr>
      <w:r>
        <w:rPr>
          <w:rFonts w:hint="eastAsia" w:cs="宋体"/>
          <w:sz w:val="24"/>
          <w:szCs w:val="24"/>
        </w:rPr>
        <w:t>第九章合同的授予</w:t>
      </w:r>
    </w:p>
    <w:p>
      <w:pPr>
        <w:spacing w:line="360" w:lineRule="auto"/>
        <w:rPr>
          <w:rFonts w:eastAsia="黑体"/>
          <w:sz w:val="24"/>
          <w:szCs w:val="24"/>
        </w:rPr>
      </w:pPr>
      <w:r>
        <w:rPr>
          <w:rFonts w:hint="eastAsia" w:eastAsia="黑体" w:cs="黑体"/>
          <w:sz w:val="24"/>
          <w:szCs w:val="24"/>
        </w:rPr>
        <w:t>第二部分招标项目需求</w:t>
      </w:r>
    </w:p>
    <w:p>
      <w:pPr>
        <w:spacing w:line="360" w:lineRule="auto"/>
        <w:ind w:firstLine="540"/>
        <w:rPr>
          <w:sz w:val="24"/>
          <w:szCs w:val="24"/>
        </w:rPr>
      </w:pPr>
      <w:r>
        <w:rPr>
          <w:rFonts w:hint="eastAsia" w:cs="宋体"/>
          <w:sz w:val="24"/>
          <w:szCs w:val="24"/>
        </w:rPr>
        <w:t>第一章招标公告</w:t>
      </w:r>
    </w:p>
    <w:p>
      <w:pPr>
        <w:spacing w:line="360" w:lineRule="auto"/>
        <w:ind w:firstLine="540"/>
        <w:rPr>
          <w:rFonts w:cs="宋体"/>
          <w:sz w:val="24"/>
          <w:szCs w:val="24"/>
        </w:rPr>
      </w:pPr>
      <w:r>
        <w:rPr>
          <w:rFonts w:hint="eastAsia" w:cs="宋体"/>
          <w:sz w:val="24"/>
          <w:szCs w:val="24"/>
        </w:rPr>
        <w:t>第二章对通用条款的补充内容及其他关键信息</w:t>
      </w:r>
    </w:p>
    <w:p>
      <w:pPr>
        <w:spacing w:line="360" w:lineRule="auto"/>
        <w:ind w:firstLine="540"/>
        <w:rPr>
          <w:sz w:val="24"/>
          <w:szCs w:val="24"/>
        </w:rPr>
      </w:pPr>
      <w:r>
        <w:rPr>
          <w:rFonts w:hint="eastAsia" w:cs="宋体"/>
          <w:sz w:val="24"/>
          <w:szCs w:val="24"/>
        </w:rPr>
        <w:t>第三章用户需求书</w:t>
      </w:r>
    </w:p>
    <w:p>
      <w:pPr>
        <w:spacing w:line="360" w:lineRule="auto"/>
        <w:rPr>
          <w:rFonts w:eastAsia="黑体"/>
          <w:sz w:val="24"/>
          <w:szCs w:val="24"/>
        </w:rPr>
      </w:pPr>
      <w:r>
        <w:rPr>
          <w:rFonts w:hint="eastAsia" w:eastAsia="黑体" w:cs="黑体"/>
          <w:sz w:val="24"/>
          <w:szCs w:val="24"/>
        </w:rPr>
        <w:t>第三部分格式及附件</w:t>
      </w:r>
    </w:p>
    <w:p>
      <w:pPr>
        <w:spacing w:line="360" w:lineRule="auto"/>
        <w:ind w:firstLine="540"/>
        <w:rPr>
          <w:sz w:val="24"/>
          <w:szCs w:val="24"/>
        </w:rPr>
      </w:pPr>
      <w:r>
        <w:rPr>
          <w:rFonts w:hint="eastAsia" w:cs="宋体"/>
          <w:sz w:val="24"/>
          <w:szCs w:val="24"/>
        </w:rPr>
        <w:t>第一章合同条款及格式</w:t>
      </w:r>
    </w:p>
    <w:p>
      <w:pPr>
        <w:spacing w:line="360" w:lineRule="auto"/>
        <w:ind w:firstLine="540"/>
        <w:rPr>
          <w:sz w:val="24"/>
          <w:szCs w:val="24"/>
        </w:rPr>
      </w:pPr>
      <w:r>
        <w:rPr>
          <w:rFonts w:hint="eastAsia" w:cs="宋体"/>
          <w:sz w:val="24"/>
          <w:szCs w:val="24"/>
        </w:rPr>
        <w:t>第二章投标文件的格式、附件</w:t>
      </w:r>
    </w:p>
    <w:p>
      <w:pPr>
        <w:jc w:val="left"/>
        <w:rPr>
          <w:rFonts w:eastAsia="黑体" w:cs="黑体"/>
          <w:sz w:val="44"/>
          <w:szCs w:val="44"/>
        </w:rPr>
      </w:pPr>
      <w:r>
        <w:rPr>
          <w:rFonts w:eastAsia="黑体" w:cs="黑体"/>
          <w:b/>
          <w:bCs/>
          <w:sz w:val="44"/>
          <w:szCs w:val="44"/>
        </w:rPr>
        <w:br w:type="page"/>
      </w:r>
    </w:p>
    <w:p>
      <w:pPr>
        <w:pStyle w:val="29"/>
        <w:spacing w:before="120" w:after="120"/>
        <w:rPr>
          <w:rFonts w:ascii="Times New Roman" w:hAnsi="Times New Roman"/>
          <w:b w:val="0"/>
          <w:bCs w:val="0"/>
        </w:rPr>
      </w:pPr>
      <w:r>
        <w:rPr>
          <w:rFonts w:hint="eastAsia" w:ascii="Times New Roman" w:hAnsi="Times New Roman" w:eastAsia="黑体" w:cs="黑体"/>
          <w:b w:val="0"/>
          <w:bCs w:val="0"/>
          <w:sz w:val="44"/>
          <w:szCs w:val="44"/>
        </w:rPr>
        <w:t>第一部分投标须知</w:t>
      </w:r>
    </w:p>
    <w:p>
      <w:pPr>
        <w:spacing w:line="0" w:lineRule="atLeast"/>
        <w:ind w:firstLine="411" w:firstLineChars="196"/>
        <w:jc w:val="center"/>
      </w:pPr>
      <w:bookmarkStart w:id="0" w:name="bt工程概况"/>
      <w:bookmarkEnd w:id="0"/>
    </w:p>
    <w:p>
      <w:pPr>
        <w:spacing w:line="0" w:lineRule="atLeast"/>
        <w:ind w:firstLine="411" w:firstLineChars="196"/>
        <w:jc w:val="center"/>
      </w:pPr>
    </w:p>
    <w:p>
      <w:pPr>
        <w:pStyle w:val="73"/>
        <w:numPr>
          <w:ilvl w:val="0"/>
          <w:numId w:val="2"/>
        </w:numPr>
        <w:spacing w:before="156" w:after="156" w:line="240" w:lineRule="auto"/>
        <w:jc w:val="center"/>
        <w:rPr>
          <w:rFonts w:ascii="Times New Roman" w:hAnsi="Times New Roman"/>
          <w:sz w:val="28"/>
          <w:szCs w:val="28"/>
        </w:rPr>
      </w:pPr>
      <w:r>
        <w:rPr>
          <w:rFonts w:hint="eastAsia" w:ascii="Times New Roman" w:hAnsi="Times New Roman" w:cs="黑体"/>
          <w:sz w:val="28"/>
          <w:szCs w:val="28"/>
        </w:rPr>
        <w:t>总则</w:t>
      </w:r>
    </w:p>
    <w:p>
      <w:pPr>
        <w:spacing w:line="360" w:lineRule="auto"/>
        <w:rPr>
          <w:rFonts w:eastAsia="黑体"/>
          <w:sz w:val="24"/>
        </w:rPr>
      </w:pPr>
      <w:bookmarkStart w:id="1" w:name="_Toc73518119"/>
      <w:bookmarkStart w:id="2" w:name="_Toc100052366"/>
      <w:bookmarkStart w:id="3" w:name="_Toc73521637"/>
      <w:bookmarkStart w:id="4" w:name="_Toc73517641"/>
      <w:bookmarkStart w:id="5" w:name="_Toc73521549"/>
      <w:bookmarkStart w:id="6" w:name="_Toc60631622"/>
      <w:bookmarkStart w:id="7" w:name="_Toc60560627"/>
      <w:r>
        <w:rPr>
          <w:rFonts w:eastAsia="黑体"/>
          <w:sz w:val="24"/>
        </w:rPr>
        <w:t>1．招标说明</w:t>
      </w:r>
      <w:bookmarkEnd w:id="1"/>
      <w:bookmarkEnd w:id="2"/>
      <w:bookmarkEnd w:id="3"/>
      <w:bookmarkEnd w:id="4"/>
      <w:bookmarkEnd w:id="5"/>
      <w:bookmarkEnd w:id="6"/>
      <w:bookmarkEnd w:id="7"/>
    </w:p>
    <w:p>
      <w:pPr>
        <w:ind w:firstLine="411" w:firstLineChars="196"/>
      </w:pPr>
      <w:r>
        <w:t>本项目按照《中华人民共和国政府采购法》、《深圳经济特区政府采购条例》的规定，并参考有关法规、政策、规章、规定，通过公开招标择优选定供应商。</w:t>
      </w:r>
    </w:p>
    <w:p>
      <w:pPr>
        <w:ind w:firstLine="411" w:firstLineChars="196"/>
      </w:pPr>
      <w:r>
        <w:t>本招标文件适用于服务采购项目。</w:t>
      </w:r>
    </w:p>
    <w:p>
      <w:pPr>
        <w:ind w:firstLine="411" w:firstLineChars="196"/>
      </w:pPr>
      <w:r>
        <w:t>本招标文件的解释权归属深圳市建星项目管理顾问有限公司。</w:t>
      </w:r>
    </w:p>
    <w:p>
      <w:pPr>
        <w:spacing w:line="360" w:lineRule="auto"/>
        <w:rPr>
          <w:rFonts w:eastAsia="黑体"/>
          <w:sz w:val="24"/>
        </w:rPr>
      </w:pPr>
      <w:bookmarkStart w:id="8" w:name="_Toc60560628"/>
      <w:bookmarkStart w:id="9" w:name="_Toc100052367"/>
      <w:bookmarkStart w:id="10" w:name="_Toc73517642"/>
      <w:bookmarkStart w:id="11" w:name="_Toc60631623"/>
      <w:bookmarkStart w:id="12" w:name="_Toc73521550"/>
      <w:bookmarkStart w:id="13" w:name="_Toc73518120"/>
      <w:bookmarkStart w:id="14" w:name="_Toc73521638"/>
      <w:r>
        <w:rPr>
          <w:rFonts w:eastAsia="黑体"/>
          <w:sz w:val="24"/>
        </w:rPr>
        <w:t>2．定义</w:t>
      </w:r>
      <w:bookmarkEnd w:id="8"/>
      <w:bookmarkEnd w:id="9"/>
      <w:bookmarkEnd w:id="10"/>
      <w:bookmarkEnd w:id="11"/>
      <w:bookmarkEnd w:id="12"/>
      <w:bookmarkEnd w:id="13"/>
      <w:bookmarkEnd w:id="14"/>
    </w:p>
    <w:p>
      <w:pPr>
        <w:ind w:firstLine="420" w:firstLineChars="200"/>
      </w:pPr>
      <w:r>
        <w:t>招标文件中下列术语应解释为：</w:t>
      </w:r>
    </w:p>
    <w:p>
      <w:pPr>
        <w:ind w:firstLine="411" w:firstLineChars="196"/>
      </w:pPr>
      <w:r>
        <w:t>2.1</w:t>
      </w:r>
      <w:r>
        <w:rPr>
          <w:u w:val="single"/>
        </w:rPr>
        <w:t>“政府采购代理机构”系指</w:t>
      </w:r>
      <w:r>
        <w:rPr>
          <w:b/>
          <w:u w:val="single"/>
        </w:rPr>
        <w:t>深圳市建星项目管理顾问有限公司</w:t>
      </w:r>
      <w:r>
        <w:rPr>
          <w:u w:val="single"/>
        </w:rPr>
        <w:t>。</w:t>
      </w:r>
    </w:p>
    <w:p>
      <w:pPr>
        <w:ind w:firstLine="411" w:firstLineChars="196"/>
      </w:pPr>
      <w:r>
        <w:t>2.2 “采购人”或“采购单位”，系指利用财政性资金依法进行政府采购的国家机关、事业单位、团体组织。</w:t>
      </w:r>
    </w:p>
    <w:p>
      <w:pPr>
        <w:ind w:firstLine="411" w:firstLineChars="196"/>
      </w:pPr>
      <w:r>
        <w:t>2.3 “招标方”系指组织本次招标的政府采购代理机构，即</w:t>
      </w:r>
      <w:r>
        <w:rPr>
          <w:b/>
          <w:u w:val="single"/>
        </w:rPr>
        <w:t>深圳市建星项目管理顾问有限公司。</w:t>
      </w:r>
    </w:p>
    <w:p>
      <w:pPr>
        <w:ind w:firstLine="411" w:firstLineChars="196"/>
      </w:pPr>
      <w:r>
        <w:t>2.4 “投标人”或“投标方”，即供应商，是指参加投标竞争的依法成立的单位，并愿意按照招标文件要求向采购人提供货物、工程或者服务的法人、其他组织或者自然人。</w:t>
      </w:r>
    </w:p>
    <w:p>
      <w:pPr>
        <w:ind w:firstLine="411" w:firstLineChars="196"/>
      </w:pPr>
      <w:r>
        <w:t>2.5 “评标委员会”是依据《深圳经济特区政府采购条例》有关规定组建的专门负责本项目评标工作的临时性机构。</w:t>
      </w:r>
    </w:p>
    <w:p>
      <w:pPr>
        <w:ind w:firstLine="411" w:firstLineChars="196"/>
      </w:pPr>
      <w:r>
        <w:t>2.6 “日期”指公历日。</w:t>
      </w:r>
    </w:p>
    <w:p>
      <w:pPr>
        <w:ind w:firstLine="411" w:firstLineChars="196"/>
      </w:pPr>
      <w:r>
        <w:t>2.7 “合同”指由本次招标所产生的合同或合约文件。</w:t>
      </w:r>
    </w:p>
    <w:p>
      <w:pPr>
        <w:ind w:firstLine="411" w:firstLineChars="196"/>
      </w:pPr>
      <w:r>
        <w:t>2.8 “纸质投标文件”指根据本招标文件模板的要求规范填写，打印输出并盖有单位公章的投标文件原件。</w:t>
      </w:r>
    </w:p>
    <w:p>
      <w:pPr>
        <w:ind w:firstLine="411" w:firstLineChars="196"/>
      </w:pPr>
      <w:r>
        <w:t>2.9 “现场投标”指在规定时间内直接向政府采购代理机构提交纸质投标文件。</w:t>
      </w:r>
    </w:p>
    <w:p>
      <w:pPr>
        <w:ind w:firstLine="411" w:firstLineChars="196"/>
      </w:pPr>
      <w:r>
        <w:t>2.10  招标文件中的标题或题名仅起引导作用，而不应视为对招标文件内容的理解和解释。</w:t>
      </w:r>
    </w:p>
    <w:p>
      <w:pPr>
        <w:spacing w:line="360" w:lineRule="auto"/>
        <w:rPr>
          <w:rFonts w:eastAsia="黑体"/>
          <w:sz w:val="24"/>
        </w:rPr>
      </w:pPr>
      <w:bookmarkStart w:id="15" w:name="_Toc73518121"/>
      <w:bookmarkStart w:id="16" w:name="_Toc73521639"/>
      <w:bookmarkStart w:id="17" w:name="_Toc73521551"/>
      <w:bookmarkStart w:id="18" w:name="_Toc60631624"/>
      <w:bookmarkStart w:id="19" w:name="_Toc100052368"/>
      <w:bookmarkStart w:id="20" w:name="_Toc73517643"/>
      <w:bookmarkStart w:id="21" w:name="_Toc60560629"/>
      <w:r>
        <w:rPr>
          <w:rFonts w:eastAsia="黑体"/>
          <w:sz w:val="24"/>
        </w:rPr>
        <w:t>3．投标人的资质要求</w:t>
      </w:r>
      <w:bookmarkEnd w:id="15"/>
      <w:bookmarkEnd w:id="16"/>
      <w:bookmarkEnd w:id="17"/>
      <w:bookmarkEnd w:id="18"/>
      <w:bookmarkEnd w:id="19"/>
      <w:bookmarkEnd w:id="20"/>
      <w:bookmarkEnd w:id="21"/>
    </w:p>
    <w:p>
      <w:pPr>
        <w:ind w:firstLine="411" w:firstLineChars="196"/>
        <w:rPr>
          <w:b/>
          <w:bCs/>
        </w:rPr>
      </w:pPr>
      <w:r>
        <w:t>3.1  参加政府采购活动投标人应当具备条件：</w:t>
      </w:r>
      <w:r>
        <w:rPr>
          <w:b/>
          <w:bCs/>
        </w:rPr>
        <w:t>（见招标公告有关资质要求）</w:t>
      </w:r>
    </w:p>
    <w:p>
      <w:bookmarkStart w:id="22" w:name="_Toc73517645"/>
      <w:bookmarkStart w:id="23" w:name="_Toc73518123"/>
      <w:bookmarkStart w:id="24" w:name="_Toc100052370"/>
      <w:bookmarkStart w:id="25" w:name="_Toc73521553"/>
      <w:bookmarkStart w:id="26" w:name="_Toc60560631"/>
      <w:bookmarkStart w:id="27" w:name="_Toc73521641"/>
      <w:bookmarkStart w:id="28" w:name="_Toc60631626"/>
      <w:r>
        <w:rPr>
          <w:rFonts w:eastAsia="黑体"/>
          <w:sz w:val="24"/>
        </w:rPr>
        <w:t>4．联合体投标</w:t>
      </w:r>
    </w:p>
    <w:p>
      <w:pPr>
        <w:ind w:firstLine="411" w:firstLineChars="196"/>
      </w:pPr>
      <w:r>
        <w:t>4.1 除非招标公告中允许投标人组成联合体投标，否则以下有关联合体投标的条款不予考虑。</w:t>
      </w:r>
    </w:p>
    <w:p>
      <w:pPr>
        <w:ind w:firstLine="411" w:firstLineChars="196"/>
      </w:pPr>
      <w:r>
        <w:t>4.2 由两个或两个以上法人组成一个联合体以一个投标人的身份共同投标时，应符合以下原则：</w:t>
      </w:r>
    </w:p>
    <w:p>
      <w:pPr>
        <w:ind w:firstLine="411" w:firstLineChars="196"/>
      </w:pPr>
      <w:r>
        <w:t>4.2.1投标联合体各方参加政府采购活动应当具备下列条件：</w:t>
      </w:r>
    </w:p>
    <w:p>
      <w:pPr>
        <w:ind w:left="420" w:leftChars="200" w:firstLine="411" w:firstLineChars="196"/>
      </w:pPr>
      <w:r>
        <w:t>① 具有独立承担民事责任的能力；</w:t>
      </w:r>
    </w:p>
    <w:p>
      <w:pPr>
        <w:ind w:left="420" w:firstLine="411" w:firstLineChars="196"/>
      </w:pPr>
      <w:r>
        <w:t>② 有良好的商业信誉和健全的财务会计制度；</w:t>
      </w:r>
    </w:p>
    <w:p>
      <w:pPr>
        <w:ind w:left="420" w:leftChars="200" w:firstLine="411" w:firstLineChars="196"/>
      </w:pPr>
      <w:r>
        <w:t>③ 具有履行合同所必需的产品和专业技术能力；</w:t>
      </w:r>
    </w:p>
    <w:p>
      <w:pPr>
        <w:ind w:left="420" w:leftChars="200" w:firstLine="411" w:firstLineChars="196"/>
      </w:pPr>
      <w:r>
        <w:t>④ 有依法缴纳税收和社会保障资金的良好记录；</w:t>
      </w:r>
    </w:p>
    <w:p>
      <w:pPr>
        <w:ind w:left="420" w:leftChars="200" w:firstLine="411" w:firstLineChars="196"/>
      </w:pPr>
      <w:r>
        <w:t>⑤ 参加政府采购活动前三年内，在经营活动中没有重大违法记录；</w:t>
      </w:r>
    </w:p>
    <w:p>
      <w:pPr>
        <w:ind w:left="420" w:leftChars="200" w:firstLine="411" w:firstLineChars="196"/>
      </w:pPr>
      <w:r>
        <w:t>⑥ 法律、行政法规规定的其他条件。</w:t>
      </w:r>
    </w:p>
    <w:p>
      <w:pPr>
        <w:ind w:firstLine="411" w:firstLineChars="196"/>
      </w:pPr>
      <w:r>
        <w:t>4.2.</w:t>
      </w:r>
      <w:r>
        <w:rPr>
          <w:rFonts w:hint="eastAsia"/>
        </w:rPr>
        <w:t>2</w:t>
      </w:r>
      <w:r>
        <w:t>对于招标公告中所要求投标人应具有的某一资质，若联合体各方均具有，则将以联合体各方中最低的资质等级作为联合体在这一资质条件上的资质等级；联合体各方的不同资质可优势互补。</w:t>
      </w:r>
    </w:p>
    <w:p>
      <w:pPr>
        <w:ind w:firstLine="411" w:firstLineChars="196"/>
      </w:pPr>
      <w:r>
        <w:t>4.2.</w:t>
      </w:r>
      <w:r>
        <w:rPr>
          <w:rFonts w:hint="eastAsia"/>
        </w:rPr>
        <w:t>3</w:t>
      </w:r>
      <w:r>
        <w:t>投标人的投标文件及中标后签署的合同协议对联合体各方均具法律约束力；</w:t>
      </w:r>
    </w:p>
    <w:p>
      <w:pPr>
        <w:ind w:firstLine="411" w:firstLineChars="196"/>
      </w:pPr>
      <w:r>
        <w:t>4.2.</w:t>
      </w:r>
      <w:r>
        <w:rPr>
          <w:rFonts w:hint="eastAsia"/>
        </w:rPr>
        <w:t>4</w:t>
      </w:r>
      <w:r>
        <w:t>联合体各方应当签订共同投标协议，明确约定各方拟承担的工作和责任，并将该共同投标协议随投标文件一并递交给政府采购代理机构；</w:t>
      </w:r>
    </w:p>
    <w:p>
      <w:pPr>
        <w:ind w:firstLine="411" w:firstLineChars="196"/>
      </w:pPr>
      <w:r>
        <w:t>4.2.</w:t>
      </w:r>
      <w:r>
        <w:rPr>
          <w:rFonts w:hint="eastAsia"/>
        </w:rPr>
        <w:t>5</w:t>
      </w:r>
      <w:r>
        <w:t>联合体中标后，联合体各方应当共同与采购单位签订合同，就中标项目向采购单位承担连带责任；</w:t>
      </w:r>
    </w:p>
    <w:p>
      <w:pPr>
        <w:ind w:firstLine="411" w:firstLineChars="196"/>
      </w:pPr>
      <w:r>
        <w:t>4.2.</w:t>
      </w:r>
      <w:r>
        <w:rPr>
          <w:rFonts w:hint="eastAsia"/>
        </w:rPr>
        <w:t>6</w:t>
      </w:r>
      <w:r>
        <w:t>联合体的各方应当共同推荐一联合体投标授权代表人，由联合体各方提交一份授权书，证明其有资格代表联合体各方签署投标文件，该授权书作为投标文件的组成部分一并提交给政府采购代理机构；</w:t>
      </w:r>
    </w:p>
    <w:p>
      <w:pPr>
        <w:ind w:firstLine="411" w:firstLineChars="196"/>
      </w:pPr>
      <w:r>
        <w:t>4.2.</w:t>
      </w:r>
      <w:r>
        <w:rPr>
          <w:rFonts w:hint="eastAsia"/>
        </w:rPr>
        <w:t>7</w:t>
      </w:r>
      <w:r>
        <w:t>参加联合体的各方不得再以自己的名义单独投标，不得同时参加两个或两个以上的联合体投标、不得以分包商或其它形式参与投标，出现上述情况者，其投标和与此有关联合体、总包单位的投标将被拒绝；</w:t>
      </w:r>
    </w:p>
    <w:p>
      <w:pPr>
        <w:ind w:firstLine="411" w:firstLineChars="196"/>
      </w:pPr>
      <w:r>
        <w:t>4.2.</w:t>
      </w:r>
      <w:r>
        <w:rPr>
          <w:rFonts w:hint="eastAsia"/>
        </w:rPr>
        <w:t>8</w:t>
      </w:r>
      <w:r>
        <w:t>除非另有规定或说明，本须知中“投标人”一词亦指联合体各方。</w:t>
      </w:r>
    </w:p>
    <w:p>
      <w:pPr>
        <w:spacing w:line="360" w:lineRule="auto"/>
        <w:rPr>
          <w:rFonts w:eastAsia="黑体"/>
          <w:sz w:val="24"/>
        </w:rPr>
      </w:pPr>
      <w:r>
        <w:rPr>
          <w:rFonts w:eastAsia="黑体"/>
          <w:sz w:val="24"/>
        </w:rPr>
        <w:t>5．投标费用</w:t>
      </w:r>
      <w:bookmarkEnd w:id="22"/>
      <w:bookmarkEnd w:id="23"/>
      <w:bookmarkEnd w:id="24"/>
      <w:bookmarkEnd w:id="25"/>
      <w:bookmarkEnd w:id="26"/>
      <w:bookmarkEnd w:id="27"/>
      <w:bookmarkEnd w:id="28"/>
    </w:p>
    <w:p>
      <w:pPr>
        <w:ind w:firstLine="411" w:firstLineChars="196"/>
      </w:pPr>
      <w:r>
        <w:t>不论投标结果如何，投标人应承担其编制投标文件与递交投标文件所涉及的一切费用。</w:t>
      </w:r>
    </w:p>
    <w:p>
      <w:pPr>
        <w:spacing w:line="360" w:lineRule="auto"/>
        <w:rPr>
          <w:rFonts w:eastAsia="黑体"/>
          <w:sz w:val="24"/>
        </w:rPr>
      </w:pPr>
      <w:bookmarkStart w:id="29" w:name="_Toc60560632"/>
      <w:bookmarkStart w:id="30" w:name="_Toc73518124"/>
      <w:bookmarkStart w:id="31" w:name="_Toc73521554"/>
      <w:bookmarkStart w:id="32" w:name="_Toc73517646"/>
      <w:bookmarkStart w:id="33" w:name="_Toc100052371"/>
      <w:bookmarkStart w:id="34" w:name="_Toc73521642"/>
      <w:bookmarkStart w:id="35" w:name="_Toc60631627"/>
      <w:r>
        <w:rPr>
          <w:rFonts w:eastAsia="黑体"/>
          <w:sz w:val="24"/>
        </w:rPr>
        <w:t>6．踏勘现场</w:t>
      </w:r>
      <w:bookmarkEnd w:id="29"/>
      <w:bookmarkEnd w:id="30"/>
      <w:bookmarkEnd w:id="31"/>
      <w:bookmarkEnd w:id="32"/>
      <w:bookmarkEnd w:id="33"/>
      <w:bookmarkEnd w:id="34"/>
      <w:bookmarkEnd w:id="35"/>
    </w:p>
    <w:p>
      <w:pPr>
        <w:ind w:firstLine="411" w:firstLineChars="196"/>
      </w:pPr>
      <w:bookmarkStart w:id="36" w:name="_Toc78260681"/>
      <w:bookmarkStart w:id="37" w:name="_Toc100052372"/>
      <w:r>
        <w:t>6.1如有需要，政府采购代理机构或采购单位将组织投标人对项目现场及周围环境进行踏勘，以便投标人获取有关编制投标文件和签署合同所需的所有资料。踏勘现场所发生的费用由投标人自己承担，投标人应按采购公告所约定的时间、地点统一踏勘现场。</w:t>
      </w:r>
    </w:p>
    <w:p>
      <w:pPr>
        <w:ind w:firstLine="411" w:firstLineChars="196"/>
      </w:pPr>
      <w:r>
        <w:t>6.2投标人及其人员经过采购单位的允许，可以踏勘目的进入采购单位的项目现场。投标人未参与统一组织踏勘现场的，采购单位有权拒绝其进入项目现场。</w:t>
      </w:r>
    </w:p>
    <w:p>
      <w:pPr>
        <w:ind w:firstLine="411" w:firstLineChars="196"/>
      </w:pPr>
      <w:r>
        <w:t>6.3采购单位必须通过政府采购代理机构向投标人提供有关现场的资料和数据。</w:t>
      </w:r>
    </w:p>
    <w:p>
      <w:pPr>
        <w:ind w:firstLine="411" w:firstLineChars="196"/>
      </w:pPr>
      <w:r>
        <w:t>6.4任何人或任何组织在踏勘现场时向投标人提交的任何书面或口头上的资料，未经政府采购代理机构在网上发布或书面通知，均作无效处理。政府采购代理机构对投标人由此而做出的推论、理解和结论概不负责。</w:t>
      </w:r>
    </w:p>
    <w:p>
      <w:pPr>
        <w:ind w:firstLine="411" w:firstLineChars="196"/>
      </w:pPr>
      <w:r>
        <w:t>6.5 未参与现场踏勘不作为否定投标人资格的理由。</w:t>
      </w:r>
    </w:p>
    <w:p>
      <w:pPr>
        <w:spacing w:line="360" w:lineRule="auto"/>
        <w:rPr>
          <w:rFonts w:eastAsia="黑体"/>
          <w:sz w:val="24"/>
        </w:rPr>
      </w:pPr>
      <w:r>
        <w:rPr>
          <w:rFonts w:eastAsia="黑体"/>
          <w:sz w:val="24"/>
        </w:rPr>
        <w:t>7．招标</w:t>
      </w:r>
      <w:bookmarkEnd w:id="36"/>
      <w:r>
        <w:rPr>
          <w:rFonts w:eastAsia="黑体"/>
          <w:sz w:val="24"/>
        </w:rPr>
        <w:t>答疑</w:t>
      </w:r>
      <w:bookmarkEnd w:id="37"/>
    </w:p>
    <w:p>
      <w:pPr>
        <w:ind w:firstLine="411" w:firstLineChars="196"/>
      </w:pPr>
      <w:r>
        <w:t>7.1  任何要求对招标文件进行澄清的投标人，均应于“招标公告”中所述答疑截止时间前通知政府采购代理机构。政府采购代理机构对规定时间内收到的对招标文件的澄清，视情况予以答复。具体答疑方式请见本招标文件第二部分第一章之规定。</w:t>
      </w:r>
    </w:p>
    <w:p>
      <w:pPr>
        <w:pStyle w:val="3"/>
        <w:widowControl w:val="0"/>
        <w:numPr>
          <w:ilvl w:val="0"/>
          <w:numId w:val="3"/>
        </w:numPr>
        <w:tabs>
          <w:tab w:val="left" w:pos="360"/>
        </w:tabs>
        <w:adjustRightInd w:val="0"/>
        <w:spacing w:beforeLines="50" w:afterLines="50" w:line="240" w:lineRule="auto"/>
        <w:ind w:left="0" w:firstLine="0"/>
        <w:jc w:val="center"/>
        <w:textAlignment w:val="baseline"/>
        <w:rPr>
          <w:rFonts w:ascii="Times New Roman" w:hAnsi="Times New Roman"/>
          <w:sz w:val="28"/>
          <w:szCs w:val="28"/>
        </w:rPr>
      </w:pPr>
      <w:bookmarkStart w:id="38" w:name="bt招标文件"/>
      <w:bookmarkEnd w:id="38"/>
      <w:bookmarkStart w:id="39" w:name="_Toc73518126"/>
      <w:bookmarkStart w:id="40" w:name="_Toc73517648"/>
      <w:bookmarkStart w:id="41" w:name="_Toc100052373"/>
      <w:bookmarkStart w:id="42" w:name="_Toc73521556"/>
      <w:bookmarkStart w:id="43" w:name="_Toc101074878"/>
      <w:bookmarkStart w:id="44" w:name="_Toc73521644"/>
      <w:r>
        <w:rPr>
          <w:rFonts w:ascii="Times New Roman" w:hAnsi="Times New Roman"/>
          <w:sz w:val="28"/>
          <w:szCs w:val="28"/>
        </w:rPr>
        <w:t>招标文件</w:t>
      </w:r>
      <w:bookmarkEnd w:id="39"/>
      <w:bookmarkEnd w:id="40"/>
      <w:bookmarkEnd w:id="41"/>
      <w:bookmarkEnd w:id="42"/>
      <w:bookmarkEnd w:id="43"/>
      <w:bookmarkEnd w:id="44"/>
    </w:p>
    <w:p>
      <w:pPr>
        <w:spacing w:line="360" w:lineRule="auto"/>
        <w:rPr>
          <w:rFonts w:eastAsia="黑体"/>
          <w:sz w:val="24"/>
        </w:rPr>
      </w:pPr>
      <w:bookmarkStart w:id="45" w:name="_Toc73521557"/>
      <w:bookmarkStart w:id="46" w:name="_Toc73521645"/>
      <w:bookmarkStart w:id="47" w:name="_Toc73517649"/>
      <w:bookmarkStart w:id="48" w:name="_Toc73518127"/>
      <w:bookmarkStart w:id="49" w:name="_Toc100052374"/>
      <w:r>
        <w:rPr>
          <w:rFonts w:eastAsia="黑体"/>
          <w:sz w:val="24"/>
        </w:rPr>
        <w:t>8．招标文件的编制与组成</w:t>
      </w:r>
      <w:bookmarkEnd w:id="45"/>
      <w:bookmarkEnd w:id="46"/>
      <w:bookmarkEnd w:id="47"/>
      <w:bookmarkEnd w:id="48"/>
      <w:bookmarkEnd w:id="49"/>
    </w:p>
    <w:p>
      <w:pPr>
        <w:snapToGrid w:val="0"/>
        <w:ind w:firstLine="420" w:firstLineChars="200"/>
      </w:pPr>
      <w:r>
        <w:t>8.1招标文件除以下内容外，政府采购代理机构在招标（或谈判）期间发出的答疑纪要和其他补充修改函件，均是招标文件的组成部分，对投标人起约束作用；</w:t>
      </w:r>
    </w:p>
    <w:p>
      <w:pPr>
        <w:ind w:firstLine="411" w:firstLineChars="196"/>
      </w:pPr>
      <w:r>
        <w:t>招标文件包括下列内容：</w:t>
      </w:r>
    </w:p>
    <w:p>
      <w:pPr>
        <w:ind w:left="420" w:leftChars="200" w:firstLine="413" w:firstLineChars="196"/>
        <w:jc w:val="left"/>
        <w:rPr>
          <w:b/>
        </w:rPr>
      </w:pPr>
      <w:r>
        <w:rPr>
          <w:b/>
        </w:rPr>
        <w:t>第一部分投标须知</w:t>
      </w:r>
    </w:p>
    <w:p>
      <w:pPr>
        <w:numPr>
          <w:ilvl w:val="1"/>
          <w:numId w:val="0"/>
        </w:numPr>
        <w:tabs>
          <w:tab w:val="left" w:pos="360"/>
        </w:tabs>
        <w:ind w:firstLine="1079" w:firstLineChars="514"/>
        <w:jc w:val="left"/>
      </w:pPr>
      <w:r>
        <w:t>第一章总则</w:t>
      </w:r>
    </w:p>
    <w:p>
      <w:pPr>
        <w:numPr>
          <w:ilvl w:val="1"/>
          <w:numId w:val="0"/>
        </w:numPr>
        <w:tabs>
          <w:tab w:val="left" w:pos="360"/>
        </w:tabs>
        <w:ind w:firstLine="1079" w:firstLineChars="514"/>
        <w:jc w:val="left"/>
      </w:pPr>
      <w:r>
        <w:t>第二章招标文件</w:t>
      </w:r>
    </w:p>
    <w:p>
      <w:pPr>
        <w:numPr>
          <w:ilvl w:val="1"/>
          <w:numId w:val="0"/>
        </w:numPr>
        <w:tabs>
          <w:tab w:val="left" w:pos="360"/>
        </w:tabs>
        <w:ind w:firstLine="1079" w:firstLineChars="514"/>
      </w:pPr>
      <w:r>
        <w:t>第三章投标文件的编制</w:t>
      </w:r>
    </w:p>
    <w:p>
      <w:pPr>
        <w:numPr>
          <w:ilvl w:val="1"/>
          <w:numId w:val="0"/>
        </w:numPr>
        <w:tabs>
          <w:tab w:val="left" w:pos="360"/>
        </w:tabs>
        <w:ind w:firstLine="1079" w:firstLineChars="514"/>
      </w:pPr>
      <w:r>
        <w:t>第四章投标文件的递交</w:t>
      </w:r>
    </w:p>
    <w:p>
      <w:pPr>
        <w:numPr>
          <w:ilvl w:val="1"/>
          <w:numId w:val="0"/>
        </w:numPr>
        <w:tabs>
          <w:tab w:val="left" w:pos="360"/>
        </w:tabs>
        <w:ind w:firstLine="1079" w:firstLineChars="514"/>
      </w:pPr>
      <w:r>
        <w:t>第五章开标</w:t>
      </w:r>
    </w:p>
    <w:p>
      <w:pPr>
        <w:numPr>
          <w:ilvl w:val="1"/>
          <w:numId w:val="0"/>
        </w:numPr>
        <w:tabs>
          <w:tab w:val="left" w:pos="360"/>
        </w:tabs>
        <w:ind w:firstLine="1079" w:firstLineChars="514"/>
      </w:pPr>
      <w:r>
        <w:t>第六章评标要求</w:t>
      </w:r>
    </w:p>
    <w:p>
      <w:pPr>
        <w:numPr>
          <w:ilvl w:val="1"/>
          <w:numId w:val="0"/>
        </w:numPr>
        <w:tabs>
          <w:tab w:val="left" w:pos="360"/>
        </w:tabs>
        <w:ind w:firstLine="1079" w:firstLineChars="514"/>
      </w:pPr>
      <w:r>
        <w:t>第七章评标程序及评标方法</w:t>
      </w:r>
    </w:p>
    <w:p>
      <w:pPr>
        <w:numPr>
          <w:ilvl w:val="1"/>
          <w:numId w:val="0"/>
        </w:numPr>
        <w:tabs>
          <w:tab w:val="left" w:pos="360"/>
        </w:tabs>
        <w:ind w:firstLine="1079" w:firstLineChars="514"/>
      </w:pPr>
      <w:r>
        <w:t>第八章公开招标失败的后续处理</w:t>
      </w:r>
    </w:p>
    <w:p>
      <w:pPr>
        <w:numPr>
          <w:ilvl w:val="1"/>
          <w:numId w:val="0"/>
        </w:numPr>
        <w:tabs>
          <w:tab w:val="left" w:pos="360"/>
        </w:tabs>
        <w:ind w:firstLine="1079" w:firstLineChars="514"/>
      </w:pPr>
      <w:r>
        <w:t>第九章合同的授予</w:t>
      </w:r>
    </w:p>
    <w:p>
      <w:pPr>
        <w:ind w:left="420" w:leftChars="200" w:firstLine="413" w:firstLineChars="196"/>
        <w:rPr>
          <w:b/>
        </w:rPr>
      </w:pPr>
      <w:r>
        <w:rPr>
          <w:b/>
        </w:rPr>
        <w:t>第二部分招标项目要求</w:t>
      </w:r>
    </w:p>
    <w:p>
      <w:pPr>
        <w:ind w:left="630" w:leftChars="300" w:firstLine="411" w:firstLineChars="196"/>
      </w:pPr>
      <w:r>
        <w:t>第一章招标公告</w:t>
      </w:r>
    </w:p>
    <w:p>
      <w:pPr>
        <w:ind w:left="630" w:leftChars="300" w:firstLine="411" w:firstLineChars="196"/>
      </w:pPr>
      <w:r>
        <w:t>第二章</w:t>
      </w:r>
      <w:r>
        <w:rPr>
          <w:rFonts w:hint="eastAsia"/>
        </w:rPr>
        <w:t>对通用条款的补充内容及其他关键信息</w:t>
      </w:r>
    </w:p>
    <w:p>
      <w:pPr>
        <w:ind w:left="630" w:leftChars="300" w:firstLine="411" w:firstLineChars="196"/>
      </w:pPr>
      <w:r>
        <w:rPr>
          <w:rFonts w:hint="eastAsia"/>
        </w:rPr>
        <w:t>第三章用户需求书</w:t>
      </w:r>
    </w:p>
    <w:p>
      <w:pPr>
        <w:ind w:left="420" w:leftChars="200" w:firstLine="413" w:firstLineChars="196"/>
        <w:rPr>
          <w:b/>
        </w:rPr>
      </w:pPr>
      <w:r>
        <w:rPr>
          <w:b/>
        </w:rPr>
        <w:t>第三部分格式及附件</w:t>
      </w:r>
    </w:p>
    <w:p>
      <w:pPr>
        <w:ind w:left="630" w:leftChars="300" w:firstLine="411" w:firstLineChars="196"/>
      </w:pPr>
      <w:r>
        <w:t>第一章合同条款及格式</w:t>
      </w:r>
    </w:p>
    <w:p>
      <w:pPr>
        <w:ind w:left="630" w:leftChars="300" w:firstLine="411" w:firstLineChars="196"/>
      </w:pPr>
      <w:r>
        <w:t>第二章投标文件格式、附件</w:t>
      </w:r>
    </w:p>
    <w:p>
      <w:pPr>
        <w:ind w:left="630" w:leftChars="300" w:firstLine="411" w:firstLineChars="196"/>
      </w:pPr>
      <w:r>
        <w:t>第三章政府采购履约异常情况反馈表</w:t>
      </w:r>
    </w:p>
    <w:p>
      <w:pPr>
        <w:ind w:firstLine="411" w:firstLineChars="196"/>
      </w:pPr>
      <w:r>
        <w:t>8.2投标人获得招标文件后，应仔细检查招标文件的所有内容，如有残缺应在投标答疑截止时间之前向政府采购代理机构提出，否则，由此引起的投标损失自负；投标人同时应认真审阅招标文件所有的事项、格式、条款和规范要求等，如果投标人的投标文件没有按招标文件要求提交全部资料或者投标文件没有对招标文件做出实质性响应，其风险应由投标人自行承担，并根据有关条款规定，其投标有可能被拒绝。</w:t>
      </w:r>
    </w:p>
    <w:p>
      <w:pPr>
        <w:ind w:firstLine="411" w:firstLineChars="196"/>
      </w:pPr>
      <w:r>
        <w:t>8.3任何人或任何组织向投标人提交的任何书面或口头资料，未经政府采购代理机构在网上发布或书面通知，均作无效处理，不得作为招标文件的组成部分。政府采购代理机构对投标人由此而做出的推论、理解和结论概不负责。</w:t>
      </w:r>
    </w:p>
    <w:p>
      <w:pPr>
        <w:spacing w:line="360" w:lineRule="auto"/>
        <w:rPr>
          <w:rFonts w:eastAsia="黑体"/>
          <w:sz w:val="24"/>
        </w:rPr>
      </w:pPr>
      <w:bookmarkStart w:id="50" w:name="_Toc60560636"/>
      <w:bookmarkStart w:id="51" w:name="_Toc60631631"/>
      <w:bookmarkStart w:id="52" w:name="_Toc73521558"/>
      <w:bookmarkStart w:id="53" w:name="_Toc73517650"/>
      <w:bookmarkStart w:id="54" w:name="_Toc73518128"/>
      <w:bookmarkStart w:id="55" w:name="_Toc100052375"/>
      <w:bookmarkStart w:id="56" w:name="_Toc73521646"/>
      <w:bookmarkStart w:id="57" w:name="_Toc73521559"/>
      <w:bookmarkStart w:id="58" w:name="_Toc60560637"/>
      <w:bookmarkStart w:id="59" w:name="_Toc73517651"/>
      <w:bookmarkStart w:id="60" w:name="_Toc73518129"/>
      <w:bookmarkStart w:id="61" w:name="_Toc60631632"/>
      <w:bookmarkStart w:id="62" w:name="_Toc100052376"/>
      <w:bookmarkStart w:id="63" w:name="_Toc73521647"/>
      <w:r>
        <w:rPr>
          <w:rFonts w:eastAsia="黑体"/>
          <w:sz w:val="24"/>
        </w:rPr>
        <w:t>9．招标文件的澄清</w:t>
      </w:r>
      <w:bookmarkEnd w:id="50"/>
      <w:bookmarkEnd w:id="51"/>
      <w:bookmarkEnd w:id="52"/>
      <w:bookmarkEnd w:id="53"/>
      <w:bookmarkEnd w:id="54"/>
      <w:bookmarkEnd w:id="55"/>
      <w:bookmarkEnd w:id="56"/>
    </w:p>
    <w:p>
      <w:pPr>
        <w:snapToGrid w:val="0"/>
        <w:ind w:firstLine="420" w:firstLineChars="200"/>
      </w:pPr>
      <w:r>
        <w:t>9.1  任何要求对招标文件进行澄清的投标人，均应于“招标公告”中所述答疑截止时间前通知政府集中代理机构。政府采购代理机构对规定时间内收到的对招标文件的澄清，视情况予以答复。具体答疑方式请见本招标文件第二部分第一章之规定。</w:t>
      </w:r>
    </w:p>
    <w:p>
      <w:pPr>
        <w:snapToGrid w:val="0"/>
        <w:ind w:firstLine="420" w:firstLineChars="200"/>
      </w:pPr>
      <w:r>
        <w:t>9.2  投标供应商若认为招标文件的技术要求有倾向性或不公正性，可在招标答疑阶段提出，以维护招标行为的公平、公正。</w:t>
      </w:r>
    </w:p>
    <w:p>
      <w:pPr>
        <w:snapToGrid w:val="0"/>
        <w:ind w:firstLine="420" w:firstLineChars="200"/>
      </w:pPr>
      <w:r>
        <w:t>9.3  对于没有提出澄清又参与了该项目投标的供应商将被视为完全认同该招标文件，投标截止期后不再受理针对招标文件的相关投诉。</w:t>
      </w:r>
    </w:p>
    <w:p>
      <w:pPr>
        <w:snapToGrid w:val="0"/>
        <w:ind w:firstLine="420" w:firstLineChars="200"/>
      </w:pPr>
      <w:r>
        <w:t>9.4  对采购文件中描述有歧意或前后不一致的地方，评标委员会有权进行评判，但对同一条款的评判应适用于每个投标人。</w:t>
      </w:r>
    </w:p>
    <w:p>
      <w:pPr>
        <w:spacing w:line="360" w:lineRule="auto"/>
        <w:rPr>
          <w:rFonts w:eastAsia="黑体"/>
          <w:sz w:val="24"/>
        </w:rPr>
      </w:pPr>
      <w:r>
        <w:rPr>
          <w:rFonts w:eastAsia="黑体"/>
          <w:sz w:val="24"/>
        </w:rPr>
        <w:t>10．招标文件的修改</w:t>
      </w:r>
      <w:bookmarkEnd w:id="57"/>
      <w:bookmarkEnd w:id="58"/>
      <w:bookmarkEnd w:id="59"/>
      <w:bookmarkEnd w:id="60"/>
      <w:bookmarkEnd w:id="61"/>
      <w:bookmarkEnd w:id="62"/>
      <w:bookmarkEnd w:id="63"/>
    </w:p>
    <w:p>
      <w:pPr>
        <w:ind w:firstLine="411" w:firstLineChars="196"/>
      </w:pPr>
      <w:r>
        <w:t>10.1 招标文件发出后，在投标截止日期前任何时候，确需要变更招标内容的，政府采购代理机构可主动地或在解答投标人提出的澄清问题时对招标文件进行修改；</w:t>
      </w:r>
    </w:p>
    <w:p>
      <w:pPr>
        <w:ind w:firstLine="420" w:firstLineChars="200"/>
      </w:pPr>
      <w:r>
        <w:t>10.2 招标文件的修改均在“</w:t>
      </w:r>
      <w:r>
        <w:rPr>
          <w:rFonts w:hint="eastAsia" w:ascii="宋体" w:hAnsi="宋体" w:cs="宋体"/>
        </w:rPr>
        <w:t>深圳政府采购网</w:t>
      </w:r>
      <w:r>
        <w:t>”（</w:t>
      </w:r>
      <w:r>
        <w:rPr>
          <w:rFonts w:ascii="宋体" w:hAnsi="宋体" w:cs="宋体"/>
        </w:rPr>
        <w:t>http://www.szzfcg.cn/</w:t>
      </w:r>
      <w:r>
        <w:t>）、“深圳市建星公司网”（www.sz-jstar.com）以网上公告形式发布，并对投标人具有约束力，在项目开标前，投标人有义务上网查看，公告一经上网发布，即视为送达。</w:t>
      </w:r>
    </w:p>
    <w:p>
      <w:pPr>
        <w:ind w:firstLine="411" w:firstLineChars="196"/>
      </w:pPr>
      <w:r>
        <w:t>10.3 招标文件、招标文件澄清（答疑）纪要、招标文件修改补充通知内容均以书面明确的内容为准。当招标文件、修改补充通知、澄清（答疑）纪要内容相互矛盾时，以最后发出的通知（或纪要）或修改文件为准；</w:t>
      </w:r>
    </w:p>
    <w:p>
      <w:pPr>
        <w:ind w:firstLine="411" w:firstLineChars="196"/>
      </w:pPr>
      <w:r>
        <w:t>10.4 政府采购代理机构保证招标文件澄清（答疑）纪要和招标文件修改补充通知在投标截止时间前以网站公开发布形式或书面形式发送给所有投标人。为使投标人在编写投标文件时有充分时间对招标文件的修改部分进行研究，政府采购代理机构可以酌情延长递交投标文件的截止日期，具体时间将在修改补充通知中明确。</w:t>
      </w:r>
    </w:p>
    <w:p>
      <w:pPr>
        <w:pStyle w:val="3"/>
        <w:widowControl w:val="0"/>
        <w:numPr>
          <w:ilvl w:val="0"/>
          <w:numId w:val="3"/>
        </w:numPr>
        <w:tabs>
          <w:tab w:val="left" w:pos="360"/>
        </w:tabs>
        <w:adjustRightInd w:val="0"/>
        <w:spacing w:beforeLines="50" w:afterLines="50" w:line="240" w:lineRule="auto"/>
        <w:ind w:left="0" w:firstLine="0"/>
        <w:jc w:val="center"/>
        <w:textAlignment w:val="baseline"/>
        <w:rPr>
          <w:rFonts w:ascii="Times New Roman" w:hAnsi="Times New Roman"/>
          <w:sz w:val="28"/>
          <w:szCs w:val="28"/>
        </w:rPr>
      </w:pPr>
      <w:bookmarkStart w:id="64" w:name="bt投标文件"/>
      <w:bookmarkEnd w:id="64"/>
      <w:bookmarkStart w:id="65" w:name="_Toc100052377"/>
      <w:bookmarkStart w:id="66" w:name="_Toc73521648"/>
      <w:bookmarkStart w:id="67" w:name="_Toc73517652"/>
      <w:bookmarkStart w:id="68" w:name="_Toc101074879"/>
      <w:bookmarkStart w:id="69" w:name="_Toc73521560"/>
      <w:bookmarkStart w:id="70" w:name="_Toc73518130"/>
      <w:r>
        <w:rPr>
          <w:rFonts w:ascii="Times New Roman" w:hAnsi="Times New Roman"/>
          <w:sz w:val="28"/>
          <w:szCs w:val="28"/>
        </w:rPr>
        <w:t>投标文件</w:t>
      </w:r>
      <w:bookmarkEnd w:id="65"/>
      <w:bookmarkEnd w:id="66"/>
      <w:bookmarkEnd w:id="67"/>
      <w:bookmarkEnd w:id="68"/>
      <w:bookmarkEnd w:id="69"/>
      <w:bookmarkEnd w:id="70"/>
      <w:r>
        <w:rPr>
          <w:rFonts w:ascii="Times New Roman" w:hAnsi="Times New Roman"/>
          <w:sz w:val="28"/>
          <w:szCs w:val="28"/>
        </w:rPr>
        <w:t>的编制</w:t>
      </w:r>
    </w:p>
    <w:p>
      <w:pPr>
        <w:spacing w:line="360" w:lineRule="auto"/>
        <w:rPr>
          <w:rFonts w:eastAsia="黑体"/>
          <w:sz w:val="24"/>
        </w:rPr>
      </w:pPr>
      <w:bookmarkStart w:id="71" w:name="_Toc73518131"/>
      <w:bookmarkStart w:id="72" w:name="_Toc100052378"/>
      <w:bookmarkStart w:id="73" w:name="_Toc60560639"/>
      <w:bookmarkStart w:id="74" w:name="_Toc73521561"/>
      <w:bookmarkStart w:id="75" w:name="_Toc60631634"/>
      <w:bookmarkStart w:id="76" w:name="_Toc73517653"/>
      <w:bookmarkStart w:id="77" w:name="_Toc73521649"/>
      <w:r>
        <w:rPr>
          <w:rFonts w:eastAsia="黑体"/>
          <w:sz w:val="24"/>
        </w:rPr>
        <w:t>11．投标文件的语言及度量单位</w:t>
      </w:r>
      <w:bookmarkEnd w:id="71"/>
      <w:bookmarkEnd w:id="72"/>
      <w:bookmarkEnd w:id="73"/>
      <w:bookmarkEnd w:id="74"/>
      <w:bookmarkEnd w:id="75"/>
      <w:bookmarkEnd w:id="76"/>
      <w:bookmarkEnd w:id="77"/>
    </w:p>
    <w:p>
      <w:pPr>
        <w:ind w:firstLine="411" w:firstLineChars="196"/>
      </w:pPr>
      <w:r>
        <w:t>11.1 投标人与政府采购代理机构之间与投标有关的所有往来通知、函件和投标文件均用中文表述。投标人随投标文件提供的证明文件和资料可以为其它语言，但必须附中文译文。在此，为了解释投标文件，应以中文为准；</w:t>
      </w:r>
    </w:p>
    <w:p>
      <w:pPr>
        <w:ind w:firstLine="411" w:firstLineChars="196"/>
      </w:pPr>
      <w:r>
        <w:t>11.2 除技术规范另有规定外，投标文件使用的度量单位，均采用中华人民共和国法定计量单位。</w:t>
      </w:r>
    </w:p>
    <w:p>
      <w:pPr>
        <w:spacing w:line="360" w:lineRule="auto"/>
        <w:rPr>
          <w:rFonts w:eastAsia="黑体"/>
          <w:sz w:val="24"/>
        </w:rPr>
      </w:pPr>
      <w:bookmarkStart w:id="78" w:name="_Toc60631635"/>
      <w:bookmarkStart w:id="79" w:name="_Toc73521650"/>
      <w:bookmarkStart w:id="80" w:name="_Toc73517654"/>
      <w:bookmarkStart w:id="81" w:name="_Toc73518132"/>
      <w:bookmarkStart w:id="82" w:name="_Toc73521562"/>
      <w:bookmarkStart w:id="83" w:name="_Toc60560640"/>
      <w:bookmarkStart w:id="84" w:name="_Toc100052379"/>
      <w:r>
        <w:rPr>
          <w:rFonts w:eastAsia="黑体"/>
          <w:sz w:val="24"/>
        </w:rPr>
        <w:t>12．投标文件的组成</w:t>
      </w:r>
      <w:bookmarkEnd w:id="78"/>
      <w:bookmarkEnd w:id="79"/>
      <w:bookmarkEnd w:id="80"/>
      <w:bookmarkEnd w:id="81"/>
      <w:bookmarkEnd w:id="82"/>
      <w:bookmarkEnd w:id="83"/>
      <w:bookmarkEnd w:id="84"/>
    </w:p>
    <w:p>
      <w:pPr>
        <w:ind w:firstLine="413" w:firstLineChars="196"/>
        <w:rPr>
          <w:b/>
        </w:rPr>
      </w:pPr>
      <w:r>
        <w:rPr>
          <w:b/>
        </w:rPr>
        <w:t>（具体内容请详见第三部分的相关内容）</w:t>
      </w:r>
      <w:bookmarkStart w:id="85" w:name="投标文件的组成"/>
      <w:bookmarkStart w:id="86" w:name="_Toc60631636"/>
      <w:bookmarkStart w:id="87" w:name="_Toc73517655"/>
      <w:bookmarkStart w:id="88" w:name="_Toc73521563"/>
      <w:bookmarkStart w:id="89" w:name="_Toc73518133"/>
      <w:bookmarkStart w:id="90" w:name="_Toc73521651"/>
      <w:bookmarkStart w:id="91" w:name="_Toc60560641"/>
    </w:p>
    <w:bookmarkEnd w:id="85"/>
    <w:p>
      <w:pPr>
        <w:spacing w:line="360" w:lineRule="auto"/>
        <w:rPr>
          <w:rFonts w:eastAsia="黑体"/>
          <w:sz w:val="24"/>
        </w:rPr>
      </w:pPr>
      <w:bookmarkStart w:id="92" w:name="_Toc100052380"/>
      <w:r>
        <w:rPr>
          <w:rFonts w:eastAsia="黑体"/>
          <w:sz w:val="24"/>
        </w:rPr>
        <w:t>13．投标文件格式</w:t>
      </w:r>
      <w:bookmarkEnd w:id="86"/>
      <w:bookmarkEnd w:id="87"/>
      <w:bookmarkEnd w:id="88"/>
      <w:bookmarkEnd w:id="89"/>
      <w:bookmarkEnd w:id="90"/>
      <w:bookmarkEnd w:id="91"/>
      <w:bookmarkEnd w:id="92"/>
    </w:p>
    <w:p>
      <w:pPr>
        <w:ind w:firstLine="411" w:firstLineChars="196"/>
      </w:pPr>
      <w:r>
        <w:t>13.1 投标文件包括本须知第12条中规定的内容。如招标文件提供了投标文件格式，则</w:t>
      </w:r>
      <w:r>
        <w:rPr>
          <w:b/>
          <w:bCs/>
        </w:rPr>
        <w:t>投标人提交的投标文件必须毫无例外地使用招标文件所提供的相应格式</w:t>
      </w:r>
      <w:r>
        <w:t>（表格可以按同样格式扩展）。</w:t>
      </w:r>
      <w:bookmarkStart w:id="93" w:name="_Toc73518135"/>
      <w:bookmarkStart w:id="94" w:name="_Toc73517657"/>
      <w:bookmarkStart w:id="95" w:name="_Toc60631638"/>
      <w:bookmarkStart w:id="96" w:name="_Toc60560643"/>
      <w:bookmarkStart w:id="97" w:name="_Toc73521653"/>
      <w:bookmarkStart w:id="98" w:name="_Toc73521565"/>
    </w:p>
    <w:p>
      <w:pPr>
        <w:spacing w:line="360" w:lineRule="auto"/>
        <w:rPr>
          <w:rFonts w:eastAsia="黑体"/>
          <w:sz w:val="24"/>
        </w:rPr>
      </w:pPr>
      <w:bookmarkStart w:id="99" w:name="_Toc100052382"/>
      <w:r>
        <w:rPr>
          <w:rFonts w:eastAsia="黑体"/>
          <w:sz w:val="24"/>
        </w:rPr>
        <w:t>14．投标货币</w:t>
      </w:r>
      <w:bookmarkEnd w:id="93"/>
      <w:bookmarkEnd w:id="94"/>
      <w:bookmarkEnd w:id="95"/>
      <w:bookmarkEnd w:id="96"/>
      <w:bookmarkEnd w:id="97"/>
      <w:bookmarkEnd w:id="98"/>
      <w:bookmarkEnd w:id="99"/>
    </w:p>
    <w:p>
      <w:pPr>
        <w:ind w:firstLine="411" w:firstLineChars="196"/>
      </w:pPr>
      <w:r>
        <w:t>14.1 本项目的投标应以人民币计。</w:t>
      </w:r>
    </w:p>
    <w:p>
      <w:pPr>
        <w:spacing w:line="360" w:lineRule="auto"/>
        <w:rPr>
          <w:rFonts w:eastAsia="黑体"/>
          <w:sz w:val="24"/>
        </w:rPr>
      </w:pPr>
      <w:bookmarkStart w:id="100" w:name="_Toc60560644"/>
      <w:bookmarkStart w:id="101" w:name="_Toc73518136"/>
      <w:bookmarkStart w:id="102" w:name="_Toc73521654"/>
      <w:bookmarkStart w:id="103" w:name="_Toc73521566"/>
      <w:bookmarkStart w:id="104" w:name="_Toc100052383"/>
      <w:bookmarkStart w:id="105" w:name="_Toc73517658"/>
      <w:bookmarkStart w:id="106" w:name="_Toc60631639"/>
      <w:r>
        <w:rPr>
          <w:rFonts w:eastAsia="黑体"/>
          <w:sz w:val="24"/>
        </w:rPr>
        <w:t>15．投标有效期</w:t>
      </w:r>
      <w:bookmarkEnd w:id="100"/>
      <w:bookmarkEnd w:id="101"/>
      <w:bookmarkEnd w:id="102"/>
      <w:bookmarkEnd w:id="103"/>
      <w:bookmarkEnd w:id="104"/>
      <w:bookmarkEnd w:id="105"/>
      <w:bookmarkEnd w:id="106"/>
    </w:p>
    <w:p>
      <w:pPr>
        <w:ind w:firstLine="411" w:firstLineChars="196"/>
      </w:pPr>
      <w:r>
        <w:t>15.1 投标有效期为从投标截止之日算起</w:t>
      </w:r>
      <w:r>
        <w:rPr>
          <w:u w:val="single"/>
        </w:rPr>
        <w:t>90</w:t>
      </w:r>
      <w:r>
        <w:t>个日历天，在此期限内，所有投标文件均保持有效；</w:t>
      </w:r>
    </w:p>
    <w:p>
      <w:pPr>
        <w:ind w:firstLine="411" w:firstLineChars="196"/>
      </w:pPr>
      <w:r>
        <w:t>15.2 在特殊的情况下，政府采购代理机构在原定的投标有效期满之前，政府采购代理机构可以根据需要以书面形式向投标人提出延长投标有效期的要求，对此要求投标人须以书面形式予以答复，投标人可以拒绝政府采购代理机构此项要求，而不被没收投标保证金或投标保函，其投标在原投标有效期满后不再有效。同意延长投标有效期的投标人不能要求也不允许修改其投标文件，但需要相应的延长投标担保的有效期，在延长的投标有效期内本须知第16条关于投标保证金或投标保函的退还与没收的规定仍然适用；</w:t>
      </w:r>
    </w:p>
    <w:p>
      <w:pPr>
        <w:ind w:firstLine="411" w:firstLineChars="196"/>
      </w:pPr>
      <w:r>
        <w:t>15.3 中标单位的投标书有效期，截止于完成本招标文件规定的全部项目内容，并通过竣工验收及保修结束。</w:t>
      </w:r>
    </w:p>
    <w:p>
      <w:pPr>
        <w:spacing w:line="360" w:lineRule="auto"/>
        <w:rPr>
          <w:rFonts w:eastAsia="黑体"/>
          <w:sz w:val="24"/>
        </w:rPr>
      </w:pPr>
      <w:bookmarkStart w:id="107" w:name="_Toc60631640"/>
      <w:bookmarkStart w:id="108" w:name="_Toc60560645"/>
      <w:bookmarkStart w:id="109" w:name="_Toc73521567"/>
      <w:bookmarkStart w:id="110" w:name="_Toc100052384"/>
      <w:bookmarkStart w:id="111" w:name="_Toc73521655"/>
      <w:bookmarkStart w:id="112" w:name="_Toc73517659"/>
      <w:bookmarkStart w:id="113" w:name="_Toc73518137"/>
      <w:r>
        <w:rPr>
          <w:rFonts w:eastAsia="黑体"/>
          <w:sz w:val="24"/>
        </w:rPr>
        <w:t>16．投标</w:t>
      </w:r>
      <w:bookmarkEnd w:id="107"/>
      <w:bookmarkEnd w:id="108"/>
      <w:bookmarkEnd w:id="109"/>
      <w:bookmarkEnd w:id="110"/>
      <w:bookmarkEnd w:id="111"/>
      <w:bookmarkEnd w:id="112"/>
      <w:bookmarkEnd w:id="113"/>
      <w:r>
        <w:rPr>
          <w:rFonts w:eastAsia="黑体"/>
          <w:sz w:val="24"/>
        </w:rPr>
        <w:t>保证金</w:t>
      </w:r>
    </w:p>
    <w:p>
      <w:pPr>
        <w:spacing w:line="360" w:lineRule="auto"/>
        <w:ind w:firstLine="420" w:firstLineChars="200"/>
      </w:pPr>
      <w:r>
        <w:rPr>
          <w:rFonts w:hint="eastAsia"/>
        </w:rPr>
        <w:t>本项目无需缴纳投标保证金。</w:t>
      </w:r>
    </w:p>
    <w:p>
      <w:pPr>
        <w:spacing w:line="360" w:lineRule="auto"/>
        <w:rPr>
          <w:rFonts w:eastAsia="黑体"/>
          <w:sz w:val="24"/>
        </w:rPr>
      </w:pPr>
      <w:bookmarkStart w:id="114" w:name="_Toc60631641"/>
      <w:bookmarkStart w:id="115" w:name="_Toc60560646"/>
      <w:bookmarkStart w:id="116" w:name="_Toc73517660"/>
      <w:bookmarkStart w:id="117" w:name="_Toc73521568"/>
      <w:bookmarkStart w:id="118" w:name="_Toc73518138"/>
      <w:bookmarkStart w:id="119" w:name="_Toc100052385"/>
      <w:bookmarkStart w:id="120" w:name="_Toc73521656"/>
      <w:r>
        <w:rPr>
          <w:rFonts w:eastAsia="黑体"/>
          <w:sz w:val="24"/>
        </w:rPr>
        <w:t>17．投标人的替代方案</w:t>
      </w:r>
      <w:bookmarkEnd w:id="114"/>
      <w:bookmarkEnd w:id="115"/>
      <w:bookmarkEnd w:id="116"/>
      <w:bookmarkEnd w:id="117"/>
      <w:bookmarkEnd w:id="118"/>
      <w:bookmarkEnd w:id="119"/>
      <w:bookmarkEnd w:id="120"/>
    </w:p>
    <w:p>
      <w:pPr>
        <w:ind w:firstLine="411" w:firstLineChars="196"/>
      </w:pPr>
      <w:r>
        <w:t>17.1投标人所提交的投标文件应完全满足招标文件（包括图纸和技术规范所示的基本技术设计）的要求。除非“投标须知前附表”中允许投标人提交替代方案，否则投标人有关替代方案的条款将不予考虑。</w:t>
      </w:r>
    </w:p>
    <w:p>
      <w:pPr>
        <w:ind w:firstLine="411" w:firstLineChars="196"/>
      </w:pPr>
      <w:r>
        <w:t>17.2 如果允许投标人提交替代方案，则准备提交替代方案的投标人除应提交一份满足招标文件（包括图纸和技术规范所示的基本技术设计）要求的投标文件外，还应提交需评审其替代方案所需的全部资料，包括项目方案书、技术规范、替代方案报价书、所建议的项目方案及有关的其它详细资料。</w:t>
      </w:r>
    </w:p>
    <w:p>
      <w:pPr>
        <w:spacing w:line="360" w:lineRule="auto"/>
        <w:rPr>
          <w:rFonts w:eastAsia="黑体"/>
          <w:sz w:val="24"/>
        </w:rPr>
      </w:pPr>
      <w:bookmarkStart w:id="121" w:name="_Toc60560647"/>
      <w:bookmarkStart w:id="122" w:name="_Toc60631642"/>
      <w:bookmarkStart w:id="123" w:name="_Toc73521657"/>
      <w:bookmarkStart w:id="124" w:name="_Toc73518139"/>
      <w:bookmarkStart w:id="125" w:name="_Toc73517661"/>
      <w:bookmarkStart w:id="126" w:name="_Toc73521569"/>
      <w:bookmarkStart w:id="127" w:name="_Toc100052386"/>
      <w:r>
        <w:rPr>
          <w:rFonts w:eastAsia="黑体"/>
          <w:sz w:val="24"/>
        </w:rPr>
        <w:t>18</w:t>
      </w:r>
      <w:bookmarkEnd w:id="121"/>
      <w:bookmarkEnd w:id="122"/>
      <w:r>
        <w:rPr>
          <w:rFonts w:eastAsia="黑体"/>
          <w:sz w:val="24"/>
        </w:rPr>
        <w:t>．投标文件的制作要求</w:t>
      </w:r>
      <w:bookmarkEnd w:id="123"/>
      <w:bookmarkEnd w:id="124"/>
      <w:bookmarkEnd w:id="125"/>
      <w:bookmarkEnd w:id="126"/>
      <w:bookmarkEnd w:id="127"/>
    </w:p>
    <w:p>
      <w:pPr>
        <w:ind w:firstLine="420" w:firstLineChars="200"/>
      </w:pPr>
      <w:r>
        <w:t>18.1 投标人应当按《投标须知前附表》中规定的份数制作所投招标项目的纸质投标文件，用于现场投标。</w:t>
      </w:r>
    </w:p>
    <w:p>
      <w:pPr>
        <w:ind w:firstLine="420" w:firstLineChars="200"/>
      </w:pPr>
      <w:r>
        <w:t>18.2 纸质投标文件须根据招标文件提供的投标文件格式模板及要求编制。</w:t>
      </w:r>
    </w:p>
    <w:p>
      <w:pPr>
        <w:ind w:firstLine="420" w:firstLineChars="200"/>
      </w:pPr>
      <w:r>
        <w:t>18.3 投标人在利用标书文件模板编制投标书时须注意：</w:t>
      </w:r>
    </w:p>
    <w:p>
      <w:r>
        <w:t xml:space="preserve">    18.3.1除模板中要求填写、添加的内容外，不得对其他文字内容做任何改动。如果因操作失误而改动的，以模板中的文字叙述为准。</w:t>
      </w:r>
    </w:p>
    <w:p>
      <w:pPr>
        <w:ind w:firstLine="420" w:firstLineChars="200"/>
      </w:pPr>
      <w:r>
        <w:t>18.3.2招标文件项目编号应与根据此招标制作的投标文件项目编号一致。</w:t>
      </w:r>
    </w:p>
    <w:p>
      <w:pPr>
        <w:ind w:firstLine="315" w:firstLineChars="150"/>
      </w:pPr>
      <w:r>
        <w:t xml:space="preserve"> 18.3.3 必须完整、准确填写标书文件模板要求填写内容，不能填写如“*、\、[、&amp;、”等特殊字符。模板固定的格式内容和文字叙述，不得改变，如果因改变叙述而与模板的原叙述相冲突者，以模板的叙述为准。</w:t>
      </w:r>
    </w:p>
    <w:p>
      <w:pPr>
        <w:ind w:firstLine="315" w:firstLineChars="150"/>
      </w:pPr>
    </w:p>
    <w:p>
      <w:pPr>
        <w:pStyle w:val="3"/>
        <w:widowControl w:val="0"/>
        <w:numPr>
          <w:ilvl w:val="0"/>
          <w:numId w:val="3"/>
        </w:numPr>
        <w:tabs>
          <w:tab w:val="left" w:pos="360"/>
        </w:tabs>
        <w:adjustRightInd w:val="0"/>
        <w:spacing w:beforeLines="50" w:afterLines="50" w:line="240" w:lineRule="auto"/>
        <w:ind w:left="0" w:firstLine="0"/>
        <w:jc w:val="center"/>
        <w:textAlignment w:val="baseline"/>
        <w:rPr>
          <w:rFonts w:ascii="Times New Roman" w:hAnsi="Times New Roman"/>
          <w:sz w:val="28"/>
          <w:szCs w:val="28"/>
        </w:rPr>
      </w:pPr>
      <w:bookmarkStart w:id="128" w:name="_Toc73521658"/>
      <w:bookmarkStart w:id="129" w:name="_Toc101074880"/>
      <w:bookmarkStart w:id="130" w:name="_Toc100052387"/>
      <w:bookmarkStart w:id="131" w:name="_Toc73521570"/>
      <w:bookmarkStart w:id="132" w:name="_Toc73518140"/>
      <w:bookmarkStart w:id="133" w:name="_Toc73517662"/>
      <w:r>
        <w:rPr>
          <w:rFonts w:ascii="Times New Roman" w:hAnsi="Times New Roman"/>
          <w:sz w:val="28"/>
          <w:szCs w:val="28"/>
        </w:rPr>
        <w:t>投标文件</w:t>
      </w:r>
      <w:bookmarkEnd w:id="128"/>
      <w:bookmarkEnd w:id="129"/>
      <w:bookmarkEnd w:id="130"/>
      <w:bookmarkEnd w:id="131"/>
      <w:bookmarkEnd w:id="132"/>
      <w:bookmarkEnd w:id="133"/>
      <w:r>
        <w:rPr>
          <w:rFonts w:ascii="Times New Roman" w:hAnsi="Times New Roman"/>
          <w:sz w:val="28"/>
          <w:szCs w:val="28"/>
        </w:rPr>
        <w:t>的递交</w:t>
      </w:r>
    </w:p>
    <w:p>
      <w:pPr>
        <w:spacing w:line="360" w:lineRule="auto"/>
        <w:rPr>
          <w:rFonts w:eastAsia="黑体"/>
          <w:sz w:val="24"/>
        </w:rPr>
      </w:pPr>
      <w:bookmarkStart w:id="134" w:name="_Toc73517663"/>
      <w:bookmarkStart w:id="135" w:name="_Toc73521571"/>
      <w:bookmarkStart w:id="136" w:name="_Toc100052388"/>
      <w:bookmarkStart w:id="137" w:name="_Toc73521659"/>
      <w:bookmarkStart w:id="138" w:name="_Toc73518141"/>
      <w:bookmarkStart w:id="139" w:name="_Toc60560649"/>
      <w:bookmarkStart w:id="140" w:name="_Toc60631644"/>
      <w:r>
        <w:rPr>
          <w:rFonts w:eastAsia="黑体"/>
          <w:sz w:val="24"/>
        </w:rPr>
        <w:t>19 投标文件的递交</w:t>
      </w:r>
    </w:p>
    <w:p>
      <w:pPr>
        <w:ind w:firstLine="420" w:firstLineChars="200"/>
      </w:pPr>
      <w:r>
        <w:t>19.1投标书的密封和标记。</w:t>
      </w:r>
    </w:p>
    <w:p>
      <w:pPr>
        <w:ind w:firstLine="420"/>
      </w:pPr>
      <w:r>
        <w:t>19.1.1  投标人应将唱标信封、投标文件密封，并标明项目编号、招标项目名称及“正本”或“副本”，唱标信封和投标文件（含正本和副本）应分开独立密封包装；电子文档放入唱标信封中。</w:t>
      </w:r>
    </w:p>
    <w:p>
      <w:r>
        <w:t xml:space="preserve">    19.1.2  密封包上注明按“投标须知前附表”所规定的开标时间（指投标邀请书中规定的开标时间）前不准启封的字样。</w:t>
      </w:r>
    </w:p>
    <w:p>
      <w:pPr>
        <w:ind w:firstLine="420" w:firstLineChars="200"/>
      </w:pPr>
      <w:r>
        <w:t>19.1.3  如投标文件由专人送交，投标方应将投标文件按19.1.1-19.1.2中的规定进行密封和标记后，按投标邀请书注明的地址送至招标方。</w:t>
      </w:r>
    </w:p>
    <w:p>
      <w:pPr>
        <w:ind w:firstLine="420" w:firstLineChars="200"/>
      </w:pPr>
      <w:r>
        <w:t>19.1.4  邮寄、电报、电话、传真形式的投标概不接受。</w:t>
      </w:r>
    </w:p>
    <w:p>
      <w:r>
        <w:t xml:space="preserve">    19.2投标截止时间</w:t>
      </w:r>
    </w:p>
    <w:p>
      <w:r>
        <w:t>招标方在招标公告规定的地址收到投标书的时间不得迟于招标公告所规定的时间。</w:t>
      </w:r>
    </w:p>
    <w:p>
      <w:r>
        <w:t xml:space="preserve">    19.3迟交的投标书</w:t>
      </w:r>
    </w:p>
    <w:p>
      <w:r>
        <w:t>按照投标人须知第19.2条规定，招标方将拒绝并原封退回在其规定的投标截止期后收到的任何投标书。</w:t>
      </w:r>
    </w:p>
    <w:p>
      <w:pPr>
        <w:ind w:firstLine="420"/>
      </w:pPr>
    </w:p>
    <w:p>
      <w:pPr>
        <w:spacing w:line="360" w:lineRule="auto"/>
        <w:rPr>
          <w:rFonts w:eastAsia="黑体"/>
          <w:sz w:val="24"/>
        </w:rPr>
      </w:pPr>
      <w:r>
        <w:rPr>
          <w:rFonts w:eastAsia="黑体"/>
          <w:sz w:val="24"/>
        </w:rPr>
        <w:t>20．投标文件的修改和撤销</w:t>
      </w:r>
    </w:p>
    <w:bookmarkEnd w:id="134"/>
    <w:bookmarkEnd w:id="135"/>
    <w:bookmarkEnd w:id="136"/>
    <w:bookmarkEnd w:id="137"/>
    <w:bookmarkEnd w:id="138"/>
    <w:bookmarkEnd w:id="139"/>
    <w:bookmarkEnd w:id="140"/>
    <w:p>
      <w:pPr>
        <w:ind w:firstLine="420" w:firstLineChars="200"/>
      </w:pPr>
      <w:r>
        <w:t>20.1  投标人在递交投标书后，可以修改或撤回其投标书，但招标方必须在规定的投标截止期之前，收到修改或撤回的书面通知。</w:t>
      </w:r>
    </w:p>
    <w:p>
      <w:r>
        <w:t xml:space="preserve">    20.2  投标人的修改或撤回通知书应按投标人须知第19.1条规定编制、密封、标记和发送，并应在封套上加注“修改”或“撤回”字样。</w:t>
      </w:r>
    </w:p>
    <w:p>
      <w:pPr>
        <w:ind w:firstLine="420" w:firstLineChars="200"/>
      </w:pPr>
      <w:r>
        <w:t>20.3  在投标截止期之后，投标人不得对其投标书做任何修改。</w:t>
      </w:r>
    </w:p>
    <w:p>
      <w:pPr>
        <w:ind w:firstLine="420" w:firstLineChars="200"/>
      </w:pPr>
      <w:r>
        <w:t>20.4  在投标人须知第19.2条规定的投标截止期至投标人须知第15条规定的投标有效期期满之间的这段时间内，投标人不得撤回其投标。</w:t>
      </w:r>
    </w:p>
    <w:p>
      <w:pPr>
        <w:pStyle w:val="3"/>
        <w:widowControl w:val="0"/>
        <w:numPr>
          <w:ilvl w:val="0"/>
          <w:numId w:val="3"/>
        </w:numPr>
        <w:tabs>
          <w:tab w:val="left" w:pos="360"/>
        </w:tabs>
        <w:adjustRightInd w:val="0"/>
        <w:spacing w:beforeLines="50" w:afterLines="50" w:line="240" w:lineRule="auto"/>
        <w:ind w:left="0" w:firstLine="0"/>
        <w:jc w:val="center"/>
        <w:textAlignment w:val="baseline"/>
        <w:rPr>
          <w:rFonts w:ascii="Times New Roman" w:hAnsi="Times New Roman"/>
          <w:sz w:val="28"/>
          <w:szCs w:val="28"/>
        </w:rPr>
      </w:pPr>
      <w:bookmarkStart w:id="141" w:name="_Toc100052391"/>
      <w:bookmarkStart w:id="142" w:name="_Toc101074881"/>
      <w:bookmarkStart w:id="143" w:name="_Toc73518144"/>
      <w:bookmarkStart w:id="144" w:name="_Toc73521574"/>
      <w:bookmarkStart w:id="145" w:name="_Toc73521662"/>
      <w:bookmarkStart w:id="146" w:name="_Toc73517666"/>
      <w:r>
        <w:rPr>
          <w:rFonts w:ascii="Times New Roman" w:hAnsi="Times New Roman"/>
          <w:sz w:val="28"/>
          <w:szCs w:val="28"/>
        </w:rPr>
        <w:t>开标</w:t>
      </w:r>
      <w:bookmarkEnd w:id="141"/>
      <w:bookmarkEnd w:id="142"/>
      <w:bookmarkEnd w:id="143"/>
      <w:bookmarkEnd w:id="144"/>
      <w:bookmarkEnd w:id="145"/>
      <w:bookmarkEnd w:id="146"/>
    </w:p>
    <w:p>
      <w:pPr>
        <w:spacing w:line="360" w:lineRule="auto"/>
        <w:rPr>
          <w:rFonts w:eastAsia="黑体"/>
          <w:sz w:val="24"/>
        </w:rPr>
      </w:pPr>
      <w:bookmarkStart w:id="147" w:name="_Toc73517667"/>
      <w:bookmarkStart w:id="148" w:name="_Toc60560655"/>
      <w:bookmarkStart w:id="149" w:name="_Toc73521663"/>
      <w:bookmarkStart w:id="150" w:name="_Toc60631650"/>
      <w:bookmarkStart w:id="151" w:name="_Toc73521575"/>
      <w:bookmarkStart w:id="152" w:name="_Toc100052392"/>
      <w:bookmarkStart w:id="153" w:name="_Toc73518145"/>
      <w:r>
        <w:rPr>
          <w:rFonts w:eastAsia="黑体"/>
          <w:sz w:val="24"/>
        </w:rPr>
        <w:t>21．开标</w:t>
      </w:r>
      <w:bookmarkEnd w:id="147"/>
      <w:bookmarkEnd w:id="148"/>
      <w:bookmarkEnd w:id="149"/>
      <w:bookmarkEnd w:id="150"/>
      <w:bookmarkEnd w:id="151"/>
      <w:bookmarkEnd w:id="152"/>
      <w:bookmarkEnd w:id="153"/>
    </w:p>
    <w:p>
      <w:pPr>
        <w:ind w:firstLine="411" w:firstLineChars="196"/>
      </w:pPr>
      <w:bookmarkStart w:id="154" w:name="bt评标"/>
      <w:bookmarkEnd w:id="154"/>
      <w:bookmarkStart w:id="155" w:name="_Toc73517668"/>
      <w:bookmarkStart w:id="156" w:name="_Toc73518146"/>
      <w:bookmarkStart w:id="157" w:name="_Toc73521664"/>
      <w:bookmarkStart w:id="158" w:name="_Toc73521576"/>
      <w:bookmarkStart w:id="159" w:name="_Toc100052393"/>
      <w:bookmarkStart w:id="160" w:name="_Toc101074882"/>
      <w:r>
        <w:t>21.1  招标方将按“招标公告”规定的时间和地点组织公开开标。投标人</w:t>
      </w:r>
      <w:r>
        <w:rPr>
          <w:rFonts w:hint="eastAsia"/>
        </w:rPr>
        <w:t>可</w:t>
      </w:r>
      <w:r>
        <w:t>委派代表参加，参加开标的代表应签名报到以证明出席</w:t>
      </w:r>
      <w:r>
        <w:rPr>
          <w:rFonts w:hint="eastAsia"/>
        </w:rPr>
        <w:t>，</w:t>
      </w:r>
      <w:r>
        <w:t>投标人</w:t>
      </w:r>
      <w:r>
        <w:rPr>
          <w:rFonts w:hint="eastAsia"/>
        </w:rPr>
        <w:t>未</w:t>
      </w:r>
      <w:r>
        <w:t>委派代表参加</w:t>
      </w:r>
      <w:r>
        <w:rPr>
          <w:rFonts w:hint="eastAsia"/>
        </w:rPr>
        <w:t>的，视为认同开标结果</w:t>
      </w:r>
      <w:r>
        <w:t>。</w:t>
      </w:r>
    </w:p>
    <w:p>
      <w:pPr>
        <w:ind w:firstLine="411" w:firstLineChars="196"/>
      </w:pPr>
      <w:r>
        <w:t>21.2  开标时，招标方将当众宣读投标人名称、修改和撤回投标的通知、开标一览表（以招标文件规定的开标一览表内容为准）。投标文件中开标一览表内容与投标报价明细表内容不一致的，以开标一览表为准。</w:t>
      </w:r>
    </w:p>
    <w:p>
      <w:pPr>
        <w:ind w:firstLine="411" w:firstLineChars="196"/>
      </w:pPr>
      <w:r>
        <w:t>除了按照投标人须知第20条规定原封退回的投标之外，开标时将不得拒绝任何投标书。</w:t>
      </w:r>
    </w:p>
    <w:p>
      <w:pPr>
        <w:ind w:firstLine="420" w:firstLineChars="200"/>
      </w:pPr>
      <w:r>
        <w:t>21.3  按照投标人须知第20条规定，提交了可接受的“撤回”通知的投标将不予开封。</w:t>
      </w:r>
    </w:p>
    <w:p>
      <w:pPr>
        <w:ind w:firstLine="420" w:firstLineChars="200"/>
      </w:pPr>
      <w:r>
        <w:t>21.4  无论如何在开标时没有启封和读出的投标书在评标时将不予考虑。撤回的投标书将原封退回投标人。</w:t>
      </w:r>
    </w:p>
    <w:p>
      <w:pPr>
        <w:ind w:firstLine="420" w:firstLineChars="200"/>
      </w:pPr>
      <w:r>
        <w:t>21.5  招标方将做开标记录，开标记录包括按投标人须知第21.2的规定在开标时宣读的全部内容。</w:t>
      </w:r>
    </w:p>
    <w:p>
      <w:pPr>
        <w:pStyle w:val="3"/>
        <w:widowControl w:val="0"/>
        <w:numPr>
          <w:ilvl w:val="0"/>
          <w:numId w:val="3"/>
        </w:numPr>
        <w:tabs>
          <w:tab w:val="left" w:pos="360"/>
        </w:tabs>
        <w:adjustRightInd w:val="0"/>
        <w:spacing w:beforeLines="50" w:afterLines="50" w:line="240" w:lineRule="auto"/>
        <w:ind w:left="0" w:firstLine="0"/>
        <w:jc w:val="center"/>
        <w:textAlignment w:val="baseline"/>
        <w:rPr>
          <w:rFonts w:ascii="Times New Roman" w:hAnsi="Times New Roman"/>
          <w:sz w:val="28"/>
          <w:szCs w:val="28"/>
        </w:rPr>
      </w:pPr>
      <w:r>
        <w:rPr>
          <w:rFonts w:ascii="Times New Roman" w:hAnsi="Times New Roman"/>
          <w:sz w:val="28"/>
          <w:szCs w:val="28"/>
        </w:rPr>
        <w:t>评标</w:t>
      </w:r>
      <w:bookmarkEnd w:id="155"/>
      <w:bookmarkEnd w:id="156"/>
      <w:bookmarkEnd w:id="157"/>
      <w:bookmarkEnd w:id="158"/>
      <w:r>
        <w:rPr>
          <w:rFonts w:ascii="Times New Roman" w:hAnsi="Times New Roman"/>
          <w:sz w:val="28"/>
          <w:szCs w:val="28"/>
        </w:rPr>
        <w:t>要求</w:t>
      </w:r>
      <w:bookmarkEnd w:id="159"/>
      <w:bookmarkEnd w:id="160"/>
    </w:p>
    <w:p>
      <w:pPr>
        <w:spacing w:line="360" w:lineRule="auto"/>
        <w:rPr>
          <w:rFonts w:eastAsia="黑体"/>
          <w:sz w:val="24"/>
        </w:rPr>
      </w:pPr>
      <w:bookmarkStart w:id="161" w:name="bt评标会议"/>
      <w:bookmarkEnd w:id="161"/>
      <w:bookmarkStart w:id="162" w:name="_Toc73521665"/>
      <w:bookmarkStart w:id="163" w:name="_Toc73518147"/>
      <w:bookmarkStart w:id="164" w:name="_Toc73517669"/>
      <w:bookmarkStart w:id="165" w:name="_Toc100052394"/>
      <w:bookmarkStart w:id="166" w:name="_Toc73521577"/>
      <w:r>
        <w:rPr>
          <w:rFonts w:eastAsia="黑体"/>
          <w:sz w:val="24"/>
        </w:rPr>
        <w:t>22．评标会议</w:t>
      </w:r>
    </w:p>
    <w:p>
      <w:pPr>
        <w:ind w:firstLine="411" w:firstLineChars="196"/>
      </w:pPr>
      <w:r>
        <w:t>22.1开标会结束后召开评标会议，评标委员会由政府采购代理机构依法组建，负责评标活动。</w:t>
      </w:r>
    </w:p>
    <w:p>
      <w:pPr>
        <w:ind w:firstLine="420"/>
      </w:pPr>
      <w:r>
        <w:t>评标委员会的组成及行为规范执行《关于印发&lt;深圳市政府采购评标委员会和评标方法暂行规定&gt;的通知》(深财购[2005]5号)，规定如下：</w:t>
      </w:r>
    </w:p>
    <w:p>
      <w:pPr>
        <w:ind w:firstLine="420"/>
      </w:pPr>
      <w:r>
        <w:t>22.1.1 采用公开招标及邀请招标的，评标委员会由采购单位代表和有关技术、经济等方面的专家组成，成员人数为5人以上（含5人）单数，其中技术、经济等方面的专家不少于成员总数的三分之二。</w:t>
      </w:r>
    </w:p>
    <w:p>
      <w:pPr>
        <w:ind w:firstLine="420"/>
      </w:pPr>
      <w:r>
        <w:t>22.1.2采用竞争性谈判的，采用综合评标法的，谈判小组成员由采购单位代表和有关专家共5人以上（含5人）的单数组成，其中专家的人数不得少于成员总数的三分之二；采用最低价评标法的，谈判小组成员由采购单位代表和有关专家共3人以上（含3人）的单数组成，其中专家的人数不得少于成员总数的三分之二。</w:t>
      </w:r>
    </w:p>
    <w:p>
      <w:pPr>
        <w:ind w:firstLine="420"/>
      </w:pPr>
      <w:r>
        <w:t>22.1.3采用单一来源谈判的，谈判小组成员由采购单位代表和有关专家共3人以上（含3人）的单数组成，其中专家的人数不得少于成员总数的三分之二。</w:t>
      </w:r>
    </w:p>
    <w:p>
      <w:pPr>
        <w:ind w:firstLine="411" w:firstLineChars="196"/>
      </w:pPr>
      <w:r>
        <w:t>为保证评委人选的专业性，以及评标中的公平公正性，评标委员会成员从深圳市财政委员会评标专家库中随机抽取。</w:t>
      </w:r>
    </w:p>
    <w:p>
      <w:pPr>
        <w:ind w:firstLine="411" w:firstLineChars="196"/>
      </w:pPr>
      <w:r>
        <w:t>采购单位代表须持本单位签发的《评标授权书》参加评标。</w:t>
      </w:r>
    </w:p>
    <w:p>
      <w:pPr>
        <w:ind w:firstLine="411" w:firstLineChars="196"/>
      </w:pPr>
      <w:r>
        <w:t>22.2评标定标应当遵循公平、公正、科学、择优的原则。</w:t>
      </w:r>
    </w:p>
    <w:p>
      <w:pPr>
        <w:ind w:firstLine="411" w:firstLineChars="196"/>
      </w:pPr>
      <w:r>
        <w:t>22.3评标活动依法进行，任何单位和个人不得非法干预评标过程和结果。</w:t>
      </w:r>
    </w:p>
    <w:p>
      <w:pPr>
        <w:ind w:firstLine="411" w:firstLineChars="196"/>
      </w:pPr>
      <w:r>
        <w:t>22.4评标过程中不允许违背评标程序或采用招标文件未载明的评标方法或评标因素进行评标。</w:t>
      </w:r>
    </w:p>
    <w:p>
      <w:pPr>
        <w:ind w:firstLine="411" w:firstLineChars="196"/>
        <w:rPr>
          <w:bCs/>
        </w:rPr>
      </w:pPr>
      <w:r>
        <w:rPr>
          <w:bCs/>
        </w:rPr>
        <w:t>22.5 开标后，直到授予中标人合同为止，凡属于对投标文件的审查、澄清、评价和比较的有关资料以及中标候选人的推荐情况、与评标有关的其他任何情况均严格保密。</w:t>
      </w:r>
    </w:p>
    <w:p>
      <w:pPr>
        <w:spacing w:line="360" w:lineRule="auto"/>
        <w:rPr>
          <w:rFonts w:eastAsia="黑体"/>
          <w:sz w:val="24"/>
        </w:rPr>
      </w:pPr>
      <w:r>
        <w:rPr>
          <w:rFonts w:eastAsia="黑体"/>
          <w:sz w:val="24"/>
        </w:rPr>
        <w:t>23．向评标委员会提供的资料</w:t>
      </w:r>
    </w:p>
    <w:p>
      <w:pPr>
        <w:ind w:firstLine="411" w:firstLineChars="196"/>
      </w:pPr>
      <w:r>
        <w:t>23.1公开发布的招标文件，包括图纸、服务清单、答疑文件等；</w:t>
      </w:r>
    </w:p>
    <w:p>
      <w:pPr>
        <w:ind w:firstLine="411" w:firstLineChars="196"/>
      </w:pPr>
      <w:r>
        <w:t>23.2其他评标必须的资料。</w:t>
      </w:r>
    </w:p>
    <w:p>
      <w:pPr>
        <w:ind w:firstLine="411" w:firstLineChars="196"/>
      </w:pPr>
      <w:r>
        <w:t>23.3评标委员会应当认真研究招标文件，至少应了解熟悉以下内容：</w:t>
      </w:r>
    </w:p>
    <w:p>
      <w:pPr>
        <w:ind w:firstLine="411" w:firstLineChars="196"/>
      </w:pPr>
      <w:r>
        <w:t>（1）招标的目的；</w:t>
      </w:r>
    </w:p>
    <w:p>
      <w:pPr>
        <w:ind w:firstLine="411" w:firstLineChars="196"/>
      </w:pPr>
      <w:r>
        <w:t>（2）招标项目需求的范围和性质；</w:t>
      </w:r>
    </w:p>
    <w:p>
      <w:pPr>
        <w:ind w:firstLine="411" w:firstLineChars="196"/>
      </w:pPr>
      <w:r>
        <w:t>（3）招标文件规定的投标人的资质、财政预算限额、商务条款；</w:t>
      </w:r>
    </w:p>
    <w:p>
      <w:pPr>
        <w:ind w:firstLine="411" w:firstLineChars="196"/>
      </w:pPr>
      <w:r>
        <w:t>（4）招标文件规定的评标程序、评标方法和评标因素；</w:t>
      </w:r>
    </w:p>
    <w:p>
      <w:pPr>
        <w:ind w:firstLine="411" w:firstLineChars="196"/>
      </w:pPr>
      <w:r>
        <w:t>（5）招标文件所列示的废标条件；</w:t>
      </w:r>
    </w:p>
    <w:p>
      <w:pPr>
        <w:spacing w:line="360" w:lineRule="auto"/>
        <w:rPr>
          <w:rFonts w:eastAsia="黑体"/>
          <w:sz w:val="24"/>
        </w:rPr>
      </w:pPr>
      <w:r>
        <w:rPr>
          <w:rFonts w:eastAsia="黑体"/>
          <w:sz w:val="24"/>
        </w:rPr>
        <w:t>24．独立评标</w:t>
      </w:r>
    </w:p>
    <w:p>
      <w:pPr>
        <w:ind w:firstLine="411" w:firstLineChars="196"/>
        <w:rPr>
          <w:bCs/>
        </w:rPr>
      </w:pPr>
      <w:r>
        <w:rPr>
          <w:bCs/>
        </w:rPr>
        <w:t>24.1评标委员会成员的评标活动应当独立进行，并应遵循投标文件初审、澄清有关问题、比较与评价、确定中标供应商、编写评标报告的工作程序。</w:t>
      </w:r>
      <w:bookmarkEnd w:id="162"/>
      <w:bookmarkEnd w:id="163"/>
      <w:bookmarkEnd w:id="164"/>
      <w:bookmarkEnd w:id="165"/>
      <w:bookmarkEnd w:id="166"/>
      <w:bookmarkStart w:id="167" w:name="bt评标过程的保密"/>
      <w:bookmarkEnd w:id="167"/>
      <w:bookmarkStart w:id="168" w:name="bt错误的修正"/>
      <w:bookmarkEnd w:id="168"/>
    </w:p>
    <w:p>
      <w:pPr>
        <w:pStyle w:val="3"/>
        <w:widowControl w:val="0"/>
        <w:numPr>
          <w:ilvl w:val="0"/>
          <w:numId w:val="3"/>
        </w:numPr>
        <w:tabs>
          <w:tab w:val="left" w:pos="360"/>
        </w:tabs>
        <w:adjustRightInd w:val="0"/>
        <w:spacing w:beforeLines="50" w:afterLines="50" w:line="240" w:lineRule="auto"/>
        <w:ind w:left="0" w:firstLine="0"/>
        <w:jc w:val="center"/>
        <w:textAlignment w:val="baseline"/>
        <w:rPr>
          <w:rFonts w:ascii="Times New Roman" w:hAnsi="Times New Roman"/>
          <w:sz w:val="28"/>
          <w:szCs w:val="28"/>
        </w:rPr>
      </w:pPr>
      <w:bookmarkStart w:id="169" w:name="_Toc100052397"/>
      <w:bookmarkStart w:id="170" w:name="_Toc101074883"/>
      <w:r>
        <w:rPr>
          <w:rFonts w:ascii="Times New Roman" w:hAnsi="Times New Roman"/>
          <w:sz w:val="28"/>
          <w:szCs w:val="28"/>
        </w:rPr>
        <w:t>评标程序</w:t>
      </w:r>
      <w:bookmarkStart w:id="171" w:name="bt投标文件的审查"/>
      <w:bookmarkEnd w:id="171"/>
      <w:bookmarkStart w:id="172" w:name="_Toc73517671"/>
      <w:bookmarkStart w:id="173" w:name="_Toc73521667"/>
      <w:bookmarkStart w:id="174" w:name="_Toc73521579"/>
      <w:bookmarkStart w:id="175" w:name="_Toc73518149"/>
      <w:r>
        <w:rPr>
          <w:rFonts w:ascii="Times New Roman" w:hAnsi="Times New Roman"/>
          <w:sz w:val="28"/>
          <w:szCs w:val="28"/>
        </w:rPr>
        <w:t>及评标方法</w:t>
      </w:r>
      <w:bookmarkEnd w:id="169"/>
      <w:bookmarkEnd w:id="170"/>
    </w:p>
    <w:p>
      <w:pPr>
        <w:spacing w:line="360" w:lineRule="auto"/>
        <w:rPr>
          <w:rFonts w:eastAsia="黑体"/>
          <w:sz w:val="24"/>
        </w:rPr>
      </w:pPr>
      <w:bookmarkStart w:id="176" w:name="_Toc100052398"/>
      <w:r>
        <w:rPr>
          <w:rFonts w:eastAsia="黑体"/>
          <w:sz w:val="24"/>
        </w:rPr>
        <w:t>25．投标文件初审</w:t>
      </w:r>
      <w:bookmarkEnd w:id="176"/>
    </w:p>
    <w:p>
      <w:pPr>
        <w:ind w:firstLine="411" w:firstLineChars="196"/>
      </w:pPr>
      <w:r>
        <w:t>25.1投标文件初审包括资格性检查和符合性检查。资格性检查：依据法律法规和招标文件的规定，对投标文件中的资格证明、投标保证金等进行审查，以确定投标供应商是否具备投标资格。符合性检查：依据招标文件的规定，从投标文件的有效性、完整性和对招标文件的响应程度进行审查，以确定是否对招标文件的实质性要求作出响应。</w:t>
      </w:r>
    </w:p>
    <w:p>
      <w:pPr>
        <w:ind w:firstLine="411" w:firstLineChars="196"/>
      </w:pPr>
      <w:r>
        <w:t>25.2</w:t>
      </w:r>
      <w:r>
        <w:rPr>
          <w:b/>
        </w:rPr>
        <w:t>投标文件初审内容请详见“关键信息”中的《投标文件初审表》部分。投标人若有一条审查不通过则按废标处理。</w:t>
      </w:r>
    </w:p>
    <w:p>
      <w:pPr>
        <w:ind w:firstLine="411" w:firstLineChars="196"/>
        <w:rPr>
          <w:b/>
          <w:bCs/>
        </w:rPr>
      </w:pPr>
      <w:r>
        <w:t>25.3对不属于投标文件初审表所列的其他情形，除法律法规另有规定外，不得作为废标的理由。</w:t>
      </w:r>
      <w:bookmarkEnd w:id="172"/>
      <w:bookmarkEnd w:id="173"/>
      <w:bookmarkEnd w:id="174"/>
      <w:bookmarkEnd w:id="175"/>
    </w:p>
    <w:p>
      <w:pPr>
        <w:spacing w:line="360" w:lineRule="auto"/>
        <w:rPr>
          <w:rFonts w:eastAsia="黑体"/>
          <w:sz w:val="24"/>
        </w:rPr>
      </w:pPr>
      <w:bookmarkStart w:id="177" w:name="_Toc100052399"/>
      <w:r>
        <w:rPr>
          <w:rFonts w:eastAsia="黑体"/>
          <w:sz w:val="24"/>
        </w:rPr>
        <w:t>26．澄清有关问题</w:t>
      </w:r>
      <w:bookmarkEnd w:id="177"/>
    </w:p>
    <w:p>
      <w:pPr>
        <w:ind w:firstLine="411" w:firstLineChars="196"/>
      </w:pPr>
      <w:bookmarkStart w:id="178" w:name="bt投标文件的评估和比较"/>
      <w:bookmarkEnd w:id="178"/>
      <w:bookmarkStart w:id="179" w:name="bt废标"/>
      <w:bookmarkEnd w:id="179"/>
      <w:bookmarkStart w:id="180" w:name="bt投标文件的澄清"/>
      <w:bookmarkEnd w:id="180"/>
      <w:bookmarkStart w:id="181" w:name="_Toc73517675"/>
      <w:bookmarkStart w:id="182" w:name="_Toc73521583"/>
      <w:bookmarkStart w:id="183" w:name="_Toc73518153"/>
      <w:bookmarkStart w:id="184" w:name="_Toc73521671"/>
      <w:r>
        <w:t>26.1为了有助于投标文件的审查、评价和比较，对投标文件含义不明确、同类问题表述不一致或者有明显文字和计算错误的内容，评标委员会可以用书面形式(应当由评标委员会签字)要求投标供应商作出必要的澄清、说明或者纠正。投标人的澄清、说明或者补正应当用采用书面形式（由其受权的代表签字），并不得超出投标文件的范围或者改变投标文件的实质性的内容。根据本须知第25条，凡属于评标委员会在评标中发现的算术错误进行核实的修改不在此列。</w:t>
      </w:r>
    </w:p>
    <w:p>
      <w:pPr>
        <w:spacing w:line="360" w:lineRule="auto"/>
        <w:rPr>
          <w:rFonts w:eastAsia="黑体"/>
          <w:sz w:val="24"/>
        </w:rPr>
      </w:pPr>
      <w:bookmarkStart w:id="185" w:name="_Toc73517673"/>
      <w:bookmarkStart w:id="186" w:name="_Toc73521669"/>
      <w:bookmarkStart w:id="187" w:name="_Toc100052400"/>
      <w:bookmarkStart w:id="188" w:name="_Toc73521581"/>
      <w:bookmarkStart w:id="189" w:name="_Toc73518151"/>
      <w:r>
        <w:rPr>
          <w:rFonts w:eastAsia="黑体"/>
          <w:sz w:val="24"/>
        </w:rPr>
        <w:t>27．错误的修正</w:t>
      </w:r>
      <w:bookmarkEnd w:id="185"/>
      <w:bookmarkEnd w:id="186"/>
      <w:bookmarkEnd w:id="187"/>
      <w:bookmarkEnd w:id="188"/>
      <w:bookmarkEnd w:id="189"/>
    </w:p>
    <w:p>
      <w:pPr>
        <w:spacing w:line="360" w:lineRule="auto"/>
        <w:ind w:firstLine="411" w:firstLineChars="196"/>
      </w:pPr>
      <w:r>
        <w:t>27.1  评标委员会将审查投标文件是否完整、总体编排是否有序、文件签署是否合格、投标人是否提交了投标保证金、有无计算上的错误等。</w:t>
      </w:r>
    </w:p>
    <w:p>
      <w:pPr>
        <w:spacing w:line="360" w:lineRule="auto"/>
        <w:ind w:firstLine="411" w:firstLineChars="196"/>
      </w:pPr>
      <w:r>
        <w:rPr>
          <w:rFonts w:hint="eastAsia"/>
        </w:rPr>
        <w:t>投标文件报价出现前后不一致的，除招标文件另有规定外，按照下列规定修正：</w:t>
      </w:r>
    </w:p>
    <w:p>
      <w:pPr>
        <w:spacing w:line="360" w:lineRule="auto"/>
        <w:ind w:firstLine="411" w:firstLineChars="196"/>
      </w:pPr>
      <w:r>
        <w:rPr>
          <w:rFonts w:hint="eastAsia"/>
        </w:rPr>
        <w:t>27.2 投标文件中开标一览表（报价表）内容与投标文件中相应内容不一致的，以开标一览表（报价表）为准；</w:t>
      </w:r>
    </w:p>
    <w:p>
      <w:pPr>
        <w:spacing w:line="360" w:lineRule="auto"/>
        <w:ind w:firstLine="411" w:firstLineChars="196"/>
      </w:pPr>
      <w:r>
        <w:rPr>
          <w:rFonts w:hint="eastAsia"/>
        </w:rPr>
        <w:t>27.3  大写金额和小写金额不一致的，以大写金额为准；</w:t>
      </w:r>
    </w:p>
    <w:p>
      <w:pPr>
        <w:spacing w:line="360" w:lineRule="auto"/>
        <w:ind w:firstLine="411" w:firstLineChars="196"/>
      </w:pPr>
      <w:r>
        <w:rPr>
          <w:rFonts w:hint="eastAsia"/>
        </w:rPr>
        <w:t>27.4  单价金额小数点或者百分比有明显错位的，以开标一览表的总价为准，并修改单价；</w:t>
      </w:r>
    </w:p>
    <w:p>
      <w:pPr>
        <w:spacing w:line="360" w:lineRule="auto"/>
        <w:ind w:firstLine="411" w:firstLineChars="196"/>
      </w:pPr>
      <w:r>
        <w:rPr>
          <w:rFonts w:hint="eastAsia"/>
        </w:rPr>
        <w:t>27.5  总价金额与按单价汇总金额不一致的，以单价金额计算结果为准。</w:t>
      </w:r>
    </w:p>
    <w:p>
      <w:pPr>
        <w:spacing w:line="360" w:lineRule="auto"/>
        <w:ind w:firstLine="411" w:firstLineChars="196"/>
      </w:pPr>
      <w:r>
        <w:rPr>
          <w:rFonts w:hint="eastAsia"/>
        </w:rPr>
        <w:t>27.6 同时出现两种以上不一致的，按照前款规定的顺序修正。投标人的澄清、说明或者补正应当采用书面形式，并加盖公章，或者由法定代表人或其授权的代表签字。投标人的澄清、说明或者补正不得超出投标文件的范围或者改变投标文件的实质性内容。投标人不确认的，其投标无效。</w:t>
      </w:r>
    </w:p>
    <w:p>
      <w:pPr>
        <w:spacing w:line="360" w:lineRule="auto"/>
        <w:rPr>
          <w:rFonts w:eastAsia="黑体"/>
          <w:sz w:val="24"/>
        </w:rPr>
      </w:pPr>
      <w:bookmarkStart w:id="190" w:name="_Toc100052401"/>
      <w:r>
        <w:rPr>
          <w:rFonts w:eastAsia="黑体"/>
          <w:sz w:val="24"/>
        </w:rPr>
        <w:t>28．投标文件的</w:t>
      </w:r>
      <w:bookmarkEnd w:id="181"/>
      <w:bookmarkEnd w:id="182"/>
      <w:bookmarkEnd w:id="183"/>
      <w:bookmarkEnd w:id="184"/>
      <w:r>
        <w:rPr>
          <w:rFonts w:eastAsia="黑体"/>
          <w:sz w:val="24"/>
        </w:rPr>
        <w:t>比较与评价</w:t>
      </w:r>
      <w:bookmarkEnd w:id="190"/>
    </w:p>
    <w:p>
      <w:pPr>
        <w:ind w:firstLine="411" w:firstLineChars="196"/>
      </w:pPr>
      <w:r>
        <w:t>评标委员会将按照《深圳经济特区政府采购条例》及《深圳市政府采购评标委员会和评标方法暂行规定》，参照相关法律、法规、规定，仅对通过资格性审查和符合性审查的投标文件进行综合比较与评价。</w:t>
      </w:r>
    </w:p>
    <w:p>
      <w:pPr>
        <w:spacing w:line="360" w:lineRule="auto"/>
        <w:rPr>
          <w:rFonts w:eastAsia="黑体"/>
          <w:sz w:val="24"/>
        </w:rPr>
      </w:pPr>
      <w:bookmarkStart w:id="191" w:name="_Toc100052402"/>
      <w:r>
        <w:rPr>
          <w:rFonts w:eastAsia="黑体"/>
          <w:sz w:val="24"/>
        </w:rPr>
        <w:t>29．评标方法</w:t>
      </w:r>
      <w:bookmarkEnd w:id="191"/>
    </w:p>
    <w:p>
      <w:pPr>
        <w:ind w:firstLine="411" w:firstLineChars="196"/>
      </w:pPr>
      <w:r>
        <w:t>29.1评标方法执行《转发财政部关于加强政府采购货物和服务项目价格评审管理的通知》（深财购[2007]9号）和《关于印发&lt;深圳市政府采购评标委员会和评标方法暂行规定&gt;的通知》(深财购[2005]5号)</w:t>
      </w:r>
      <w:r>
        <w:cr/>
      </w:r>
      <w:r>
        <w:t>项目评标方法分为最低评标价法、综合评标法、性价比法及法律、法规允许的其它评标办法。</w:t>
      </w:r>
    </w:p>
    <w:p>
      <w:pPr>
        <w:ind w:firstLine="411" w:firstLineChars="196"/>
        <w:rPr>
          <w:bCs/>
        </w:rPr>
      </w:pPr>
      <w:r>
        <w:rPr>
          <w:bCs/>
        </w:rPr>
        <w:t>29.1.1</w:t>
      </w:r>
      <w:bookmarkStart w:id="192" w:name="评标方法2"/>
      <w:r>
        <w:rPr>
          <w:bCs/>
        </w:rPr>
        <w:t>最低评标价法</w:t>
      </w:r>
    </w:p>
    <w:p>
      <w:pPr>
        <w:ind w:firstLine="411" w:firstLineChars="196"/>
        <w:rPr>
          <w:bCs/>
        </w:rPr>
      </w:pPr>
      <w:r>
        <w:rPr>
          <w:bCs/>
        </w:rPr>
        <w:t>最低价法是指以价格因素确定中标候选供应商的评标方法，即在满足招标文件实质性要求前提下，以报价最低的投标供应商作为候选中标供应商或中标供应商的评标方法；</w:t>
      </w:r>
    </w:p>
    <w:p>
      <w:pPr>
        <w:ind w:firstLine="411" w:firstLineChars="196"/>
        <w:rPr>
          <w:bCs/>
        </w:rPr>
      </w:pPr>
      <w:r>
        <w:rPr>
          <w:bCs/>
        </w:rPr>
        <w:t>29.1.2综合评分法</w:t>
      </w:r>
      <w:bookmarkEnd w:id="192"/>
    </w:p>
    <w:p>
      <w:pPr>
        <w:ind w:firstLine="411" w:firstLineChars="196"/>
        <w:rPr>
          <w:bCs/>
        </w:rPr>
      </w:pPr>
      <w:bookmarkStart w:id="193" w:name="评标方法3"/>
      <w:r>
        <w:rPr>
          <w:rFonts w:ascii="Calibri" w:hAnsi="Calibri"/>
          <w:kern w:val="2"/>
          <w:szCs w:val="24"/>
        </w:rPr>
        <w:t>综合评分法是指投标文件满足招标文件全部实质性要求，且按照评审因素的量化指标评审得分最高的投标人为中标候选人的评标方法。</w:t>
      </w:r>
    </w:p>
    <w:p>
      <w:pPr>
        <w:ind w:firstLine="411" w:firstLineChars="196"/>
        <w:rPr>
          <w:bCs/>
        </w:rPr>
      </w:pPr>
      <w:r>
        <w:rPr>
          <w:bCs/>
        </w:rPr>
        <w:t>29.1.3性价比法</w:t>
      </w:r>
    </w:p>
    <w:p>
      <w:pPr>
        <w:ind w:firstLine="411" w:firstLineChars="196"/>
        <w:rPr>
          <w:bCs/>
        </w:rPr>
      </w:pPr>
      <w:r>
        <w:rPr>
          <w:bCs/>
        </w:rPr>
        <w:t>性价比法是指除价格因素外，经对投标文件进行评审，计算出评分因素的总分，除以投标报价，以商数最高的投标供应商作为候选中标供应商或中标供应商的评标方法。</w:t>
      </w:r>
    </w:p>
    <w:p>
      <w:pPr>
        <w:ind w:firstLine="411" w:firstLineChars="196"/>
        <w:rPr>
          <w:bCs/>
          <w:snapToGrid w:val="0"/>
        </w:rPr>
      </w:pPr>
      <w:r>
        <w:rPr>
          <w:bCs/>
        </w:rPr>
        <w:t>29.1.4 采用评定分离的项目，</w:t>
      </w:r>
      <w:r>
        <w:rPr>
          <w:bCs/>
          <w:snapToGrid w:val="0"/>
        </w:rPr>
        <w:t>评审委员会在评标报告中根据评标总得分排序，</w:t>
      </w:r>
      <w:r>
        <w:rPr>
          <w:bCs/>
        </w:rPr>
        <w:t>推荐三家候选中标供应商</w:t>
      </w:r>
      <w:r>
        <w:rPr>
          <w:bCs/>
          <w:snapToGrid w:val="0"/>
        </w:rPr>
        <w:t>。</w:t>
      </w:r>
    </w:p>
    <w:p>
      <w:pPr>
        <w:ind w:firstLine="411" w:firstLineChars="196"/>
        <w:rPr>
          <w:bCs/>
          <w:snapToGrid w:val="0"/>
        </w:rPr>
      </w:pPr>
      <w:r>
        <w:rPr>
          <w:bCs/>
          <w:snapToGrid w:val="0"/>
        </w:rPr>
        <w:t>29.1.5 定标方法：</w:t>
      </w:r>
    </w:p>
    <w:p>
      <w:pPr>
        <w:ind w:firstLine="420" w:firstLineChars="200"/>
      </w:pPr>
      <w:r>
        <w:t>29.1.5.1 自定法：采购人组织定标委员会，由定标委员会在候选中标供应商中确定中标供应商。</w:t>
      </w:r>
    </w:p>
    <w:p>
      <w:pPr>
        <w:ind w:firstLine="411" w:firstLineChars="196"/>
        <w:rPr>
          <w:bCs/>
        </w:rPr>
      </w:pPr>
      <w:r>
        <w:rPr>
          <w:bCs/>
        </w:rPr>
        <w:t>29.2 本项目采用的评标方法</w:t>
      </w:r>
      <w:bookmarkEnd w:id="193"/>
    </w:p>
    <w:p>
      <w:pPr>
        <w:ind w:firstLine="411" w:firstLineChars="196"/>
        <w:rPr>
          <w:bCs/>
        </w:rPr>
      </w:pPr>
      <w:r>
        <w:rPr>
          <w:bCs/>
        </w:rPr>
        <w:t>（请详见“关键信息——项目评分表”）</w:t>
      </w:r>
    </w:p>
    <w:p>
      <w:pPr>
        <w:spacing w:line="360" w:lineRule="auto"/>
        <w:rPr>
          <w:rFonts w:eastAsia="黑体"/>
          <w:sz w:val="24"/>
        </w:rPr>
      </w:pPr>
      <w:bookmarkStart w:id="194" w:name="_Toc100052403"/>
      <w:bookmarkStart w:id="195" w:name="_Toc60560665"/>
      <w:bookmarkStart w:id="196" w:name="_Toc73518155"/>
      <w:bookmarkStart w:id="197" w:name="_Toc60631660"/>
      <w:bookmarkStart w:id="198" w:name="_Toc73521585"/>
      <w:bookmarkStart w:id="199" w:name="_Toc73521673"/>
      <w:bookmarkStart w:id="200" w:name="_Toc73517677"/>
      <w:r>
        <w:rPr>
          <w:rFonts w:eastAsia="黑体"/>
          <w:sz w:val="24"/>
        </w:rPr>
        <w:t>30．定标</w:t>
      </w:r>
      <w:bookmarkEnd w:id="194"/>
      <w:bookmarkEnd w:id="195"/>
      <w:bookmarkEnd w:id="196"/>
      <w:bookmarkEnd w:id="197"/>
      <w:bookmarkEnd w:id="198"/>
      <w:bookmarkEnd w:id="199"/>
      <w:bookmarkEnd w:id="200"/>
    </w:p>
    <w:p>
      <w:pPr>
        <w:ind w:firstLine="411" w:firstLineChars="196"/>
      </w:pPr>
      <w:r>
        <w:t>30.1评标委员会依据本招标文件所约定的评标方法进行评审和比较，向政府采购代理机构提交书面评标报告，并根据评标方法比较评价结果从优到劣进行排序，并推荐中标候选人或确定中标供应商；</w:t>
      </w:r>
    </w:p>
    <w:p>
      <w:pPr>
        <w:ind w:firstLine="411" w:firstLineChars="196"/>
      </w:pPr>
      <w:r>
        <w:t>30.2采用最低评标价法的，按投标报价由低到高顺序排列，投标报价相同的，按技术指标优劣顺序排列。评标委员会认为，排在前面的供应商的最低投标报价或者某些分项报价明显不合理或者低于成本，有可能影响商品质量和不能诚信履约的，应当要求其在规定的期限内提供书面文件予以解释说明，并提交相关证明材料；否则，评标委员会可以取消该投标供应商的中标资格，按顺序由排在后面的供应商递补，以此类推。对是否满足实质性要求或报价是否合理或是否低于成本，评委会意见不一致时，按少数服从多数原则作出决定。</w:t>
      </w:r>
    </w:p>
    <w:p>
      <w:pPr>
        <w:ind w:firstLine="411" w:firstLineChars="196"/>
        <w:rPr>
          <w:color w:val="FF0000"/>
        </w:rPr>
      </w:pPr>
      <w:r>
        <w:t>30.3采用综合评分法的，按评审后得分由高到低顺序排列。得分相同的，按投标报价由低到高顺序排列。得分且投标报价相同的，按技术指标优劣顺序排列。</w:t>
      </w:r>
    </w:p>
    <w:p>
      <w:pPr>
        <w:ind w:firstLine="411" w:firstLineChars="196"/>
      </w:pPr>
      <w:r>
        <w:t>30.4采用性价比法的，按商数得分由高到低顺序排列。商数得分相同的，按投标报价由低到高顺序排列。商数得分且投标报价相同的，按技术指标优劣顺序排列。</w:t>
      </w:r>
    </w:p>
    <w:p>
      <w:pPr>
        <w:spacing w:line="360" w:lineRule="auto"/>
        <w:rPr>
          <w:rFonts w:eastAsia="黑体"/>
          <w:sz w:val="24"/>
        </w:rPr>
      </w:pPr>
      <w:bookmarkStart w:id="201" w:name="_Toc100052404"/>
      <w:r>
        <w:rPr>
          <w:rFonts w:eastAsia="黑体"/>
          <w:sz w:val="24"/>
        </w:rPr>
        <w:t>31．编写评标报告</w:t>
      </w:r>
      <w:bookmarkEnd w:id="201"/>
    </w:p>
    <w:p>
      <w:pPr>
        <w:ind w:firstLine="411" w:firstLineChars="196"/>
      </w:pPr>
      <w:r>
        <w:t>评标报告是评标委员会根据全体评标成员签字的原始评标记录和评标结果编写的报告，评标报告由评标委员会全体成员签字。对评标结论持有异议的评标委员会成员可以书面方式阐述其不同意见和理由。评标委员会成员拒绝在评标报告上签字且不陈述其不同意见和理由的，视为同意评标结论。评标委员会应当对此作出书面说明并记录在案。</w:t>
      </w:r>
    </w:p>
    <w:p>
      <w:pPr>
        <w:spacing w:line="360" w:lineRule="auto"/>
        <w:rPr>
          <w:rFonts w:eastAsia="黑体"/>
          <w:sz w:val="24"/>
        </w:rPr>
      </w:pPr>
      <w:bookmarkStart w:id="202" w:name="_Toc100052405"/>
      <w:bookmarkStart w:id="203" w:name="_Toc73518159"/>
      <w:bookmarkStart w:id="204" w:name="_Toc73517681"/>
      <w:bookmarkStart w:id="205" w:name="_Toc73521588"/>
      <w:bookmarkStart w:id="206" w:name="_Toc73521676"/>
      <w:r>
        <w:rPr>
          <w:rFonts w:eastAsia="黑体"/>
          <w:sz w:val="24"/>
        </w:rPr>
        <w:t>32．中标结果及中标通知书</w:t>
      </w:r>
      <w:bookmarkEnd w:id="202"/>
    </w:p>
    <w:p>
      <w:pPr>
        <w:ind w:firstLine="411" w:firstLineChars="196"/>
      </w:pPr>
      <w:r>
        <w:t>32.1为体现“公开、公平、公正”的原则，评标结束后，政府采购代理机构将在“</w:t>
      </w:r>
      <w:r>
        <w:rPr>
          <w:rFonts w:hint="eastAsia" w:ascii="宋体" w:hAnsi="宋体" w:cs="宋体"/>
        </w:rPr>
        <w:t>深圳政府采购网</w:t>
      </w:r>
      <w:r>
        <w:t>”（</w:t>
      </w:r>
      <w:r>
        <w:rPr>
          <w:rFonts w:ascii="宋体" w:hAnsi="宋体" w:cs="宋体"/>
        </w:rPr>
        <w:t>http://www.szzfcg.cn/</w:t>
      </w:r>
      <w:r>
        <w:t>）、“深圳市建星公司网”（www.sz-jstar.com）上发布中标结果公告，公示期为3日。供应商如对评标结果有异议，请于公示期内，以书面形式向我公司反映。若在公示期内未提出异议，则视为认同该评标结果。</w:t>
      </w:r>
    </w:p>
    <w:p>
      <w:pPr>
        <w:ind w:firstLine="411" w:firstLineChars="196"/>
      </w:pPr>
      <w:r>
        <w:t>32.2评标委员会不直接向未通过符合性检查的投标人或者未中标的投标人解释落标原因，也不退还投标文件。</w:t>
      </w:r>
    </w:p>
    <w:p>
      <w:pPr>
        <w:ind w:firstLine="411" w:firstLineChars="196"/>
      </w:pPr>
      <w:r>
        <w:t>32.3质疑投诉人应保证质疑投诉内容的真实性和可靠性，并承担相应的法律责任。</w:t>
      </w:r>
    </w:p>
    <w:p>
      <w:pPr>
        <w:ind w:firstLine="411" w:firstLineChars="196"/>
      </w:pPr>
      <w:r>
        <w:t>32.4项目质疑受理程序：</w:t>
      </w:r>
    </w:p>
    <w:p>
      <w:pPr>
        <w:ind w:firstLine="411" w:firstLineChars="196"/>
      </w:pPr>
      <w:r>
        <w:t>32.4.1政府采购代理机构统一对外受理项目质疑资料。参与政府采购活动的供应商认为其权益在政府采购活动中受到损害的，应当自知道或者应当知道其权益受到损害之日起五个工作日内向政府采购代理机构以书面形式提出质疑，并提供相应的证据。对于逾期及不符合质疑条件的，不予受理。</w:t>
      </w:r>
    </w:p>
    <w:p>
      <w:pPr>
        <w:ind w:firstLine="411" w:firstLineChars="196"/>
      </w:pPr>
      <w:r>
        <w:t>受理程序需要审核的资料：供应商提供书面的质疑函件（原件且加盖公司公章）以及相关质疑内容的证明材料、法定代表人证明书、授权委托书（应当载明委托代理的事项和具体权限）、经办人身份证原件及复印件（加盖公章），如果没有超过质疑的有效期限且资料齐全，政府采购代理机构将打印《质疑受理回执》加盖公司公章给予供应商。</w:t>
      </w:r>
    </w:p>
    <w:p>
      <w:pPr>
        <w:ind w:firstLine="411" w:firstLineChars="196"/>
      </w:pPr>
      <w:r>
        <w:t>质疑函应当包括下列主要内容：</w:t>
      </w:r>
    </w:p>
    <w:p>
      <w:pPr>
        <w:ind w:firstLine="411" w:firstLineChars="196"/>
      </w:pPr>
      <w:r>
        <w:t>（一）有明确的质疑请求；</w:t>
      </w:r>
    </w:p>
    <w:p>
      <w:pPr>
        <w:ind w:firstLine="411" w:firstLineChars="196"/>
      </w:pPr>
      <w:r>
        <w:t>（二）有明确的质疑对象；</w:t>
      </w:r>
    </w:p>
    <w:p>
      <w:pPr>
        <w:ind w:firstLine="411" w:firstLineChars="196"/>
      </w:pPr>
      <w:r>
        <w:t>（三）因质疑事项而受到损害的权益；</w:t>
      </w:r>
    </w:p>
    <w:p>
      <w:pPr>
        <w:ind w:firstLine="411" w:firstLineChars="196"/>
      </w:pPr>
      <w:r>
        <w:t>（四）有合理的事实和依据；</w:t>
      </w:r>
    </w:p>
    <w:p>
      <w:pPr>
        <w:ind w:firstLine="411" w:firstLineChars="196"/>
      </w:pPr>
      <w:r>
        <w:t>（五）法律、法规和规章规定的其他材料；</w:t>
      </w:r>
    </w:p>
    <w:p>
      <w:pPr>
        <w:ind w:firstLine="411" w:firstLineChars="196"/>
      </w:pPr>
      <w:r>
        <w:t>（六）其他。</w:t>
      </w:r>
    </w:p>
    <w:p>
      <w:pPr>
        <w:ind w:firstLine="411" w:firstLineChars="196"/>
      </w:pPr>
      <w:r>
        <w:t>质疑函中应当写明被质疑采购项目的名称和编号，应当写明单位全称、地址、邮政编码、有效联系人和联系电话。</w:t>
      </w:r>
    </w:p>
    <w:p>
      <w:pPr>
        <w:ind w:firstLine="411" w:firstLineChars="196"/>
      </w:pPr>
      <w:r>
        <w:t>32.4.2异地供应商质疑可传真函件至窗口进行预受理，但供应商必须在发出传真函件后5个工作日内将资料原件【供应商提供书面的质疑函件（原件且加盖公司公章）以及相关质疑内容的证明材料、法定代表人证明书、授权委托书（应当载明委托代理的事项和具体权限）、经办人身份证原件及复印件（加盖公章）】提交至政府采购代理机构，或邮政快递至我公司再给予正式受理。</w:t>
      </w:r>
    </w:p>
    <w:p>
      <w:pPr>
        <w:ind w:firstLine="411" w:firstLineChars="196"/>
      </w:pPr>
      <w:r>
        <w:t>32.5中标公告公布以后，公示期内无人投诉，政府采购代理机构将通知中标供应商在公示期结束后五个工作日内到招标代理机构领取《中标通知书》</w:t>
      </w:r>
      <w:bookmarkEnd w:id="203"/>
      <w:bookmarkEnd w:id="204"/>
      <w:bookmarkEnd w:id="205"/>
      <w:bookmarkEnd w:id="206"/>
      <w:r>
        <w:t>。</w:t>
      </w:r>
    </w:p>
    <w:p>
      <w:pPr>
        <w:ind w:firstLine="411" w:firstLineChars="196"/>
      </w:pPr>
      <w:r>
        <w:t>32.6中标通知书是合同的重要组成部分。</w:t>
      </w:r>
    </w:p>
    <w:p>
      <w:pPr>
        <w:pStyle w:val="3"/>
        <w:widowControl w:val="0"/>
        <w:numPr>
          <w:ilvl w:val="0"/>
          <w:numId w:val="3"/>
        </w:numPr>
        <w:tabs>
          <w:tab w:val="left" w:pos="360"/>
        </w:tabs>
        <w:adjustRightInd w:val="0"/>
        <w:spacing w:beforeLines="50" w:afterLines="50" w:line="240" w:lineRule="auto"/>
        <w:ind w:left="0" w:firstLine="0"/>
        <w:jc w:val="center"/>
        <w:textAlignment w:val="baseline"/>
        <w:rPr>
          <w:rFonts w:ascii="Times New Roman" w:hAnsi="Times New Roman"/>
          <w:sz w:val="28"/>
          <w:szCs w:val="28"/>
        </w:rPr>
      </w:pPr>
      <w:bookmarkStart w:id="207" w:name="bt合同的授予"/>
      <w:bookmarkEnd w:id="207"/>
      <w:bookmarkStart w:id="208" w:name="_Toc73517678"/>
      <w:bookmarkStart w:id="209" w:name="_Toc100052407"/>
      <w:bookmarkStart w:id="210" w:name="_Toc73518156"/>
      <w:bookmarkStart w:id="211" w:name="_Toc101074884"/>
      <w:r>
        <w:rPr>
          <w:rFonts w:ascii="Times New Roman" w:hAnsi="Times New Roman"/>
          <w:sz w:val="28"/>
          <w:szCs w:val="28"/>
        </w:rPr>
        <w:t>公开招标失败的后续处理</w:t>
      </w:r>
    </w:p>
    <w:bookmarkEnd w:id="208"/>
    <w:bookmarkEnd w:id="209"/>
    <w:bookmarkEnd w:id="210"/>
    <w:bookmarkEnd w:id="211"/>
    <w:p>
      <w:pPr>
        <w:spacing w:line="360" w:lineRule="auto"/>
        <w:rPr>
          <w:rFonts w:ascii="宋体" w:hAnsi="宋体"/>
          <w:sz w:val="24"/>
        </w:rPr>
      </w:pPr>
      <w:r>
        <w:rPr>
          <w:rFonts w:ascii="宋体" w:hAnsi="宋体"/>
          <w:sz w:val="24"/>
        </w:rPr>
        <w:t>33．公开招标失败的处理</w:t>
      </w:r>
    </w:p>
    <w:p>
      <w:pPr>
        <w:widowControl w:val="0"/>
        <w:ind w:firstLine="411" w:firstLineChars="196"/>
        <w:rPr>
          <w:kern w:val="2"/>
          <w:szCs w:val="24"/>
        </w:rPr>
      </w:pPr>
      <w:r>
        <w:rPr>
          <w:kern w:val="2"/>
        </w:rPr>
        <w:t>33.1本项目公开招标过程中若由于投标截止后</w:t>
      </w:r>
      <w:r>
        <w:rPr>
          <w:kern w:val="2"/>
          <w:szCs w:val="24"/>
        </w:rPr>
        <w:t>实际递交投标文件的供应商数量不足、经评标委员会评审对招标文件作实质响应的供应商不足等原因造成公开招标失败，可由政府采购代理机构重新组织采购。</w:t>
      </w:r>
    </w:p>
    <w:p>
      <w:pPr>
        <w:widowControl w:val="0"/>
        <w:ind w:firstLine="411" w:firstLineChars="196"/>
        <w:rPr>
          <w:kern w:val="2"/>
        </w:rPr>
      </w:pPr>
      <w:r>
        <w:rPr>
          <w:kern w:val="2"/>
        </w:rPr>
        <w:t>33.2对公开招标失败的项目，评标委员会必须在出具该项目招标失败结论的同时，提出重新采购组织形式的建议，以及进一步完善招标文件的资格、技术、商务要求的修改建议。</w:t>
      </w:r>
    </w:p>
    <w:p>
      <w:pPr>
        <w:widowControl w:val="0"/>
        <w:ind w:firstLine="411" w:firstLineChars="196"/>
        <w:rPr>
          <w:kern w:val="2"/>
        </w:rPr>
      </w:pPr>
      <w:r>
        <w:rPr>
          <w:kern w:val="2"/>
        </w:rPr>
        <w:t>33.3重新组织采购有以下两种组织形式：</w:t>
      </w:r>
    </w:p>
    <w:p>
      <w:pPr>
        <w:widowControl w:val="0"/>
        <w:ind w:firstLine="411" w:firstLineChars="196"/>
        <w:rPr>
          <w:kern w:val="2"/>
          <w:szCs w:val="24"/>
        </w:rPr>
      </w:pPr>
      <w:r>
        <w:rPr>
          <w:kern w:val="2"/>
          <w:szCs w:val="24"/>
        </w:rPr>
        <w:t>（1）由政府采购代理机构重新组织公开招标；</w:t>
      </w:r>
    </w:p>
    <w:p>
      <w:pPr>
        <w:widowControl w:val="0"/>
        <w:ind w:firstLine="411" w:firstLineChars="196"/>
        <w:rPr>
          <w:kern w:val="2"/>
          <w:szCs w:val="24"/>
        </w:rPr>
      </w:pPr>
      <w:r>
        <w:rPr>
          <w:kern w:val="2"/>
          <w:szCs w:val="24"/>
        </w:rPr>
        <w:t>（2）可转为竞争性谈判或单一来源谈判方式采购。</w:t>
      </w:r>
    </w:p>
    <w:p>
      <w:pPr>
        <w:widowControl w:val="0"/>
        <w:ind w:firstLine="411" w:firstLineChars="196"/>
        <w:rPr>
          <w:kern w:val="2"/>
          <w:szCs w:val="24"/>
        </w:rPr>
      </w:pPr>
      <w:r>
        <w:rPr>
          <w:kern w:val="2"/>
          <w:szCs w:val="24"/>
        </w:rPr>
        <w:t>33.4公开招标失败的采购项目重新组织公开招标，政府采购代理机构要重新按公开招标流程发布招标公告和招标文件、组成评标委员会等组织采购活动。</w:t>
      </w:r>
    </w:p>
    <w:p>
      <w:pPr>
        <w:widowControl w:val="0"/>
        <w:ind w:firstLine="411" w:firstLineChars="196"/>
        <w:rPr>
          <w:kern w:val="2"/>
          <w:szCs w:val="24"/>
        </w:rPr>
      </w:pPr>
      <w:r>
        <w:rPr>
          <w:kern w:val="2"/>
          <w:szCs w:val="24"/>
        </w:rPr>
        <w:t>33.5转为竞争性谈判或单一来源谈判方式采购的，可不另行制作谈判文件，政府采购代理机构可就原招标文件中资质、技术及评标方法等变动情况向拟谈判对象发出谈判邀请，与原招标文件具同等效力，变动部分以谈判邀请文件为准。转为竞争性谈判或单一来源谈判方式采购的，供应商的原投标文件转为谈判应答文件。</w:t>
      </w:r>
    </w:p>
    <w:p>
      <w:pPr>
        <w:spacing w:line="276" w:lineRule="auto"/>
        <w:ind w:firstLine="420" w:firstLineChars="200"/>
        <w:rPr>
          <w:rFonts w:ascii="宋体" w:hAnsi="宋体"/>
          <w:color w:val="FF0000"/>
        </w:rPr>
      </w:pPr>
    </w:p>
    <w:p>
      <w:pPr>
        <w:pStyle w:val="3"/>
        <w:widowControl w:val="0"/>
        <w:numPr>
          <w:ilvl w:val="0"/>
          <w:numId w:val="3"/>
        </w:numPr>
        <w:tabs>
          <w:tab w:val="left" w:pos="360"/>
        </w:tabs>
        <w:adjustRightInd w:val="0"/>
        <w:spacing w:beforeLines="50" w:afterLines="50" w:line="240" w:lineRule="auto"/>
        <w:ind w:left="0" w:firstLine="0"/>
        <w:jc w:val="center"/>
        <w:textAlignment w:val="baseline"/>
        <w:rPr>
          <w:rFonts w:ascii="宋体" w:hAnsi="宋体"/>
          <w:sz w:val="28"/>
          <w:szCs w:val="28"/>
        </w:rPr>
      </w:pPr>
      <w:bookmarkStart w:id="212" w:name="_Toc93049406"/>
      <w:r>
        <w:rPr>
          <w:rFonts w:ascii="宋体" w:hAnsi="宋体"/>
          <w:sz w:val="28"/>
          <w:szCs w:val="28"/>
        </w:rPr>
        <w:t>合同的授予</w:t>
      </w:r>
      <w:bookmarkEnd w:id="212"/>
    </w:p>
    <w:p>
      <w:pPr>
        <w:spacing w:line="360" w:lineRule="auto"/>
        <w:rPr>
          <w:rFonts w:ascii="宋体" w:hAnsi="宋体"/>
          <w:sz w:val="24"/>
        </w:rPr>
      </w:pPr>
      <w:r>
        <w:rPr>
          <w:rFonts w:ascii="宋体" w:hAnsi="宋体"/>
          <w:sz w:val="24"/>
        </w:rPr>
        <w:t>34．合同授予标准</w:t>
      </w:r>
    </w:p>
    <w:p>
      <w:pPr>
        <w:ind w:firstLine="411" w:firstLineChars="196"/>
        <w:rPr>
          <w:rFonts w:ascii="宋体" w:hAnsi="宋体"/>
        </w:rPr>
      </w:pPr>
      <w:r>
        <w:rPr>
          <w:rFonts w:ascii="宋体" w:hAnsi="宋体"/>
        </w:rPr>
        <w:t>3</w:t>
      </w:r>
      <w:r>
        <w:rPr>
          <w:rFonts w:hint="eastAsia" w:ascii="宋体" w:hAnsi="宋体"/>
        </w:rPr>
        <w:t>4</w:t>
      </w:r>
      <w:r>
        <w:rPr>
          <w:rFonts w:ascii="宋体" w:hAnsi="宋体"/>
        </w:rPr>
        <w:t>.1本项目的合同将授予按本招标文件规定评审确定的中标人。</w:t>
      </w:r>
    </w:p>
    <w:p>
      <w:pPr>
        <w:spacing w:line="360" w:lineRule="auto"/>
        <w:rPr>
          <w:rFonts w:ascii="宋体" w:hAnsi="宋体"/>
          <w:sz w:val="24"/>
        </w:rPr>
      </w:pPr>
      <w:r>
        <w:rPr>
          <w:rFonts w:ascii="宋体" w:hAnsi="宋体"/>
          <w:sz w:val="24"/>
        </w:rPr>
        <w:t>35．接受和拒绝任何或所有投标的权力</w:t>
      </w:r>
    </w:p>
    <w:p>
      <w:pPr>
        <w:ind w:firstLine="411" w:firstLineChars="196"/>
        <w:rPr>
          <w:rFonts w:ascii="宋体" w:hAnsi="宋体"/>
        </w:rPr>
      </w:pPr>
      <w:r>
        <w:rPr>
          <w:rFonts w:ascii="宋体" w:hAnsi="宋体"/>
        </w:rPr>
        <w:t>3</w:t>
      </w:r>
      <w:r>
        <w:rPr>
          <w:rFonts w:hint="eastAsia" w:ascii="宋体" w:hAnsi="宋体"/>
        </w:rPr>
        <w:t>5</w:t>
      </w:r>
      <w:r>
        <w:rPr>
          <w:rFonts w:ascii="宋体" w:hAnsi="宋体"/>
        </w:rPr>
        <w:t>.1政府采购代理机构和采购单位保留在投标之前任何时候接受或拒绝任何投标或所有投标，以及宣布招标无效的权力，对受影响的投标人不承担任何责任，也无义务向受影响的投标人解释采取这一行动的理由。</w:t>
      </w:r>
    </w:p>
    <w:p>
      <w:pPr>
        <w:spacing w:line="360" w:lineRule="auto"/>
        <w:rPr>
          <w:rFonts w:ascii="宋体" w:hAnsi="宋体"/>
          <w:sz w:val="24"/>
        </w:rPr>
      </w:pPr>
      <w:bookmarkStart w:id="213" w:name="_Toc73521677"/>
      <w:bookmarkStart w:id="214" w:name="_Toc73521589"/>
      <w:bookmarkStart w:id="215" w:name="_Toc100052410"/>
      <w:bookmarkStart w:id="216" w:name="_Toc73517682"/>
      <w:bookmarkStart w:id="217" w:name="_Toc73518160"/>
      <w:r>
        <w:rPr>
          <w:rFonts w:ascii="宋体" w:hAnsi="宋体"/>
          <w:sz w:val="24"/>
        </w:rPr>
        <w:t>3</w:t>
      </w:r>
      <w:r>
        <w:rPr>
          <w:rFonts w:hint="eastAsia" w:ascii="宋体" w:hAnsi="宋体"/>
          <w:sz w:val="24"/>
        </w:rPr>
        <w:t>6</w:t>
      </w:r>
      <w:r>
        <w:rPr>
          <w:rFonts w:ascii="宋体" w:hAnsi="宋体"/>
          <w:sz w:val="24"/>
        </w:rPr>
        <w:t>．合同协议书的签订</w:t>
      </w:r>
      <w:bookmarkEnd w:id="213"/>
      <w:bookmarkEnd w:id="214"/>
      <w:bookmarkEnd w:id="215"/>
      <w:bookmarkEnd w:id="216"/>
      <w:bookmarkEnd w:id="217"/>
    </w:p>
    <w:p>
      <w:pPr>
        <w:ind w:firstLine="411" w:firstLineChars="196"/>
        <w:rPr>
          <w:rFonts w:ascii="宋体" w:hAnsi="宋体"/>
        </w:rPr>
      </w:pPr>
      <w:r>
        <w:rPr>
          <w:rFonts w:ascii="宋体" w:hAnsi="宋体"/>
        </w:rPr>
        <w:t>3</w:t>
      </w:r>
      <w:r>
        <w:rPr>
          <w:rFonts w:hint="eastAsia" w:ascii="宋体" w:hAnsi="宋体"/>
        </w:rPr>
        <w:t>6</w:t>
      </w:r>
      <w:r>
        <w:rPr>
          <w:rFonts w:ascii="宋体" w:hAnsi="宋体"/>
        </w:rPr>
        <w:t>.1</w:t>
      </w:r>
      <w:r>
        <w:rPr>
          <w:rFonts w:ascii="宋体" w:hAnsi="宋体"/>
          <w:b/>
          <w:bCs/>
        </w:rPr>
        <w:t>中标人将于中标通知书发出之日起十个工作日内，按照招标文件和投标文件内容与采购单位签订书面合同，合同书应采用本招标文件第一部分规定的合同样本；</w:t>
      </w:r>
    </w:p>
    <w:p>
      <w:pPr>
        <w:spacing w:line="0" w:lineRule="atLeast"/>
        <w:ind w:firstLine="411" w:firstLineChars="196"/>
        <w:rPr>
          <w:rFonts w:ascii="宋体" w:hAnsi="宋体"/>
        </w:rPr>
      </w:pPr>
      <w:r>
        <w:rPr>
          <w:rFonts w:ascii="宋体" w:hAnsi="宋体"/>
        </w:rPr>
        <w:t>3</w:t>
      </w:r>
      <w:r>
        <w:rPr>
          <w:rFonts w:hint="eastAsia" w:ascii="宋体" w:hAnsi="宋体"/>
        </w:rPr>
        <w:t>6</w:t>
      </w:r>
      <w:r>
        <w:rPr>
          <w:rFonts w:ascii="宋体" w:hAnsi="宋体"/>
        </w:rPr>
        <w:t>.2中标人如不按本投标须知第3</w:t>
      </w:r>
      <w:r>
        <w:rPr>
          <w:rFonts w:hint="eastAsia" w:ascii="宋体" w:hAnsi="宋体"/>
        </w:rPr>
        <w:t>7</w:t>
      </w:r>
      <w:r>
        <w:rPr>
          <w:rFonts w:ascii="宋体" w:hAnsi="宋体"/>
        </w:rPr>
        <w:t>.1款的规定与采购单位签订合同，则政府采购代理机构将有充分的理由废除中标，并反馈深圳市政府采购中心由其没收其投标保证金，给政府采购代理机构造成的损失超过投标担保数额的，还应当对超过部分予以赔偿，同时承担相应法律责任；</w:t>
      </w:r>
    </w:p>
    <w:p>
      <w:pPr>
        <w:spacing w:line="0" w:lineRule="atLeast"/>
        <w:ind w:firstLine="411" w:firstLineChars="196"/>
        <w:rPr>
          <w:rFonts w:ascii="宋体" w:hAnsi="宋体"/>
        </w:rPr>
      </w:pPr>
      <w:r>
        <w:rPr>
          <w:rFonts w:ascii="宋体" w:hAnsi="宋体"/>
        </w:rPr>
        <w:t>3</w:t>
      </w:r>
      <w:r>
        <w:rPr>
          <w:rFonts w:hint="eastAsia" w:ascii="宋体" w:hAnsi="宋体"/>
        </w:rPr>
        <w:t>6</w:t>
      </w:r>
      <w:r>
        <w:rPr>
          <w:rFonts w:ascii="宋体" w:hAnsi="宋体"/>
        </w:rPr>
        <w:t>.3中标人应当按照合同约定履行义务，完成中标项目，未以招标人及监管部门许可不得将中标项目转让（转包）给他人；</w:t>
      </w:r>
    </w:p>
    <w:p>
      <w:pPr>
        <w:spacing w:line="0" w:lineRule="atLeast"/>
        <w:ind w:firstLine="411" w:firstLineChars="196"/>
        <w:rPr>
          <w:rFonts w:ascii="宋体" w:hAnsi="宋体"/>
        </w:rPr>
      </w:pPr>
      <w:r>
        <w:rPr>
          <w:rFonts w:ascii="宋体" w:hAnsi="宋体"/>
        </w:rPr>
        <w:t>3</w:t>
      </w:r>
      <w:r>
        <w:rPr>
          <w:rFonts w:hint="eastAsia" w:ascii="宋体" w:hAnsi="宋体"/>
        </w:rPr>
        <w:t>6</w:t>
      </w:r>
      <w:r>
        <w:rPr>
          <w:rFonts w:ascii="宋体" w:hAnsi="宋体"/>
        </w:rPr>
        <w:t>.4采购人与中标人签订的服务合同必须遵守本招标文件的合同条件，并且不得更改合同条件。</w:t>
      </w:r>
    </w:p>
    <w:p>
      <w:pPr>
        <w:spacing w:line="360" w:lineRule="auto"/>
        <w:rPr>
          <w:rFonts w:ascii="宋体" w:hAnsi="宋体"/>
          <w:sz w:val="24"/>
        </w:rPr>
      </w:pPr>
      <w:bookmarkStart w:id="218" w:name="_Toc73521678"/>
      <w:bookmarkStart w:id="219" w:name="_Toc73517683"/>
      <w:bookmarkStart w:id="220" w:name="_Toc73521590"/>
      <w:bookmarkStart w:id="221" w:name="_Toc73518161"/>
      <w:bookmarkStart w:id="222" w:name="_Toc100052411"/>
      <w:r>
        <w:rPr>
          <w:rFonts w:ascii="宋体" w:hAnsi="宋体"/>
          <w:sz w:val="24"/>
        </w:rPr>
        <w:t>3</w:t>
      </w:r>
      <w:r>
        <w:rPr>
          <w:rFonts w:hint="eastAsia" w:ascii="宋体" w:hAnsi="宋体"/>
          <w:sz w:val="24"/>
        </w:rPr>
        <w:t>7</w:t>
      </w:r>
      <w:r>
        <w:rPr>
          <w:rFonts w:ascii="宋体" w:hAnsi="宋体"/>
          <w:sz w:val="24"/>
        </w:rPr>
        <w:t>．履约担保</w:t>
      </w:r>
      <w:bookmarkEnd w:id="218"/>
      <w:bookmarkEnd w:id="219"/>
      <w:bookmarkEnd w:id="220"/>
      <w:bookmarkEnd w:id="221"/>
      <w:bookmarkEnd w:id="222"/>
    </w:p>
    <w:p>
      <w:pPr>
        <w:spacing w:line="0" w:lineRule="atLeast"/>
        <w:ind w:firstLine="411" w:firstLineChars="196"/>
        <w:rPr>
          <w:rFonts w:ascii="宋体" w:hAnsi="宋体"/>
        </w:rPr>
      </w:pPr>
      <w:r>
        <w:rPr>
          <w:rFonts w:ascii="宋体" w:hAnsi="宋体"/>
        </w:rPr>
        <w:t>3</w:t>
      </w:r>
      <w:r>
        <w:rPr>
          <w:rFonts w:hint="eastAsia" w:ascii="宋体" w:hAnsi="宋体"/>
        </w:rPr>
        <w:t>7</w:t>
      </w:r>
      <w:r>
        <w:rPr>
          <w:rFonts w:ascii="宋体" w:hAnsi="宋体"/>
        </w:rPr>
        <w:t>.1在签订项目承包合同的同时，中标人应按“关键信息——投标须知前附表”中规定的金额向采购单位提交履约保函或履约保证金；</w:t>
      </w:r>
    </w:p>
    <w:p>
      <w:pPr>
        <w:spacing w:line="0" w:lineRule="atLeast"/>
        <w:ind w:firstLine="411" w:firstLineChars="196"/>
        <w:rPr>
          <w:rFonts w:ascii="宋体" w:hAnsi="宋体"/>
        </w:rPr>
      </w:pPr>
      <w:r>
        <w:rPr>
          <w:rFonts w:ascii="宋体" w:hAnsi="宋体"/>
        </w:rPr>
        <w:t>3</w:t>
      </w:r>
      <w:r>
        <w:rPr>
          <w:rFonts w:hint="eastAsia" w:ascii="宋体" w:hAnsi="宋体"/>
        </w:rPr>
        <w:t>7</w:t>
      </w:r>
      <w:r>
        <w:rPr>
          <w:rFonts w:ascii="宋体" w:hAnsi="宋体"/>
        </w:rPr>
        <w:t>.2如果中标人不能按本须知第</w:t>
      </w:r>
      <w:r>
        <w:rPr>
          <w:rFonts w:hint="eastAsia" w:ascii="宋体" w:hAnsi="宋体"/>
        </w:rPr>
        <w:t>38</w:t>
      </w:r>
      <w:r>
        <w:rPr>
          <w:rFonts w:ascii="宋体" w:hAnsi="宋体"/>
        </w:rPr>
        <w:t>.1款的规定执行，采购单位将有充分的理由通过政府采购监督管理部门废除中标，并没收投标保证金，给采购单位造成的损失超过投标保证金数额的，还应当对超过部分予以赔偿；</w:t>
      </w:r>
    </w:p>
    <w:p>
      <w:pPr>
        <w:spacing w:line="0" w:lineRule="atLeast"/>
        <w:ind w:firstLine="411" w:firstLineChars="196"/>
        <w:rPr>
          <w:rFonts w:ascii="宋体" w:hAnsi="宋体"/>
        </w:rPr>
      </w:pPr>
      <w:r>
        <w:rPr>
          <w:rFonts w:ascii="宋体" w:hAnsi="宋体"/>
        </w:rPr>
        <w:t>3</w:t>
      </w:r>
      <w:r>
        <w:rPr>
          <w:rFonts w:hint="eastAsia" w:ascii="宋体" w:hAnsi="宋体"/>
        </w:rPr>
        <w:t>7</w:t>
      </w:r>
      <w:r>
        <w:rPr>
          <w:rFonts w:ascii="宋体" w:hAnsi="宋体"/>
        </w:rPr>
        <w:t>.3项目服务期满之后，经验收合格后，采购单位在七日内办理退还履约担保手续。</w:t>
      </w:r>
    </w:p>
    <w:p>
      <w:pPr>
        <w:spacing w:line="360" w:lineRule="auto"/>
        <w:rPr>
          <w:rFonts w:ascii="宋体" w:hAnsi="宋体"/>
          <w:sz w:val="24"/>
        </w:rPr>
      </w:pPr>
      <w:r>
        <w:rPr>
          <w:rFonts w:hint="eastAsia" w:ascii="宋体" w:hAnsi="宋体"/>
          <w:sz w:val="24"/>
        </w:rPr>
        <w:t>38</w:t>
      </w:r>
      <w:r>
        <w:rPr>
          <w:rFonts w:ascii="宋体" w:hAnsi="宋体"/>
          <w:sz w:val="24"/>
        </w:rPr>
        <w:t>．招标代理服务费</w:t>
      </w:r>
    </w:p>
    <w:p>
      <w:pPr>
        <w:spacing w:line="0" w:lineRule="atLeast"/>
        <w:ind w:firstLine="420" w:firstLineChars="200"/>
        <w:rPr>
          <w:rFonts w:ascii="宋体" w:hAnsi="宋体"/>
        </w:rPr>
      </w:pPr>
      <w:r>
        <w:rPr>
          <w:rFonts w:hint="eastAsia" w:ascii="宋体" w:hAnsi="宋体"/>
        </w:rPr>
        <w:t>38</w:t>
      </w:r>
      <w:r>
        <w:rPr>
          <w:rFonts w:ascii="宋体" w:hAnsi="宋体"/>
        </w:rPr>
        <w:t xml:space="preserve">.1  </w:t>
      </w:r>
      <w:r>
        <w:rPr>
          <w:rFonts w:hint="eastAsia" w:ascii="宋体" w:hAnsi="宋体"/>
        </w:rPr>
        <w:t>代理费由中标人支付，代理费收费标准按《深圳市财政委员会关于规范深圳市社会采购代理机构管理有关事项的补充通知》（深财购〔2018〕27号）执行，收费标准如下表所列。招标代理服务费以中标金额为基数，按差额定率累进法计算。</w:t>
      </w:r>
    </w:p>
    <w:tbl>
      <w:tblPr>
        <w:tblStyle w:val="32"/>
        <w:tblW w:w="0" w:type="auto"/>
        <w:jc w:val="center"/>
        <w:tblLayout w:type="fixed"/>
        <w:tblCellMar>
          <w:top w:w="0" w:type="dxa"/>
          <w:left w:w="108" w:type="dxa"/>
          <w:bottom w:w="0" w:type="dxa"/>
          <w:right w:w="108" w:type="dxa"/>
        </w:tblCellMar>
      </w:tblPr>
      <w:tblGrid>
        <w:gridCol w:w="2056"/>
        <w:gridCol w:w="1835"/>
        <w:gridCol w:w="1894"/>
        <w:gridCol w:w="1735"/>
      </w:tblGrid>
      <w:tr>
        <w:tblPrEx>
          <w:tblCellMar>
            <w:top w:w="0" w:type="dxa"/>
            <w:left w:w="108" w:type="dxa"/>
            <w:bottom w:w="0" w:type="dxa"/>
            <w:right w:w="108" w:type="dxa"/>
          </w:tblCellMar>
        </w:tblPrEx>
        <w:trPr>
          <w:trHeight w:val="737" w:hRule="atLeast"/>
          <w:jc w:val="center"/>
        </w:trPr>
        <w:tc>
          <w:tcPr>
            <w:tcW w:w="2056" w:type="dxa"/>
            <w:tcBorders>
              <w:top w:val="single" w:color="auto" w:sz="4" w:space="0"/>
              <w:left w:val="single" w:color="auto" w:sz="4" w:space="0"/>
              <w:bottom w:val="single" w:color="auto" w:sz="4" w:space="0"/>
              <w:right w:val="single" w:color="auto" w:sz="4" w:space="0"/>
              <w:tl2br w:val="single" w:color="auto" w:sz="4" w:space="0"/>
            </w:tcBorders>
            <w:vAlign w:val="center"/>
          </w:tcPr>
          <w:p>
            <w:pPr>
              <w:ind w:firstLine="1365" w:firstLineChars="650"/>
              <w:jc w:val="left"/>
              <w:rPr>
                <w:rFonts w:ascii="宋体" w:hAnsi="宋体"/>
              </w:rPr>
            </w:pPr>
            <w:r>
              <w:rPr>
                <w:rFonts w:ascii="宋体" w:hAnsi="宋体"/>
              </w:rPr>
              <w:t>类别</w:t>
            </w:r>
          </w:p>
          <w:p>
            <w:pPr>
              <w:jc w:val="left"/>
              <w:rPr>
                <w:rFonts w:ascii="宋体" w:hAnsi="宋体"/>
              </w:rPr>
            </w:pPr>
            <w:r>
              <w:rPr>
                <w:rFonts w:ascii="宋体" w:hAnsi="宋体"/>
              </w:rPr>
              <w:t>金额(万元)</w:t>
            </w:r>
          </w:p>
        </w:tc>
        <w:tc>
          <w:tcPr>
            <w:tcW w:w="1835"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b/>
                <w:bCs/>
              </w:rPr>
            </w:pPr>
            <w:r>
              <w:rPr>
                <w:rFonts w:ascii="宋体" w:hAnsi="宋体"/>
                <w:b/>
                <w:bCs/>
              </w:rPr>
              <w:t>工程招标</w:t>
            </w:r>
          </w:p>
        </w:tc>
        <w:tc>
          <w:tcPr>
            <w:tcW w:w="1894" w:type="dxa"/>
            <w:tcBorders>
              <w:top w:val="single" w:color="auto" w:sz="4" w:space="0"/>
              <w:left w:val="nil"/>
              <w:bottom w:val="single" w:color="auto" w:sz="4" w:space="0"/>
              <w:right w:val="single" w:color="auto" w:sz="4" w:space="0"/>
            </w:tcBorders>
            <w:vAlign w:val="center"/>
          </w:tcPr>
          <w:p>
            <w:pPr>
              <w:jc w:val="center"/>
              <w:rPr>
                <w:rFonts w:ascii="宋体" w:hAnsi="宋体"/>
                <w:b/>
                <w:bCs/>
              </w:rPr>
            </w:pPr>
            <w:r>
              <w:rPr>
                <w:rFonts w:ascii="宋体" w:hAnsi="宋体"/>
                <w:b/>
                <w:bCs/>
              </w:rPr>
              <w:t>货物招标</w:t>
            </w:r>
          </w:p>
        </w:tc>
        <w:tc>
          <w:tcPr>
            <w:tcW w:w="1735" w:type="dxa"/>
            <w:tcBorders>
              <w:top w:val="single" w:color="auto" w:sz="4" w:space="0"/>
              <w:left w:val="nil"/>
              <w:bottom w:val="single" w:color="auto" w:sz="4" w:space="0"/>
              <w:right w:val="single" w:color="auto" w:sz="4" w:space="0"/>
            </w:tcBorders>
            <w:vAlign w:val="center"/>
          </w:tcPr>
          <w:p>
            <w:pPr>
              <w:jc w:val="center"/>
              <w:rPr>
                <w:rFonts w:ascii="宋体" w:hAnsi="宋体"/>
                <w:b/>
                <w:bCs/>
              </w:rPr>
            </w:pPr>
            <w:r>
              <w:rPr>
                <w:rFonts w:ascii="宋体" w:hAnsi="宋体"/>
                <w:b/>
                <w:bCs/>
              </w:rPr>
              <w:t>服务招标</w:t>
            </w:r>
          </w:p>
        </w:tc>
      </w:tr>
      <w:tr>
        <w:tblPrEx>
          <w:tblCellMar>
            <w:top w:w="0" w:type="dxa"/>
            <w:left w:w="108" w:type="dxa"/>
            <w:bottom w:w="0" w:type="dxa"/>
            <w:right w:w="108" w:type="dxa"/>
          </w:tblCellMar>
        </w:tblPrEx>
        <w:trPr>
          <w:trHeight w:val="402" w:hRule="atLeast"/>
          <w:jc w:val="center"/>
        </w:trPr>
        <w:tc>
          <w:tcPr>
            <w:tcW w:w="2056" w:type="dxa"/>
            <w:tcBorders>
              <w:top w:val="single" w:color="auto" w:sz="4" w:space="0"/>
              <w:left w:val="single" w:color="auto" w:sz="8" w:space="0"/>
              <w:bottom w:val="single" w:color="auto" w:sz="8" w:space="0"/>
              <w:right w:val="single" w:color="auto" w:sz="8" w:space="0"/>
            </w:tcBorders>
            <w:vAlign w:val="center"/>
          </w:tcPr>
          <w:p>
            <w:pPr>
              <w:jc w:val="center"/>
              <w:rPr>
                <w:rFonts w:ascii="宋体" w:hAnsi="宋体"/>
                <w:b/>
                <w:bCs/>
              </w:rPr>
            </w:pPr>
            <w:r>
              <w:rPr>
                <w:rFonts w:ascii="宋体" w:hAnsi="宋体"/>
                <w:b/>
                <w:bCs/>
              </w:rPr>
              <w:t>100以下</w:t>
            </w:r>
          </w:p>
        </w:tc>
        <w:tc>
          <w:tcPr>
            <w:tcW w:w="1835" w:type="dxa"/>
            <w:tcBorders>
              <w:top w:val="nil"/>
              <w:left w:val="nil"/>
              <w:bottom w:val="single" w:color="auto" w:sz="8" w:space="0"/>
              <w:right w:val="single" w:color="auto" w:sz="8" w:space="0"/>
            </w:tcBorders>
            <w:vAlign w:val="center"/>
          </w:tcPr>
          <w:p>
            <w:pPr>
              <w:jc w:val="center"/>
              <w:rPr>
                <w:rFonts w:ascii="宋体" w:hAnsi="宋体"/>
              </w:rPr>
            </w:pPr>
            <w:r>
              <w:rPr>
                <w:rFonts w:ascii="宋体" w:hAnsi="宋体"/>
              </w:rPr>
              <w:t>1.</w:t>
            </w:r>
            <w:r>
              <w:rPr>
                <w:rFonts w:hint="eastAsia" w:ascii="宋体" w:hAnsi="宋体"/>
              </w:rPr>
              <w:t>0</w:t>
            </w:r>
            <w:r>
              <w:rPr>
                <w:rFonts w:ascii="宋体" w:hAnsi="宋体"/>
              </w:rPr>
              <w:t>0%</w:t>
            </w:r>
          </w:p>
        </w:tc>
        <w:tc>
          <w:tcPr>
            <w:tcW w:w="1894" w:type="dxa"/>
            <w:tcBorders>
              <w:top w:val="nil"/>
              <w:left w:val="nil"/>
              <w:bottom w:val="single" w:color="auto" w:sz="8" w:space="0"/>
              <w:right w:val="single" w:color="auto" w:sz="8" w:space="0"/>
            </w:tcBorders>
            <w:vAlign w:val="center"/>
          </w:tcPr>
          <w:p>
            <w:pPr>
              <w:jc w:val="center"/>
              <w:rPr>
                <w:rFonts w:ascii="宋体" w:hAnsi="宋体"/>
              </w:rPr>
            </w:pPr>
            <w:r>
              <w:rPr>
                <w:rFonts w:ascii="宋体" w:hAnsi="宋体"/>
              </w:rPr>
              <w:t>1.</w:t>
            </w:r>
            <w:r>
              <w:rPr>
                <w:rFonts w:hint="eastAsia" w:ascii="宋体" w:hAnsi="宋体"/>
              </w:rPr>
              <w:t>5</w:t>
            </w:r>
            <w:r>
              <w:rPr>
                <w:rFonts w:ascii="宋体" w:hAnsi="宋体"/>
              </w:rPr>
              <w:t>0%</w:t>
            </w:r>
          </w:p>
        </w:tc>
        <w:tc>
          <w:tcPr>
            <w:tcW w:w="1735" w:type="dxa"/>
            <w:tcBorders>
              <w:top w:val="nil"/>
              <w:left w:val="nil"/>
              <w:bottom w:val="single" w:color="auto" w:sz="8" w:space="0"/>
              <w:right w:val="single" w:color="auto" w:sz="8" w:space="0"/>
            </w:tcBorders>
            <w:vAlign w:val="center"/>
          </w:tcPr>
          <w:p>
            <w:pPr>
              <w:jc w:val="center"/>
              <w:rPr>
                <w:rFonts w:ascii="宋体" w:hAnsi="宋体"/>
                <w:b/>
                <w:bCs/>
              </w:rPr>
            </w:pPr>
            <w:r>
              <w:rPr>
                <w:rFonts w:ascii="宋体" w:hAnsi="宋体"/>
                <w:b/>
                <w:bCs/>
              </w:rPr>
              <w:t>1.</w:t>
            </w:r>
            <w:r>
              <w:rPr>
                <w:rFonts w:hint="eastAsia" w:ascii="宋体" w:hAnsi="宋体"/>
                <w:b/>
                <w:bCs/>
              </w:rPr>
              <w:t>5</w:t>
            </w:r>
            <w:r>
              <w:rPr>
                <w:rFonts w:ascii="宋体" w:hAnsi="宋体"/>
                <w:b/>
                <w:bCs/>
              </w:rPr>
              <w:t>0%</w:t>
            </w:r>
          </w:p>
        </w:tc>
      </w:tr>
      <w:tr>
        <w:tblPrEx>
          <w:tblCellMar>
            <w:top w:w="0" w:type="dxa"/>
            <w:left w:w="108" w:type="dxa"/>
            <w:bottom w:w="0" w:type="dxa"/>
            <w:right w:w="108" w:type="dxa"/>
          </w:tblCellMar>
        </w:tblPrEx>
        <w:trPr>
          <w:trHeight w:val="402" w:hRule="atLeast"/>
          <w:jc w:val="center"/>
        </w:trPr>
        <w:tc>
          <w:tcPr>
            <w:tcW w:w="2056" w:type="dxa"/>
            <w:tcBorders>
              <w:top w:val="nil"/>
              <w:left w:val="single" w:color="auto" w:sz="8" w:space="0"/>
              <w:bottom w:val="single" w:color="auto" w:sz="8" w:space="0"/>
              <w:right w:val="single" w:color="auto" w:sz="8" w:space="0"/>
            </w:tcBorders>
            <w:vAlign w:val="center"/>
          </w:tcPr>
          <w:p>
            <w:pPr>
              <w:jc w:val="center"/>
              <w:rPr>
                <w:rFonts w:ascii="宋体" w:hAnsi="宋体"/>
                <w:b/>
                <w:bCs/>
              </w:rPr>
            </w:pPr>
            <w:r>
              <w:rPr>
                <w:rFonts w:ascii="宋体" w:hAnsi="宋体"/>
                <w:b/>
                <w:bCs/>
              </w:rPr>
              <w:t>100-500</w:t>
            </w:r>
          </w:p>
        </w:tc>
        <w:tc>
          <w:tcPr>
            <w:tcW w:w="1835" w:type="dxa"/>
            <w:tcBorders>
              <w:top w:val="nil"/>
              <w:left w:val="nil"/>
              <w:bottom w:val="single" w:color="auto" w:sz="8" w:space="0"/>
              <w:right w:val="single" w:color="auto" w:sz="8" w:space="0"/>
            </w:tcBorders>
            <w:vAlign w:val="center"/>
          </w:tcPr>
          <w:p>
            <w:pPr>
              <w:jc w:val="center"/>
              <w:rPr>
                <w:rFonts w:ascii="宋体" w:hAnsi="宋体"/>
              </w:rPr>
            </w:pPr>
            <w:r>
              <w:rPr>
                <w:rFonts w:ascii="宋体" w:hAnsi="宋体"/>
              </w:rPr>
              <w:t>0.</w:t>
            </w:r>
            <w:r>
              <w:rPr>
                <w:rFonts w:hint="eastAsia" w:ascii="宋体" w:hAnsi="宋体"/>
              </w:rPr>
              <w:t>70</w:t>
            </w:r>
            <w:r>
              <w:rPr>
                <w:rFonts w:ascii="宋体" w:hAnsi="宋体"/>
              </w:rPr>
              <w:t>%</w:t>
            </w:r>
          </w:p>
        </w:tc>
        <w:tc>
          <w:tcPr>
            <w:tcW w:w="1894" w:type="dxa"/>
            <w:tcBorders>
              <w:top w:val="nil"/>
              <w:left w:val="nil"/>
              <w:bottom w:val="single" w:color="auto" w:sz="8" w:space="0"/>
              <w:right w:val="single" w:color="auto" w:sz="8" w:space="0"/>
            </w:tcBorders>
            <w:vAlign w:val="center"/>
          </w:tcPr>
          <w:p>
            <w:pPr>
              <w:jc w:val="center"/>
              <w:rPr>
                <w:rFonts w:ascii="宋体" w:hAnsi="宋体"/>
              </w:rPr>
            </w:pPr>
            <w:r>
              <w:rPr>
                <w:rFonts w:ascii="宋体" w:hAnsi="宋体"/>
              </w:rPr>
              <w:t>1.</w:t>
            </w:r>
            <w:r>
              <w:rPr>
                <w:rFonts w:hint="eastAsia" w:ascii="宋体" w:hAnsi="宋体"/>
              </w:rPr>
              <w:t>10</w:t>
            </w:r>
            <w:r>
              <w:rPr>
                <w:rFonts w:ascii="宋体" w:hAnsi="宋体"/>
              </w:rPr>
              <w:t>%</w:t>
            </w:r>
          </w:p>
        </w:tc>
        <w:tc>
          <w:tcPr>
            <w:tcW w:w="1735" w:type="dxa"/>
            <w:tcBorders>
              <w:top w:val="nil"/>
              <w:left w:val="nil"/>
              <w:bottom w:val="single" w:color="auto" w:sz="8" w:space="0"/>
              <w:right w:val="single" w:color="auto" w:sz="8" w:space="0"/>
            </w:tcBorders>
            <w:vAlign w:val="center"/>
          </w:tcPr>
          <w:p>
            <w:pPr>
              <w:jc w:val="center"/>
              <w:rPr>
                <w:rFonts w:ascii="宋体" w:hAnsi="宋体"/>
                <w:b/>
                <w:bCs/>
              </w:rPr>
            </w:pPr>
            <w:r>
              <w:rPr>
                <w:rFonts w:ascii="宋体" w:hAnsi="宋体"/>
                <w:b/>
                <w:bCs/>
              </w:rPr>
              <w:t>0.</w:t>
            </w:r>
            <w:r>
              <w:rPr>
                <w:rFonts w:hint="eastAsia" w:ascii="宋体" w:hAnsi="宋体"/>
                <w:b/>
                <w:bCs/>
              </w:rPr>
              <w:t>80</w:t>
            </w:r>
            <w:r>
              <w:rPr>
                <w:rFonts w:ascii="宋体" w:hAnsi="宋体"/>
                <w:b/>
                <w:bCs/>
              </w:rPr>
              <w:t>%</w:t>
            </w:r>
          </w:p>
        </w:tc>
      </w:tr>
      <w:tr>
        <w:tblPrEx>
          <w:tblCellMar>
            <w:top w:w="0" w:type="dxa"/>
            <w:left w:w="108" w:type="dxa"/>
            <w:bottom w:w="0" w:type="dxa"/>
            <w:right w:w="108" w:type="dxa"/>
          </w:tblCellMar>
        </w:tblPrEx>
        <w:trPr>
          <w:trHeight w:val="402" w:hRule="atLeast"/>
          <w:jc w:val="center"/>
        </w:trPr>
        <w:tc>
          <w:tcPr>
            <w:tcW w:w="2056" w:type="dxa"/>
            <w:tcBorders>
              <w:top w:val="nil"/>
              <w:left w:val="single" w:color="auto" w:sz="8" w:space="0"/>
              <w:bottom w:val="single" w:color="auto" w:sz="8" w:space="0"/>
              <w:right w:val="single" w:color="auto" w:sz="8" w:space="0"/>
            </w:tcBorders>
            <w:vAlign w:val="center"/>
          </w:tcPr>
          <w:p>
            <w:pPr>
              <w:jc w:val="center"/>
              <w:rPr>
                <w:rFonts w:ascii="宋体" w:hAnsi="宋体"/>
              </w:rPr>
            </w:pPr>
            <w:r>
              <w:rPr>
                <w:rFonts w:ascii="宋体" w:hAnsi="宋体"/>
              </w:rPr>
              <w:t>500-1000</w:t>
            </w:r>
          </w:p>
        </w:tc>
        <w:tc>
          <w:tcPr>
            <w:tcW w:w="1835" w:type="dxa"/>
            <w:tcBorders>
              <w:top w:val="nil"/>
              <w:left w:val="nil"/>
              <w:bottom w:val="single" w:color="auto" w:sz="8" w:space="0"/>
              <w:right w:val="single" w:color="auto" w:sz="8" w:space="0"/>
            </w:tcBorders>
            <w:vAlign w:val="center"/>
          </w:tcPr>
          <w:p>
            <w:pPr>
              <w:jc w:val="center"/>
              <w:rPr>
                <w:rFonts w:ascii="宋体" w:hAnsi="宋体"/>
              </w:rPr>
            </w:pPr>
            <w:r>
              <w:rPr>
                <w:rFonts w:ascii="宋体" w:hAnsi="宋体"/>
              </w:rPr>
              <w:t>0.</w:t>
            </w:r>
            <w:r>
              <w:rPr>
                <w:rFonts w:hint="eastAsia" w:ascii="宋体" w:hAnsi="宋体"/>
              </w:rPr>
              <w:t>55</w:t>
            </w:r>
            <w:r>
              <w:rPr>
                <w:rFonts w:ascii="宋体" w:hAnsi="宋体"/>
              </w:rPr>
              <w:t>%</w:t>
            </w:r>
          </w:p>
        </w:tc>
        <w:tc>
          <w:tcPr>
            <w:tcW w:w="1894" w:type="dxa"/>
            <w:tcBorders>
              <w:top w:val="nil"/>
              <w:left w:val="nil"/>
              <w:bottom w:val="single" w:color="auto" w:sz="8" w:space="0"/>
              <w:right w:val="single" w:color="auto" w:sz="8" w:space="0"/>
            </w:tcBorders>
            <w:vAlign w:val="center"/>
          </w:tcPr>
          <w:p>
            <w:pPr>
              <w:jc w:val="center"/>
              <w:rPr>
                <w:rFonts w:ascii="宋体" w:hAnsi="宋体"/>
              </w:rPr>
            </w:pPr>
            <w:r>
              <w:rPr>
                <w:rFonts w:ascii="宋体" w:hAnsi="宋体"/>
              </w:rPr>
              <w:t>0.</w:t>
            </w:r>
            <w:r>
              <w:rPr>
                <w:rFonts w:hint="eastAsia" w:ascii="宋体" w:hAnsi="宋体"/>
              </w:rPr>
              <w:t>80</w:t>
            </w:r>
            <w:r>
              <w:rPr>
                <w:rFonts w:ascii="宋体" w:hAnsi="宋体"/>
              </w:rPr>
              <w:t>%</w:t>
            </w:r>
          </w:p>
        </w:tc>
        <w:tc>
          <w:tcPr>
            <w:tcW w:w="1735" w:type="dxa"/>
            <w:tcBorders>
              <w:top w:val="nil"/>
              <w:left w:val="nil"/>
              <w:bottom w:val="single" w:color="auto" w:sz="8" w:space="0"/>
              <w:right w:val="single" w:color="auto" w:sz="8" w:space="0"/>
            </w:tcBorders>
            <w:vAlign w:val="center"/>
          </w:tcPr>
          <w:p>
            <w:pPr>
              <w:jc w:val="center"/>
              <w:rPr>
                <w:rFonts w:ascii="宋体" w:hAnsi="宋体"/>
              </w:rPr>
            </w:pPr>
            <w:r>
              <w:rPr>
                <w:rFonts w:ascii="宋体" w:hAnsi="宋体"/>
              </w:rPr>
              <w:t>0.</w:t>
            </w:r>
            <w:r>
              <w:rPr>
                <w:rFonts w:hint="eastAsia" w:ascii="宋体" w:hAnsi="宋体"/>
              </w:rPr>
              <w:t>45</w:t>
            </w:r>
            <w:r>
              <w:rPr>
                <w:rFonts w:ascii="宋体" w:hAnsi="宋体"/>
              </w:rPr>
              <w:t>%</w:t>
            </w:r>
          </w:p>
        </w:tc>
      </w:tr>
      <w:tr>
        <w:tblPrEx>
          <w:tblCellMar>
            <w:top w:w="0" w:type="dxa"/>
            <w:left w:w="108" w:type="dxa"/>
            <w:bottom w:w="0" w:type="dxa"/>
            <w:right w:w="108" w:type="dxa"/>
          </w:tblCellMar>
        </w:tblPrEx>
        <w:trPr>
          <w:trHeight w:val="402" w:hRule="atLeast"/>
          <w:jc w:val="center"/>
        </w:trPr>
        <w:tc>
          <w:tcPr>
            <w:tcW w:w="2056" w:type="dxa"/>
            <w:tcBorders>
              <w:top w:val="nil"/>
              <w:left w:val="single" w:color="auto" w:sz="8" w:space="0"/>
              <w:bottom w:val="single" w:color="auto" w:sz="8" w:space="0"/>
              <w:right w:val="single" w:color="auto" w:sz="8" w:space="0"/>
            </w:tcBorders>
            <w:vAlign w:val="center"/>
          </w:tcPr>
          <w:p>
            <w:pPr>
              <w:jc w:val="center"/>
              <w:rPr>
                <w:rFonts w:ascii="宋体" w:hAnsi="宋体"/>
              </w:rPr>
            </w:pPr>
            <w:r>
              <w:rPr>
                <w:rFonts w:ascii="宋体" w:hAnsi="宋体"/>
              </w:rPr>
              <w:t>1000-5000</w:t>
            </w:r>
          </w:p>
        </w:tc>
        <w:tc>
          <w:tcPr>
            <w:tcW w:w="1835" w:type="dxa"/>
            <w:tcBorders>
              <w:top w:val="nil"/>
              <w:left w:val="nil"/>
              <w:bottom w:val="single" w:color="auto" w:sz="8" w:space="0"/>
              <w:right w:val="single" w:color="auto" w:sz="8" w:space="0"/>
            </w:tcBorders>
            <w:vAlign w:val="center"/>
          </w:tcPr>
          <w:p>
            <w:pPr>
              <w:jc w:val="center"/>
              <w:rPr>
                <w:rFonts w:ascii="宋体" w:hAnsi="宋体"/>
              </w:rPr>
            </w:pPr>
            <w:r>
              <w:rPr>
                <w:rFonts w:ascii="宋体" w:hAnsi="宋体"/>
              </w:rPr>
              <w:t>0.</w:t>
            </w:r>
            <w:r>
              <w:rPr>
                <w:rFonts w:hint="eastAsia" w:ascii="宋体" w:hAnsi="宋体"/>
              </w:rPr>
              <w:t>35</w:t>
            </w:r>
            <w:r>
              <w:rPr>
                <w:rFonts w:ascii="宋体" w:hAnsi="宋体"/>
              </w:rPr>
              <w:t>%</w:t>
            </w:r>
          </w:p>
        </w:tc>
        <w:tc>
          <w:tcPr>
            <w:tcW w:w="1894" w:type="dxa"/>
            <w:tcBorders>
              <w:top w:val="nil"/>
              <w:left w:val="nil"/>
              <w:bottom w:val="single" w:color="auto" w:sz="8" w:space="0"/>
              <w:right w:val="single" w:color="auto" w:sz="8" w:space="0"/>
            </w:tcBorders>
            <w:vAlign w:val="center"/>
          </w:tcPr>
          <w:p>
            <w:pPr>
              <w:jc w:val="center"/>
              <w:rPr>
                <w:rFonts w:ascii="宋体" w:hAnsi="宋体"/>
              </w:rPr>
            </w:pPr>
            <w:r>
              <w:rPr>
                <w:rFonts w:ascii="宋体" w:hAnsi="宋体"/>
              </w:rPr>
              <w:t>0.</w:t>
            </w:r>
            <w:r>
              <w:rPr>
                <w:rFonts w:hint="eastAsia" w:ascii="宋体" w:hAnsi="宋体"/>
              </w:rPr>
              <w:t>5</w:t>
            </w:r>
            <w:r>
              <w:rPr>
                <w:rFonts w:ascii="宋体" w:hAnsi="宋体"/>
              </w:rPr>
              <w:t>0%</w:t>
            </w:r>
          </w:p>
        </w:tc>
        <w:tc>
          <w:tcPr>
            <w:tcW w:w="1735" w:type="dxa"/>
            <w:tcBorders>
              <w:top w:val="nil"/>
              <w:left w:val="nil"/>
              <w:bottom w:val="single" w:color="auto" w:sz="8" w:space="0"/>
              <w:right w:val="single" w:color="auto" w:sz="8" w:space="0"/>
            </w:tcBorders>
            <w:vAlign w:val="center"/>
          </w:tcPr>
          <w:p>
            <w:pPr>
              <w:jc w:val="center"/>
              <w:rPr>
                <w:rFonts w:ascii="宋体" w:hAnsi="宋体"/>
              </w:rPr>
            </w:pPr>
            <w:r>
              <w:rPr>
                <w:rFonts w:ascii="宋体" w:hAnsi="宋体"/>
              </w:rPr>
              <w:t>0.</w:t>
            </w:r>
            <w:r>
              <w:rPr>
                <w:rFonts w:hint="eastAsia" w:ascii="宋体" w:hAnsi="宋体"/>
              </w:rPr>
              <w:t>25</w:t>
            </w:r>
            <w:r>
              <w:rPr>
                <w:rFonts w:ascii="宋体" w:hAnsi="宋体"/>
              </w:rPr>
              <w:t>%</w:t>
            </w:r>
          </w:p>
        </w:tc>
      </w:tr>
    </w:tbl>
    <w:p>
      <w:pPr>
        <w:ind w:firstLine="420" w:firstLineChars="200"/>
        <w:rPr>
          <w:rFonts w:ascii="宋体" w:hAnsi="宋体"/>
        </w:rPr>
      </w:pPr>
      <w:r>
        <w:rPr>
          <w:rFonts w:ascii="宋体" w:hAnsi="宋体"/>
        </w:rPr>
        <w:t>注：</w:t>
      </w:r>
    </w:p>
    <w:p>
      <w:pPr>
        <w:ind w:firstLine="420" w:firstLineChars="200"/>
        <w:rPr>
          <w:rFonts w:ascii="宋体" w:hAnsi="宋体"/>
        </w:rPr>
      </w:pPr>
      <w:r>
        <w:rPr>
          <w:rFonts w:ascii="宋体" w:hAnsi="宋体"/>
        </w:rPr>
        <w:t>（1）按本表费率计算的收费为招标代理服务的收费基准价格。</w:t>
      </w:r>
    </w:p>
    <w:p>
      <w:pPr>
        <w:ind w:firstLine="420" w:firstLineChars="200"/>
        <w:rPr>
          <w:rFonts w:ascii="宋体" w:hAnsi="宋体"/>
        </w:rPr>
      </w:pPr>
      <w:r>
        <w:rPr>
          <w:rFonts w:ascii="宋体" w:hAnsi="宋体"/>
        </w:rPr>
        <w:t>（2）招标代理服务收费按差额定率累进法计算。</w:t>
      </w:r>
    </w:p>
    <w:p>
      <w:pPr>
        <w:spacing w:line="0" w:lineRule="atLeast"/>
        <w:ind w:firstLine="420" w:firstLineChars="200"/>
        <w:rPr>
          <w:rFonts w:ascii="宋体" w:hAnsi="宋体"/>
        </w:rPr>
      </w:pPr>
      <w:r>
        <w:rPr>
          <w:rFonts w:hint="eastAsia" w:ascii="宋体" w:hAnsi="宋体"/>
        </w:rPr>
        <w:t>38</w:t>
      </w:r>
      <w:r>
        <w:rPr>
          <w:rFonts w:ascii="宋体" w:hAnsi="宋体"/>
        </w:rPr>
        <w:t>.2  中标人须在中标公告公示期结束后，领取《中标通知书》前，向采购代理机构缴纳代理服务费。</w:t>
      </w:r>
    </w:p>
    <w:p>
      <w:pPr>
        <w:spacing w:line="0" w:lineRule="atLeast"/>
        <w:ind w:firstLine="420" w:firstLineChars="200"/>
        <w:rPr>
          <w:rFonts w:ascii="宋体" w:hAnsi="宋体"/>
        </w:rPr>
      </w:pPr>
      <w:r>
        <w:rPr>
          <w:rFonts w:hint="eastAsia" w:ascii="宋体" w:hAnsi="宋体"/>
        </w:rPr>
        <w:t>38</w:t>
      </w:r>
      <w:r>
        <w:rPr>
          <w:rFonts w:ascii="宋体" w:hAnsi="宋体"/>
        </w:rPr>
        <w:t>.3  招标代理服务费以</w:t>
      </w:r>
      <w:r>
        <w:rPr>
          <w:rFonts w:hint="eastAsia" w:ascii="宋体" w:hAnsi="宋体"/>
        </w:rPr>
        <w:t>对公转账</w:t>
      </w:r>
      <w:r>
        <w:rPr>
          <w:rFonts w:ascii="宋体" w:hAnsi="宋体"/>
        </w:rPr>
        <w:t>形式交付。</w:t>
      </w:r>
    </w:p>
    <w:p>
      <w:pPr>
        <w:spacing w:line="360" w:lineRule="auto"/>
        <w:rPr>
          <w:rFonts w:ascii="宋体" w:hAnsi="宋体"/>
          <w:sz w:val="24"/>
        </w:rPr>
      </w:pPr>
      <w:r>
        <w:rPr>
          <w:rFonts w:hint="eastAsia" w:ascii="宋体" w:hAnsi="宋体"/>
          <w:sz w:val="24"/>
        </w:rPr>
        <w:t>39</w:t>
      </w:r>
      <w:r>
        <w:rPr>
          <w:rFonts w:ascii="宋体" w:hAnsi="宋体"/>
          <w:sz w:val="24"/>
        </w:rPr>
        <w:t>．腐败和欺诈行为</w:t>
      </w:r>
    </w:p>
    <w:p>
      <w:pPr>
        <w:spacing w:line="0" w:lineRule="atLeast"/>
        <w:ind w:firstLine="411" w:firstLineChars="196"/>
        <w:rPr>
          <w:rFonts w:ascii="宋体" w:hAnsi="宋体"/>
        </w:rPr>
      </w:pPr>
      <w:r>
        <w:rPr>
          <w:rFonts w:hint="eastAsia" w:ascii="宋体" w:hAnsi="宋体"/>
        </w:rPr>
        <w:t>39</w:t>
      </w:r>
      <w:r>
        <w:rPr>
          <w:rFonts w:ascii="宋体" w:hAnsi="宋体"/>
        </w:rPr>
        <w:t>.1政府采购要求合同项下的买方和卖方在合同采购和实施过程中应遵守最高的道德标准。根据本要求，政府采购代理机构将：</w:t>
      </w:r>
    </w:p>
    <w:p>
      <w:pPr>
        <w:spacing w:line="0" w:lineRule="atLeast"/>
        <w:ind w:firstLine="411" w:firstLineChars="196"/>
        <w:rPr>
          <w:rFonts w:ascii="宋体" w:hAnsi="宋体"/>
        </w:rPr>
      </w:pPr>
      <w:r>
        <w:rPr>
          <w:rFonts w:ascii="宋体" w:hAnsi="宋体"/>
        </w:rPr>
        <w:t>（1）为此目的，定义下述条件：</w:t>
      </w:r>
    </w:p>
    <w:p>
      <w:pPr>
        <w:spacing w:line="0" w:lineRule="atLeast"/>
        <w:ind w:firstLine="411" w:firstLineChars="196"/>
        <w:rPr>
          <w:rFonts w:ascii="宋体" w:hAnsi="宋体"/>
        </w:rPr>
      </w:pPr>
      <w:r>
        <w:rPr>
          <w:rFonts w:ascii="宋体" w:hAnsi="宋体"/>
        </w:rPr>
        <w:t>（a）“腐败行为”是指提供、给予、接受或索取任何有价值的东西来影响招标方或买方在采购过程或合同实施过程中的行为；</w:t>
      </w:r>
    </w:p>
    <w:p>
      <w:pPr>
        <w:spacing w:line="0" w:lineRule="atLeast"/>
        <w:ind w:firstLine="411" w:firstLineChars="196"/>
        <w:rPr>
          <w:rFonts w:ascii="宋体" w:hAnsi="宋体"/>
        </w:rPr>
      </w:pPr>
      <w:r>
        <w:rPr>
          <w:rFonts w:ascii="宋体" w:hAnsi="宋体"/>
        </w:rPr>
        <w:t>（b）“欺诈行为”是指为了影响采购过程或合同实施过程而谎报事实，损害招标方或采购人的利益，包括投标人之间串通投标（递交投标书之前和之后），人为地使投标丧失竞争性，剥夺招标方或买方从自由公开竞争所能获得的权益。</w:t>
      </w:r>
    </w:p>
    <w:p>
      <w:pPr>
        <w:spacing w:line="0" w:lineRule="atLeast"/>
        <w:ind w:firstLine="411" w:firstLineChars="196"/>
        <w:rPr>
          <w:rFonts w:ascii="宋体" w:hAnsi="宋体"/>
        </w:rPr>
      </w:pPr>
      <w:r>
        <w:rPr>
          <w:rFonts w:ascii="宋体" w:hAnsi="宋体"/>
        </w:rPr>
        <w:t>（2）如果评标委员会认为投标人在本合同的竞争中有腐败和欺诈行为，则拒绝接受该投标。</w:t>
      </w:r>
    </w:p>
    <w:p>
      <w:pPr>
        <w:spacing w:line="0" w:lineRule="atLeast"/>
        <w:ind w:firstLine="411" w:firstLineChars="196"/>
        <w:rPr>
          <w:rFonts w:ascii="宋体" w:hAnsi="宋体"/>
        </w:rPr>
      </w:pPr>
      <w:r>
        <w:rPr>
          <w:rFonts w:ascii="宋体" w:hAnsi="宋体"/>
        </w:rPr>
        <w:t>（3）如果投标人或中标人在政府采购合同的竞争和实施过程中有腐败和欺诈行为，将依据《中华人民共和国合同法》、《深圳经济特区政府采购条例》有关法律法规进行处罚。</w:t>
      </w:r>
    </w:p>
    <w:p>
      <w:pPr>
        <w:spacing w:line="0" w:lineRule="atLeast"/>
        <w:ind w:firstLine="411" w:firstLineChars="196"/>
        <w:jc w:val="center"/>
      </w:pPr>
      <w:bookmarkStart w:id="223" w:name="bt其他资料由投标人自定"/>
      <w:bookmarkEnd w:id="223"/>
      <w:bookmarkStart w:id="224" w:name="bt投标人情况介绍"/>
      <w:bookmarkEnd w:id="224"/>
      <w:bookmarkStart w:id="225" w:name="bt项目管理班子配备情况"/>
      <w:bookmarkEnd w:id="225"/>
      <w:bookmarkStart w:id="226" w:name="合同格式"/>
      <w:bookmarkEnd w:id="226"/>
      <w:bookmarkStart w:id="227" w:name="bt投标报价汇总表"/>
      <w:bookmarkEnd w:id="227"/>
      <w:bookmarkStart w:id="228" w:name="bt投标函"/>
      <w:bookmarkEnd w:id="228"/>
      <w:bookmarkStart w:id="229" w:name="bt技术标投标文件格式"/>
      <w:bookmarkEnd w:id="229"/>
      <w:bookmarkStart w:id="230" w:name="bt本工程承诺书"/>
      <w:bookmarkEnd w:id="230"/>
      <w:bookmarkStart w:id="231" w:name="_33._合同授予标准"/>
      <w:bookmarkEnd w:id="231"/>
      <w:bookmarkStart w:id="232" w:name="bt开标一览表"/>
      <w:bookmarkEnd w:id="232"/>
      <w:bookmarkStart w:id="233" w:name="bt投标文件签署授权委托书"/>
      <w:bookmarkEnd w:id="233"/>
      <w:bookmarkStart w:id="234" w:name="bt其他资料2"/>
      <w:bookmarkEnd w:id="234"/>
      <w:bookmarkStart w:id="235" w:name="bt合同条款"/>
      <w:bookmarkEnd w:id="235"/>
      <w:bookmarkStart w:id="236" w:name="bt合同条款及格式"/>
      <w:bookmarkEnd w:id="236"/>
      <w:bookmarkStart w:id="237" w:name="bt商务标投标文件格式"/>
      <w:bookmarkEnd w:id="237"/>
      <w:bookmarkStart w:id="238" w:name="bt合同格式"/>
      <w:bookmarkEnd w:id="238"/>
      <w:r>
        <w:rPr>
          <w:rFonts w:ascii="宋体" w:hAnsi="宋体"/>
        </w:rPr>
        <w:t>---- END ----</w:t>
      </w:r>
    </w:p>
    <w:p>
      <w:pPr>
        <w:pStyle w:val="29"/>
        <w:spacing w:before="120" w:after="120" w:line="360" w:lineRule="auto"/>
        <w:rPr>
          <w:rFonts w:ascii="Times New Roman" w:hAnsi="Times New Roman" w:eastAsia="黑体"/>
          <w:b w:val="0"/>
          <w:bCs w:val="0"/>
          <w:sz w:val="44"/>
          <w:szCs w:val="44"/>
        </w:rPr>
      </w:pPr>
      <w:r>
        <w:rPr>
          <w:rFonts w:ascii="Times New Roman" w:hAnsi="Times New Roman" w:eastAsia="黑体" w:cs="黑体"/>
          <w:b w:val="0"/>
          <w:bCs w:val="0"/>
          <w:sz w:val="44"/>
          <w:szCs w:val="44"/>
        </w:rPr>
        <w:br w:type="page"/>
      </w:r>
      <w:r>
        <w:rPr>
          <w:rFonts w:hint="eastAsia" w:ascii="Times New Roman" w:hAnsi="Times New Roman" w:eastAsia="黑体" w:cs="黑体"/>
          <w:b w:val="0"/>
          <w:bCs w:val="0"/>
          <w:sz w:val="44"/>
          <w:szCs w:val="44"/>
        </w:rPr>
        <w:t>第二部分招标项目需求</w:t>
      </w:r>
    </w:p>
    <w:p>
      <w:pPr>
        <w:pStyle w:val="2"/>
        <w:tabs>
          <w:tab w:val="left" w:pos="0"/>
        </w:tabs>
        <w:autoSpaceDE w:val="0"/>
        <w:autoSpaceDN w:val="0"/>
        <w:adjustRightInd w:val="0"/>
        <w:spacing w:before="0" w:after="0" w:line="360" w:lineRule="auto"/>
        <w:jc w:val="center"/>
        <w:rPr>
          <w:rFonts w:eastAsia="黑体" w:cs="黑体"/>
          <w:b w:val="0"/>
          <w:bCs w:val="0"/>
          <w:kern w:val="0"/>
          <w:sz w:val="30"/>
          <w:szCs w:val="30"/>
        </w:rPr>
      </w:pPr>
      <w:bookmarkStart w:id="239" w:name="_Toc28359011"/>
      <w:bookmarkStart w:id="240" w:name="_Toc35393797"/>
      <w:r>
        <w:rPr>
          <w:rFonts w:hint="eastAsia" w:eastAsia="黑体" w:cs="黑体"/>
          <w:b w:val="0"/>
          <w:bCs w:val="0"/>
          <w:kern w:val="0"/>
          <w:sz w:val="30"/>
          <w:szCs w:val="30"/>
        </w:rPr>
        <w:t>第一章招标公告</w:t>
      </w:r>
      <w:bookmarkEnd w:id="239"/>
      <w:bookmarkEnd w:id="240"/>
    </w:p>
    <w:p>
      <w:pPr>
        <w:tabs>
          <w:tab w:val="left" w:pos="0"/>
          <w:tab w:val="left" w:pos="3165"/>
          <w:tab w:val="center" w:pos="4153"/>
        </w:tabs>
        <w:autoSpaceDE w:val="0"/>
        <w:autoSpaceDN w:val="0"/>
        <w:adjustRightInd w:val="0"/>
        <w:spacing w:line="360" w:lineRule="auto"/>
        <w:jc w:val="center"/>
        <w:outlineLvl w:val="0"/>
        <w:rPr>
          <w:rFonts w:asciiTheme="majorEastAsia" w:hAnsiTheme="majorEastAsia" w:eastAsiaTheme="majorEastAsia"/>
          <w:b/>
          <w:bCs/>
          <w:kern w:val="44"/>
          <w:sz w:val="32"/>
          <w:szCs w:val="32"/>
        </w:rPr>
      </w:pPr>
      <w:r>
        <w:rPr>
          <w:rFonts w:hint="eastAsia" w:asciiTheme="majorEastAsia" w:hAnsiTheme="majorEastAsia" w:eastAsiaTheme="majorEastAsia"/>
          <w:b/>
          <w:bCs/>
          <w:kern w:val="44"/>
          <w:sz w:val="32"/>
          <w:szCs w:val="32"/>
        </w:rPr>
        <w:t>深圳市住房和建设局2022年度全媒体网络信息查询服务项目招标公告</w:t>
      </w:r>
    </w:p>
    <w:p>
      <w:pPr>
        <w:spacing w:line="360" w:lineRule="auto"/>
        <w:rPr>
          <w:rFonts w:ascii="宋体" w:hAnsi="宋体"/>
          <w:iCs/>
        </w:rPr>
      </w:pPr>
      <w:r>
        <w:rPr>
          <w:rFonts w:hint="eastAsia" w:ascii="宋体" w:hAnsi="宋体"/>
          <w:iCs/>
        </w:rPr>
        <w:t>项目概况</w:t>
      </w:r>
      <w:r>
        <w:rPr>
          <w:rFonts w:hint="eastAsia" w:ascii="宋体" w:hAnsi="宋体"/>
          <w:iCs/>
        </w:rPr>
        <w:cr/>
      </w:r>
      <w:r>
        <w:rPr>
          <w:rFonts w:hint="eastAsia" w:ascii="宋体" w:hAnsi="宋体"/>
          <w:iCs/>
          <w:u w:val="single"/>
        </w:rPr>
        <w:t>深圳市住房和建设局2022年度全媒体网络信息查询服务项目</w:t>
      </w:r>
      <w:r>
        <w:rPr>
          <w:rFonts w:hint="eastAsia" w:ascii="宋体" w:hAnsi="宋体"/>
          <w:iCs/>
        </w:rPr>
        <w:t>招标项目的潜在投标人应在</w:t>
      </w:r>
      <w:r>
        <w:rPr>
          <w:rFonts w:hint="eastAsia" w:ascii="宋体" w:hAnsi="宋体"/>
          <w:iCs/>
          <w:u w:val="single"/>
        </w:rPr>
        <w:t>深圳市福田区振兴路3号建艺大厦16楼（深圳市建星项目管理顾问有限公司）</w:t>
      </w:r>
      <w:r>
        <w:rPr>
          <w:rFonts w:hint="eastAsia" w:ascii="宋体" w:hAnsi="宋体"/>
          <w:iCs/>
        </w:rPr>
        <w:t>获取招标文件，并于</w:t>
      </w:r>
      <w:r>
        <w:rPr>
          <w:rFonts w:hint="eastAsia" w:ascii="宋体" w:hAnsi="宋体"/>
          <w:iCs/>
          <w:u w:val="single"/>
        </w:rPr>
        <w:t>2022年11月7日10点00分（北京时间）</w:t>
      </w:r>
      <w:r>
        <w:rPr>
          <w:rFonts w:hint="eastAsia" w:ascii="宋体" w:hAnsi="宋体"/>
          <w:iCs/>
        </w:rPr>
        <w:t>前递交投标文件。</w:t>
      </w:r>
    </w:p>
    <w:p>
      <w:pPr>
        <w:spacing w:line="360" w:lineRule="auto"/>
        <w:rPr>
          <w:rFonts w:ascii="宋体" w:hAnsi="宋体"/>
        </w:rPr>
      </w:pPr>
      <w:bookmarkStart w:id="241" w:name="_Toc35393621"/>
      <w:bookmarkStart w:id="242" w:name="_Toc28359079"/>
      <w:bookmarkStart w:id="243" w:name="_Toc35393790"/>
      <w:bookmarkStart w:id="244" w:name="_Toc28359002"/>
      <w:bookmarkStart w:id="245" w:name="_Hlk24379207"/>
      <w:r>
        <w:rPr>
          <w:rFonts w:hint="eastAsia" w:ascii="宋体" w:hAnsi="宋体"/>
          <w:bCs/>
        </w:rPr>
        <w:t>一、项目基本情况</w:t>
      </w:r>
      <w:bookmarkEnd w:id="241"/>
      <w:bookmarkEnd w:id="242"/>
      <w:bookmarkEnd w:id="243"/>
      <w:bookmarkEnd w:id="244"/>
    </w:p>
    <w:p>
      <w:pPr>
        <w:spacing w:line="360" w:lineRule="auto"/>
        <w:ind w:firstLine="420" w:firstLineChars="200"/>
        <w:rPr>
          <w:rFonts w:ascii="宋体" w:hAnsi="宋体"/>
          <w:color w:val="FF0000"/>
        </w:rPr>
      </w:pPr>
      <w:r>
        <w:rPr>
          <w:rFonts w:hint="eastAsia" w:ascii="宋体" w:hAnsi="宋体"/>
        </w:rPr>
        <w:t>项目编号：</w:t>
      </w:r>
      <w:r>
        <w:rPr>
          <w:rFonts w:ascii="宋体" w:hAnsi="宋体"/>
        </w:rPr>
        <w:t>JX2022ZB-F054</w:t>
      </w:r>
    </w:p>
    <w:p>
      <w:pPr>
        <w:spacing w:line="360" w:lineRule="auto"/>
        <w:ind w:firstLine="420" w:firstLineChars="200"/>
        <w:rPr>
          <w:rFonts w:ascii="宋体" w:hAnsi="宋体"/>
        </w:rPr>
      </w:pPr>
      <w:r>
        <w:rPr>
          <w:rFonts w:hint="eastAsia" w:ascii="宋体" w:hAnsi="宋体"/>
        </w:rPr>
        <w:t>项目名称：深圳市住房和建设局2022年度全媒体网络信息查询服务项目</w:t>
      </w:r>
    </w:p>
    <w:bookmarkEnd w:id="245"/>
    <w:p>
      <w:pPr>
        <w:spacing w:line="360" w:lineRule="auto"/>
        <w:ind w:firstLine="420" w:firstLineChars="200"/>
        <w:rPr>
          <w:rFonts w:ascii="宋体" w:hAnsi="宋体"/>
        </w:rPr>
      </w:pPr>
      <w:r>
        <w:rPr>
          <w:rFonts w:hint="eastAsia" w:ascii="宋体" w:hAnsi="宋体"/>
        </w:rPr>
        <w:t>预算金额：人民币肆拾伍万元整（¥450,000.00）</w:t>
      </w:r>
    </w:p>
    <w:p>
      <w:pPr>
        <w:spacing w:line="360" w:lineRule="auto"/>
        <w:ind w:firstLine="420" w:firstLineChars="200"/>
        <w:rPr>
          <w:rFonts w:ascii="宋体" w:hAnsi="宋体"/>
        </w:rPr>
      </w:pPr>
      <w:r>
        <w:rPr>
          <w:rFonts w:hint="eastAsia" w:ascii="宋体" w:hAnsi="宋体"/>
        </w:rPr>
        <w:t>最高限价：人民币肆拾伍万元整（¥450,000.00）</w:t>
      </w:r>
    </w:p>
    <w:p>
      <w:pPr>
        <w:spacing w:line="360" w:lineRule="auto"/>
        <w:ind w:firstLine="420" w:firstLineChars="200"/>
        <w:rPr>
          <w:rFonts w:ascii="宋体" w:hAnsi="宋体"/>
          <w:u w:val="single"/>
        </w:rPr>
      </w:pPr>
      <w:r>
        <w:rPr>
          <w:rFonts w:hint="eastAsia" w:ascii="宋体" w:hAnsi="宋体"/>
        </w:rPr>
        <w:t>采购需求:详见招标文件</w:t>
      </w:r>
    </w:p>
    <w:p>
      <w:pPr>
        <w:spacing w:line="360" w:lineRule="auto"/>
        <w:ind w:firstLine="420" w:firstLineChars="200"/>
        <w:rPr>
          <w:rFonts w:ascii="宋体" w:hAnsi="宋体"/>
          <w:u w:val="single"/>
        </w:rPr>
      </w:pPr>
      <w:r>
        <w:rPr>
          <w:rFonts w:hint="eastAsia" w:ascii="宋体" w:hAnsi="宋体"/>
        </w:rPr>
        <w:t>合同履行期限：详见招标文件</w:t>
      </w:r>
    </w:p>
    <w:p>
      <w:pPr>
        <w:spacing w:line="360" w:lineRule="auto"/>
        <w:ind w:firstLine="420" w:firstLineChars="200"/>
        <w:rPr>
          <w:rFonts w:ascii="宋体" w:hAnsi="宋体"/>
        </w:rPr>
      </w:pPr>
      <w:bookmarkStart w:id="246" w:name="_Toc35393791"/>
      <w:bookmarkStart w:id="247" w:name="_Toc35393622"/>
      <w:bookmarkStart w:id="248" w:name="_Toc28359080"/>
      <w:bookmarkStart w:id="249" w:name="_Toc28359003"/>
      <w:r>
        <w:rPr>
          <w:rFonts w:hint="eastAsia" w:ascii="宋体" w:hAnsi="宋体"/>
        </w:rPr>
        <w:t>本项目（是/否）接受联合体投标：详见“申请人的资格要求”。</w:t>
      </w:r>
    </w:p>
    <w:p>
      <w:pPr>
        <w:spacing w:line="360" w:lineRule="auto"/>
        <w:rPr>
          <w:rFonts w:ascii="宋体" w:hAnsi="宋体"/>
        </w:rPr>
      </w:pPr>
      <w:r>
        <w:rPr>
          <w:rFonts w:hint="eastAsia" w:ascii="宋体" w:hAnsi="宋体" w:cs="宋体"/>
        </w:rPr>
        <w:t>二、申请人的资格要求：</w:t>
      </w:r>
      <w:bookmarkEnd w:id="246"/>
      <w:bookmarkEnd w:id="247"/>
      <w:bookmarkEnd w:id="248"/>
      <w:bookmarkEnd w:id="249"/>
    </w:p>
    <w:p>
      <w:pPr>
        <w:widowControl w:val="0"/>
        <w:spacing w:line="360" w:lineRule="auto"/>
        <w:ind w:firstLine="420" w:firstLineChars="200"/>
        <w:rPr>
          <w:rFonts w:ascii="宋体" w:hAnsi="宋体"/>
        </w:rPr>
      </w:pPr>
      <w:bookmarkStart w:id="250" w:name="_Toc35393792"/>
      <w:bookmarkStart w:id="251" w:name="_Toc28359004"/>
      <w:bookmarkStart w:id="252" w:name="_Toc28359081"/>
      <w:bookmarkStart w:id="253" w:name="_Toc35393623"/>
      <w:r>
        <w:rPr>
          <w:rFonts w:hint="eastAsia" w:ascii="宋体" w:hAnsi="宋体"/>
        </w:rPr>
        <w:t>1．具有独立法人资格或具有独立承担民事责任的能力的其它组织（提供营业执照或事业单位法人证等法人证明扫描件，原件备查）；</w:t>
      </w:r>
    </w:p>
    <w:p>
      <w:pPr>
        <w:widowControl w:val="0"/>
        <w:spacing w:line="360" w:lineRule="auto"/>
        <w:ind w:firstLine="420" w:firstLineChars="200"/>
        <w:rPr>
          <w:rFonts w:ascii="宋体" w:hAnsi="宋体"/>
        </w:rPr>
      </w:pPr>
      <w:r>
        <w:rPr>
          <w:rFonts w:hint="eastAsia" w:ascii="宋体" w:hAnsi="宋体"/>
        </w:rPr>
        <w:t>2．本项目不接受联合体投标，不接受投标人选用进口产品参与投标；</w:t>
      </w:r>
    </w:p>
    <w:p>
      <w:pPr>
        <w:widowControl w:val="0"/>
        <w:spacing w:line="360" w:lineRule="auto"/>
        <w:ind w:firstLine="420" w:firstLineChars="200"/>
        <w:rPr>
          <w:rFonts w:ascii="宋体" w:hAnsi="宋体"/>
        </w:rPr>
      </w:pPr>
      <w:r>
        <w:rPr>
          <w:rFonts w:hint="eastAsia" w:ascii="宋体" w:hAnsi="宋体"/>
        </w:rPr>
        <w:t>3．参与本项目投标前三年内，在经营活动中没有重大违法记录（由供应商在《政府采购投标及履约承诺函》中作出声明）；</w:t>
      </w:r>
    </w:p>
    <w:p>
      <w:pPr>
        <w:widowControl w:val="0"/>
        <w:spacing w:line="360" w:lineRule="auto"/>
        <w:ind w:firstLine="420" w:firstLineChars="200"/>
        <w:rPr>
          <w:rFonts w:ascii="宋体" w:hAnsi="宋体"/>
        </w:rPr>
      </w:pPr>
      <w:r>
        <w:rPr>
          <w:rFonts w:hint="eastAsia" w:ascii="宋体" w:hAnsi="宋体"/>
        </w:rPr>
        <w:t>4．参与本项目政府采购活动时不存在被有关部门禁止参与政府采购活动且在有效期内的情况（由供应商在《政府采购投标及履约承诺函》中作出声明）；</w:t>
      </w:r>
    </w:p>
    <w:p>
      <w:pPr>
        <w:widowControl w:val="0"/>
        <w:spacing w:line="360" w:lineRule="auto"/>
        <w:ind w:firstLine="420" w:firstLineChars="200"/>
        <w:rPr>
          <w:rFonts w:ascii="宋体" w:hAnsi="宋体"/>
        </w:rPr>
      </w:pPr>
      <w:r>
        <w:rPr>
          <w:rFonts w:hint="eastAsia" w:ascii="宋体" w:hAnsi="宋体"/>
        </w:rPr>
        <w:t>5．具备《中华人民共和国政府采购法》第二十二条第一款的条件（由供应商在《政府采购投标及履约承诺函》中作出声明）；</w:t>
      </w:r>
    </w:p>
    <w:p>
      <w:pPr>
        <w:widowControl w:val="0"/>
        <w:spacing w:line="360" w:lineRule="auto"/>
        <w:ind w:firstLine="420" w:firstLineChars="200"/>
        <w:rPr>
          <w:rFonts w:ascii="宋体" w:hAnsi="宋体"/>
        </w:rPr>
      </w:pPr>
      <w:r>
        <w:rPr>
          <w:rFonts w:hint="eastAsia" w:ascii="宋体" w:hAnsi="宋体"/>
        </w:rPr>
        <w:t>6．未被列入失信被执行人、重大税收违法案件当事人名单、政府采购严重违法失信行为记录名单（由供应商在《政府采购投标及履约承诺函》中作出声明）；</w:t>
      </w:r>
    </w:p>
    <w:p>
      <w:pPr>
        <w:spacing w:after="120" w:line="360" w:lineRule="auto"/>
        <w:ind w:firstLine="420" w:firstLineChars="200"/>
        <w:rPr>
          <w:rFonts w:ascii="宋体" w:hAnsi="宋体"/>
        </w:rPr>
      </w:pPr>
      <w:r>
        <w:rPr>
          <w:rFonts w:hint="eastAsia" w:ascii="宋体" w:hAnsi="宋体"/>
        </w:rPr>
        <w:t>注：“信用中国”、“中国政府采购网”以及“深圳市政府采购监管网”为供应商信用信息的查询渠道，相关信息以中标通知书发出前的查询结果为准。</w:t>
      </w:r>
    </w:p>
    <w:p>
      <w:pPr>
        <w:spacing w:line="360" w:lineRule="auto"/>
        <w:rPr>
          <w:rFonts w:ascii="宋体" w:hAnsi="宋体"/>
          <w:iCs/>
          <w:u w:val="single"/>
        </w:rPr>
      </w:pPr>
      <w:r>
        <w:rPr>
          <w:rFonts w:hint="eastAsia" w:ascii="宋体" w:hAnsi="宋体" w:cs="宋体"/>
        </w:rPr>
        <w:t>三、获取招标文件</w:t>
      </w:r>
      <w:bookmarkEnd w:id="250"/>
      <w:bookmarkEnd w:id="251"/>
      <w:bookmarkEnd w:id="252"/>
      <w:bookmarkEnd w:id="253"/>
    </w:p>
    <w:p>
      <w:pPr>
        <w:spacing w:line="360" w:lineRule="auto"/>
        <w:ind w:firstLine="540"/>
        <w:rPr>
          <w:rFonts w:ascii="宋体" w:hAnsi="宋体" w:cs="宋体"/>
        </w:rPr>
      </w:pPr>
      <w:r>
        <w:rPr>
          <w:rFonts w:hint="eastAsia" w:ascii="宋体" w:hAnsi="宋体" w:cs="宋体"/>
        </w:rPr>
        <w:t>时间</w:t>
      </w:r>
      <w:r>
        <w:rPr>
          <w:rFonts w:hint="eastAsia" w:ascii="宋体" w:hAnsi="宋体" w:cs="宋体"/>
          <w:u w:val="single"/>
        </w:rPr>
        <w:t>：2022年10月26日</w:t>
      </w:r>
      <w:r>
        <w:rPr>
          <w:rFonts w:hint="eastAsia" w:ascii="宋体" w:hAnsi="宋体" w:cs="宋体"/>
        </w:rPr>
        <w:t>至</w:t>
      </w:r>
      <w:r>
        <w:rPr>
          <w:rFonts w:hint="eastAsia" w:ascii="宋体" w:hAnsi="宋体" w:cs="宋体"/>
          <w:u w:val="single"/>
        </w:rPr>
        <w:t>2022年11月1日</w:t>
      </w:r>
      <w:r>
        <w:rPr>
          <w:rFonts w:hint="eastAsia" w:ascii="宋体" w:hAnsi="宋体" w:cs="宋体"/>
        </w:rPr>
        <w:t>，每天上午</w:t>
      </w:r>
      <w:r>
        <w:rPr>
          <w:rFonts w:hint="eastAsia" w:ascii="宋体" w:hAnsi="宋体" w:cs="宋体"/>
          <w:u w:val="single"/>
        </w:rPr>
        <w:t>09:00</w:t>
      </w:r>
      <w:r>
        <w:rPr>
          <w:rFonts w:hint="eastAsia" w:ascii="宋体" w:hAnsi="宋体" w:cs="宋体"/>
        </w:rPr>
        <w:t>至</w:t>
      </w:r>
      <w:r>
        <w:rPr>
          <w:rFonts w:hint="eastAsia" w:ascii="宋体" w:hAnsi="宋体" w:cs="宋体"/>
          <w:u w:val="single"/>
        </w:rPr>
        <w:t>12:00</w:t>
      </w:r>
      <w:r>
        <w:rPr>
          <w:rFonts w:hint="eastAsia" w:ascii="宋体" w:hAnsi="宋体" w:cs="宋体"/>
        </w:rPr>
        <w:t>，下午</w:t>
      </w:r>
      <w:r>
        <w:rPr>
          <w:rFonts w:hint="eastAsia" w:ascii="宋体" w:hAnsi="宋体" w:cs="宋体"/>
          <w:u w:val="single"/>
        </w:rPr>
        <w:t>14:00</w:t>
      </w:r>
      <w:r>
        <w:rPr>
          <w:rFonts w:hint="eastAsia" w:ascii="宋体" w:hAnsi="宋体" w:cs="宋体"/>
        </w:rPr>
        <w:t>至</w:t>
      </w:r>
      <w:r>
        <w:rPr>
          <w:rFonts w:hint="eastAsia" w:ascii="宋体" w:hAnsi="宋体" w:cs="宋体"/>
          <w:u w:val="single"/>
        </w:rPr>
        <w:t>17:30</w:t>
      </w:r>
      <w:r>
        <w:rPr>
          <w:rFonts w:hint="eastAsia" w:ascii="宋体" w:hAnsi="宋体" w:cs="宋体"/>
        </w:rPr>
        <w:t>（北京时间，</w:t>
      </w:r>
      <w:r>
        <w:rPr>
          <w:rFonts w:ascii="宋体" w:hAnsi="宋体" w:cs="宋体"/>
        </w:rPr>
        <w:t>法定节假日</w:t>
      </w:r>
      <w:r>
        <w:rPr>
          <w:rFonts w:hint="eastAsia" w:ascii="宋体" w:hAnsi="宋体" w:cs="宋体"/>
        </w:rPr>
        <w:t>除外）</w:t>
      </w:r>
    </w:p>
    <w:p>
      <w:pPr>
        <w:spacing w:line="360" w:lineRule="auto"/>
        <w:ind w:firstLine="540"/>
        <w:rPr>
          <w:rFonts w:ascii="宋体" w:hAnsi="宋体" w:cs="宋体"/>
          <w:u w:val="single"/>
        </w:rPr>
      </w:pPr>
      <w:r>
        <w:rPr>
          <w:rFonts w:hint="eastAsia" w:ascii="宋体" w:hAnsi="宋体" w:cs="宋体"/>
        </w:rPr>
        <w:t>地点：深圳市福田区振兴路3号建艺大厦16楼</w:t>
      </w:r>
    </w:p>
    <w:p>
      <w:pPr>
        <w:spacing w:line="360" w:lineRule="auto"/>
        <w:ind w:firstLine="540"/>
        <w:rPr>
          <w:rFonts w:ascii="宋体" w:hAnsi="宋体" w:cs="宋体"/>
          <w:u w:val="single"/>
        </w:rPr>
      </w:pPr>
      <w:r>
        <w:rPr>
          <w:rFonts w:hint="eastAsia" w:ascii="宋体" w:hAnsi="宋体" w:cs="宋体"/>
        </w:rPr>
        <w:t>方式：现场购买或邮购</w:t>
      </w:r>
    </w:p>
    <w:p>
      <w:pPr>
        <w:spacing w:line="360" w:lineRule="auto"/>
        <w:ind w:firstLine="540"/>
        <w:rPr>
          <w:rFonts w:ascii="宋体" w:hAnsi="宋体" w:cs="宋体"/>
        </w:rPr>
      </w:pPr>
      <w:r>
        <w:rPr>
          <w:rFonts w:hint="eastAsia" w:ascii="宋体" w:hAnsi="宋体" w:cs="宋体"/>
        </w:rPr>
        <w:t>售价：</w:t>
      </w:r>
      <w:bookmarkStart w:id="254" w:name="_Toc28359005"/>
      <w:bookmarkStart w:id="255" w:name="_Toc28359082"/>
      <w:bookmarkStart w:id="256" w:name="_Toc35393793"/>
      <w:bookmarkStart w:id="257" w:name="_Toc35393624"/>
      <w:r>
        <w:rPr>
          <w:rFonts w:hint="eastAsia" w:ascii="宋体" w:hAnsi="宋体" w:cs="宋体"/>
        </w:rPr>
        <w:t>￥500.00</w:t>
      </w:r>
    </w:p>
    <w:p>
      <w:pPr>
        <w:spacing w:line="360" w:lineRule="auto"/>
        <w:rPr>
          <w:rFonts w:ascii="宋体" w:hAnsi="宋体" w:cs="宋体"/>
        </w:rPr>
      </w:pPr>
      <w:r>
        <w:rPr>
          <w:rFonts w:hint="eastAsia" w:ascii="宋体" w:hAnsi="宋体" w:cs="宋体"/>
        </w:rPr>
        <w:t>四、提交投标文件</w:t>
      </w:r>
      <w:bookmarkEnd w:id="254"/>
      <w:bookmarkEnd w:id="255"/>
      <w:r>
        <w:rPr>
          <w:rFonts w:hint="eastAsia" w:ascii="宋体" w:hAnsi="宋体" w:cs="宋体"/>
        </w:rPr>
        <w:t>截止时间、开标时间和地点</w:t>
      </w:r>
      <w:bookmarkEnd w:id="256"/>
      <w:bookmarkEnd w:id="257"/>
    </w:p>
    <w:p>
      <w:pPr>
        <w:spacing w:line="360" w:lineRule="auto"/>
        <w:ind w:firstLine="420" w:firstLineChars="200"/>
        <w:rPr>
          <w:rFonts w:ascii="宋体" w:hAnsi="宋体"/>
          <w:bCs/>
          <w:u w:val="single"/>
        </w:rPr>
      </w:pPr>
      <w:r>
        <w:rPr>
          <w:rFonts w:hint="eastAsia" w:ascii="宋体" w:hAnsi="宋体"/>
          <w:bCs/>
          <w:u w:val="single"/>
        </w:rPr>
        <w:t>2022年11月7日10点00分</w:t>
      </w:r>
      <w:r>
        <w:rPr>
          <w:rFonts w:hint="eastAsia" w:ascii="宋体" w:hAnsi="宋体"/>
          <w:bCs/>
        </w:rPr>
        <w:t>（北京时间）</w:t>
      </w:r>
    </w:p>
    <w:p>
      <w:pPr>
        <w:spacing w:line="360" w:lineRule="auto"/>
        <w:ind w:firstLine="420" w:firstLineChars="200"/>
        <w:rPr>
          <w:rFonts w:ascii="宋体" w:hAnsi="宋体"/>
        </w:rPr>
      </w:pPr>
      <w:r>
        <w:rPr>
          <w:rFonts w:hint="eastAsia" w:ascii="宋体" w:hAnsi="宋体"/>
        </w:rPr>
        <w:t>地点：</w:t>
      </w:r>
      <w:bookmarkStart w:id="258" w:name="_Toc35393794"/>
      <w:bookmarkStart w:id="259" w:name="_Toc35393625"/>
      <w:bookmarkStart w:id="260" w:name="_Toc28359007"/>
      <w:bookmarkStart w:id="261" w:name="_Toc28359084"/>
      <w:r>
        <w:rPr>
          <w:rFonts w:hint="eastAsia" w:ascii="宋体" w:hAnsi="宋体" w:cs="宋体"/>
        </w:rPr>
        <w:t>深圳市福田区振兴路3号建艺大厦16楼（深圳市建星项目管理顾问有限公司开标厅）</w:t>
      </w:r>
    </w:p>
    <w:p>
      <w:pPr>
        <w:spacing w:line="360" w:lineRule="auto"/>
        <w:rPr>
          <w:rFonts w:ascii="宋体" w:hAnsi="宋体"/>
          <w:bCs/>
          <w:u w:val="single"/>
        </w:rPr>
      </w:pPr>
      <w:r>
        <w:rPr>
          <w:rFonts w:hint="eastAsia" w:ascii="宋体" w:hAnsi="宋体" w:cs="宋体"/>
        </w:rPr>
        <w:t>五、公告期限</w:t>
      </w:r>
      <w:bookmarkEnd w:id="258"/>
      <w:bookmarkEnd w:id="259"/>
      <w:bookmarkEnd w:id="260"/>
      <w:bookmarkEnd w:id="261"/>
    </w:p>
    <w:p>
      <w:pPr>
        <w:spacing w:line="360" w:lineRule="auto"/>
        <w:ind w:firstLine="420" w:firstLineChars="200"/>
        <w:rPr>
          <w:rFonts w:ascii="宋体" w:hAnsi="宋体" w:cs="宋体"/>
        </w:rPr>
      </w:pPr>
      <w:r>
        <w:rPr>
          <w:rFonts w:hint="eastAsia" w:ascii="宋体" w:hAnsi="宋体" w:cs="宋体"/>
        </w:rPr>
        <w:t>自本公告发布之日起5个工作日。</w:t>
      </w:r>
      <w:bookmarkStart w:id="262" w:name="_Toc35393626"/>
      <w:bookmarkStart w:id="263" w:name="_Toc35393795"/>
    </w:p>
    <w:p>
      <w:pPr>
        <w:spacing w:line="360" w:lineRule="auto"/>
        <w:rPr>
          <w:rFonts w:ascii="宋体" w:hAnsi="宋体" w:cs="宋体"/>
        </w:rPr>
      </w:pPr>
      <w:r>
        <w:rPr>
          <w:rFonts w:hint="eastAsia" w:ascii="宋体" w:hAnsi="宋体" w:cs="宋体"/>
        </w:rPr>
        <w:t>六、其他补充事宜</w:t>
      </w:r>
      <w:bookmarkEnd w:id="262"/>
      <w:bookmarkEnd w:id="263"/>
      <w:bookmarkStart w:id="264" w:name="_Toc35393796"/>
      <w:bookmarkStart w:id="265" w:name="_Toc35393627"/>
      <w:bookmarkStart w:id="266" w:name="_Toc28359008"/>
      <w:bookmarkStart w:id="267" w:name="_Toc28359085"/>
    </w:p>
    <w:p>
      <w:pPr>
        <w:spacing w:line="360" w:lineRule="auto"/>
        <w:ind w:firstLine="420" w:firstLineChars="200"/>
        <w:rPr>
          <w:rFonts w:ascii="宋体" w:hAnsi="宋体" w:cs="宋体"/>
        </w:rPr>
      </w:pPr>
      <w:r>
        <w:rPr>
          <w:rFonts w:hint="eastAsia" w:ascii="宋体" w:hAnsi="宋体" w:cs="宋体"/>
        </w:rPr>
        <w:t>1.凡有意参加投标者，请在“三、获取招标文件”所述时间内进行登记。如确认参加本项目投标，请于报名截止日前携带供应商获取招标文件时应提供材料（见下方要求）到深圳市建星项目管理顾问有限公司进行报名，逾期不接受报名。报名咨询电话：0755-82531482。</w:t>
      </w:r>
    </w:p>
    <w:p>
      <w:pPr>
        <w:spacing w:line="360" w:lineRule="auto"/>
        <w:ind w:firstLine="420" w:firstLineChars="200"/>
        <w:rPr>
          <w:rFonts w:ascii="宋体" w:hAnsi="宋体" w:cs="宋体"/>
        </w:rPr>
      </w:pPr>
      <w:r>
        <w:rPr>
          <w:rFonts w:hint="eastAsia" w:ascii="宋体" w:hAnsi="宋体" w:cs="宋体"/>
        </w:rPr>
        <w:t>2.获取招标文件需提供的资料：</w:t>
      </w:r>
    </w:p>
    <w:p>
      <w:pPr>
        <w:spacing w:line="360" w:lineRule="auto"/>
        <w:ind w:firstLine="420" w:firstLineChars="200"/>
        <w:rPr>
          <w:rFonts w:ascii="宋体" w:hAnsi="宋体" w:cs="宋体"/>
        </w:rPr>
      </w:pPr>
      <w:r>
        <w:rPr>
          <w:rFonts w:hint="eastAsia" w:ascii="宋体" w:hAnsi="宋体" w:cs="宋体"/>
        </w:rPr>
        <w:t>（1）投标登记表（</w:t>
      </w:r>
      <w:r>
        <w:rPr>
          <w:rFonts w:ascii="宋体" w:hAnsi="宋体" w:cs="宋体"/>
        </w:rPr>
        <w:t>http://www.sz-jstar.com</w:t>
      </w:r>
      <w:r>
        <w:rPr>
          <w:rFonts w:hint="eastAsia" w:ascii="宋体" w:hAnsi="宋体" w:cs="宋体"/>
        </w:rPr>
        <w:t>下载）；</w:t>
      </w:r>
    </w:p>
    <w:p>
      <w:pPr>
        <w:spacing w:line="360" w:lineRule="auto"/>
        <w:ind w:firstLine="420" w:firstLineChars="200"/>
        <w:rPr>
          <w:rFonts w:ascii="宋体" w:hAnsi="宋体" w:cs="宋体"/>
        </w:rPr>
      </w:pPr>
      <w:r>
        <w:rPr>
          <w:rFonts w:hint="eastAsia" w:ascii="宋体" w:hAnsi="宋体" w:cs="宋体"/>
        </w:rPr>
        <w:t>（2）法定代表人授权委托书；</w:t>
      </w:r>
    </w:p>
    <w:p>
      <w:pPr>
        <w:spacing w:line="360" w:lineRule="auto"/>
        <w:ind w:firstLine="420" w:firstLineChars="200"/>
        <w:rPr>
          <w:rFonts w:ascii="宋体" w:hAnsi="宋体" w:cs="宋体"/>
        </w:rPr>
      </w:pPr>
      <w:r>
        <w:rPr>
          <w:rFonts w:hint="eastAsia" w:ascii="宋体" w:hAnsi="宋体" w:cs="宋体"/>
        </w:rPr>
        <w:t>（3）投标人须提供营业执照（法人证书或执业许可证等）副本扫描件；</w:t>
      </w:r>
    </w:p>
    <w:p>
      <w:pPr>
        <w:spacing w:line="360" w:lineRule="auto"/>
        <w:ind w:firstLine="420" w:firstLineChars="200"/>
        <w:rPr>
          <w:rFonts w:ascii="宋体" w:hAnsi="宋体" w:cs="宋体"/>
        </w:rPr>
      </w:pPr>
      <w:r>
        <w:rPr>
          <w:rFonts w:hint="eastAsia" w:ascii="宋体" w:hAnsi="宋体" w:cs="宋体"/>
        </w:rPr>
        <w:t>以上资料均需加盖投标人公章。</w:t>
      </w:r>
    </w:p>
    <w:p>
      <w:pPr>
        <w:spacing w:line="360" w:lineRule="auto"/>
        <w:ind w:firstLine="420" w:firstLineChars="200"/>
        <w:rPr>
          <w:rFonts w:ascii="宋体" w:hAnsi="宋体" w:cs="宋体"/>
        </w:rPr>
      </w:pPr>
      <w:r>
        <w:rPr>
          <w:rFonts w:hint="eastAsia" w:ascii="宋体" w:hAnsi="宋体" w:cs="宋体"/>
        </w:rPr>
        <w:t>3.采购文件澄清/修改事项：2022年11月2日 00:00（北京时间）时前，供应商如认为采购文件存在不明确、不清晰和前后不一致等问题，要求对采购文件作出澄清的，填写需澄清内容。2022年11月4日00:00（北京时间）前将采购文件澄清/修改情况在深圳公共资源交易网（</w:t>
      </w:r>
      <w:r>
        <w:rPr>
          <w:rFonts w:ascii="宋体" w:hAnsi="宋体" w:cs="宋体"/>
        </w:rPr>
        <w:t>https://www.szggzy.com/</w:t>
      </w:r>
      <w:r>
        <w:rPr>
          <w:rFonts w:hint="eastAsia" w:ascii="宋体" w:hAnsi="宋体" w:cs="宋体"/>
        </w:rPr>
        <w:t>）、深圳市建星项目管理顾问有限公司网（</w:t>
      </w:r>
      <w:r>
        <w:rPr>
          <w:rFonts w:ascii="宋体" w:hAnsi="宋体" w:cs="宋体"/>
        </w:rPr>
        <w:t>http://www.sz-jstar.com/</w:t>
      </w:r>
      <w:r>
        <w:rPr>
          <w:rFonts w:hint="eastAsia" w:ascii="宋体" w:hAnsi="宋体" w:cs="宋体"/>
        </w:rPr>
        <w:t>）中公布，望投标人予以关注。（重要提示：“提出采购文件澄清要求”不等同于“对采购文件质疑”，供应商提出的澄清要求内容如出现“质疑”字眼，将予以退回。供应商如认为采购文件存在限制性、倾向性、其权益受到损害，应在采购文件公布之日起七个工作日内以书面形式提出质疑。请质疑供应商根据深圳政府采购网页（http://www.szzfcg.cn/portal/documentView.do?method=view&amp;id=597839319）所发布的质疑指引、质疑函模板填写质疑函并提交质疑材料。质疑材料可以采用现场或邮寄方式提交，采用邮寄方式提交的，交邮时间应在本公告发布之日起七个工作日内。现场提交、邮寄地址：深圳市福田区振兴路3号建艺大厦16楼建星公司。质疑咨询电话：0755-82531482。根据《深圳经济特区政府采购条例》第四十二条“供应商投诉的事项应当是经过质疑的事项”的规定，未经正式质疑的，将影响供应商行使向财政部门提起投诉的权利。）</w:t>
      </w:r>
    </w:p>
    <w:p>
      <w:pPr>
        <w:spacing w:line="360" w:lineRule="auto"/>
        <w:ind w:firstLine="420" w:firstLineChars="200"/>
        <w:rPr>
          <w:rFonts w:ascii="宋体" w:hAnsi="宋体" w:cs="宋体"/>
        </w:rPr>
      </w:pPr>
      <w:r>
        <w:rPr>
          <w:rFonts w:hint="eastAsia" w:ascii="宋体" w:hAnsi="宋体" w:cs="宋体"/>
        </w:rPr>
        <w:t>4.采购代理机构开户银行及相关信息：</w:t>
      </w:r>
    </w:p>
    <w:p>
      <w:pPr>
        <w:spacing w:line="360" w:lineRule="auto"/>
        <w:ind w:firstLine="420" w:firstLineChars="200"/>
        <w:rPr>
          <w:rFonts w:ascii="宋体" w:hAnsi="宋体" w:cs="宋体"/>
        </w:rPr>
      </w:pPr>
      <w:r>
        <w:rPr>
          <w:rFonts w:hint="eastAsia" w:ascii="宋体" w:hAnsi="宋体" w:cs="宋体"/>
        </w:rPr>
        <w:t>开户银行：中信银行深圳福田支行</w:t>
      </w:r>
    </w:p>
    <w:p>
      <w:pPr>
        <w:spacing w:line="360" w:lineRule="auto"/>
        <w:ind w:firstLine="420" w:firstLineChars="200"/>
        <w:rPr>
          <w:rFonts w:ascii="宋体" w:hAnsi="宋体" w:cs="宋体"/>
        </w:rPr>
      </w:pPr>
      <w:r>
        <w:rPr>
          <w:rFonts w:hint="eastAsia" w:ascii="宋体" w:hAnsi="宋体" w:cs="宋体"/>
        </w:rPr>
        <w:t>开户名称：深圳市建星项目管理顾问有限公司</w:t>
      </w:r>
    </w:p>
    <w:p>
      <w:pPr>
        <w:spacing w:line="360" w:lineRule="auto"/>
        <w:ind w:firstLine="420" w:firstLineChars="200"/>
        <w:rPr>
          <w:rFonts w:ascii="宋体" w:hAnsi="宋体" w:cs="宋体"/>
        </w:rPr>
      </w:pPr>
      <w:r>
        <w:rPr>
          <w:rFonts w:hint="eastAsia" w:ascii="宋体" w:hAnsi="宋体" w:cs="宋体"/>
        </w:rPr>
        <w:t>银行账号：</w:t>
      </w:r>
      <w:r>
        <w:rPr>
          <w:rFonts w:ascii="宋体" w:hAnsi="宋体" w:cs="宋体"/>
        </w:rPr>
        <w:t>7441 6101 8260 0172 104</w:t>
      </w:r>
    </w:p>
    <w:p>
      <w:pPr>
        <w:spacing w:line="360" w:lineRule="auto"/>
        <w:ind w:firstLine="420" w:firstLineChars="200"/>
        <w:rPr>
          <w:rFonts w:ascii="宋体" w:hAnsi="宋体" w:cs="宋体"/>
        </w:rPr>
      </w:pPr>
      <w:r>
        <w:rPr>
          <w:rFonts w:hint="eastAsia" w:ascii="宋体" w:hAnsi="宋体" w:cs="宋体"/>
        </w:rPr>
        <w:t>5.公示网址:①深圳建星项目管理顾问有公司网站（</w:t>
      </w:r>
      <w:r>
        <w:rPr>
          <w:rFonts w:ascii="宋体" w:hAnsi="宋体" w:cs="宋体"/>
        </w:rPr>
        <w:t>http://www.sz-jstar.com</w:t>
      </w:r>
      <w:r>
        <w:rPr>
          <w:rFonts w:hint="eastAsia" w:ascii="宋体" w:hAnsi="宋体" w:cs="宋体"/>
        </w:rPr>
        <w:t>）②深圳公共资源交易网（</w:t>
      </w:r>
      <w:r>
        <w:rPr>
          <w:rFonts w:ascii="宋体" w:hAnsi="宋体" w:cs="宋体"/>
        </w:rPr>
        <w:t>https://www.szggzy.com/</w:t>
      </w:r>
      <w:r>
        <w:rPr>
          <w:rFonts w:hint="eastAsia" w:ascii="宋体" w:hAnsi="宋体" w:cs="宋体"/>
        </w:rPr>
        <w:t>）投标人有义务在招标活动期间浏览以上网站，在以上网站公布的与本次招标项目有关的信息视为已送达各投标人。</w:t>
      </w:r>
    </w:p>
    <w:p>
      <w:pPr>
        <w:spacing w:line="360" w:lineRule="auto"/>
        <w:ind w:firstLine="420" w:firstLineChars="200"/>
        <w:rPr>
          <w:rFonts w:ascii="宋体" w:hAnsi="宋体" w:cs="宋体"/>
        </w:rPr>
      </w:pPr>
      <w:r>
        <w:rPr>
          <w:rFonts w:hint="eastAsia" w:ascii="宋体" w:hAnsi="宋体" w:cs="宋体"/>
        </w:rPr>
        <w:t>6.投标人可通过邮寄方式按照规定的递交投标文件截止时间前向我公司邮寄投标文件，递交时间以我公司代表签收时间为准（收件地址：深圳市福田区振兴路3号建艺大厦16楼；收件联系人及电话：</w:t>
      </w:r>
      <w:r>
        <w:rPr>
          <w:rFonts w:hint="eastAsia" w:ascii="宋体" w:hAnsi="宋体"/>
        </w:rPr>
        <w:t>柴工、0755-82531482</w:t>
      </w:r>
      <w:r>
        <w:rPr>
          <w:rFonts w:hint="eastAsia" w:ascii="宋体" w:hAnsi="宋体" w:cs="宋体"/>
        </w:rPr>
        <w:t>），逾期或不符合规定的投标文件不予接受。投标人未参加开标的，视同认可开标结果。</w:t>
      </w:r>
    </w:p>
    <w:p>
      <w:pPr>
        <w:spacing w:line="360" w:lineRule="auto"/>
        <w:rPr>
          <w:rFonts w:ascii="宋体" w:hAnsi="宋体" w:cs="宋体"/>
        </w:rPr>
      </w:pPr>
      <w:r>
        <w:rPr>
          <w:rFonts w:hint="eastAsia" w:ascii="宋体" w:hAnsi="宋体" w:cs="宋体"/>
        </w:rPr>
        <w:t>七、对本次招标提出询问，请按</w:t>
      </w:r>
      <w:r>
        <w:rPr>
          <w:rFonts w:ascii="宋体" w:hAnsi="宋体" w:cs="宋体"/>
        </w:rPr>
        <w:t>以下方式</w:t>
      </w:r>
      <w:r>
        <w:rPr>
          <w:rFonts w:hint="eastAsia" w:ascii="宋体" w:hAnsi="宋体" w:cs="宋体"/>
        </w:rPr>
        <w:t>联系。</w:t>
      </w:r>
      <w:bookmarkEnd w:id="264"/>
      <w:bookmarkEnd w:id="265"/>
      <w:bookmarkEnd w:id="266"/>
      <w:bookmarkEnd w:id="267"/>
    </w:p>
    <w:p>
      <w:pPr>
        <w:spacing w:line="360" w:lineRule="auto"/>
        <w:ind w:firstLine="420" w:firstLineChars="200"/>
        <w:jc w:val="left"/>
        <w:rPr>
          <w:rFonts w:ascii="宋体" w:hAnsi="宋体"/>
        </w:rPr>
      </w:pPr>
      <w:r>
        <w:rPr>
          <w:rFonts w:hint="eastAsia" w:ascii="宋体" w:hAnsi="宋体" w:cs="宋体"/>
        </w:rPr>
        <w:t>1.采购人信息</w:t>
      </w:r>
    </w:p>
    <w:p>
      <w:pPr>
        <w:spacing w:line="360" w:lineRule="auto"/>
        <w:ind w:firstLine="420" w:firstLineChars="200"/>
        <w:jc w:val="left"/>
        <w:rPr>
          <w:rFonts w:ascii="宋体" w:hAnsi="宋体"/>
        </w:rPr>
      </w:pPr>
      <w:bookmarkStart w:id="268" w:name="_Toc28359009"/>
      <w:bookmarkStart w:id="269" w:name="_Toc28359086"/>
      <w:r>
        <w:rPr>
          <w:rFonts w:hint="eastAsia" w:ascii="宋体" w:hAnsi="宋体"/>
        </w:rPr>
        <w:t>名称：深圳市住房和建设局</w:t>
      </w:r>
    </w:p>
    <w:p>
      <w:pPr>
        <w:spacing w:line="360" w:lineRule="auto"/>
        <w:ind w:firstLine="420" w:firstLineChars="200"/>
        <w:jc w:val="left"/>
        <w:rPr>
          <w:rFonts w:ascii="宋体" w:hAnsi="宋体"/>
        </w:rPr>
      </w:pPr>
      <w:r>
        <w:rPr>
          <w:rFonts w:hint="eastAsia" w:ascii="宋体" w:hAnsi="宋体"/>
        </w:rPr>
        <w:t>地址：深圳市福田区振华路8号设计大厦</w:t>
      </w:r>
    </w:p>
    <w:p>
      <w:pPr>
        <w:spacing w:line="360" w:lineRule="auto"/>
        <w:ind w:firstLine="420" w:firstLineChars="200"/>
        <w:jc w:val="left"/>
        <w:rPr>
          <w:rFonts w:ascii="宋体" w:hAnsi="宋体" w:cs="宋体"/>
        </w:rPr>
      </w:pPr>
      <w:r>
        <w:rPr>
          <w:rFonts w:hint="eastAsia" w:ascii="宋体" w:hAnsi="宋体"/>
        </w:rPr>
        <w:t>联系方式：0755-83782805</w:t>
      </w:r>
      <w:r>
        <w:rPr>
          <w:rFonts w:hint="eastAsia" w:ascii="宋体" w:hAnsi="宋体" w:cs="宋体"/>
        </w:rPr>
        <w:t>2</w:t>
      </w:r>
    </w:p>
    <w:p>
      <w:pPr>
        <w:spacing w:line="360" w:lineRule="auto"/>
        <w:ind w:firstLine="420" w:firstLineChars="200"/>
        <w:jc w:val="left"/>
        <w:rPr>
          <w:rFonts w:ascii="宋体" w:hAnsi="宋体"/>
        </w:rPr>
      </w:pPr>
      <w:r>
        <w:rPr>
          <w:rFonts w:hint="eastAsia" w:ascii="宋体" w:hAnsi="宋体" w:cs="宋体"/>
        </w:rPr>
        <w:t>采购代理机构信息</w:t>
      </w:r>
      <w:bookmarkEnd w:id="268"/>
      <w:bookmarkEnd w:id="269"/>
    </w:p>
    <w:p>
      <w:pPr>
        <w:spacing w:line="360" w:lineRule="auto"/>
        <w:ind w:firstLine="420" w:firstLineChars="200"/>
        <w:jc w:val="left"/>
        <w:rPr>
          <w:rFonts w:ascii="宋体" w:hAnsi="宋体"/>
        </w:rPr>
      </w:pPr>
      <w:r>
        <w:rPr>
          <w:rFonts w:hint="eastAsia" w:ascii="宋体" w:hAnsi="宋体"/>
        </w:rPr>
        <w:t>名 称：深圳市建星项目管理顾问有限公司</w:t>
      </w:r>
    </w:p>
    <w:p>
      <w:pPr>
        <w:spacing w:line="360" w:lineRule="auto"/>
        <w:ind w:firstLine="420" w:firstLineChars="200"/>
        <w:rPr>
          <w:rFonts w:ascii="宋体" w:hAnsi="宋体"/>
        </w:rPr>
      </w:pPr>
      <w:r>
        <w:rPr>
          <w:rFonts w:hint="eastAsia" w:ascii="宋体" w:hAnsi="宋体"/>
        </w:rPr>
        <w:t>地址：</w:t>
      </w:r>
      <w:r>
        <w:rPr>
          <w:rFonts w:hint="eastAsia" w:ascii="宋体" w:hAnsi="宋体" w:cs="宋体"/>
        </w:rPr>
        <w:t>深圳市福田区振兴路3号建艺大厦16楼</w:t>
      </w:r>
    </w:p>
    <w:p>
      <w:pPr>
        <w:spacing w:line="360" w:lineRule="auto"/>
        <w:ind w:firstLine="420" w:firstLineChars="200"/>
        <w:rPr>
          <w:rFonts w:ascii="宋体" w:hAnsi="宋体"/>
          <w:u w:val="single"/>
        </w:rPr>
      </w:pPr>
      <w:r>
        <w:rPr>
          <w:rFonts w:hint="eastAsia" w:ascii="宋体" w:hAnsi="宋体"/>
        </w:rPr>
        <w:t>联系方式：</w:t>
      </w:r>
      <w:bookmarkStart w:id="270" w:name="_Toc28359087"/>
      <w:bookmarkStart w:id="271" w:name="_Toc28359010"/>
      <w:r>
        <w:rPr>
          <w:rFonts w:hint="eastAsia" w:ascii="宋体" w:hAnsi="宋体"/>
        </w:rPr>
        <w:t>0755-82531482</w:t>
      </w:r>
    </w:p>
    <w:p>
      <w:pPr>
        <w:spacing w:line="360" w:lineRule="auto"/>
        <w:ind w:firstLine="420" w:firstLineChars="200"/>
        <w:rPr>
          <w:rFonts w:ascii="宋体" w:hAnsi="宋体"/>
          <w:u w:val="single"/>
        </w:rPr>
      </w:pPr>
      <w:r>
        <w:rPr>
          <w:rFonts w:hint="eastAsia" w:ascii="宋体" w:hAnsi="宋体" w:cs="宋体"/>
        </w:rPr>
        <w:t>3.项目</w:t>
      </w:r>
      <w:r>
        <w:rPr>
          <w:rFonts w:ascii="宋体" w:hAnsi="宋体" w:cs="宋体"/>
        </w:rPr>
        <w:t>联系方式</w:t>
      </w:r>
      <w:bookmarkEnd w:id="270"/>
      <w:bookmarkEnd w:id="271"/>
    </w:p>
    <w:p>
      <w:pPr>
        <w:spacing w:line="360" w:lineRule="auto"/>
        <w:ind w:firstLine="420" w:firstLineChars="200"/>
        <w:rPr>
          <w:rFonts w:ascii="宋体" w:hAnsi="宋体"/>
        </w:rPr>
      </w:pPr>
      <w:r>
        <w:rPr>
          <w:rFonts w:hint="eastAsia" w:ascii="宋体" w:hAnsi="宋体"/>
        </w:rPr>
        <w:t>项目联系人：柴工</w:t>
      </w:r>
    </w:p>
    <w:p>
      <w:pPr>
        <w:spacing w:line="360" w:lineRule="auto"/>
        <w:ind w:firstLine="420" w:firstLineChars="200"/>
        <w:rPr>
          <w:rFonts w:ascii="宋体" w:hAnsi="宋体"/>
        </w:rPr>
      </w:pPr>
      <w:r>
        <w:rPr>
          <w:rFonts w:hint="eastAsia" w:ascii="宋体" w:hAnsi="宋体"/>
        </w:rPr>
        <w:t>电　话：0755-8253148</w:t>
      </w:r>
    </w:p>
    <w:p>
      <w:pPr>
        <w:spacing w:line="360" w:lineRule="auto"/>
        <w:ind w:firstLine="900" w:firstLineChars="300"/>
        <w:jc w:val="center"/>
        <w:rPr>
          <w:rFonts w:eastAsia="黑体"/>
          <w:sz w:val="30"/>
          <w:szCs w:val="30"/>
        </w:rPr>
      </w:pPr>
    </w:p>
    <w:p>
      <w:pPr>
        <w:jc w:val="left"/>
        <w:rPr>
          <w:rFonts w:eastAsia="黑体" w:cs="黑体"/>
          <w:sz w:val="30"/>
          <w:szCs w:val="30"/>
        </w:rPr>
      </w:pPr>
      <w:r>
        <w:rPr>
          <w:rFonts w:eastAsia="黑体" w:cs="黑体"/>
          <w:sz w:val="30"/>
          <w:szCs w:val="30"/>
        </w:rPr>
        <w:br w:type="page"/>
      </w:r>
    </w:p>
    <w:p>
      <w:pPr>
        <w:spacing w:line="360" w:lineRule="auto"/>
        <w:ind w:firstLine="900" w:firstLineChars="300"/>
        <w:jc w:val="center"/>
        <w:rPr>
          <w:rFonts w:ascii="宋体" w:hAnsi="宋体" w:cs="黑体"/>
          <w:sz w:val="24"/>
          <w:szCs w:val="24"/>
        </w:rPr>
      </w:pPr>
      <w:r>
        <w:rPr>
          <w:rFonts w:hint="eastAsia" w:eastAsia="黑体" w:cs="黑体"/>
          <w:sz w:val="30"/>
          <w:szCs w:val="30"/>
        </w:rPr>
        <w:t>第二章项目需求</w:t>
      </w:r>
    </w:p>
    <w:p/>
    <w:p>
      <w:pPr>
        <w:widowControl w:val="0"/>
        <w:spacing w:line="560" w:lineRule="exact"/>
        <w:rPr>
          <w:b/>
          <w:bCs/>
          <w:color w:val="000000"/>
          <w:sz w:val="30"/>
          <w:szCs w:val="30"/>
        </w:rPr>
      </w:pPr>
    </w:p>
    <w:p>
      <w:pPr>
        <w:widowControl w:val="0"/>
        <w:adjustRightInd w:val="0"/>
        <w:spacing w:beforeLines="50" w:afterLines="50"/>
        <w:jc w:val="center"/>
        <w:textAlignment w:val="baseline"/>
        <w:outlineLvl w:val="1"/>
        <w:rPr>
          <w:rFonts w:ascii="宋体" w:hAnsi="宋体"/>
          <w:b/>
          <w:bCs/>
          <w:sz w:val="28"/>
          <w:szCs w:val="28"/>
        </w:rPr>
      </w:pPr>
      <w:bookmarkStart w:id="272" w:name="_Toc60631620"/>
      <w:bookmarkStart w:id="273" w:name="_Toc101074876"/>
      <w:bookmarkStart w:id="274" w:name="_Toc73518117"/>
      <w:bookmarkStart w:id="275" w:name="_Toc73517639"/>
      <w:bookmarkStart w:id="276" w:name="_Toc73521635"/>
      <w:bookmarkStart w:id="277" w:name="_Toc100052364"/>
      <w:bookmarkStart w:id="278" w:name="_Toc60560625"/>
      <w:bookmarkStart w:id="279" w:name="_Toc73521547"/>
      <w:r>
        <w:rPr>
          <w:rFonts w:hint="eastAsia" w:ascii="宋体" w:hAnsi="宋体"/>
          <w:b/>
          <w:bCs/>
          <w:sz w:val="28"/>
          <w:szCs w:val="28"/>
        </w:rPr>
        <w:t>一、对通用条款的补充内容</w:t>
      </w:r>
    </w:p>
    <w:bookmarkEnd w:id="272"/>
    <w:bookmarkEnd w:id="273"/>
    <w:bookmarkEnd w:id="274"/>
    <w:bookmarkEnd w:id="275"/>
    <w:bookmarkEnd w:id="276"/>
    <w:bookmarkEnd w:id="277"/>
    <w:bookmarkEnd w:id="278"/>
    <w:bookmarkEnd w:id="279"/>
    <w:tbl>
      <w:tblPr>
        <w:tblStyle w:val="32"/>
        <w:tblW w:w="8135"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autofit"/>
        <w:tblCellMar>
          <w:top w:w="0" w:type="dxa"/>
          <w:left w:w="108" w:type="dxa"/>
          <w:bottom w:w="0" w:type="dxa"/>
          <w:right w:w="108" w:type="dxa"/>
        </w:tblCellMar>
      </w:tblPr>
      <w:tblGrid>
        <w:gridCol w:w="982"/>
        <w:gridCol w:w="2160"/>
        <w:gridCol w:w="4993"/>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982" w:type="dxa"/>
            <w:noWrap/>
            <w:vAlign w:val="center"/>
          </w:tcPr>
          <w:p>
            <w:pPr>
              <w:widowControl w:val="0"/>
              <w:jc w:val="center"/>
              <w:rPr>
                <w:rFonts w:ascii="宋体" w:hAnsi="宋体"/>
                <w:b/>
                <w:bCs/>
                <w:kern w:val="2"/>
                <w:szCs w:val="24"/>
              </w:rPr>
            </w:pPr>
            <w:r>
              <w:rPr>
                <w:rFonts w:hint="eastAsia" w:ascii="宋体" w:hAnsi="宋体"/>
                <w:b/>
                <w:bCs/>
                <w:kern w:val="2"/>
                <w:szCs w:val="24"/>
              </w:rPr>
              <w:t>序号</w:t>
            </w:r>
          </w:p>
        </w:tc>
        <w:tc>
          <w:tcPr>
            <w:tcW w:w="2160" w:type="dxa"/>
            <w:noWrap/>
            <w:vAlign w:val="center"/>
          </w:tcPr>
          <w:p>
            <w:pPr>
              <w:widowControl w:val="0"/>
              <w:jc w:val="center"/>
              <w:rPr>
                <w:rFonts w:ascii="宋体" w:hAnsi="宋体"/>
                <w:b/>
                <w:bCs/>
                <w:kern w:val="2"/>
                <w:szCs w:val="24"/>
              </w:rPr>
            </w:pPr>
            <w:r>
              <w:rPr>
                <w:rFonts w:hint="eastAsia" w:ascii="宋体" w:hAnsi="宋体"/>
                <w:b/>
                <w:bCs/>
                <w:kern w:val="2"/>
                <w:szCs w:val="24"/>
              </w:rPr>
              <w:t>内   容</w:t>
            </w:r>
          </w:p>
        </w:tc>
        <w:tc>
          <w:tcPr>
            <w:tcW w:w="4993" w:type="dxa"/>
            <w:noWrap/>
            <w:vAlign w:val="center"/>
          </w:tcPr>
          <w:p>
            <w:pPr>
              <w:widowControl w:val="0"/>
              <w:jc w:val="center"/>
              <w:rPr>
                <w:rFonts w:ascii="宋体" w:hAnsi="宋体"/>
                <w:b/>
                <w:bCs/>
                <w:kern w:val="2"/>
                <w:szCs w:val="24"/>
              </w:rPr>
            </w:pPr>
            <w:r>
              <w:rPr>
                <w:rFonts w:hint="eastAsia" w:ascii="宋体" w:hAnsi="宋体"/>
                <w:b/>
                <w:bCs/>
                <w:kern w:val="2"/>
                <w:szCs w:val="24"/>
              </w:rPr>
              <w:t>规      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982" w:type="dxa"/>
            <w:noWrap/>
            <w:vAlign w:val="center"/>
          </w:tcPr>
          <w:p>
            <w:pPr>
              <w:widowControl w:val="0"/>
              <w:jc w:val="center"/>
              <w:rPr>
                <w:rFonts w:ascii="宋体" w:hAnsi="宋体"/>
                <w:kern w:val="2"/>
                <w:szCs w:val="24"/>
              </w:rPr>
            </w:pPr>
            <w:r>
              <w:rPr>
                <w:rFonts w:hint="eastAsia" w:ascii="宋体" w:hAnsi="宋体"/>
                <w:kern w:val="2"/>
                <w:szCs w:val="24"/>
              </w:rPr>
              <w:t>1</w:t>
            </w:r>
          </w:p>
        </w:tc>
        <w:tc>
          <w:tcPr>
            <w:tcW w:w="2160" w:type="dxa"/>
            <w:noWrap/>
            <w:vAlign w:val="center"/>
          </w:tcPr>
          <w:p>
            <w:pPr>
              <w:widowControl w:val="0"/>
              <w:rPr>
                <w:kern w:val="2"/>
                <w:szCs w:val="24"/>
              </w:rPr>
            </w:pPr>
            <w:r>
              <w:rPr>
                <w:rFonts w:hint="eastAsia"/>
                <w:kern w:val="2"/>
                <w:szCs w:val="24"/>
              </w:rPr>
              <w:t>联合体投标</w:t>
            </w:r>
          </w:p>
        </w:tc>
        <w:tc>
          <w:tcPr>
            <w:tcW w:w="4993" w:type="dxa"/>
            <w:noWrap/>
            <w:vAlign w:val="center"/>
          </w:tcPr>
          <w:p>
            <w:pPr>
              <w:widowControl w:val="0"/>
              <w:rPr>
                <w:rFonts w:ascii="宋体" w:hAnsi="宋体"/>
                <w:snapToGrid w:val="0"/>
                <w:szCs w:val="32"/>
                <w:u w:val="single"/>
                <w:lang w:val="zh-CN"/>
              </w:rPr>
            </w:pPr>
            <w:r>
              <w:rPr>
                <w:rFonts w:hint="eastAsia" w:ascii="宋体" w:hAnsi="宋体"/>
                <w:snapToGrid w:val="0"/>
                <w:szCs w:val="32"/>
                <w:u w:val="single"/>
                <w:lang w:val="zh-CN"/>
              </w:rPr>
              <w:t>见招标公告》中“投标人资格要求”部分的相关内容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982" w:type="dxa"/>
            <w:noWrap/>
            <w:vAlign w:val="center"/>
          </w:tcPr>
          <w:p>
            <w:pPr>
              <w:widowControl w:val="0"/>
              <w:jc w:val="center"/>
              <w:rPr>
                <w:rFonts w:ascii="宋体" w:hAnsi="宋体"/>
                <w:kern w:val="2"/>
                <w:szCs w:val="24"/>
              </w:rPr>
            </w:pPr>
            <w:r>
              <w:rPr>
                <w:rFonts w:hint="eastAsia" w:ascii="宋体" w:hAnsi="宋体"/>
                <w:kern w:val="2"/>
                <w:szCs w:val="24"/>
              </w:rPr>
              <w:t>2</w:t>
            </w:r>
          </w:p>
        </w:tc>
        <w:tc>
          <w:tcPr>
            <w:tcW w:w="2160" w:type="dxa"/>
            <w:noWrap/>
            <w:vAlign w:val="center"/>
          </w:tcPr>
          <w:p>
            <w:pPr>
              <w:widowControl w:val="0"/>
              <w:rPr>
                <w:rFonts w:ascii="宋体" w:hAnsi="宋体"/>
                <w:kern w:val="2"/>
                <w:szCs w:val="24"/>
              </w:rPr>
            </w:pPr>
            <w:r>
              <w:rPr>
                <w:rFonts w:hint="eastAsia" w:ascii="宋体" w:hAnsi="宋体"/>
                <w:kern w:val="2"/>
                <w:szCs w:val="24"/>
              </w:rPr>
              <w:t>投标有效期</w:t>
            </w:r>
          </w:p>
        </w:tc>
        <w:tc>
          <w:tcPr>
            <w:tcW w:w="4993" w:type="dxa"/>
            <w:noWrap/>
            <w:vAlign w:val="center"/>
          </w:tcPr>
          <w:p>
            <w:pPr>
              <w:widowControl w:val="0"/>
              <w:rPr>
                <w:rFonts w:ascii="宋体" w:hAnsi="宋体"/>
                <w:kern w:val="2"/>
                <w:szCs w:val="24"/>
              </w:rPr>
            </w:pPr>
            <w:r>
              <w:rPr>
                <w:rFonts w:hint="eastAsia" w:ascii="宋体" w:hAnsi="宋体"/>
                <w:kern w:val="2"/>
                <w:szCs w:val="24"/>
                <w:u w:val="single"/>
              </w:rPr>
              <w:t>120</w:t>
            </w:r>
            <w:r>
              <w:rPr>
                <w:rFonts w:ascii="宋体" w:hAnsi="宋体"/>
                <w:kern w:val="2"/>
                <w:szCs w:val="24"/>
                <w:u w:val="single"/>
              </w:rPr>
              <w:t>日历天</w:t>
            </w:r>
            <w:r>
              <w:rPr>
                <w:rFonts w:ascii="宋体" w:hAnsi="宋体"/>
                <w:kern w:val="2"/>
                <w:szCs w:val="24"/>
              </w:rPr>
              <w:t>（从投标截止之日算起）</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982" w:type="dxa"/>
            <w:noWrap/>
            <w:vAlign w:val="center"/>
          </w:tcPr>
          <w:p>
            <w:pPr>
              <w:widowControl w:val="0"/>
              <w:jc w:val="center"/>
              <w:rPr>
                <w:rFonts w:ascii="宋体" w:hAnsi="宋体"/>
                <w:kern w:val="2"/>
                <w:szCs w:val="24"/>
              </w:rPr>
            </w:pPr>
            <w:r>
              <w:rPr>
                <w:rFonts w:hint="eastAsia" w:ascii="宋体" w:hAnsi="宋体"/>
                <w:kern w:val="2"/>
                <w:szCs w:val="24"/>
              </w:rPr>
              <w:t>3</w:t>
            </w:r>
          </w:p>
        </w:tc>
        <w:tc>
          <w:tcPr>
            <w:tcW w:w="2160" w:type="dxa"/>
            <w:noWrap/>
            <w:vAlign w:val="center"/>
          </w:tcPr>
          <w:p>
            <w:pPr>
              <w:widowControl w:val="0"/>
              <w:rPr>
                <w:rFonts w:ascii="宋体" w:hAnsi="宋体"/>
                <w:kern w:val="2"/>
                <w:szCs w:val="24"/>
              </w:rPr>
            </w:pPr>
            <w:r>
              <w:rPr>
                <w:rFonts w:hint="eastAsia" w:ascii="宋体" w:hAnsi="宋体"/>
                <w:kern w:val="2"/>
                <w:szCs w:val="24"/>
              </w:rPr>
              <w:t>投标人的替代方案</w:t>
            </w:r>
          </w:p>
        </w:tc>
        <w:tc>
          <w:tcPr>
            <w:tcW w:w="4993" w:type="dxa"/>
            <w:noWrap/>
            <w:vAlign w:val="center"/>
          </w:tcPr>
          <w:p>
            <w:pPr>
              <w:widowControl w:val="0"/>
              <w:rPr>
                <w:rFonts w:ascii="宋体" w:hAnsi="宋体"/>
                <w:kern w:val="2"/>
                <w:szCs w:val="24"/>
              </w:rPr>
            </w:pPr>
            <w:r>
              <w:rPr>
                <w:rFonts w:hint="eastAsia" w:ascii="宋体" w:hAnsi="宋体"/>
                <w:kern w:val="2"/>
                <w:szCs w:val="24"/>
              </w:rPr>
              <w:t>不允许</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20" w:hRule="atLeast"/>
          <w:jc w:val="center"/>
        </w:trPr>
        <w:tc>
          <w:tcPr>
            <w:tcW w:w="982" w:type="dxa"/>
            <w:noWrap/>
            <w:vAlign w:val="center"/>
          </w:tcPr>
          <w:p>
            <w:pPr>
              <w:widowControl w:val="0"/>
              <w:jc w:val="center"/>
              <w:rPr>
                <w:rFonts w:ascii="宋体" w:hAnsi="宋体"/>
                <w:kern w:val="2"/>
                <w:szCs w:val="24"/>
              </w:rPr>
            </w:pPr>
            <w:r>
              <w:rPr>
                <w:rFonts w:hint="eastAsia" w:ascii="宋体" w:hAnsi="宋体"/>
                <w:kern w:val="2"/>
                <w:szCs w:val="24"/>
              </w:rPr>
              <w:t>5</w:t>
            </w:r>
          </w:p>
        </w:tc>
        <w:tc>
          <w:tcPr>
            <w:tcW w:w="2160" w:type="dxa"/>
            <w:noWrap/>
            <w:vAlign w:val="center"/>
          </w:tcPr>
          <w:p>
            <w:pPr>
              <w:widowControl w:val="0"/>
              <w:rPr>
                <w:rFonts w:ascii="宋体" w:hAnsi="宋体"/>
                <w:kern w:val="2"/>
                <w:szCs w:val="24"/>
              </w:rPr>
            </w:pPr>
            <w:r>
              <w:rPr>
                <w:rFonts w:hint="eastAsia" w:ascii="宋体" w:hAnsi="宋体"/>
                <w:kern w:val="2"/>
                <w:szCs w:val="24"/>
              </w:rPr>
              <w:t>履约保证金</w:t>
            </w:r>
          </w:p>
        </w:tc>
        <w:tc>
          <w:tcPr>
            <w:tcW w:w="4993" w:type="dxa"/>
            <w:noWrap/>
            <w:vAlign w:val="center"/>
          </w:tcPr>
          <w:p>
            <w:pPr>
              <w:widowControl w:val="0"/>
              <w:rPr>
                <w:rFonts w:ascii="宋体" w:hAnsi="宋体"/>
                <w:kern w:val="2"/>
                <w:szCs w:val="24"/>
              </w:rPr>
            </w:pPr>
            <w:r>
              <w:rPr>
                <w:rFonts w:hint="eastAsia"/>
                <w:kern w:val="2"/>
                <w:szCs w:val="24"/>
              </w:rPr>
              <w:t>无需缴纳</w:t>
            </w:r>
          </w:p>
        </w:tc>
      </w:tr>
    </w:tbl>
    <w:p>
      <w:pPr>
        <w:widowControl w:val="0"/>
        <w:ind w:firstLine="420" w:firstLineChars="200"/>
        <w:rPr>
          <w:b/>
          <w:kern w:val="2"/>
          <w:szCs w:val="24"/>
        </w:rPr>
      </w:pPr>
      <w:r>
        <w:rPr>
          <w:rFonts w:hint="eastAsia"/>
          <w:kern w:val="2"/>
        </w:rPr>
        <w:t>备注：本表为通用条款相关内容的补充和明确，如与通用条款相冲突的以本表为准。</w:t>
      </w:r>
    </w:p>
    <w:p>
      <w:pPr>
        <w:widowControl w:val="0"/>
        <w:rPr>
          <w:b/>
          <w:kern w:val="2"/>
          <w:szCs w:val="24"/>
        </w:rPr>
      </w:pPr>
    </w:p>
    <w:p>
      <w:pPr>
        <w:widowControl w:val="0"/>
        <w:rPr>
          <w:b/>
          <w:kern w:val="2"/>
          <w:szCs w:val="24"/>
        </w:rPr>
      </w:pPr>
    </w:p>
    <w:p>
      <w:pPr>
        <w:widowControl w:val="0"/>
        <w:adjustRightInd w:val="0"/>
        <w:spacing w:beforeLines="50" w:afterLines="50"/>
        <w:jc w:val="center"/>
        <w:textAlignment w:val="baseline"/>
        <w:outlineLvl w:val="1"/>
        <w:rPr>
          <w:rFonts w:ascii="宋体" w:hAnsi="宋体"/>
          <w:b/>
          <w:bCs/>
          <w:sz w:val="28"/>
          <w:szCs w:val="28"/>
        </w:rPr>
      </w:pPr>
      <w:bookmarkStart w:id="280" w:name="_Toc128884461"/>
      <w:r>
        <w:rPr>
          <w:rFonts w:hint="eastAsia" w:ascii="宋体" w:hAnsi="宋体"/>
          <w:b/>
          <w:bCs/>
          <w:sz w:val="28"/>
          <w:szCs w:val="28"/>
        </w:rPr>
        <w:t>二、实质性条款</w:t>
      </w:r>
    </w:p>
    <w:tbl>
      <w:tblPr>
        <w:tblStyle w:val="32"/>
        <w:tblW w:w="8188" w:type="dxa"/>
        <w:tblInd w:w="72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5"/>
        <w:gridCol w:w="74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noWrap/>
          </w:tcPr>
          <w:p>
            <w:pPr>
              <w:widowControl w:val="0"/>
              <w:adjustRightInd w:val="0"/>
              <w:snapToGrid w:val="0"/>
              <w:spacing w:line="360" w:lineRule="auto"/>
              <w:rPr>
                <w:rFonts w:ascii="宋体" w:hAnsi="宋体"/>
              </w:rPr>
            </w:pPr>
            <w:r>
              <w:rPr>
                <w:rFonts w:hint="eastAsia" w:ascii="宋体" w:hAnsi="宋体"/>
              </w:rPr>
              <w:t>序号</w:t>
            </w:r>
          </w:p>
        </w:tc>
        <w:tc>
          <w:tcPr>
            <w:tcW w:w="7483" w:type="dxa"/>
            <w:noWrap/>
          </w:tcPr>
          <w:p>
            <w:pPr>
              <w:widowControl w:val="0"/>
              <w:adjustRightInd w:val="0"/>
              <w:snapToGrid w:val="0"/>
              <w:spacing w:line="360" w:lineRule="auto"/>
              <w:rPr>
                <w:rFonts w:ascii="宋体" w:hAnsi="宋体"/>
              </w:rPr>
            </w:pPr>
            <w:r>
              <w:rPr>
                <w:rFonts w:hint="eastAsia" w:ascii="宋体" w:hAnsi="宋体"/>
              </w:rPr>
              <w:t>具体内容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 w:type="dxa"/>
            <w:noWrap/>
          </w:tcPr>
          <w:p>
            <w:pPr>
              <w:widowControl w:val="0"/>
              <w:adjustRightInd w:val="0"/>
              <w:snapToGrid w:val="0"/>
              <w:spacing w:line="360" w:lineRule="auto"/>
              <w:rPr>
                <w:rFonts w:ascii="宋体" w:hAnsi="宋体"/>
              </w:rPr>
            </w:pPr>
            <w:r>
              <w:rPr>
                <w:rFonts w:hint="eastAsia" w:ascii="宋体" w:hAnsi="宋体"/>
              </w:rPr>
              <w:t>1</w:t>
            </w:r>
          </w:p>
        </w:tc>
        <w:tc>
          <w:tcPr>
            <w:tcW w:w="7483" w:type="dxa"/>
            <w:noWrap/>
          </w:tcPr>
          <w:p>
            <w:pPr>
              <w:widowControl w:val="0"/>
              <w:adjustRightInd w:val="0"/>
              <w:snapToGrid w:val="0"/>
              <w:spacing w:line="360" w:lineRule="auto"/>
              <w:rPr>
                <w:rFonts w:hAnsi="宋体"/>
              </w:rPr>
            </w:pPr>
            <w:r>
              <w:rPr>
                <w:rFonts w:hint="eastAsia"/>
                <w:kern w:val="2"/>
                <w:szCs w:val="24"/>
              </w:rPr>
              <w:t>服务期限：签订合同后一年。本项目为长期服务项目，第一年服务期满前，由采购方依据中标方履约情况确定是否延长合同期限，合同每年一签，但最长不超过三年。</w:t>
            </w:r>
          </w:p>
        </w:tc>
      </w:tr>
    </w:tbl>
    <w:p>
      <w:pPr>
        <w:widowControl w:val="0"/>
        <w:tabs>
          <w:tab w:val="left" w:pos="765"/>
        </w:tabs>
        <w:spacing w:before="280" w:after="290" w:line="377" w:lineRule="auto"/>
        <w:ind w:firstLine="480" w:firstLineChars="200"/>
        <w:outlineLvl w:val="3"/>
        <w:rPr>
          <w:rFonts w:ascii="黑体" w:hAnsi="Arial" w:eastAsia="黑体"/>
          <w:bCs/>
          <w:sz w:val="24"/>
          <w:szCs w:val="24"/>
        </w:rPr>
      </w:pPr>
      <w:r>
        <w:rPr>
          <w:rFonts w:hint="eastAsia" w:ascii="黑体" w:hAnsi="Arial" w:eastAsia="黑体"/>
          <w:bCs/>
          <w:sz w:val="24"/>
          <w:szCs w:val="24"/>
        </w:rPr>
        <w:t>注：上表所列内容为不可负偏离条款</w:t>
      </w:r>
    </w:p>
    <w:bookmarkEnd w:id="280"/>
    <w:p>
      <w:pPr>
        <w:keepNext/>
        <w:keepLines/>
        <w:widowControl w:val="0"/>
        <w:adjustRightInd w:val="0"/>
        <w:spacing w:before="260" w:after="260" w:line="360" w:lineRule="auto"/>
        <w:jc w:val="center"/>
        <w:textAlignment w:val="baseline"/>
        <w:outlineLvl w:val="1"/>
        <w:rPr>
          <w:rFonts w:ascii="宋体" w:hAnsi="宋体"/>
          <w:b/>
          <w:bCs/>
          <w:sz w:val="28"/>
          <w:szCs w:val="28"/>
        </w:rPr>
      </w:pPr>
      <w:r>
        <w:rPr>
          <w:rFonts w:ascii="宋体" w:hAnsi="宋体"/>
          <w:b/>
          <w:bCs/>
          <w:sz w:val="28"/>
          <w:szCs w:val="28"/>
        </w:rPr>
        <w:br w:type="page"/>
      </w:r>
      <w:r>
        <w:rPr>
          <w:rFonts w:hint="eastAsia" w:ascii="宋体" w:hAnsi="宋体"/>
          <w:b/>
          <w:bCs/>
          <w:sz w:val="28"/>
          <w:szCs w:val="28"/>
        </w:rPr>
        <w:t>三、项目背景</w:t>
      </w:r>
    </w:p>
    <w:p>
      <w:pPr>
        <w:keepNext/>
        <w:keepLines/>
        <w:widowControl w:val="0"/>
        <w:adjustRightInd w:val="0"/>
        <w:spacing w:beforeLines="50" w:afterLines="50" w:line="360" w:lineRule="auto"/>
        <w:ind w:firstLine="420" w:firstLineChars="200"/>
        <w:jc w:val="left"/>
        <w:textAlignment w:val="baseline"/>
        <w:outlineLvl w:val="1"/>
        <w:rPr>
          <w:kern w:val="2"/>
          <w:szCs w:val="24"/>
        </w:rPr>
      </w:pPr>
      <w:r>
        <w:rPr>
          <w:rFonts w:hint="eastAsia"/>
          <w:kern w:val="2"/>
          <w:szCs w:val="24"/>
        </w:rPr>
        <w:t>深圳市住房和建设局日常业务点多面广，且与市民日常生活息息相关，极易引发社会各界的关注。为及时了解民生诉求、对各平台涉住建领域的舆情做到早处理、早发现，拟聘请专业的第三方机构对全媒体平台的网络舆情进行监测、收集、整理。</w:t>
      </w:r>
    </w:p>
    <w:p>
      <w:pPr>
        <w:keepNext/>
        <w:keepLines/>
        <w:widowControl w:val="0"/>
        <w:adjustRightInd w:val="0"/>
        <w:spacing w:beforeLines="50" w:afterLines="50" w:line="360" w:lineRule="auto"/>
        <w:jc w:val="center"/>
        <w:textAlignment w:val="baseline"/>
        <w:outlineLvl w:val="1"/>
        <w:rPr>
          <w:rFonts w:ascii="宋体" w:hAnsi="宋体"/>
          <w:b/>
          <w:bCs/>
          <w:sz w:val="28"/>
          <w:szCs w:val="28"/>
        </w:rPr>
      </w:pPr>
      <w:r>
        <w:rPr>
          <w:rFonts w:hint="eastAsia" w:ascii="宋体" w:hAnsi="宋体"/>
          <w:b/>
          <w:bCs/>
          <w:sz w:val="28"/>
          <w:szCs w:val="28"/>
        </w:rPr>
        <w:t>四、项目技术要求</w:t>
      </w:r>
    </w:p>
    <w:p>
      <w:pPr>
        <w:widowControl w:val="0"/>
        <w:spacing w:line="360" w:lineRule="auto"/>
        <w:rPr>
          <w:kern w:val="2"/>
          <w:szCs w:val="24"/>
        </w:rPr>
      </w:pPr>
      <w:r>
        <w:rPr>
          <w:rFonts w:hint="eastAsia"/>
          <w:kern w:val="2"/>
          <w:szCs w:val="24"/>
        </w:rPr>
        <w:t>（一）舆情监测服务</w:t>
      </w:r>
    </w:p>
    <w:p>
      <w:pPr>
        <w:widowControl w:val="0"/>
        <w:spacing w:line="360" w:lineRule="auto"/>
        <w:ind w:firstLine="420" w:firstLineChars="200"/>
        <w:rPr>
          <w:rFonts w:ascii="宋体" w:hAnsi="宋体" w:cs="宋体"/>
        </w:rPr>
      </w:pPr>
      <w:r>
        <w:rPr>
          <w:rFonts w:hint="eastAsia" w:ascii="宋体" w:hAnsi="宋体" w:cs="宋体"/>
        </w:rPr>
        <w:t>通过“系统+人工”的模式，对全网信息（门户网站、微博、微信、新闻APP、论坛、贴吧、报纸等）进行全面采集并实时监测，提取和汇总全网与己关联的数据信息，并且以最直观的方式显示出来，助力采购人快速处置突发舆情。</w:t>
      </w:r>
    </w:p>
    <w:p>
      <w:pPr>
        <w:widowControl w:val="0"/>
        <w:spacing w:line="360" w:lineRule="auto"/>
        <w:rPr>
          <w:kern w:val="2"/>
          <w:szCs w:val="24"/>
        </w:rPr>
      </w:pPr>
      <w:r>
        <w:rPr>
          <w:rFonts w:hint="eastAsia"/>
          <w:kern w:val="2"/>
          <w:szCs w:val="24"/>
        </w:rPr>
        <w:t>（二）敏感舆情监测及时预警</w:t>
      </w:r>
    </w:p>
    <w:p>
      <w:pPr>
        <w:widowControl w:val="0"/>
        <w:spacing w:line="360" w:lineRule="auto"/>
        <w:ind w:firstLine="420" w:firstLineChars="200"/>
        <w:rPr>
          <w:kern w:val="2"/>
          <w:szCs w:val="24"/>
        </w:rPr>
      </w:pPr>
      <w:r>
        <w:rPr>
          <w:rFonts w:hint="eastAsia"/>
          <w:kern w:val="2"/>
          <w:szCs w:val="24"/>
        </w:rPr>
        <w:t>对于在网上传播的涉深圳市住建局负面、敏感等重要舆情信息，识别、过滤重复相似信息，并通过微信、短信等多样化的方式进行告警通知。</w:t>
      </w:r>
    </w:p>
    <w:p>
      <w:pPr>
        <w:widowControl w:val="0"/>
        <w:spacing w:line="360" w:lineRule="auto"/>
        <w:rPr>
          <w:kern w:val="2"/>
          <w:szCs w:val="24"/>
        </w:rPr>
      </w:pPr>
      <w:r>
        <w:rPr>
          <w:rFonts w:hint="eastAsia"/>
          <w:kern w:val="2"/>
          <w:szCs w:val="24"/>
        </w:rPr>
        <w:t>（三）及时提供舆情分析报告材料</w:t>
      </w:r>
    </w:p>
    <w:p>
      <w:pPr>
        <w:widowControl w:val="0"/>
        <w:spacing w:line="360" w:lineRule="auto"/>
        <w:ind w:firstLine="420" w:firstLineChars="200"/>
        <w:rPr>
          <w:kern w:val="2"/>
          <w:szCs w:val="24"/>
        </w:rPr>
      </w:pPr>
      <w:r>
        <w:rPr>
          <w:rFonts w:hint="eastAsia"/>
          <w:kern w:val="2"/>
          <w:szCs w:val="24"/>
        </w:rPr>
        <w:t>A. 基于全面的区域舆情信息监测，针对存在潜在风险的舆情事件（未热将热）围绕网络传播态势，以快报、简报、专报的方式启动持续跟踪，确保存在风险的事件能够时刻感知。</w:t>
      </w:r>
    </w:p>
    <w:p>
      <w:pPr>
        <w:widowControl w:val="0"/>
        <w:spacing w:line="360" w:lineRule="auto"/>
        <w:ind w:firstLine="420" w:firstLineChars="200"/>
        <w:rPr>
          <w:kern w:val="2"/>
          <w:szCs w:val="24"/>
        </w:rPr>
      </w:pPr>
      <w:r>
        <w:rPr>
          <w:rFonts w:hint="eastAsia"/>
          <w:kern w:val="2"/>
          <w:szCs w:val="24"/>
        </w:rPr>
        <w:t>B. 周期性对涉本单位舆情进行分析，分析舆情传播过程中的声量、网民/媒体、影响地域、传播趋势，分析过程中的数据形成分析报告及信息图表。为采购人提供支撑性的素材，方便采购人对舆情信息的整理，以及为舆情工作的解决提供决策参考依据。</w:t>
      </w:r>
    </w:p>
    <w:p>
      <w:pPr>
        <w:widowControl w:val="0"/>
        <w:spacing w:line="360" w:lineRule="auto"/>
        <w:rPr>
          <w:kern w:val="2"/>
          <w:szCs w:val="24"/>
        </w:rPr>
      </w:pPr>
      <w:r>
        <w:rPr>
          <w:rFonts w:hint="eastAsia"/>
          <w:kern w:val="2"/>
          <w:szCs w:val="24"/>
        </w:rPr>
        <w:t>（四）舆情风险研判与处置应对</w:t>
      </w:r>
    </w:p>
    <w:p>
      <w:pPr>
        <w:widowControl w:val="0"/>
        <w:spacing w:line="360" w:lineRule="auto"/>
        <w:ind w:firstLine="420" w:firstLineChars="200"/>
        <w:rPr>
          <w:kern w:val="2"/>
          <w:szCs w:val="24"/>
        </w:rPr>
      </w:pPr>
      <w:r>
        <w:rPr>
          <w:rFonts w:hint="eastAsia"/>
          <w:kern w:val="2"/>
          <w:szCs w:val="24"/>
        </w:rPr>
        <w:t>舆情事件发生后，通过快速梳理互联网的信息量、热门话题、媒体报道方向与网民关注重点等传播要素，判断风险等级。根据《舆情分级与分类管理办法》，针对重大及以上舆情，安排舆情分析师全程统筹、参与，实时与客户交流互动并调动公司一切力量，为客户提供数据、分析、建议、手段等多方面工作支撑。</w:t>
      </w:r>
    </w:p>
    <w:p>
      <w:pPr>
        <w:widowControl w:val="0"/>
        <w:spacing w:line="360" w:lineRule="auto"/>
        <w:rPr>
          <w:kern w:val="2"/>
          <w:szCs w:val="24"/>
        </w:rPr>
      </w:pPr>
      <w:r>
        <w:rPr>
          <w:rFonts w:hint="eastAsia"/>
          <w:kern w:val="2"/>
          <w:szCs w:val="24"/>
        </w:rPr>
        <w:t>（五）前沿动态汇编服务</w:t>
      </w:r>
    </w:p>
    <w:p>
      <w:pPr>
        <w:spacing w:line="360" w:lineRule="auto"/>
        <w:ind w:firstLine="420" w:firstLineChars="200"/>
        <w:jc w:val="left"/>
        <w:rPr>
          <w:rFonts w:ascii="宋体" w:hAnsi="宋体"/>
          <w:kern w:val="2"/>
        </w:rPr>
      </w:pPr>
      <w:r>
        <w:rPr>
          <w:rFonts w:hint="eastAsia"/>
          <w:kern w:val="2"/>
          <w:szCs w:val="24"/>
        </w:rPr>
        <w:t>搜集整合全国及各省市重点城市有关住房和建设局的相关法律法规、经验做法、优秀举措、政策措施等，并重点标注要点内容，形成汇总报告，为住房和建设局相关单位提供参考借鉴。</w:t>
      </w:r>
    </w:p>
    <w:p>
      <w:pPr>
        <w:spacing w:line="360" w:lineRule="auto"/>
        <w:jc w:val="center"/>
        <w:rPr>
          <w:rFonts w:ascii="宋体" w:hAnsi="宋体"/>
          <w:b/>
          <w:bCs/>
          <w:sz w:val="28"/>
          <w:szCs w:val="28"/>
        </w:rPr>
      </w:pPr>
    </w:p>
    <w:p>
      <w:pPr>
        <w:spacing w:line="360" w:lineRule="auto"/>
        <w:jc w:val="center"/>
        <w:rPr>
          <w:rFonts w:ascii="宋体" w:hAnsi="宋体"/>
          <w:b/>
          <w:bCs/>
          <w:sz w:val="28"/>
          <w:szCs w:val="28"/>
        </w:rPr>
      </w:pPr>
      <w:r>
        <w:rPr>
          <w:rFonts w:hint="eastAsia" w:ascii="宋体" w:hAnsi="宋体"/>
          <w:b/>
          <w:bCs/>
          <w:sz w:val="28"/>
          <w:szCs w:val="28"/>
        </w:rPr>
        <w:t>五、项目商务要求</w:t>
      </w:r>
    </w:p>
    <w:p>
      <w:pPr>
        <w:widowControl w:val="0"/>
        <w:spacing w:line="360" w:lineRule="auto"/>
        <w:rPr>
          <w:kern w:val="2"/>
          <w:szCs w:val="24"/>
        </w:rPr>
      </w:pPr>
      <w:r>
        <w:rPr>
          <w:rFonts w:hint="eastAsia"/>
          <w:kern w:val="2"/>
          <w:szCs w:val="24"/>
        </w:rPr>
        <w:t>（一）项目要求：投标方不得将项目转包、分包。</w:t>
      </w:r>
    </w:p>
    <w:p>
      <w:pPr>
        <w:widowControl w:val="0"/>
        <w:spacing w:line="360" w:lineRule="auto"/>
        <w:rPr>
          <w:kern w:val="2"/>
          <w:szCs w:val="24"/>
        </w:rPr>
      </w:pPr>
      <w:r>
        <w:rPr>
          <w:rFonts w:hint="eastAsia"/>
          <w:kern w:val="2"/>
          <w:szCs w:val="24"/>
        </w:rPr>
        <w:t>（二）服务期限：签订合同后一年。本项目为长期服务项目，第一年服务期满前，由采购方依据中标方履约情况确定是否延长合同期限，合同每年一签，但最长不超过三年。</w:t>
      </w:r>
    </w:p>
    <w:p>
      <w:pPr>
        <w:widowControl w:val="0"/>
        <w:spacing w:line="360" w:lineRule="auto"/>
        <w:jc w:val="left"/>
        <w:rPr>
          <w:rFonts w:ascii="仿宋" w:hAnsi="仿宋" w:eastAsia="仿宋" w:cs="宋体"/>
          <w:kern w:val="2"/>
          <w:sz w:val="28"/>
          <w:szCs w:val="28"/>
          <w:highlight w:val="yellow"/>
        </w:rPr>
      </w:pPr>
      <w:r>
        <w:rPr>
          <w:rFonts w:hint="eastAsia"/>
          <w:kern w:val="2"/>
          <w:szCs w:val="24"/>
          <w:highlight w:val="yellow"/>
        </w:rPr>
        <w:t>（三）付款方式：项目资金分三期支付。第一期是在项目合同签订后，支付总款的50%，第二期是在服务三个月后进行阶段性验收，验收合格后支付总款的30％，第三期是在合同规定的服务有效期满后，对服务期内提供的服务进行验收符合合同规定情况下，支付总款的20%。</w:t>
      </w:r>
    </w:p>
    <w:p>
      <w:pPr>
        <w:spacing w:line="360" w:lineRule="auto"/>
        <w:ind w:left="40" w:right="40"/>
        <w:jc w:val="left"/>
        <w:rPr>
          <w:rFonts w:cs="宋体"/>
        </w:rPr>
      </w:pPr>
      <w:r>
        <w:rPr>
          <w:rFonts w:hint="eastAsia" w:cs="宋体"/>
        </w:rPr>
        <w:t>　　　　　　　　　　　　</w:t>
      </w:r>
    </w:p>
    <w:p>
      <w:pPr>
        <w:jc w:val="left"/>
        <w:rPr>
          <w:rFonts w:cs="宋体"/>
        </w:rPr>
      </w:pPr>
      <w:r>
        <w:rPr>
          <w:rFonts w:cs="宋体"/>
        </w:rPr>
        <w:br w:type="page"/>
      </w:r>
    </w:p>
    <w:p>
      <w:pPr>
        <w:spacing w:line="360" w:lineRule="auto"/>
        <w:ind w:left="40" w:right="40"/>
        <w:jc w:val="center"/>
        <w:rPr>
          <w:rFonts w:eastAsia="黑体"/>
          <w:b/>
          <w:bCs/>
          <w:sz w:val="44"/>
          <w:szCs w:val="44"/>
        </w:rPr>
      </w:pPr>
      <w:r>
        <w:rPr>
          <w:rFonts w:hint="eastAsia" w:eastAsia="黑体" w:cs="黑体"/>
          <w:b/>
          <w:bCs/>
          <w:sz w:val="44"/>
          <w:szCs w:val="44"/>
        </w:rPr>
        <w:t>第三部分格式及附件</w:t>
      </w:r>
    </w:p>
    <w:p>
      <w:pPr>
        <w:widowControl w:val="0"/>
        <w:spacing w:line="360" w:lineRule="auto"/>
        <w:jc w:val="center"/>
        <w:rPr>
          <w:rFonts w:ascii="Calibri" w:hAnsi="Calibri"/>
          <w:kern w:val="2"/>
          <w:szCs w:val="24"/>
        </w:rPr>
      </w:pPr>
      <w:bookmarkStart w:id="281" w:name="合同协议书"/>
      <w:r>
        <w:rPr>
          <w:rFonts w:hint="eastAsia" w:ascii="Calibri" w:hAnsi="Calibri"/>
          <w:b/>
          <w:kern w:val="2"/>
          <w:sz w:val="24"/>
          <w:szCs w:val="24"/>
        </w:rPr>
        <w:t>（仅供参考，项目具体要求以招标项目需求为准）</w:t>
      </w:r>
    </w:p>
    <w:p>
      <w:pPr>
        <w:widowControl w:val="0"/>
        <w:spacing w:line="360" w:lineRule="auto"/>
        <w:rPr>
          <w:rFonts w:ascii="宋体" w:hAnsi="宋体"/>
          <w:b/>
          <w:bCs/>
          <w:kern w:val="2"/>
        </w:rPr>
      </w:pPr>
      <w:r>
        <w:rPr>
          <w:rFonts w:hint="eastAsia" w:ascii="宋体" w:hAnsi="宋体"/>
          <w:b/>
          <w:bCs/>
          <w:kern w:val="2"/>
        </w:rPr>
        <w:t>甲方：</w:t>
      </w:r>
    </w:p>
    <w:p>
      <w:pPr>
        <w:widowControl w:val="0"/>
        <w:spacing w:line="360" w:lineRule="auto"/>
        <w:rPr>
          <w:rFonts w:ascii="宋体" w:hAnsi="宋体"/>
          <w:b/>
          <w:bCs/>
          <w:kern w:val="2"/>
        </w:rPr>
      </w:pPr>
      <w:r>
        <w:rPr>
          <w:rFonts w:hint="eastAsia" w:ascii="宋体" w:hAnsi="宋体"/>
          <w:b/>
          <w:bCs/>
          <w:kern w:val="2"/>
        </w:rPr>
        <w:t>乙方：</w:t>
      </w:r>
    </w:p>
    <w:p>
      <w:pPr>
        <w:widowControl w:val="0"/>
        <w:spacing w:line="360" w:lineRule="auto"/>
        <w:rPr>
          <w:rFonts w:ascii="宋体" w:hAnsi="宋体"/>
          <w:kern w:val="2"/>
        </w:rPr>
      </w:pPr>
    </w:p>
    <w:p>
      <w:pPr>
        <w:widowControl w:val="0"/>
        <w:spacing w:line="360" w:lineRule="auto"/>
        <w:rPr>
          <w:rFonts w:ascii="宋体" w:hAnsi="宋体"/>
          <w:kern w:val="2"/>
        </w:rPr>
      </w:pPr>
    </w:p>
    <w:p>
      <w:pPr>
        <w:widowControl w:val="0"/>
        <w:spacing w:line="360" w:lineRule="auto"/>
        <w:ind w:firstLine="420" w:firstLineChars="200"/>
        <w:rPr>
          <w:rFonts w:ascii="宋体" w:hAnsi="宋体"/>
          <w:kern w:val="2"/>
        </w:rPr>
      </w:pPr>
      <w:r>
        <w:rPr>
          <w:rFonts w:hint="eastAsia" w:ascii="宋体" w:hAnsi="宋体"/>
          <w:kern w:val="2"/>
        </w:rPr>
        <w:t>根据深圳市建星项目管理顾问有限公司号招标项目的投标结果，由单位为中标方。按照《中华人民共和国经济合同法》和《深圳经济特区政府采购条例》，经深圳市（以下简称甲方）和单位（以下简称乙方）协商，就甲方委托乙方承担</w:t>
      </w:r>
      <w:r>
        <w:rPr>
          <w:rFonts w:hint="eastAsia" w:ascii="宋体" w:hAnsi="宋体"/>
          <w:b/>
          <w:bCs/>
          <w:snapToGrid w:val="0"/>
          <w:u w:val="single"/>
          <w:lang w:val="zh-CN"/>
        </w:rPr>
        <w:t xml:space="preserve">                      服务项目</w:t>
      </w:r>
      <w:r>
        <w:rPr>
          <w:rFonts w:hint="eastAsia" w:ascii="宋体" w:hAnsi="宋体"/>
          <w:kern w:val="2"/>
        </w:rPr>
        <w:t>，达成以下合同条款：</w:t>
      </w:r>
    </w:p>
    <w:p>
      <w:pPr>
        <w:widowControl w:val="0"/>
        <w:spacing w:line="360" w:lineRule="auto"/>
        <w:ind w:firstLine="421" w:firstLineChars="200"/>
        <w:rPr>
          <w:rFonts w:ascii="宋体" w:hAnsi="宋体"/>
          <w:b/>
          <w:bCs/>
          <w:kern w:val="2"/>
        </w:rPr>
      </w:pPr>
      <w:r>
        <w:rPr>
          <w:rFonts w:hint="eastAsia" w:ascii="宋体" w:hAnsi="宋体"/>
          <w:b/>
          <w:bCs/>
          <w:kern w:val="2"/>
        </w:rPr>
        <w:t>第一条　项目概况</w:t>
      </w:r>
    </w:p>
    <w:p>
      <w:pPr>
        <w:widowControl w:val="0"/>
        <w:spacing w:line="360" w:lineRule="auto"/>
        <w:ind w:firstLine="420" w:firstLineChars="200"/>
        <w:rPr>
          <w:rFonts w:ascii="宋体" w:hAnsi="宋体"/>
          <w:kern w:val="2"/>
        </w:rPr>
      </w:pPr>
      <w:r>
        <w:rPr>
          <w:rFonts w:hint="eastAsia" w:ascii="宋体" w:hAnsi="宋体"/>
          <w:kern w:val="2"/>
        </w:rPr>
        <w:t xml:space="preserve">项目名称： </w:t>
      </w:r>
    </w:p>
    <w:p>
      <w:pPr>
        <w:widowControl w:val="0"/>
        <w:spacing w:line="360" w:lineRule="auto"/>
        <w:ind w:firstLine="420" w:firstLineChars="200"/>
        <w:rPr>
          <w:rFonts w:ascii="宋体" w:hAnsi="宋体"/>
          <w:kern w:val="2"/>
        </w:rPr>
      </w:pPr>
      <w:r>
        <w:rPr>
          <w:rFonts w:hint="eastAsia" w:ascii="宋体" w:hAnsi="宋体"/>
          <w:kern w:val="2"/>
        </w:rPr>
        <w:t xml:space="preserve">项目内容： </w:t>
      </w:r>
    </w:p>
    <w:p>
      <w:pPr>
        <w:widowControl w:val="0"/>
        <w:spacing w:line="360" w:lineRule="auto"/>
        <w:ind w:firstLine="420" w:firstLineChars="200"/>
        <w:rPr>
          <w:rFonts w:ascii="宋体" w:hAnsi="宋体"/>
          <w:kern w:val="2"/>
        </w:rPr>
      </w:pPr>
      <w:r>
        <w:rPr>
          <w:rFonts w:hint="eastAsia" w:ascii="宋体" w:hAnsi="宋体"/>
          <w:kern w:val="2"/>
        </w:rPr>
        <w:t xml:space="preserve">服务时间： </w:t>
      </w:r>
    </w:p>
    <w:p>
      <w:pPr>
        <w:widowControl w:val="0"/>
        <w:spacing w:line="360" w:lineRule="auto"/>
        <w:ind w:firstLine="420" w:firstLineChars="200"/>
        <w:rPr>
          <w:rFonts w:ascii="宋体" w:hAnsi="宋体"/>
          <w:kern w:val="2"/>
        </w:rPr>
      </w:pPr>
      <w:r>
        <w:rPr>
          <w:rFonts w:hint="eastAsia" w:ascii="宋体" w:hAnsi="宋体"/>
          <w:kern w:val="2"/>
        </w:rPr>
        <w:t>合同价款：合同总价为元，含一切税、费。</w:t>
      </w:r>
      <w:r>
        <w:rPr>
          <w:rFonts w:ascii="Calibri" w:hAnsi="Calibri"/>
          <w:kern w:val="2"/>
          <w:szCs w:val="24"/>
        </w:rPr>
        <w:t>本合同总价包括</w:t>
      </w:r>
      <w:r>
        <w:rPr>
          <w:rFonts w:hint="eastAsia" w:ascii="宋体" w:hAnsi="宋体"/>
          <w:kern w:val="2"/>
        </w:rPr>
        <w:t>乙方为实施本项目荷载试验所需的设备仪器费、车辆租赁费、</w:t>
      </w:r>
      <w:r>
        <w:rPr>
          <w:rFonts w:ascii="Calibri" w:hAnsi="Calibri"/>
          <w:kern w:val="2"/>
          <w:szCs w:val="24"/>
        </w:rPr>
        <w:t>服务</w:t>
      </w:r>
      <w:r>
        <w:rPr>
          <w:rFonts w:hint="eastAsia" w:ascii="Calibri" w:hAnsi="Calibri"/>
          <w:kern w:val="2"/>
          <w:szCs w:val="24"/>
        </w:rPr>
        <w:t>和</w:t>
      </w:r>
      <w:r>
        <w:rPr>
          <w:rFonts w:ascii="Calibri" w:hAnsi="Calibri"/>
          <w:kern w:val="2"/>
          <w:szCs w:val="24"/>
        </w:rPr>
        <w:t>技术费用</w:t>
      </w:r>
      <w:r>
        <w:rPr>
          <w:rFonts w:hint="eastAsia" w:ascii="Calibri" w:hAnsi="Calibri"/>
          <w:kern w:val="2"/>
          <w:szCs w:val="24"/>
        </w:rPr>
        <w:t>等</w:t>
      </w:r>
      <w:r>
        <w:rPr>
          <w:rFonts w:ascii="Calibri" w:hAnsi="Calibri"/>
          <w:kern w:val="2"/>
          <w:szCs w:val="24"/>
        </w:rPr>
        <w:t>，为固定不变价格，且不随通货膨胀的影响而波动。合同总价包括</w:t>
      </w:r>
      <w:r>
        <w:rPr>
          <w:rFonts w:hint="eastAsia" w:ascii="宋体" w:hAnsi="宋体"/>
          <w:kern w:val="2"/>
        </w:rPr>
        <w:t>乙方</w:t>
      </w:r>
      <w:r>
        <w:rPr>
          <w:rFonts w:ascii="Calibri" w:hAnsi="Calibri"/>
          <w:kern w:val="2"/>
          <w:szCs w:val="24"/>
        </w:rPr>
        <w:t>履行本合同义务所发生的一切费用和支出和以各种方式寄送技术资料到</w:t>
      </w:r>
      <w:r>
        <w:rPr>
          <w:rFonts w:hint="eastAsia" w:ascii="Calibri" w:hAnsi="Calibri"/>
          <w:kern w:val="2"/>
          <w:szCs w:val="24"/>
        </w:rPr>
        <w:t>甲</w:t>
      </w:r>
      <w:r>
        <w:rPr>
          <w:rFonts w:ascii="Calibri" w:hAnsi="Calibri"/>
          <w:kern w:val="2"/>
          <w:szCs w:val="24"/>
        </w:rPr>
        <w:t>方办公室所发生的费用。如发生本合同规定的不可抗力，合同总价可经双方友好协商予以调整。</w:t>
      </w:r>
    </w:p>
    <w:p>
      <w:pPr>
        <w:widowControl w:val="0"/>
        <w:spacing w:line="360" w:lineRule="auto"/>
        <w:ind w:firstLine="420" w:firstLineChars="200"/>
        <w:rPr>
          <w:rFonts w:ascii="宋体" w:hAnsi="宋体"/>
          <w:kern w:val="2"/>
        </w:rPr>
      </w:pPr>
      <w:r>
        <w:rPr>
          <w:rFonts w:hint="eastAsia" w:ascii="宋体" w:hAnsi="宋体"/>
          <w:kern w:val="2"/>
        </w:rPr>
        <w:t>支付方式：分期支付。</w:t>
      </w:r>
    </w:p>
    <w:p>
      <w:pPr>
        <w:widowControl w:val="0"/>
        <w:spacing w:line="360" w:lineRule="auto"/>
        <w:ind w:firstLine="421" w:firstLineChars="200"/>
        <w:rPr>
          <w:rFonts w:ascii="宋体" w:hAnsi="宋体"/>
          <w:b/>
          <w:bCs/>
          <w:kern w:val="2"/>
        </w:rPr>
      </w:pPr>
      <w:r>
        <w:rPr>
          <w:rFonts w:hint="eastAsia" w:ascii="宋体" w:hAnsi="宋体"/>
          <w:b/>
          <w:bCs/>
          <w:kern w:val="2"/>
        </w:rPr>
        <w:t>第二条  服务范围</w:t>
      </w:r>
    </w:p>
    <w:p>
      <w:pPr>
        <w:widowControl w:val="0"/>
        <w:spacing w:line="360" w:lineRule="auto"/>
        <w:ind w:firstLine="420" w:firstLineChars="200"/>
        <w:rPr>
          <w:rFonts w:ascii="宋体" w:hAnsi="宋体"/>
          <w:kern w:val="2"/>
        </w:rPr>
      </w:pPr>
      <w:r>
        <w:rPr>
          <w:rFonts w:hint="eastAsia" w:ascii="宋体" w:hAnsi="宋体"/>
          <w:kern w:val="2"/>
        </w:rPr>
        <w:t xml:space="preserve">1、  </w:t>
      </w:r>
    </w:p>
    <w:p>
      <w:pPr>
        <w:widowControl w:val="0"/>
        <w:spacing w:line="360" w:lineRule="auto"/>
        <w:ind w:firstLine="420" w:firstLineChars="200"/>
        <w:rPr>
          <w:rFonts w:ascii="宋体" w:hAnsi="宋体"/>
          <w:kern w:val="2"/>
        </w:rPr>
      </w:pPr>
      <w:r>
        <w:rPr>
          <w:rFonts w:hint="eastAsia" w:ascii="宋体" w:hAnsi="宋体"/>
          <w:kern w:val="2"/>
        </w:rPr>
        <w:t xml:space="preserve">2、  </w:t>
      </w:r>
    </w:p>
    <w:p>
      <w:pPr>
        <w:widowControl w:val="0"/>
        <w:spacing w:line="360" w:lineRule="auto"/>
        <w:ind w:firstLine="420" w:firstLineChars="200"/>
        <w:rPr>
          <w:rFonts w:ascii="宋体" w:hAnsi="宋体"/>
          <w:kern w:val="2"/>
        </w:rPr>
      </w:pPr>
      <w:r>
        <w:rPr>
          <w:rFonts w:hint="eastAsia" w:ascii="宋体" w:hAnsi="宋体"/>
          <w:kern w:val="2"/>
        </w:rPr>
        <w:t xml:space="preserve">3、  </w:t>
      </w:r>
    </w:p>
    <w:p>
      <w:pPr>
        <w:widowControl w:val="0"/>
        <w:spacing w:line="360" w:lineRule="auto"/>
        <w:ind w:firstLine="420" w:firstLineChars="200"/>
        <w:rPr>
          <w:rFonts w:ascii="宋体" w:hAnsi="宋体"/>
          <w:kern w:val="2"/>
        </w:rPr>
      </w:pPr>
      <w:r>
        <w:rPr>
          <w:rFonts w:hint="eastAsia" w:ascii="宋体" w:hAnsi="宋体"/>
          <w:kern w:val="2"/>
        </w:rPr>
        <w:t>4、 其他合同未明示的相关工作。</w:t>
      </w:r>
    </w:p>
    <w:p>
      <w:pPr>
        <w:widowControl w:val="0"/>
        <w:spacing w:line="360" w:lineRule="auto"/>
        <w:ind w:firstLine="421" w:firstLineChars="200"/>
        <w:rPr>
          <w:rFonts w:ascii="宋体" w:hAnsi="宋体"/>
          <w:b/>
          <w:bCs/>
          <w:kern w:val="2"/>
        </w:rPr>
      </w:pPr>
      <w:r>
        <w:rPr>
          <w:rFonts w:hint="eastAsia" w:ascii="宋体" w:hAnsi="宋体"/>
          <w:b/>
          <w:bCs/>
          <w:kern w:val="2"/>
        </w:rPr>
        <w:t>第三条  时间要求及阶段成果</w:t>
      </w:r>
    </w:p>
    <w:p>
      <w:pPr>
        <w:widowControl w:val="0"/>
        <w:spacing w:line="360" w:lineRule="auto"/>
        <w:ind w:firstLine="420" w:firstLineChars="200"/>
        <w:rPr>
          <w:rFonts w:ascii="宋体" w:hAnsi="宋体"/>
          <w:kern w:val="2"/>
        </w:rPr>
      </w:pPr>
      <w:r>
        <w:rPr>
          <w:rFonts w:hint="eastAsia" w:ascii="宋体" w:hAnsi="宋体"/>
          <w:kern w:val="2"/>
        </w:rPr>
        <w:t>1、合同签订天内完成项目实施的准备工作，包括工作大纲和试验细则的编制；</w:t>
      </w:r>
    </w:p>
    <w:p>
      <w:pPr>
        <w:widowControl w:val="0"/>
        <w:spacing w:line="360" w:lineRule="auto"/>
        <w:ind w:firstLine="420" w:firstLineChars="200"/>
        <w:rPr>
          <w:rFonts w:ascii="宋体" w:hAnsi="宋体"/>
          <w:kern w:val="2"/>
        </w:rPr>
      </w:pPr>
      <w:r>
        <w:rPr>
          <w:rFonts w:hint="eastAsia" w:ascii="宋体" w:hAnsi="宋体"/>
          <w:kern w:val="2"/>
        </w:rPr>
        <w:t xml:space="preserve">2、 </w:t>
      </w:r>
    </w:p>
    <w:p>
      <w:pPr>
        <w:widowControl w:val="0"/>
        <w:spacing w:line="360" w:lineRule="auto"/>
        <w:ind w:firstLine="420" w:firstLineChars="200"/>
        <w:rPr>
          <w:rFonts w:ascii="宋体" w:hAnsi="宋体"/>
          <w:kern w:val="2"/>
        </w:rPr>
      </w:pPr>
      <w:r>
        <w:rPr>
          <w:rFonts w:hint="eastAsia" w:ascii="宋体" w:hAnsi="宋体"/>
          <w:kern w:val="2"/>
        </w:rPr>
        <w:t>3、</w:t>
      </w:r>
    </w:p>
    <w:p>
      <w:pPr>
        <w:widowControl w:val="0"/>
        <w:spacing w:line="360" w:lineRule="auto"/>
        <w:ind w:firstLine="420" w:firstLineChars="200"/>
        <w:rPr>
          <w:rFonts w:ascii="宋体" w:hAnsi="宋体"/>
          <w:kern w:val="2"/>
        </w:rPr>
      </w:pPr>
      <w:r>
        <w:rPr>
          <w:rFonts w:hint="eastAsia" w:ascii="宋体" w:hAnsi="宋体"/>
          <w:kern w:val="2"/>
        </w:rPr>
        <w:t>4、</w:t>
      </w:r>
    </w:p>
    <w:p>
      <w:pPr>
        <w:widowControl w:val="0"/>
        <w:spacing w:line="360" w:lineRule="auto"/>
        <w:ind w:firstLine="421" w:firstLineChars="200"/>
        <w:rPr>
          <w:rFonts w:ascii="宋体" w:hAnsi="宋体"/>
          <w:b/>
          <w:bCs/>
          <w:kern w:val="2"/>
        </w:rPr>
      </w:pPr>
      <w:r>
        <w:rPr>
          <w:rFonts w:hint="eastAsia" w:ascii="宋体" w:hAnsi="宋体"/>
          <w:b/>
          <w:bCs/>
          <w:kern w:val="2"/>
        </w:rPr>
        <w:t>第四条  咨询服务资料归属</w:t>
      </w:r>
    </w:p>
    <w:p>
      <w:pPr>
        <w:widowControl w:val="0"/>
        <w:spacing w:line="360" w:lineRule="auto"/>
        <w:ind w:firstLine="420" w:firstLineChars="200"/>
        <w:rPr>
          <w:rFonts w:ascii="Calibri" w:hAnsi="Calibri"/>
          <w:kern w:val="2"/>
          <w:szCs w:val="24"/>
        </w:rPr>
      </w:pPr>
      <w:r>
        <w:rPr>
          <w:rFonts w:ascii="Calibri" w:hAnsi="Calibri"/>
          <w:kern w:val="2"/>
          <w:szCs w:val="24"/>
        </w:rPr>
        <w:t>1</w:t>
      </w:r>
      <w:r>
        <w:rPr>
          <w:rFonts w:hint="eastAsia" w:ascii="Calibri" w:hAnsi="Calibri"/>
          <w:kern w:val="2"/>
          <w:szCs w:val="24"/>
        </w:rPr>
        <w:t>、</w:t>
      </w:r>
      <w:r>
        <w:rPr>
          <w:rFonts w:ascii="Calibri" w:hAnsi="Calibri"/>
          <w:kern w:val="2"/>
          <w:szCs w:val="24"/>
        </w:rPr>
        <w:t>所有提交给</w:t>
      </w:r>
      <w:r>
        <w:rPr>
          <w:rFonts w:hint="eastAsia" w:ascii="Calibri" w:hAnsi="Calibri"/>
          <w:kern w:val="2"/>
          <w:szCs w:val="24"/>
        </w:rPr>
        <w:t>甲</w:t>
      </w:r>
      <w:r>
        <w:rPr>
          <w:rFonts w:ascii="Calibri" w:hAnsi="Calibri"/>
          <w:kern w:val="2"/>
          <w:szCs w:val="24"/>
        </w:rPr>
        <w:t>方的咨询服务</w:t>
      </w:r>
      <w:r>
        <w:rPr>
          <w:rFonts w:hint="eastAsia" w:ascii="Calibri" w:hAnsi="Calibri"/>
          <w:kern w:val="2"/>
          <w:szCs w:val="24"/>
        </w:rPr>
        <w:t>文件</w:t>
      </w:r>
      <w:r>
        <w:rPr>
          <w:rFonts w:ascii="Calibri" w:hAnsi="Calibri"/>
          <w:kern w:val="2"/>
          <w:szCs w:val="24"/>
        </w:rPr>
        <w:t>及相关的资料的最后文本，包括为履行技术咨询服务范围所编制的图纸、计划和证明资料等，都属于</w:t>
      </w:r>
      <w:r>
        <w:rPr>
          <w:rFonts w:hint="eastAsia" w:ascii="Calibri" w:hAnsi="Calibri"/>
          <w:kern w:val="2"/>
          <w:szCs w:val="24"/>
        </w:rPr>
        <w:t>甲</w:t>
      </w:r>
      <w:r>
        <w:rPr>
          <w:rFonts w:ascii="Calibri" w:hAnsi="Calibri"/>
          <w:kern w:val="2"/>
          <w:szCs w:val="24"/>
        </w:rPr>
        <w:t>方的财产，</w:t>
      </w:r>
      <w:r>
        <w:rPr>
          <w:rFonts w:hint="eastAsia" w:ascii="宋体" w:hAnsi="宋体"/>
          <w:kern w:val="2"/>
        </w:rPr>
        <w:t>乙</w:t>
      </w:r>
      <w:r>
        <w:rPr>
          <w:rFonts w:ascii="Calibri" w:hAnsi="Calibri"/>
          <w:kern w:val="2"/>
          <w:szCs w:val="24"/>
        </w:rPr>
        <w:t>方在提交给</w:t>
      </w:r>
      <w:r>
        <w:rPr>
          <w:rFonts w:hint="eastAsia" w:ascii="Calibri" w:hAnsi="Calibri"/>
          <w:kern w:val="2"/>
          <w:szCs w:val="24"/>
        </w:rPr>
        <w:t>甲</w:t>
      </w:r>
      <w:r>
        <w:rPr>
          <w:rFonts w:ascii="Calibri" w:hAnsi="Calibri"/>
          <w:kern w:val="2"/>
          <w:szCs w:val="24"/>
        </w:rPr>
        <w:t>方之前应将上述资料进行整理归类和编制索引</w:t>
      </w:r>
      <w:r>
        <w:rPr>
          <w:rFonts w:hint="eastAsia" w:ascii="Calibri" w:hAnsi="Calibri"/>
          <w:kern w:val="2"/>
          <w:szCs w:val="24"/>
        </w:rPr>
        <w:t>。</w:t>
      </w:r>
    </w:p>
    <w:p>
      <w:pPr>
        <w:widowControl w:val="0"/>
        <w:spacing w:line="360" w:lineRule="auto"/>
        <w:ind w:firstLine="420" w:firstLineChars="200"/>
        <w:rPr>
          <w:rFonts w:ascii="Calibri" w:hAnsi="Calibri"/>
          <w:kern w:val="2"/>
          <w:szCs w:val="24"/>
        </w:rPr>
      </w:pPr>
      <w:r>
        <w:rPr>
          <w:rFonts w:ascii="Calibri" w:hAnsi="Calibri"/>
          <w:kern w:val="2"/>
          <w:szCs w:val="24"/>
        </w:rPr>
        <w:t>2</w:t>
      </w:r>
      <w:r>
        <w:rPr>
          <w:rFonts w:hint="eastAsia" w:ascii="Calibri" w:hAnsi="Calibri"/>
          <w:kern w:val="2"/>
          <w:szCs w:val="24"/>
        </w:rPr>
        <w:t>、</w:t>
      </w:r>
      <w:r>
        <w:rPr>
          <w:rFonts w:hint="eastAsia" w:ascii="宋体" w:hAnsi="宋体"/>
          <w:kern w:val="2"/>
        </w:rPr>
        <w:t>乙</w:t>
      </w:r>
      <w:r>
        <w:rPr>
          <w:rFonts w:ascii="Calibri" w:hAnsi="Calibri"/>
          <w:kern w:val="2"/>
          <w:szCs w:val="24"/>
        </w:rPr>
        <w:t>方未经</w:t>
      </w:r>
      <w:r>
        <w:rPr>
          <w:rFonts w:hint="eastAsia" w:ascii="Calibri" w:hAnsi="Calibri"/>
          <w:kern w:val="2"/>
          <w:szCs w:val="24"/>
        </w:rPr>
        <w:t>甲</w:t>
      </w:r>
      <w:r>
        <w:rPr>
          <w:rFonts w:ascii="Calibri" w:hAnsi="Calibri"/>
          <w:kern w:val="2"/>
          <w:szCs w:val="24"/>
        </w:rPr>
        <w:t>方的书面同意，不得将上述资料用于与本咨询服务项目之外的任何项目</w:t>
      </w:r>
      <w:r>
        <w:rPr>
          <w:rFonts w:hint="eastAsia" w:ascii="Calibri" w:hAnsi="Calibri"/>
          <w:kern w:val="2"/>
          <w:szCs w:val="24"/>
        </w:rPr>
        <w:t>。</w:t>
      </w:r>
    </w:p>
    <w:p>
      <w:pPr>
        <w:widowControl w:val="0"/>
        <w:spacing w:line="360" w:lineRule="auto"/>
        <w:ind w:firstLine="420" w:firstLineChars="200"/>
        <w:rPr>
          <w:rFonts w:ascii="Calibri" w:hAnsi="Calibri"/>
          <w:kern w:val="2"/>
          <w:szCs w:val="24"/>
        </w:rPr>
      </w:pPr>
      <w:r>
        <w:rPr>
          <w:rFonts w:hint="eastAsia" w:ascii="Calibri" w:hAnsi="Calibri"/>
          <w:kern w:val="2"/>
          <w:szCs w:val="24"/>
        </w:rPr>
        <w:t>3、</w:t>
      </w:r>
      <w:r>
        <w:rPr>
          <w:rFonts w:ascii="Calibri" w:hAnsi="Calibri"/>
          <w:kern w:val="2"/>
          <w:szCs w:val="24"/>
        </w:rPr>
        <w:t>合同履行</w:t>
      </w:r>
      <w:r>
        <w:rPr>
          <w:rFonts w:hint="eastAsia" w:ascii="Calibri" w:hAnsi="Calibri"/>
          <w:kern w:val="2"/>
          <w:szCs w:val="24"/>
        </w:rPr>
        <w:t>完毕，</w:t>
      </w:r>
      <w:r>
        <w:rPr>
          <w:rFonts w:ascii="Calibri" w:hAnsi="Calibri"/>
          <w:kern w:val="2"/>
          <w:szCs w:val="24"/>
        </w:rPr>
        <w:t>未经</w:t>
      </w:r>
      <w:r>
        <w:rPr>
          <w:rFonts w:hint="eastAsia" w:ascii="Calibri" w:hAnsi="Calibri"/>
          <w:kern w:val="2"/>
          <w:szCs w:val="24"/>
        </w:rPr>
        <w:t>甲</w:t>
      </w:r>
      <w:r>
        <w:rPr>
          <w:rFonts w:ascii="Calibri" w:hAnsi="Calibri"/>
          <w:kern w:val="2"/>
          <w:szCs w:val="24"/>
        </w:rPr>
        <w:t>方的书面同意</w:t>
      </w:r>
      <w:r>
        <w:rPr>
          <w:rFonts w:hint="eastAsia" w:ascii="Calibri" w:hAnsi="Calibri"/>
          <w:kern w:val="2"/>
          <w:szCs w:val="24"/>
        </w:rPr>
        <w:t>，</w:t>
      </w:r>
      <w:r>
        <w:rPr>
          <w:rFonts w:hint="eastAsia" w:ascii="宋体" w:hAnsi="宋体"/>
          <w:kern w:val="2"/>
        </w:rPr>
        <w:t>乙</w:t>
      </w:r>
      <w:r>
        <w:rPr>
          <w:rFonts w:ascii="Calibri" w:hAnsi="Calibri"/>
          <w:kern w:val="2"/>
          <w:szCs w:val="24"/>
        </w:rPr>
        <w:t>方</w:t>
      </w:r>
      <w:r>
        <w:rPr>
          <w:rFonts w:hint="eastAsia" w:ascii="Calibri" w:hAnsi="Calibri"/>
          <w:kern w:val="2"/>
          <w:szCs w:val="24"/>
        </w:rPr>
        <w:t>不得保存在</w:t>
      </w:r>
      <w:r>
        <w:rPr>
          <w:rFonts w:ascii="Calibri" w:hAnsi="Calibri"/>
          <w:kern w:val="2"/>
          <w:szCs w:val="24"/>
        </w:rPr>
        <w:t>履行合同过程中所获得或接触到的任何</w:t>
      </w:r>
      <w:r>
        <w:rPr>
          <w:rFonts w:hint="eastAsia" w:ascii="宋体" w:hAnsi="宋体"/>
          <w:kern w:val="2"/>
        </w:rPr>
        <w:t>内部数据资料。</w:t>
      </w:r>
    </w:p>
    <w:p>
      <w:pPr>
        <w:widowControl w:val="0"/>
        <w:spacing w:line="360" w:lineRule="auto"/>
        <w:ind w:firstLine="421" w:firstLineChars="200"/>
        <w:rPr>
          <w:rFonts w:ascii="宋体" w:hAnsi="宋体"/>
          <w:b/>
          <w:bCs/>
          <w:kern w:val="2"/>
        </w:rPr>
      </w:pPr>
      <w:r>
        <w:rPr>
          <w:rFonts w:hint="eastAsia" w:ascii="宋体" w:hAnsi="宋体"/>
          <w:b/>
          <w:bCs/>
          <w:kern w:val="2"/>
        </w:rPr>
        <w:t>第五条  甲方的义务</w:t>
      </w:r>
    </w:p>
    <w:p>
      <w:pPr>
        <w:widowControl w:val="0"/>
        <w:spacing w:line="360" w:lineRule="auto"/>
        <w:ind w:firstLine="420" w:firstLineChars="200"/>
        <w:rPr>
          <w:rFonts w:ascii="宋体" w:hAnsi="宋体"/>
          <w:kern w:val="2"/>
        </w:rPr>
      </w:pPr>
      <w:r>
        <w:rPr>
          <w:rFonts w:hint="eastAsia" w:ascii="宋体" w:hAnsi="宋体"/>
          <w:kern w:val="2"/>
        </w:rPr>
        <w:t>1、负责与本咨询服务项目有关的第三方的协调，提供开展咨询服务工作的外部条件。</w:t>
      </w:r>
    </w:p>
    <w:p>
      <w:pPr>
        <w:widowControl w:val="0"/>
        <w:spacing w:line="360" w:lineRule="auto"/>
        <w:ind w:firstLine="420" w:firstLineChars="200"/>
        <w:rPr>
          <w:rFonts w:ascii="宋体" w:hAnsi="宋体"/>
          <w:kern w:val="2"/>
        </w:rPr>
      </w:pPr>
      <w:r>
        <w:rPr>
          <w:rFonts w:hint="eastAsia" w:ascii="宋体" w:hAnsi="宋体"/>
          <w:kern w:val="2"/>
        </w:rPr>
        <w:t>2、向乙方提供与本项目咨询服务工作有关的资料。</w:t>
      </w:r>
    </w:p>
    <w:p>
      <w:pPr>
        <w:widowControl w:val="0"/>
        <w:spacing w:line="360" w:lineRule="auto"/>
        <w:ind w:firstLine="420" w:firstLineChars="200"/>
        <w:rPr>
          <w:rFonts w:ascii="宋体" w:hAnsi="宋体"/>
          <w:kern w:val="2"/>
        </w:rPr>
      </w:pPr>
      <w:r>
        <w:rPr>
          <w:rFonts w:hint="eastAsia" w:ascii="宋体" w:hAnsi="宋体"/>
          <w:kern w:val="2"/>
        </w:rPr>
        <w:t>3、负责组织有关专家对项目试验成果评估报告的评审。</w:t>
      </w:r>
    </w:p>
    <w:p>
      <w:pPr>
        <w:widowControl w:val="0"/>
        <w:spacing w:line="360" w:lineRule="auto"/>
        <w:ind w:firstLine="421" w:firstLineChars="200"/>
        <w:rPr>
          <w:rFonts w:ascii="宋体" w:hAnsi="宋体"/>
          <w:b/>
          <w:bCs/>
          <w:kern w:val="2"/>
        </w:rPr>
      </w:pPr>
      <w:r>
        <w:rPr>
          <w:rFonts w:hint="eastAsia" w:ascii="宋体" w:hAnsi="宋体"/>
          <w:b/>
          <w:bCs/>
          <w:kern w:val="2"/>
        </w:rPr>
        <w:t>第七条　乙方的义务</w:t>
      </w:r>
    </w:p>
    <w:p>
      <w:pPr>
        <w:widowControl w:val="0"/>
        <w:spacing w:line="360" w:lineRule="auto"/>
        <w:ind w:firstLine="420" w:firstLineChars="200"/>
        <w:rPr>
          <w:rFonts w:ascii="宋体" w:hAnsi="宋体"/>
          <w:kern w:val="2"/>
        </w:rPr>
      </w:pPr>
      <w:r>
        <w:rPr>
          <w:rFonts w:hint="eastAsia" w:ascii="宋体" w:hAnsi="宋体"/>
          <w:kern w:val="2"/>
        </w:rPr>
        <w:t>１、应按照号招标文件、乙方投标文件要求按期完成本项目咨询服务工作。</w:t>
      </w:r>
    </w:p>
    <w:p>
      <w:pPr>
        <w:widowControl w:val="0"/>
        <w:spacing w:line="360" w:lineRule="auto"/>
        <w:ind w:firstLine="420" w:firstLineChars="200"/>
        <w:rPr>
          <w:rFonts w:ascii="宋体" w:hAnsi="宋体"/>
          <w:kern w:val="2"/>
        </w:rPr>
      </w:pPr>
      <w:r>
        <w:rPr>
          <w:rFonts w:hint="eastAsia" w:ascii="宋体" w:hAnsi="宋体"/>
          <w:kern w:val="2"/>
        </w:rPr>
        <w:t>2、负责组织项目的实施，保证工程进度和成桥荷载试验工作质量，并满足</w:t>
      </w:r>
      <w:bookmarkStart w:id="286" w:name="_GoBack"/>
      <w:bookmarkEnd w:id="286"/>
      <w:r>
        <w:rPr>
          <w:rFonts w:hint="eastAsia" w:ascii="宋体" w:hAnsi="宋体"/>
          <w:kern w:val="2"/>
        </w:rPr>
        <w:t>交通运输部</w:t>
      </w:r>
      <w:r>
        <w:rPr>
          <w:rFonts w:hint="eastAsia" w:ascii="宋体" w:hAnsi="宋体"/>
          <w:kern w:val="2"/>
        </w:rPr>
        <w:t>工验收相关标准。</w:t>
      </w:r>
    </w:p>
    <w:p>
      <w:pPr>
        <w:widowControl w:val="0"/>
        <w:spacing w:line="360" w:lineRule="auto"/>
        <w:ind w:firstLine="420" w:firstLineChars="200"/>
        <w:rPr>
          <w:rFonts w:ascii="宋体" w:hAnsi="宋体"/>
          <w:kern w:val="2"/>
        </w:rPr>
      </w:pPr>
      <w:r>
        <w:rPr>
          <w:rFonts w:hint="eastAsia" w:ascii="宋体" w:hAnsi="宋体"/>
          <w:kern w:val="2"/>
        </w:rPr>
        <w:t>3、</w:t>
      </w:r>
      <w:r>
        <w:rPr>
          <w:rFonts w:hint="eastAsia" w:ascii="宋体" w:hAnsi="宋体"/>
          <w:kern w:val="2"/>
          <w:szCs w:val="24"/>
        </w:rPr>
        <w:t>向甲方提交检测资料等各套，一套电子版文件。</w:t>
      </w:r>
    </w:p>
    <w:p>
      <w:pPr>
        <w:widowControl w:val="0"/>
        <w:spacing w:line="360" w:lineRule="auto"/>
        <w:ind w:firstLine="420" w:firstLineChars="200"/>
        <w:rPr>
          <w:rFonts w:ascii="宋体" w:hAnsi="宋体"/>
          <w:kern w:val="2"/>
        </w:rPr>
      </w:pPr>
      <w:r>
        <w:rPr>
          <w:rFonts w:hint="eastAsia" w:ascii="宋体" w:hAnsi="宋体"/>
          <w:kern w:val="2"/>
        </w:rPr>
        <w:t>4、在履行合同期间或合同规定期限内，不得泄露与本合同规定业务活动有关的保密资料。</w:t>
      </w:r>
    </w:p>
    <w:p>
      <w:pPr>
        <w:widowControl w:val="0"/>
        <w:spacing w:line="360" w:lineRule="auto"/>
        <w:ind w:firstLine="421" w:firstLineChars="200"/>
        <w:rPr>
          <w:rFonts w:ascii="宋体" w:hAnsi="宋体"/>
          <w:b/>
          <w:bCs/>
          <w:kern w:val="2"/>
        </w:rPr>
      </w:pPr>
      <w:r>
        <w:rPr>
          <w:rFonts w:hint="eastAsia" w:ascii="宋体" w:hAnsi="宋体"/>
          <w:b/>
          <w:bCs/>
          <w:kern w:val="2"/>
        </w:rPr>
        <w:t>第八条  甲方的权利</w:t>
      </w:r>
    </w:p>
    <w:p>
      <w:pPr>
        <w:widowControl w:val="0"/>
        <w:spacing w:line="360" w:lineRule="auto"/>
        <w:ind w:firstLine="420" w:firstLineChars="200"/>
        <w:rPr>
          <w:rFonts w:ascii="宋体" w:hAnsi="宋体"/>
          <w:kern w:val="2"/>
        </w:rPr>
      </w:pPr>
      <w:r>
        <w:rPr>
          <w:rFonts w:ascii="宋体" w:hAnsi="宋体"/>
          <w:kern w:val="2"/>
        </w:rPr>
        <w:t>1</w:t>
      </w:r>
      <w:r>
        <w:rPr>
          <w:rFonts w:hint="eastAsia" w:ascii="宋体" w:hAnsi="宋体"/>
          <w:kern w:val="2"/>
        </w:rPr>
        <w:t>、有权向乙方询问工作进展情况及相关的内容。</w:t>
      </w:r>
    </w:p>
    <w:p>
      <w:pPr>
        <w:widowControl w:val="0"/>
        <w:spacing w:line="360" w:lineRule="auto"/>
        <w:ind w:firstLine="420" w:firstLineChars="200"/>
        <w:rPr>
          <w:rFonts w:ascii="宋体" w:hAnsi="宋体"/>
          <w:kern w:val="2"/>
        </w:rPr>
      </w:pPr>
      <w:r>
        <w:rPr>
          <w:rFonts w:ascii="宋体" w:hAnsi="宋体"/>
          <w:kern w:val="2"/>
        </w:rPr>
        <w:t>2</w:t>
      </w:r>
      <w:r>
        <w:rPr>
          <w:rFonts w:hint="eastAsia" w:ascii="宋体" w:hAnsi="宋体"/>
          <w:kern w:val="2"/>
        </w:rPr>
        <w:t>、有权阐述对具体问题的意见和建议。</w:t>
      </w:r>
    </w:p>
    <w:p>
      <w:pPr>
        <w:widowControl w:val="0"/>
        <w:spacing w:line="360" w:lineRule="auto"/>
        <w:ind w:firstLine="420" w:firstLineChars="200"/>
        <w:rPr>
          <w:rFonts w:ascii="宋体" w:hAnsi="宋体"/>
          <w:kern w:val="2"/>
        </w:rPr>
      </w:pPr>
      <w:r>
        <w:rPr>
          <w:rFonts w:ascii="宋体" w:hAnsi="宋体"/>
          <w:kern w:val="2"/>
        </w:rPr>
        <w:t>3</w:t>
      </w:r>
      <w:r>
        <w:rPr>
          <w:rFonts w:hint="eastAsia" w:ascii="宋体" w:hAnsi="宋体"/>
          <w:kern w:val="2"/>
        </w:rPr>
        <w:t>、当甲方认定乙方人员不按合同履行其职责，或与第三人串通给甲方造成经济损失的，甲方有权要求更换人员，直至终止合同并要求乙方承担相应的赔偿责任。</w:t>
      </w:r>
    </w:p>
    <w:p>
      <w:pPr>
        <w:widowControl w:val="0"/>
        <w:spacing w:line="360" w:lineRule="auto"/>
        <w:ind w:firstLine="421" w:firstLineChars="200"/>
        <w:rPr>
          <w:rFonts w:ascii="宋体" w:hAnsi="宋体"/>
          <w:b/>
          <w:bCs/>
          <w:kern w:val="2"/>
        </w:rPr>
      </w:pPr>
      <w:r>
        <w:rPr>
          <w:rFonts w:hint="eastAsia" w:ascii="宋体" w:hAnsi="宋体"/>
          <w:b/>
          <w:bCs/>
          <w:kern w:val="2"/>
        </w:rPr>
        <w:t>第九条  乙方的权利</w:t>
      </w:r>
    </w:p>
    <w:p>
      <w:pPr>
        <w:widowControl w:val="0"/>
        <w:spacing w:line="360" w:lineRule="auto"/>
        <w:ind w:firstLine="420" w:firstLineChars="200"/>
        <w:rPr>
          <w:rFonts w:ascii="宋体" w:hAnsi="宋体"/>
          <w:kern w:val="2"/>
        </w:rPr>
      </w:pPr>
      <w:r>
        <w:rPr>
          <w:rFonts w:ascii="宋体" w:hAnsi="宋体"/>
          <w:kern w:val="2"/>
        </w:rPr>
        <w:t>1</w:t>
      </w:r>
      <w:r>
        <w:rPr>
          <w:rFonts w:hint="eastAsia" w:ascii="宋体" w:hAnsi="宋体"/>
          <w:kern w:val="2"/>
        </w:rPr>
        <w:t>、乙方在本项目服务过程中，如甲方提供的资料不明确时可向甲方提出书面报告。</w:t>
      </w:r>
    </w:p>
    <w:p>
      <w:pPr>
        <w:widowControl w:val="0"/>
        <w:spacing w:line="360" w:lineRule="auto"/>
        <w:ind w:firstLine="420" w:firstLineChars="200"/>
        <w:rPr>
          <w:rFonts w:ascii="宋体" w:hAnsi="宋体"/>
          <w:kern w:val="2"/>
        </w:rPr>
      </w:pPr>
      <w:r>
        <w:rPr>
          <w:rFonts w:ascii="宋体" w:hAnsi="宋体"/>
          <w:kern w:val="2"/>
        </w:rPr>
        <w:t>2</w:t>
      </w:r>
      <w:r>
        <w:rPr>
          <w:rFonts w:hint="eastAsia" w:ascii="宋体" w:hAnsi="宋体"/>
          <w:kern w:val="2"/>
        </w:rPr>
        <w:t>、乙方在本项目服务过程中，有权对第三方提出与本咨询服务业务有关的问题进行核对或查问。</w:t>
      </w:r>
    </w:p>
    <w:p>
      <w:pPr>
        <w:widowControl w:val="0"/>
        <w:spacing w:line="360" w:lineRule="auto"/>
        <w:ind w:firstLine="420" w:firstLineChars="200"/>
        <w:rPr>
          <w:rFonts w:ascii="宋体" w:hAnsi="宋体"/>
          <w:kern w:val="2"/>
        </w:rPr>
      </w:pPr>
      <w:r>
        <w:rPr>
          <w:rFonts w:ascii="宋体" w:hAnsi="宋体"/>
          <w:kern w:val="2"/>
        </w:rPr>
        <w:t>3</w:t>
      </w:r>
      <w:r>
        <w:rPr>
          <w:rFonts w:hint="eastAsia" w:ascii="宋体" w:hAnsi="宋体"/>
          <w:kern w:val="2"/>
        </w:rPr>
        <w:t>、乙方在本项目服务过程中，有到工程现场勘察的权利。</w:t>
      </w:r>
    </w:p>
    <w:p>
      <w:pPr>
        <w:widowControl w:val="0"/>
        <w:spacing w:line="360" w:lineRule="auto"/>
        <w:ind w:firstLine="421" w:firstLineChars="200"/>
        <w:rPr>
          <w:rFonts w:ascii="宋体" w:hAnsi="宋体"/>
          <w:b/>
          <w:bCs/>
          <w:kern w:val="2"/>
        </w:rPr>
      </w:pPr>
      <w:r>
        <w:rPr>
          <w:rFonts w:hint="eastAsia" w:ascii="宋体" w:hAnsi="宋体"/>
          <w:b/>
          <w:bCs/>
          <w:kern w:val="2"/>
        </w:rPr>
        <w:t>第十条  甲方的责任</w:t>
      </w:r>
    </w:p>
    <w:p>
      <w:pPr>
        <w:widowControl w:val="0"/>
        <w:spacing w:line="360" w:lineRule="auto"/>
        <w:ind w:firstLine="420" w:firstLineChars="200"/>
        <w:rPr>
          <w:rFonts w:ascii="宋体" w:hAnsi="宋体"/>
          <w:kern w:val="2"/>
        </w:rPr>
      </w:pPr>
      <w:r>
        <w:rPr>
          <w:rFonts w:hint="eastAsia" w:ascii="宋体" w:hAnsi="宋体"/>
          <w:kern w:val="2"/>
        </w:rPr>
        <w:t>1、应当履行本合同约定的义务，如有违反则应当承担违约责任，赔偿给乙方造成的损失。</w:t>
      </w:r>
    </w:p>
    <w:p>
      <w:pPr>
        <w:widowControl w:val="0"/>
        <w:spacing w:line="360" w:lineRule="auto"/>
        <w:ind w:firstLine="420" w:firstLineChars="200"/>
        <w:rPr>
          <w:rFonts w:ascii="宋体" w:hAnsi="宋体"/>
          <w:kern w:val="2"/>
        </w:rPr>
      </w:pPr>
      <w:r>
        <w:rPr>
          <w:rFonts w:hint="eastAsia" w:ascii="宋体" w:hAnsi="宋体"/>
          <w:kern w:val="2"/>
        </w:rPr>
        <w:t>2、甲方向乙方提出赔偿要求不能成立时，则应补偿由于该赔偿或其他要求所导致乙方的各种费用的支出。</w:t>
      </w:r>
    </w:p>
    <w:p>
      <w:pPr>
        <w:widowControl w:val="0"/>
        <w:spacing w:line="360" w:lineRule="auto"/>
        <w:ind w:firstLine="421" w:firstLineChars="200"/>
        <w:rPr>
          <w:rFonts w:ascii="宋体" w:hAnsi="宋体"/>
          <w:b/>
          <w:bCs/>
          <w:kern w:val="2"/>
        </w:rPr>
      </w:pPr>
      <w:r>
        <w:rPr>
          <w:rFonts w:hint="eastAsia" w:ascii="宋体" w:hAnsi="宋体"/>
          <w:b/>
          <w:bCs/>
          <w:kern w:val="2"/>
        </w:rPr>
        <w:t>第十一条  乙方的责任</w:t>
      </w:r>
    </w:p>
    <w:p>
      <w:pPr>
        <w:widowControl w:val="0"/>
        <w:spacing w:line="360" w:lineRule="auto"/>
        <w:ind w:firstLine="420" w:firstLineChars="200"/>
        <w:rPr>
          <w:rFonts w:ascii="宋体" w:hAnsi="宋体"/>
          <w:kern w:val="2"/>
        </w:rPr>
      </w:pPr>
      <w:r>
        <w:rPr>
          <w:rFonts w:hint="eastAsia" w:ascii="宋体" w:hAnsi="宋体"/>
          <w:kern w:val="2"/>
        </w:rPr>
        <w:t>1、乙方的责任期即本合同有效期。如因非乙方的责任造成进度的推迟或延误而超过约定的日期，双方应进一步约定相应延长合同有效期。</w:t>
      </w:r>
    </w:p>
    <w:p>
      <w:pPr>
        <w:widowControl w:val="0"/>
        <w:spacing w:line="360" w:lineRule="auto"/>
        <w:ind w:firstLine="420" w:firstLineChars="200"/>
        <w:rPr>
          <w:rFonts w:ascii="宋体" w:hAnsi="宋体"/>
          <w:kern w:val="2"/>
        </w:rPr>
      </w:pPr>
      <w:r>
        <w:rPr>
          <w:rFonts w:hint="eastAsia" w:ascii="宋体" w:hAnsi="宋体"/>
          <w:kern w:val="2"/>
        </w:rPr>
        <w:t>2、乙方的责任期内，应当履行本合同中约定的义务，因乙方的单方过失造成的经济损失，应当向甲方进行赔偿。</w:t>
      </w:r>
    </w:p>
    <w:p>
      <w:pPr>
        <w:widowControl w:val="0"/>
        <w:spacing w:line="360" w:lineRule="auto"/>
        <w:ind w:firstLine="420" w:firstLineChars="200"/>
        <w:rPr>
          <w:rFonts w:ascii="宋体" w:hAnsi="宋体"/>
          <w:kern w:val="2"/>
        </w:rPr>
      </w:pPr>
      <w:r>
        <w:rPr>
          <w:rFonts w:hint="eastAsia" w:ascii="宋体" w:hAnsi="宋体"/>
          <w:kern w:val="2"/>
        </w:rPr>
        <w:t>3、乙方对甲方或第三方所提出的问题不能及时核对或答复，导致合同不能全部或部分履行，乙方应承担责任。</w:t>
      </w:r>
    </w:p>
    <w:p>
      <w:pPr>
        <w:widowControl w:val="0"/>
        <w:spacing w:line="360" w:lineRule="auto"/>
        <w:ind w:firstLine="420" w:firstLineChars="200"/>
        <w:rPr>
          <w:rFonts w:ascii="宋体" w:hAnsi="宋体"/>
          <w:kern w:val="2"/>
        </w:rPr>
      </w:pPr>
      <w:r>
        <w:rPr>
          <w:rFonts w:hint="eastAsia" w:ascii="宋体" w:hAnsi="宋体"/>
          <w:kern w:val="2"/>
        </w:rPr>
        <w:t>4、乙方向甲方提出赔偿要求不能成立时，则应补偿由于该赔偿或其他要求所导致甲方的各种费用的支出。</w:t>
      </w:r>
    </w:p>
    <w:p>
      <w:pPr>
        <w:widowControl w:val="0"/>
        <w:spacing w:line="360" w:lineRule="auto"/>
        <w:ind w:firstLine="421" w:firstLineChars="200"/>
        <w:rPr>
          <w:rFonts w:ascii="宋体" w:hAnsi="宋体"/>
          <w:b/>
          <w:bCs/>
          <w:kern w:val="2"/>
        </w:rPr>
      </w:pPr>
      <w:r>
        <w:rPr>
          <w:rFonts w:hint="eastAsia" w:ascii="宋体" w:hAnsi="宋体"/>
          <w:b/>
          <w:bCs/>
          <w:kern w:val="2"/>
        </w:rPr>
        <w:t>第十二条  人员要求</w:t>
      </w:r>
    </w:p>
    <w:p>
      <w:pPr>
        <w:widowControl w:val="0"/>
        <w:spacing w:line="360" w:lineRule="auto"/>
        <w:ind w:firstLine="420" w:firstLineChars="200"/>
        <w:rPr>
          <w:rFonts w:ascii="宋体" w:hAnsi="宋体"/>
          <w:kern w:val="2"/>
        </w:rPr>
      </w:pPr>
      <w:r>
        <w:rPr>
          <w:rFonts w:hint="eastAsia" w:ascii="宋体" w:hAnsi="宋体"/>
          <w:kern w:val="2"/>
        </w:rPr>
        <w:t>1、参加本项目试验的人员必须具有国家和有关部门规定的相应资质。</w:t>
      </w:r>
    </w:p>
    <w:p>
      <w:pPr>
        <w:widowControl w:val="0"/>
        <w:spacing w:line="360" w:lineRule="auto"/>
        <w:ind w:firstLine="420" w:firstLineChars="200"/>
        <w:rPr>
          <w:rFonts w:ascii="宋体" w:hAnsi="宋体"/>
          <w:kern w:val="2"/>
        </w:rPr>
      </w:pPr>
      <w:r>
        <w:rPr>
          <w:rFonts w:hint="eastAsia" w:ascii="宋体" w:hAnsi="宋体"/>
          <w:kern w:val="2"/>
        </w:rPr>
        <w:t>2、 参加本项目的试验人员的配置必须与投标文件中的服务承诺书和试验服务组织实施方案一致。</w:t>
      </w:r>
    </w:p>
    <w:p>
      <w:pPr>
        <w:widowControl w:val="0"/>
        <w:spacing w:line="360" w:lineRule="auto"/>
        <w:ind w:firstLine="420" w:firstLineChars="200"/>
        <w:rPr>
          <w:rFonts w:ascii="宋体" w:hAnsi="宋体"/>
          <w:kern w:val="2"/>
        </w:rPr>
      </w:pPr>
      <w:r>
        <w:rPr>
          <w:rFonts w:hint="eastAsia" w:ascii="宋体" w:hAnsi="宋体"/>
          <w:kern w:val="2"/>
        </w:rPr>
        <w:t>3、必须以直属试验人员参与本项目服务，不得使用挂靠队伍。</w:t>
      </w:r>
    </w:p>
    <w:p>
      <w:pPr>
        <w:widowControl w:val="0"/>
        <w:spacing w:line="360" w:lineRule="auto"/>
        <w:ind w:firstLine="421" w:firstLineChars="200"/>
        <w:rPr>
          <w:rFonts w:ascii="宋体" w:hAnsi="宋体"/>
          <w:b/>
          <w:bCs/>
          <w:kern w:val="2"/>
        </w:rPr>
      </w:pPr>
      <w:r>
        <w:rPr>
          <w:rFonts w:hint="eastAsia" w:ascii="宋体" w:hAnsi="宋体"/>
          <w:b/>
          <w:bCs/>
          <w:kern w:val="2"/>
        </w:rPr>
        <w:t>第十三条  乙方咨询服务工具要求</w:t>
      </w:r>
    </w:p>
    <w:p>
      <w:pPr>
        <w:widowControl w:val="0"/>
        <w:spacing w:line="360" w:lineRule="auto"/>
        <w:ind w:firstLine="420" w:firstLineChars="200"/>
        <w:rPr>
          <w:rFonts w:ascii="宋体" w:hAnsi="宋体"/>
          <w:kern w:val="2"/>
        </w:rPr>
      </w:pPr>
      <w:r>
        <w:rPr>
          <w:rFonts w:hint="eastAsia" w:ascii="宋体" w:hAnsi="宋体"/>
          <w:kern w:val="2"/>
        </w:rPr>
        <w:t>1、乙方应配备中标项目所需的足够数量的仪器、仪表以及工具等设备。用户不需向乙方提供施工工具和仪器、仪表。</w:t>
      </w:r>
    </w:p>
    <w:p>
      <w:pPr>
        <w:widowControl w:val="0"/>
        <w:spacing w:line="360" w:lineRule="auto"/>
        <w:ind w:firstLine="420" w:firstLineChars="200"/>
        <w:rPr>
          <w:rFonts w:ascii="宋体" w:hAnsi="宋体"/>
          <w:kern w:val="2"/>
        </w:rPr>
      </w:pPr>
      <w:r>
        <w:rPr>
          <w:rFonts w:hint="eastAsia" w:ascii="宋体" w:hAnsi="宋体"/>
          <w:kern w:val="2"/>
        </w:rPr>
        <w:t>2、乙方在提供服务过程中应自备车辆。</w:t>
      </w:r>
    </w:p>
    <w:p>
      <w:pPr>
        <w:widowControl w:val="0"/>
        <w:spacing w:line="360" w:lineRule="auto"/>
        <w:ind w:firstLine="421" w:firstLineChars="200"/>
        <w:rPr>
          <w:rFonts w:ascii="宋体" w:hAnsi="宋体"/>
          <w:b/>
          <w:bCs/>
          <w:kern w:val="2"/>
        </w:rPr>
      </w:pPr>
      <w:r>
        <w:rPr>
          <w:rFonts w:hint="eastAsia" w:ascii="宋体" w:hAnsi="宋体"/>
          <w:b/>
          <w:bCs/>
          <w:kern w:val="2"/>
        </w:rPr>
        <w:t>第十四条  保密要求</w:t>
      </w:r>
    </w:p>
    <w:p>
      <w:pPr>
        <w:widowControl w:val="0"/>
        <w:spacing w:line="360" w:lineRule="auto"/>
        <w:ind w:firstLine="420" w:firstLineChars="200"/>
        <w:rPr>
          <w:rFonts w:ascii="宋体" w:hAnsi="宋体"/>
          <w:kern w:val="2"/>
        </w:rPr>
      </w:pPr>
      <w:r>
        <w:rPr>
          <w:rFonts w:hint="eastAsia" w:ascii="宋体" w:hAnsi="宋体"/>
          <w:kern w:val="2"/>
        </w:rPr>
        <w:t>1、</w:t>
      </w:r>
      <w:r>
        <w:rPr>
          <w:rFonts w:ascii="宋体" w:hAnsi="宋体"/>
          <w:kern w:val="2"/>
        </w:rPr>
        <w:t>由甲方收集的、开发的、整理的、复制的、研究的和准备的与本合同项下工作有关的所有资料在提供给乙方时，均被视为保密的，不得泄漏给除甲方或其指定的代表之外的任何人、企业或公司，不管本合同因何种原因终止，本条款一直约束乙方。</w:t>
      </w:r>
    </w:p>
    <w:p>
      <w:pPr>
        <w:widowControl w:val="0"/>
        <w:spacing w:line="360" w:lineRule="auto"/>
        <w:ind w:firstLine="420" w:firstLineChars="200"/>
        <w:rPr>
          <w:rFonts w:ascii="宋体" w:hAnsi="宋体"/>
          <w:kern w:val="2"/>
        </w:rPr>
      </w:pPr>
      <w:r>
        <w:rPr>
          <w:rFonts w:hint="eastAsia" w:ascii="宋体" w:hAnsi="宋体"/>
          <w:kern w:val="2"/>
        </w:rPr>
        <w:t>2、</w:t>
      </w:r>
      <w:r>
        <w:rPr>
          <w:rFonts w:ascii="宋体" w:hAnsi="宋体"/>
          <w:kern w:val="2"/>
        </w:rPr>
        <w:t>乙方在履行合同过程中所获得或接触到的任何</w:t>
      </w:r>
      <w:r>
        <w:rPr>
          <w:rFonts w:hint="eastAsia" w:ascii="宋体" w:hAnsi="宋体"/>
          <w:kern w:val="2"/>
        </w:rPr>
        <w:t>内部数据资料，未经甲方同意，不得向第三方透露。</w:t>
      </w:r>
    </w:p>
    <w:p>
      <w:pPr>
        <w:widowControl w:val="0"/>
        <w:spacing w:line="360" w:lineRule="auto"/>
        <w:ind w:firstLine="420" w:firstLineChars="200"/>
        <w:rPr>
          <w:rFonts w:ascii="宋体" w:hAnsi="宋体"/>
          <w:kern w:val="2"/>
        </w:rPr>
      </w:pPr>
      <w:r>
        <w:rPr>
          <w:rFonts w:hint="eastAsia" w:ascii="宋体" w:hAnsi="宋体"/>
          <w:kern w:val="2"/>
        </w:rPr>
        <w:t>3、</w:t>
      </w:r>
      <w:r>
        <w:rPr>
          <w:rFonts w:ascii="宋体" w:hAnsi="宋体"/>
          <w:kern w:val="2"/>
        </w:rPr>
        <w:t>乙方</w:t>
      </w:r>
      <w:r>
        <w:rPr>
          <w:rFonts w:hint="eastAsia" w:ascii="宋体" w:hAnsi="宋体"/>
          <w:kern w:val="2"/>
        </w:rPr>
        <w:t>实施项目的一切程序都应符合国家安全、保密的有关规定和标准。</w:t>
      </w:r>
    </w:p>
    <w:p>
      <w:pPr>
        <w:widowControl w:val="0"/>
        <w:spacing w:line="360" w:lineRule="auto"/>
        <w:ind w:firstLine="420" w:firstLineChars="200"/>
        <w:rPr>
          <w:rFonts w:ascii="宋体" w:hAnsi="宋体"/>
          <w:kern w:val="2"/>
        </w:rPr>
      </w:pPr>
      <w:r>
        <w:rPr>
          <w:rFonts w:hint="eastAsia" w:ascii="宋体" w:hAnsi="宋体"/>
          <w:kern w:val="2"/>
        </w:rPr>
        <w:t>4、</w:t>
      </w:r>
      <w:r>
        <w:rPr>
          <w:rFonts w:ascii="宋体" w:hAnsi="宋体"/>
          <w:kern w:val="2"/>
        </w:rPr>
        <w:t>乙方</w:t>
      </w:r>
      <w:r>
        <w:rPr>
          <w:rFonts w:hint="eastAsia" w:ascii="宋体" w:hAnsi="宋体"/>
          <w:kern w:val="2"/>
        </w:rPr>
        <w:t>参加项目的有关人员均需同甲方签订保密协议。</w:t>
      </w:r>
    </w:p>
    <w:p>
      <w:pPr>
        <w:widowControl w:val="0"/>
        <w:spacing w:line="360" w:lineRule="auto"/>
        <w:ind w:firstLine="421" w:firstLineChars="200"/>
        <w:rPr>
          <w:rFonts w:ascii="宋体" w:hAnsi="宋体"/>
          <w:b/>
          <w:bCs/>
          <w:kern w:val="2"/>
        </w:rPr>
      </w:pPr>
      <w:r>
        <w:rPr>
          <w:rFonts w:hint="eastAsia" w:ascii="宋体" w:hAnsi="宋体"/>
          <w:b/>
          <w:bCs/>
          <w:kern w:val="2"/>
        </w:rPr>
        <w:t xml:space="preserve">第十五条  验收     </w:t>
      </w:r>
    </w:p>
    <w:p>
      <w:pPr>
        <w:widowControl w:val="0"/>
        <w:spacing w:line="360" w:lineRule="auto"/>
        <w:ind w:firstLine="420" w:firstLineChars="200"/>
        <w:rPr>
          <w:rFonts w:ascii="宋体" w:hAnsi="宋体"/>
          <w:kern w:val="2"/>
        </w:rPr>
      </w:pPr>
      <w:r>
        <w:rPr>
          <w:rFonts w:hint="eastAsia" w:ascii="宋体" w:hAnsi="宋体"/>
          <w:kern w:val="2"/>
        </w:rPr>
        <w:t>1、下列文件的验收分为</w:t>
      </w:r>
      <w:r>
        <w:rPr>
          <w:rFonts w:hint="eastAsia" w:ascii="宋体" w:hAnsi="宋体"/>
          <w:kern w:val="2"/>
          <w:u w:val="single"/>
        </w:rPr>
        <w:t xml:space="preserve">          三</w:t>
      </w:r>
      <w:r>
        <w:rPr>
          <w:rFonts w:hint="eastAsia" w:ascii="宋体" w:hAnsi="宋体"/>
          <w:kern w:val="2"/>
        </w:rPr>
        <w:t>个阶段:</w:t>
      </w:r>
    </w:p>
    <w:p>
      <w:pPr>
        <w:widowControl w:val="0"/>
        <w:spacing w:line="360" w:lineRule="auto"/>
        <w:ind w:firstLine="420" w:firstLineChars="200"/>
        <w:rPr>
          <w:rFonts w:ascii="宋体" w:hAnsi="宋体"/>
          <w:kern w:val="2"/>
        </w:rPr>
      </w:pPr>
      <w:r>
        <w:rPr>
          <w:rFonts w:hint="eastAsia" w:ascii="宋体" w:hAnsi="宋体"/>
          <w:kern w:val="2"/>
        </w:rPr>
        <w:t>2、其余文件和工作由用户组织有关技术人员根据国家和行业有关规范、规程、标准和用户需求直接验收。</w:t>
      </w:r>
    </w:p>
    <w:p>
      <w:pPr>
        <w:widowControl w:val="0"/>
        <w:spacing w:line="360" w:lineRule="auto"/>
        <w:ind w:firstLine="420" w:firstLineChars="200"/>
        <w:rPr>
          <w:rFonts w:ascii="宋体" w:hAnsi="宋体"/>
          <w:kern w:val="2"/>
        </w:rPr>
      </w:pPr>
      <w:r>
        <w:rPr>
          <w:rFonts w:hint="eastAsia" w:ascii="宋体" w:hAnsi="宋体"/>
          <w:kern w:val="2"/>
        </w:rPr>
        <w:t>3、验收依据为号招标文件、乙方投标文件，国家和行业有关规范、规程和标准。</w:t>
      </w:r>
    </w:p>
    <w:p>
      <w:pPr>
        <w:widowControl w:val="0"/>
        <w:spacing w:line="360" w:lineRule="auto"/>
        <w:ind w:firstLine="421" w:firstLineChars="200"/>
        <w:rPr>
          <w:rFonts w:ascii="宋体" w:hAnsi="宋体"/>
          <w:b/>
          <w:bCs/>
          <w:kern w:val="2"/>
        </w:rPr>
      </w:pPr>
      <w:r>
        <w:rPr>
          <w:rFonts w:hint="eastAsia" w:ascii="宋体" w:hAnsi="宋体"/>
          <w:b/>
          <w:bCs/>
          <w:kern w:val="2"/>
        </w:rPr>
        <w:t>第十六条  付款方式</w:t>
      </w:r>
    </w:p>
    <w:p>
      <w:pPr>
        <w:widowControl w:val="0"/>
        <w:spacing w:line="360" w:lineRule="auto"/>
        <w:ind w:firstLine="420" w:firstLineChars="200"/>
        <w:rPr>
          <w:rFonts w:ascii="宋体" w:hAnsi="宋体"/>
          <w:kern w:val="2"/>
        </w:rPr>
      </w:pPr>
      <w:r>
        <w:rPr>
          <w:rFonts w:hint="eastAsia" w:ascii="宋体" w:hAnsi="宋体"/>
          <w:kern w:val="2"/>
        </w:rPr>
        <w:t>项目资金分三期支付。第一期是在项目合同签订后，支付总款的50%，第二期是在服务三个月后进行阶段性验收，验收合格后支付总款的30％，第三期是在合同规定的服务有效期满后，对服务期内提供的服务进行验收符合合同规定情况下，支付总款的20%。</w:t>
      </w:r>
    </w:p>
    <w:p>
      <w:pPr>
        <w:widowControl w:val="0"/>
        <w:spacing w:line="360" w:lineRule="auto"/>
        <w:ind w:firstLine="421" w:firstLineChars="200"/>
        <w:rPr>
          <w:rFonts w:ascii="宋体" w:hAnsi="宋体"/>
          <w:b/>
          <w:bCs/>
          <w:kern w:val="2"/>
        </w:rPr>
      </w:pPr>
      <w:r>
        <w:rPr>
          <w:rFonts w:hint="eastAsia" w:ascii="宋体" w:hAnsi="宋体"/>
          <w:b/>
          <w:bCs/>
          <w:kern w:val="2"/>
        </w:rPr>
        <w:t>第十七条  争议解决办法</w:t>
      </w:r>
    </w:p>
    <w:p>
      <w:pPr>
        <w:widowControl w:val="0"/>
        <w:spacing w:line="360" w:lineRule="auto"/>
        <w:ind w:firstLine="420" w:firstLineChars="200"/>
        <w:rPr>
          <w:rFonts w:ascii="宋体" w:hAnsi="宋体"/>
          <w:kern w:val="2"/>
        </w:rPr>
      </w:pPr>
      <w:r>
        <w:rPr>
          <w:rFonts w:hint="eastAsia" w:ascii="宋体" w:hAnsi="宋体"/>
          <w:kern w:val="2"/>
        </w:rPr>
        <w:t>执行本合同发生的争议，由甲乙双方协商解决。</w:t>
      </w:r>
    </w:p>
    <w:p>
      <w:pPr>
        <w:widowControl w:val="0"/>
        <w:spacing w:line="360" w:lineRule="auto"/>
        <w:ind w:firstLine="421" w:firstLineChars="200"/>
        <w:rPr>
          <w:rFonts w:ascii="宋体" w:hAnsi="宋体"/>
          <w:b/>
          <w:bCs/>
          <w:kern w:val="2"/>
        </w:rPr>
      </w:pPr>
      <w:r>
        <w:rPr>
          <w:rFonts w:hint="eastAsia" w:ascii="宋体" w:hAnsi="宋体"/>
          <w:b/>
          <w:bCs/>
          <w:kern w:val="2"/>
        </w:rPr>
        <w:t>第十八条  风险责任</w:t>
      </w:r>
    </w:p>
    <w:p>
      <w:pPr>
        <w:widowControl w:val="0"/>
        <w:spacing w:line="360" w:lineRule="auto"/>
        <w:ind w:firstLine="420" w:firstLineChars="200"/>
        <w:rPr>
          <w:rFonts w:ascii="宋体" w:hAnsi="宋体"/>
          <w:kern w:val="2"/>
        </w:rPr>
      </w:pPr>
      <w:r>
        <w:rPr>
          <w:rFonts w:hint="eastAsia" w:ascii="宋体" w:hAnsi="宋体"/>
          <w:kern w:val="2"/>
        </w:rPr>
        <w:t>１、乙方应完全地按照号招标文件的要求和乙方投标文件的承诺完成本项目，出于自身财务、技术、人力等原因导致项目失败的，应承担全部责任。</w:t>
      </w:r>
    </w:p>
    <w:p>
      <w:pPr>
        <w:widowControl w:val="0"/>
        <w:spacing w:line="360" w:lineRule="auto"/>
        <w:ind w:firstLine="420" w:firstLineChars="200"/>
        <w:rPr>
          <w:rFonts w:ascii="宋体" w:hAnsi="宋体"/>
          <w:kern w:val="2"/>
        </w:rPr>
      </w:pPr>
      <w:r>
        <w:rPr>
          <w:rFonts w:hint="eastAsia" w:ascii="宋体" w:hAnsi="宋体"/>
          <w:kern w:val="2"/>
        </w:rPr>
        <w:t>2、乙方在实施荷载试验过程中应对自身的安全生产负责，若由乙方原因发生的各种事故甲方不承担任何责任。</w:t>
      </w:r>
    </w:p>
    <w:p>
      <w:pPr>
        <w:widowControl w:val="0"/>
        <w:spacing w:line="360" w:lineRule="auto"/>
        <w:ind w:firstLine="421" w:firstLineChars="200"/>
        <w:rPr>
          <w:rFonts w:ascii="宋体" w:hAnsi="宋体"/>
          <w:b/>
          <w:bCs/>
          <w:kern w:val="2"/>
        </w:rPr>
      </w:pPr>
      <w:r>
        <w:rPr>
          <w:rFonts w:hint="eastAsia" w:ascii="宋体" w:hAnsi="宋体"/>
          <w:b/>
          <w:bCs/>
          <w:kern w:val="2"/>
        </w:rPr>
        <w:t>第十九条  违约责任</w:t>
      </w:r>
    </w:p>
    <w:p>
      <w:pPr>
        <w:widowControl w:val="0"/>
        <w:spacing w:after="120" w:line="360" w:lineRule="auto"/>
        <w:ind w:left="420" w:leftChars="200"/>
        <w:rPr>
          <w:rFonts w:ascii="宋体" w:hAnsi="宋体"/>
          <w:kern w:val="2"/>
        </w:rPr>
      </w:pPr>
      <w:r>
        <w:rPr>
          <w:rFonts w:hint="eastAsia" w:ascii="宋体" w:hAnsi="宋体"/>
          <w:kern w:val="2"/>
        </w:rPr>
        <w:t>１、因乙方原因，未能按规定时间完成有关工作的，每延误一天，甲方可在支付合同余款中扣除合同价款千分之一。</w:t>
      </w:r>
    </w:p>
    <w:p>
      <w:pPr>
        <w:widowControl w:val="0"/>
        <w:spacing w:line="360" w:lineRule="auto"/>
        <w:ind w:firstLine="420" w:firstLineChars="200"/>
        <w:rPr>
          <w:rFonts w:ascii="宋体" w:hAnsi="宋体"/>
          <w:kern w:val="2"/>
        </w:rPr>
      </w:pPr>
      <w:r>
        <w:rPr>
          <w:rFonts w:hint="eastAsia" w:ascii="宋体" w:hAnsi="宋体"/>
          <w:kern w:val="2"/>
        </w:rPr>
        <w:t>2、由于乙方原因造成试验成果质量低劣，不能满足大纲要求时，应继续完善试验工作，其费用由乙方承担。</w:t>
      </w:r>
    </w:p>
    <w:p>
      <w:pPr>
        <w:widowControl w:val="0"/>
        <w:spacing w:line="360" w:lineRule="auto"/>
        <w:ind w:firstLine="420" w:firstLineChars="200"/>
        <w:rPr>
          <w:rFonts w:ascii="宋体" w:hAnsi="宋体"/>
          <w:kern w:val="2"/>
        </w:rPr>
      </w:pPr>
      <w:r>
        <w:rPr>
          <w:rFonts w:hint="eastAsia" w:ascii="宋体" w:hAnsi="宋体"/>
          <w:kern w:val="2"/>
        </w:rPr>
        <w:t>3、如乙方提供的咨询服务文件不符合质量要求，必须在甲方提出要求后7天内无条件修改，其费用由乙方承担。</w:t>
      </w:r>
    </w:p>
    <w:p>
      <w:pPr>
        <w:widowControl w:val="0"/>
        <w:spacing w:line="360" w:lineRule="auto"/>
        <w:ind w:firstLine="420" w:firstLineChars="200"/>
        <w:rPr>
          <w:rFonts w:ascii="宋体" w:hAnsi="宋体"/>
          <w:kern w:val="2"/>
        </w:rPr>
      </w:pPr>
      <w:r>
        <w:rPr>
          <w:rFonts w:hint="eastAsia" w:ascii="宋体" w:hAnsi="宋体"/>
          <w:kern w:val="2"/>
        </w:rPr>
        <w:t>4、若甲方发现乙方派出的试验服务人员或提供的试验仪器设备不符合合同要求，乙方应在3天之内按要求派出人员或提供满足投标文件承诺的仪器设备，否则甲方有权终止合同，并保留追究乙方责任及要求赔偿损失的权利。</w:t>
      </w:r>
    </w:p>
    <w:p>
      <w:pPr>
        <w:widowControl w:val="0"/>
        <w:spacing w:line="360" w:lineRule="auto"/>
        <w:ind w:firstLine="421" w:firstLineChars="200"/>
        <w:rPr>
          <w:rFonts w:ascii="宋体" w:hAnsi="宋体"/>
          <w:b/>
          <w:bCs/>
          <w:kern w:val="2"/>
        </w:rPr>
      </w:pPr>
      <w:r>
        <w:rPr>
          <w:rFonts w:hint="eastAsia" w:ascii="宋体" w:hAnsi="宋体"/>
          <w:b/>
          <w:bCs/>
          <w:kern w:val="2"/>
        </w:rPr>
        <w:t>第二十条  其他</w:t>
      </w:r>
    </w:p>
    <w:p>
      <w:pPr>
        <w:widowControl w:val="0"/>
        <w:spacing w:line="360" w:lineRule="auto"/>
        <w:ind w:firstLine="420" w:firstLineChars="200"/>
        <w:rPr>
          <w:rFonts w:ascii="宋体" w:hAnsi="宋体"/>
          <w:kern w:val="2"/>
        </w:rPr>
      </w:pPr>
      <w:r>
        <w:rPr>
          <w:rFonts w:hint="eastAsia" w:ascii="宋体" w:hAnsi="宋体"/>
          <w:kern w:val="2"/>
        </w:rPr>
        <w:t>1、本合同与号招标文件、乙方投标文件如有抵触之处，以本合同条款为准。</w:t>
      </w:r>
    </w:p>
    <w:p>
      <w:pPr>
        <w:widowControl w:val="0"/>
        <w:spacing w:line="360" w:lineRule="auto"/>
        <w:ind w:firstLine="420" w:firstLineChars="200"/>
        <w:rPr>
          <w:rFonts w:ascii="宋体" w:hAnsi="宋体"/>
          <w:kern w:val="2"/>
        </w:rPr>
      </w:pPr>
      <w:r>
        <w:rPr>
          <w:rFonts w:hint="eastAsia" w:ascii="宋体" w:hAnsi="宋体"/>
          <w:kern w:val="2"/>
        </w:rPr>
        <w:t>2、下列文件均为本合同的组成部分：</w:t>
      </w:r>
    </w:p>
    <w:p>
      <w:pPr>
        <w:widowControl w:val="0"/>
        <w:spacing w:line="360" w:lineRule="auto"/>
        <w:ind w:firstLine="420" w:firstLineChars="200"/>
        <w:rPr>
          <w:rFonts w:ascii="宋体" w:hAnsi="宋体"/>
          <w:kern w:val="2"/>
        </w:rPr>
      </w:pPr>
      <w:r>
        <w:rPr>
          <w:rFonts w:hint="eastAsia" w:ascii="宋体" w:hAnsi="宋体"/>
          <w:kern w:val="2"/>
        </w:rPr>
        <w:t>（1）号招标文件、答疑及补充通知；</w:t>
      </w:r>
    </w:p>
    <w:p>
      <w:pPr>
        <w:widowControl w:val="0"/>
        <w:spacing w:line="360" w:lineRule="auto"/>
        <w:ind w:firstLine="420" w:firstLineChars="200"/>
        <w:rPr>
          <w:rFonts w:ascii="宋体" w:hAnsi="宋体"/>
          <w:kern w:val="2"/>
        </w:rPr>
      </w:pPr>
      <w:r>
        <w:rPr>
          <w:rFonts w:hint="eastAsia" w:ascii="宋体" w:hAnsi="宋体"/>
          <w:kern w:val="2"/>
        </w:rPr>
        <w:t>（2）投标文件；</w:t>
      </w:r>
    </w:p>
    <w:p>
      <w:pPr>
        <w:widowControl w:val="0"/>
        <w:spacing w:line="360" w:lineRule="auto"/>
        <w:ind w:firstLine="420" w:firstLineChars="200"/>
        <w:rPr>
          <w:rFonts w:ascii="宋体" w:hAnsi="宋体"/>
          <w:kern w:val="2"/>
        </w:rPr>
      </w:pPr>
      <w:r>
        <w:rPr>
          <w:rFonts w:hint="eastAsia" w:ascii="宋体" w:hAnsi="宋体"/>
          <w:kern w:val="2"/>
        </w:rPr>
        <w:t>（3）本合同执行中共同签署的补充与修正文件。</w:t>
      </w:r>
    </w:p>
    <w:p>
      <w:pPr>
        <w:widowControl w:val="0"/>
        <w:spacing w:line="360" w:lineRule="auto"/>
        <w:ind w:firstLine="420" w:firstLineChars="200"/>
        <w:rPr>
          <w:rFonts w:ascii="宋体" w:hAnsi="宋体"/>
          <w:kern w:val="2"/>
        </w:rPr>
      </w:pPr>
      <w:r>
        <w:rPr>
          <w:rFonts w:hint="eastAsia" w:ascii="宋体" w:hAnsi="宋体"/>
          <w:kern w:val="2"/>
        </w:rPr>
        <w:t>本合同一式份，甲、乙方双方各执份，具有同等法律效力。本合同自双方法人代表签字（盖章）认可之日起生效。</w:t>
      </w:r>
    </w:p>
    <w:p>
      <w:pPr>
        <w:widowControl w:val="0"/>
        <w:spacing w:line="360" w:lineRule="auto"/>
        <w:ind w:firstLine="420" w:firstLineChars="200"/>
        <w:rPr>
          <w:rFonts w:ascii="宋体" w:hAnsi="宋体"/>
          <w:kern w:val="2"/>
        </w:rPr>
      </w:pPr>
      <w:r>
        <w:rPr>
          <w:rFonts w:hint="eastAsia" w:ascii="宋体" w:hAnsi="宋体"/>
          <w:kern w:val="2"/>
        </w:rPr>
        <w:t>本合同未尽事宜，双方友好协商，达成解决方案，经双方签字后，可作为本合同的有效附件。</w:t>
      </w:r>
    </w:p>
    <w:p>
      <w:pPr>
        <w:widowControl w:val="0"/>
        <w:spacing w:line="360" w:lineRule="auto"/>
        <w:ind w:firstLine="420" w:firstLineChars="200"/>
        <w:rPr>
          <w:rFonts w:ascii="宋体" w:hAnsi="宋体"/>
          <w:kern w:val="2"/>
        </w:rPr>
      </w:pPr>
    </w:p>
    <w:p>
      <w:pPr>
        <w:widowControl w:val="0"/>
        <w:spacing w:line="360" w:lineRule="auto"/>
        <w:ind w:firstLine="420" w:firstLineChars="200"/>
        <w:rPr>
          <w:rFonts w:ascii="宋体" w:hAnsi="宋体"/>
          <w:kern w:val="2"/>
        </w:rPr>
      </w:pPr>
    </w:p>
    <w:p>
      <w:pPr>
        <w:widowControl w:val="0"/>
        <w:spacing w:line="360" w:lineRule="auto"/>
        <w:ind w:firstLine="420" w:firstLineChars="200"/>
        <w:rPr>
          <w:rFonts w:ascii="宋体" w:hAnsi="宋体"/>
          <w:kern w:val="2"/>
          <w:u w:val="single"/>
        </w:rPr>
      </w:pPr>
      <w:r>
        <w:rPr>
          <w:rFonts w:hint="eastAsia" w:ascii="宋体" w:hAnsi="宋体"/>
          <w:kern w:val="2"/>
        </w:rPr>
        <w:t>甲方：                         乙方：</w:t>
      </w:r>
    </w:p>
    <w:p>
      <w:pPr>
        <w:widowControl w:val="0"/>
        <w:spacing w:line="360" w:lineRule="auto"/>
        <w:ind w:firstLine="210" w:firstLineChars="100"/>
        <w:rPr>
          <w:rFonts w:ascii="宋体" w:hAnsi="宋体"/>
          <w:kern w:val="2"/>
        </w:rPr>
      </w:pPr>
      <w:r>
        <w:rPr>
          <w:rFonts w:hint="eastAsia" w:ascii="宋体" w:hAnsi="宋体"/>
          <w:kern w:val="2"/>
        </w:rPr>
        <w:t>（签章）                         （签章）</w:t>
      </w:r>
    </w:p>
    <w:p>
      <w:pPr>
        <w:widowControl w:val="0"/>
        <w:spacing w:line="360" w:lineRule="auto"/>
        <w:ind w:firstLine="2730" w:firstLineChars="1300"/>
        <w:rPr>
          <w:rFonts w:ascii="宋体" w:hAnsi="宋体"/>
          <w:kern w:val="2"/>
        </w:rPr>
      </w:pPr>
    </w:p>
    <w:p>
      <w:pPr>
        <w:widowControl w:val="0"/>
        <w:spacing w:line="360" w:lineRule="auto"/>
        <w:ind w:firstLine="420" w:firstLineChars="200"/>
        <w:rPr>
          <w:rFonts w:ascii="宋体" w:hAnsi="宋体"/>
          <w:kern w:val="2"/>
        </w:rPr>
      </w:pPr>
      <w:r>
        <w:rPr>
          <w:rFonts w:hint="eastAsia" w:ascii="宋体" w:hAnsi="宋体"/>
          <w:kern w:val="2"/>
        </w:rPr>
        <w:t xml:space="preserve">地址：                        地址： </w:t>
      </w:r>
    </w:p>
    <w:p>
      <w:pPr>
        <w:widowControl w:val="0"/>
        <w:spacing w:line="360" w:lineRule="auto"/>
        <w:ind w:firstLine="420" w:firstLineChars="200"/>
        <w:rPr>
          <w:rFonts w:ascii="宋体" w:hAnsi="宋体"/>
          <w:kern w:val="2"/>
        </w:rPr>
      </w:pPr>
      <w:r>
        <w:rPr>
          <w:rFonts w:hint="eastAsia" w:ascii="宋体" w:hAnsi="宋体"/>
          <w:kern w:val="2"/>
        </w:rPr>
        <w:t>法定代表人：（签章）           法定代表人：（签章）</w:t>
      </w:r>
    </w:p>
    <w:p>
      <w:pPr>
        <w:widowControl w:val="0"/>
        <w:spacing w:line="360" w:lineRule="auto"/>
        <w:ind w:firstLine="420" w:firstLineChars="200"/>
        <w:rPr>
          <w:rFonts w:ascii="宋体" w:hAnsi="宋体"/>
          <w:kern w:val="2"/>
        </w:rPr>
      </w:pPr>
      <w:r>
        <w:rPr>
          <w:rFonts w:hint="eastAsia" w:ascii="宋体" w:hAnsi="宋体"/>
          <w:kern w:val="2"/>
        </w:rPr>
        <w:t>开户行：                      开户行：</w:t>
      </w:r>
    </w:p>
    <w:p>
      <w:pPr>
        <w:widowControl w:val="0"/>
        <w:spacing w:line="360" w:lineRule="auto"/>
        <w:ind w:firstLine="420" w:firstLineChars="200"/>
        <w:rPr>
          <w:rFonts w:ascii="宋体" w:hAnsi="宋体"/>
          <w:kern w:val="2"/>
        </w:rPr>
      </w:pPr>
      <w:r>
        <w:rPr>
          <w:rFonts w:hint="eastAsia" w:ascii="宋体" w:hAnsi="宋体"/>
          <w:kern w:val="2"/>
        </w:rPr>
        <w:t>人民币帐号：                  人民币帐号：</w:t>
      </w:r>
    </w:p>
    <w:p>
      <w:pPr>
        <w:widowControl w:val="0"/>
        <w:spacing w:line="360" w:lineRule="auto"/>
        <w:ind w:firstLine="420" w:firstLineChars="200"/>
        <w:rPr>
          <w:rFonts w:ascii="宋体" w:hAnsi="宋体"/>
          <w:kern w:val="2"/>
        </w:rPr>
      </w:pPr>
      <w:r>
        <w:rPr>
          <w:rFonts w:hint="eastAsia" w:ascii="宋体" w:hAnsi="宋体"/>
          <w:kern w:val="2"/>
        </w:rPr>
        <w:t>联系人：                      联系人：</w:t>
      </w:r>
    </w:p>
    <w:p>
      <w:pPr>
        <w:widowControl w:val="0"/>
        <w:spacing w:line="360" w:lineRule="auto"/>
        <w:ind w:firstLine="420" w:firstLineChars="200"/>
        <w:rPr>
          <w:rFonts w:ascii="宋体" w:hAnsi="宋体"/>
          <w:kern w:val="2"/>
        </w:rPr>
      </w:pPr>
      <w:r>
        <w:rPr>
          <w:rFonts w:hint="eastAsia" w:ascii="宋体" w:hAnsi="宋体"/>
          <w:kern w:val="2"/>
        </w:rPr>
        <w:t>电话：                        电话：</w:t>
      </w:r>
    </w:p>
    <w:p>
      <w:pPr>
        <w:widowControl w:val="0"/>
        <w:spacing w:line="360" w:lineRule="auto"/>
        <w:ind w:firstLine="420" w:firstLineChars="200"/>
        <w:rPr>
          <w:rFonts w:ascii="宋体" w:hAnsi="宋体"/>
          <w:kern w:val="2"/>
        </w:rPr>
      </w:pPr>
      <w:r>
        <w:rPr>
          <w:rFonts w:hint="eastAsia" w:ascii="宋体" w:hAnsi="宋体"/>
          <w:kern w:val="2"/>
        </w:rPr>
        <w:t>日期：                        日期：</w:t>
      </w:r>
    </w:p>
    <w:p>
      <w:pPr>
        <w:widowControl w:val="0"/>
        <w:tabs>
          <w:tab w:val="left" w:pos="180"/>
        </w:tabs>
        <w:adjustRightInd w:val="0"/>
        <w:snapToGrid w:val="0"/>
        <w:ind w:right="420"/>
      </w:pPr>
    </w:p>
    <w:p>
      <w:pPr>
        <w:widowControl w:val="0"/>
        <w:tabs>
          <w:tab w:val="left" w:pos="180"/>
        </w:tabs>
        <w:adjustRightInd w:val="0"/>
        <w:snapToGrid w:val="0"/>
        <w:ind w:right="420"/>
        <w:rPr>
          <w:kern w:val="2"/>
        </w:rPr>
      </w:pPr>
      <w:r>
        <w:rPr>
          <w:rFonts w:ascii="宋体" w:hAnsi="宋体"/>
          <w:kern w:val="2"/>
        </w:rPr>
        <w:t>注：本合同样本仅供参考，具体条款内容由采购单位和中标单位协商确定。</w:t>
      </w:r>
    </w:p>
    <w:p>
      <w:pPr>
        <w:pStyle w:val="73"/>
        <w:jc w:val="center"/>
        <w:rPr>
          <w:rFonts w:ascii="Times New Roman" w:hAnsi="Times New Roman"/>
        </w:rPr>
      </w:pPr>
      <w:r>
        <w:rPr>
          <w:rFonts w:ascii="Times New Roman" w:hAnsi="Times New Roman"/>
        </w:rPr>
        <w:br w:type="page"/>
      </w:r>
    </w:p>
    <w:p>
      <w:pPr>
        <w:pStyle w:val="73"/>
        <w:jc w:val="center"/>
        <w:rPr>
          <w:rFonts w:ascii="Times New Roman" w:hAnsi="Times New Roman"/>
        </w:rPr>
      </w:pPr>
    </w:p>
    <w:p>
      <w:pPr>
        <w:pStyle w:val="73"/>
        <w:jc w:val="center"/>
        <w:rPr>
          <w:rFonts w:ascii="Times New Roman" w:hAnsi="Times New Roman" w:cs="黑体"/>
        </w:rPr>
      </w:pPr>
      <w:r>
        <w:rPr>
          <w:rFonts w:hint="eastAsia" w:ascii="Times New Roman" w:hAnsi="Times New Roman" w:cs="黑体"/>
        </w:rPr>
        <w:t>第二章投标文件的格式、附件</w:t>
      </w:r>
    </w:p>
    <w:p>
      <w:pPr>
        <w:jc w:val="left"/>
        <w:rPr>
          <w:rFonts w:eastAsia="黑体" w:cs="黑体"/>
          <w:b/>
          <w:bCs/>
          <w:sz w:val="32"/>
          <w:szCs w:val="32"/>
        </w:rPr>
      </w:pPr>
      <w:r>
        <w:rPr>
          <w:rFonts w:cs="黑体"/>
        </w:rPr>
        <w:br w:type="page"/>
      </w:r>
    </w:p>
    <w:p>
      <w:pPr>
        <w:jc w:val="center"/>
        <w:rPr>
          <w:rFonts w:cs="宋体"/>
          <w:sz w:val="52"/>
          <w:szCs w:val="52"/>
        </w:rPr>
      </w:pPr>
      <w:r>
        <w:rPr>
          <w:rFonts w:hint="eastAsia" w:cs="宋体"/>
          <w:sz w:val="52"/>
          <w:szCs w:val="52"/>
        </w:rPr>
        <w:t>深圳市住房和建设局2022年度全媒体网络信息查询服务项目</w:t>
      </w:r>
    </w:p>
    <w:p>
      <w:pPr>
        <w:jc w:val="center"/>
        <w:rPr>
          <w:sz w:val="44"/>
          <w:szCs w:val="44"/>
        </w:rPr>
      </w:pPr>
      <w:r>
        <w:rPr>
          <w:rFonts w:hint="eastAsia" w:cs="宋体"/>
          <w:sz w:val="52"/>
          <w:szCs w:val="52"/>
        </w:rPr>
        <w:t>（唱标信封）</w:t>
      </w:r>
    </w:p>
    <w:p>
      <w:pPr>
        <w:jc w:val="center"/>
        <w:rPr>
          <w:sz w:val="44"/>
          <w:szCs w:val="44"/>
        </w:rPr>
      </w:pPr>
    </w:p>
    <w:p>
      <w:pPr>
        <w:jc w:val="center"/>
        <w:rPr>
          <w:sz w:val="44"/>
          <w:szCs w:val="44"/>
        </w:rPr>
      </w:pPr>
    </w:p>
    <w:p>
      <w:pPr>
        <w:jc w:val="center"/>
        <w:rPr>
          <w:sz w:val="44"/>
          <w:szCs w:val="44"/>
        </w:rPr>
      </w:pPr>
    </w:p>
    <w:p>
      <w:pPr>
        <w:jc w:val="center"/>
        <w:rPr>
          <w:sz w:val="44"/>
          <w:szCs w:val="44"/>
        </w:rPr>
      </w:pPr>
    </w:p>
    <w:p>
      <w:pPr>
        <w:rPr>
          <w:sz w:val="44"/>
          <w:szCs w:val="44"/>
        </w:rPr>
      </w:pPr>
    </w:p>
    <w:p>
      <w:pPr>
        <w:spacing w:line="480" w:lineRule="auto"/>
        <w:ind w:firstLine="1400"/>
        <w:rPr>
          <w:sz w:val="28"/>
          <w:szCs w:val="28"/>
          <w:u w:val="single"/>
        </w:rPr>
      </w:pPr>
      <w:r>
        <w:rPr>
          <w:rFonts w:hint="eastAsia" w:cs="宋体"/>
          <w:sz w:val="28"/>
          <w:szCs w:val="28"/>
        </w:rPr>
        <w:t>项目编号：</w:t>
      </w:r>
      <w:r>
        <w:rPr>
          <w:sz w:val="28"/>
          <w:szCs w:val="28"/>
        </w:rPr>
        <w:t>_____________________________</w:t>
      </w:r>
    </w:p>
    <w:p>
      <w:pPr>
        <w:spacing w:line="480" w:lineRule="auto"/>
        <w:ind w:firstLine="1400"/>
        <w:rPr>
          <w:sz w:val="28"/>
          <w:szCs w:val="28"/>
          <w:u w:val="single"/>
        </w:rPr>
      </w:pPr>
      <w:r>
        <w:rPr>
          <w:rFonts w:hint="eastAsia" w:cs="宋体"/>
          <w:sz w:val="28"/>
          <w:szCs w:val="28"/>
        </w:rPr>
        <w:t>供应商（盖章）：</w:t>
      </w:r>
      <w:r>
        <w:rPr>
          <w:sz w:val="28"/>
          <w:szCs w:val="28"/>
        </w:rPr>
        <w:t>___________________________</w:t>
      </w:r>
    </w:p>
    <w:p>
      <w:pPr>
        <w:spacing w:line="480" w:lineRule="auto"/>
        <w:ind w:firstLine="1400"/>
        <w:rPr>
          <w:sz w:val="28"/>
          <w:szCs w:val="28"/>
        </w:rPr>
      </w:pPr>
      <w:r>
        <w:rPr>
          <w:rFonts w:hint="eastAsia" w:cs="宋体"/>
          <w:sz w:val="28"/>
          <w:szCs w:val="28"/>
        </w:rPr>
        <w:t>法定代表人或授权委托人签字：</w:t>
      </w:r>
      <w:r>
        <w:rPr>
          <w:sz w:val="28"/>
          <w:szCs w:val="28"/>
        </w:rPr>
        <w:t>__________________</w:t>
      </w:r>
    </w:p>
    <w:p>
      <w:pPr>
        <w:spacing w:line="360" w:lineRule="auto"/>
        <w:ind w:firstLine="1400"/>
        <w:rPr>
          <w:sz w:val="28"/>
          <w:szCs w:val="28"/>
        </w:rPr>
      </w:pPr>
      <w:r>
        <w:rPr>
          <w:rFonts w:hint="eastAsia" w:cs="宋体"/>
          <w:sz w:val="28"/>
          <w:szCs w:val="28"/>
        </w:rPr>
        <w:t>投标日期：</w:t>
      </w:r>
      <w:r>
        <w:rPr>
          <w:sz w:val="28"/>
          <w:szCs w:val="28"/>
        </w:rPr>
        <w:t>____________</w:t>
      </w:r>
      <w:r>
        <w:rPr>
          <w:rFonts w:hint="eastAsia" w:cs="宋体"/>
          <w:sz w:val="28"/>
          <w:szCs w:val="28"/>
        </w:rPr>
        <w:t>年</w:t>
      </w:r>
      <w:r>
        <w:rPr>
          <w:sz w:val="28"/>
          <w:szCs w:val="28"/>
        </w:rPr>
        <w:t>_____</w:t>
      </w:r>
      <w:r>
        <w:rPr>
          <w:rFonts w:hint="eastAsia" w:cs="宋体"/>
          <w:sz w:val="28"/>
          <w:szCs w:val="28"/>
        </w:rPr>
        <w:t>月</w:t>
      </w:r>
      <w:r>
        <w:rPr>
          <w:sz w:val="28"/>
          <w:szCs w:val="28"/>
        </w:rPr>
        <w:t>______</w:t>
      </w:r>
      <w:r>
        <w:rPr>
          <w:rFonts w:hint="eastAsia" w:cs="宋体"/>
          <w:sz w:val="28"/>
          <w:szCs w:val="28"/>
        </w:rPr>
        <w:t>日</w:t>
      </w:r>
    </w:p>
    <w:p>
      <w:pPr>
        <w:pStyle w:val="70"/>
        <w:spacing w:before="120" w:after="120"/>
        <w:jc w:val="center"/>
        <w:rPr>
          <w:rFonts w:eastAsia="黑体"/>
          <w:b w:val="0"/>
          <w:bCs w:val="0"/>
          <w:sz w:val="44"/>
          <w:szCs w:val="44"/>
        </w:rPr>
      </w:pPr>
      <w:r>
        <w:rPr>
          <w:b w:val="0"/>
          <w:bCs w:val="0"/>
          <w:sz w:val="28"/>
          <w:szCs w:val="28"/>
        </w:rPr>
        <w:br w:type="page"/>
      </w:r>
      <w:r>
        <w:rPr>
          <w:rFonts w:hint="eastAsia" w:cs="宋体"/>
        </w:rPr>
        <w:t>一、开标一览表</w:t>
      </w:r>
    </w:p>
    <w:p>
      <w:pPr>
        <w:ind w:right="630"/>
        <w:jc w:val="right"/>
        <w:rPr>
          <w:snapToGrid w:val="0"/>
        </w:rPr>
      </w:pPr>
      <w:r>
        <w:rPr>
          <w:rFonts w:hint="eastAsia" w:cs="宋体"/>
          <w:snapToGrid w:val="0"/>
        </w:rPr>
        <w:t>单位：人民币元</w:t>
      </w:r>
    </w:p>
    <w:tbl>
      <w:tblPr>
        <w:tblStyle w:val="32"/>
        <w:tblW w:w="0" w:type="auto"/>
        <w:tblInd w:w="123"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0" w:type="dxa"/>
          <w:bottom w:w="0" w:type="dxa"/>
          <w:right w:w="0" w:type="dxa"/>
        </w:tblCellMar>
      </w:tblPr>
      <w:tblGrid>
        <w:gridCol w:w="1819"/>
        <w:gridCol w:w="3589"/>
        <w:gridCol w:w="2651"/>
        <w:gridCol w:w="998"/>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0" w:type="dxa"/>
            <w:bottom w:w="0" w:type="dxa"/>
            <w:right w:w="0" w:type="dxa"/>
          </w:tblCellMar>
        </w:tblPrEx>
        <w:trPr>
          <w:trHeight w:val="723" w:hRule="atLeast"/>
        </w:trPr>
        <w:tc>
          <w:tcPr>
            <w:tcW w:w="1819" w:type="dxa"/>
            <w:vAlign w:val="center"/>
          </w:tcPr>
          <w:p>
            <w:pPr>
              <w:jc w:val="center"/>
              <w:rPr>
                <w:snapToGrid w:val="0"/>
              </w:rPr>
            </w:pPr>
            <w:r>
              <w:rPr>
                <w:rFonts w:hint="eastAsia" w:cs="宋体"/>
                <w:snapToGrid w:val="0"/>
              </w:rPr>
              <w:t>项目编号</w:t>
            </w:r>
          </w:p>
        </w:tc>
        <w:tc>
          <w:tcPr>
            <w:tcW w:w="3589" w:type="dxa"/>
            <w:vAlign w:val="center"/>
          </w:tcPr>
          <w:p>
            <w:pPr>
              <w:jc w:val="center"/>
              <w:rPr>
                <w:snapToGrid w:val="0"/>
              </w:rPr>
            </w:pPr>
            <w:r>
              <w:rPr>
                <w:rFonts w:hint="eastAsia" w:cs="宋体"/>
                <w:snapToGrid w:val="0"/>
              </w:rPr>
              <w:t>项目名称</w:t>
            </w:r>
          </w:p>
        </w:tc>
        <w:tc>
          <w:tcPr>
            <w:tcW w:w="2651" w:type="dxa"/>
            <w:vAlign w:val="center"/>
          </w:tcPr>
          <w:p>
            <w:pPr>
              <w:jc w:val="center"/>
              <w:rPr>
                <w:snapToGrid w:val="0"/>
              </w:rPr>
            </w:pPr>
            <w:r>
              <w:rPr>
                <w:rFonts w:hint="eastAsia" w:cs="宋体"/>
                <w:snapToGrid w:val="0"/>
              </w:rPr>
              <w:t>投标总价</w:t>
            </w:r>
          </w:p>
        </w:tc>
        <w:tc>
          <w:tcPr>
            <w:tcW w:w="998" w:type="dxa"/>
            <w:vAlign w:val="center"/>
          </w:tcPr>
          <w:p>
            <w:pPr>
              <w:jc w:val="center"/>
              <w:rPr>
                <w:snapToGrid w:val="0"/>
              </w:rPr>
            </w:pPr>
            <w:r>
              <w:rPr>
                <w:rFonts w:hint="eastAsia" w:cs="宋体"/>
                <w:snapToGrid w:val="0"/>
              </w:rPr>
              <w:t>备注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0" w:type="dxa"/>
            <w:bottom w:w="0" w:type="dxa"/>
            <w:right w:w="0" w:type="dxa"/>
          </w:tblCellMar>
        </w:tblPrEx>
        <w:trPr>
          <w:trHeight w:val="1996" w:hRule="atLeast"/>
        </w:trPr>
        <w:tc>
          <w:tcPr>
            <w:tcW w:w="1819" w:type="dxa"/>
            <w:vAlign w:val="center"/>
          </w:tcPr>
          <w:p>
            <w:pPr>
              <w:jc w:val="center"/>
              <w:rPr>
                <w:snapToGrid w:val="0"/>
                <w:u w:val="single"/>
              </w:rPr>
            </w:pPr>
            <w:r>
              <w:rPr>
                <w:snapToGrid w:val="0"/>
              </w:rPr>
              <w:t>JX2022ZB-F054</w:t>
            </w:r>
          </w:p>
        </w:tc>
        <w:tc>
          <w:tcPr>
            <w:tcW w:w="3589" w:type="dxa"/>
            <w:vAlign w:val="center"/>
          </w:tcPr>
          <w:p>
            <w:pPr>
              <w:jc w:val="center"/>
              <w:rPr>
                <w:snapToGrid w:val="0"/>
                <w:u w:val="single"/>
              </w:rPr>
            </w:pPr>
            <w:r>
              <w:rPr>
                <w:rFonts w:hint="eastAsia" w:cs="宋体"/>
                <w:snapToGrid w:val="0"/>
              </w:rPr>
              <w:t>深圳市住房和建设局2022年度全媒体网络信息查询服务项目</w:t>
            </w:r>
          </w:p>
        </w:tc>
        <w:tc>
          <w:tcPr>
            <w:tcW w:w="2651" w:type="dxa"/>
            <w:vAlign w:val="center"/>
          </w:tcPr>
          <w:p>
            <w:pPr>
              <w:rPr>
                <w:snapToGrid w:val="0"/>
              </w:rPr>
            </w:pPr>
            <w:r>
              <w:rPr>
                <w:rFonts w:hint="eastAsia" w:cs="宋体"/>
                <w:snapToGrid w:val="0"/>
              </w:rPr>
              <w:t>大写：</w:t>
            </w:r>
          </w:p>
          <w:p>
            <w:pPr>
              <w:rPr>
                <w:snapToGrid w:val="0"/>
              </w:rPr>
            </w:pPr>
            <w:r>
              <w:rPr>
                <w:rFonts w:hint="eastAsia" w:cs="宋体"/>
                <w:snapToGrid w:val="0"/>
              </w:rPr>
              <w:t>小写：</w:t>
            </w:r>
          </w:p>
        </w:tc>
        <w:tc>
          <w:tcPr>
            <w:tcW w:w="998" w:type="dxa"/>
            <w:vAlign w:val="center"/>
          </w:tcPr>
          <w:p>
            <w:pPr>
              <w:jc w:val="center"/>
              <w:rPr>
                <w:snapToGrid w:val="0"/>
              </w:rPr>
            </w:pPr>
          </w:p>
        </w:tc>
      </w:tr>
    </w:tbl>
    <w:p>
      <w:pPr>
        <w:jc w:val="right"/>
        <w:rPr>
          <w:snapToGrid w:val="0"/>
        </w:rPr>
      </w:pPr>
    </w:p>
    <w:p>
      <w:pPr>
        <w:rPr>
          <w:snapToGrid w:val="0"/>
        </w:rPr>
      </w:pPr>
      <w:r>
        <w:rPr>
          <w:rFonts w:hint="eastAsia" w:cs="宋体"/>
          <w:snapToGrid w:val="0"/>
        </w:rPr>
        <w:t>注：</w:t>
      </w:r>
      <w:r>
        <w:rPr>
          <w:snapToGrid w:val="0"/>
        </w:rPr>
        <w:t>1</w:t>
      </w:r>
      <w:r>
        <w:rPr>
          <w:rFonts w:hint="eastAsia" w:cs="宋体"/>
          <w:snapToGrid w:val="0"/>
        </w:rPr>
        <w:t>、价格应按</w:t>
      </w:r>
      <w:r>
        <w:rPr>
          <w:snapToGrid w:val="0"/>
        </w:rPr>
        <w:t>“</w:t>
      </w:r>
      <w:r>
        <w:rPr>
          <w:rFonts w:hint="eastAsia" w:cs="宋体"/>
          <w:snapToGrid w:val="0"/>
        </w:rPr>
        <w:t>招标文件</w:t>
      </w:r>
      <w:r>
        <w:rPr>
          <w:snapToGrid w:val="0"/>
        </w:rPr>
        <w:t>”</w:t>
      </w:r>
      <w:r>
        <w:rPr>
          <w:rFonts w:hint="eastAsia" w:cs="宋体"/>
          <w:snapToGrid w:val="0"/>
        </w:rPr>
        <w:t>中规定的货币单位填写。</w:t>
      </w:r>
    </w:p>
    <w:p>
      <w:pPr>
        <w:ind w:firstLine="420"/>
      </w:pPr>
      <w:r>
        <w:rPr>
          <w:rFonts w:hint="eastAsia"/>
          <w:snapToGrid w:val="0"/>
        </w:rPr>
        <w:t>2</w:t>
      </w:r>
      <w:r>
        <w:rPr>
          <w:rFonts w:hint="eastAsia" w:cs="宋体"/>
          <w:snapToGrid w:val="0"/>
        </w:rPr>
        <w:t>、投标人如果需要对报价或其它内容加以说明，可在备注栏填写。</w:t>
      </w:r>
    </w:p>
    <w:p>
      <w:pPr>
        <w:ind w:firstLine="420"/>
        <w:rPr>
          <w:rFonts w:cs="宋体"/>
        </w:rPr>
      </w:pPr>
      <w:r>
        <w:rPr>
          <w:rFonts w:hint="eastAsia"/>
        </w:rPr>
        <w:t>3</w:t>
      </w:r>
      <w:r>
        <w:rPr>
          <w:rFonts w:hint="eastAsia" w:cs="宋体"/>
        </w:rPr>
        <w:t>、开标一览表和投标文件（含正本和副本）应分开独立密封包装。</w:t>
      </w:r>
    </w:p>
    <w:p>
      <w:pPr>
        <w:ind w:firstLine="420"/>
        <w:rPr>
          <w:rFonts w:cs="宋体"/>
        </w:rPr>
      </w:pPr>
    </w:p>
    <w:p>
      <w:pPr>
        <w:ind w:firstLine="420"/>
      </w:pPr>
    </w:p>
    <w:p>
      <w:pPr>
        <w:ind w:firstLine="420"/>
      </w:pPr>
    </w:p>
    <w:p>
      <w:pPr>
        <w:ind w:right="2100"/>
        <w:jc w:val="right"/>
        <w:rPr>
          <w:snapToGrid w:val="0"/>
        </w:rPr>
      </w:pPr>
      <w:r>
        <w:rPr>
          <w:rFonts w:hint="eastAsia" w:cs="宋体"/>
          <w:snapToGrid w:val="0"/>
        </w:rPr>
        <w:t>法定代表人或被授权人签名：</w:t>
      </w:r>
    </w:p>
    <w:p>
      <w:pPr>
        <w:ind w:right="2100"/>
        <w:jc w:val="right"/>
        <w:rPr>
          <w:snapToGrid w:val="0"/>
        </w:rPr>
      </w:pPr>
    </w:p>
    <w:p>
      <w:pPr>
        <w:ind w:right="2100"/>
        <w:jc w:val="right"/>
        <w:rPr>
          <w:rFonts w:cs="宋体"/>
          <w:snapToGrid w:val="0"/>
        </w:rPr>
      </w:pPr>
      <w:r>
        <w:rPr>
          <w:rFonts w:hint="eastAsia" w:cs="宋体"/>
          <w:snapToGrid w:val="0"/>
        </w:rPr>
        <w:t>投标单位公章：</w:t>
      </w:r>
    </w:p>
    <w:p>
      <w:pPr>
        <w:ind w:right="2100"/>
        <w:jc w:val="right"/>
        <w:rPr>
          <w:snapToGrid w:val="0"/>
        </w:rPr>
      </w:pPr>
      <w:r>
        <w:rPr>
          <w:rFonts w:cs="宋体"/>
          <w:snapToGrid w:val="0"/>
        </w:rPr>
        <w:br w:type="page"/>
      </w:r>
    </w:p>
    <w:p>
      <w:pPr>
        <w:ind w:right="2835"/>
        <w:jc w:val="center"/>
        <w:rPr>
          <w:snapToGrid w:val="0"/>
        </w:rPr>
      </w:pPr>
      <w:r>
        <w:rPr>
          <w:rFonts w:hint="eastAsia" w:cs="宋体"/>
          <w:b/>
          <w:bCs/>
          <w:sz w:val="32"/>
          <w:szCs w:val="32"/>
        </w:rPr>
        <w:t>二、法定代表人资格证明书</w:t>
      </w:r>
    </w:p>
    <w:p>
      <w:pPr>
        <w:widowControl w:val="0"/>
        <w:spacing w:line="360" w:lineRule="auto"/>
        <w:rPr>
          <w:rFonts w:ascii="Calibri" w:hAnsi="Calibri"/>
          <w:bCs/>
          <w:kern w:val="2"/>
          <w:sz w:val="24"/>
          <w:szCs w:val="24"/>
        </w:rPr>
      </w:pPr>
    </w:p>
    <w:p>
      <w:pPr>
        <w:widowControl w:val="0"/>
        <w:spacing w:line="360" w:lineRule="auto"/>
        <w:ind w:firstLine="420" w:firstLineChars="200"/>
        <w:rPr>
          <w:rFonts w:ascii="Calibri" w:hAnsi="Calibri"/>
          <w:kern w:val="2"/>
        </w:rPr>
      </w:pPr>
      <w:r>
        <w:rPr>
          <w:rFonts w:hint="eastAsia" w:ascii="Calibri" w:hAnsi="Calibri"/>
          <w:kern w:val="2"/>
        </w:rPr>
        <w:t>同志，现任我单位职务，为法定代表人（负责人），特此证明。</w:t>
      </w:r>
    </w:p>
    <w:p>
      <w:pPr>
        <w:widowControl w:val="0"/>
        <w:spacing w:line="360" w:lineRule="auto"/>
        <w:rPr>
          <w:rFonts w:ascii="Calibri" w:hAnsi="Calibri"/>
          <w:kern w:val="2"/>
        </w:rPr>
      </w:pPr>
    </w:p>
    <w:p>
      <w:pPr>
        <w:widowControl w:val="0"/>
        <w:spacing w:line="360" w:lineRule="auto"/>
        <w:rPr>
          <w:rFonts w:ascii="Calibri" w:hAnsi="Calibri"/>
          <w:kern w:val="2"/>
        </w:rPr>
      </w:pPr>
      <w:r>
        <w:rPr>
          <w:rFonts w:hint="eastAsia" w:ascii="Calibri" w:hAnsi="Calibri"/>
          <w:kern w:val="2"/>
        </w:rPr>
        <w:t>说明：1、法定代表人为投标人（企业事业单位、国家机关、社会团体）的主要行政负责人。</w:t>
      </w:r>
    </w:p>
    <w:p>
      <w:pPr>
        <w:widowControl w:val="0"/>
        <w:rPr>
          <w:rFonts w:ascii="Calibri" w:hAnsi="Calibri"/>
          <w:kern w:val="2"/>
        </w:rPr>
      </w:pPr>
      <w:r>
        <w:rPr>
          <w:rFonts w:hint="eastAsia" w:ascii="Calibri" w:hAnsi="Calibri"/>
          <w:kern w:val="2"/>
        </w:rPr>
        <w:t xml:space="preserve">      2、内容必须填写真实、清楚，涂改无效，不得转让、买卖。</w:t>
      </w:r>
    </w:p>
    <w:p>
      <w:pPr>
        <w:widowControl w:val="0"/>
        <w:rPr>
          <w:rFonts w:ascii="Calibri" w:hAnsi="Calibri"/>
          <w:kern w:val="2"/>
        </w:rPr>
      </w:pPr>
    </w:p>
    <w:p>
      <w:pPr>
        <w:widowControl w:val="0"/>
        <w:rPr>
          <w:rFonts w:ascii="Calibri" w:hAnsi="Calibri"/>
          <w:kern w:val="2"/>
        </w:rPr>
      </w:pPr>
    </w:p>
    <w:p>
      <w:pPr>
        <w:widowControl w:val="0"/>
        <w:rPr>
          <w:rFonts w:ascii="Calibri" w:hAnsi="Calibri"/>
          <w:kern w:val="2"/>
        </w:rPr>
      </w:pPr>
    </w:p>
    <w:p>
      <w:pPr>
        <w:widowControl w:val="0"/>
        <w:ind w:right="420"/>
        <w:jc w:val="center"/>
        <w:rPr>
          <w:rFonts w:ascii="Calibri" w:hAnsi="Calibri"/>
          <w:kern w:val="2"/>
        </w:rPr>
      </w:pPr>
      <w:r>
        <w:rPr>
          <w:rFonts w:hint="eastAsia" w:ascii="Calibri" w:hAnsi="Calibri"/>
          <w:kern w:val="2"/>
        </w:rPr>
        <w:t>投标人名称（加盖公章）：</w:t>
      </w:r>
    </w:p>
    <w:p>
      <w:pPr>
        <w:widowControl w:val="0"/>
        <w:ind w:right="840"/>
        <w:jc w:val="center"/>
        <w:rPr>
          <w:rFonts w:ascii="Calibri" w:hAnsi="Calibri"/>
          <w:kern w:val="2"/>
        </w:rPr>
      </w:pPr>
      <w:r>
        <w:rPr>
          <w:rFonts w:hint="eastAsia" w:ascii="Calibri" w:hAnsi="Calibri"/>
          <w:kern w:val="2"/>
        </w:rPr>
        <w:t>日期：</w:t>
      </w:r>
    </w:p>
    <w:p>
      <w:pPr>
        <w:widowControl w:val="0"/>
        <w:spacing w:line="360" w:lineRule="auto"/>
        <w:ind w:firstLine="421" w:firstLineChars="200"/>
        <w:rPr>
          <w:rFonts w:ascii="Calibri" w:hAnsi="Calibri"/>
          <w:b/>
          <w:color w:val="FF0000"/>
          <w:kern w:val="2"/>
        </w:rPr>
      </w:pPr>
      <w:r>
        <w:rPr>
          <w:rFonts w:hint="eastAsia" w:ascii="Calibri" w:hAnsi="Calibri"/>
          <w:b/>
          <w:color w:val="FF0000"/>
          <w:kern w:val="2"/>
        </w:rPr>
        <w:t>附：请提供法定代表人（负责人）身份证扫描件（正反两面）；港澳台居民可提供来往通行证扫描件；非中国国籍管辖范围人员，可提供公安部门认可的身份证明材料扫描件。</w:t>
      </w:r>
    </w:p>
    <w:p>
      <w:pPr>
        <w:widowControl w:val="0"/>
        <w:spacing w:line="360" w:lineRule="auto"/>
        <w:rPr>
          <w:rFonts w:ascii="Calibri" w:hAnsi="Calibri"/>
          <w:bCs/>
          <w:kern w:val="2"/>
          <w:sz w:val="24"/>
          <w:szCs w:val="24"/>
        </w:rPr>
      </w:pPr>
    </w:p>
    <w:p>
      <w:pPr>
        <w:keepNext/>
        <w:keepLines/>
        <w:widowControl w:val="0"/>
        <w:spacing w:before="120" w:after="120" w:line="416" w:lineRule="auto"/>
        <w:jc w:val="center"/>
        <w:outlineLvl w:val="2"/>
        <w:rPr>
          <w:rFonts w:ascii="Calibri" w:hAnsi="Calibri"/>
          <w:bCs/>
          <w:kern w:val="2"/>
          <w:sz w:val="32"/>
          <w:szCs w:val="32"/>
        </w:rPr>
      </w:pPr>
      <w:r>
        <w:rPr>
          <w:rFonts w:hint="eastAsia" w:ascii="Calibri" w:hAnsi="Calibri"/>
          <w:b/>
          <w:bCs/>
          <w:kern w:val="2"/>
          <w:sz w:val="32"/>
          <w:szCs w:val="32"/>
        </w:rPr>
        <w:t>三</w:t>
      </w:r>
      <w:r>
        <w:rPr>
          <w:rFonts w:ascii="Calibri" w:hAnsi="Calibri"/>
          <w:b/>
          <w:bCs/>
          <w:kern w:val="2"/>
          <w:sz w:val="32"/>
          <w:szCs w:val="32"/>
        </w:rPr>
        <w:t>、法定代表人授权书</w:t>
      </w:r>
    </w:p>
    <w:p>
      <w:pPr>
        <w:widowControl w:val="0"/>
        <w:rPr>
          <w:rFonts w:ascii="Calibri" w:hAnsi="Calibri"/>
          <w:bCs/>
          <w:kern w:val="2"/>
          <w:sz w:val="24"/>
          <w:szCs w:val="24"/>
        </w:rPr>
      </w:pPr>
    </w:p>
    <w:p>
      <w:pPr>
        <w:widowControl w:val="0"/>
        <w:spacing w:line="360" w:lineRule="auto"/>
        <w:ind w:firstLine="420" w:firstLineChars="200"/>
        <w:rPr>
          <w:rFonts w:ascii="Calibri" w:hAnsi="Calibri"/>
          <w:kern w:val="2"/>
        </w:rPr>
      </w:pPr>
      <w:r>
        <w:rPr>
          <w:rFonts w:hint="eastAsia" w:ascii="Calibri" w:hAnsi="Calibri"/>
          <w:kern w:val="2"/>
        </w:rPr>
        <w:t>本授权委托书声明：我（姓名）系（投标人名称）的法定代表人（负责人），现授权委托（姓名）为我单位签署本项目已递交的投标文件的法定代表人（负责人）的授权委托代理人，代理人全权代表我所签署的本项目已递交的投标文件内容我均承认。</w:t>
      </w:r>
    </w:p>
    <w:p>
      <w:pPr>
        <w:widowControl w:val="0"/>
        <w:spacing w:line="360" w:lineRule="auto"/>
        <w:ind w:firstLine="420" w:firstLineChars="200"/>
        <w:rPr>
          <w:rFonts w:ascii="Calibri" w:hAnsi="Calibri"/>
          <w:kern w:val="2"/>
        </w:rPr>
      </w:pPr>
      <w:r>
        <w:rPr>
          <w:rFonts w:hint="eastAsia" w:ascii="Calibri" w:hAnsi="Calibri"/>
          <w:kern w:val="2"/>
        </w:rPr>
        <w:t>代理人无转委托权，特此委托。</w:t>
      </w:r>
    </w:p>
    <w:p>
      <w:pPr>
        <w:widowControl w:val="0"/>
        <w:spacing w:line="360" w:lineRule="auto"/>
        <w:ind w:firstLine="420" w:firstLineChars="200"/>
        <w:rPr>
          <w:rFonts w:ascii="Calibri" w:hAnsi="Calibri"/>
          <w:kern w:val="2"/>
        </w:rPr>
      </w:pPr>
    </w:p>
    <w:p>
      <w:pPr>
        <w:widowControl w:val="0"/>
        <w:spacing w:line="360" w:lineRule="auto"/>
        <w:ind w:firstLine="525" w:firstLineChars="250"/>
        <w:rPr>
          <w:rFonts w:ascii="Calibri" w:hAnsi="Calibri"/>
          <w:kern w:val="2"/>
        </w:rPr>
      </w:pPr>
      <w:r>
        <w:rPr>
          <w:rFonts w:hint="eastAsia" w:ascii="Calibri" w:hAnsi="Calibri"/>
          <w:kern w:val="2"/>
        </w:rPr>
        <w:t>代理人：</w:t>
      </w:r>
      <w:r>
        <w:rPr>
          <w:rFonts w:hint="eastAsia" w:ascii="Calibri" w:hAnsi="Calibri"/>
          <w:kern w:val="2"/>
          <w:u w:val="single"/>
        </w:rPr>
        <w:tab/>
      </w:r>
    </w:p>
    <w:p>
      <w:pPr>
        <w:widowControl w:val="0"/>
        <w:spacing w:line="360" w:lineRule="auto"/>
        <w:ind w:left="540" w:leftChars="257"/>
        <w:rPr>
          <w:rFonts w:ascii="Calibri" w:hAnsi="Calibri"/>
          <w:kern w:val="2"/>
        </w:rPr>
      </w:pPr>
      <w:r>
        <w:rPr>
          <w:rFonts w:hint="eastAsia" w:ascii="Calibri" w:hAnsi="Calibri"/>
          <w:kern w:val="2"/>
        </w:rPr>
        <w:t>联系电话：</w:t>
      </w:r>
      <w:r>
        <w:rPr>
          <w:rFonts w:hint="eastAsia" w:ascii="Calibri" w:hAnsi="Calibri"/>
          <w:kern w:val="2"/>
          <w:u w:val="single"/>
        </w:rPr>
        <w:tab/>
      </w:r>
      <w:r>
        <w:rPr>
          <w:rFonts w:hint="eastAsia" w:ascii="Calibri" w:hAnsi="Calibri"/>
          <w:kern w:val="2"/>
        </w:rPr>
        <w:t>手机：</w:t>
      </w:r>
      <w:r>
        <w:rPr>
          <w:rFonts w:hint="eastAsia" w:ascii="Calibri" w:hAnsi="Calibri"/>
          <w:kern w:val="2"/>
          <w:u w:val="single"/>
        </w:rPr>
        <w:tab/>
      </w:r>
    </w:p>
    <w:p>
      <w:pPr>
        <w:widowControl w:val="0"/>
        <w:spacing w:line="360" w:lineRule="auto"/>
        <w:ind w:left="540" w:leftChars="257"/>
        <w:rPr>
          <w:rFonts w:ascii="Calibri" w:hAnsi="Calibri"/>
          <w:kern w:val="2"/>
          <w:u w:val="single"/>
        </w:rPr>
      </w:pPr>
      <w:r>
        <w:rPr>
          <w:rFonts w:hint="eastAsia" w:ascii="Calibri" w:hAnsi="Calibri"/>
          <w:kern w:val="2"/>
        </w:rPr>
        <w:t>身份证号码：</w:t>
      </w:r>
      <w:r>
        <w:rPr>
          <w:rFonts w:hint="eastAsia" w:ascii="Calibri" w:hAnsi="Calibri"/>
          <w:kern w:val="2"/>
          <w:u w:val="single"/>
        </w:rPr>
        <w:tab/>
      </w:r>
      <w:r>
        <w:rPr>
          <w:rFonts w:hint="eastAsia" w:ascii="Calibri" w:hAnsi="Calibri"/>
          <w:kern w:val="2"/>
        </w:rPr>
        <w:t>职务：</w:t>
      </w:r>
      <w:r>
        <w:rPr>
          <w:rFonts w:hint="eastAsia" w:ascii="Calibri" w:hAnsi="Calibri"/>
          <w:kern w:val="2"/>
          <w:u w:val="single"/>
        </w:rPr>
        <w:tab/>
      </w:r>
    </w:p>
    <w:p>
      <w:pPr>
        <w:widowControl w:val="0"/>
        <w:spacing w:line="360" w:lineRule="auto"/>
        <w:ind w:left="540" w:leftChars="257"/>
        <w:rPr>
          <w:rFonts w:ascii="Calibri" w:hAnsi="Calibri"/>
          <w:kern w:val="2"/>
        </w:rPr>
      </w:pPr>
      <w:r>
        <w:rPr>
          <w:rFonts w:hint="eastAsia" w:ascii="Calibri" w:hAnsi="Calibri"/>
          <w:kern w:val="2"/>
        </w:rPr>
        <w:t>授权委托日期：年</w:t>
      </w:r>
      <w:r>
        <w:rPr>
          <w:rFonts w:hint="eastAsia" w:ascii="Calibri" w:hAnsi="Calibri"/>
          <w:kern w:val="2"/>
          <w:u w:val="single"/>
        </w:rPr>
        <w:tab/>
      </w:r>
      <w:r>
        <w:rPr>
          <w:rFonts w:hint="eastAsia" w:ascii="Calibri" w:hAnsi="Calibri"/>
          <w:kern w:val="2"/>
        </w:rPr>
        <w:t>月</w:t>
      </w:r>
      <w:r>
        <w:rPr>
          <w:rFonts w:hint="eastAsia" w:ascii="Calibri" w:hAnsi="Calibri"/>
          <w:kern w:val="2"/>
          <w:u w:val="single"/>
        </w:rPr>
        <w:tab/>
      </w:r>
      <w:r>
        <w:rPr>
          <w:rFonts w:hint="eastAsia" w:ascii="Calibri" w:hAnsi="Calibri"/>
          <w:kern w:val="2"/>
        </w:rPr>
        <w:t>日</w:t>
      </w:r>
    </w:p>
    <w:p>
      <w:pPr>
        <w:widowControl w:val="0"/>
        <w:spacing w:line="360" w:lineRule="auto"/>
        <w:rPr>
          <w:rFonts w:ascii="Calibri" w:hAnsi="Calibri"/>
          <w:kern w:val="2"/>
        </w:rPr>
      </w:pPr>
    </w:p>
    <w:p>
      <w:pPr>
        <w:widowControl w:val="0"/>
        <w:ind w:right="420"/>
        <w:jc w:val="center"/>
        <w:rPr>
          <w:rFonts w:ascii="Calibri" w:hAnsi="Calibri"/>
          <w:kern w:val="2"/>
        </w:rPr>
      </w:pPr>
      <w:r>
        <w:rPr>
          <w:rFonts w:hint="eastAsia" w:ascii="Calibri" w:hAnsi="Calibri"/>
          <w:kern w:val="2"/>
        </w:rPr>
        <w:t>投标人名称（加盖公章）：</w:t>
      </w:r>
    </w:p>
    <w:p>
      <w:pPr>
        <w:widowControl w:val="0"/>
        <w:ind w:right="840"/>
        <w:jc w:val="center"/>
        <w:rPr>
          <w:rFonts w:ascii="Calibri" w:hAnsi="Calibri"/>
          <w:kern w:val="2"/>
        </w:rPr>
      </w:pPr>
      <w:r>
        <w:rPr>
          <w:rFonts w:hint="eastAsia" w:ascii="Calibri" w:hAnsi="Calibri"/>
          <w:kern w:val="2"/>
        </w:rPr>
        <w:t>日期：</w:t>
      </w:r>
    </w:p>
    <w:p>
      <w:pPr>
        <w:widowControl w:val="0"/>
        <w:rPr>
          <w:rFonts w:ascii="Calibri" w:hAnsi="Calibri"/>
          <w:kern w:val="2"/>
          <w:szCs w:val="24"/>
        </w:rPr>
      </w:pPr>
    </w:p>
    <w:p>
      <w:pPr>
        <w:widowControl w:val="0"/>
        <w:ind w:right="1680" w:rightChars="800"/>
        <w:jc w:val="center"/>
        <w:outlineLvl w:val="2"/>
        <w:rPr>
          <w:rFonts w:ascii="Calibri" w:hAnsi="Calibri"/>
          <w:bCs/>
          <w:kern w:val="2"/>
        </w:rPr>
      </w:pPr>
      <w:r>
        <w:rPr>
          <w:rFonts w:hint="eastAsia" w:ascii="Calibri" w:hAnsi="Calibri"/>
          <w:b/>
          <w:color w:val="FF0000"/>
          <w:kern w:val="2"/>
        </w:rPr>
        <w:t>附：请提供代理人身份证扫描件（正反两面）；港澳台居民可提供来往通行证扫描件；非中国国籍管辖范围人员，可提供公安部门认可的身份证明材料扫描件。</w:t>
      </w:r>
    </w:p>
    <w:p>
      <w:pPr>
        <w:pStyle w:val="73"/>
        <w:jc w:val="center"/>
        <w:rPr>
          <w:rFonts w:ascii="Times New Roman" w:hAnsi="Times New Roman"/>
          <w:sz w:val="28"/>
          <w:szCs w:val="28"/>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spacing w:line="360" w:lineRule="auto"/>
        <w:rPr>
          <w:sz w:val="24"/>
          <w:szCs w:val="24"/>
        </w:rPr>
      </w:pPr>
    </w:p>
    <w:p>
      <w:pPr>
        <w:jc w:val="center"/>
        <w:rPr>
          <w:sz w:val="52"/>
          <w:szCs w:val="52"/>
        </w:rPr>
      </w:pPr>
      <w:r>
        <w:rPr>
          <w:rFonts w:hint="eastAsia" w:cs="宋体"/>
          <w:sz w:val="52"/>
          <w:szCs w:val="52"/>
        </w:rPr>
        <w:t>深圳市住房和建设局2022年度全媒体网络信息查询服务项目</w:t>
      </w:r>
    </w:p>
    <w:p>
      <w:pPr>
        <w:jc w:val="center"/>
        <w:rPr>
          <w:sz w:val="44"/>
          <w:szCs w:val="44"/>
        </w:rPr>
      </w:pPr>
      <w:r>
        <w:rPr>
          <w:rFonts w:hint="eastAsia" w:cs="宋体"/>
          <w:sz w:val="44"/>
          <w:szCs w:val="44"/>
        </w:rPr>
        <w:t>（投标文件）</w:t>
      </w:r>
    </w:p>
    <w:p>
      <w:pPr>
        <w:jc w:val="center"/>
        <w:rPr>
          <w:sz w:val="44"/>
          <w:szCs w:val="44"/>
        </w:rPr>
      </w:pPr>
    </w:p>
    <w:p>
      <w:pPr>
        <w:jc w:val="center"/>
        <w:rPr>
          <w:sz w:val="44"/>
          <w:szCs w:val="44"/>
        </w:rPr>
      </w:pPr>
    </w:p>
    <w:p>
      <w:pPr>
        <w:jc w:val="center"/>
        <w:rPr>
          <w:sz w:val="44"/>
          <w:szCs w:val="44"/>
        </w:rPr>
      </w:pPr>
    </w:p>
    <w:p>
      <w:pPr>
        <w:jc w:val="center"/>
        <w:rPr>
          <w:sz w:val="44"/>
          <w:szCs w:val="44"/>
        </w:rPr>
      </w:pPr>
    </w:p>
    <w:p>
      <w:pPr>
        <w:rPr>
          <w:sz w:val="44"/>
          <w:szCs w:val="44"/>
        </w:rPr>
      </w:pPr>
    </w:p>
    <w:p>
      <w:pPr>
        <w:spacing w:line="480" w:lineRule="auto"/>
        <w:ind w:firstLine="1400"/>
        <w:rPr>
          <w:sz w:val="28"/>
          <w:szCs w:val="28"/>
          <w:u w:val="single"/>
        </w:rPr>
      </w:pPr>
      <w:r>
        <w:rPr>
          <w:rFonts w:hint="eastAsia" w:cs="宋体"/>
          <w:sz w:val="28"/>
          <w:szCs w:val="28"/>
        </w:rPr>
        <w:t>项目编号：</w:t>
      </w:r>
      <w:r>
        <w:rPr>
          <w:sz w:val="28"/>
          <w:szCs w:val="28"/>
        </w:rPr>
        <w:t>_____________________________</w:t>
      </w:r>
    </w:p>
    <w:p>
      <w:pPr>
        <w:spacing w:line="480" w:lineRule="auto"/>
        <w:ind w:firstLine="1400"/>
        <w:rPr>
          <w:sz w:val="28"/>
          <w:szCs w:val="28"/>
          <w:u w:val="single"/>
        </w:rPr>
      </w:pPr>
      <w:r>
        <w:rPr>
          <w:rFonts w:hint="eastAsia" w:cs="宋体"/>
          <w:sz w:val="28"/>
          <w:szCs w:val="28"/>
        </w:rPr>
        <w:t>供应商（盖章）：</w:t>
      </w:r>
      <w:r>
        <w:rPr>
          <w:sz w:val="28"/>
          <w:szCs w:val="28"/>
        </w:rPr>
        <w:t>___________________________</w:t>
      </w:r>
    </w:p>
    <w:p>
      <w:pPr>
        <w:spacing w:line="480" w:lineRule="auto"/>
        <w:ind w:firstLine="1400"/>
        <w:rPr>
          <w:sz w:val="28"/>
          <w:szCs w:val="28"/>
        </w:rPr>
      </w:pPr>
      <w:r>
        <w:rPr>
          <w:rFonts w:hint="eastAsia" w:cs="宋体"/>
          <w:sz w:val="28"/>
          <w:szCs w:val="28"/>
        </w:rPr>
        <w:t>法定代表人或授权委托人签字：</w:t>
      </w:r>
      <w:r>
        <w:rPr>
          <w:sz w:val="28"/>
          <w:szCs w:val="28"/>
        </w:rPr>
        <w:t>__________________</w:t>
      </w:r>
    </w:p>
    <w:p>
      <w:pPr>
        <w:ind w:firstLine="1400"/>
        <w:rPr>
          <w:sz w:val="28"/>
          <w:szCs w:val="28"/>
        </w:rPr>
      </w:pPr>
      <w:r>
        <w:rPr>
          <w:rFonts w:hint="eastAsia" w:cs="宋体"/>
          <w:sz w:val="28"/>
          <w:szCs w:val="28"/>
        </w:rPr>
        <w:t>投标日期：</w:t>
      </w:r>
      <w:r>
        <w:rPr>
          <w:sz w:val="28"/>
          <w:szCs w:val="28"/>
        </w:rPr>
        <w:t>____________</w:t>
      </w:r>
      <w:r>
        <w:rPr>
          <w:rFonts w:hint="eastAsia" w:cs="宋体"/>
          <w:sz w:val="28"/>
          <w:szCs w:val="28"/>
        </w:rPr>
        <w:t>年</w:t>
      </w:r>
      <w:r>
        <w:rPr>
          <w:sz w:val="28"/>
          <w:szCs w:val="28"/>
        </w:rPr>
        <w:t>_____</w:t>
      </w:r>
      <w:r>
        <w:rPr>
          <w:rFonts w:hint="eastAsia" w:cs="宋体"/>
          <w:sz w:val="28"/>
          <w:szCs w:val="28"/>
        </w:rPr>
        <w:t>月</w:t>
      </w:r>
      <w:r>
        <w:rPr>
          <w:sz w:val="28"/>
          <w:szCs w:val="28"/>
        </w:rPr>
        <w:t>______</w:t>
      </w:r>
      <w:r>
        <w:rPr>
          <w:rFonts w:hint="eastAsia" w:cs="宋体"/>
          <w:sz w:val="28"/>
          <w:szCs w:val="28"/>
        </w:rPr>
        <w:t>日</w:t>
      </w:r>
    </w:p>
    <w:bookmarkEnd w:id="281"/>
    <w:p>
      <w:pPr>
        <w:rPr>
          <w:b/>
          <w:bCs/>
          <w:sz w:val="32"/>
          <w:szCs w:val="32"/>
        </w:rPr>
      </w:pPr>
    </w:p>
    <w:p>
      <w:pPr>
        <w:jc w:val="center"/>
        <w:outlineLvl w:val="2"/>
        <w:rPr>
          <w:sz w:val="24"/>
        </w:rPr>
      </w:pPr>
      <w:r>
        <w:rPr>
          <w:b/>
          <w:bCs/>
          <w:sz w:val="32"/>
          <w:szCs w:val="32"/>
        </w:rPr>
        <w:br w:type="page"/>
      </w:r>
      <w:r>
        <w:rPr>
          <w:b/>
          <w:bCs/>
          <w:sz w:val="32"/>
          <w:szCs w:val="32"/>
        </w:rPr>
        <w:t>一、评标指引表</w:t>
      </w:r>
    </w:p>
    <w:p>
      <w:pPr>
        <w:jc w:val="center"/>
        <w:rPr>
          <w:b/>
        </w:rPr>
      </w:pPr>
      <w:r>
        <w:rPr>
          <w:b/>
        </w:rPr>
        <w:t>（置于投标文件的首页）</w:t>
      </w:r>
    </w:p>
    <w:p>
      <w:pPr>
        <w:jc w:val="center"/>
        <w:rPr>
          <w:b/>
        </w:rPr>
      </w:pPr>
    </w:p>
    <w:p>
      <w:pPr>
        <w:ind w:firstLine="420" w:firstLineChars="200"/>
      </w:pPr>
      <w:r>
        <w:t>为方便参与该项目的评委专家的评标，快速找到评标事项与该项目投标文件所对应的位置，请投标人参照下表格式，编制本项目评标指引表。</w:t>
      </w:r>
    </w:p>
    <w:p>
      <w:pPr>
        <w:jc w:val="center"/>
        <w:rPr>
          <w:b/>
        </w:rPr>
      </w:pPr>
      <w:r>
        <w:rPr>
          <w:b/>
        </w:rPr>
        <w:t>深圳市住房和建设局2022年度全媒体网络信息查询服务项目</w:t>
      </w:r>
    </w:p>
    <w:p>
      <w:pPr>
        <w:jc w:val="center"/>
        <w:rPr>
          <w:b/>
        </w:rPr>
      </w:pPr>
    </w:p>
    <w:tbl>
      <w:tblPr>
        <w:tblStyle w:val="3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482"/>
        <w:gridCol w:w="658"/>
        <w:gridCol w:w="2160"/>
        <w:gridCol w:w="1307"/>
        <w:gridCol w:w="14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trPr>
        <w:tc>
          <w:tcPr>
            <w:tcW w:w="9854" w:type="dxa"/>
            <w:gridSpan w:val="6"/>
            <w:noWrap/>
          </w:tcPr>
          <w:p>
            <w:pPr>
              <w:jc w:val="center"/>
              <w:rPr>
                <w:b/>
              </w:rPr>
            </w:pPr>
            <w:r>
              <w:rPr>
                <w:b/>
              </w:rPr>
              <w:t>一、资格性审查指引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trPr>
        <w:tc>
          <w:tcPr>
            <w:tcW w:w="828" w:type="dxa"/>
            <w:noWrap/>
          </w:tcPr>
          <w:p>
            <w:pPr>
              <w:jc w:val="center"/>
              <w:rPr>
                <w:b/>
              </w:rPr>
            </w:pPr>
            <w:r>
              <w:rPr>
                <w:b/>
              </w:rPr>
              <w:t>序号</w:t>
            </w:r>
          </w:p>
        </w:tc>
        <w:tc>
          <w:tcPr>
            <w:tcW w:w="3482" w:type="dxa"/>
            <w:noWrap/>
            <w:vAlign w:val="center"/>
          </w:tcPr>
          <w:p>
            <w:pPr>
              <w:jc w:val="center"/>
              <w:rPr>
                <w:b/>
              </w:rPr>
            </w:pPr>
            <w:r>
              <w:rPr>
                <w:b/>
              </w:rPr>
              <w:t>资格性检查项目</w:t>
            </w:r>
          </w:p>
        </w:tc>
        <w:tc>
          <w:tcPr>
            <w:tcW w:w="4125" w:type="dxa"/>
            <w:gridSpan w:val="3"/>
            <w:noWrap/>
            <w:vAlign w:val="center"/>
          </w:tcPr>
          <w:p>
            <w:pPr>
              <w:jc w:val="center"/>
              <w:rPr>
                <w:b/>
              </w:rPr>
            </w:pPr>
            <w:r>
              <w:rPr>
                <w:b/>
              </w:rPr>
              <w:t>证明文件</w:t>
            </w:r>
          </w:p>
        </w:tc>
        <w:tc>
          <w:tcPr>
            <w:tcW w:w="1419" w:type="dxa"/>
            <w:noWrap/>
            <w:vAlign w:val="center"/>
          </w:tcPr>
          <w:p>
            <w:pPr>
              <w:jc w:val="center"/>
              <w:rPr>
                <w:b/>
              </w:rPr>
            </w:pPr>
            <w:r>
              <w:rPr>
                <w:b/>
              </w:rPr>
              <w:t>起止页码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trPr>
        <w:tc>
          <w:tcPr>
            <w:tcW w:w="828" w:type="dxa"/>
            <w:noWrap/>
          </w:tcPr>
          <w:p>
            <w:pPr>
              <w:jc w:val="center"/>
              <w:rPr>
                <w:b/>
              </w:rPr>
            </w:pPr>
            <w:r>
              <w:rPr>
                <w:b/>
              </w:rPr>
              <w:t>1</w:t>
            </w:r>
          </w:p>
        </w:tc>
        <w:tc>
          <w:tcPr>
            <w:tcW w:w="3482" w:type="dxa"/>
            <w:noWrap/>
          </w:tcPr>
          <w:p>
            <w:pPr>
              <w:rPr>
                <w:sz w:val="18"/>
                <w:szCs w:val="18"/>
              </w:rPr>
            </w:pPr>
            <w:r>
              <w:rPr>
                <w:rFonts w:hint="eastAsia" w:cs="宋体"/>
                <w:sz w:val="18"/>
                <w:szCs w:val="18"/>
              </w:rPr>
              <w:t>投标人不具备招标资质要求，或未提交相应资格证明材料</w:t>
            </w:r>
            <w:r>
              <w:rPr>
                <w:sz w:val="18"/>
                <w:szCs w:val="18"/>
              </w:rPr>
              <w:t>(</w:t>
            </w:r>
            <w:r>
              <w:rPr>
                <w:rFonts w:hint="eastAsia" w:cs="宋体"/>
                <w:sz w:val="18"/>
                <w:szCs w:val="18"/>
              </w:rPr>
              <w:t>详见招标公告投标人资质要求，其中未列示的资质要求不得导致废标。</w:t>
            </w:r>
            <w:r>
              <w:rPr>
                <w:sz w:val="18"/>
                <w:szCs w:val="18"/>
              </w:rPr>
              <w:t>)</w:t>
            </w:r>
          </w:p>
        </w:tc>
        <w:tc>
          <w:tcPr>
            <w:tcW w:w="4125" w:type="dxa"/>
            <w:gridSpan w:val="3"/>
            <w:noWrap/>
            <w:vAlign w:val="center"/>
          </w:tcPr>
          <w:p>
            <w:pPr>
              <w:jc w:val="center"/>
              <w:rPr>
                <w:b/>
              </w:rPr>
            </w:pPr>
          </w:p>
        </w:tc>
        <w:tc>
          <w:tcPr>
            <w:tcW w:w="1419" w:type="dxa"/>
            <w:noWrap/>
            <w:vAlign w:val="center"/>
          </w:tcPr>
          <w:p>
            <w:pPr>
              <w:jc w:val="center"/>
              <w:rPr>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trPr>
        <w:tc>
          <w:tcPr>
            <w:tcW w:w="9854" w:type="dxa"/>
            <w:gridSpan w:val="6"/>
            <w:noWrap/>
          </w:tcPr>
          <w:p>
            <w:pPr>
              <w:jc w:val="center"/>
              <w:rPr>
                <w:b/>
              </w:rPr>
            </w:pPr>
            <w:r>
              <w:rPr>
                <w:b/>
              </w:rPr>
              <w:t>二、符合性审查指引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trPr>
        <w:tc>
          <w:tcPr>
            <w:tcW w:w="828" w:type="dxa"/>
            <w:noWrap/>
          </w:tcPr>
          <w:p>
            <w:pPr>
              <w:jc w:val="center"/>
              <w:rPr>
                <w:b/>
              </w:rPr>
            </w:pPr>
            <w:r>
              <w:rPr>
                <w:b/>
              </w:rPr>
              <w:t>序号</w:t>
            </w:r>
          </w:p>
        </w:tc>
        <w:tc>
          <w:tcPr>
            <w:tcW w:w="3482" w:type="dxa"/>
            <w:noWrap/>
            <w:vAlign w:val="center"/>
          </w:tcPr>
          <w:p>
            <w:pPr>
              <w:jc w:val="center"/>
              <w:rPr>
                <w:b/>
              </w:rPr>
            </w:pPr>
            <w:r>
              <w:rPr>
                <w:b/>
              </w:rPr>
              <w:t>符合性检查项目</w:t>
            </w:r>
          </w:p>
        </w:tc>
        <w:tc>
          <w:tcPr>
            <w:tcW w:w="4125" w:type="dxa"/>
            <w:gridSpan w:val="3"/>
            <w:noWrap/>
            <w:vAlign w:val="center"/>
          </w:tcPr>
          <w:p>
            <w:pPr>
              <w:jc w:val="center"/>
              <w:rPr>
                <w:b/>
              </w:rPr>
            </w:pPr>
            <w:r>
              <w:rPr>
                <w:b/>
              </w:rPr>
              <w:t>说明</w:t>
            </w:r>
          </w:p>
        </w:tc>
        <w:tc>
          <w:tcPr>
            <w:tcW w:w="1419" w:type="dxa"/>
            <w:noWrap/>
            <w:vAlign w:val="center"/>
          </w:tcPr>
          <w:p>
            <w:pPr>
              <w:jc w:val="center"/>
              <w:rPr>
                <w:b/>
              </w:rPr>
            </w:pPr>
            <w:r>
              <w:rPr>
                <w:b/>
              </w:rPr>
              <w:t>起止页码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trPr>
        <w:tc>
          <w:tcPr>
            <w:tcW w:w="828" w:type="dxa"/>
            <w:noWrap/>
          </w:tcPr>
          <w:p>
            <w:pPr>
              <w:jc w:val="center"/>
              <w:rPr>
                <w:b/>
              </w:rPr>
            </w:pPr>
            <w:r>
              <w:rPr>
                <w:b/>
              </w:rPr>
              <w:t>1</w:t>
            </w:r>
          </w:p>
        </w:tc>
        <w:tc>
          <w:tcPr>
            <w:tcW w:w="3482" w:type="dxa"/>
            <w:noWrap/>
          </w:tcPr>
          <w:p>
            <w:pPr>
              <w:rPr>
                <w:sz w:val="18"/>
                <w:szCs w:val="18"/>
              </w:rPr>
            </w:pPr>
            <w:r>
              <w:rPr>
                <w:rFonts w:hint="eastAsia" w:cs="宋体"/>
                <w:sz w:val="18"/>
                <w:szCs w:val="18"/>
              </w:rPr>
              <w:t>将一个包中的内容拆开投标</w:t>
            </w:r>
          </w:p>
        </w:tc>
        <w:tc>
          <w:tcPr>
            <w:tcW w:w="4125" w:type="dxa"/>
            <w:gridSpan w:val="3"/>
            <w:noWrap/>
            <w:vAlign w:val="center"/>
          </w:tcPr>
          <w:p>
            <w:pPr>
              <w:jc w:val="center"/>
              <w:rPr>
                <w:b/>
              </w:rPr>
            </w:pPr>
          </w:p>
        </w:tc>
        <w:tc>
          <w:tcPr>
            <w:tcW w:w="1419" w:type="dxa"/>
            <w:noWrap/>
            <w:vAlign w:val="center"/>
          </w:tcPr>
          <w:p>
            <w:pPr>
              <w:jc w:val="center"/>
              <w:rPr>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trPr>
        <w:tc>
          <w:tcPr>
            <w:tcW w:w="828" w:type="dxa"/>
            <w:noWrap/>
          </w:tcPr>
          <w:p>
            <w:pPr>
              <w:jc w:val="center"/>
              <w:rPr>
                <w:b/>
              </w:rPr>
            </w:pPr>
            <w:r>
              <w:rPr>
                <w:b/>
              </w:rPr>
              <w:t>2</w:t>
            </w:r>
          </w:p>
        </w:tc>
        <w:tc>
          <w:tcPr>
            <w:tcW w:w="3482" w:type="dxa"/>
            <w:noWrap/>
          </w:tcPr>
          <w:p>
            <w:pPr>
              <w:rPr>
                <w:sz w:val="18"/>
                <w:szCs w:val="18"/>
              </w:rPr>
            </w:pPr>
            <w:r>
              <w:rPr>
                <w:rFonts w:hint="eastAsia" w:cs="宋体"/>
                <w:sz w:val="18"/>
                <w:szCs w:val="18"/>
              </w:rPr>
              <w:t>采购文件未规定允许有替代方案时，对同一服务投标时，同时提供两套或两套以上的投标方案</w:t>
            </w:r>
            <w:r>
              <w:rPr>
                <w:sz w:val="18"/>
                <w:szCs w:val="18"/>
              </w:rPr>
              <w:t>（采购文件另有规定的除外）</w:t>
            </w:r>
          </w:p>
        </w:tc>
        <w:tc>
          <w:tcPr>
            <w:tcW w:w="4125" w:type="dxa"/>
            <w:gridSpan w:val="3"/>
            <w:noWrap/>
            <w:vAlign w:val="center"/>
          </w:tcPr>
          <w:p>
            <w:pPr>
              <w:jc w:val="center"/>
              <w:rPr>
                <w:b/>
              </w:rPr>
            </w:pPr>
          </w:p>
        </w:tc>
        <w:tc>
          <w:tcPr>
            <w:tcW w:w="1419" w:type="dxa"/>
            <w:noWrap/>
            <w:vAlign w:val="center"/>
          </w:tcPr>
          <w:p>
            <w:pPr>
              <w:jc w:val="center"/>
              <w:rPr>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trPr>
        <w:tc>
          <w:tcPr>
            <w:tcW w:w="828" w:type="dxa"/>
            <w:noWrap/>
          </w:tcPr>
          <w:p>
            <w:pPr>
              <w:jc w:val="center"/>
              <w:rPr>
                <w:b/>
              </w:rPr>
            </w:pPr>
            <w:r>
              <w:rPr>
                <w:b/>
              </w:rPr>
              <w:t>3</w:t>
            </w:r>
          </w:p>
        </w:tc>
        <w:tc>
          <w:tcPr>
            <w:tcW w:w="3482" w:type="dxa"/>
            <w:noWrap/>
          </w:tcPr>
          <w:p>
            <w:pPr>
              <w:rPr>
                <w:sz w:val="18"/>
                <w:szCs w:val="18"/>
              </w:rPr>
            </w:pPr>
            <w:r>
              <w:rPr>
                <w:rFonts w:hint="eastAsia"/>
                <w:sz w:val="18"/>
                <w:szCs w:val="18"/>
              </w:rPr>
              <w:t>分项报价或投标总价</w:t>
            </w:r>
            <w:r>
              <w:rPr>
                <w:sz w:val="18"/>
                <w:szCs w:val="18"/>
              </w:rPr>
              <w:t>高于预算</w:t>
            </w:r>
            <w:r>
              <w:rPr>
                <w:rFonts w:hint="eastAsia"/>
                <w:sz w:val="18"/>
                <w:szCs w:val="18"/>
              </w:rPr>
              <w:t>金额</w:t>
            </w:r>
            <w:r>
              <w:rPr>
                <w:sz w:val="18"/>
                <w:szCs w:val="18"/>
              </w:rPr>
              <w:t>（最高投标限价）的；</w:t>
            </w:r>
          </w:p>
        </w:tc>
        <w:tc>
          <w:tcPr>
            <w:tcW w:w="4125" w:type="dxa"/>
            <w:gridSpan w:val="3"/>
            <w:noWrap/>
            <w:vAlign w:val="center"/>
          </w:tcPr>
          <w:p>
            <w:pPr>
              <w:jc w:val="center"/>
              <w:rPr>
                <w:b/>
              </w:rPr>
            </w:pPr>
          </w:p>
        </w:tc>
        <w:tc>
          <w:tcPr>
            <w:tcW w:w="1419" w:type="dxa"/>
            <w:noWrap/>
            <w:vAlign w:val="center"/>
          </w:tcPr>
          <w:p>
            <w:pPr>
              <w:jc w:val="center"/>
              <w:rPr>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trPr>
        <w:tc>
          <w:tcPr>
            <w:tcW w:w="828" w:type="dxa"/>
            <w:noWrap/>
          </w:tcPr>
          <w:p>
            <w:pPr>
              <w:jc w:val="center"/>
              <w:rPr>
                <w:b/>
              </w:rPr>
            </w:pPr>
            <w:r>
              <w:rPr>
                <w:b/>
              </w:rPr>
              <w:t>4</w:t>
            </w:r>
          </w:p>
        </w:tc>
        <w:tc>
          <w:tcPr>
            <w:tcW w:w="3482" w:type="dxa"/>
            <w:noWrap/>
          </w:tcPr>
          <w:p>
            <w:pPr>
              <w:rPr>
                <w:sz w:val="18"/>
                <w:szCs w:val="18"/>
              </w:rPr>
            </w:pPr>
            <w:r>
              <w:rPr>
                <w:rFonts w:hint="eastAsia" w:cs="宋体"/>
                <w:sz w:val="18"/>
                <w:szCs w:val="18"/>
              </w:rPr>
              <w:t>同一项目出现两个及以上报价，按规定又无法确定哪个是有效报价</w:t>
            </w:r>
          </w:p>
        </w:tc>
        <w:tc>
          <w:tcPr>
            <w:tcW w:w="4125" w:type="dxa"/>
            <w:gridSpan w:val="3"/>
            <w:noWrap/>
            <w:vAlign w:val="center"/>
          </w:tcPr>
          <w:p>
            <w:pPr>
              <w:jc w:val="center"/>
              <w:rPr>
                <w:b/>
              </w:rPr>
            </w:pPr>
          </w:p>
        </w:tc>
        <w:tc>
          <w:tcPr>
            <w:tcW w:w="1419" w:type="dxa"/>
            <w:noWrap/>
            <w:vAlign w:val="center"/>
          </w:tcPr>
          <w:p>
            <w:pPr>
              <w:jc w:val="center"/>
              <w:rPr>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trPr>
        <w:tc>
          <w:tcPr>
            <w:tcW w:w="828" w:type="dxa"/>
            <w:noWrap/>
          </w:tcPr>
          <w:p>
            <w:pPr>
              <w:jc w:val="center"/>
              <w:rPr>
                <w:b/>
              </w:rPr>
            </w:pPr>
            <w:r>
              <w:rPr>
                <w:b/>
              </w:rPr>
              <w:t>5</w:t>
            </w:r>
          </w:p>
        </w:tc>
        <w:tc>
          <w:tcPr>
            <w:tcW w:w="3482" w:type="dxa"/>
            <w:noWrap/>
          </w:tcPr>
          <w:p>
            <w:pPr>
              <w:rPr>
                <w:sz w:val="18"/>
                <w:szCs w:val="18"/>
              </w:rPr>
            </w:pPr>
            <w:r>
              <w:rPr>
                <w:rFonts w:hint="eastAsia" w:ascii="宋体" w:hAnsi="宋体"/>
                <w:sz w:val="18"/>
                <w:szCs w:val="18"/>
              </w:rPr>
              <w:t>评标委员会认为投标人的报价明显低于其他通过符合性审查投标人的报价，有可能影响产品质量或者不能诚信履约的，投标人不能在合理的时间内提供书面说明，或无法提交相关证明材料，投标人不能证明其报价合理性的</w:t>
            </w:r>
          </w:p>
        </w:tc>
        <w:tc>
          <w:tcPr>
            <w:tcW w:w="4125" w:type="dxa"/>
            <w:gridSpan w:val="3"/>
            <w:noWrap/>
            <w:vAlign w:val="center"/>
          </w:tcPr>
          <w:p>
            <w:pPr>
              <w:jc w:val="center"/>
              <w:rPr>
                <w:b/>
              </w:rPr>
            </w:pPr>
          </w:p>
        </w:tc>
        <w:tc>
          <w:tcPr>
            <w:tcW w:w="1419" w:type="dxa"/>
            <w:noWrap/>
            <w:vAlign w:val="center"/>
          </w:tcPr>
          <w:p>
            <w:pPr>
              <w:jc w:val="center"/>
              <w:rPr>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trPr>
        <w:tc>
          <w:tcPr>
            <w:tcW w:w="828" w:type="dxa"/>
            <w:noWrap/>
          </w:tcPr>
          <w:p>
            <w:pPr>
              <w:jc w:val="center"/>
              <w:rPr>
                <w:b/>
              </w:rPr>
            </w:pPr>
            <w:r>
              <w:rPr>
                <w:b/>
              </w:rPr>
              <w:t>6</w:t>
            </w:r>
          </w:p>
        </w:tc>
        <w:tc>
          <w:tcPr>
            <w:tcW w:w="3482" w:type="dxa"/>
            <w:noWrap/>
          </w:tcPr>
          <w:p>
            <w:pPr>
              <w:rPr>
                <w:sz w:val="18"/>
                <w:szCs w:val="18"/>
              </w:rPr>
            </w:pPr>
            <w:r>
              <w:rPr>
                <w:rFonts w:hint="eastAsia" w:cs="宋体"/>
                <w:sz w:val="18"/>
                <w:szCs w:val="18"/>
              </w:rPr>
              <w:t>投标文件载明的招标项目完成或服务期限不满足采购文件规定的</w:t>
            </w:r>
          </w:p>
        </w:tc>
        <w:tc>
          <w:tcPr>
            <w:tcW w:w="4125" w:type="dxa"/>
            <w:gridSpan w:val="3"/>
            <w:noWrap/>
            <w:vAlign w:val="center"/>
          </w:tcPr>
          <w:p>
            <w:pPr>
              <w:jc w:val="center"/>
              <w:rPr>
                <w:b/>
              </w:rPr>
            </w:pPr>
          </w:p>
        </w:tc>
        <w:tc>
          <w:tcPr>
            <w:tcW w:w="1419" w:type="dxa"/>
            <w:noWrap/>
            <w:vAlign w:val="center"/>
          </w:tcPr>
          <w:p>
            <w:pPr>
              <w:jc w:val="center"/>
              <w:rPr>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trPr>
        <w:tc>
          <w:tcPr>
            <w:tcW w:w="828" w:type="dxa"/>
            <w:noWrap/>
          </w:tcPr>
          <w:p>
            <w:pPr>
              <w:jc w:val="center"/>
              <w:rPr>
                <w:b/>
              </w:rPr>
            </w:pPr>
            <w:r>
              <w:rPr>
                <w:b/>
              </w:rPr>
              <w:t>7</w:t>
            </w:r>
          </w:p>
        </w:tc>
        <w:tc>
          <w:tcPr>
            <w:tcW w:w="3482" w:type="dxa"/>
            <w:noWrap/>
          </w:tcPr>
          <w:p>
            <w:pPr>
              <w:rPr>
                <w:sz w:val="18"/>
                <w:szCs w:val="18"/>
              </w:rPr>
            </w:pPr>
            <w:r>
              <w:rPr>
                <w:rFonts w:hint="eastAsia" w:cs="宋体"/>
                <w:sz w:val="18"/>
                <w:szCs w:val="18"/>
              </w:rPr>
              <w:t>所投产品、工程、服务在质量、技术、方案等方面没有实质性满足采购文件要求（是否实质性满足采购文件要求，由评标委员会来做出评判）</w:t>
            </w:r>
          </w:p>
        </w:tc>
        <w:tc>
          <w:tcPr>
            <w:tcW w:w="4125" w:type="dxa"/>
            <w:gridSpan w:val="3"/>
            <w:noWrap/>
            <w:vAlign w:val="center"/>
          </w:tcPr>
          <w:p>
            <w:pPr>
              <w:jc w:val="center"/>
              <w:rPr>
                <w:b/>
              </w:rPr>
            </w:pPr>
          </w:p>
        </w:tc>
        <w:tc>
          <w:tcPr>
            <w:tcW w:w="1419" w:type="dxa"/>
            <w:noWrap/>
            <w:vAlign w:val="center"/>
          </w:tcPr>
          <w:p>
            <w:pPr>
              <w:jc w:val="center"/>
              <w:rPr>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trPr>
        <w:tc>
          <w:tcPr>
            <w:tcW w:w="828" w:type="dxa"/>
            <w:noWrap/>
          </w:tcPr>
          <w:p>
            <w:pPr>
              <w:jc w:val="center"/>
              <w:rPr>
                <w:b/>
              </w:rPr>
            </w:pPr>
            <w:r>
              <w:rPr>
                <w:b/>
              </w:rPr>
              <w:t>8</w:t>
            </w:r>
          </w:p>
        </w:tc>
        <w:tc>
          <w:tcPr>
            <w:tcW w:w="3482" w:type="dxa"/>
            <w:noWrap/>
          </w:tcPr>
          <w:p>
            <w:pPr>
              <w:rPr>
                <w:sz w:val="18"/>
                <w:szCs w:val="18"/>
              </w:rPr>
            </w:pPr>
            <w:r>
              <w:rPr>
                <w:sz w:val="18"/>
                <w:szCs w:val="18"/>
              </w:rPr>
              <w:t>未按采购文件所提供的样式填写《投标函》；未按采购文件所提供的《政府采购投标及履约承诺函》进行承诺；未按采购文件对投标文件组成的要求提供投标文件的（投标文件组成不完整）；</w:t>
            </w:r>
          </w:p>
        </w:tc>
        <w:tc>
          <w:tcPr>
            <w:tcW w:w="4125" w:type="dxa"/>
            <w:gridSpan w:val="3"/>
            <w:noWrap/>
            <w:vAlign w:val="center"/>
          </w:tcPr>
          <w:p>
            <w:pPr>
              <w:jc w:val="center"/>
              <w:rPr>
                <w:b/>
              </w:rPr>
            </w:pPr>
          </w:p>
        </w:tc>
        <w:tc>
          <w:tcPr>
            <w:tcW w:w="1419" w:type="dxa"/>
            <w:noWrap/>
            <w:vAlign w:val="center"/>
          </w:tcPr>
          <w:p>
            <w:pPr>
              <w:jc w:val="center"/>
              <w:rPr>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trPr>
        <w:tc>
          <w:tcPr>
            <w:tcW w:w="828" w:type="dxa"/>
            <w:noWrap/>
          </w:tcPr>
          <w:p>
            <w:pPr>
              <w:jc w:val="center"/>
              <w:rPr>
                <w:b/>
              </w:rPr>
            </w:pPr>
            <w:r>
              <w:rPr>
                <w:rFonts w:hint="eastAsia"/>
                <w:b/>
              </w:rPr>
              <w:t>9</w:t>
            </w:r>
          </w:p>
        </w:tc>
        <w:tc>
          <w:tcPr>
            <w:tcW w:w="3482" w:type="dxa"/>
            <w:noWrap/>
          </w:tcPr>
          <w:p>
            <w:pPr>
              <w:rPr>
                <w:sz w:val="18"/>
                <w:szCs w:val="18"/>
              </w:rPr>
            </w:pPr>
            <w:r>
              <w:rPr>
                <w:sz w:val="18"/>
                <w:szCs w:val="18"/>
              </w:rPr>
              <w:t>投标报价有严重缺漏项目或对采购文件规定的服务清单项目及数量进行修改；</w:t>
            </w:r>
          </w:p>
        </w:tc>
        <w:tc>
          <w:tcPr>
            <w:tcW w:w="4125" w:type="dxa"/>
            <w:gridSpan w:val="3"/>
            <w:noWrap/>
            <w:vAlign w:val="center"/>
          </w:tcPr>
          <w:p>
            <w:pPr>
              <w:jc w:val="center"/>
              <w:rPr>
                <w:b/>
              </w:rPr>
            </w:pPr>
          </w:p>
        </w:tc>
        <w:tc>
          <w:tcPr>
            <w:tcW w:w="1419" w:type="dxa"/>
            <w:noWrap/>
            <w:vAlign w:val="center"/>
          </w:tcPr>
          <w:p>
            <w:pPr>
              <w:jc w:val="center"/>
              <w:rPr>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trPr>
        <w:tc>
          <w:tcPr>
            <w:tcW w:w="828" w:type="dxa"/>
            <w:noWrap/>
          </w:tcPr>
          <w:p>
            <w:pPr>
              <w:jc w:val="center"/>
              <w:rPr>
                <w:b/>
              </w:rPr>
            </w:pPr>
            <w:r>
              <w:rPr>
                <w:rFonts w:hint="eastAsia"/>
                <w:b/>
              </w:rPr>
              <w:t>10</w:t>
            </w:r>
          </w:p>
        </w:tc>
        <w:tc>
          <w:tcPr>
            <w:tcW w:w="3482" w:type="dxa"/>
            <w:noWrap/>
          </w:tcPr>
          <w:p>
            <w:pPr>
              <w:rPr>
                <w:sz w:val="18"/>
                <w:szCs w:val="18"/>
              </w:rPr>
            </w:pPr>
            <w:r>
              <w:rPr>
                <w:rFonts w:hint="eastAsia" w:cs="宋体"/>
                <w:sz w:val="18"/>
                <w:szCs w:val="18"/>
              </w:rPr>
              <w:t>法律、法规规定的其他情形</w:t>
            </w:r>
          </w:p>
        </w:tc>
        <w:tc>
          <w:tcPr>
            <w:tcW w:w="4125" w:type="dxa"/>
            <w:gridSpan w:val="3"/>
            <w:noWrap/>
            <w:vAlign w:val="center"/>
          </w:tcPr>
          <w:p>
            <w:pPr>
              <w:jc w:val="center"/>
              <w:rPr>
                <w:b/>
              </w:rPr>
            </w:pPr>
          </w:p>
        </w:tc>
        <w:tc>
          <w:tcPr>
            <w:tcW w:w="1419" w:type="dxa"/>
            <w:noWrap/>
            <w:vAlign w:val="center"/>
          </w:tcPr>
          <w:p>
            <w:pPr>
              <w:jc w:val="center"/>
              <w:rPr>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trPr>
        <w:tc>
          <w:tcPr>
            <w:tcW w:w="9854" w:type="dxa"/>
            <w:gridSpan w:val="6"/>
            <w:noWrap/>
          </w:tcPr>
          <w:p>
            <w:pPr>
              <w:jc w:val="center"/>
              <w:rPr>
                <w:b/>
              </w:rPr>
            </w:pPr>
            <w:r>
              <w:rPr>
                <w:b/>
              </w:rPr>
              <w:t>三、综合评分指引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trPr>
        <w:tc>
          <w:tcPr>
            <w:tcW w:w="828" w:type="dxa"/>
            <w:noWrap/>
          </w:tcPr>
          <w:p>
            <w:pPr>
              <w:jc w:val="center"/>
              <w:rPr>
                <w:b/>
              </w:rPr>
            </w:pPr>
            <w:r>
              <w:rPr>
                <w:b/>
              </w:rPr>
              <w:t>评分类别</w:t>
            </w:r>
          </w:p>
        </w:tc>
        <w:tc>
          <w:tcPr>
            <w:tcW w:w="4140" w:type="dxa"/>
            <w:gridSpan w:val="2"/>
            <w:noWrap/>
            <w:vAlign w:val="center"/>
          </w:tcPr>
          <w:p>
            <w:pPr>
              <w:jc w:val="center"/>
              <w:rPr>
                <w:b/>
              </w:rPr>
            </w:pPr>
            <w:r>
              <w:rPr>
                <w:b/>
              </w:rPr>
              <w:t>评分项目</w:t>
            </w:r>
          </w:p>
        </w:tc>
        <w:tc>
          <w:tcPr>
            <w:tcW w:w="2160" w:type="dxa"/>
            <w:noWrap/>
            <w:vAlign w:val="center"/>
          </w:tcPr>
          <w:p>
            <w:pPr>
              <w:jc w:val="center"/>
              <w:rPr>
                <w:b/>
              </w:rPr>
            </w:pPr>
            <w:r>
              <w:rPr>
                <w:b/>
              </w:rPr>
              <w:t>分值</w:t>
            </w:r>
          </w:p>
          <w:p>
            <w:pPr>
              <w:jc w:val="center"/>
              <w:rPr>
                <w:b/>
              </w:rPr>
            </w:pPr>
            <w:r>
              <w:rPr>
                <w:b/>
              </w:rPr>
              <w:t>（或权重）</w:t>
            </w:r>
          </w:p>
        </w:tc>
        <w:tc>
          <w:tcPr>
            <w:tcW w:w="1307" w:type="dxa"/>
            <w:noWrap/>
            <w:vAlign w:val="center"/>
          </w:tcPr>
          <w:p>
            <w:pPr>
              <w:jc w:val="center"/>
              <w:rPr>
                <w:b/>
              </w:rPr>
            </w:pPr>
            <w:r>
              <w:rPr>
                <w:b/>
              </w:rPr>
              <w:t>对应章节</w:t>
            </w:r>
          </w:p>
        </w:tc>
        <w:tc>
          <w:tcPr>
            <w:tcW w:w="1419" w:type="dxa"/>
            <w:noWrap/>
            <w:vAlign w:val="center"/>
          </w:tcPr>
          <w:p>
            <w:pPr>
              <w:jc w:val="center"/>
              <w:rPr>
                <w:b/>
              </w:rPr>
            </w:pPr>
            <w:r>
              <w:rPr>
                <w:b/>
              </w:rPr>
              <w:t>起止页码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828" w:type="dxa"/>
            <w:vMerge w:val="restart"/>
            <w:noWrap/>
            <w:vAlign w:val="center"/>
          </w:tcPr>
          <w:p>
            <w:pPr>
              <w:jc w:val="center"/>
              <w:rPr>
                <w:b/>
              </w:rPr>
            </w:pPr>
            <w:r>
              <w:rPr>
                <w:b/>
              </w:rPr>
              <w:t>商务部分</w:t>
            </w:r>
          </w:p>
        </w:tc>
        <w:tc>
          <w:tcPr>
            <w:tcW w:w="4140" w:type="dxa"/>
            <w:gridSpan w:val="2"/>
            <w:noWrap/>
          </w:tcPr>
          <w:p>
            <w:pPr>
              <w:jc w:val="center"/>
              <w:rPr>
                <w:b/>
                <w:sz w:val="18"/>
                <w:szCs w:val="18"/>
              </w:rPr>
            </w:pPr>
          </w:p>
        </w:tc>
        <w:tc>
          <w:tcPr>
            <w:tcW w:w="2160" w:type="dxa"/>
            <w:noWrap/>
          </w:tcPr>
          <w:p>
            <w:pPr>
              <w:jc w:val="center"/>
              <w:rPr>
                <w:rFonts w:ascii="宋体" w:hAnsi="宋体" w:cs="宋体"/>
                <w:color w:val="000000"/>
                <w:sz w:val="18"/>
                <w:szCs w:val="18"/>
              </w:rPr>
            </w:pPr>
          </w:p>
        </w:tc>
        <w:tc>
          <w:tcPr>
            <w:tcW w:w="1307" w:type="dxa"/>
            <w:noWrap/>
          </w:tcPr>
          <w:p>
            <w:pPr>
              <w:jc w:val="center"/>
              <w:rPr>
                <w:b/>
              </w:rPr>
            </w:pPr>
          </w:p>
        </w:tc>
        <w:tc>
          <w:tcPr>
            <w:tcW w:w="1419" w:type="dxa"/>
            <w:noWrap/>
          </w:tcPr>
          <w:p>
            <w:pPr>
              <w:jc w:val="center"/>
              <w:rPr>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828" w:type="dxa"/>
            <w:vMerge w:val="continue"/>
            <w:noWrap/>
            <w:vAlign w:val="center"/>
          </w:tcPr>
          <w:p>
            <w:pPr>
              <w:jc w:val="center"/>
              <w:rPr>
                <w:b/>
              </w:rPr>
            </w:pPr>
          </w:p>
        </w:tc>
        <w:tc>
          <w:tcPr>
            <w:tcW w:w="4140" w:type="dxa"/>
            <w:gridSpan w:val="2"/>
            <w:noWrap/>
          </w:tcPr>
          <w:p>
            <w:pPr>
              <w:jc w:val="center"/>
              <w:rPr>
                <w:b/>
                <w:sz w:val="18"/>
                <w:szCs w:val="18"/>
              </w:rPr>
            </w:pPr>
          </w:p>
        </w:tc>
        <w:tc>
          <w:tcPr>
            <w:tcW w:w="2160" w:type="dxa"/>
            <w:noWrap/>
          </w:tcPr>
          <w:p>
            <w:pPr>
              <w:jc w:val="center"/>
              <w:rPr>
                <w:rFonts w:ascii="宋体" w:hAnsi="宋体" w:cs="宋体"/>
                <w:color w:val="000000"/>
                <w:sz w:val="18"/>
                <w:szCs w:val="18"/>
              </w:rPr>
            </w:pPr>
          </w:p>
        </w:tc>
        <w:tc>
          <w:tcPr>
            <w:tcW w:w="1307" w:type="dxa"/>
            <w:noWrap/>
          </w:tcPr>
          <w:p>
            <w:pPr>
              <w:jc w:val="center"/>
              <w:rPr>
                <w:b/>
              </w:rPr>
            </w:pPr>
          </w:p>
        </w:tc>
        <w:tc>
          <w:tcPr>
            <w:tcW w:w="1419" w:type="dxa"/>
            <w:noWrap/>
          </w:tcPr>
          <w:p>
            <w:pPr>
              <w:jc w:val="center"/>
              <w:rPr>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828" w:type="dxa"/>
            <w:vMerge w:val="continue"/>
            <w:noWrap/>
            <w:vAlign w:val="center"/>
          </w:tcPr>
          <w:p>
            <w:pPr>
              <w:jc w:val="center"/>
              <w:rPr>
                <w:b/>
              </w:rPr>
            </w:pPr>
          </w:p>
        </w:tc>
        <w:tc>
          <w:tcPr>
            <w:tcW w:w="4140" w:type="dxa"/>
            <w:gridSpan w:val="2"/>
            <w:noWrap/>
          </w:tcPr>
          <w:p>
            <w:pPr>
              <w:jc w:val="center"/>
              <w:rPr>
                <w:b/>
                <w:sz w:val="18"/>
                <w:szCs w:val="18"/>
              </w:rPr>
            </w:pPr>
          </w:p>
        </w:tc>
        <w:tc>
          <w:tcPr>
            <w:tcW w:w="2160" w:type="dxa"/>
            <w:noWrap/>
          </w:tcPr>
          <w:p>
            <w:pPr>
              <w:jc w:val="center"/>
              <w:rPr>
                <w:rFonts w:ascii="宋体" w:hAnsi="宋体" w:cs="宋体"/>
                <w:color w:val="000000"/>
                <w:sz w:val="18"/>
                <w:szCs w:val="18"/>
              </w:rPr>
            </w:pPr>
          </w:p>
        </w:tc>
        <w:tc>
          <w:tcPr>
            <w:tcW w:w="1307" w:type="dxa"/>
            <w:noWrap/>
          </w:tcPr>
          <w:p>
            <w:pPr>
              <w:jc w:val="center"/>
              <w:rPr>
                <w:b/>
              </w:rPr>
            </w:pPr>
          </w:p>
        </w:tc>
        <w:tc>
          <w:tcPr>
            <w:tcW w:w="1419" w:type="dxa"/>
            <w:noWrap/>
          </w:tcPr>
          <w:p>
            <w:pPr>
              <w:jc w:val="center"/>
              <w:rPr>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828" w:type="dxa"/>
            <w:vMerge w:val="continue"/>
            <w:noWrap/>
            <w:vAlign w:val="center"/>
          </w:tcPr>
          <w:p>
            <w:pPr>
              <w:jc w:val="center"/>
              <w:rPr>
                <w:b/>
              </w:rPr>
            </w:pPr>
          </w:p>
        </w:tc>
        <w:tc>
          <w:tcPr>
            <w:tcW w:w="4140" w:type="dxa"/>
            <w:gridSpan w:val="2"/>
            <w:noWrap/>
          </w:tcPr>
          <w:p>
            <w:pPr>
              <w:jc w:val="center"/>
              <w:rPr>
                <w:b/>
                <w:sz w:val="18"/>
                <w:szCs w:val="18"/>
              </w:rPr>
            </w:pPr>
          </w:p>
        </w:tc>
        <w:tc>
          <w:tcPr>
            <w:tcW w:w="2160" w:type="dxa"/>
            <w:noWrap/>
          </w:tcPr>
          <w:p>
            <w:pPr>
              <w:jc w:val="center"/>
              <w:rPr>
                <w:rFonts w:ascii="宋体" w:hAnsi="宋体" w:cs="宋体"/>
                <w:color w:val="000000"/>
                <w:sz w:val="18"/>
                <w:szCs w:val="18"/>
              </w:rPr>
            </w:pPr>
          </w:p>
        </w:tc>
        <w:tc>
          <w:tcPr>
            <w:tcW w:w="1307" w:type="dxa"/>
            <w:noWrap/>
          </w:tcPr>
          <w:p>
            <w:pPr>
              <w:jc w:val="center"/>
              <w:rPr>
                <w:b/>
              </w:rPr>
            </w:pPr>
          </w:p>
        </w:tc>
        <w:tc>
          <w:tcPr>
            <w:tcW w:w="1419" w:type="dxa"/>
            <w:noWrap/>
          </w:tcPr>
          <w:p>
            <w:pPr>
              <w:jc w:val="center"/>
              <w:rPr>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828" w:type="dxa"/>
            <w:vMerge w:val="continue"/>
            <w:noWrap/>
            <w:vAlign w:val="center"/>
          </w:tcPr>
          <w:p>
            <w:pPr>
              <w:jc w:val="center"/>
              <w:rPr>
                <w:b/>
              </w:rPr>
            </w:pPr>
          </w:p>
        </w:tc>
        <w:tc>
          <w:tcPr>
            <w:tcW w:w="4140" w:type="dxa"/>
            <w:gridSpan w:val="2"/>
            <w:noWrap/>
          </w:tcPr>
          <w:p>
            <w:pPr>
              <w:jc w:val="center"/>
              <w:rPr>
                <w:b/>
                <w:sz w:val="18"/>
                <w:szCs w:val="18"/>
              </w:rPr>
            </w:pPr>
          </w:p>
        </w:tc>
        <w:tc>
          <w:tcPr>
            <w:tcW w:w="2160" w:type="dxa"/>
            <w:noWrap/>
          </w:tcPr>
          <w:p>
            <w:pPr>
              <w:jc w:val="center"/>
              <w:rPr>
                <w:rFonts w:ascii="宋体" w:hAnsi="宋体" w:cs="宋体"/>
                <w:color w:val="000000"/>
                <w:sz w:val="18"/>
                <w:szCs w:val="18"/>
              </w:rPr>
            </w:pPr>
          </w:p>
        </w:tc>
        <w:tc>
          <w:tcPr>
            <w:tcW w:w="1307" w:type="dxa"/>
            <w:noWrap/>
          </w:tcPr>
          <w:p>
            <w:pPr>
              <w:jc w:val="center"/>
              <w:rPr>
                <w:b/>
              </w:rPr>
            </w:pPr>
          </w:p>
        </w:tc>
        <w:tc>
          <w:tcPr>
            <w:tcW w:w="1419" w:type="dxa"/>
            <w:noWrap/>
          </w:tcPr>
          <w:p>
            <w:pPr>
              <w:jc w:val="center"/>
              <w:rPr>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trPr>
        <w:tc>
          <w:tcPr>
            <w:tcW w:w="828" w:type="dxa"/>
            <w:vMerge w:val="restart"/>
            <w:noWrap/>
            <w:vAlign w:val="center"/>
          </w:tcPr>
          <w:p>
            <w:pPr>
              <w:jc w:val="center"/>
              <w:rPr>
                <w:b/>
              </w:rPr>
            </w:pPr>
            <w:r>
              <w:rPr>
                <w:b/>
              </w:rPr>
              <w:t>技术部分</w:t>
            </w:r>
          </w:p>
        </w:tc>
        <w:tc>
          <w:tcPr>
            <w:tcW w:w="4140" w:type="dxa"/>
            <w:gridSpan w:val="2"/>
            <w:noWrap/>
          </w:tcPr>
          <w:p>
            <w:pPr>
              <w:jc w:val="center"/>
              <w:rPr>
                <w:rFonts w:ascii="宋体" w:hAnsi="宋体" w:cs="黑体"/>
                <w:color w:val="000000"/>
                <w:kern w:val="2"/>
                <w:sz w:val="18"/>
                <w:szCs w:val="18"/>
              </w:rPr>
            </w:pPr>
          </w:p>
        </w:tc>
        <w:tc>
          <w:tcPr>
            <w:tcW w:w="2160" w:type="dxa"/>
            <w:noWrap/>
          </w:tcPr>
          <w:p>
            <w:pPr>
              <w:jc w:val="center"/>
              <w:rPr>
                <w:rFonts w:ascii="宋体" w:hAnsi="宋体" w:cs="宋体"/>
                <w:color w:val="000000"/>
                <w:sz w:val="18"/>
                <w:szCs w:val="18"/>
              </w:rPr>
            </w:pPr>
          </w:p>
        </w:tc>
        <w:tc>
          <w:tcPr>
            <w:tcW w:w="1307" w:type="dxa"/>
            <w:noWrap/>
          </w:tcPr>
          <w:p>
            <w:pPr>
              <w:jc w:val="center"/>
              <w:rPr>
                <w:b/>
              </w:rPr>
            </w:pPr>
          </w:p>
        </w:tc>
        <w:tc>
          <w:tcPr>
            <w:tcW w:w="1419" w:type="dxa"/>
            <w:noWrap/>
          </w:tcPr>
          <w:p>
            <w:pPr>
              <w:jc w:val="center"/>
              <w:rPr>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trPr>
        <w:tc>
          <w:tcPr>
            <w:tcW w:w="828" w:type="dxa"/>
            <w:vMerge w:val="continue"/>
            <w:noWrap/>
          </w:tcPr>
          <w:p>
            <w:pPr>
              <w:jc w:val="center"/>
              <w:rPr>
                <w:b/>
              </w:rPr>
            </w:pPr>
          </w:p>
        </w:tc>
        <w:tc>
          <w:tcPr>
            <w:tcW w:w="4140" w:type="dxa"/>
            <w:gridSpan w:val="2"/>
            <w:noWrap/>
          </w:tcPr>
          <w:p>
            <w:pPr>
              <w:jc w:val="center"/>
              <w:rPr>
                <w:rFonts w:ascii="宋体" w:hAnsi="宋体" w:cs="黑体"/>
                <w:color w:val="000000"/>
                <w:kern w:val="2"/>
                <w:sz w:val="18"/>
                <w:szCs w:val="18"/>
              </w:rPr>
            </w:pPr>
          </w:p>
        </w:tc>
        <w:tc>
          <w:tcPr>
            <w:tcW w:w="2160" w:type="dxa"/>
            <w:noWrap/>
          </w:tcPr>
          <w:p>
            <w:pPr>
              <w:jc w:val="center"/>
              <w:rPr>
                <w:rFonts w:ascii="宋体" w:hAnsi="宋体" w:cs="宋体"/>
                <w:color w:val="000000"/>
                <w:sz w:val="18"/>
                <w:szCs w:val="18"/>
              </w:rPr>
            </w:pPr>
          </w:p>
        </w:tc>
        <w:tc>
          <w:tcPr>
            <w:tcW w:w="1307" w:type="dxa"/>
            <w:noWrap/>
          </w:tcPr>
          <w:p>
            <w:pPr>
              <w:jc w:val="center"/>
              <w:rPr>
                <w:b/>
              </w:rPr>
            </w:pPr>
          </w:p>
        </w:tc>
        <w:tc>
          <w:tcPr>
            <w:tcW w:w="1419" w:type="dxa"/>
            <w:noWrap/>
          </w:tcPr>
          <w:p>
            <w:pPr>
              <w:jc w:val="center"/>
              <w:rPr>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trPr>
        <w:tc>
          <w:tcPr>
            <w:tcW w:w="828" w:type="dxa"/>
            <w:vMerge w:val="continue"/>
            <w:noWrap/>
          </w:tcPr>
          <w:p>
            <w:pPr>
              <w:jc w:val="center"/>
              <w:rPr>
                <w:b/>
              </w:rPr>
            </w:pPr>
          </w:p>
        </w:tc>
        <w:tc>
          <w:tcPr>
            <w:tcW w:w="4140" w:type="dxa"/>
            <w:gridSpan w:val="2"/>
            <w:noWrap/>
          </w:tcPr>
          <w:p>
            <w:pPr>
              <w:jc w:val="center"/>
              <w:rPr>
                <w:rFonts w:ascii="宋体" w:hAnsi="宋体" w:cs="黑体"/>
                <w:color w:val="000000"/>
                <w:kern w:val="2"/>
                <w:sz w:val="18"/>
                <w:szCs w:val="18"/>
              </w:rPr>
            </w:pPr>
          </w:p>
        </w:tc>
        <w:tc>
          <w:tcPr>
            <w:tcW w:w="2160" w:type="dxa"/>
            <w:noWrap/>
          </w:tcPr>
          <w:p>
            <w:pPr>
              <w:jc w:val="center"/>
              <w:rPr>
                <w:rFonts w:ascii="宋体" w:hAnsi="宋体" w:cs="宋体"/>
                <w:color w:val="000000"/>
                <w:sz w:val="18"/>
                <w:szCs w:val="18"/>
              </w:rPr>
            </w:pPr>
          </w:p>
        </w:tc>
        <w:tc>
          <w:tcPr>
            <w:tcW w:w="1307" w:type="dxa"/>
            <w:noWrap/>
          </w:tcPr>
          <w:p>
            <w:pPr>
              <w:jc w:val="center"/>
              <w:rPr>
                <w:b/>
              </w:rPr>
            </w:pPr>
          </w:p>
        </w:tc>
        <w:tc>
          <w:tcPr>
            <w:tcW w:w="1419" w:type="dxa"/>
            <w:noWrap/>
          </w:tcPr>
          <w:p>
            <w:pPr>
              <w:jc w:val="center"/>
              <w:rPr>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6" w:hRule="atLeast"/>
        </w:trPr>
        <w:tc>
          <w:tcPr>
            <w:tcW w:w="828" w:type="dxa"/>
            <w:vMerge w:val="continue"/>
            <w:noWrap/>
          </w:tcPr>
          <w:p>
            <w:pPr>
              <w:jc w:val="center"/>
              <w:rPr>
                <w:b/>
              </w:rPr>
            </w:pPr>
          </w:p>
        </w:tc>
        <w:tc>
          <w:tcPr>
            <w:tcW w:w="4140" w:type="dxa"/>
            <w:gridSpan w:val="2"/>
            <w:noWrap/>
          </w:tcPr>
          <w:p>
            <w:pPr>
              <w:jc w:val="center"/>
              <w:rPr>
                <w:rFonts w:ascii="宋体" w:hAnsi="宋体" w:cs="黑体"/>
                <w:color w:val="000000"/>
                <w:kern w:val="2"/>
                <w:sz w:val="18"/>
                <w:szCs w:val="18"/>
              </w:rPr>
            </w:pPr>
          </w:p>
        </w:tc>
        <w:tc>
          <w:tcPr>
            <w:tcW w:w="2160" w:type="dxa"/>
            <w:noWrap/>
          </w:tcPr>
          <w:p>
            <w:pPr>
              <w:jc w:val="center"/>
              <w:rPr>
                <w:rFonts w:ascii="宋体" w:hAnsi="宋体" w:cs="宋体"/>
                <w:color w:val="000000"/>
                <w:sz w:val="18"/>
                <w:szCs w:val="18"/>
              </w:rPr>
            </w:pPr>
          </w:p>
        </w:tc>
        <w:tc>
          <w:tcPr>
            <w:tcW w:w="1307" w:type="dxa"/>
            <w:noWrap/>
          </w:tcPr>
          <w:p>
            <w:pPr>
              <w:jc w:val="center"/>
              <w:rPr>
                <w:b/>
              </w:rPr>
            </w:pPr>
          </w:p>
        </w:tc>
        <w:tc>
          <w:tcPr>
            <w:tcW w:w="1419" w:type="dxa"/>
            <w:noWrap/>
          </w:tcPr>
          <w:p>
            <w:pPr>
              <w:jc w:val="center"/>
              <w:rPr>
                <w:b/>
              </w:rPr>
            </w:pPr>
          </w:p>
        </w:tc>
      </w:tr>
    </w:tbl>
    <w:p>
      <w:pPr>
        <w:ind w:firstLine="421" w:firstLineChars="200"/>
        <w:rPr>
          <w:b/>
        </w:rPr>
      </w:pPr>
      <w:r>
        <w:rPr>
          <w:b/>
        </w:rPr>
        <w:t>注：请投标人按照“关键信息——投标文件初审表、评标信息”的审查和评分内容，自上而下的顺序填写本表。因项目次序混乱而影响评标效率及评标结果者，投标人自负其责。</w:t>
      </w:r>
    </w:p>
    <w:p>
      <w:pPr>
        <w:ind w:right="1680" w:rightChars="800"/>
        <w:jc w:val="center"/>
        <w:outlineLvl w:val="2"/>
      </w:pPr>
      <w:r>
        <w:br w:type="page"/>
      </w:r>
      <w:r>
        <w:rPr>
          <w:rFonts w:hint="eastAsia"/>
          <w:b/>
          <w:bCs/>
          <w:sz w:val="32"/>
          <w:szCs w:val="32"/>
        </w:rPr>
        <w:t>二</w:t>
      </w:r>
      <w:r>
        <w:rPr>
          <w:b/>
          <w:bCs/>
          <w:sz w:val="32"/>
          <w:szCs w:val="32"/>
        </w:rPr>
        <w:t>、法定代表人资格证明书</w:t>
      </w:r>
    </w:p>
    <w:p>
      <w:pPr>
        <w:widowControl w:val="0"/>
        <w:spacing w:line="360" w:lineRule="auto"/>
        <w:rPr>
          <w:rFonts w:ascii="Calibri" w:hAnsi="Calibri"/>
          <w:bCs/>
          <w:kern w:val="2"/>
          <w:sz w:val="24"/>
          <w:szCs w:val="24"/>
        </w:rPr>
      </w:pPr>
    </w:p>
    <w:p>
      <w:pPr>
        <w:widowControl w:val="0"/>
        <w:spacing w:line="360" w:lineRule="auto"/>
        <w:ind w:firstLine="420" w:firstLineChars="200"/>
        <w:rPr>
          <w:rFonts w:ascii="Calibri" w:hAnsi="Calibri"/>
          <w:kern w:val="2"/>
        </w:rPr>
      </w:pPr>
      <w:r>
        <w:rPr>
          <w:rFonts w:hint="eastAsia" w:ascii="Calibri" w:hAnsi="Calibri"/>
          <w:kern w:val="2"/>
        </w:rPr>
        <w:t>同志，现任我单位职务，为法定代表人（负责人），特此证明。</w:t>
      </w:r>
    </w:p>
    <w:p>
      <w:pPr>
        <w:widowControl w:val="0"/>
        <w:spacing w:line="360" w:lineRule="auto"/>
        <w:rPr>
          <w:rFonts w:ascii="Calibri" w:hAnsi="Calibri"/>
          <w:kern w:val="2"/>
        </w:rPr>
      </w:pPr>
    </w:p>
    <w:p>
      <w:pPr>
        <w:widowControl w:val="0"/>
        <w:spacing w:line="360" w:lineRule="auto"/>
        <w:rPr>
          <w:rFonts w:ascii="Calibri" w:hAnsi="Calibri"/>
          <w:kern w:val="2"/>
        </w:rPr>
      </w:pPr>
      <w:r>
        <w:rPr>
          <w:rFonts w:hint="eastAsia" w:ascii="Calibri" w:hAnsi="Calibri"/>
          <w:kern w:val="2"/>
        </w:rPr>
        <w:t>说明：1、法定代表人为投标人（企业事业单位、国家机关、社会团体）的主要行政负责人。</w:t>
      </w:r>
    </w:p>
    <w:p>
      <w:pPr>
        <w:widowControl w:val="0"/>
        <w:rPr>
          <w:rFonts w:ascii="Calibri" w:hAnsi="Calibri"/>
          <w:kern w:val="2"/>
        </w:rPr>
      </w:pPr>
      <w:r>
        <w:rPr>
          <w:rFonts w:hint="eastAsia" w:ascii="Calibri" w:hAnsi="Calibri"/>
          <w:kern w:val="2"/>
        </w:rPr>
        <w:t xml:space="preserve">      2、内容必须填写真实、清楚，涂改无效，不得转让、买卖。</w:t>
      </w:r>
    </w:p>
    <w:p>
      <w:pPr>
        <w:widowControl w:val="0"/>
        <w:rPr>
          <w:rFonts w:ascii="Calibri" w:hAnsi="Calibri"/>
          <w:kern w:val="2"/>
        </w:rPr>
      </w:pPr>
    </w:p>
    <w:p>
      <w:pPr>
        <w:widowControl w:val="0"/>
        <w:rPr>
          <w:rFonts w:ascii="Calibri" w:hAnsi="Calibri"/>
          <w:kern w:val="2"/>
        </w:rPr>
      </w:pPr>
    </w:p>
    <w:p>
      <w:pPr>
        <w:widowControl w:val="0"/>
        <w:rPr>
          <w:rFonts w:ascii="Calibri" w:hAnsi="Calibri"/>
          <w:kern w:val="2"/>
        </w:rPr>
      </w:pPr>
    </w:p>
    <w:p>
      <w:pPr>
        <w:widowControl w:val="0"/>
        <w:ind w:right="420"/>
        <w:jc w:val="center"/>
        <w:rPr>
          <w:rFonts w:ascii="Calibri" w:hAnsi="Calibri"/>
          <w:kern w:val="2"/>
        </w:rPr>
      </w:pPr>
      <w:r>
        <w:rPr>
          <w:rFonts w:hint="eastAsia" w:ascii="Calibri" w:hAnsi="Calibri"/>
          <w:kern w:val="2"/>
        </w:rPr>
        <w:t>投标人名称（加盖公章）：</w:t>
      </w:r>
    </w:p>
    <w:p>
      <w:pPr>
        <w:widowControl w:val="0"/>
        <w:ind w:right="840"/>
        <w:jc w:val="center"/>
        <w:rPr>
          <w:rFonts w:ascii="Calibri" w:hAnsi="Calibri"/>
          <w:kern w:val="2"/>
        </w:rPr>
      </w:pPr>
      <w:r>
        <w:rPr>
          <w:rFonts w:hint="eastAsia" w:ascii="Calibri" w:hAnsi="Calibri"/>
          <w:kern w:val="2"/>
        </w:rPr>
        <w:t>日期：</w:t>
      </w:r>
    </w:p>
    <w:p>
      <w:pPr>
        <w:widowControl w:val="0"/>
        <w:spacing w:line="360" w:lineRule="auto"/>
        <w:ind w:firstLine="421" w:firstLineChars="200"/>
        <w:rPr>
          <w:rFonts w:ascii="Calibri" w:hAnsi="Calibri"/>
          <w:b/>
          <w:color w:val="FF0000"/>
          <w:kern w:val="2"/>
        </w:rPr>
      </w:pPr>
      <w:r>
        <w:rPr>
          <w:rFonts w:hint="eastAsia" w:ascii="Calibri" w:hAnsi="Calibri"/>
          <w:b/>
          <w:color w:val="FF0000"/>
          <w:kern w:val="2"/>
        </w:rPr>
        <w:t>附：请提供法定代表人（负责人）身份证扫描件（正反两面）；港澳台居民可提供来往通行证扫描件；非中国国籍管辖范围人员，可提供公安部门认可的身份证明材料扫描件。</w:t>
      </w:r>
    </w:p>
    <w:p>
      <w:pPr>
        <w:widowControl w:val="0"/>
        <w:spacing w:line="360" w:lineRule="auto"/>
        <w:rPr>
          <w:rFonts w:ascii="Calibri" w:hAnsi="Calibri"/>
          <w:bCs/>
          <w:kern w:val="2"/>
          <w:sz w:val="24"/>
          <w:szCs w:val="24"/>
        </w:rPr>
      </w:pPr>
    </w:p>
    <w:p>
      <w:pPr>
        <w:keepNext/>
        <w:keepLines/>
        <w:widowControl w:val="0"/>
        <w:spacing w:before="120" w:after="120" w:line="416" w:lineRule="auto"/>
        <w:jc w:val="center"/>
        <w:outlineLvl w:val="2"/>
        <w:rPr>
          <w:rFonts w:ascii="Calibri" w:hAnsi="Calibri"/>
          <w:bCs/>
          <w:kern w:val="2"/>
          <w:sz w:val="32"/>
          <w:szCs w:val="32"/>
        </w:rPr>
      </w:pPr>
      <w:r>
        <w:rPr>
          <w:rFonts w:hint="eastAsia" w:ascii="Calibri" w:hAnsi="Calibri"/>
          <w:b/>
          <w:bCs/>
          <w:kern w:val="2"/>
          <w:sz w:val="32"/>
          <w:szCs w:val="32"/>
        </w:rPr>
        <w:t>三</w:t>
      </w:r>
      <w:r>
        <w:rPr>
          <w:rFonts w:ascii="Calibri" w:hAnsi="Calibri"/>
          <w:b/>
          <w:bCs/>
          <w:kern w:val="2"/>
          <w:sz w:val="32"/>
          <w:szCs w:val="32"/>
        </w:rPr>
        <w:t>、法定代表人授权书</w:t>
      </w:r>
    </w:p>
    <w:p>
      <w:pPr>
        <w:widowControl w:val="0"/>
        <w:rPr>
          <w:rFonts w:ascii="Calibri" w:hAnsi="Calibri"/>
          <w:bCs/>
          <w:kern w:val="2"/>
          <w:sz w:val="24"/>
          <w:szCs w:val="24"/>
        </w:rPr>
      </w:pPr>
    </w:p>
    <w:p>
      <w:pPr>
        <w:widowControl w:val="0"/>
        <w:spacing w:line="360" w:lineRule="auto"/>
        <w:ind w:firstLine="420" w:firstLineChars="200"/>
        <w:rPr>
          <w:rFonts w:ascii="Calibri" w:hAnsi="Calibri"/>
          <w:kern w:val="2"/>
        </w:rPr>
      </w:pPr>
      <w:r>
        <w:rPr>
          <w:rFonts w:hint="eastAsia" w:ascii="Calibri" w:hAnsi="Calibri"/>
          <w:kern w:val="2"/>
        </w:rPr>
        <w:t>本授权委托书声明：我（姓名）系（投标人名称）的法定代表人（负责人），现授权委托（姓名）为我单位签署本项目已递交的投标文件的法定代表人（负责人）的授权委托代理人，代理人全权代表我所签署的本项目已递交的投标文件内容我均承认。</w:t>
      </w:r>
    </w:p>
    <w:p>
      <w:pPr>
        <w:widowControl w:val="0"/>
        <w:spacing w:line="360" w:lineRule="auto"/>
        <w:ind w:firstLine="420" w:firstLineChars="200"/>
        <w:rPr>
          <w:rFonts w:ascii="Calibri" w:hAnsi="Calibri"/>
          <w:kern w:val="2"/>
        </w:rPr>
      </w:pPr>
      <w:r>
        <w:rPr>
          <w:rFonts w:hint="eastAsia" w:ascii="Calibri" w:hAnsi="Calibri"/>
          <w:kern w:val="2"/>
        </w:rPr>
        <w:t>代理人无转委托权，特此委托。</w:t>
      </w:r>
    </w:p>
    <w:p>
      <w:pPr>
        <w:widowControl w:val="0"/>
        <w:spacing w:line="360" w:lineRule="auto"/>
        <w:ind w:firstLine="420" w:firstLineChars="200"/>
        <w:rPr>
          <w:rFonts w:ascii="Calibri" w:hAnsi="Calibri"/>
          <w:kern w:val="2"/>
        </w:rPr>
      </w:pPr>
    </w:p>
    <w:p>
      <w:pPr>
        <w:widowControl w:val="0"/>
        <w:spacing w:line="360" w:lineRule="auto"/>
        <w:ind w:firstLine="525" w:firstLineChars="250"/>
        <w:rPr>
          <w:rFonts w:ascii="Calibri" w:hAnsi="Calibri"/>
          <w:kern w:val="2"/>
        </w:rPr>
      </w:pPr>
      <w:r>
        <w:rPr>
          <w:rFonts w:hint="eastAsia" w:ascii="Calibri" w:hAnsi="Calibri"/>
          <w:kern w:val="2"/>
        </w:rPr>
        <w:t>代理人：</w:t>
      </w:r>
      <w:r>
        <w:rPr>
          <w:rFonts w:hint="eastAsia" w:ascii="Calibri" w:hAnsi="Calibri"/>
          <w:kern w:val="2"/>
          <w:u w:val="single"/>
        </w:rPr>
        <w:tab/>
      </w:r>
    </w:p>
    <w:p>
      <w:pPr>
        <w:widowControl w:val="0"/>
        <w:spacing w:line="360" w:lineRule="auto"/>
        <w:ind w:left="540" w:leftChars="257"/>
        <w:rPr>
          <w:rFonts w:ascii="Calibri" w:hAnsi="Calibri"/>
          <w:kern w:val="2"/>
        </w:rPr>
      </w:pPr>
      <w:r>
        <w:rPr>
          <w:rFonts w:hint="eastAsia" w:ascii="Calibri" w:hAnsi="Calibri"/>
          <w:kern w:val="2"/>
        </w:rPr>
        <w:t>联系电话：</w:t>
      </w:r>
      <w:r>
        <w:rPr>
          <w:rFonts w:hint="eastAsia" w:ascii="Calibri" w:hAnsi="Calibri"/>
          <w:kern w:val="2"/>
          <w:u w:val="single"/>
        </w:rPr>
        <w:tab/>
      </w:r>
      <w:r>
        <w:rPr>
          <w:rFonts w:hint="eastAsia" w:ascii="Calibri" w:hAnsi="Calibri"/>
          <w:kern w:val="2"/>
        </w:rPr>
        <w:t>手机：</w:t>
      </w:r>
      <w:r>
        <w:rPr>
          <w:rFonts w:hint="eastAsia" w:ascii="Calibri" w:hAnsi="Calibri"/>
          <w:kern w:val="2"/>
          <w:u w:val="single"/>
        </w:rPr>
        <w:tab/>
      </w:r>
    </w:p>
    <w:p>
      <w:pPr>
        <w:widowControl w:val="0"/>
        <w:spacing w:line="360" w:lineRule="auto"/>
        <w:ind w:left="540" w:leftChars="257"/>
        <w:rPr>
          <w:rFonts w:ascii="Calibri" w:hAnsi="Calibri"/>
          <w:kern w:val="2"/>
          <w:u w:val="single"/>
        </w:rPr>
      </w:pPr>
      <w:r>
        <w:rPr>
          <w:rFonts w:hint="eastAsia" w:ascii="Calibri" w:hAnsi="Calibri"/>
          <w:kern w:val="2"/>
        </w:rPr>
        <w:t>身份证号码：</w:t>
      </w:r>
      <w:r>
        <w:rPr>
          <w:rFonts w:hint="eastAsia" w:ascii="Calibri" w:hAnsi="Calibri"/>
          <w:kern w:val="2"/>
          <w:u w:val="single"/>
        </w:rPr>
        <w:tab/>
      </w:r>
      <w:r>
        <w:rPr>
          <w:rFonts w:hint="eastAsia" w:ascii="Calibri" w:hAnsi="Calibri"/>
          <w:kern w:val="2"/>
        </w:rPr>
        <w:t>职务：</w:t>
      </w:r>
      <w:r>
        <w:rPr>
          <w:rFonts w:hint="eastAsia" w:ascii="Calibri" w:hAnsi="Calibri"/>
          <w:kern w:val="2"/>
          <w:u w:val="single"/>
        </w:rPr>
        <w:tab/>
      </w:r>
    </w:p>
    <w:p>
      <w:pPr>
        <w:widowControl w:val="0"/>
        <w:spacing w:line="360" w:lineRule="auto"/>
        <w:ind w:left="540" w:leftChars="257"/>
        <w:rPr>
          <w:rFonts w:ascii="Calibri" w:hAnsi="Calibri"/>
          <w:kern w:val="2"/>
        </w:rPr>
      </w:pPr>
      <w:r>
        <w:rPr>
          <w:rFonts w:hint="eastAsia" w:ascii="Calibri" w:hAnsi="Calibri"/>
          <w:kern w:val="2"/>
        </w:rPr>
        <w:t>授权委托日期：年</w:t>
      </w:r>
      <w:r>
        <w:rPr>
          <w:rFonts w:hint="eastAsia" w:ascii="Calibri" w:hAnsi="Calibri"/>
          <w:kern w:val="2"/>
          <w:u w:val="single"/>
        </w:rPr>
        <w:tab/>
      </w:r>
      <w:r>
        <w:rPr>
          <w:rFonts w:hint="eastAsia" w:ascii="Calibri" w:hAnsi="Calibri"/>
          <w:kern w:val="2"/>
        </w:rPr>
        <w:t>月</w:t>
      </w:r>
      <w:r>
        <w:rPr>
          <w:rFonts w:hint="eastAsia" w:ascii="Calibri" w:hAnsi="Calibri"/>
          <w:kern w:val="2"/>
          <w:u w:val="single"/>
        </w:rPr>
        <w:tab/>
      </w:r>
      <w:r>
        <w:rPr>
          <w:rFonts w:hint="eastAsia" w:ascii="Calibri" w:hAnsi="Calibri"/>
          <w:kern w:val="2"/>
        </w:rPr>
        <w:t>日</w:t>
      </w:r>
    </w:p>
    <w:p>
      <w:pPr>
        <w:widowControl w:val="0"/>
        <w:spacing w:line="360" w:lineRule="auto"/>
        <w:rPr>
          <w:rFonts w:ascii="Calibri" w:hAnsi="Calibri"/>
          <w:kern w:val="2"/>
        </w:rPr>
      </w:pPr>
    </w:p>
    <w:p>
      <w:pPr>
        <w:widowControl w:val="0"/>
        <w:ind w:right="420"/>
        <w:jc w:val="center"/>
        <w:rPr>
          <w:rFonts w:ascii="Calibri" w:hAnsi="Calibri"/>
          <w:kern w:val="2"/>
        </w:rPr>
      </w:pPr>
      <w:r>
        <w:rPr>
          <w:rFonts w:hint="eastAsia" w:ascii="Calibri" w:hAnsi="Calibri"/>
          <w:kern w:val="2"/>
        </w:rPr>
        <w:t>投标人名称（加盖公章）：</w:t>
      </w:r>
    </w:p>
    <w:p>
      <w:pPr>
        <w:widowControl w:val="0"/>
        <w:ind w:right="840"/>
        <w:jc w:val="center"/>
        <w:rPr>
          <w:rFonts w:ascii="Calibri" w:hAnsi="Calibri"/>
          <w:kern w:val="2"/>
        </w:rPr>
      </w:pPr>
      <w:r>
        <w:rPr>
          <w:rFonts w:hint="eastAsia" w:ascii="Calibri" w:hAnsi="Calibri"/>
          <w:kern w:val="2"/>
        </w:rPr>
        <w:t>日期：</w:t>
      </w:r>
    </w:p>
    <w:p>
      <w:pPr>
        <w:widowControl w:val="0"/>
        <w:rPr>
          <w:rFonts w:ascii="Calibri" w:hAnsi="Calibri"/>
          <w:kern w:val="2"/>
          <w:szCs w:val="24"/>
        </w:rPr>
      </w:pPr>
    </w:p>
    <w:p>
      <w:pPr>
        <w:widowControl w:val="0"/>
        <w:ind w:right="1680" w:rightChars="800"/>
        <w:jc w:val="center"/>
        <w:outlineLvl w:val="2"/>
        <w:rPr>
          <w:rFonts w:ascii="Calibri" w:hAnsi="Calibri"/>
          <w:bCs/>
          <w:kern w:val="2"/>
        </w:rPr>
      </w:pPr>
      <w:r>
        <w:rPr>
          <w:rFonts w:hint="eastAsia" w:ascii="Calibri" w:hAnsi="Calibri"/>
          <w:b/>
          <w:color w:val="FF0000"/>
          <w:kern w:val="2"/>
        </w:rPr>
        <w:t>附：请提供代理人身份证扫描件（正反两面）；港澳台居民可提供来往通行证扫描件；非中国国籍管辖范围人员，可提供公安部门认可的身份证明材料扫描件。</w:t>
      </w:r>
    </w:p>
    <w:p>
      <w:pPr>
        <w:pStyle w:val="3"/>
        <w:jc w:val="center"/>
        <w:rPr>
          <w:rFonts w:eastAsia="黑体"/>
          <w:b w:val="0"/>
          <w:bCs w:val="0"/>
          <w:kern w:val="2"/>
        </w:rPr>
      </w:pPr>
    </w:p>
    <w:p>
      <w:pPr>
        <w:jc w:val="left"/>
        <w:rPr>
          <w:rFonts w:ascii="宋体" w:hAnsi="宋体"/>
          <w:b/>
          <w:bCs/>
          <w:kern w:val="2"/>
          <w:sz w:val="32"/>
          <w:szCs w:val="32"/>
        </w:rPr>
      </w:pPr>
      <w:r>
        <w:rPr>
          <w:rFonts w:ascii="宋体" w:hAnsi="宋体"/>
        </w:rPr>
        <w:br w:type="page"/>
      </w:r>
    </w:p>
    <w:p>
      <w:pPr>
        <w:keepNext/>
        <w:keepLines/>
        <w:widowControl w:val="0"/>
        <w:spacing w:before="120" w:after="120" w:line="416" w:lineRule="auto"/>
        <w:jc w:val="center"/>
        <w:outlineLvl w:val="2"/>
        <w:rPr>
          <w:rFonts w:ascii="Calibri" w:hAnsi="Calibri"/>
          <w:b/>
          <w:bCs/>
          <w:kern w:val="2"/>
          <w:sz w:val="32"/>
          <w:szCs w:val="32"/>
        </w:rPr>
      </w:pPr>
      <w:r>
        <w:rPr>
          <w:rFonts w:hint="eastAsia" w:ascii="Calibri" w:hAnsi="Calibri"/>
          <w:b/>
          <w:bCs/>
          <w:kern w:val="2"/>
          <w:sz w:val="32"/>
          <w:szCs w:val="32"/>
        </w:rPr>
        <w:t>四、投标函</w:t>
      </w:r>
    </w:p>
    <w:p>
      <w:pPr>
        <w:pStyle w:val="5"/>
        <w:jc w:val="center"/>
        <w:rPr>
          <w:rFonts w:ascii="Times New Roman" w:hAnsi="Times New Roman"/>
        </w:rPr>
      </w:pPr>
      <w:r>
        <w:rPr>
          <w:rFonts w:ascii="Times New Roman" w:hAnsi="Times New Roman"/>
        </w:rPr>
        <w:t>投标函</w:t>
      </w:r>
    </w:p>
    <w:p>
      <w:pPr>
        <w:widowControl w:val="0"/>
        <w:rPr>
          <w:rFonts w:ascii="宋体" w:hAnsi="宋体"/>
          <w:kern w:val="2"/>
        </w:rPr>
      </w:pPr>
      <w:r>
        <w:rPr>
          <w:rFonts w:ascii="宋体" w:hAnsi="宋体"/>
          <w:kern w:val="2"/>
        </w:rPr>
        <w:t>致：深圳市建星项目管理顾问有限公司</w:t>
      </w:r>
    </w:p>
    <w:p>
      <w:pPr>
        <w:widowControl w:val="0"/>
        <w:spacing w:afterLines="50"/>
        <w:ind w:firstLine="420" w:firstLineChars="200"/>
        <w:rPr>
          <w:rFonts w:ascii="宋体" w:hAnsi="宋体"/>
          <w:kern w:val="2"/>
        </w:rPr>
      </w:pPr>
      <w:r>
        <w:rPr>
          <w:rFonts w:ascii="宋体" w:hAnsi="宋体"/>
          <w:kern w:val="2"/>
        </w:rPr>
        <w:t>根据贵方              （项目名称）的招标公告（项目编号为      ），本人经我方法定代表人授权正式代表投标人                    （投标人的名称），提交唱标信封1份及投标文件正本</w:t>
      </w:r>
      <w:r>
        <w:rPr>
          <w:rFonts w:hint="eastAsia" w:ascii="宋体" w:hAnsi="宋体"/>
          <w:kern w:val="2"/>
        </w:rPr>
        <w:t>1</w:t>
      </w:r>
      <w:r>
        <w:rPr>
          <w:rFonts w:ascii="宋体" w:hAnsi="宋体"/>
          <w:kern w:val="2"/>
        </w:rPr>
        <w:t>份，副本4份，</w:t>
      </w:r>
      <w:r>
        <w:rPr>
          <w:rFonts w:ascii="宋体" w:hAnsi="宋体"/>
        </w:rPr>
        <w:t>附有投标文件电子文档的光盘</w:t>
      </w:r>
      <w:r>
        <w:rPr>
          <w:rFonts w:ascii="宋体" w:hAnsi="宋体"/>
          <w:kern w:val="2"/>
        </w:rPr>
        <w:t>。</w:t>
      </w:r>
    </w:p>
    <w:p>
      <w:pPr>
        <w:widowControl w:val="0"/>
        <w:spacing w:afterLines="50"/>
        <w:ind w:firstLine="420" w:firstLineChars="200"/>
        <w:rPr>
          <w:rFonts w:ascii="宋体" w:hAnsi="宋体"/>
          <w:kern w:val="2"/>
        </w:rPr>
      </w:pPr>
      <w:r>
        <w:rPr>
          <w:rFonts w:ascii="宋体" w:hAnsi="宋体"/>
          <w:kern w:val="2"/>
        </w:rPr>
        <w:t xml:space="preserve">    据此函，本人代表投标方保证，所提供的全部资料是真实的。本人承诺：</w:t>
      </w:r>
    </w:p>
    <w:p>
      <w:pPr>
        <w:widowControl w:val="0"/>
        <w:spacing w:afterLines="50"/>
        <w:ind w:firstLine="420" w:firstLineChars="200"/>
        <w:rPr>
          <w:rFonts w:ascii="宋体" w:hAnsi="宋体"/>
          <w:kern w:val="2"/>
        </w:rPr>
      </w:pPr>
      <w:r>
        <w:rPr>
          <w:rFonts w:ascii="宋体" w:hAnsi="宋体"/>
          <w:kern w:val="2"/>
        </w:rPr>
        <w:t>（1）我方愿以开标一览表中的投标报价并按招标文件要求承包上述项目并修补其任何缺陷；</w:t>
      </w:r>
    </w:p>
    <w:p>
      <w:pPr>
        <w:widowControl w:val="0"/>
        <w:spacing w:afterLines="50"/>
        <w:ind w:firstLine="420" w:firstLineChars="200"/>
        <w:rPr>
          <w:rFonts w:ascii="宋体" w:hAnsi="宋体"/>
          <w:kern w:val="2"/>
        </w:rPr>
      </w:pPr>
      <w:r>
        <w:rPr>
          <w:rFonts w:ascii="宋体" w:hAnsi="宋体"/>
          <w:kern w:val="2"/>
        </w:rPr>
        <w:t>（2）我方承担根据招标文件的规定，完成合同的责任和义务。</w:t>
      </w:r>
    </w:p>
    <w:p>
      <w:pPr>
        <w:widowControl w:val="0"/>
        <w:spacing w:afterLines="50"/>
        <w:ind w:firstLine="420" w:firstLineChars="200"/>
        <w:rPr>
          <w:rFonts w:ascii="宋体" w:hAnsi="宋体"/>
          <w:kern w:val="2"/>
        </w:rPr>
      </w:pPr>
      <w:r>
        <w:rPr>
          <w:rFonts w:ascii="宋体" w:hAnsi="宋体"/>
          <w:kern w:val="2"/>
        </w:rPr>
        <w:t>（3）我方已详细阅读了全部招标文件，包括招标文件修改书（如果有的话），参考资料及有关附件，我们完全理解并同意放弃对这方面有不清楚或误解的问题和质疑投诉的权利。</w:t>
      </w:r>
    </w:p>
    <w:p>
      <w:pPr>
        <w:widowControl w:val="0"/>
        <w:spacing w:afterLines="50"/>
        <w:ind w:firstLine="420" w:firstLineChars="200"/>
        <w:rPr>
          <w:rFonts w:ascii="宋体" w:hAnsi="宋体"/>
          <w:kern w:val="2"/>
        </w:rPr>
      </w:pPr>
      <w:r>
        <w:rPr>
          <w:rFonts w:ascii="宋体" w:hAnsi="宋体"/>
          <w:kern w:val="2"/>
        </w:rPr>
        <w:t>（4）我方同意所递交的投标文件在“关键信息-项目信息”规定的投标有效期内有效，在此期间内我方的投标有可能中标，我方将受此约束。如果在投标有效期内撤回其投标，其投标保证金将全部被没收。</w:t>
      </w:r>
    </w:p>
    <w:p>
      <w:pPr>
        <w:widowControl w:val="0"/>
        <w:spacing w:afterLines="50"/>
        <w:ind w:firstLine="420" w:firstLineChars="200"/>
        <w:rPr>
          <w:rFonts w:ascii="宋体" w:hAnsi="宋体"/>
          <w:kern w:val="2"/>
        </w:rPr>
      </w:pPr>
      <w:r>
        <w:rPr>
          <w:rFonts w:ascii="宋体" w:hAnsi="宋体"/>
          <w:kern w:val="2"/>
        </w:rPr>
        <w:t>（5）除非另外达成协议并生效，贵方的中标通知书和本投标文件将构成约束我们双方的合同。</w:t>
      </w:r>
    </w:p>
    <w:p>
      <w:pPr>
        <w:widowControl w:val="0"/>
        <w:spacing w:afterLines="50"/>
        <w:ind w:firstLine="420" w:firstLineChars="200"/>
        <w:rPr>
          <w:rFonts w:ascii="宋体" w:hAnsi="宋体"/>
          <w:kern w:val="2"/>
        </w:rPr>
      </w:pPr>
      <w:r>
        <w:rPr>
          <w:rFonts w:ascii="宋体" w:hAnsi="宋体"/>
          <w:kern w:val="2"/>
        </w:rPr>
        <w:t>（6）同意向贵方提供贵方可能要求的与本投标有关的任何证据或资料。</w:t>
      </w:r>
    </w:p>
    <w:p>
      <w:pPr>
        <w:widowControl w:val="0"/>
        <w:ind w:firstLine="420" w:firstLineChars="200"/>
        <w:rPr>
          <w:rFonts w:ascii="宋体" w:hAnsi="宋体"/>
          <w:kern w:val="2"/>
        </w:rPr>
      </w:pPr>
      <w:r>
        <w:rPr>
          <w:rFonts w:ascii="宋体" w:hAnsi="宋体"/>
          <w:kern w:val="2"/>
        </w:rPr>
        <w:t>（7）我方完全理解贵方不一定要接受最低报价的投标或收到的任何投标。</w:t>
      </w:r>
    </w:p>
    <w:p>
      <w:pPr>
        <w:widowControl w:val="0"/>
        <w:ind w:firstLine="420" w:firstLineChars="200"/>
        <w:rPr>
          <w:rFonts w:ascii="宋体" w:hAnsi="宋体"/>
          <w:kern w:val="2"/>
          <w:u w:val="single"/>
        </w:rPr>
      </w:pPr>
    </w:p>
    <w:p>
      <w:pPr>
        <w:widowControl w:val="0"/>
        <w:ind w:firstLine="5075" w:firstLineChars="2417"/>
        <w:rPr>
          <w:rFonts w:ascii="宋体" w:hAnsi="宋体"/>
          <w:kern w:val="2"/>
        </w:rPr>
      </w:pPr>
    </w:p>
    <w:p>
      <w:pPr>
        <w:widowControl w:val="0"/>
        <w:ind w:firstLine="420" w:firstLineChars="200"/>
        <w:rPr>
          <w:rFonts w:ascii="宋体" w:hAnsi="宋体"/>
          <w:kern w:val="2"/>
        </w:rPr>
      </w:pPr>
      <w:r>
        <w:rPr>
          <w:rFonts w:ascii="宋体" w:hAnsi="宋体"/>
          <w:kern w:val="2"/>
        </w:rPr>
        <w:t>与本投标有关的正式通信方式：</w:t>
      </w:r>
    </w:p>
    <w:p>
      <w:pPr>
        <w:widowControl w:val="0"/>
        <w:ind w:firstLine="420" w:firstLineChars="200"/>
        <w:rPr>
          <w:rFonts w:ascii="宋体" w:hAnsi="宋体"/>
          <w:kern w:val="2"/>
          <w:u w:val="single"/>
        </w:rPr>
      </w:pPr>
      <w:r>
        <w:rPr>
          <w:rFonts w:ascii="宋体" w:hAnsi="宋体"/>
          <w:kern w:val="2"/>
        </w:rPr>
        <w:t>地址： 邮政编码：</w:t>
      </w:r>
    </w:p>
    <w:p>
      <w:pPr>
        <w:widowControl w:val="0"/>
        <w:ind w:firstLine="420" w:firstLineChars="200"/>
        <w:rPr>
          <w:rFonts w:ascii="宋体" w:hAnsi="宋体"/>
          <w:kern w:val="2"/>
          <w:u w:val="single"/>
        </w:rPr>
      </w:pPr>
      <w:r>
        <w:rPr>
          <w:rFonts w:ascii="宋体" w:hAnsi="宋体"/>
          <w:kern w:val="2"/>
        </w:rPr>
        <w:t>电话、手机、传真或电传：</w:t>
      </w:r>
    </w:p>
    <w:p>
      <w:pPr>
        <w:widowControl w:val="0"/>
        <w:ind w:firstLine="420" w:firstLineChars="200"/>
        <w:rPr>
          <w:rFonts w:ascii="宋体" w:hAnsi="宋体"/>
          <w:kern w:val="2"/>
          <w:u w:val="single"/>
        </w:rPr>
      </w:pPr>
      <w:r>
        <w:rPr>
          <w:rFonts w:ascii="宋体" w:hAnsi="宋体"/>
          <w:kern w:val="2"/>
        </w:rPr>
        <w:t>开户银行名称： 开户银行帐号：</w:t>
      </w:r>
    </w:p>
    <w:p>
      <w:pPr>
        <w:widowControl w:val="0"/>
        <w:ind w:firstLine="420" w:firstLineChars="200"/>
        <w:rPr>
          <w:rFonts w:ascii="宋体" w:hAnsi="宋体"/>
          <w:kern w:val="2"/>
          <w:u w:val="single"/>
        </w:rPr>
      </w:pPr>
      <w:r>
        <w:rPr>
          <w:rFonts w:ascii="宋体" w:hAnsi="宋体"/>
          <w:kern w:val="2"/>
        </w:rPr>
        <w:t>开户银行地址： 开户银行电话：</w:t>
      </w:r>
    </w:p>
    <w:p>
      <w:pPr>
        <w:widowControl w:val="0"/>
        <w:ind w:firstLine="420" w:firstLineChars="200"/>
        <w:rPr>
          <w:rFonts w:ascii="宋体" w:hAnsi="宋体"/>
          <w:kern w:val="2"/>
          <w:u w:val="single"/>
        </w:rPr>
      </w:pPr>
      <w:r>
        <w:rPr>
          <w:rFonts w:ascii="宋体" w:hAnsi="宋体"/>
          <w:kern w:val="2"/>
        </w:rPr>
        <w:t>投标人代表姓名（签字）：</w:t>
      </w:r>
    </w:p>
    <w:p>
      <w:pPr>
        <w:widowControl w:val="0"/>
        <w:ind w:firstLine="5075" w:firstLineChars="2417"/>
        <w:rPr>
          <w:rFonts w:ascii="宋体" w:hAnsi="宋体"/>
          <w:kern w:val="2"/>
        </w:rPr>
      </w:pPr>
    </w:p>
    <w:p>
      <w:pPr>
        <w:widowControl w:val="0"/>
        <w:ind w:firstLine="6125" w:firstLineChars="2917"/>
        <w:rPr>
          <w:rFonts w:ascii="宋体" w:hAnsi="宋体"/>
          <w:kern w:val="2"/>
        </w:rPr>
      </w:pPr>
      <w:r>
        <w:rPr>
          <w:rFonts w:ascii="宋体" w:hAnsi="宋体"/>
          <w:kern w:val="2"/>
        </w:rPr>
        <w:t>公章：</w:t>
      </w:r>
    </w:p>
    <w:p>
      <w:pPr>
        <w:widowControl w:val="0"/>
        <w:ind w:firstLine="6020" w:firstLineChars="2867"/>
        <w:rPr>
          <w:rFonts w:ascii="宋体" w:hAnsi="宋体"/>
          <w:kern w:val="2"/>
        </w:rPr>
      </w:pPr>
    </w:p>
    <w:p>
      <w:pPr>
        <w:ind w:firstLine="6230" w:firstLineChars="2967"/>
      </w:pPr>
      <w:r>
        <w:rPr>
          <w:rFonts w:ascii="宋体" w:hAnsi="宋体"/>
          <w:kern w:val="2"/>
        </w:rPr>
        <w:t>日期：       年   月   日</w:t>
      </w:r>
    </w:p>
    <w:p>
      <w:pPr>
        <w:jc w:val="left"/>
        <w:rPr>
          <w:rFonts w:ascii="宋体" w:hAnsi="宋体"/>
          <w:b/>
          <w:bCs/>
          <w:kern w:val="2"/>
          <w:sz w:val="32"/>
          <w:szCs w:val="32"/>
        </w:rPr>
      </w:pPr>
      <w:r>
        <w:rPr>
          <w:rFonts w:ascii="宋体" w:hAnsi="宋体"/>
        </w:rPr>
        <w:br w:type="page"/>
      </w:r>
    </w:p>
    <w:p>
      <w:pPr>
        <w:pStyle w:val="4"/>
        <w:spacing w:before="120" w:after="120"/>
        <w:jc w:val="center"/>
        <w:rPr>
          <w:rFonts w:ascii="宋体" w:hAnsi="宋体" w:eastAsia="宋体"/>
        </w:rPr>
      </w:pPr>
      <w:r>
        <w:rPr>
          <w:rFonts w:hint="eastAsia" w:ascii="宋体" w:hAnsi="宋体" w:eastAsia="宋体"/>
        </w:rPr>
        <w:t>五</w:t>
      </w:r>
      <w:r>
        <w:rPr>
          <w:rFonts w:ascii="宋体" w:hAnsi="宋体" w:eastAsia="宋体"/>
        </w:rPr>
        <w:t>、政府采购</w:t>
      </w:r>
      <w:r>
        <w:rPr>
          <w:rFonts w:hint="eastAsia" w:ascii="宋体" w:hAnsi="宋体" w:eastAsia="宋体"/>
        </w:rPr>
        <w:t>投标</w:t>
      </w:r>
      <w:r>
        <w:rPr>
          <w:rFonts w:ascii="宋体" w:hAnsi="宋体" w:eastAsia="宋体"/>
        </w:rPr>
        <w:t>及履约承诺函</w:t>
      </w:r>
    </w:p>
    <w:p>
      <w:pPr>
        <w:ind w:firstLine="420" w:firstLineChars="200"/>
        <w:jc w:val="center"/>
      </w:pPr>
    </w:p>
    <w:p>
      <w:pPr>
        <w:ind w:firstLine="480" w:firstLineChars="200"/>
        <w:rPr>
          <w:sz w:val="24"/>
        </w:rPr>
      </w:pPr>
      <w:r>
        <w:rPr>
          <w:sz w:val="24"/>
        </w:rPr>
        <w:t>致：深圳市建星项目管理顾问有限公司</w:t>
      </w:r>
    </w:p>
    <w:p>
      <w:pPr>
        <w:ind w:firstLine="480" w:firstLineChars="200"/>
        <w:rPr>
          <w:sz w:val="24"/>
        </w:rPr>
      </w:pPr>
      <w:r>
        <w:rPr>
          <w:rFonts w:hint="eastAsia"/>
          <w:sz w:val="24"/>
        </w:rPr>
        <w:t>我公司承诺：</w:t>
      </w:r>
    </w:p>
    <w:p>
      <w:pPr>
        <w:ind w:firstLine="480" w:firstLineChars="200"/>
        <w:rPr>
          <w:sz w:val="24"/>
        </w:rPr>
      </w:pPr>
      <w:r>
        <w:rPr>
          <w:rFonts w:hint="eastAsia"/>
          <w:sz w:val="24"/>
        </w:rPr>
        <w:t>1.我公司本招标项目所提供的货物或服务未侵犯知识产权。</w:t>
      </w:r>
    </w:p>
    <w:p>
      <w:pPr>
        <w:ind w:firstLine="481" w:firstLineChars="200"/>
        <w:rPr>
          <w:b/>
          <w:sz w:val="24"/>
        </w:rPr>
      </w:pPr>
      <w:r>
        <w:rPr>
          <w:rFonts w:hint="eastAsia"/>
          <w:b/>
          <w:sz w:val="24"/>
        </w:rPr>
        <w:t>2.我公司参与本项目投标前三年内，在经营活动中没有重大违法记录。</w:t>
      </w:r>
    </w:p>
    <w:p>
      <w:pPr>
        <w:ind w:firstLine="481" w:firstLineChars="200"/>
        <w:rPr>
          <w:b/>
          <w:sz w:val="24"/>
        </w:rPr>
      </w:pPr>
      <w:r>
        <w:rPr>
          <w:rFonts w:hint="eastAsia"/>
          <w:b/>
          <w:sz w:val="24"/>
        </w:rPr>
        <w:t>3.我公司参与本项目政府采购活动时不存在被有关部门禁止参与政府采购活动且在有效期内的情况。</w:t>
      </w:r>
    </w:p>
    <w:p>
      <w:pPr>
        <w:ind w:firstLine="481" w:firstLineChars="200"/>
        <w:rPr>
          <w:b/>
          <w:sz w:val="24"/>
        </w:rPr>
      </w:pPr>
      <w:r>
        <w:rPr>
          <w:rFonts w:hint="eastAsia"/>
          <w:b/>
          <w:sz w:val="24"/>
        </w:rPr>
        <w:t>4.我公司具备《中华人民共和国政府采购法》第二十二条的条件。即：</w:t>
      </w:r>
    </w:p>
    <w:p>
      <w:pPr>
        <w:ind w:firstLine="320" w:firstLineChars="200"/>
        <w:rPr>
          <w:b/>
          <w:sz w:val="24"/>
        </w:rPr>
      </w:pPr>
      <w:r>
        <w:rPr>
          <w:rFonts w:ascii="Arial" w:hAnsi="Arial" w:cs="Arial"/>
          <w:color w:val="333333"/>
          <w:sz w:val="16"/>
          <w:szCs w:val="16"/>
          <w:shd w:val="clear" w:color="auto" w:fill="FFFFFF"/>
        </w:rPr>
        <w:t>（</w:t>
      </w:r>
      <w:r>
        <w:rPr>
          <w:sz w:val="24"/>
        </w:rPr>
        <w:t>一）具有独立承担民事责任的能力；（二）具有良好的商业信誉和健全的财务会计制度；（三）具有履行合同所必需的设备和专业技术能力；（四）有依法缴纳税收和社会保障资金的良好记录；（五）参加政府采购活动前三年内，在经营活动中没有重大违法记录；（六）法律、行政法规规定的其他条件。</w:t>
      </w:r>
    </w:p>
    <w:p>
      <w:pPr>
        <w:ind w:firstLine="481" w:firstLineChars="200"/>
        <w:rPr>
          <w:b/>
          <w:sz w:val="24"/>
        </w:rPr>
      </w:pPr>
      <w:r>
        <w:rPr>
          <w:rFonts w:hint="eastAsia"/>
          <w:b/>
          <w:sz w:val="24"/>
        </w:rPr>
        <w:t>5.我公司未被列入失信被执行人、重大税收违法案件当事人名单、政府采购严重违法失信行为记录名单。</w:t>
      </w:r>
    </w:p>
    <w:p>
      <w:pPr>
        <w:ind w:firstLine="481" w:firstLineChars="200"/>
        <w:rPr>
          <w:b/>
          <w:sz w:val="24"/>
        </w:rPr>
      </w:pPr>
      <w:r>
        <w:rPr>
          <w:rFonts w:hint="eastAsia"/>
          <w:b/>
          <w:sz w:val="24"/>
        </w:rPr>
        <w:t>6.我公司在法律上和财务上独立、合法运作并独立于招标人和招标机构。</w:t>
      </w:r>
    </w:p>
    <w:p>
      <w:pPr>
        <w:ind w:firstLine="481" w:firstLineChars="200"/>
        <w:rPr>
          <w:b/>
          <w:sz w:val="24"/>
        </w:rPr>
      </w:pPr>
      <w:r>
        <w:rPr>
          <w:rFonts w:hint="eastAsia"/>
          <w:b/>
          <w:sz w:val="24"/>
        </w:rPr>
        <w:t>7.投标人参加政府采购活动前三年(2019年9月1日至招标公告发布之日止)内无受行政处罚、红黄牌警示和不良行为记录，且不处于停止投标处罚期。</w:t>
      </w:r>
    </w:p>
    <w:p>
      <w:pPr>
        <w:ind w:firstLine="480" w:firstLineChars="200"/>
        <w:rPr>
          <w:sz w:val="24"/>
        </w:rPr>
      </w:pPr>
      <w:r>
        <w:rPr>
          <w:rFonts w:hint="eastAsia"/>
          <w:sz w:val="24"/>
        </w:rPr>
        <w:t>8.我公司参与该项目投标，严格遵循公平竞争的原则，不恶意串通，不妨碍其他投标人的竞争行为，不损害采购人或者其他投标人的合法权益。我公司已清楚，如违反上述要求，将作投标无效处理。</w:t>
      </w:r>
    </w:p>
    <w:p>
      <w:pPr>
        <w:ind w:firstLine="480" w:firstLineChars="200"/>
        <w:rPr>
          <w:sz w:val="24"/>
        </w:rPr>
      </w:pPr>
      <w:r>
        <w:rPr>
          <w:rFonts w:hint="eastAsia"/>
          <w:sz w:val="24"/>
        </w:rPr>
        <w:t>9.我公司如果中标，做到守信，不偷工减料，依照本项目采购文件需求内容、签署的采购合同及本公司在投标中所作的一切承诺履约。</w:t>
      </w:r>
    </w:p>
    <w:p>
      <w:pPr>
        <w:ind w:firstLine="480" w:firstLineChars="200"/>
        <w:rPr>
          <w:sz w:val="24"/>
        </w:rPr>
      </w:pPr>
      <w:r>
        <w:rPr>
          <w:rFonts w:hint="eastAsia"/>
          <w:sz w:val="24"/>
        </w:rPr>
        <w:t>10.我公司承诺本项目的报价不低于我公司的成本价，否则，我公司清楚将面临投标无效的风险；我公司承诺不恶意低价谋取中标；我公司对本项目的报价负责，中标后将严格按照本项目采购文件需求、签署的采购合同及我公司在投标中所作的全部承诺履行。我公司清楚，若我公司以“报价太低而无法履约”为理由放弃本项目中标资格时，投标保证金将不被退还，且愿意接受主管部门的处理处罚。若我公司中标本项目，我公司的报价明显低于其他投标人的报价时，我公司清楚，本项目将成为重点监管、重点验收项目，我公司将按时保质保量完成，并全力配合有关监管、验收工作；若我公司未按上述要求履约，我公司愿意接受主管部门的处理处罚。</w:t>
      </w:r>
    </w:p>
    <w:p>
      <w:pPr>
        <w:ind w:firstLine="480" w:firstLineChars="200"/>
        <w:rPr>
          <w:sz w:val="24"/>
        </w:rPr>
      </w:pPr>
      <w:r>
        <w:rPr>
          <w:rFonts w:hint="eastAsia"/>
          <w:sz w:val="24"/>
        </w:rPr>
        <w:t>11.我公司已认真核实了投标文件的全部内容，所有资料均为真实资料。我公司对投标文件中全部投标资料的真实性负责，如被证实我公司的投标文件中存在虚假资料的，则视为我公司隐瞒真实情况、提供虚假资料，我公司愿意接受主管部门作出的行政处罚。</w:t>
      </w:r>
    </w:p>
    <w:p>
      <w:pPr>
        <w:ind w:firstLine="480" w:firstLineChars="200"/>
        <w:rPr>
          <w:sz w:val="24"/>
        </w:rPr>
      </w:pPr>
      <w:r>
        <w:rPr>
          <w:rFonts w:hint="eastAsia"/>
          <w:sz w:val="24"/>
        </w:rPr>
        <w:t>12.我公司承诺不非法转包、分包。</w:t>
      </w:r>
    </w:p>
    <w:p>
      <w:pPr>
        <w:ind w:firstLine="480" w:firstLineChars="200"/>
        <w:rPr>
          <w:color w:val="000000"/>
        </w:rPr>
      </w:pPr>
      <w:r>
        <w:rPr>
          <w:rFonts w:hint="eastAsia"/>
          <w:sz w:val="24"/>
        </w:rPr>
        <w:t>以上承诺，如有违反，愿依照国家相关法律处理，并承担由此给采购人带来的损失。</w:t>
      </w:r>
    </w:p>
    <w:p>
      <w:pPr>
        <w:pStyle w:val="14"/>
        <w:ind w:firstLine="481" w:firstLineChars="200"/>
        <w:rPr>
          <w:b/>
        </w:rPr>
      </w:pPr>
    </w:p>
    <w:p>
      <w:pPr>
        <w:pStyle w:val="14"/>
        <w:ind w:firstLine="481" w:firstLineChars="200"/>
        <w:rPr>
          <w:b/>
        </w:rPr>
      </w:pPr>
    </w:p>
    <w:p>
      <w:pPr>
        <w:snapToGrid w:val="0"/>
        <w:ind w:right="480" w:firstLine="6360" w:firstLineChars="2650"/>
        <w:rPr>
          <w:sz w:val="24"/>
        </w:rPr>
      </w:pPr>
      <w:r>
        <w:rPr>
          <w:sz w:val="24"/>
        </w:rPr>
        <w:t>供应商（盖章）：</w:t>
      </w:r>
    </w:p>
    <w:p>
      <w:pPr>
        <w:pStyle w:val="4"/>
        <w:spacing w:before="120" w:after="120"/>
        <w:jc w:val="right"/>
        <w:rPr>
          <w:rFonts w:ascii="Times New Roman" w:hAnsi="Times New Roman" w:eastAsia="宋体"/>
          <w:b w:val="0"/>
          <w:bCs w:val="0"/>
          <w:kern w:val="0"/>
          <w:sz w:val="24"/>
          <w:szCs w:val="21"/>
        </w:rPr>
      </w:pPr>
      <w:r>
        <w:rPr>
          <w:rFonts w:ascii="Times New Roman" w:hAnsi="Times New Roman" w:eastAsia="宋体"/>
          <w:b w:val="0"/>
          <w:bCs w:val="0"/>
          <w:kern w:val="0"/>
          <w:sz w:val="24"/>
          <w:szCs w:val="21"/>
        </w:rPr>
        <w:t>日期：年月日</w:t>
      </w:r>
    </w:p>
    <w:p/>
    <w:p>
      <w:pPr>
        <w:jc w:val="left"/>
        <w:rPr>
          <w:sz w:val="24"/>
        </w:rPr>
      </w:pPr>
    </w:p>
    <w:p>
      <w:pPr>
        <w:keepNext/>
        <w:keepLines/>
        <w:spacing w:before="260" w:after="260"/>
        <w:jc w:val="center"/>
        <w:outlineLvl w:val="2"/>
        <w:rPr>
          <w:rFonts w:ascii="宋体" w:hAnsi="宋体"/>
          <w:b/>
          <w:bCs/>
          <w:kern w:val="2"/>
          <w:sz w:val="32"/>
          <w:szCs w:val="32"/>
        </w:rPr>
      </w:pPr>
      <w:bookmarkStart w:id="282" w:name="_Hlk110596742"/>
      <w:r>
        <w:rPr>
          <w:rFonts w:hint="eastAsia" w:ascii="宋体" w:hAnsi="宋体"/>
          <w:b/>
          <w:bCs/>
          <w:kern w:val="2"/>
          <w:sz w:val="32"/>
          <w:szCs w:val="32"/>
        </w:rPr>
        <w:t>六、政府采购违法行为风险知悉确认书</w:t>
      </w:r>
    </w:p>
    <w:p>
      <w:pPr>
        <w:autoSpaceDE w:val="0"/>
        <w:autoSpaceDN w:val="0"/>
        <w:ind w:firstLine="464" w:firstLineChars="200"/>
        <w:jc w:val="left"/>
        <w:rPr>
          <w:rFonts w:ascii="宋体" w:hAnsi="宋体"/>
          <w:spacing w:val="-4"/>
          <w:sz w:val="24"/>
        </w:rPr>
      </w:pPr>
      <w:r>
        <w:rPr>
          <w:rFonts w:hint="eastAsia" w:ascii="宋体" w:hAnsi="宋体"/>
          <w:spacing w:val="-4"/>
          <w:sz w:val="24"/>
        </w:rPr>
        <w:t>本公司在投标前已充分知悉以下情形为参与政府采购活动时的重大风险事项，并承诺已对下述风险提示事项重点排查，做到严谨、诚信、依法依规参与政府采购活动。</w:t>
      </w:r>
    </w:p>
    <w:p>
      <w:pPr>
        <w:ind w:firstLine="481" w:firstLineChars="200"/>
        <w:jc w:val="left"/>
        <w:rPr>
          <w:rFonts w:ascii="宋体" w:hAnsi="宋体"/>
          <w:b/>
          <w:bCs/>
          <w:sz w:val="24"/>
        </w:rPr>
      </w:pPr>
      <w:r>
        <w:rPr>
          <w:rFonts w:hint="eastAsia" w:ascii="宋体" w:hAnsi="宋体"/>
          <w:b/>
          <w:bCs/>
          <w:sz w:val="24"/>
        </w:rPr>
        <w:t>一、本公司已充分知悉“隐瞒真实情况，提供虚假资料”的法定情形，相关情形包括但不限于：</w:t>
      </w:r>
    </w:p>
    <w:p>
      <w:pPr>
        <w:autoSpaceDE w:val="0"/>
        <w:autoSpaceDN w:val="0"/>
        <w:ind w:firstLine="464" w:firstLineChars="200"/>
        <w:jc w:val="left"/>
        <w:rPr>
          <w:rFonts w:ascii="宋体" w:hAnsi="宋体"/>
          <w:spacing w:val="-4"/>
          <w:sz w:val="24"/>
        </w:rPr>
      </w:pPr>
      <w:r>
        <w:rPr>
          <w:rFonts w:hint="eastAsia" w:ascii="宋体" w:hAnsi="宋体"/>
          <w:spacing w:val="-4"/>
          <w:sz w:val="24"/>
        </w:rPr>
        <w:t>（一）通过转让或者租借等方式从其他单位获取资格或者资质证书投标的。</w:t>
      </w:r>
    </w:p>
    <w:p>
      <w:pPr>
        <w:autoSpaceDE w:val="0"/>
        <w:autoSpaceDN w:val="0"/>
        <w:ind w:firstLine="464" w:firstLineChars="200"/>
        <w:jc w:val="left"/>
        <w:rPr>
          <w:rFonts w:ascii="宋体" w:hAnsi="宋体"/>
          <w:spacing w:val="-4"/>
          <w:sz w:val="24"/>
        </w:rPr>
      </w:pPr>
      <w:r>
        <w:rPr>
          <w:rFonts w:hint="eastAsia" w:ascii="宋体" w:hAnsi="宋体"/>
          <w:spacing w:val="-4"/>
          <w:sz w:val="24"/>
        </w:rPr>
        <w:t>（二）由其他单位或者其他单位负责人在投标供应商编制的投标文件上加盖印章或者签字的。</w:t>
      </w:r>
    </w:p>
    <w:p>
      <w:pPr>
        <w:autoSpaceDE w:val="0"/>
        <w:autoSpaceDN w:val="0"/>
        <w:ind w:firstLine="464" w:firstLineChars="200"/>
        <w:jc w:val="left"/>
        <w:rPr>
          <w:rFonts w:ascii="宋体" w:hAnsi="宋体"/>
          <w:spacing w:val="-4"/>
          <w:sz w:val="24"/>
        </w:rPr>
      </w:pPr>
      <w:r>
        <w:rPr>
          <w:rFonts w:hint="eastAsia" w:ascii="宋体" w:hAnsi="宋体"/>
          <w:spacing w:val="-4"/>
          <w:sz w:val="24"/>
        </w:rPr>
        <w:t>（三）项目负责人或者主要技术人员不是本单位人员的。</w:t>
      </w:r>
    </w:p>
    <w:p>
      <w:pPr>
        <w:autoSpaceDE w:val="0"/>
        <w:autoSpaceDN w:val="0"/>
        <w:ind w:firstLine="464" w:firstLineChars="200"/>
        <w:jc w:val="left"/>
        <w:rPr>
          <w:rFonts w:ascii="宋体" w:hAnsi="宋体"/>
          <w:spacing w:val="-4"/>
          <w:sz w:val="24"/>
        </w:rPr>
      </w:pPr>
      <w:r>
        <w:rPr>
          <w:rFonts w:hint="eastAsia" w:ascii="宋体" w:hAnsi="宋体"/>
          <w:spacing w:val="-4"/>
          <w:sz w:val="24"/>
        </w:rPr>
        <w:t>（四）投标保证金不是从投标供应商基本账户转出的。</w:t>
      </w:r>
    </w:p>
    <w:p>
      <w:pPr>
        <w:autoSpaceDE w:val="0"/>
        <w:autoSpaceDN w:val="0"/>
        <w:ind w:firstLine="464" w:firstLineChars="200"/>
        <w:jc w:val="left"/>
        <w:rPr>
          <w:rFonts w:ascii="宋体" w:hAnsi="宋体"/>
          <w:spacing w:val="-4"/>
          <w:sz w:val="24"/>
        </w:rPr>
      </w:pPr>
      <w:r>
        <w:rPr>
          <w:rFonts w:hint="eastAsia" w:ascii="宋体" w:hAnsi="宋体"/>
          <w:spacing w:val="-4"/>
          <w:sz w:val="24"/>
        </w:rPr>
        <w:t>（五）其他隐瞒真实情况、提供虚假资料的行为。</w:t>
      </w:r>
    </w:p>
    <w:p>
      <w:pPr>
        <w:ind w:firstLine="481" w:firstLineChars="200"/>
        <w:jc w:val="left"/>
        <w:rPr>
          <w:rFonts w:ascii="宋体" w:hAnsi="宋体"/>
          <w:b/>
          <w:bCs/>
          <w:sz w:val="24"/>
        </w:rPr>
      </w:pPr>
      <w:r>
        <w:rPr>
          <w:rFonts w:hint="eastAsia" w:ascii="宋体" w:hAnsi="宋体"/>
          <w:b/>
          <w:bCs/>
          <w:sz w:val="24"/>
        </w:rPr>
        <w:t>二、本公司已充分知悉“与其他采购参加人串通投标”的法定情形，相关情形包括但不限于：</w:t>
      </w:r>
    </w:p>
    <w:p>
      <w:pPr>
        <w:autoSpaceDE w:val="0"/>
        <w:autoSpaceDN w:val="0"/>
        <w:ind w:firstLine="464" w:firstLineChars="200"/>
        <w:jc w:val="left"/>
        <w:rPr>
          <w:rFonts w:ascii="宋体" w:hAnsi="宋体"/>
          <w:spacing w:val="-4"/>
          <w:sz w:val="24"/>
        </w:rPr>
      </w:pPr>
      <w:r>
        <w:rPr>
          <w:rFonts w:hint="eastAsia" w:ascii="宋体" w:hAnsi="宋体"/>
          <w:spacing w:val="-4"/>
          <w:sz w:val="24"/>
        </w:rPr>
        <w:t>（一）投标供应商之间相互约定给予未中标的供应商利益补偿。</w:t>
      </w:r>
    </w:p>
    <w:p>
      <w:pPr>
        <w:autoSpaceDE w:val="0"/>
        <w:autoSpaceDN w:val="0"/>
        <w:ind w:firstLine="464" w:firstLineChars="200"/>
        <w:jc w:val="left"/>
        <w:rPr>
          <w:rFonts w:ascii="宋体" w:hAnsi="宋体"/>
          <w:spacing w:val="-4"/>
          <w:sz w:val="24"/>
        </w:rPr>
      </w:pPr>
      <w:r>
        <w:rPr>
          <w:rFonts w:hint="eastAsia" w:ascii="宋体" w:hAnsi="宋体"/>
          <w:spacing w:val="-4"/>
          <w:sz w:val="24"/>
        </w:rPr>
        <w:t>（二）不同投标供应商的法定代表人、主要经营负责人、项目投标授权代表人、项目负责人、主要技术人员为同一人、属同一单位或者在同一单位缴纳社会保险。</w:t>
      </w:r>
    </w:p>
    <w:p>
      <w:pPr>
        <w:autoSpaceDE w:val="0"/>
        <w:autoSpaceDN w:val="0"/>
        <w:ind w:firstLine="464" w:firstLineChars="200"/>
        <w:jc w:val="left"/>
        <w:rPr>
          <w:rFonts w:ascii="宋体" w:hAnsi="宋体"/>
          <w:spacing w:val="-4"/>
          <w:sz w:val="24"/>
        </w:rPr>
      </w:pPr>
      <w:r>
        <w:rPr>
          <w:rFonts w:hint="eastAsia" w:ascii="宋体" w:hAnsi="宋体"/>
          <w:spacing w:val="-4"/>
          <w:sz w:val="24"/>
        </w:rPr>
        <w:t>（三）不同投标供应商的投标文件由同一单位或者同一人编制，或者由同一人分阶段参与编制的。</w:t>
      </w:r>
    </w:p>
    <w:p>
      <w:pPr>
        <w:autoSpaceDE w:val="0"/>
        <w:autoSpaceDN w:val="0"/>
        <w:ind w:firstLine="464" w:firstLineChars="200"/>
        <w:jc w:val="left"/>
        <w:rPr>
          <w:rFonts w:ascii="宋体" w:hAnsi="宋体"/>
          <w:spacing w:val="-4"/>
          <w:sz w:val="24"/>
        </w:rPr>
      </w:pPr>
      <w:r>
        <w:rPr>
          <w:rFonts w:hint="eastAsia" w:ascii="宋体" w:hAnsi="宋体"/>
          <w:spacing w:val="-4"/>
          <w:sz w:val="24"/>
        </w:rPr>
        <w:t>（四）不同投标供应商的投标文件或部分投标文件相互混装。</w:t>
      </w:r>
    </w:p>
    <w:p>
      <w:pPr>
        <w:autoSpaceDE w:val="0"/>
        <w:autoSpaceDN w:val="0"/>
        <w:ind w:firstLine="464" w:firstLineChars="200"/>
        <w:jc w:val="left"/>
        <w:rPr>
          <w:rFonts w:ascii="宋体" w:hAnsi="宋体"/>
          <w:spacing w:val="-4"/>
          <w:sz w:val="24"/>
        </w:rPr>
      </w:pPr>
      <w:r>
        <w:rPr>
          <w:rFonts w:hint="eastAsia" w:ascii="宋体" w:hAnsi="宋体"/>
          <w:spacing w:val="-4"/>
          <w:sz w:val="24"/>
        </w:rPr>
        <w:t>（五）不同投标供应商的投标文件内容存在非正常一致。</w:t>
      </w:r>
    </w:p>
    <w:p>
      <w:pPr>
        <w:autoSpaceDE w:val="0"/>
        <w:autoSpaceDN w:val="0"/>
        <w:ind w:firstLine="464" w:firstLineChars="200"/>
        <w:jc w:val="left"/>
        <w:rPr>
          <w:rFonts w:ascii="宋体" w:hAnsi="宋体"/>
          <w:spacing w:val="-4"/>
          <w:sz w:val="24"/>
        </w:rPr>
      </w:pPr>
      <w:r>
        <w:rPr>
          <w:rFonts w:hint="eastAsia" w:ascii="宋体" w:hAnsi="宋体"/>
          <w:spacing w:val="-4"/>
          <w:sz w:val="24"/>
        </w:rPr>
        <w:t>（六）由同一单位工作人员为两家以上（含两家）供应商进行同一项投标活动的。</w:t>
      </w:r>
    </w:p>
    <w:p>
      <w:pPr>
        <w:autoSpaceDE w:val="0"/>
        <w:autoSpaceDN w:val="0"/>
        <w:ind w:firstLine="464" w:firstLineChars="200"/>
        <w:jc w:val="left"/>
        <w:rPr>
          <w:rFonts w:ascii="宋体" w:hAnsi="宋体"/>
          <w:spacing w:val="-4"/>
          <w:sz w:val="24"/>
        </w:rPr>
      </w:pPr>
      <w:r>
        <w:rPr>
          <w:rFonts w:hint="eastAsia" w:ascii="宋体" w:hAnsi="宋体"/>
          <w:spacing w:val="-4"/>
          <w:sz w:val="24"/>
        </w:rPr>
        <w:t>（七）不同投标人的投标报价呈规律性差异。</w:t>
      </w:r>
    </w:p>
    <w:p>
      <w:pPr>
        <w:autoSpaceDE w:val="0"/>
        <w:autoSpaceDN w:val="0"/>
        <w:ind w:firstLine="464" w:firstLineChars="200"/>
        <w:jc w:val="left"/>
        <w:rPr>
          <w:rFonts w:ascii="宋体" w:hAnsi="宋体"/>
          <w:spacing w:val="-4"/>
          <w:sz w:val="24"/>
        </w:rPr>
      </w:pPr>
      <w:r>
        <w:rPr>
          <w:rFonts w:hint="eastAsia" w:ascii="宋体" w:hAnsi="宋体"/>
          <w:spacing w:val="-4"/>
          <w:sz w:val="24"/>
        </w:rPr>
        <w:t>（八）不同投标人的投标保证金从同一单位或者个人的账户转出。</w:t>
      </w:r>
    </w:p>
    <w:p>
      <w:pPr>
        <w:autoSpaceDE w:val="0"/>
        <w:autoSpaceDN w:val="0"/>
        <w:ind w:firstLine="464" w:firstLineChars="200"/>
        <w:jc w:val="left"/>
        <w:rPr>
          <w:rFonts w:ascii="宋体" w:hAnsi="宋体"/>
          <w:spacing w:val="-4"/>
          <w:sz w:val="24"/>
        </w:rPr>
      </w:pPr>
      <w:r>
        <w:rPr>
          <w:rFonts w:hint="eastAsia" w:ascii="宋体" w:hAnsi="宋体"/>
          <w:spacing w:val="-4"/>
          <w:sz w:val="24"/>
        </w:rPr>
        <w:t>（九）主管部门依照法律、法规认定的其他情形。</w:t>
      </w:r>
    </w:p>
    <w:p>
      <w:pPr>
        <w:ind w:firstLine="481" w:firstLineChars="200"/>
        <w:jc w:val="left"/>
        <w:rPr>
          <w:rFonts w:ascii="宋体" w:hAnsi="宋体"/>
          <w:b/>
          <w:bCs/>
          <w:sz w:val="24"/>
        </w:rPr>
      </w:pPr>
      <w:r>
        <w:rPr>
          <w:rFonts w:hint="eastAsia" w:ascii="宋体" w:hAnsi="宋体"/>
          <w:b/>
          <w:bCs/>
          <w:sz w:val="24"/>
        </w:rPr>
        <w:t>三、本公司已充分知悉下列情形所对应的法律风险，并在投标前已对相关风险事项进行排查。</w:t>
      </w:r>
    </w:p>
    <w:p>
      <w:pPr>
        <w:autoSpaceDE w:val="0"/>
        <w:autoSpaceDN w:val="0"/>
        <w:ind w:firstLine="464" w:firstLineChars="200"/>
        <w:jc w:val="left"/>
        <w:rPr>
          <w:rFonts w:ascii="宋体" w:hAnsi="宋体"/>
          <w:b/>
          <w:bCs/>
          <w:spacing w:val="-4"/>
          <w:sz w:val="24"/>
        </w:rPr>
      </w:pPr>
      <w:r>
        <w:rPr>
          <w:rFonts w:hint="eastAsia" w:ascii="宋体" w:hAnsi="宋体"/>
          <w:spacing w:val="-4"/>
          <w:sz w:val="24"/>
        </w:rPr>
        <w:t>（一）对于从其他主体获取的投标资料，供应商应审慎核查，确保投标资料的真实性。</w:t>
      </w:r>
      <w:r>
        <w:rPr>
          <w:rFonts w:hint="eastAsia" w:ascii="宋体" w:hAnsi="宋体"/>
          <w:b/>
          <w:bCs/>
          <w:spacing w:val="-4"/>
          <w:sz w:val="24"/>
        </w:rPr>
        <w:t>如主管部门查实投标文件中存在虚假资料的，无论相关资料是否由第三方或本公司员工提供，均不影响主管部门对供应商存在“隐瞒真实情况，提供虚假资料”违法行为的认定。</w:t>
      </w:r>
    </w:p>
    <w:p>
      <w:pPr>
        <w:autoSpaceDE w:val="0"/>
        <w:autoSpaceDN w:val="0"/>
        <w:ind w:firstLine="464" w:firstLineChars="200"/>
        <w:jc w:val="left"/>
        <w:rPr>
          <w:rFonts w:ascii="宋体" w:hAnsi="宋体"/>
          <w:spacing w:val="-4"/>
          <w:sz w:val="24"/>
        </w:rPr>
      </w:pPr>
      <w:r>
        <w:rPr>
          <w:rFonts w:hint="eastAsia" w:ascii="宋体" w:hAnsi="宋体"/>
          <w:spacing w:val="-4"/>
          <w:sz w:val="24"/>
        </w:rPr>
        <w:t>（二）对于涉及国家机关出具的公文、证件、证明材料等文件，一旦涉嫌虚假，经查实，主管部门将依法从严处理，并移送有关部门追究法律责任；涉嫌犯罪的，主管部门将一并移送司法机关追究法律责任。</w:t>
      </w:r>
    </w:p>
    <w:p>
      <w:pPr>
        <w:autoSpaceDE w:val="0"/>
        <w:autoSpaceDN w:val="0"/>
        <w:ind w:firstLine="464" w:firstLineChars="200"/>
        <w:jc w:val="left"/>
        <w:rPr>
          <w:rFonts w:ascii="宋体" w:hAnsi="宋体"/>
          <w:spacing w:val="-4"/>
          <w:sz w:val="24"/>
        </w:rPr>
      </w:pPr>
      <w:r>
        <w:rPr>
          <w:rFonts w:hint="eastAsia" w:ascii="宋体" w:hAnsi="宋体"/>
          <w:spacing w:val="-4"/>
          <w:sz w:val="24"/>
        </w:rPr>
        <w:t>（三）对于涉及安全生产、特种作业、抢险救灾、防疫等政府采购项目，供应商实施提供虚假资料、串通投标等违法行为的，主管部门将依法从严处理。</w:t>
      </w:r>
    </w:p>
    <w:p>
      <w:pPr>
        <w:autoSpaceDE w:val="0"/>
        <w:autoSpaceDN w:val="0"/>
        <w:ind w:firstLine="464" w:firstLineChars="200"/>
        <w:jc w:val="left"/>
        <w:rPr>
          <w:rFonts w:ascii="宋体" w:hAnsi="宋体"/>
          <w:spacing w:val="-4"/>
          <w:sz w:val="24"/>
        </w:rPr>
      </w:pPr>
      <w:r>
        <w:rPr>
          <w:rFonts w:hint="eastAsia" w:ascii="宋体" w:hAnsi="宋体"/>
          <w:spacing w:val="-4"/>
          <w:sz w:val="24"/>
        </w:rPr>
        <w:t>（四）供应商应严格规范项目授权代表、员工参与招标投标的行为，加强对投标文件的审核。项目授权代表、员工编制、上传投标文件等行为违反政府采购法律法规或采购文件要求的，投标供应商应当依法承担相应法律责任。</w:t>
      </w:r>
    </w:p>
    <w:p>
      <w:pPr>
        <w:autoSpaceDE w:val="0"/>
        <w:autoSpaceDN w:val="0"/>
        <w:ind w:firstLine="464" w:firstLineChars="200"/>
        <w:jc w:val="left"/>
        <w:rPr>
          <w:rFonts w:ascii="宋体" w:hAnsi="宋体"/>
          <w:spacing w:val="-4"/>
          <w:sz w:val="24"/>
        </w:rPr>
      </w:pPr>
      <w:r>
        <w:rPr>
          <w:rFonts w:hint="eastAsia" w:ascii="宋体" w:hAnsi="宋体"/>
          <w:spacing w:val="-4"/>
          <w:sz w:val="24"/>
        </w:rPr>
        <w:t>（五）供应商对投标电子密钥负有妥善保管、及时变更和续期等主体责任。供应商使用电子密钥在深圳政府采购网站进行的活动，均具有法律效力，须承担相应的法律后果。供应商擅自将投标密钥出借他人使用所造成的法律后果，由供应商自行承担。</w:t>
      </w:r>
    </w:p>
    <w:p>
      <w:pPr>
        <w:autoSpaceDE w:val="0"/>
        <w:autoSpaceDN w:val="0"/>
        <w:ind w:firstLine="464" w:firstLineChars="200"/>
        <w:jc w:val="left"/>
        <w:rPr>
          <w:rFonts w:ascii="宋体" w:hAnsi="宋体"/>
          <w:spacing w:val="-4"/>
          <w:sz w:val="24"/>
        </w:rPr>
      </w:pPr>
      <w:r>
        <w:rPr>
          <w:rFonts w:hint="eastAsia" w:ascii="宋体" w:hAnsi="宋体"/>
          <w:spacing w:val="-4"/>
          <w:sz w:val="24"/>
        </w:rPr>
        <w:t>（六）单位负责人为同一人或者存在直接控股、管理关系的不同供应商，不得参加同一合同项下的政府采购活动。相关情形如查实，依法作投标无效处理；涉嫌串通投标等违法行为的，主管部门将依法调查处理。</w:t>
      </w:r>
    </w:p>
    <w:p>
      <w:pPr>
        <w:autoSpaceDE w:val="0"/>
        <w:autoSpaceDN w:val="0"/>
        <w:ind w:firstLine="481" w:firstLineChars="200"/>
        <w:jc w:val="left"/>
        <w:rPr>
          <w:rFonts w:ascii="宋体" w:hAnsi="宋体"/>
          <w:b/>
          <w:bCs/>
          <w:sz w:val="24"/>
        </w:rPr>
      </w:pPr>
      <w:r>
        <w:rPr>
          <w:rFonts w:hint="eastAsia" w:ascii="宋体" w:hAnsi="宋体"/>
          <w:b/>
          <w:bCs/>
          <w:sz w:val="24"/>
        </w:rPr>
        <w:t>四、本公司已充分知悉政府采购违法、违规行为的法律后果。</w:t>
      </w:r>
    </w:p>
    <w:p>
      <w:pPr>
        <w:autoSpaceDE w:val="0"/>
        <w:autoSpaceDN w:val="0"/>
        <w:ind w:firstLine="464" w:firstLineChars="200"/>
        <w:jc w:val="left"/>
        <w:rPr>
          <w:rFonts w:ascii="宋体" w:hAnsi="宋体"/>
          <w:spacing w:val="-4"/>
          <w:sz w:val="24"/>
        </w:rPr>
      </w:pPr>
      <w:r>
        <w:rPr>
          <w:rFonts w:hint="eastAsia" w:ascii="宋体" w:hAnsi="宋体"/>
          <w:spacing w:val="-4"/>
          <w:sz w:val="24"/>
        </w:rPr>
        <w:t>经查实，若投标供应商存在政府采购违法、违规行为，主管部门将依据《深圳经济特区政府采购条例》第五十七条的规定，处以一至三年内禁止参与本市政府采购，并由主管部门记入供应商诚信档案，处采购金额千分之十以上千分之二十以下罚款；情节严重的，取消参与本市政府采购资格，处采购金额千分之二十以上千分之三十以下罚款，并由市场监管部门依法吊销营业执照。</w:t>
      </w:r>
    </w:p>
    <w:p>
      <w:pPr>
        <w:autoSpaceDE w:val="0"/>
        <w:autoSpaceDN w:val="0"/>
        <w:ind w:firstLine="465" w:firstLineChars="200"/>
        <w:jc w:val="left"/>
        <w:rPr>
          <w:rFonts w:ascii="宋体" w:hAnsi="宋体"/>
          <w:b/>
          <w:bCs/>
          <w:spacing w:val="-4"/>
          <w:sz w:val="24"/>
        </w:rPr>
      </w:pPr>
      <w:r>
        <w:rPr>
          <w:rFonts w:hint="eastAsia" w:ascii="宋体" w:hAnsi="宋体"/>
          <w:b/>
          <w:bCs/>
          <w:spacing w:val="-4"/>
          <w:sz w:val="24"/>
        </w:rPr>
        <w:t>以下文字请投标供应商抄写并确认：“本公司已仔细阅读《政府采购违法行为风险知悉确认书》，充分知悉违法行为的法律后果，并承诺将严谨、诚信、依法依规参与政府采购活动”。</w:t>
      </w:r>
    </w:p>
    <w:tbl>
      <w:tblPr>
        <w:tblStyle w:val="130"/>
        <w:tblW w:w="0" w:type="auto"/>
        <w:tblInd w:w="0" w:type="dxa"/>
        <w:tblBorders>
          <w:top w:val="none" w:color="auto" w:sz="0" w:space="0"/>
          <w:left w:val="none" w:color="auto" w:sz="0" w:space="0"/>
          <w:bottom w:val="single" w:color="auto" w:sz="4"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529"/>
      </w:tblGrid>
      <w:tr>
        <w:tblPrEx>
          <w:tblBorders>
            <w:top w:val="none" w:color="auto" w:sz="0" w:space="0"/>
            <w:left w:val="none" w:color="auto" w:sz="0" w:space="0"/>
            <w:bottom w:val="single" w:color="auto" w:sz="4"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4" w:hRule="atLeast"/>
        </w:trPr>
        <w:tc>
          <w:tcPr>
            <w:tcW w:w="8529" w:type="dxa"/>
            <w:tcBorders>
              <w:top w:val="nil"/>
              <w:left w:val="nil"/>
              <w:bottom w:val="single" w:color="000000" w:sz="8" w:space="0"/>
              <w:right w:val="nil"/>
            </w:tcBorders>
          </w:tcPr>
          <w:p>
            <w:pPr>
              <w:widowControl w:val="0"/>
              <w:autoSpaceDE w:val="0"/>
              <w:autoSpaceDN w:val="0"/>
              <w:spacing w:line="400" w:lineRule="exact"/>
              <w:jc w:val="left"/>
              <w:rPr>
                <w:rFonts w:ascii="宋体" w:hAnsi="宋体"/>
                <w:spacing w:val="-4"/>
                <w:sz w:val="24"/>
                <w:szCs w:val="18"/>
                <w:highlight w:val="green"/>
              </w:rPr>
            </w:pPr>
          </w:p>
        </w:tc>
      </w:tr>
      <w:tr>
        <w:tblPrEx>
          <w:tblBorders>
            <w:top w:val="none" w:color="auto" w:sz="0" w:space="0"/>
            <w:left w:val="none" w:color="auto" w:sz="0" w:space="0"/>
            <w:bottom w:val="single" w:color="auto" w:sz="4" w:space="0"/>
            <w:right w:val="none" w:color="auto" w:sz="0" w:space="0"/>
            <w:insideH w:val="none" w:color="auto" w:sz="0" w:space="0"/>
            <w:insideV w:val="none" w:color="auto" w:sz="0" w:space="0"/>
          </w:tblBorders>
          <w:tblCellMar>
            <w:top w:w="0" w:type="dxa"/>
            <w:left w:w="108" w:type="dxa"/>
            <w:bottom w:w="0" w:type="dxa"/>
            <w:right w:w="108" w:type="dxa"/>
          </w:tblCellMar>
        </w:tblPrEx>
        <w:tc>
          <w:tcPr>
            <w:tcW w:w="8529" w:type="dxa"/>
            <w:tcBorders>
              <w:top w:val="single" w:color="000000" w:sz="8" w:space="0"/>
              <w:left w:val="nil"/>
              <w:bottom w:val="single" w:color="000000" w:sz="8" w:space="0"/>
              <w:right w:val="nil"/>
            </w:tcBorders>
          </w:tcPr>
          <w:p>
            <w:pPr>
              <w:widowControl w:val="0"/>
              <w:autoSpaceDE w:val="0"/>
              <w:autoSpaceDN w:val="0"/>
              <w:spacing w:line="400" w:lineRule="exact"/>
              <w:jc w:val="left"/>
              <w:rPr>
                <w:rFonts w:ascii="宋体" w:hAnsi="宋体"/>
                <w:spacing w:val="-4"/>
                <w:sz w:val="24"/>
                <w:szCs w:val="18"/>
                <w:highlight w:val="green"/>
              </w:rPr>
            </w:pPr>
          </w:p>
        </w:tc>
      </w:tr>
      <w:tr>
        <w:tblPrEx>
          <w:tblBorders>
            <w:top w:val="none" w:color="auto" w:sz="0" w:space="0"/>
            <w:left w:val="none" w:color="auto" w:sz="0" w:space="0"/>
            <w:bottom w:val="single" w:color="auto" w:sz="4" w:space="0"/>
            <w:right w:val="none" w:color="auto" w:sz="0" w:space="0"/>
            <w:insideH w:val="none" w:color="auto" w:sz="0" w:space="0"/>
            <w:insideV w:val="none" w:color="auto" w:sz="0" w:space="0"/>
          </w:tblBorders>
          <w:tblCellMar>
            <w:top w:w="0" w:type="dxa"/>
            <w:left w:w="108" w:type="dxa"/>
            <w:bottom w:w="0" w:type="dxa"/>
            <w:right w:w="108" w:type="dxa"/>
          </w:tblCellMar>
        </w:tblPrEx>
        <w:tc>
          <w:tcPr>
            <w:tcW w:w="8529" w:type="dxa"/>
            <w:tcBorders>
              <w:top w:val="single" w:color="000000" w:sz="8" w:space="0"/>
              <w:left w:val="nil"/>
              <w:bottom w:val="single" w:color="000000" w:sz="8" w:space="0"/>
              <w:right w:val="nil"/>
            </w:tcBorders>
          </w:tcPr>
          <w:p>
            <w:pPr>
              <w:widowControl w:val="0"/>
              <w:autoSpaceDE w:val="0"/>
              <w:autoSpaceDN w:val="0"/>
              <w:spacing w:line="400" w:lineRule="exact"/>
              <w:jc w:val="left"/>
              <w:rPr>
                <w:rFonts w:ascii="宋体" w:hAnsi="宋体"/>
                <w:spacing w:val="-4"/>
                <w:sz w:val="24"/>
                <w:szCs w:val="18"/>
                <w:highlight w:val="green"/>
              </w:rPr>
            </w:pPr>
          </w:p>
        </w:tc>
      </w:tr>
      <w:tr>
        <w:tblPrEx>
          <w:tblBorders>
            <w:top w:val="none" w:color="auto" w:sz="0" w:space="0"/>
            <w:left w:val="none" w:color="auto" w:sz="0" w:space="0"/>
            <w:bottom w:val="single" w:color="auto" w:sz="4" w:space="0"/>
            <w:right w:val="none" w:color="auto" w:sz="0" w:space="0"/>
            <w:insideH w:val="none" w:color="auto" w:sz="0" w:space="0"/>
            <w:insideV w:val="none" w:color="auto" w:sz="0" w:space="0"/>
          </w:tblBorders>
          <w:tblCellMar>
            <w:top w:w="0" w:type="dxa"/>
            <w:left w:w="108" w:type="dxa"/>
            <w:bottom w:w="0" w:type="dxa"/>
            <w:right w:w="108" w:type="dxa"/>
          </w:tblCellMar>
        </w:tblPrEx>
        <w:tc>
          <w:tcPr>
            <w:tcW w:w="8529" w:type="dxa"/>
            <w:tcBorders>
              <w:top w:val="single" w:color="000000" w:sz="8" w:space="0"/>
              <w:left w:val="nil"/>
              <w:bottom w:val="single" w:color="auto" w:sz="8" w:space="0"/>
              <w:right w:val="nil"/>
            </w:tcBorders>
          </w:tcPr>
          <w:p>
            <w:pPr>
              <w:widowControl w:val="0"/>
              <w:autoSpaceDE w:val="0"/>
              <w:autoSpaceDN w:val="0"/>
              <w:spacing w:line="400" w:lineRule="exact"/>
              <w:jc w:val="left"/>
              <w:rPr>
                <w:rFonts w:ascii="宋体" w:hAnsi="宋体"/>
                <w:spacing w:val="-4"/>
                <w:sz w:val="24"/>
                <w:szCs w:val="18"/>
                <w:highlight w:val="green"/>
              </w:rPr>
            </w:pPr>
          </w:p>
        </w:tc>
      </w:tr>
    </w:tbl>
    <w:p>
      <w:pPr>
        <w:autoSpaceDE w:val="0"/>
        <w:autoSpaceDN w:val="0"/>
        <w:ind w:firstLine="464" w:firstLineChars="200"/>
        <w:jc w:val="left"/>
        <w:rPr>
          <w:rFonts w:ascii="宋体" w:hAnsi="宋体"/>
          <w:color w:val="FF0000"/>
          <w:spacing w:val="-4"/>
          <w:sz w:val="24"/>
        </w:rPr>
      </w:pPr>
    </w:p>
    <w:p>
      <w:pPr>
        <w:autoSpaceDE w:val="0"/>
        <w:autoSpaceDN w:val="0"/>
        <w:ind w:right="1180" w:firstLine="464" w:firstLineChars="200"/>
        <w:jc w:val="center"/>
        <w:rPr>
          <w:rFonts w:ascii="宋体" w:hAnsi="宋体"/>
          <w:spacing w:val="-4"/>
          <w:sz w:val="24"/>
        </w:rPr>
      </w:pPr>
      <w:r>
        <w:rPr>
          <w:rFonts w:hint="eastAsia" w:ascii="宋体" w:hAnsi="宋体"/>
          <w:spacing w:val="-4"/>
          <w:sz w:val="24"/>
        </w:rPr>
        <w:t xml:space="preserve">负责人/投标授权代表签名： </w:t>
      </w:r>
    </w:p>
    <w:p>
      <w:pPr>
        <w:wordWrap w:val="0"/>
        <w:autoSpaceDE w:val="0"/>
        <w:autoSpaceDN w:val="0"/>
        <w:ind w:right="1652" w:firstLine="3480" w:firstLineChars="1500"/>
        <w:jc w:val="left"/>
        <w:rPr>
          <w:rFonts w:ascii="宋体" w:hAnsi="宋体"/>
          <w:spacing w:val="-4"/>
          <w:sz w:val="24"/>
        </w:rPr>
      </w:pPr>
      <w:r>
        <w:rPr>
          <w:rFonts w:hint="eastAsia" w:ascii="宋体" w:hAnsi="宋体"/>
          <w:spacing w:val="-4"/>
          <w:sz w:val="24"/>
        </w:rPr>
        <w:t xml:space="preserve">知悉人（公章）：   </w:t>
      </w:r>
    </w:p>
    <w:p>
      <w:pPr>
        <w:wordWrap w:val="0"/>
        <w:autoSpaceDE w:val="0"/>
        <w:autoSpaceDN w:val="0"/>
        <w:ind w:right="1652" w:firstLine="3480" w:firstLineChars="1500"/>
        <w:jc w:val="left"/>
        <w:rPr>
          <w:rFonts w:ascii="宋体" w:hAnsi="宋体"/>
          <w:spacing w:val="-4"/>
          <w:sz w:val="24"/>
        </w:rPr>
      </w:pPr>
      <w:r>
        <w:rPr>
          <w:rFonts w:hint="eastAsia" w:ascii="宋体" w:hAnsi="宋体"/>
          <w:spacing w:val="-4"/>
          <w:sz w:val="24"/>
        </w:rPr>
        <w:t>日期：   年 月 日</w:t>
      </w:r>
    </w:p>
    <w:p>
      <w:pPr>
        <w:autoSpaceDE w:val="0"/>
        <w:autoSpaceDN w:val="0"/>
        <w:ind w:right="1888" w:firstLine="464" w:firstLineChars="200"/>
        <w:jc w:val="left"/>
        <w:rPr>
          <w:rFonts w:ascii="宋体" w:hAnsi="宋体"/>
          <w:spacing w:val="-4"/>
          <w:sz w:val="24"/>
        </w:rPr>
      </w:pPr>
    </w:p>
    <w:p>
      <w:pPr>
        <w:autoSpaceDE w:val="0"/>
        <w:autoSpaceDN w:val="0"/>
        <w:ind w:firstLine="465" w:firstLineChars="200"/>
        <w:jc w:val="left"/>
        <w:rPr>
          <w:rFonts w:ascii="宋体" w:hAnsi="宋体"/>
          <w:b/>
          <w:bCs/>
          <w:color w:val="FF0000"/>
          <w:spacing w:val="-4"/>
          <w:sz w:val="24"/>
        </w:rPr>
      </w:pPr>
      <w:r>
        <w:rPr>
          <w:rFonts w:hint="eastAsia" w:ascii="宋体" w:hAnsi="宋体"/>
          <w:b/>
          <w:bCs/>
          <w:color w:val="FF0000"/>
          <w:spacing w:val="-4"/>
          <w:sz w:val="24"/>
        </w:rPr>
        <w:t>注：</w:t>
      </w:r>
    </w:p>
    <w:p>
      <w:pPr>
        <w:autoSpaceDE w:val="0"/>
        <w:autoSpaceDN w:val="0"/>
        <w:ind w:firstLine="465" w:firstLineChars="200"/>
        <w:jc w:val="left"/>
        <w:rPr>
          <w:rFonts w:ascii="宋体" w:hAnsi="宋体"/>
          <w:b/>
          <w:bCs/>
          <w:color w:val="FF0000"/>
          <w:spacing w:val="-4"/>
          <w:sz w:val="24"/>
        </w:rPr>
      </w:pPr>
      <w:r>
        <w:rPr>
          <w:rFonts w:hint="eastAsia" w:ascii="宋体" w:hAnsi="宋体"/>
          <w:b/>
          <w:bCs/>
          <w:color w:val="FF0000"/>
          <w:spacing w:val="-4"/>
          <w:sz w:val="24"/>
        </w:rPr>
        <w:t>1.政府采购违法行为风险知悉确认书不作为资格性审查及符合性审查条件。</w:t>
      </w:r>
    </w:p>
    <w:p>
      <w:pPr>
        <w:autoSpaceDE w:val="0"/>
        <w:autoSpaceDN w:val="0"/>
        <w:ind w:firstLine="465" w:firstLineChars="200"/>
        <w:jc w:val="left"/>
        <w:rPr>
          <w:rFonts w:ascii="宋体" w:hAnsi="宋体"/>
          <w:b/>
          <w:bCs/>
          <w:color w:val="FF0000"/>
          <w:spacing w:val="-4"/>
          <w:sz w:val="24"/>
        </w:rPr>
      </w:pPr>
      <w:r>
        <w:rPr>
          <w:rFonts w:hint="eastAsia" w:ascii="宋体" w:hAnsi="宋体"/>
          <w:b/>
          <w:bCs/>
          <w:color w:val="FF0000"/>
          <w:spacing w:val="-4"/>
          <w:sz w:val="24"/>
        </w:rPr>
        <w:t>2.投标供应商负责人或投标授权代表签字并加盖单位公章后，扫描上传至投标文件一并提交。</w:t>
      </w:r>
      <w:bookmarkEnd w:id="282"/>
    </w:p>
    <w:p>
      <w:pPr>
        <w:ind w:right="1680" w:rightChars="800"/>
        <w:outlineLvl w:val="2"/>
        <w:rPr>
          <w:rFonts w:ascii="Calibri" w:hAnsi="Calibri"/>
          <w:bCs/>
          <w:kern w:val="2"/>
        </w:rPr>
      </w:pPr>
      <w:r>
        <w:br w:type="page"/>
      </w:r>
    </w:p>
    <w:p>
      <w:pPr>
        <w:keepNext/>
        <w:keepLines/>
        <w:widowControl w:val="0"/>
        <w:adjustRightInd w:val="0"/>
        <w:spacing w:before="260" w:after="260"/>
        <w:jc w:val="center"/>
        <w:textAlignment w:val="baseline"/>
        <w:outlineLvl w:val="1"/>
        <w:rPr>
          <w:rFonts w:ascii="宋体" w:hAnsi="宋体"/>
          <w:b/>
          <w:bCs/>
          <w:kern w:val="2"/>
          <w:sz w:val="32"/>
          <w:szCs w:val="32"/>
        </w:rPr>
      </w:pPr>
      <w:r>
        <w:rPr>
          <w:rFonts w:hint="eastAsia" w:ascii="宋体" w:hAnsi="宋体"/>
          <w:b/>
          <w:bCs/>
          <w:kern w:val="2"/>
          <w:sz w:val="32"/>
          <w:szCs w:val="32"/>
        </w:rPr>
        <w:t>七</w:t>
      </w:r>
      <w:r>
        <w:rPr>
          <w:rFonts w:ascii="宋体" w:hAnsi="宋体"/>
          <w:b/>
          <w:bCs/>
          <w:kern w:val="2"/>
          <w:sz w:val="32"/>
          <w:szCs w:val="32"/>
        </w:rPr>
        <w:t>、</w:t>
      </w:r>
      <w:r>
        <w:rPr>
          <w:rFonts w:hint="eastAsia" w:ascii="宋体" w:hAnsi="宋体"/>
          <w:b/>
          <w:bCs/>
          <w:kern w:val="2"/>
          <w:sz w:val="32"/>
          <w:szCs w:val="32"/>
        </w:rPr>
        <w:t>分项</w:t>
      </w:r>
      <w:r>
        <w:rPr>
          <w:rFonts w:ascii="宋体" w:hAnsi="宋体"/>
          <w:b/>
          <w:bCs/>
          <w:kern w:val="2"/>
          <w:sz w:val="32"/>
          <w:szCs w:val="32"/>
        </w:rPr>
        <w:t>报价表</w:t>
      </w:r>
    </w:p>
    <w:tbl>
      <w:tblPr>
        <w:tblStyle w:val="32"/>
        <w:tblW w:w="8613" w:type="dxa"/>
        <w:tblInd w:w="0" w:type="dxa"/>
        <w:tblLayout w:type="autofit"/>
        <w:tblCellMar>
          <w:top w:w="0" w:type="dxa"/>
          <w:left w:w="108" w:type="dxa"/>
          <w:bottom w:w="0" w:type="dxa"/>
          <w:right w:w="108" w:type="dxa"/>
        </w:tblCellMar>
      </w:tblPr>
      <w:tblGrid>
        <w:gridCol w:w="630"/>
        <w:gridCol w:w="1004"/>
        <w:gridCol w:w="3152"/>
        <w:gridCol w:w="1559"/>
        <w:gridCol w:w="2268"/>
      </w:tblGrid>
      <w:tr>
        <w:tblPrEx>
          <w:tblCellMar>
            <w:top w:w="0" w:type="dxa"/>
            <w:left w:w="108" w:type="dxa"/>
            <w:bottom w:w="0" w:type="dxa"/>
            <w:right w:w="108" w:type="dxa"/>
          </w:tblCellMar>
        </w:tblPrEx>
        <w:trPr>
          <w:trHeight w:val="285" w:hRule="atLeast"/>
        </w:trPr>
        <w:tc>
          <w:tcPr>
            <w:tcW w:w="0" w:type="auto"/>
            <w:tcBorders>
              <w:top w:val="single" w:color="auto" w:sz="8" w:space="0"/>
              <w:left w:val="single" w:color="auto" w:sz="8" w:space="0"/>
              <w:bottom w:val="single" w:color="auto" w:sz="4" w:space="0"/>
              <w:right w:val="single" w:color="auto" w:sz="4" w:space="0"/>
            </w:tcBorders>
            <w:shd w:val="clear" w:color="000000" w:fill="E7E6E6"/>
            <w:vAlign w:val="center"/>
          </w:tcPr>
          <w:p>
            <w:pPr>
              <w:jc w:val="center"/>
              <w:rPr>
                <w:rFonts w:ascii="宋体" w:hAnsi="宋体" w:cs="宋体"/>
                <w:b/>
                <w:bCs/>
                <w:sz w:val="24"/>
              </w:rPr>
            </w:pPr>
            <w:r>
              <w:rPr>
                <w:rFonts w:hint="eastAsia" w:ascii="宋体" w:hAnsi="宋体" w:cs="宋体"/>
                <w:b/>
                <w:bCs/>
                <w:sz w:val="24"/>
              </w:rPr>
              <w:t>序号</w:t>
            </w:r>
          </w:p>
        </w:tc>
        <w:tc>
          <w:tcPr>
            <w:tcW w:w="4156" w:type="dxa"/>
            <w:gridSpan w:val="2"/>
            <w:tcBorders>
              <w:top w:val="single" w:color="auto" w:sz="8" w:space="0"/>
              <w:left w:val="nil"/>
              <w:bottom w:val="single" w:color="auto" w:sz="4" w:space="0"/>
              <w:right w:val="single" w:color="auto" w:sz="4" w:space="0"/>
            </w:tcBorders>
            <w:shd w:val="clear" w:color="000000" w:fill="E7E6E6"/>
            <w:vAlign w:val="center"/>
          </w:tcPr>
          <w:p>
            <w:pPr>
              <w:jc w:val="center"/>
              <w:rPr>
                <w:rFonts w:ascii="宋体" w:hAnsi="宋体" w:cs="宋体"/>
                <w:b/>
                <w:bCs/>
                <w:sz w:val="24"/>
              </w:rPr>
            </w:pPr>
            <w:r>
              <w:rPr>
                <w:rFonts w:hint="eastAsia" w:ascii="宋体" w:hAnsi="宋体" w:cs="宋体"/>
                <w:b/>
                <w:bCs/>
                <w:sz w:val="24"/>
              </w:rPr>
              <w:t>需求名称</w:t>
            </w:r>
          </w:p>
        </w:tc>
        <w:tc>
          <w:tcPr>
            <w:tcW w:w="1559" w:type="dxa"/>
            <w:tcBorders>
              <w:top w:val="single" w:color="auto" w:sz="8" w:space="0"/>
              <w:left w:val="nil"/>
              <w:bottom w:val="single" w:color="auto" w:sz="4" w:space="0"/>
              <w:right w:val="single" w:color="auto" w:sz="4" w:space="0"/>
            </w:tcBorders>
            <w:shd w:val="clear" w:color="000000" w:fill="E7E6E6"/>
            <w:vAlign w:val="center"/>
          </w:tcPr>
          <w:p>
            <w:pPr>
              <w:jc w:val="center"/>
              <w:rPr>
                <w:rFonts w:ascii="宋体" w:hAnsi="宋体" w:cs="宋体"/>
                <w:b/>
                <w:bCs/>
                <w:sz w:val="24"/>
              </w:rPr>
            </w:pPr>
            <w:r>
              <w:rPr>
                <w:rFonts w:hint="eastAsia" w:ascii="宋体" w:hAnsi="宋体" w:cs="宋体"/>
                <w:b/>
                <w:bCs/>
                <w:sz w:val="24"/>
              </w:rPr>
              <w:t>金额（元）</w:t>
            </w:r>
          </w:p>
        </w:tc>
        <w:tc>
          <w:tcPr>
            <w:tcW w:w="2268" w:type="dxa"/>
            <w:tcBorders>
              <w:top w:val="single" w:color="auto" w:sz="8" w:space="0"/>
              <w:left w:val="nil"/>
              <w:bottom w:val="single" w:color="auto" w:sz="4" w:space="0"/>
              <w:right w:val="single" w:color="auto" w:sz="8" w:space="0"/>
            </w:tcBorders>
            <w:shd w:val="clear" w:color="000000" w:fill="E7E6E6"/>
            <w:vAlign w:val="center"/>
          </w:tcPr>
          <w:p>
            <w:pPr>
              <w:jc w:val="center"/>
              <w:rPr>
                <w:rFonts w:ascii="宋体" w:hAnsi="宋体" w:cs="宋体"/>
                <w:b/>
                <w:bCs/>
                <w:sz w:val="24"/>
              </w:rPr>
            </w:pPr>
            <w:r>
              <w:rPr>
                <w:rFonts w:hint="eastAsia" w:ascii="宋体" w:hAnsi="宋体" w:cs="宋体"/>
                <w:b/>
                <w:bCs/>
                <w:sz w:val="24"/>
              </w:rPr>
              <w:t>说明</w:t>
            </w:r>
          </w:p>
        </w:tc>
      </w:tr>
      <w:tr>
        <w:tblPrEx>
          <w:tblCellMar>
            <w:top w:w="0" w:type="dxa"/>
            <w:left w:w="108" w:type="dxa"/>
            <w:bottom w:w="0" w:type="dxa"/>
            <w:right w:w="108" w:type="dxa"/>
          </w:tblCellMar>
        </w:tblPrEx>
        <w:trPr>
          <w:trHeight w:val="285" w:hRule="atLeast"/>
        </w:trPr>
        <w:tc>
          <w:tcPr>
            <w:tcW w:w="0" w:type="auto"/>
            <w:tcBorders>
              <w:top w:val="single" w:color="auto" w:sz="4" w:space="0"/>
              <w:left w:val="single" w:color="auto" w:sz="8" w:space="0"/>
              <w:bottom w:val="single" w:color="auto" w:sz="4" w:space="0"/>
              <w:right w:val="single" w:color="auto" w:sz="4" w:space="0"/>
            </w:tcBorders>
            <w:shd w:val="clear" w:color="auto" w:fill="auto"/>
            <w:vAlign w:val="center"/>
          </w:tcPr>
          <w:p>
            <w:pPr>
              <w:jc w:val="center"/>
              <w:rPr>
                <w:rFonts w:ascii="宋体" w:hAnsi="宋体" w:cs="宋体"/>
                <w:sz w:val="24"/>
              </w:rPr>
            </w:pPr>
            <w:r>
              <w:rPr>
                <w:rFonts w:hint="eastAsia" w:ascii="宋体" w:hAnsi="宋体" w:cs="宋体"/>
                <w:sz w:val="24"/>
              </w:rPr>
              <w:t>一</w:t>
            </w:r>
          </w:p>
        </w:tc>
        <w:tc>
          <w:tcPr>
            <w:tcW w:w="4156" w:type="dxa"/>
            <w:gridSpan w:val="2"/>
            <w:tcBorders>
              <w:top w:val="single" w:color="auto" w:sz="4" w:space="0"/>
              <w:left w:val="nil"/>
              <w:bottom w:val="single" w:color="auto" w:sz="4" w:space="0"/>
              <w:right w:val="single" w:color="auto" w:sz="4" w:space="0"/>
            </w:tcBorders>
            <w:shd w:val="clear" w:color="auto" w:fill="auto"/>
            <w:vAlign w:val="center"/>
          </w:tcPr>
          <w:p>
            <w:pPr>
              <w:jc w:val="center"/>
              <w:rPr>
                <w:rFonts w:ascii="宋体" w:hAnsi="宋体" w:cs="宋体"/>
                <w:sz w:val="24"/>
              </w:rPr>
            </w:pPr>
            <w:r>
              <w:rPr>
                <w:rFonts w:hint="eastAsia" w:ascii="宋体" w:hAnsi="宋体" w:cs="宋体"/>
                <w:sz w:val="24"/>
              </w:rPr>
              <w:t>*</w:t>
            </w:r>
            <w:r>
              <w:rPr>
                <w:rFonts w:ascii="宋体" w:hAnsi="宋体" w:cs="宋体"/>
                <w:sz w:val="24"/>
              </w:rPr>
              <w:t>*****</w:t>
            </w:r>
          </w:p>
        </w:tc>
        <w:tc>
          <w:tcPr>
            <w:tcW w:w="1559" w:type="dxa"/>
            <w:tcBorders>
              <w:top w:val="single" w:color="auto" w:sz="4" w:space="0"/>
              <w:left w:val="nil"/>
              <w:bottom w:val="single" w:color="auto" w:sz="4" w:space="0"/>
              <w:right w:val="single" w:color="auto" w:sz="4" w:space="0"/>
            </w:tcBorders>
            <w:shd w:val="clear" w:color="000000" w:fill="FFFFFF"/>
            <w:vAlign w:val="center"/>
          </w:tcPr>
          <w:p>
            <w:pPr>
              <w:jc w:val="center"/>
              <w:rPr>
                <w:rFonts w:ascii="宋体" w:hAnsi="宋体" w:cs="宋体"/>
                <w:sz w:val="24"/>
              </w:rPr>
            </w:pPr>
          </w:p>
        </w:tc>
        <w:tc>
          <w:tcPr>
            <w:tcW w:w="2268" w:type="dxa"/>
            <w:tcBorders>
              <w:top w:val="single" w:color="auto" w:sz="4" w:space="0"/>
              <w:left w:val="nil"/>
              <w:bottom w:val="single" w:color="auto" w:sz="4" w:space="0"/>
              <w:right w:val="single" w:color="auto" w:sz="8" w:space="0"/>
            </w:tcBorders>
            <w:shd w:val="clear" w:color="auto" w:fill="auto"/>
            <w:vAlign w:val="center"/>
          </w:tcPr>
          <w:p>
            <w:pPr>
              <w:jc w:val="left"/>
              <w:rPr>
                <w:rFonts w:ascii="宋体" w:hAnsi="宋体" w:cs="宋体"/>
                <w:sz w:val="24"/>
              </w:rPr>
            </w:pPr>
          </w:p>
        </w:tc>
      </w:tr>
      <w:tr>
        <w:tblPrEx>
          <w:tblCellMar>
            <w:top w:w="0" w:type="dxa"/>
            <w:left w:w="108" w:type="dxa"/>
            <w:bottom w:w="0" w:type="dxa"/>
            <w:right w:w="108" w:type="dxa"/>
          </w:tblCellMar>
        </w:tblPrEx>
        <w:trPr>
          <w:trHeight w:val="480" w:hRule="atLeast"/>
        </w:trPr>
        <w:tc>
          <w:tcPr>
            <w:tcW w:w="0" w:type="auto"/>
            <w:vMerge w:val="restart"/>
            <w:tcBorders>
              <w:top w:val="nil"/>
              <w:left w:val="single" w:color="auto" w:sz="8" w:space="0"/>
              <w:right w:val="single" w:color="auto" w:sz="4" w:space="0"/>
            </w:tcBorders>
            <w:shd w:val="clear" w:color="auto" w:fill="auto"/>
            <w:vAlign w:val="center"/>
          </w:tcPr>
          <w:p>
            <w:pPr>
              <w:jc w:val="center"/>
              <w:rPr>
                <w:rFonts w:ascii="宋体" w:hAnsi="宋体" w:cs="宋体"/>
                <w:sz w:val="24"/>
              </w:rPr>
            </w:pPr>
            <w:r>
              <w:rPr>
                <w:rFonts w:hint="eastAsia" w:ascii="宋体" w:hAnsi="宋体" w:cs="宋体"/>
                <w:sz w:val="24"/>
              </w:rPr>
              <w:t>二</w:t>
            </w:r>
          </w:p>
        </w:tc>
        <w:tc>
          <w:tcPr>
            <w:tcW w:w="0" w:type="auto"/>
            <w:vMerge w:val="restart"/>
            <w:tcBorders>
              <w:top w:val="nil"/>
              <w:left w:val="single" w:color="auto" w:sz="4" w:space="0"/>
              <w:bottom w:val="single" w:color="auto" w:sz="4" w:space="0"/>
              <w:right w:val="single" w:color="auto" w:sz="4" w:space="0"/>
            </w:tcBorders>
            <w:shd w:val="clear" w:color="auto" w:fill="auto"/>
            <w:vAlign w:val="center"/>
          </w:tcPr>
          <w:p>
            <w:pPr>
              <w:jc w:val="center"/>
              <w:rPr>
                <w:rFonts w:ascii="宋体" w:hAnsi="宋体" w:cs="宋体"/>
                <w:sz w:val="24"/>
              </w:rPr>
            </w:pPr>
            <w:r>
              <w:rPr>
                <w:rFonts w:hint="eastAsia" w:ascii="宋体" w:hAnsi="宋体" w:cs="宋体"/>
                <w:sz w:val="24"/>
              </w:rPr>
              <w:t>*</w:t>
            </w:r>
            <w:r>
              <w:rPr>
                <w:rFonts w:ascii="宋体" w:hAnsi="宋体" w:cs="宋体"/>
                <w:sz w:val="24"/>
              </w:rPr>
              <w:t>*</w:t>
            </w:r>
            <w:r>
              <w:rPr>
                <w:rFonts w:hint="eastAsia" w:ascii="宋体" w:hAnsi="宋体" w:cs="宋体"/>
                <w:sz w:val="24"/>
              </w:rPr>
              <w:t>费用</w:t>
            </w:r>
          </w:p>
        </w:tc>
        <w:tc>
          <w:tcPr>
            <w:tcW w:w="3152" w:type="dxa"/>
            <w:tcBorders>
              <w:top w:val="nil"/>
              <w:left w:val="nil"/>
              <w:bottom w:val="single" w:color="auto" w:sz="4" w:space="0"/>
              <w:right w:val="single" w:color="auto" w:sz="4" w:space="0"/>
            </w:tcBorders>
            <w:shd w:val="clear" w:color="auto" w:fill="auto"/>
            <w:vAlign w:val="center"/>
          </w:tcPr>
          <w:p>
            <w:pPr>
              <w:jc w:val="left"/>
              <w:rPr>
                <w:rFonts w:ascii="宋体" w:hAnsi="宋体" w:cs="宋体"/>
                <w:sz w:val="24"/>
              </w:rPr>
            </w:pPr>
          </w:p>
        </w:tc>
        <w:tc>
          <w:tcPr>
            <w:tcW w:w="1559" w:type="dxa"/>
            <w:tcBorders>
              <w:top w:val="nil"/>
              <w:left w:val="nil"/>
              <w:bottom w:val="single" w:color="auto" w:sz="4" w:space="0"/>
              <w:right w:val="single" w:color="auto" w:sz="4" w:space="0"/>
            </w:tcBorders>
            <w:shd w:val="clear" w:color="auto" w:fill="auto"/>
            <w:vAlign w:val="center"/>
          </w:tcPr>
          <w:p>
            <w:pPr>
              <w:jc w:val="center"/>
              <w:rPr>
                <w:rFonts w:ascii="宋体" w:hAnsi="宋体" w:cs="宋体"/>
                <w:sz w:val="24"/>
              </w:rPr>
            </w:pPr>
          </w:p>
        </w:tc>
        <w:tc>
          <w:tcPr>
            <w:tcW w:w="2268" w:type="dxa"/>
            <w:vMerge w:val="restart"/>
            <w:tcBorders>
              <w:top w:val="nil"/>
              <w:left w:val="nil"/>
              <w:right w:val="single" w:color="auto" w:sz="8" w:space="0"/>
            </w:tcBorders>
            <w:shd w:val="clear" w:color="auto" w:fill="auto"/>
            <w:vAlign w:val="center"/>
          </w:tcPr>
          <w:p>
            <w:pPr>
              <w:jc w:val="left"/>
              <w:rPr>
                <w:rFonts w:ascii="宋体" w:hAnsi="宋体" w:cs="宋体"/>
                <w:sz w:val="24"/>
              </w:rPr>
            </w:pPr>
          </w:p>
        </w:tc>
      </w:tr>
      <w:tr>
        <w:tblPrEx>
          <w:tblCellMar>
            <w:top w:w="0" w:type="dxa"/>
            <w:left w:w="108" w:type="dxa"/>
            <w:bottom w:w="0" w:type="dxa"/>
            <w:right w:w="108" w:type="dxa"/>
          </w:tblCellMar>
        </w:tblPrEx>
        <w:trPr>
          <w:trHeight w:val="285" w:hRule="atLeast"/>
        </w:trPr>
        <w:tc>
          <w:tcPr>
            <w:tcW w:w="0" w:type="auto"/>
            <w:vMerge w:val="continue"/>
            <w:tcBorders>
              <w:left w:val="single" w:color="auto" w:sz="8" w:space="0"/>
              <w:right w:val="single" w:color="auto" w:sz="4" w:space="0"/>
            </w:tcBorders>
            <w:shd w:val="clear" w:color="auto" w:fill="auto"/>
            <w:vAlign w:val="center"/>
          </w:tcPr>
          <w:p>
            <w:pPr>
              <w:jc w:val="center"/>
              <w:rPr>
                <w:rFonts w:ascii="宋体" w:hAnsi="宋体" w:cs="宋体"/>
                <w:sz w:val="24"/>
              </w:rPr>
            </w:pPr>
          </w:p>
        </w:tc>
        <w:tc>
          <w:tcPr>
            <w:tcW w:w="0" w:type="auto"/>
            <w:vMerge w:val="continue"/>
            <w:tcBorders>
              <w:top w:val="nil"/>
              <w:left w:val="single" w:color="auto" w:sz="4" w:space="0"/>
              <w:bottom w:val="single" w:color="auto" w:sz="4" w:space="0"/>
              <w:right w:val="single" w:color="auto" w:sz="4" w:space="0"/>
            </w:tcBorders>
            <w:vAlign w:val="center"/>
          </w:tcPr>
          <w:p>
            <w:pPr>
              <w:jc w:val="left"/>
              <w:rPr>
                <w:rFonts w:ascii="宋体" w:hAnsi="宋体" w:cs="宋体"/>
                <w:sz w:val="24"/>
              </w:rPr>
            </w:pPr>
          </w:p>
        </w:tc>
        <w:tc>
          <w:tcPr>
            <w:tcW w:w="3152" w:type="dxa"/>
            <w:tcBorders>
              <w:top w:val="nil"/>
              <w:left w:val="nil"/>
              <w:bottom w:val="single" w:color="auto" w:sz="4" w:space="0"/>
              <w:right w:val="single" w:color="auto" w:sz="4" w:space="0"/>
            </w:tcBorders>
            <w:shd w:val="clear" w:color="auto" w:fill="auto"/>
            <w:vAlign w:val="center"/>
          </w:tcPr>
          <w:p>
            <w:pPr>
              <w:jc w:val="left"/>
              <w:rPr>
                <w:rFonts w:ascii="宋体" w:hAnsi="宋体" w:cs="宋体"/>
                <w:sz w:val="24"/>
              </w:rPr>
            </w:pPr>
          </w:p>
        </w:tc>
        <w:tc>
          <w:tcPr>
            <w:tcW w:w="1559" w:type="dxa"/>
            <w:tcBorders>
              <w:top w:val="nil"/>
              <w:left w:val="nil"/>
              <w:bottom w:val="single" w:color="auto" w:sz="4" w:space="0"/>
              <w:right w:val="single" w:color="auto" w:sz="4" w:space="0"/>
            </w:tcBorders>
            <w:shd w:val="clear" w:color="auto" w:fill="auto"/>
            <w:vAlign w:val="center"/>
          </w:tcPr>
          <w:p>
            <w:pPr>
              <w:jc w:val="center"/>
              <w:rPr>
                <w:rFonts w:ascii="宋体" w:hAnsi="宋体" w:cs="宋体"/>
                <w:sz w:val="24"/>
              </w:rPr>
            </w:pPr>
          </w:p>
        </w:tc>
        <w:tc>
          <w:tcPr>
            <w:tcW w:w="2268" w:type="dxa"/>
            <w:vMerge w:val="continue"/>
            <w:tcBorders>
              <w:left w:val="nil"/>
              <w:right w:val="single" w:color="auto" w:sz="8" w:space="0"/>
            </w:tcBorders>
            <w:shd w:val="clear" w:color="auto" w:fill="auto"/>
            <w:vAlign w:val="center"/>
          </w:tcPr>
          <w:p>
            <w:pPr>
              <w:jc w:val="left"/>
              <w:rPr>
                <w:rFonts w:ascii="宋体" w:hAnsi="宋体" w:cs="宋体"/>
                <w:sz w:val="24"/>
              </w:rPr>
            </w:pPr>
          </w:p>
        </w:tc>
      </w:tr>
      <w:tr>
        <w:tblPrEx>
          <w:tblCellMar>
            <w:top w:w="0" w:type="dxa"/>
            <w:left w:w="108" w:type="dxa"/>
            <w:bottom w:w="0" w:type="dxa"/>
            <w:right w:w="108" w:type="dxa"/>
          </w:tblCellMar>
        </w:tblPrEx>
        <w:trPr>
          <w:trHeight w:val="285" w:hRule="atLeast"/>
        </w:trPr>
        <w:tc>
          <w:tcPr>
            <w:tcW w:w="0" w:type="auto"/>
            <w:vMerge w:val="continue"/>
            <w:tcBorders>
              <w:left w:val="single" w:color="auto" w:sz="8" w:space="0"/>
              <w:right w:val="single" w:color="auto" w:sz="4" w:space="0"/>
            </w:tcBorders>
            <w:shd w:val="clear" w:color="auto" w:fill="auto"/>
            <w:vAlign w:val="center"/>
          </w:tcPr>
          <w:p>
            <w:pPr>
              <w:jc w:val="center"/>
              <w:rPr>
                <w:rFonts w:ascii="宋体" w:hAnsi="宋体" w:cs="宋体"/>
                <w:sz w:val="24"/>
              </w:rPr>
            </w:pPr>
          </w:p>
        </w:tc>
        <w:tc>
          <w:tcPr>
            <w:tcW w:w="0" w:type="auto"/>
            <w:vMerge w:val="continue"/>
            <w:tcBorders>
              <w:top w:val="nil"/>
              <w:left w:val="single" w:color="auto" w:sz="4" w:space="0"/>
              <w:bottom w:val="single" w:color="auto" w:sz="4" w:space="0"/>
              <w:right w:val="single" w:color="auto" w:sz="4" w:space="0"/>
            </w:tcBorders>
            <w:vAlign w:val="center"/>
          </w:tcPr>
          <w:p>
            <w:pPr>
              <w:jc w:val="left"/>
              <w:rPr>
                <w:rFonts w:ascii="宋体" w:hAnsi="宋体" w:cs="宋体"/>
                <w:sz w:val="24"/>
              </w:rPr>
            </w:pPr>
          </w:p>
        </w:tc>
        <w:tc>
          <w:tcPr>
            <w:tcW w:w="3152" w:type="dxa"/>
            <w:tcBorders>
              <w:top w:val="nil"/>
              <w:left w:val="nil"/>
              <w:bottom w:val="single" w:color="auto" w:sz="4" w:space="0"/>
              <w:right w:val="single" w:color="auto" w:sz="4" w:space="0"/>
            </w:tcBorders>
            <w:shd w:val="clear" w:color="auto" w:fill="auto"/>
            <w:vAlign w:val="center"/>
          </w:tcPr>
          <w:p>
            <w:pPr>
              <w:jc w:val="left"/>
              <w:rPr>
                <w:rFonts w:ascii="宋体" w:hAnsi="宋体" w:cs="宋体"/>
                <w:sz w:val="24"/>
              </w:rPr>
            </w:pPr>
          </w:p>
        </w:tc>
        <w:tc>
          <w:tcPr>
            <w:tcW w:w="1559" w:type="dxa"/>
            <w:tcBorders>
              <w:top w:val="nil"/>
              <w:left w:val="nil"/>
              <w:bottom w:val="single" w:color="auto" w:sz="4" w:space="0"/>
              <w:right w:val="single" w:color="auto" w:sz="4" w:space="0"/>
            </w:tcBorders>
            <w:shd w:val="clear" w:color="auto" w:fill="auto"/>
            <w:vAlign w:val="center"/>
          </w:tcPr>
          <w:p>
            <w:pPr>
              <w:jc w:val="center"/>
              <w:rPr>
                <w:rFonts w:ascii="宋体" w:hAnsi="宋体" w:cs="宋体"/>
                <w:sz w:val="24"/>
              </w:rPr>
            </w:pPr>
          </w:p>
        </w:tc>
        <w:tc>
          <w:tcPr>
            <w:tcW w:w="2268" w:type="dxa"/>
            <w:vMerge w:val="continue"/>
            <w:tcBorders>
              <w:left w:val="nil"/>
              <w:right w:val="single" w:color="auto" w:sz="8" w:space="0"/>
            </w:tcBorders>
            <w:shd w:val="clear" w:color="auto" w:fill="auto"/>
            <w:vAlign w:val="center"/>
          </w:tcPr>
          <w:p>
            <w:pPr>
              <w:jc w:val="left"/>
              <w:rPr>
                <w:rFonts w:ascii="宋体" w:hAnsi="宋体" w:cs="宋体"/>
                <w:sz w:val="24"/>
              </w:rPr>
            </w:pPr>
          </w:p>
        </w:tc>
      </w:tr>
      <w:tr>
        <w:tblPrEx>
          <w:tblCellMar>
            <w:top w:w="0" w:type="dxa"/>
            <w:left w:w="108" w:type="dxa"/>
            <w:bottom w:w="0" w:type="dxa"/>
            <w:right w:w="108" w:type="dxa"/>
          </w:tblCellMar>
        </w:tblPrEx>
        <w:trPr>
          <w:trHeight w:val="285" w:hRule="atLeast"/>
        </w:trPr>
        <w:tc>
          <w:tcPr>
            <w:tcW w:w="0" w:type="auto"/>
            <w:vMerge w:val="continue"/>
            <w:tcBorders>
              <w:left w:val="single" w:color="auto" w:sz="8" w:space="0"/>
              <w:right w:val="single" w:color="auto" w:sz="4" w:space="0"/>
            </w:tcBorders>
            <w:shd w:val="clear" w:color="auto" w:fill="auto"/>
            <w:vAlign w:val="center"/>
          </w:tcPr>
          <w:p>
            <w:pPr>
              <w:jc w:val="center"/>
              <w:rPr>
                <w:rFonts w:ascii="宋体" w:hAnsi="宋体" w:cs="宋体"/>
                <w:sz w:val="24"/>
              </w:rPr>
            </w:pPr>
          </w:p>
        </w:tc>
        <w:tc>
          <w:tcPr>
            <w:tcW w:w="0" w:type="auto"/>
            <w:vMerge w:val="continue"/>
            <w:tcBorders>
              <w:top w:val="nil"/>
              <w:left w:val="single" w:color="auto" w:sz="4" w:space="0"/>
              <w:bottom w:val="single" w:color="auto" w:sz="4" w:space="0"/>
              <w:right w:val="single" w:color="auto" w:sz="4" w:space="0"/>
            </w:tcBorders>
            <w:vAlign w:val="center"/>
          </w:tcPr>
          <w:p>
            <w:pPr>
              <w:jc w:val="left"/>
              <w:rPr>
                <w:rFonts w:ascii="宋体" w:hAnsi="宋体" w:cs="宋体"/>
                <w:sz w:val="24"/>
              </w:rPr>
            </w:pPr>
          </w:p>
        </w:tc>
        <w:tc>
          <w:tcPr>
            <w:tcW w:w="3152" w:type="dxa"/>
            <w:tcBorders>
              <w:top w:val="nil"/>
              <w:left w:val="nil"/>
              <w:bottom w:val="single" w:color="auto" w:sz="4" w:space="0"/>
              <w:right w:val="single" w:color="auto" w:sz="4" w:space="0"/>
            </w:tcBorders>
            <w:shd w:val="clear" w:color="auto" w:fill="auto"/>
            <w:vAlign w:val="center"/>
          </w:tcPr>
          <w:p>
            <w:pPr>
              <w:jc w:val="left"/>
              <w:rPr>
                <w:rFonts w:ascii="宋体" w:hAnsi="宋体" w:cs="宋体"/>
                <w:sz w:val="24"/>
              </w:rPr>
            </w:pPr>
          </w:p>
        </w:tc>
        <w:tc>
          <w:tcPr>
            <w:tcW w:w="1559" w:type="dxa"/>
            <w:tcBorders>
              <w:top w:val="nil"/>
              <w:left w:val="nil"/>
              <w:bottom w:val="single" w:color="auto" w:sz="4" w:space="0"/>
              <w:right w:val="single" w:color="auto" w:sz="4" w:space="0"/>
            </w:tcBorders>
            <w:shd w:val="clear" w:color="auto" w:fill="auto"/>
            <w:vAlign w:val="center"/>
          </w:tcPr>
          <w:p>
            <w:pPr>
              <w:jc w:val="center"/>
              <w:rPr>
                <w:rFonts w:ascii="宋体" w:hAnsi="宋体" w:cs="宋体"/>
                <w:sz w:val="24"/>
              </w:rPr>
            </w:pPr>
          </w:p>
        </w:tc>
        <w:tc>
          <w:tcPr>
            <w:tcW w:w="2268" w:type="dxa"/>
            <w:vMerge w:val="continue"/>
            <w:tcBorders>
              <w:left w:val="nil"/>
              <w:right w:val="single" w:color="auto" w:sz="8" w:space="0"/>
            </w:tcBorders>
            <w:shd w:val="clear" w:color="auto" w:fill="auto"/>
            <w:vAlign w:val="center"/>
          </w:tcPr>
          <w:p>
            <w:pPr>
              <w:jc w:val="left"/>
              <w:rPr>
                <w:rFonts w:ascii="宋体" w:hAnsi="宋体" w:cs="宋体"/>
                <w:sz w:val="24"/>
              </w:rPr>
            </w:pPr>
          </w:p>
        </w:tc>
      </w:tr>
      <w:tr>
        <w:tblPrEx>
          <w:tblCellMar>
            <w:top w:w="0" w:type="dxa"/>
            <w:left w:w="108" w:type="dxa"/>
            <w:bottom w:w="0" w:type="dxa"/>
            <w:right w:w="108" w:type="dxa"/>
          </w:tblCellMar>
        </w:tblPrEx>
        <w:trPr>
          <w:trHeight w:val="285" w:hRule="atLeast"/>
        </w:trPr>
        <w:tc>
          <w:tcPr>
            <w:tcW w:w="0" w:type="auto"/>
            <w:vMerge w:val="continue"/>
            <w:tcBorders>
              <w:left w:val="single" w:color="auto" w:sz="8" w:space="0"/>
              <w:right w:val="single" w:color="auto" w:sz="4" w:space="0"/>
            </w:tcBorders>
            <w:shd w:val="clear" w:color="auto" w:fill="auto"/>
            <w:vAlign w:val="center"/>
          </w:tcPr>
          <w:p>
            <w:pPr>
              <w:jc w:val="center"/>
              <w:rPr>
                <w:rFonts w:ascii="宋体" w:hAnsi="宋体" w:cs="宋体"/>
                <w:sz w:val="24"/>
              </w:rPr>
            </w:pPr>
          </w:p>
        </w:tc>
        <w:tc>
          <w:tcPr>
            <w:tcW w:w="0" w:type="auto"/>
            <w:vMerge w:val="continue"/>
            <w:tcBorders>
              <w:top w:val="nil"/>
              <w:left w:val="single" w:color="auto" w:sz="4" w:space="0"/>
              <w:bottom w:val="single" w:color="auto" w:sz="4" w:space="0"/>
              <w:right w:val="single" w:color="auto" w:sz="4" w:space="0"/>
            </w:tcBorders>
            <w:vAlign w:val="center"/>
          </w:tcPr>
          <w:p>
            <w:pPr>
              <w:jc w:val="left"/>
              <w:rPr>
                <w:rFonts w:ascii="宋体" w:hAnsi="宋体" w:cs="宋体"/>
                <w:sz w:val="24"/>
              </w:rPr>
            </w:pPr>
          </w:p>
        </w:tc>
        <w:tc>
          <w:tcPr>
            <w:tcW w:w="3152" w:type="dxa"/>
            <w:tcBorders>
              <w:top w:val="nil"/>
              <w:left w:val="nil"/>
              <w:bottom w:val="single" w:color="auto" w:sz="4" w:space="0"/>
              <w:right w:val="single" w:color="auto" w:sz="4" w:space="0"/>
            </w:tcBorders>
            <w:shd w:val="clear" w:color="auto" w:fill="auto"/>
            <w:vAlign w:val="center"/>
          </w:tcPr>
          <w:p>
            <w:pPr>
              <w:jc w:val="left"/>
              <w:rPr>
                <w:rFonts w:ascii="宋体" w:hAnsi="宋体" w:cs="宋体"/>
                <w:sz w:val="24"/>
              </w:rPr>
            </w:pPr>
          </w:p>
        </w:tc>
        <w:tc>
          <w:tcPr>
            <w:tcW w:w="1559" w:type="dxa"/>
            <w:tcBorders>
              <w:top w:val="nil"/>
              <w:left w:val="nil"/>
              <w:bottom w:val="single" w:color="auto" w:sz="4" w:space="0"/>
              <w:right w:val="single" w:color="auto" w:sz="4" w:space="0"/>
            </w:tcBorders>
            <w:shd w:val="clear" w:color="auto" w:fill="auto"/>
            <w:vAlign w:val="center"/>
          </w:tcPr>
          <w:p>
            <w:pPr>
              <w:jc w:val="center"/>
              <w:rPr>
                <w:rFonts w:ascii="宋体" w:hAnsi="宋体" w:cs="宋体"/>
                <w:sz w:val="24"/>
              </w:rPr>
            </w:pPr>
          </w:p>
        </w:tc>
        <w:tc>
          <w:tcPr>
            <w:tcW w:w="2268" w:type="dxa"/>
            <w:vMerge w:val="continue"/>
            <w:tcBorders>
              <w:left w:val="nil"/>
              <w:right w:val="single" w:color="auto" w:sz="8" w:space="0"/>
            </w:tcBorders>
            <w:shd w:val="clear" w:color="auto" w:fill="auto"/>
            <w:vAlign w:val="center"/>
          </w:tcPr>
          <w:p>
            <w:pPr>
              <w:jc w:val="left"/>
              <w:rPr>
                <w:rFonts w:ascii="宋体" w:hAnsi="宋体" w:cs="宋体"/>
                <w:sz w:val="24"/>
              </w:rPr>
            </w:pPr>
          </w:p>
        </w:tc>
      </w:tr>
      <w:tr>
        <w:tblPrEx>
          <w:tblCellMar>
            <w:top w:w="0" w:type="dxa"/>
            <w:left w:w="108" w:type="dxa"/>
            <w:bottom w:w="0" w:type="dxa"/>
            <w:right w:w="108" w:type="dxa"/>
          </w:tblCellMar>
        </w:tblPrEx>
        <w:trPr>
          <w:trHeight w:val="285" w:hRule="atLeast"/>
        </w:trPr>
        <w:tc>
          <w:tcPr>
            <w:tcW w:w="0" w:type="auto"/>
            <w:vMerge w:val="continue"/>
            <w:tcBorders>
              <w:left w:val="single" w:color="auto" w:sz="8" w:space="0"/>
              <w:right w:val="single" w:color="auto" w:sz="4" w:space="0"/>
            </w:tcBorders>
            <w:shd w:val="clear" w:color="auto" w:fill="auto"/>
            <w:vAlign w:val="center"/>
          </w:tcPr>
          <w:p>
            <w:pPr>
              <w:jc w:val="center"/>
              <w:rPr>
                <w:rFonts w:ascii="宋体" w:hAnsi="宋体" w:cs="宋体"/>
                <w:sz w:val="24"/>
              </w:rPr>
            </w:pPr>
          </w:p>
        </w:tc>
        <w:tc>
          <w:tcPr>
            <w:tcW w:w="0" w:type="auto"/>
            <w:vMerge w:val="continue"/>
            <w:tcBorders>
              <w:top w:val="nil"/>
              <w:left w:val="single" w:color="auto" w:sz="4" w:space="0"/>
              <w:bottom w:val="single" w:color="auto" w:sz="4" w:space="0"/>
              <w:right w:val="single" w:color="auto" w:sz="4" w:space="0"/>
            </w:tcBorders>
            <w:vAlign w:val="center"/>
          </w:tcPr>
          <w:p>
            <w:pPr>
              <w:jc w:val="left"/>
              <w:rPr>
                <w:rFonts w:ascii="宋体" w:hAnsi="宋体" w:cs="宋体"/>
                <w:sz w:val="24"/>
              </w:rPr>
            </w:pPr>
          </w:p>
        </w:tc>
        <w:tc>
          <w:tcPr>
            <w:tcW w:w="3152" w:type="dxa"/>
            <w:tcBorders>
              <w:top w:val="nil"/>
              <w:left w:val="nil"/>
              <w:bottom w:val="single" w:color="auto" w:sz="4" w:space="0"/>
              <w:right w:val="single" w:color="auto" w:sz="4" w:space="0"/>
            </w:tcBorders>
            <w:shd w:val="clear" w:color="auto" w:fill="auto"/>
            <w:vAlign w:val="center"/>
          </w:tcPr>
          <w:p>
            <w:pPr>
              <w:jc w:val="left"/>
              <w:rPr>
                <w:rFonts w:ascii="宋体" w:hAnsi="宋体" w:cs="宋体"/>
                <w:sz w:val="24"/>
              </w:rPr>
            </w:pPr>
          </w:p>
        </w:tc>
        <w:tc>
          <w:tcPr>
            <w:tcW w:w="1559" w:type="dxa"/>
            <w:tcBorders>
              <w:top w:val="nil"/>
              <w:left w:val="nil"/>
              <w:bottom w:val="single" w:color="auto" w:sz="4" w:space="0"/>
              <w:right w:val="single" w:color="auto" w:sz="4" w:space="0"/>
            </w:tcBorders>
            <w:shd w:val="clear" w:color="auto" w:fill="auto"/>
            <w:vAlign w:val="center"/>
          </w:tcPr>
          <w:p>
            <w:pPr>
              <w:jc w:val="center"/>
              <w:rPr>
                <w:rFonts w:ascii="宋体" w:hAnsi="宋体" w:cs="宋体"/>
                <w:sz w:val="24"/>
              </w:rPr>
            </w:pPr>
          </w:p>
        </w:tc>
        <w:tc>
          <w:tcPr>
            <w:tcW w:w="2268" w:type="dxa"/>
            <w:vMerge w:val="continue"/>
            <w:tcBorders>
              <w:left w:val="nil"/>
              <w:bottom w:val="single" w:color="auto" w:sz="4" w:space="0"/>
              <w:right w:val="single" w:color="auto" w:sz="8" w:space="0"/>
            </w:tcBorders>
            <w:shd w:val="clear" w:color="auto" w:fill="auto"/>
            <w:vAlign w:val="center"/>
          </w:tcPr>
          <w:p>
            <w:pPr>
              <w:jc w:val="left"/>
              <w:rPr>
                <w:rFonts w:ascii="宋体" w:hAnsi="宋体" w:cs="宋体"/>
                <w:sz w:val="24"/>
              </w:rPr>
            </w:pPr>
          </w:p>
        </w:tc>
      </w:tr>
      <w:tr>
        <w:tblPrEx>
          <w:tblCellMar>
            <w:top w:w="0" w:type="dxa"/>
            <w:left w:w="108" w:type="dxa"/>
            <w:bottom w:w="0" w:type="dxa"/>
            <w:right w:w="108" w:type="dxa"/>
          </w:tblCellMar>
        </w:tblPrEx>
        <w:trPr>
          <w:trHeight w:val="285" w:hRule="atLeast"/>
        </w:trPr>
        <w:tc>
          <w:tcPr>
            <w:tcW w:w="0" w:type="auto"/>
            <w:vMerge w:val="continue"/>
            <w:tcBorders>
              <w:left w:val="single" w:color="auto" w:sz="8" w:space="0"/>
              <w:bottom w:val="single" w:color="auto" w:sz="4" w:space="0"/>
              <w:right w:val="single" w:color="auto" w:sz="4" w:space="0"/>
            </w:tcBorders>
            <w:shd w:val="clear" w:color="000000" w:fill="FFFFFF"/>
            <w:vAlign w:val="center"/>
          </w:tcPr>
          <w:p>
            <w:pPr>
              <w:jc w:val="center"/>
              <w:rPr>
                <w:rFonts w:ascii="宋体" w:hAnsi="宋体" w:cs="宋体"/>
                <w:sz w:val="24"/>
              </w:rPr>
            </w:pPr>
          </w:p>
        </w:tc>
        <w:tc>
          <w:tcPr>
            <w:tcW w:w="4156" w:type="dxa"/>
            <w:gridSpan w:val="2"/>
            <w:tcBorders>
              <w:top w:val="single" w:color="auto" w:sz="4" w:space="0"/>
              <w:left w:val="nil"/>
              <w:bottom w:val="single" w:color="auto" w:sz="4" w:space="0"/>
              <w:right w:val="single" w:color="auto" w:sz="4" w:space="0"/>
            </w:tcBorders>
            <w:shd w:val="clear" w:color="000000" w:fill="FFFFFF"/>
            <w:vAlign w:val="center"/>
          </w:tcPr>
          <w:p>
            <w:pPr>
              <w:jc w:val="center"/>
              <w:rPr>
                <w:rFonts w:ascii="宋体" w:hAnsi="宋体" w:cs="宋体"/>
                <w:sz w:val="24"/>
              </w:rPr>
            </w:pPr>
            <w:r>
              <w:rPr>
                <w:rFonts w:hint="eastAsia" w:ascii="宋体" w:hAnsi="宋体" w:cs="宋体"/>
                <w:sz w:val="24"/>
              </w:rPr>
              <w:t>*</w:t>
            </w:r>
            <w:r>
              <w:rPr>
                <w:rFonts w:ascii="宋体" w:hAnsi="宋体" w:cs="宋体"/>
                <w:sz w:val="24"/>
              </w:rPr>
              <w:t>*</w:t>
            </w:r>
            <w:r>
              <w:rPr>
                <w:rFonts w:hint="eastAsia" w:ascii="宋体" w:hAnsi="宋体" w:cs="宋体"/>
                <w:sz w:val="24"/>
              </w:rPr>
              <w:t>费用小计</w:t>
            </w:r>
          </w:p>
        </w:tc>
        <w:tc>
          <w:tcPr>
            <w:tcW w:w="1559" w:type="dxa"/>
            <w:tcBorders>
              <w:top w:val="nil"/>
              <w:left w:val="nil"/>
              <w:bottom w:val="single" w:color="auto" w:sz="4" w:space="0"/>
              <w:right w:val="single" w:color="auto" w:sz="4" w:space="0"/>
            </w:tcBorders>
            <w:shd w:val="clear" w:color="000000" w:fill="FFFFFF"/>
            <w:vAlign w:val="center"/>
          </w:tcPr>
          <w:p>
            <w:pPr>
              <w:jc w:val="center"/>
              <w:rPr>
                <w:rFonts w:ascii="宋体" w:hAnsi="宋体" w:cs="宋体"/>
                <w:sz w:val="24"/>
              </w:rPr>
            </w:pPr>
          </w:p>
        </w:tc>
        <w:tc>
          <w:tcPr>
            <w:tcW w:w="2268" w:type="dxa"/>
            <w:tcBorders>
              <w:top w:val="nil"/>
              <w:left w:val="nil"/>
              <w:bottom w:val="single" w:color="auto" w:sz="4" w:space="0"/>
              <w:right w:val="single" w:color="auto" w:sz="8" w:space="0"/>
            </w:tcBorders>
            <w:shd w:val="clear" w:color="000000" w:fill="FFFFFF"/>
            <w:vAlign w:val="center"/>
          </w:tcPr>
          <w:p>
            <w:pPr>
              <w:jc w:val="left"/>
              <w:rPr>
                <w:rFonts w:ascii="宋体" w:hAnsi="宋体" w:cs="宋体"/>
                <w:sz w:val="24"/>
              </w:rPr>
            </w:pPr>
          </w:p>
        </w:tc>
      </w:tr>
      <w:tr>
        <w:tblPrEx>
          <w:tblCellMar>
            <w:top w:w="0" w:type="dxa"/>
            <w:left w:w="108" w:type="dxa"/>
            <w:bottom w:w="0" w:type="dxa"/>
            <w:right w:w="108" w:type="dxa"/>
          </w:tblCellMar>
        </w:tblPrEx>
        <w:trPr>
          <w:trHeight w:val="285" w:hRule="atLeast"/>
        </w:trPr>
        <w:tc>
          <w:tcPr>
            <w:tcW w:w="0" w:type="auto"/>
            <w:vMerge w:val="restart"/>
            <w:tcBorders>
              <w:top w:val="nil"/>
              <w:left w:val="single" w:color="auto" w:sz="8" w:space="0"/>
              <w:right w:val="single" w:color="auto" w:sz="4" w:space="0"/>
            </w:tcBorders>
            <w:shd w:val="clear" w:color="000000" w:fill="FFFFFF"/>
            <w:vAlign w:val="center"/>
          </w:tcPr>
          <w:p>
            <w:pPr>
              <w:jc w:val="center"/>
              <w:rPr>
                <w:rFonts w:ascii="宋体" w:hAnsi="宋体" w:cs="宋体"/>
                <w:sz w:val="24"/>
              </w:rPr>
            </w:pPr>
            <w:r>
              <w:rPr>
                <w:rFonts w:hint="eastAsia" w:ascii="宋体" w:hAnsi="宋体" w:cs="宋体"/>
                <w:sz w:val="24"/>
              </w:rPr>
              <w:t>三</w:t>
            </w:r>
          </w:p>
        </w:tc>
        <w:tc>
          <w:tcPr>
            <w:tcW w:w="0" w:type="auto"/>
            <w:vMerge w:val="restart"/>
            <w:tcBorders>
              <w:top w:val="nil"/>
              <w:left w:val="single" w:color="auto" w:sz="4" w:space="0"/>
              <w:bottom w:val="single" w:color="auto" w:sz="4" w:space="0"/>
              <w:right w:val="single" w:color="auto" w:sz="4" w:space="0"/>
            </w:tcBorders>
            <w:shd w:val="clear" w:color="000000" w:fill="FFFFFF"/>
            <w:vAlign w:val="center"/>
          </w:tcPr>
          <w:p>
            <w:pPr>
              <w:jc w:val="center"/>
              <w:rPr>
                <w:rFonts w:ascii="宋体" w:hAnsi="宋体" w:cs="宋体"/>
                <w:sz w:val="24"/>
              </w:rPr>
            </w:pPr>
            <w:r>
              <w:rPr>
                <w:rFonts w:hint="eastAsia" w:ascii="宋体" w:hAnsi="宋体" w:cs="宋体"/>
                <w:sz w:val="24"/>
              </w:rPr>
              <w:t>其他费用</w:t>
            </w:r>
          </w:p>
        </w:tc>
        <w:tc>
          <w:tcPr>
            <w:tcW w:w="3152" w:type="dxa"/>
            <w:tcBorders>
              <w:top w:val="nil"/>
              <w:left w:val="nil"/>
              <w:bottom w:val="single" w:color="auto" w:sz="4" w:space="0"/>
              <w:right w:val="single" w:color="auto" w:sz="4" w:space="0"/>
            </w:tcBorders>
            <w:shd w:val="clear" w:color="000000" w:fill="FFFFFF"/>
            <w:vAlign w:val="center"/>
          </w:tcPr>
          <w:p>
            <w:pPr>
              <w:jc w:val="left"/>
              <w:rPr>
                <w:rFonts w:ascii="宋体" w:hAnsi="宋体" w:cs="宋体"/>
                <w:sz w:val="24"/>
              </w:rPr>
            </w:pPr>
          </w:p>
        </w:tc>
        <w:tc>
          <w:tcPr>
            <w:tcW w:w="1559" w:type="dxa"/>
            <w:tcBorders>
              <w:top w:val="nil"/>
              <w:left w:val="nil"/>
              <w:bottom w:val="single" w:color="auto" w:sz="4" w:space="0"/>
              <w:right w:val="single" w:color="auto" w:sz="4" w:space="0"/>
            </w:tcBorders>
            <w:shd w:val="clear" w:color="000000" w:fill="FFFFFF"/>
            <w:vAlign w:val="center"/>
          </w:tcPr>
          <w:p>
            <w:pPr>
              <w:jc w:val="center"/>
              <w:rPr>
                <w:rFonts w:ascii="宋体" w:hAnsi="宋体" w:cs="宋体"/>
                <w:sz w:val="24"/>
              </w:rPr>
            </w:pPr>
          </w:p>
        </w:tc>
        <w:tc>
          <w:tcPr>
            <w:tcW w:w="2268" w:type="dxa"/>
            <w:tcBorders>
              <w:top w:val="nil"/>
              <w:left w:val="nil"/>
              <w:bottom w:val="single" w:color="auto" w:sz="4" w:space="0"/>
              <w:right w:val="single" w:color="auto" w:sz="8" w:space="0"/>
            </w:tcBorders>
            <w:shd w:val="clear" w:color="000000" w:fill="FFFFFF"/>
            <w:vAlign w:val="center"/>
          </w:tcPr>
          <w:p>
            <w:pPr>
              <w:jc w:val="left"/>
              <w:rPr>
                <w:rFonts w:ascii="宋体" w:hAnsi="宋体" w:cs="宋体"/>
                <w:sz w:val="24"/>
              </w:rPr>
            </w:pPr>
          </w:p>
        </w:tc>
      </w:tr>
      <w:tr>
        <w:tblPrEx>
          <w:tblCellMar>
            <w:top w:w="0" w:type="dxa"/>
            <w:left w:w="108" w:type="dxa"/>
            <w:bottom w:w="0" w:type="dxa"/>
            <w:right w:w="108" w:type="dxa"/>
          </w:tblCellMar>
        </w:tblPrEx>
        <w:trPr>
          <w:trHeight w:val="285" w:hRule="atLeast"/>
        </w:trPr>
        <w:tc>
          <w:tcPr>
            <w:tcW w:w="0" w:type="auto"/>
            <w:vMerge w:val="continue"/>
            <w:tcBorders>
              <w:left w:val="single" w:color="auto" w:sz="8" w:space="0"/>
              <w:right w:val="single" w:color="auto" w:sz="4" w:space="0"/>
            </w:tcBorders>
            <w:shd w:val="clear" w:color="000000" w:fill="FFFFFF"/>
            <w:vAlign w:val="center"/>
          </w:tcPr>
          <w:p>
            <w:pPr>
              <w:jc w:val="center"/>
              <w:rPr>
                <w:rFonts w:ascii="宋体" w:hAnsi="宋体" w:cs="宋体"/>
                <w:sz w:val="24"/>
              </w:rPr>
            </w:pPr>
          </w:p>
        </w:tc>
        <w:tc>
          <w:tcPr>
            <w:tcW w:w="0" w:type="auto"/>
            <w:vMerge w:val="continue"/>
            <w:tcBorders>
              <w:top w:val="nil"/>
              <w:left w:val="single" w:color="auto" w:sz="4" w:space="0"/>
              <w:bottom w:val="single" w:color="auto" w:sz="4" w:space="0"/>
              <w:right w:val="single" w:color="auto" w:sz="4" w:space="0"/>
            </w:tcBorders>
            <w:vAlign w:val="center"/>
          </w:tcPr>
          <w:p>
            <w:pPr>
              <w:jc w:val="left"/>
              <w:rPr>
                <w:rFonts w:ascii="宋体" w:hAnsi="宋体" w:cs="宋体"/>
                <w:sz w:val="24"/>
              </w:rPr>
            </w:pPr>
          </w:p>
        </w:tc>
        <w:tc>
          <w:tcPr>
            <w:tcW w:w="3152" w:type="dxa"/>
            <w:tcBorders>
              <w:top w:val="nil"/>
              <w:left w:val="nil"/>
              <w:bottom w:val="single" w:color="auto" w:sz="4" w:space="0"/>
              <w:right w:val="single" w:color="auto" w:sz="4" w:space="0"/>
            </w:tcBorders>
            <w:shd w:val="clear" w:color="000000" w:fill="FFFFFF"/>
            <w:vAlign w:val="center"/>
          </w:tcPr>
          <w:p>
            <w:pPr>
              <w:jc w:val="left"/>
              <w:rPr>
                <w:rFonts w:ascii="宋体" w:hAnsi="宋体" w:cs="宋体"/>
                <w:sz w:val="24"/>
              </w:rPr>
            </w:pPr>
          </w:p>
        </w:tc>
        <w:tc>
          <w:tcPr>
            <w:tcW w:w="1559" w:type="dxa"/>
            <w:tcBorders>
              <w:top w:val="nil"/>
              <w:left w:val="nil"/>
              <w:bottom w:val="single" w:color="auto" w:sz="4" w:space="0"/>
              <w:right w:val="single" w:color="auto" w:sz="4" w:space="0"/>
            </w:tcBorders>
            <w:shd w:val="clear" w:color="000000" w:fill="FFFFFF"/>
            <w:vAlign w:val="center"/>
          </w:tcPr>
          <w:p>
            <w:pPr>
              <w:jc w:val="center"/>
              <w:rPr>
                <w:rFonts w:ascii="宋体" w:hAnsi="宋体" w:cs="宋体"/>
                <w:sz w:val="24"/>
              </w:rPr>
            </w:pPr>
          </w:p>
        </w:tc>
        <w:tc>
          <w:tcPr>
            <w:tcW w:w="2268" w:type="dxa"/>
            <w:tcBorders>
              <w:top w:val="nil"/>
              <w:left w:val="nil"/>
              <w:bottom w:val="single" w:color="auto" w:sz="4" w:space="0"/>
              <w:right w:val="single" w:color="auto" w:sz="8" w:space="0"/>
            </w:tcBorders>
            <w:shd w:val="clear" w:color="000000" w:fill="FFFFFF"/>
            <w:vAlign w:val="center"/>
          </w:tcPr>
          <w:p>
            <w:pPr>
              <w:jc w:val="left"/>
              <w:rPr>
                <w:rFonts w:ascii="宋体" w:hAnsi="宋体" w:cs="宋体"/>
                <w:sz w:val="24"/>
              </w:rPr>
            </w:pPr>
          </w:p>
        </w:tc>
      </w:tr>
      <w:tr>
        <w:tblPrEx>
          <w:tblCellMar>
            <w:top w:w="0" w:type="dxa"/>
            <w:left w:w="108" w:type="dxa"/>
            <w:bottom w:w="0" w:type="dxa"/>
            <w:right w:w="108" w:type="dxa"/>
          </w:tblCellMar>
        </w:tblPrEx>
        <w:trPr>
          <w:trHeight w:val="285" w:hRule="atLeast"/>
        </w:trPr>
        <w:tc>
          <w:tcPr>
            <w:tcW w:w="0" w:type="auto"/>
            <w:vMerge w:val="continue"/>
            <w:tcBorders>
              <w:left w:val="single" w:color="auto" w:sz="8" w:space="0"/>
              <w:bottom w:val="single" w:color="auto" w:sz="4" w:space="0"/>
              <w:right w:val="single" w:color="auto" w:sz="4" w:space="0"/>
            </w:tcBorders>
            <w:shd w:val="clear" w:color="000000" w:fill="FFFFFF"/>
            <w:vAlign w:val="center"/>
          </w:tcPr>
          <w:p>
            <w:pPr>
              <w:jc w:val="center"/>
              <w:rPr>
                <w:rFonts w:ascii="宋体" w:hAnsi="宋体" w:cs="宋体"/>
                <w:sz w:val="24"/>
              </w:rPr>
            </w:pPr>
          </w:p>
        </w:tc>
        <w:tc>
          <w:tcPr>
            <w:tcW w:w="4156" w:type="dxa"/>
            <w:gridSpan w:val="2"/>
            <w:tcBorders>
              <w:top w:val="single" w:color="auto" w:sz="4" w:space="0"/>
              <w:left w:val="nil"/>
              <w:bottom w:val="single" w:color="auto" w:sz="4" w:space="0"/>
              <w:right w:val="single" w:color="auto" w:sz="4" w:space="0"/>
            </w:tcBorders>
            <w:shd w:val="clear" w:color="000000" w:fill="FFFFFF"/>
            <w:vAlign w:val="center"/>
          </w:tcPr>
          <w:p>
            <w:pPr>
              <w:jc w:val="center"/>
              <w:rPr>
                <w:rFonts w:ascii="宋体" w:hAnsi="宋体" w:cs="宋体"/>
                <w:sz w:val="24"/>
              </w:rPr>
            </w:pPr>
            <w:r>
              <w:rPr>
                <w:rFonts w:hint="eastAsia" w:ascii="宋体" w:hAnsi="宋体" w:cs="宋体"/>
                <w:sz w:val="24"/>
              </w:rPr>
              <w:t>其他费用小计</w:t>
            </w:r>
          </w:p>
        </w:tc>
        <w:tc>
          <w:tcPr>
            <w:tcW w:w="1559" w:type="dxa"/>
            <w:tcBorders>
              <w:top w:val="nil"/>
              <w:left w:val="nil"/>
              <w:bottom w:val="single" w:color="auto" w:sz="4" w:space="0"/>
              <w:right w:val="single" w:color="auto" w:sz="4" w:space="0"/>
            </w:tcBorders>
            <w:shd w:val="clear" w:color="000000" w:fill="FFFFFF"/>
            <w:vAlign w:val="center"/>
          </w:tcPr>
          <w:p>
            <w:pPr>
              <w:jc w:val="center"/>
              <w:rPr>
                <w:rFonts w:ascii="宋体" w:hAnsi="宋体" w:cs="宋体"/>
                <w:sz w:val="24"/>
              </w:rPr>
            </w:pPr>
          </w:p>
        </w:tc>
        <w:tc>
          <w:tcPr>
            <w:tcW w:w="2268" w:type="dxa"/>
            <w:tcBorders>
              <w:top w:val="nil"/>
              <w:left w:val="nil"/>
              <w:bottom w:val="single" w:color="auto" w:sz="4" w:space="0"/>
              <w:right w:val="single" w:color="auto" w:sz="8" w:space="0"/>
            </w:tcBorders>
            <w:shd w:val="clear" w:color="000000" w:fill="FFFFFF"/>
            <w:vAlign w:val="center"/>
          </w:tcPr>
          <w:p>
            <w:pPr>
              <w:jc w:val="left"/>
              <w:rPr>
                <w:rFonts w:ascii="宋体" w:hAnsi="宋体" w:cs="宋体"/>
                <w:sz w:val="24"/>
              </w:rPr>
            </w:pPr>
          </w:p>
        </w:tc>
      </w:tr>
      <w:tr>
        <w:tblPrEx>
          <w:tblCellMar>
            <w:top w:w="0" w:type="dxa"/>
            <w:left w:w="108" w:type="dxa"/>
            <w:bottom w:w="0" w:type="dxa"/>
            <w:right w:w="108" w:type="dxa"/>
          </w:tblCellMar>
        </w:tblPrEx>
        <w:trPr>
          <w:trHeight w:val="285" w:hRule="atLeast"/>
        </w:trPr>
        <w:tc>
          <w:tcPr>
            <w:tcW w:w="0" w:type="auto"/>
            <w:tcBorders>
              <w:top w:val="nil"/>
              <w:left w:val="single" w:color="auto" w:sz="8" w:space="0"/>
              <w:bottom w:val="single" w:color="auto" w:sz="4" w:space="0"/>
              <w:right w:val="single" w:color="auto" w:sz="4" w:space="0"/>
            </w:tcBorders>
            <w:shd w:val="clear" w:color="000000" w:fill="FFFFFF"/>
            <w:vAlign w:val="center"/>
          </w:tcPr>
          <w:p>
            <w:pPr>
              <w:jc w:val="center"/>
              <w:rPr>
                <w:rFonts w:ascii="宋体" w:hAnsi="宋体" w:cs="宋体"/>
                <w:sz w:val="24"/>
              </w:rPr>
            </w:pPr>
            <w:r>
              <w:rPr>
                <w:rFonts w:hint="eastAsia" w:ascii="宋体" w:hAnsi="宋体" w:cs="宋体"/>
                <w:sz w:val="24"/>
              </w:rPr>
              <w:t>四</w:t>
            </w:r>
          </w:p>
        </w:tc>
        <w:tc>
          <w:tcPr>
            <w:tcW w:w="4156" w:type="dxa"/>
            <w:gridSpan w:val="2"/>
            <w:tcBorders>
              <w:top w:val="single" w:color="auto" w:sz="4" w:space="0"/>
              <w:left w:val="nil"/>
              <w:bottom w:val="single" w:color="auto" w:sz="4" w:space="0"/>
              <w:right w:val="single" w:color="auto" w:sz="4" w:space="0"/>
            </w:tcBorders>
            <w:shd w:val="clear" w:color="000000" w:fill="FFFFFF"/>
            <w:vAlign w:val="center"/>
          </w:tcPr>
          <w:p>
            <w:pPr>
              <w:jc w:val="left"/>
              <w:rPr>
                <w:rFonts w:ascii="宋体" w:hAnsi="宋体" w:cs="宋体"/>
                <w:sz w:val="24"/>
              </w:rPr>
            </w:pPr>
            <w:r>
              <w:rPr>
                <w:rFonts w:hint="eastAsia" w:ascii="宋体" w:hAnsi="宋体" w:cs="宋体"/>
                <w:sz w:val="24"/>
              </w:rPr>
              <w:t>税金</w:t>
            </w:r>
          </w:p>
        </w:tc>
        <w:tc>
          <w:tcPr>
            <w:tcW w:w="1559" w:type="dxa"/>
            <w:tcBorders>
              <w:top w:val="nil"/>
              <w:left w:val="nil"/>
              <w:bottom w:val="single" w:color="auto" w:sz="4" w:space="0"/>
              <w:right w:val="single" w:color="auto" w:sz="4" w:space="0"/>
            </w:tcBorders>
            <w:shd w:val="clear" w:color="000000" w:fill="FFFFFF"/>
            <w:vAlign w:val="center"/>
          </w:tcPr>
          <w:p>
            <w:pPr>
              <w:jc w:val="center"/>
              <w:rPr>
                <w:rFonts w:ascii="宋体" w:hAnsi="宋体" w:cs="宋体"/>
                <w:sz w:val="24"/>
              </w:rPr>
            </w:pPr>
          </w:p>
        </w:tc>
        <w:tc>
          <w:tcPr>
            <w:tcW w:w="2268" w:type="dxa"/>
            <w:tcBorders>
              <w:top w:val="nil"/>
              <w:left w:val="nil"/>
              <w:bottom w:val="single" w:color="auto" w:sz="4" w:space="0"/>
              <w:right w:val="single" w:color="auto" w:sz="8" w:space="0"/>
            </w:tcBorders>
            <w:shd w:val="clear" w:color="000000" w:fill="FFFFFF"/>
            <w:vAlign w:val="center"/>
          </w:tcPr>
          <w:p>
            <w:pPr>
              <w:jc w:val="left"/>
              <w:rPr>
                <w:rFonts w:ascii="宋体" w:hAnsi="宋体" w:cs="宋体"/>
                <w:sz w:val="24"/>
              </w:rPr>
            </w:pPr>
          </w:p>
        </w:tc>
      </w:tr>
      <w:tr>
        <w:tblPrEx>
          <w:tblCellMar>
            <w:top w:w="0" w:type="dxa"/>
            <w:left w:w="108" w:type="dxa"/>
            <w:bottom w:w="0" w:type="dxa"/>
            <w:right w:w="108" w:type="dxa"/>
          </w:tblCellMar>
        </w:tblPrEx>
        <w:trPr>
          <w:trHeight w:val="285" w:hRule="atLeast"/>
        </w:trPr>
        <w:tc>
          <w:tcPr>
            <w:tcW w:w="0" w:type="auto"/>
            <w:tcBorders>
              <w:top w:val="nil"/>
              <w:left w:val="single" w:color="auto" w:sz="8" w:space="0"/>
              <w:bottom w:val="single" w:color="auto" w:sz="4" w:space="0"/>
              <w:right w:val="single" w:color="auto" w:sz="4" w:space="0"/>
            </w:tcBorders>
            <w:shd w:val="clear" w:color="000000" w:fill="FFFFFF"/>
            <w:vAlign w:val="center"/>
          </w:tcPr>
          <w:p>
            <w:pPr>
              <w:jc w:val="center"/>
              <w:rPr>
                <w:rFonts w:ascii="宋体" w:hAnsi="宋体" w:cs="宋体"/>
                <w:sz w:val="24"/>
              </w:rPr>
            </w:pPr>
          </w:p>
        </w:tc>
        <w:tc>
          <w:tcPr>
            <w:tcW w:w="4156" w:type="dxa"/>
            <w:gridSpan w:val="2"/>
            <w:tcBorders>
              <w:top w:val="single" w:color="auto" w:sz="4" w:space="0"/>
              <w:left w:val="nil"/>
              <w:bottom w:val="single" w:color="auto" w:sz="4" w:space="0"/>
              <w:right w:val="single" w:color="auto" w:sz="4" w:space="0"/>
            </w:tcBorders>
            <w:shd w:val="clear" w:color="000000" w:fill="FFFFFF"/>
            <w:vAlign w:val="center"/>
          </w:tcPr>
          <w:p>
            <w:pPr>
              <w:jc w:val="left"/>
              <w:rPr>
                <w:rFonts w:ascii="宋体" w:hAnsi="宋体" w:cs="宋体"/>
                <w:sz w:val="24"/>
              </w:rPr>
            </w:pPr>
            <w:r>
              <w:rPr>
                <w:rFonts w:hint="eastAsia" w:ascii="宋体" w:hAnsi="宋体" w:cs="宋体"/>
                <w:b/>
                <w:bCs/>
                <w:sz w:val="24"/>
              </w:rPr>
              <w:t>……</w:t>
            </w:r>
          </w:p>
        </w:tc>
        <w:tc>
          <w:tcPr>
            <w:tcW w:w="1559" w:type="dxa"/>
            <w:tcBorders>
              <w:top w:val="nil"/>
              <w:left w:val="nil"/>
              <w:bottom w:val="single" w:color="auto" w:sz="4" w:space="0"/>
              <w:right w:val="single" w:color="auto" w:sz="4" w:space="0"/>
            </w:tcBorders>
            <w:shd w:val="clear" w:color="000000" w:fill="FFFFFF"/>
            <w:vAlign w:val="center"/>
          </w:tcPr>
          <w:p>
            <w:pPr>
              <w:jc w:val="center"/>
              <w:rPr>
                <w:rFonts w:ascii="宋体" w:hAnsi="宋体" w:cs="宋体"/>
                <w:sz w:val="24"/>
              </w:rPr>
            </w:pPr>
          </w:p>
        </w:tc>
        <w:tc>
          <w:tcPr>
            <w:tcW w:w="2268" w:type="dxa"/>
            <w:tcBorders>
              <w:top w:val="nil"/>
              <w:left w:val="nil"/>
              <w:bottom w:val="single" w:color="auto" w:sz="4" w:space="0"/>
              <w:right w:val="single" w:color="auto" w:sz="8" w:space="0"/>
            </w:tcBorders>
            <w:shd w:val="clear" w:color="000000" w:fill="FFFFFF"/>
            <w:vAlign w:val="center"/>
          </w:tcPr>
          <w:p>
            <w:pPr>
              <w:jc w:val="left"/>
              <w:rPr>
                <w:rFonts w:ascii="宋体" w:hAnsi="宋体" w:cs="宋体"/>
                <w:sz w:val="24"/>
              </w:rPr>
            </w:pPr>
          </w:p>
        </w:tc>
      </w:tr>
      <w:tr>
        <w:tblPrEx>
          <w:tblCellMar>
            <w:top w:w="0" w:type="dxa"/>
            <w:left w:w="108" w:type="dxa"/>
            <w:bottom w:w="0" w:type="dxa"/>
            <w:right w:w="108" w:type="dxa"/>
          </w:tblCellMar>
        </w:tblPrEx>
        <w:trPr>
          <w:trHeight w:val="285" w:hRule="atLeast"/>
        </w:trPr>
        <w:tc>
          <w:tcPr>
            <w:tcW w:w="0" w:type="auto"/>
            <w:tcBorders>
              <w:top w:val="nil"/>
              <w:left w:val="single" w:color="auto" w:sz="8" w:space="0"/>
              <w:bottom w:val="single" w:color="auto" w:sz="4" w:space="0"/>
              <w:right w:val="single" w:color="auto" w:sz="4" w:space="0"/>
            </w:tcBorders>
            <w:shd w:val="clear" w:color="000000" w:fill="FFFFFF"/>
            <w:vAlign w:val="center"/>
          </w:tcPr>
          <w:p>
            <w:pPr>
              <w:jc w:val="center"/>
              <w:rPr>
                <w:rFonts w:ascii="宋体" w:hAnsi="宋体" w:cs="宋体"/>
                <w:sz w:val="24"/>
              </w:rPr>
            </w:pPr>
          </w:p>
        </w:tc>
        <w:tc>
          <w:tcPr>
            <w:tcW w:w="4156" w:type="dxa"/>
            <w:gridSpan w:val="2"/>
            <w:tcBorders>
              <w:top w:val="single" w:color="auto" w:sz="4" w:space="0"/>
              <w:left w:val="nil"/>
              <w:bottom w:val="single" w:color="auto" w:sz="4" w:space="0"/>
              <w:right w:val="single" w:color="auto" w:sz="4" w:space="0"/>
            </w:tcBorders>
            <w:shd w:val="clear" w:color="000000" w:fill="FFFFFF"/>
            <w:vAlign w:val="center"/>
          </w:tcPr>
          <w:p>
            <w:pPr>
              <w:jc w:val="center"/>
              <w:rPr>
                <w:rFonts w:ascii="宋体" w:hAnsi="宋体" w:cs="宋体"/>
                <w:b/>
                <w:bCs/>
                <w:sz w:val="24"/>
              </w:rPr>
            </w:pPr>
            <w:r>
              <w:rPr>
                <w:rFonts w:hint="eastAsia" w:ascii="宋体" w:hAnsi="宋体" w:cs="宋体"/>
                <w:b/>
                <w:bCs/>
                <w:sz w:val="24"/>
              </w:rPr>
              <w:t>合计(元)</w:t>
            </w:r>
          </w:p>
        </w:tc>
        <w:tc>
          <w:tcPr>
            <w:tcW w:w="1559" w:type="dxa"/>
            <w:tcBorders>
              <w:top w:val="nil"/>
              <w:left w:val="nil"/>
              <w:bottom w:val="single" w:color="auto" w:sz="4" w:space="0"/>
              <w:right w:val="single" w:color="auto" w:sz="4" w:space="0"/>
            </w:tcBorders>
            <w:shd w:val="clear" w:color="000000" w:fill="FFFFFF"/>
            <w:vAlign w:val="center"/>
          </w:tcPr>
          <w:p>
            <w:pPr>
              <w:jc w:val="center"/>
              <w:rPr>
                <w:rFonts w:ascii="宋体" w:hAnsi="宋体" w:cs="宋体"/>
                <w:b/>
                <w:bCs/>
                <w:sz w:val="24"/>
              </w:rPr>
            </w:pPr>
          </w:p>
        </w:tc>
        <w:tc>
          <w:tcPr>
            <w:tcW w:w="2268" w:type="dxa"/>
            <w:tcBorders>
              <w:top w:val="nil"/>
              <w:left w:val="nil"/>
              <w:bottom w:val="single" w:color="auto" w:sz="4" w:space="0"/>
              <w:right w:val="single" w:color="auto" w:sz="8" w:space="0"/>
            </w:tcBorders>
            <w:shd w:val="clear" w:color="000000" w:fill="FFFFFF"/>
            <w:vAlign w:val="center"/>
          </w:tcPr>
          <w:p>
            <w:pPr>
              <w:jc w:val="center"/>
              <w:rPr>
                <w:rFonts w:ascii="宋体" w:hAnsi="宋体" w:cs="宋体"/>
                <w:sz w:val="24"/>
              </w:rPr>
            </w:pPr>
            <w:r>
              <w:rPr>
                <w:rFonts w:hint="eastAsia" w:ascii="宋体" w:hAnsi="宋体" w:cs="宋体"/>
                <w:sz w:val="24"/>
              </w:rPr>
              <w:t>以上各项之和</w:t>
            </w:r>
          </w:p>
        </w:tc>
      </w:tr>
    </w:tbl>
    <w:p>
      <w:pPr>
        <w:pStyle w:val="4"/>
        <w:spacing w:before="120" w:after="120"/>
        <w:rPr>
          <w:rFonts w:ascii="Times New Roman" w:hAnsi="Times New Roman"/>
          <w:b w:val="0"/>
          <w:bCs w:val="0"/>
          <w:sz w:val="24"/>
          <w:szCs w:val="24"/>
        </w:rPr>
      </w:pPr>
      <w:r>
        <w:rPr>
          <w:rFonts w:hint="eastAsia" w:ascii="Times New Roman" w:hAnsi="Times New Roman"/>
          <w:b w:val="0"/>
          <w:bCs w:val="0"/>
          <w:sz w:val="24"/>
          <w:szCs w:val="24"/>
        </w:rPr>
        <w:t>（本表为参考模板，供应商可根据实际需求进行修改）</w:t>
      </w:r>
    </w:p>
    <w:p>
      <w:pPr>
        <w:rPr>
          <w:rFonts w:eastAsia="黑体"/>
          <w:kern w:val="2"/>
          <w:sz w:val="32"/>
          <w:szCs w:val="32"/>
        </w:rPr>
      </w:pPr>
      <w:r>
        <w:br w:type="page"/>
      </w:r>
    </w:p>
    <w:p>
      <w:pPr>
        <w:keepNext/>
        <w:keepLines/>
        <w:widowControl w:val="0"/>
        <w:adjustRightInd w:val="0"/>
        <w:spacing w:before="260" w:after="260"/>
        <w:jc w:val="center"/>
        <w:textAlignment w:val="baseline"/>
        <w:outlineLvl w:val="1"/>
        <w:rPr>
          <w:rFonts w:ascii="宋体" w:hAnsi="宋体"/>
          <w:b/>
          <w:bCs/>
          <w:kern w:val="2"/>
          <w:sz w:val="32"/>
          <w:szCs w:val="32"/>
        </w:rPr>
      </w:pPr>
      <w:r>
        <w:rPr>
          <w:rFonts w:hint="eastAsia" w:ascii="宋体" w:hAnsi="宋体"/>
          <w:b/>
          <w:bCs/>
          <w:kern w:val="2"/>
          <w:sz w:val="32"/>
          <w:szCs w:val="32"/>
        </w:rPr>
        <w:t>八、</w:t>
      </w:r>
      <w:r>
        <w:rPr>
          <w:rFonts w:ascii="宋体" w:hAnsi="宋体"/>
          <w:b/>
          <w:bCs/>
          <w:kern w:val="2"/>
          <w:sz w:val="32"/>
          <w:szCs w:val="32"/>
        </w:rPr>
        <w:t>实质性响应条款响应情况</w:t>
      </w:r>
    </w:p>
    <w:tbl>
      <w:tblPr>
        <w:tblStyle w:val="32"/>
        <w:tblW w:w="949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
        <w:gridCol w:w="4634"/>
        <w:gridCol w:w="39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930" w:type="dxa"/>
            <w:noWrap/>
          </w:tcPr>
          <w:p>
            <w:pPr>
              <w:adjustRightInd w:val="0"/>
              <w:snapToGrid w:val="0"/>
              <w:spacing w:line="360" w:lineRule="auto"/>
              <w:jc w:val="center"/>
              <w:rPr>
                <w:color w:val="000000"/>
                <w:sz w:val="24"/>
              </w:rPr>
            </w:pPr>
            <w:r>
              <w:rPr>
                <w:color w:val="000000"/>
                <w:sz w:val="24"/>
              </w:rPr>
              <w:t>序号</w:t>
            </w:r>
          </w:p>
        </w:tc>
        <w:tc>
          <w:tcPr>
            <w:tcW w:w="4634" w:type="dxa"/>
            <w:noWrap/>
          </w:tcPr>
          <w:p>
            <w:pPr>
              <w:adjustRightInd w:val="0"/>
              <w:snapToGrid w:val="0"/>
              <w:spacing w:line="360" w:lineRule="auto"/>
              <w:jc w:val="center"/>
              <w:rPr>
                <w:color w:val="000000"/>
                <w:sz w:val="24"/>
              </w:rPr>
            </w:pPr>
            <w:r>
              <w:rPr>
                <w:color w:val="000000"/>
                <w:sz w:val="24"/>
              </w:rPr>
              <w:t>采购人要求内容</w:t>
            </w:r>
          </w:p>
        </w:tc>
        <w:tc>
          <w:tcPr>
            <w:tcW w:w="3926" w:type="dxa"/>
            <w:noWrap/>
          </w:tcPr>
          <w:p>
            <w:pPr>
              <w:adjustRightInd w:val="0"/>
              <w:snapToGrid w:val="0"/>
              <w:spacing w:line="360" w:lineRule="auto"/>
              <w:jc w:val="center"/>
              <w:rPr>
                <w:color w:val="000000"/>
                <w:sz w:val="24"/>
              </w:rPr>
            </w:pPr>
            <w:r>
              <w:rPr>
                <w:color w:val="000000"/>
                <w:sz w:val="24"/>
              </w:rPr>
              <w:t>投标人响应情况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trPr>
        <w:tc>
          <w:tcPr>
            <w:tcW w:w="930" w:type="dxa"/>
            <w:noWrap/>
          </w:tcPr>
          <w:p>
            <w:pPr>
              <w:adjustRightInd w:val="0"/>
              <w:snapToGrid w:val="0"/>
              <w:spacing w:line="360" w:lineRule="auto"/>
              <w:jc w:val="left"/>
              <w:rPr>
                <w:color w:val="000000"/>
                <w:sz w:val="24"/>
              </w:rPr>
            </w:pPr>
            <w:r>
              <w:rPr>
                <w:color w:val="000000"/>
                <w:sz w:val="24"/>
              </w:rPr>
              <w:t>1</w:t>
            </w:r>
          </w:p>
        </w:tc>
        <w:tc>
          <w:tcPr>
            <w:tcW w:w="4634" w:type="dxa"/>
            <w:noWrap/>
          </w:tcPr>
          <w:p>
            <w:pPr>
              <w:adjustRightInd w:val="0"/>
              <w:snapToGrid w:val="0"/>
              <w:spacing w:line="360" w:lineRule="auto"/>
              <w:jc w:val="left"/>
              <w:rPr>
                <w:color w:val="000000"/>
                <w:sz w:val="24"/>
              </w:rPr>
            </w:pPr>
            <w:r>
              <w:rPr>
                <w:rFonts w:hint="eastAsia"/>
                <w:kern w:val="2"/>
                <w:szCs w:val="24"/>
              </w:rPr>
              <w:t>服务期限：签订合同后一年。本项目为长期服务项目，第一年服务期满前，由采购方依据中标方履约情况确定是否延长合同期限，合同每年一签，但最长不超过三年。</w:t>
            </w:r>
          </w:p>
        </w:tc>
        <w:tc>
          <w:tcPr>
            <w:tcW w:w="3926" w:type="dxa"/>
            <w:noWrap/>
          </w:tcPr>
          <w:p>
            <w:pPr>
              <w:adjustRightInd w:val="0"/>
              <w:snapToGrid w:val="0"/>
              <w:spacing w:line="360" w:lineRule="auto"/>
              <w:jc w:val="left"/>
              <w:rPr>
                <w:color w:val="000000"/>
                <w:sz w:val="24"/>
              </w:rPr>
            </w:pPr>
          </w:p>
        </w:tc>
      </w:tr>
    </w:tbl>
    <w:p>
      <w:pPr>
        <w:keepNext/>
        <w:keepLines/>
        <w:tabs>
          <w:tab w:val="left" w:pos="765"/>
        </w:tabs>
        <w:spacing w:before="280" w:after="290" w:line="376" w:lineRule="auto"/>
        <w:jc w:val="left"/>
        <w:outlineLvl w:val="3"/>
        <w:rPr>
          <w:rFonts w:eastAsia="黑体"/>
          <w:bCs/>
          <w:color w:val="000000"/>
          <w:sz w:val="24"/>
          <w:szCs w:val="24"/>
        </w:rPr>
      </w:pPr>
      <w:r>
        <w:rPr>
          <w:rFonts w:eastAsia="黑体"/>
          <w:bCs/>
          <w:color w:val="000000"/>
          <w:sz w:val="24"/>
          <w:szCs w:val="24"/>
        </w:rPr>
        <w:t>注：1.上表所列内容为不可负偏离条款。</w:t>
      </w:r>
    </w:p>
    <w:p>
      <w:pPr>
        <w:keepNext/>
        <w:keepLines/>
        <w:tabs>
          <w:tab w:val="left" w:pos="765"/>
        </w:tabs>
        <w:spacing w:before="280" w:after="290" w:line="376" w:lineRule="auto"/>
        <w:jc w:val="left"/>
        <w:outlineLvl w:val="3"/>
        <w:rPr>
          <w:rFonts w:eastAsia="黑体"/>
          <w:bCs/>
          <w:color w:val="000000"/>
          <w:sz w:val="24"/>
          <w:szCs w:val="24"/>
        </w:rPr>
      </w:pPr>
      <w:r>
        <w:rPr>
          <w:rFonts w:eastAsia="黑体"/>
          <w:bCs/>
          <w:color w:val="000000"/>
          <w:sz w:val="24"/>
          <w:szCs w:val="24"/>
        </w:rPr>
        <w:t>2.“投标人响应情况”一栏应如实填写“响应”或“不响应”。</w:t>
      </w:r>
    </w:p>
    <w:p>
      <w:pPr>
        <w:pStyle w:val="4"/>
        <w:spacing w:before="120" w:after="120"/>
        <w:jc w:val="center"/>
      </w:pPr>
      <w:r>
        <w:rPr>
          <w:rFonts w:ascii="Times New Roman" w:hAnsi="Times New Roman" w:eastAsia="宋体"/>
          <w:b w:val="0"/>
          <w:bCs w:val="0"/>
          <w:color w:val="000000"/>
          <w:kern w:val="0"/>
          <w:sz w:val="24"/>
          <w:szCs w:val="24"/>
        </w:rPr>
        <w:t>3. “实质性响应条款响应情况”与投标文件其它内容冲突的，以“实质性响应条款响应情况”为准。</w:t>
      </w:r>
    </w:p>
    <w:p>
      <w:pPr>
        <w:keepNext/>
        <w:keepLines/>
        <w:widowControl w:val="0"/>
        <w:adjustRightInd w:val="0"/>
        <w:spacing w:before="260" w:after="260"/>
        <w:jc w:val="center"/>
        <w:textAlignment w:val="baseline"/>
        <w:outlineLvl w:val="1"/>
        <w:rPr>
          <w:bCs/>
          <w:sz w:val="24"/>
        </w:rPr>
      </w:pPr>
      <w:r>
        <w:rPr>
          <w:sz w:val="24"/>
          <w:szCs w:val="24"/>
        </w:rPr>
        <w:br w:type="page"/>
      </w:r>
      <w:r>
        <w:rPr>
          <w:rFonts w:hint="eastAsia" w:ascii="宋体" w:hAnsi="宋体"/>
          <w:b/>
          <w:bCs/>
          <w:kern w:val="2"/>
          <w:sz w:val="32"/>
          <w:szCs w:val="32"/>
        </w:rPr>
        <w:t>九</w:t>
      </w:r>
      <w:r>
        <w:rPr>
          <w:rFonts w:ascii="宋体" w:hAnsi="宋体"/>
          <w:b/>
          <w:bCs/>
          <w:kern w:val="2"/>
          <w:sz w:val="32"/>
          <w:szCs w:val="32"/>
        </w:rPr>
        <w:t>、供应商情况介绍</w:t>
      </w:r>
    </w:p>
    <w:p>
      <w:pPr>
        <w:adjustRightInd w:val="0"/>
        <w:snapToGrid w:val="0"/>
        <w:spacing w:line="360" w:lineRule="auto"/>
        <w:rPr>
          <w:bCs/>
          <w:sz w:val="24"/>
        </w:rPr>
      </w:pPr>
      <w:r>
        <w:rPr>
          <w:bCs/>
          <w:sz w:val="24"/>
        </w:rPr>
        <w:t>（一）供应商一览表</w:t>
      </w:r>
    </w:p>
    <w:tbl>
      <w:tblPr>
        <w:tblStyle w:val="3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824"/>
        <w:gridCol w:w="3738"/>
        <w:gridCol w:w="24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tcPr>
          <w:p>
            <w:pPr>
              <w:adjustRightInd w:val="0"/>
              <w:snapToGrid w:val="0"/>
              <w:spacing w:line="360" w:lineRule="auto"/>
              <w:rPr>
                <w:bCs/>
                <w:sz w:val="24"/>
              </w:rPr>
            </w:pPr>
            <w:r>
              <w:rPr>
                <w:bCs/>
                <w:sz w:val="24"/>
              </w:rPr>
              <w:t>序号</w:t>
            </w:r>
          </w:p>
        </w:tc>
        <w:tc>
          <w:tcPr>
            <w:tcW w:w="2824" w:type="dxa"/>
            <w:noWrap/>
          </w:tcPr>
          <w:p>
            <w:pPr>
              <w:adjustRightInd w:val="0"/>
              <w:snapToGrid w:val="0"/>
              <w:spacing w:line="360" w:lineRule="auto"/>
              <w:rPr>
                <w:bCs/>
                <w:sz w:val="24"/>
              </w:rPr>
            </w:pPr>
            <w:r>
              <w:rPr>
                <w:bCs/>
                <w:sz w:val="24"/>
              </w:rPr>
              <w:t>项目</w:t>
            </w:r>
          </w:p>
        </w:tc>
        <w:tc>
          <w:tcPr>
            <w:tcW w:w="3738" w:type="dxa"/>
            <w:noWrap/>
          </w:tcPr>
          <w:p>
            <w:pPr>
              <w:adjustRightInd w:val="0"/>
              <w:snapToGrid w:val="0"/>
              <w:spacing w:line="360" w:lineRule="auto"/>
              <w:rPr>
                <w:bCs/>
                <w:sz w:val="24"/>
              </w:rPr>
            </w:pPr>
            <w:r>
              <w:rPr>
                <w:bCs/>
                <w:sz w:val="24"/>
              </w:rPr>
              <w:t>内容及说明</w:t>
            </w:r>
          </w:p>
        </w:tc>
        <w:tc>
          <w:tcPr>
            <w:tcW w:w="2464" w:type="dxa"/>
            <w:noWrap/>
          </w:tcPr>
          <w:p>
            <w:pPr>
              <w:adjustRightInd w:val="0"/>
              <w:snapToGrid w:val="0"/>
              <w:spacing w:line="360" w:lineRule="auto"/>
              <w:rPr>
                <w:bCs/>
                <w:sz w:val="24"/>
              </w:rPr>
            </w:pPr>
            <w:r>
              <w:rPr>
                <w:bCs/>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828" w:type="dxa"/>
            <w:vMerge w:val="restart"/>
            <w:noWrap/>
          </w:tcPr>
          <w:p>
            <w:pPr>
              <w:adjustRightInd w:val="0"/>
              <w:snapToGrid w:val="0"/>
              <w:spacing w:line="360" w:lineRule="auto"/>
              <w:rPr>
                <w:bCs/>
                <w:sz w:val="24"/>
              </w:rPr>
            </w:pPr>
            <w:r>
              <w:rPr>
                <w:bCs/>
                <w:sz w:val="24"/>
              </w:rPr>
              <w:t>一</w:t>
            </w:r>
          </w:p>
        </w:tc>
        <w:tc>
          <w:tcPr>
            <w:tcW w:w="2824" w:type="dxa"/>
            <w:noWrap/>
          </w:tcPr>
          <w:p>
            <w:pPr>
              <w:adjustRightInd w:val="0"/>
              <w:snapToGrid w:val="0"/>
              <w:spacing w:line="360" w:lineRule="auto"/>
              <w:rPr>
                <w:bCs/>
                <w:sz w:val="24"/>
              </w:rPr>
            </w:pPr>
            <w:r>
              <w:rPr>
                <w:bCs/>
                <w:sz w:val="24"/>
              </w:rPr>
              <w:t>营业执照</w:t>
            </w:r>
          </w:p>
        </w:tc>
        <w:tc>
          <w:tcPr>
            <w:tcW w:w="3738" w:type="dxa"/>
            <w:noWrap/>
          </w:tcPr>
          <w:p>
            <w:pPr>
              <w:adjustRightInd w:val="0"/>
              <w:snapToGrid w:val="0"/>
              <w:spacing w:line="360" w:lineRule="auto"/>
              <w:rPr>
                <w:bCs/>
                <w:sz w:val="24"/>
              </w:rPr>
            </w:pPr>
          </w:p>
        </w:tc>
        <w:tc>
          <w:tcPr>
            <w:tcW w:w="2464" w:type="dxa"/>
            <w:vMerge w:val="restart"/>
            <w:noWrap/>
          </w:tcPr>
          <w:p>
            <w:pPr>
              <w:adjustRightInd w:val="0"/>
              <w:snapToGrid w:val="0"/>
              <w:spacing w:line="360" w:lineRule="auto"/>
              <w:rPr>
                <w:bCs/>
                <w:sz w:val="24"/>
              </w:rPr>
            </w:pPr>
            <w:r>
              <w:rPr>
                <w:bCs/>
                <w:sz w:val="24"/>
              </w:rPr>
              <w:t>提供复印件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828" w:type="dxa"/>
            <w:vMerge w:val="continue"/>
            <w:noWrap/>
          </w:tcPr>
          <w:p>
            <w:pPr>
              <w:adjustRightInd w:val="0"/>
              <w:snapToGrid w:val="0"/>
              <w:spacing w:line="360" w:lineRule="auto"/>
              <w:rPr>
                <w:bCs/>
                <w:sz w:val="24"/>
              </w:rPr>
            </w:pPr>
          </w:p>
        </w:tc>
        <w:tc>
          <w:tcPr>
            <w:tcW w:w="2824" w:type="dxa"/>
            <w:noWrap/>
          </w:tcPr>
          <w:p>
            <w:pPr>
              <w:adjustRightInd w:val="0"/>
              <w:snapToGrid w:val="0"/>
              <w:spacing w:line="360" w:lineRule="auto"/>
              <w:rPr>
                <w:bCs/>
                <w:sz w:val="24"/>
              </w:rPr>
            </w:pPr>
            <w:r>
              <w:rPr>
                <w:bCs/>
                <w:sz w:val="24"/>
              </w:rPr>
              <w:t>1.注册年度及注册编号</w:t>
            </w:r>
          </w:p>
        </w:tc>
        <w:tc>
          <w:tcPr>
            <w:tcW w:w="3738" w:type="dxa"/>
            <w:noWrap/>
          </w:tcPr>
          <w:p>
            <w:pPr>
              <w:adjustRightInd w:val="0"/>
              <w:snapToGrid w:val="0"/>
              <w:spacing w:line="360" w:lineRule="auto"/>
              <w:rPr>
                <w:bCs/>
                <w:sz w:val="24"/>
              </w:rPr>
            </w:pPr>
          </w:p>
        </w:tc>
        <w:tc>
          <w:tcPr>
            <w:tcW w:w="2464" w:type="dxa"/>
            <w:vMerge w:val="continue"/>
            <w:noWrap/>
          </w:tcPr>
          <w:p>
            <w:pPr>
              <w:adjustRightInd w:val="0"/>
              <w:snapToGrid w:val="0"/>
              <w:spacing w:line="360" w:lineRule="auto"/>
              <w:rPr>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828" w:type="dxa"/>
            <w:vMerge w:val="continue"/>
            <w:noWrap/>
          </w:tcPr>
          <w:p>
            <w:pPr>
              <w:adjustRightInd w:val="0"/>
              <w:snapToGrid w:val="0"/>
              <w:spacing w:line="360" w:lineRule="auto"/>
              <w:rPr>
                <w:bCs/>
                <w:sz w:val="24"/>
              </w:rPr>
            </w:pPr>
          </w:p>
        </w:tc>
        <w:tc>
          <w:tcPr>
            <w:tcW w:w="2824" w:type="dxa"/>
            <w:noWrap/>
          </w:tcPr>
          <w:p>
            <w:pPr>
              <w:adjustRightInd w:val="0"/>
              <w:snapToGrid w:val="0"/>
              <w:spacing w:line="360" w:lineRule="auto"/>
              <w:rPr>
                <w:bCs/>
                <w:sz w:val="24"/>
              </w:rPr>
            </w:pPr>
            <w:r>
              <w:rPr>
                <w:bCs/>
                <w:sz w:val="24"/>
              </w:rPr>
              <w:t>2.注册资金（万元）：</w:t>
            </w:r>
          </w:p>
        </w:tc>
        <w:tc>
          <w:tcPr>
            <w:tcW w:w="3738" w:type="dxa"/>
            <w:noWrap/>
          </w:tcPr>
          <w:p>
            <w:pPr>
              <w:adjustRightInd w:val="0"/>
              <w:snapToGrid w:val="0"/>
              <w:spacing w:line="360" w:lineRule="auto"/>
              <w:rPr>
                <w:bCs/>
                <w:sz w:val="24"/>
              </w:rPr>
            </w:pPr>
          </w:p>
        </w:tc>
        <w:tc>
          <w:tcPr>
            <w:tcW w:w="2464" w:type="dxa"/>
            <w:vMerge w:val="continue"/>
            <w:noWrap/>
          </w:tcPr>
          <w:p>
            <w:pPr>
              <w:adjustRightInd w:val="0"/>
              <w:snapToGrid w:val="0"/>
              <w:spacing w:line="360" w:lineRule="auto"/>
              <w:rPr>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828" w:type="dxa"/>
            <w:vMerge w:val="continue"/>
            <w:noWrap/>
          </w:tcPr>
          <w:p>
            <w:pPr>
              <w:adjustRightInd w:val="0"/>
              <w:snapToGrid w:val="0"/>
              <w:spacing w:line="360" w:lineRule="auto"/>
              <w:rPr>
                <w:bCs/>
                <w:sz w:val="24"/>
              </w:rPr>
            </w:pPr>
          </w:p>
        </w:tc>
        <w:tc>
          <w:tcPr>
            <w:tcW w:w="2824" w:type="dxa"/>
            <w:noWrap/>
          </w:tcPr>
          <w:p>
            <w:pPr>
              <w:adjustRightInd w:val="0"/>
              <w:snapToGrid w:val="0"/>
              <w:spacing w:line="360" w:lineRule="auto"/>
              <w:rPr>
                <w:bCs/>
                <w:sz w:val="24"/>
              </w:rPr>
            </w:pPr>
            <w:r>
              <w:rPr>
                <w:bCs/>
                <w:sz w:val="24"/>
              </w:rPr>
              <w:t>3.经营场所：</w:t>
            </w:r>
          </w:p>
        </w:tc>
        <w:tc>
          <w:tcPr>
            <w:tcW w:w="3738" w:type="dxa"/>
            <w:noWrap/>
          </w:tcPr>
          <w:p>
            <w:pPr>
              <w:adjustRightInd w:val="0"/>
              <w:snapToGrid w:val="0"/>
              <w:spacing w:line="360" w:lineRule="auto"/>
              <w:rPr>
                <w:bCs/>
                <w:sz w:val="24"/>
              </w:rPr>
            </w:pPr>
          </w:p>
        </w:tc>
        <w:tc>
          <w:tcPr>
            <w:tcW w:w="2464" w:type="dxa"/>
            <w:vMerge w:val="continue"/>
            <w:noWrap/>
          </w:tcPr>
          <w:p>
            <w:pPr>
              <w:adjustRightInd w:val="0"/>
              <w:snapToGrid w:val="0"/>
              <w:spacing w:line="360" w:lineRule="auto"/>
              <w:rPr>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828" w:type="dxa"/>
            <w:vMerge w:val="continue"/>
            <w:noWrap/>
          </w:tcPr>
          <w:p>
            <w:pPr>
              <w:adjustRightInd w:val="0"/>
              <w:snapToGrid w:val="0"/>
              <w:spacing w:line="360" w:lineRule="auto"/>
              <w:rPr>
                <w:bCs/>
                <w:sz w:val="24"/>
              </w:rPr>
            </w:pPr>
          </w:p>
        </w:tc>
        <w:tc>
          <w:tcPr>
            <w:tcW w:w="2824" w:type="dxa"/>
            <w:noWrap/>
          </w:tcPr>
          <w:p>
            <w:pPr>
              <w:adjustRightInd w:val="0"/>
              <w:snapToGrid w:val="0"/>
              <w:spacing w:line="360" w:lineRule="auto"/>
              <w:rPr>
                <w:bCs/>
                <w:sz w:val="24"/>
              </w:rPr>
            </w:pPr>
            <w:r>
              <w:rPr>
                <w:bCs/>
                <w:sz w:val="24"/>
              </w:rPr>
              <w:t>4.有效期</w:t>
            </w:r>
            <w:r>
              <w:rPr>
                <w:bCs/>
                <w:sz w:val="24"/>
              </w:rPr>
              <w:tab/>
            </w:r>
            <w:r>
              <w:rPr>
                <w:bCs/>
                <w:sz w:val="24"/>
              </w:rPr>
              <w:t>：</w:t>
            </w:r>
          </w:p>
        </w:tc>
        <w:tc>
          <w:tcPr>
            <w:tcW w:w="3738" w:type="dxa"/>
            <w:noWrap/>
          </w:tcPr>
          <w:p>
            <w:pPr>
              <w:adjustRightInd w:val="0"/>
              <w:snapToGrid w:val="0"/>
              <w:spacing w:line="360" w:lineRule="auto"/>
              <w:rPr>
                <w:bCs/>
                <w:sz w:val="24"/>
              </w:rPr>
            </w:pPr>
          </w:p>
        </w:tc>
        <w:tc>
          <w:tcPr>
            <w:tcW w:w="2464" w:type="dxa"/>
            <w:vMerge w:val="continue"/>
            <w:noWrap/>
          </w:tcPr>
          <w:p>
            <w:pPr>
              <w:adjustRightInd w:val="0"/>
              <w:snapToGrid w:val="0"/>
              <w:spacing w:line="360" w:lineRule="auto"/>
              <w:rPr>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Merge w:val="restart"/>
            <w:noWrap/>
          </w:tcPr>
          <w:p>
            <w:pPr>
              <w:adjustRightInd w:val="0"/>
              <w:snapToGrid w:val="0"/>
              <w:spacing w:line="360" w:lineRule="auto"/>
              <w:rPr>
                <w:bCs/>
                <w:sz w:val="24"/>
              </w:rPr>
            </w:pPr>
            <w:r>
              <w:rPr>
                <w:bCs/>
                <w:sz w:val="24"/>
              </w:rPr>
              <w:t>二</w:t>
            </w:r>
          </w:p>
        </w:tc>
        <w:tc>
          <w:tcPr>
            <w:tcW w:w="2824" w:type="dxa"/>
            <w:noWrap/>
          </w:tcPr>
          <w:p>
            <w:pPr>
              <w:adjustRightInd w:val="0"/>
              <w:snapToGrid w:val="0"/>
              <w:spacing w:line="360" w:lineRule="auto"/>
              <w:rPr>
                <w:bCs/>
                <w:sz w:val="24"/>
              </w:rPr>
            </w:pPr>
            <w:r>
              <w:rPr>
                <w:bCs/>
                <w:sz w:val="24"/>
              </w:rPr>
              <w:t>税务登记证</w:t>
            </w:r>
          </w:p>
        </w:tc>
        <w:tc>
          <w:tcPr>
            <w:tcW w:w="3738" w:type="dxa"/>
            <w:noWrap/>
          </w:tcPr>
          <w:p>
            <w:pPr>
              <w:adjustRightInd w:val="0"/>
              <w:snapToGrid w:val="0"/>
              <w:spacing w:line="360" w:lineRule="auto"/>
              <w:rPr>
                <w:bCs/>
                <w:sz w:val="24"/>
              </w:rPr>
            </w:pPr>
          </w:p>
        </w:tc>
        <w:tc>
          <w:tcPr>
            <w:tcW w:w="2464" w:type="dxa"/>
            <w:vMerge w:val="restart"/>
            <w:noWrap/>
          </w:tcPr>
          <w:p>
            <w:pPr>
              <w:adjustRightInd w:val="0"/>
              <w:snapToGrid w:val="0"/>
              <w:spacing w:line="360" w:lineRule="auto"/>
              <w:rPr>
                <w:bCs/>
                <w:sz w:val="24"/>
              </w:rPr>
            </w:pPr>
            <w:r>
              <w:rPr>
                <w:bCs/>
                <w:sz w:val="24"/>
              </w:rPr>
              <w:t>提供复印件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Merge w:val="continue"/>
            <w:noWrap/>
          </w:tcPr>
          <w:p>
            <w:pPr>
              <w:adjustRightInd w:val="0"/>
              <w:snapToGrid w:val="0"/>
              <w:spacing w:line="360" w:lineRule="auto"/>
              <w:rPr>
                <w:bCs/>
                <w:sz w:val="24"/>
              </w:rPr>
            </w:pPr>
          </w:p>
        </w:tc>
        <w:tc>
          <w:tcPr>
            <w:tcW w:w="2824" w:type="dxa"/>
            <w:noWrap/>
          </w:tcPr>
          <w:p>
            <w:pPr>
              <w:adjustRightInd w:val="0"/>
              <w:snapToGrid w:val="0"/>
              <w:spacing w:line="360" w:lineRule="auto"/>
              <w:rPr>
                <w:bCs/>
                <w:sz w:val="24"/>
              </w:rPr>
            </w:pPr>
            <w:r>
              <w:rPr>
                <w:bCs/>
                <w:sz w:val="24"/>
              </w:rPr>
              <w:t>1.税务登记证编号：</w:t>
            </w:r>
          </w:p>
        </w:tc>
        <w:tc>
          <w:tcPr>
            <w:tcW w:w="3738" w:type="dxa"/>
            <w:noWrap/>
          </w:tcPr>
          <w:p>
            <w:pPr>
              <w:adjustRightInd w:val="0"/>
              <w:snapToGrid w:val="0"/>
              <w:spacing w:line="360" w:lineRule="auto"/>
              <w:rPr>
                <w:bCs/>
                <w:sz w:val="24"/>
              </w:rPr>
            </w:pPr>
          </w:p>
        </w:tc>
        <w:tc>
          <w:tcPr>
            <w:tcW w:w="2464" w:type="dxa"/>
            <w:vMerge w:val="continue"/>
            <w:noWrap/>
          </w:tcPr>
          <w:p>
            <w:pPr>
              <w:adjustRightInd w:val="0"/>
              <w:snapToGrid w:val="0"/>
              <w:spacing w:line="360" w:lineRule="auto"/>
              <w:rPr>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tcPr>
          <w:p>
            <w:pPr>
              <w:adjustRightInd w:val="0"/>
              <w:snapToGrid w:val="0"/>
              <w:spacing w:line="360" w:lineRule="auto"/>
              <w:rPr>
                <w:bCs/>
                <w:sz w:val="24"/>
              </w:rPr>
            </w:pPr>
            <w:r>
              <w:rPr>
                <w:bCs/>
                <w:sz w:val="24"/>
              </w:rPr>
              <w:t>三</w:t>
            </w:r>
            <w:r>
              <w:rPr>
                <w:bCs/>
                <w:sz w:val="24"/>
              </w:rPr>
              <w:tab/>
            </w:r>
          </w:p>
        </w:tc>
        <w:tc>
          <w:tcPr>
            <w:tcW w:w="2824" w:type="dxa"/>
            <w:noWrap/>
          </w:tcPr>
          <w:p>
            <w:pPr>
              <w:adjustRightInd w:val="0"/>
              <w:snapToGrid w:val="0"/>
              <w:spacing w:line="360" w:lineRule="auto"/>
              <w:rPr>
                <w:bCs/>
                <w:sz w:val="24"/>
              </w:rPr>
            </w:pPr>
            <w:r>
              <w:rPr>
                <w:bCs/>
                <w:sz w:val="24"/>
              </w:rPr>
              <w:t>其他资格（质）证书</w:t>
            </w:r>
          </w:p>
        </w:tc>
        <w:tc>
          <w:tcPr>
            <w:tcW w:w="3738" w:type="dxa"/>
            <w:noWrap/>
          </w:tcPr>
          <w:p>
            <w:pPr>
              <w:adjustRightInd w:val="0"/>
              <w:snapToGrid w:val="0"/>
              <w:spacing w:line="360" w:lineRule="auto"/>
              <w:rPr>
                <w:bCs/>
                <w:sz w:val="24"/>
              </w:rPr>
            </w:pPr>
            <w:r>
              <w:rPr>
                <w:bCs/>
                <w:sz w:val="24"/>
              </w:rPr>
              <w:t>（若有其他资质证书，可按表格格式扩展</w:t>
            </w:r>
          </w:p>
        </w:tc>
        <w:tc>
          <w:tcPr>
            <w:tcW w:w="2464" w:type="dxa"/>
            <w:vMerge w:val="restart"/>
            <w:noWrap/>
          </w:tcPr>
          <w:p>
            <w:pPr>
              <w:adjustRightInd w:val="0"/>
              <w:snapToGrid w:val="0"/>
              <w:spacing w:line="360" w:lineRule="auto"/>
              <w:rPr>
                <w:bCs/>
                <w:sz w:val="24"/>
              </w:rPr>
            </w:pPr>
            <w:r>
              <w:rPr>
                <w:bCs/>
                <w:sz w:val="24"/>
              </w:rPr>
              <w:t>提供复印件</w:t>
            </w:r>
          </w:p>
          <w:p>
            <w:pPr>
              <w:adjustRightInd w:val="0"/>
              <w:snapToGrid w:val="0"/>
              <w:spacing w:line="360" w:lineRule="auto"/>
              <w:rPr>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Merge w:val="restart"/>
            <w:noWrap/>
          </w:tcPr>
          <w:p>
            <w:pPr>
              <w:adjustRightInd w:val="0"/>
              <w:snapToGrid w:val="0"/>
              <w:spacing w:line="360" w:lineRule="auto"/>
              <w:rPr>
                <w:bCs/>
                <w:sz w:val="24"/>
              </w:rPr>
            </w:pPr>
          </w:p>
        </w:tc>
        <w:tc>
          <w:tcPr>
            <w:tcW w:w="2824" w:type="dxa"/>
            <w:noWrap/>
          </w:tcPr>
          <w:p>
            <w:pPr>
              <w:adjustRightInd w:val="0"/>
              <w:snapToGrid w:val="0"/>
              <w:spacing w:line="360" w:lineRule="auto"/>
              <w:rPr>
                <w:bCs/>
                <w:sz w:val="24"/>
              </w:rPr>
            </w:pPr>
            <w:r>
              <w:rPr>
                <w:bCs/>
                <w:sz w:val="24"/>
              </w:rPr>
              <w:t>1.证书名称</w:t>
            </w:r>
            <w:r>
              <w:rPr>
                <w:bCs/>
                <w:sz w:val="24"/>
              </w:rPr>
              <w:tab/>
            </w:r>
          </w:p>
        </w:tc>
        <w:tc>
          <w:tcPr>
            <w:tcW w:w="3738" w:type="dxa"/>
            <w:noWrap/>
          </w:tcPr>
          <w:p>
            <w:pPr>
              <w:adjustRightInd w:val="0"/>
              <w:snapToGrid w:val="0"/>
              <w:spacing w:line="360" w:lineRule="auto"/>
              <w:rPr>
                <w:bCs/>
                <w:sz w:val="24"/>
              </w:rPr>
            </w:pPr>
          </w:p>
        </w:tc>
        <w:tc>
          <w:tcPr>
            <w:tcW w:w="2464" w:type="dxa"/>
            <w:vMerge w:val="continue"/>
            <w:noWrap/>
          </w:tcPr>
          <w:p>
            <w:pPr>
              <w:adjustRightInd w:val="0"/>
              <w:snapToGrid w:val="0"/>
              <w:spacing w:line="360" w:lineRule="auto"/>
              <w:rPr>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Merge w:val="continue"/>
            <w:noWrap/>
          </w:tcPr>
          <w:p>
            <w:pPr>
              <w:adjustRightInd w:val="0"/>
              <w:snapToGrid w:val="0"/>
              <w:spacing w:line="360" w:lineRule="auto"/>
              <w:rPr>
                <w:bCs/>
                <w:sz w:val="24"/>
              </w:rPr>
            </w:pPr>
          </w:p>
        </w:tc>
        <w:tc>
          <w:tcPr>
            <w:tcW w:w="2824" w:type="dxa"/>
            <w:noWrap/>
          </w:tcPr>
          <w:p>
            <w:pPr>
              <w:adjustRightInd w:val="0"/>
              <w:snapToGrid w:val="0"/>
              <w:spacing w:line="360" w:lineRule="auto"/>
              <w:rPr>
                <w:bCs/>
                <w:sz w:val="24"/>
              </w:rPr>
            </w:pPr>
            <w:r>
              <w:rPr>
                <w:bCs/>
                <w:sz w:val="24"/>
              </w:rPr>
              <w:t>2.批准单位</w:t>
            </w:r>
          </w:p>
        </w:tc>
        <w:tc>
          <w:tcPr>
            <w:tcW w:w="3738" w:type="dxa"/>
            <w:noWrap/>
          </w:tcPr>
          <w:p>
            <w:pPr>
              <w:adjustRightInd w:val="0"/>
              <w:snapToGrid w:val="0"/>
              <w:spacing w:line="360" w:lineRule="auto"/>
              <w:rPr>
                <w:bCs/>
                <w:sz w:val="24"/>
              </w:rPr>
            </w:pPr>
          </w:p>
        </w:tc>
        <w:tc>
          <w:tcPr>
            <w:tcW w:w="2464" w:type="dxa"/>
            <w:vMerge w:val="continue"/>
            <w:noWrap/>
          </w:tcPr>
          <w:p>
            <w:pPr>
              <w:adjustRightInd w:val="0"/>
              <w:snapToGrid w:val="0"/>
              <w:spacing w:line="360" w:lineRule="auto"/>
              <w:rPr>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Merge w:val="continue"/>
            <w:noWrap/>
          </w:tcPr>
          <w:p>
            <w:pPr>
              <w:adjustRightInd w:val="0"/>
              <w:snapToGrid w:val="0"/>
              <w:spacing w:line="360" w:lineRule="auto"/>
              <w:rPr>
                <w:bCs/>
                <w:sz w:val="24"/>
              </w:rPr>
            </w:pPr>
          </w:p>
        </w:tc>
        <w:tc>
          <w:tcPr>
            <w:tcW w:w="2824" w:type="dxa"/>
            <w:noWrap/>
          </w:tcPr>
          <w:p>
            <w:pPr>
              <w:adjustRightInd w:val="0"/>
              <w:snapToGrid w:val="0"/>
              <w:spacing w:line="360" w:lineRule="auto"/>
              <w:rPr>
                <w:bCs/>
                <w:sz w:val="24"/>
              </w:rPr>
            </w:pPr>
            <w:r>
              <w:rPr>
                <w:bCs/>
                <w:sz w:val="24"/>
              </w:rPr>
              <w:t>3.等级</w:t>
            </w:r>
          </w:p>
        </w:tc>
        <w:tc>
          <w:tcPr>
            <w:tcW w:w="3738" w:type="dxa"/>
            <w:noWrap/>
          </w:tcPr>
          <w:p>
            <w:pPr>
              <w:adjustRightInd w:val="0"/>
              <w:snapToGrid w:val="0"/>
              <w:spacing w:line="360" w:lineRule="auto"/>
              <w:rPr>
                <w:bCs/>
                <w:sz w:val="24"/>
              </w:rPr>
            </w:pPr>
          </w:p>
        </w:tc>
        <w:tc>
          <w:tcPr>
            <w:tcW w:w="2464" w:type="dxa"/>
            <w:vMerge w:val="continue"/>
            <w:noWrap/>
          </w:tcPr>
          <w:p>
            <w:pPr>
              <w:adjustRightInd w:val="0"/>
              <w:snapToGrid w:val="0"/>
              <w:spacing w:line="360" w:lineRule="auto"/>
              <w:rPr>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Merge w:val="continue"/>
            <w:noWrap/>
          </w:tcPr>
          <w:p>
            <w:pPr>
              <w:adjustRightInd w:val="0"/>
              <w:snapToGrid w:val="0"/>
              <w:spacing w:line="360" w:lineRule="auto"/>
              <w:rPr>
                <w:bCs/>
                <w:sz w:val="24"/>
              </w:rPr>
            </w:pPr>
          </w:p>
        </w:tc>
        <w:tc>
          <w:tcPr>
            <w:tcW w:w="2824" w:type="dxa"/>
            <w:noWrap/>
          </w:tcPr>
          <w:p>
            <w:pPr>
              <w:adjustRightInd w:val="0"/>
              <w:snapToGrid w:val="0"/>
              <w:spacing w:line="360" w:lineRule="auto"/>
              <w:rPr>
                <w:bCs/>
                <w:sz w:val="24"/>
              </w:rPr>
            </w:pPr>
            <w:r>
              <w:rPr>
                <w:bCs/>
                <w:sz w:val="24"/>
              </w:rPr>
              <w:t>4.批准时间及编号</w:t>
            </w:r>
          </w:p>
        </w:tc>
        <w:tc>
          <w:tcPr>
            <w:tcW w:w="3738" w:type="dxa"/>
            <w:noWrap/>
          </w:tcPr>
          <w:p>
            <w:pPr>
              <w:adjustRightInd w:val="0"/>
              <w:snapToGrid w:val="0"/>
              <w:spacing w:line="360" w:lineRule="auto"/>
              <w:rPr>
                <w:bCs/>
                <w:sz w:val="24"/>
              </w:rPr>
            </w:pPr>
          </w:p>
        </w:tc>
        <w:tc>
          <w:tcPr>
            <w:tcW w:w="2464" w:type="dxa"/>
            <w:vMerge w:val="continue"/>
            <w:noWrap/>
          </w:tcPr>
          <w:p>
            <w:pPr>
              <w:adjustRightInd w:val="0"/>
              <w:snapToGrid w:val="0"/>
              <w:spacing w:line="360" w:lineRule="auto"/>
              <w:rPr>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vMerge w:val="continue"/>
            <w:noWrap/>
          </w:tcPr>
          <w:p>
            <w:pPr>
              <w:adjustRightInd w:val="0"/>
              <w:snapToGrid w:val="0"/>
              <w:spacing w:line="360" w:lineRule="auto"/>
              <w:rPr>
                <w:bCs/>
                <w:sz w:val="24"/>
              </w:rPr>
            </w:pPr>
          </w:p>
        </w:tc>
        <w:tc>
          <w:tcPr>
            <w:tcW w:w="2824" w:type="dxa"/>
            <w:noWrap/>
          </w:tcPr>
          <w:p>
            <w:pPr>
              <w:adjustRightInd w:val="0"/>
              <w:snapToGrid w:val="0"/>
              <w:spacing w:line="360" w:lineRule="auto"/>
              <w:rPr>
                <w:bCs/>
                <w:sz w:val="24"/>
              </w:rPr>
            </w:pPr>
            <w:r>
              <w:rPr>
                <w:bCs/>
                <w:sz w:val="24"/>
              </w:rPr>
              <w:t>5.有效期</w:t>
            </w:r>
            <w:r>
              <w:rPr>
                <w:bCs/>
                <w:sz w:val="24"/>
              </w:rPr>
              <w:tab/>
            </w:r>
          </w:p>
        </w:tc>
        <w:tc>
          <w:tcPr>
            <w:tcW w:w="3738" w:type="dxa"/>
            <w:noWrap/>
          </w:tcPr>
          <w:p>
            <w:pPr>
              <w:adjustRightInd w:val="0"/>
              <w:snapToGrid w:val="0"/>
              <w:spacing w:line="360" w:lineRule="auto"/>
              <w:rPr>
                <w:bCs/>
                <w:sz w:val="24"/>
              </w:rPr>
            </w:pPr>
          </w:p>
        </w:tc>
        <w:tc>
          <w:tcPr>
            <w:tcW w:w="2464" w:type="dxa"/>
            <w:vMerge w:val="continue"/>
            <w:noWrap/>
          </w:tcPr>
          <w:p>
            <w:pPr>
              <w:adjustRightInd w:val="0"/>
              <w:snapToGrid w:val="0"/>
              <w:spacing w:line="360" w:lineRule="auto"/>
              <w:rPr>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tcPr>
          <w:p>
            <w:pPr>
              <w:adjustRightInd w:val="0"/>
              <w:snapToGrid w:val="0"/>
              <w:spacing w:line="360" w:lineRule="auto"/>
              <w:rPr>
                <w:bCs/>
                <w:sz w:val="24"/>
              </w:rPr>
            </w:pPr>
            <w:r>
              <w:rPr>
                <w:bCs/>
                <w:sz w:val="24"/>
              </w:rPr>
              <w:t>四</w:t>
            </w:r>
          </w:p>
        </w:tc>
        <w:tc>
          <w:tcPr>
            <w:tcW w:w="2824" w:type="dxa"/>
            <w:noWrap/>
          </w:tcPr>
          <w:p>
            <w:pPr>
              <w:adjustRightInd w:val="0"/>
              <w:snapToGrid w:val="0"/>
              <w:spacing w:line="360" w:lineRule="auto"/>
              <w:rPr>
                <w:bCs/>
                <w:sz w:val="24"/>
              </w:rPr>
            </w:pPr>
            <w:r>
              <w:rPr>
                <w:bCs/>
                <w:sz w:val="24"/>
              </w:rPr>
              <w:t>其他</w:t>
            </w:r>
          </w:p>
        </w:tc>
        <w:tc>
          <w:tcPr>
            <w:tcW w:w="3738" w:type="dxa"/>
            <w:noWrap/>
          </w:tcPr>
          <w:p>
            <w:pPr>
              <w:adjustRightInd w:val="0"/>
              <w:snapToGrid w:val="0"/>
              <w:spacing w:line="360" w:lineRule="auto"/>
              <w:rPr>
                <w:bCs/>
                <w:sz w:val="24"/>
              </w:rPr>
            </w:pPr>
            <w:r>
              <w:rPr>
                <w:bCs/>
                <w:sz w:val="24"/>
              </w:rPr>
              <w:t>投标人认为需补充的其他说明</w:t>
            </w:r>
          </w:p>
        </w:tc>
        <w:tc>
          <w:tcPr>
            <w:tcW w:w="2464" w:type="dxa"/>
            <w:noWrap/>
          </w:tcPr>
          <w:p>
            <w:pPr>
              <w:adjustRightInd w:val="0"/>
              <w:snapToGrid w:val="0"/>
              <w:spacing w:line="360" w:lineRule="auto"/>
              <w:rPr>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tcPr>
          <w:p>
            <w:pPr>
              <w:adjustRightInd w:val="0"/>
              <w:snapToGrid w:val="0"/>
              <w:spacing w:line="360" w:lineRule="auto"/>
              <w:rPr>
                <w:bCs/>
                <w:sz w:val="24"/>
              </w:rPr>
            </w:pPr>
          </w:p>
        </w:tc>
        <w:tc>
          <w:tcPr>
            <w:tcW w:w="2824" w:type="dxa"/>
            <w:noWrap/>
          </w:tcPr>
          <w:p>
            <w:pPr>
              <w:adjustRightInd w:val="0"/>
              <w:snapToGrid w:val="0"/>
              <w:spacing w:line="360" w:lineRule="auto"/>
              <w:rPr>
                <w:bCs/>
                <w:sz w:val="24"/>
              </w:rPr>
            </w:pPr>
            <w:r>
              <w:rPr>
                <w:bCs/>
                <w:sz w:val="24"/>
              </w:rPr>
              <w:t>1.……………………</w:t>
            </w:r>
          </w:p>
        </w:tc>
        <w:tc>
          <w:tcPr>
            <w:tcW w:w="3738" w:type="dxa"/>
            <w:noWrap/>
          </w:tcPr>
          <w:p>
            <w:pPr>
              <w:adjustRightInd w:val="0"/>
              <w:snapToGrid w:val="0"/>
              <w:spacing w:line="360" w:lineRule="auto"/>
              <w:rPr>
                <w:bCs/>
                <w:sz w:val="24"/>
              </w:rPr>
            </w:pPr>
          </w:p>
        </w:tc>
        <w:tc>
          <w:tcPr>
            <w:tcW w:w="2464" w:type="dxa"/>
            <w:noWrap/>
          </w:tcPr>
          <w:p>
            <w:pPr>
              <w:adjustRightInd w:val="0"/>
              <w:snapToGrid w:val="0"/>
              <w:spacing w:line="360" w:lineRule="auto"/>
              <w:rPr>
                <w:bCs/>
                <w:sz w:val="24"/>
              </w:rPr>
            </w:pPr>
          </w:p>
        </w:tc>
      </w:tr>
    </w:tbl>
    <w:p>
      <w:pPr>
        <w:adjustRightInd w:val="0"/>
        <w:snapToGrid w:val="0"/>
        <w:spacing w:line="360" w:lineRule="auto"/>
        <w:rPr>
          <w:bCs/>
          <w:sz w:val="24"/>
        </w:rPr>
      </w:pPr>
      <w:r>
        <w:rPr>
          <w:bCs/>
          <w:sz w:val="24"/>
        </w:rPr>
        <w:tab/>
      </w:r>
    </w:p>
    <w:p>
      <w:pPr>
        <w:adjustRightInd w:val="0"/>
        <w:snapToGrid w:val="0"/>
        <w:spacing w:line="360" w:lineRule="auto"/>
        <w:rPr>
          <w:bCs/>
          <w:sz w:val="24"/>
        </w:rPr>
      </w:pPr>
      <w:r>
        <w:rPr>
          <w:bCs/>
          <w:sz w:val="24"/>
        </w:rPr>
        <w:t>注：在按要求填写好此表格后，各投标单位可以用其它的方式，就公司整体情况作出详细的介绍（可以提供相应文字、照片等）。</w:t>
      </w:r>
    </w:p>
    <w:p>
      <w:pPr>
        <w:adjustRightInd w:val="0"/>
        <w:snapToGrid w:val="0"/>
        <w:spacing w:line="360" w:lineRule="auto"/>
        <w:rPr>
          <w:bCs/>
          <w:sz w:val="24"/>
        </w:rPr>
      </w:pPr>
      <w:r>
        <w:rPr>
          <w:bCs/>
          <w:sz w:val="24"/>
        </w:rPr>
        <w:t>（二）供应商资格证明文件</w:t>
      </w:r>
    </w:p>
    <w:p>
      <w:pPr>
        <w:adjustRightInd w:val="0"/>
        <w:snapToGrid w:val="0"/>
        <w:spacing w:line="360" w:lineRule="auto"/>
        <w:rPr>
          <w:bCs/>
          <w:sz w:val="24"/>
        </w:rPr>
      </w:pPr>
      <w:r>
        <w:rPr>
          <w:bCs/>
          <w:sz w:val="24"/>
        </w:rPr>
        <w:t>1. 投标人资格要求的证明文件：</w:t>
      </w:r>
    </w:p>
    <w:p>
      <w:pPr>
        <w:adjustRightInd w:val="0"/>
        <w:snapToGrid w:val="0"/>
        <w:spacing w:line="360" w:lineRule="auto"/>
        <w:rPr>
          <w:bCs/>
          <w:sz w:val="24"/>
        </w:rPr>
      </w:pPr>
      <w:r>
        <w:rPr>
          <w:bCs/>
          <w:sz w:val="24"/>
        </w:rPr>
        <w:t>（1）工商营业执照复印件；</w:t>
      </w:r>
    </w:p>
    <w:p>
      <w:pPr>
        <w:adjustRightInd w:val="0"/>
        <w:snapToGrid w:val="0"/>
        <w:spacing w:line="360" w:lineRule="auto"/>
        <w:rPr>
          <w:bCs/>
          <w:sz w:val="24"/>
        </w:rPr>
      </w:pPr>
      <w:r>
        <w:rPr>
          <w:bCs/>
          <w:sz w:val="24"/>
        </w:rPr>
        <w:t>（2）提供招标公告中关于投标人资格要求的相关资格证明文件复印件。</w:t>
      </w:r>
    </w:p>
    <w:p>
      <w:pPr>
        <w:adjustRightInd w:val="0"/>
        <w:snapToGrid w:val="0"/>
        <w:spacing w:line="360" w:lineRule="auto"/>
        <w:rPr>
          <w:b/>
          <w:bCs/>
          <w:sz w:val="24"/>
        </w:rPr>
      </w:pPr>
    </w:p>
    <w:p>
      <w:pPr>
        <w:spacing w:line="360" w:lineRule="auto"/>
        <w:jc w:val="center"/>
        <w:rPr>
          <w:b/>
          <w:bCs/>
          <w:sz w:val="32"/>
          <w:szCs w:val="32"/>
        </w:rPr>
      </w:pPr>
      <w:r>
        <w:rPr>
          <w:b/>
          <w:bCs/>
          <w:sz w:val="32"/>
          <w:szCs w:val="32"/>
        </w:rPr>
        <w:br w:type="page"/>
      </w:r>
      <w:r>
        <w:rPr>
          <w:rFonts w:hint="eastAsia"/>
          <w:b/>
          <w:bCs/>
          <w:sz w:val="32"/>
          <w:szCs w:val="32"/>
        </w:rPr>
        <w:t>十</w:t>
      </w:r>
      <w:r>
        <w:rPr>
          <w:b/>
          <w:bCs/>
          <w:sz w:val="32"/>
          <w:szCs w:val="32"/>
        </w:rPr>
        <w:t>、</w:t>
      </w:r>
      <w:r>
        <w:rPr>
          <w:rFonts w:hint="eastAsia"/>
          <w:b/>
          <w:bCs/>
          <w:sz w:val="32"/>
          <w:szCs w:val="32"/>
        </w:rPr>
        <w:t>供应商资格（资质、认证）情况</w:t>
      </w:r>
    </w:p>
    <w:p>
      <w:pPr>
        <w:spacing w:line="360" w:lineRule="auto"/>
        <w:jc w:val="center"/>
        <w:rPr>
          <w:b/>
          <w:bCs/>
          <w:sz w:val="32"/>
          <w:szCs w:val="32"/>
        </w:rPr>
      </w:pPr>
      <w:r>
        <w:rPr>
          <w:rFonts w:hint="eastAsia"/>
          <w:b/>
          <w:bCs/>
          <w:sz w:val="32"/>
          <w:szCs w:val="32"/>
        </w:rPr>
        <w:t>十一</w:t>
      </w:r>
      <w:r>
        <w:rPr>
          <w:b/>
          <w:bCs/>
          <w:sz w:val="32"/>
          <w:szCs w:val="32"/>
        </w:rPr>
        <w:t>、</w:t>
      </w:r>
      <w:r>
        <w:rPr>
          <w:rFonts w:hint="eastAsia"/>
          <w:b/>
          <w:bCs/>
          <w:sz w:val="32"/>
          <w:szCs w:val="32"/>
        </w:rPr>
        <w:t>供应商同类项目业绩情况</w:t>
      </w:r>
    </w:p>
    <w:p>
      <w:pPr>
        <w:spacing w:line="360" w:lineRule="auto"/>
        <w:jc w:val="center"/>
      </w:pPr>
      <w:r>
        <w:rPr>
          <w:b/>
          <w:bCs/>
          <w:sz w:val="32"/>
          <w:szCs w:val="32"/>
        </w:rPr>
        <w:t>十</w:t>
      </w:r>
      <w:r>
        <w:rPr>
          <w:rFonts w:hint="eastAsia"/>
          <w:b/>
          <w:bCs/>
          <w:sz w:val="32"/>
          <w:szCs w:val="32"/>
        </w:rPr>
        <w:t>二</w:t>
      </w:r>
      <w:r>
        <w:rPr>
          <w:b/>
          <w:bCs/>
          <w:sz w:val="32"/>
          <w:szCs w:val="32"/>
        </w:rPr>
        <w:t>、</w:t>
      </w:r>
      <w:r>
        <w:rPr>
          <w:rFonts w:hint="eastAsia"/>
          <w:b/>
          <w:bCs/>
          <w:sz w:val="32"/>
          <w:szCs w:val="32"/>
        </w:rPr>
        <w:t>供应商获奖情况</w:t>
      </w:r>
    </w:p>
    <w:p>
      <w:pPr>
        <w:spacing w:line="360" w:lineRule="auto"/>
        <w:jc w:val="center"/>
      </w:pPr>
      <w:r>
        <w:rPr>
          <w:rFonts w:hint="eastAsia"/>
          <w:b/>
          <w:bCs/>
          <w:sz w:val="32"/>
          <w:szCs w:val="32"/>
        </w:rPr>
        <w:t>十三、供应商自主知识产权产品（创新、设计）情况</w:t>
      </w:r>
    </w:p>
    <w:p>
      <w:pPr>
        <w:spacing w:line="360" w:lineRule="auto"/>
        <w:jc w:val="center"/>
        <w:rPr>
          <w:b/>
          <w:bCs/>
          <w:sz w:val="32"/>
          <w:szCs w:val="32"/>
        </w:rPr>
      </w:pPr>
      <w:r>
        <w:rPr>
          <w:rFonts w:hint="eastAsia"/>
          <w:b/>
          <w:bCs/>
          <w:sz w:val="32"/>
          <w:szCs w:val="32"/>
        </w:rPr>
        <w:t>十四、服务网点</w:t>
      </w:r>
    </w:p>
    <w:p>
      <w:pPr>
        <w:spacing w:line="360" w:lineRule="auto"/>
        <w:jc w:val="center"/>
        <w:rPr>
          <w:b/>
          <w:bCs/>
          <w:sz w:val="32"/>
          <w:szCs w:val="32"/>
        </w:rPr>
      </w:pPr>
      <w:r>
        <w:rPr>
          <w:rFonts w:hint="eastAsia"/>
          <w:b/>
          <w:bCs/>
          <w:sz w:val="32"/>
          <w:szCs w:val="32"/>
        </w:rPr>
        <w:t>十五、拟安排的项目负责人情况（仅限一人）</w:t>
      </w:r>
    </w:p>
    <w:p>
      <w:pPr>
        <w:spacing w:line="360" w:lineRule="auto"/>
        <w:jc w:val="center"/>
        <w:rPr>
          <w:b/>
          <w:bCs/>
          <w:sz w:val="32"/>
          <w:szCs w:val="32"/>
        </w:rPr>
      </w:pPr>
      <w:r>
        <w:rPr>
          <w:rFonts w:hint="eastAsia"/>
          <w:b/>
          <w:bCs/>
          <w:sz w:val="32"/>
          <w:szCs w:val="32"/>
        </w:rPr>
        <w:t>十六、拟安排的项目主要团队成员（主要技术人员）情况（项目负责人除外）</w:t>
      </w:r>
    </w:p>
    <w:p>
      <w:pPr>
        <w:spacing w:line="360" w:lineRule="auto"/>
        <w:jc w:val="center"/>
        <w:rPr>
          <w:b/>
          <w:bCs/>
          <w:sz w:val="32"/>
          <w:szCs w:val="32"/>
        </w:rPr>
      </w:pPr>
      <w:r>
        <w:rPr>
          <w:rFonts w:hint="eastAsia"/>
          <w:b/>
          <w:bCs/>
          <w:sz w:val="32"/>
          <w:szCs w:val="32"/>
        </w:rPr>
        <w:t>十七、实施方案</w:t>
      </w:r>
    </w:p>
    <w:p>
      <w:pPr>
        <w:spacing w:line="360" w:lineRule="auto"/>
        <w:jc w:val="center"/>
        <w:rPr>
          <w:b/>
          <w:bCs/>
          <w:sz w:val="32"/>
          <w:szCs w:val="32"/>
        </w:rPr>
      </w:pPr>
      <w:r>
        <w:rPr>
          <w:rFonts w:hint="eastAsia"/>
          <w:b/>
          <w:bCs/>
          <w:sz w:val="32"/>
          <w:szCs w:val="32"/>
        </w:rPr>
        <w:t>十八、项目重点难点分析、应对措施及相关的合理化建议</w:t>
      </w:r>
    </w:p>
    <w:p>
      <w:pPr>
        <w:spacing w:line="360" w:lineRule="auto"/>
        <w:jc w:val="center"/>
        <w:rPr>
          <w:b/>
          <w:bCs/>
          <w:sz w:val="32"/>
          <w:szCs w:val="32"/>
        </w:rPr>
      </w:pPr>
      <w:r>
        <w:rPr>
          <w:rFonts w:hint="eastAsia"/>
          <w:b/>
          <w:bCs/>
          <w:sz w:val="32"/>
          <w:szCs w:val="32"/>
        </w:rPr>
        <w:t>十九、质量（完成时间、安全、环保）保障措施及方案</w:t>
      </w:r>
    </w:p>
    <w:p>
      <w:pPr>
        <w:spacing w:line="360" w:lineRule="auto"/>
        <w:rPr>
          <w:b/>
          <w:bCs/>
          <w:sz w:val="32"/>
          <w:szCs w:val="32"/>
        </w:rPr>
      </w:pPr>
    </w:p>
    <w:p>
      <w:pPr>
        <w:spacing w:line="360" w:lineRule="auto"/>
        <w:jc w:val="center"/>
        <w:rPr>
          <w:b/>
          <w:bCs/>
          <w:sz w:val="32"/>
          <w:szCs w:val="32"/>
        </w:rPr>
      </w:pPr>
      <w:r>
        <w:rPr>
          <w:b/>
          <w:bCs/>
          <w:sz w:val="32"/>
          <w:szCs w:val="32"/>
        </w:rPr>
        <w:br w:type="page"/>
      </w:r>
    </w:p>
    <w:p>
      <w:pPr>
        <w:spacing w:line="360" w:lineRule="auto"/>
        <w:ind w:right="420"/>
        <w:rPr>
          <w:bCs/>
        </w:rPr>
      </w:pPr>
    </w:p>
    <w:p>
      <w:pPr>
        <w:keepNext/>
        <w:keepLines/>
        <w:widowControl w:val="0"/>
        <w:spacing w:before="120" w:after="120" w:line="416" w:lineRule="auto"/>
        <w:jc w:val="center"/>
        <w:outlineLvl w:val="2"/>
        <w:rPr>
          <w:rFonts w:ascii="宋体" w:hAnsi="宋体"/>
          <w:b/>
          <w:bCs/>
          <w:kern w:val="2"/>
          <w:sz w:val="32"/>
          <w:szCs w:val="32"/>
        </w:rPr>
      </w:pPr>
      <w:r>
        <w:rPr>
          <w:rFonts w:hint="eastAsia" w:ascii="宋体" w:hAnsi="宋体"/>
          <w:b/>
          <w:bCs/>
          <w:kern w:val="2"/>
          <w:sz w:val="32"/>
          <w:szCs w:val="32"/>
        </w:rPr>
        <w:t>二十</w:t>
      </w:r>
      <w:r>
        <w:rPr>
          <w:rFonts w:ascii="宋体" w:hAnsi="宋体"/>
          <w:b/>
          <w:bCs/>
          <w:kern w:val="2"/>
          <w:sz w:val="32"/>
          <w:szCs w:val="32"/>
        </w:rPr>
        <w:t>、</w:t>
      </w:r>
      <w:r>
        <w:rPr>
          <w:rFonts w:hint="eastAsia" w:ascii="宋体" w:hAnsi="宋体"/>
          <w:b/>
          <w:bCs/>
          <w:kern w:val="2"/>
          <w:sz w:val="32"/>
          <w:szCs w:val="32"/>
        </w:rPr>
        <w:t>中小企业声明函及残疾人福利性单位声明函（或省级以上监狱管理局、戒毒管理局（含新疆生产建设兵团）出具的属于监狱企业的证明文件）</w:t>
      </w:r>
    </w:p>
    <w:p>
      <w:pPr>
        <w:ind w:firstLine="480" w:firstLineChars="200"/>
        <w:jc w:val="left"/>
        <w:outlineLvl w:val="3"/>
        <w:rPr>
          <w:rFonts w:ascii="宋体" w:hAnsi="宋体"/>
          <w:bCs/>
          <w:color w:val="FF0000"/>
          <w:sz w:val="24"/>
        </w:rPr>
      </w:pPr>
      <w:r>
        <w:rPr>
          <w:rFonts w:hint="eastAsia" w:ascii="宋体" w:hAnsi="宋体"/>
          <w:bCs/>
          <w:color w:val="FF0000"/>
          <w:sz w:val="24"/>
        </w:rPr>
        <w:t>填写指引：</w:t>
      </w:r>
    </w:p>
    <w:p>
      <w:pPr>
        <w:ind w:firstLine="480" w:firstLineChars="200"/>
        <w:jc w:val="left"/>
        <w:outlineLvl w:val="3"/>
        <w:rPr>
          <w:rFonts w:ascii="宋体" w:hAnsi="宋体"/>
          <w:color w:val="FF0000"/>
          <w:sz w:val="24"/>
        </w:rPr>
      </w:pPr>
      <w:r>
        <w:rPr>
          <w:rFonts w:hint="eastAsia" w:ascii="宋体" w:hAnsi="宋体"/>
          <w:bCs/>
          <w:color w:val="FF0000"/>
          <w:sz w:val="24"/>
        </w:rPr>
        <w:t>1、该部分内容由投标人根据自身实际情况填写，</w:t>
      </w:r>
      <w:r>
        <w:rPr>
          <w:rFonts w:hint="eastAsia" w:ascii="宋体" w:hAnsi="宋体"/>
          <w:bCs/>
          <w:color w:val="FF0000"/>
          <w:sz w:val="24"/>
          <w:highlight w:val="green"/>
        </w:rPr>
        <w:t>不符合要求的投标人可以不填写或直接删除相应的声明函</w:t>
      </w:r>
      <w:r>
        <w:rPr>
          <w:rFonts w:hint="eastAsia" w:ascii="宋体" w:hAnsi="宋体"/>
          <w:bCs/>
          <w:color w:val="FF0000"/>
          <w:sz w:val="24"/>
        </w:rPr>
        <w:t>。</w:t>
      </w:r>
      <w:r>
        <w:rPr>
          <w:rFonts w:hint="eastAsia" w:ascii="宋体" w:hAnsi="宋体"/>
          <w:color w:val="FF0000"/>
          <w:sz w:val="24"/>
        </w:rPr>
        <w:t>投标人提供的声明函不属实的，属于提供虚假资料谋取中标，依照《中华人民共和国政府采购法》等国家有关规定追究相应责任。</w:t>
      </w:r>
    </w:p>
    <w:p>
      <w:pPr>
        <w:ind w:firstLine="480" w:firstLineChars="200"/>
        <w:jc w:val="left"/>
        <w:outlineLvl w:val="3"/>
        <w:rPr>
          <w:rFonts w:ascii="宋体" w:hAnsi="宋体"/>
          <w:color w:val="FF0000"/>
          <w:sz w:val="24"/>
        </w:rPr>
      </w:pPr>
      <w:r>
        <w:rPr>
          <w:rFonts w:hint="eastAsia" w:ascii="宋体" w:hAnsi="宋体"/>
          <w:color w:val="FF0000"/>
          <w:sz w:val="24"/>
        </w:rPr>
        <w:t>2、该部分内容填写需要参考的相关文件：(</w:t>
      </w:r>
      <w:r>
        <w:rPr>
          <w:rFonts w:ascii="宋体" w:hAnsi="宋体"/>
          <w:color w:val="FF0000"/>
          <w:sz w:val="24"/>
        </w:rPr>
        <w:t>1</w:t>
      </w:r>
      <w:r>
        <w:rPr>
          <w:rFonts w:hint="eastAsia" w:ascii="宋体" w:hAnsi="宋体"/>
          <w:color w:val="FF0000"/>
          <w:sz w:val="24"/>
        </w:rPr>
        <w:t>)财政部《政府采购促进中小企业发展管理办法》（财库〔2020〕46号）；(</w:t>
      </w:r>
      <w:r>
        <w:rPr>
          <w:rFonts w:ascii="宋体" w:hAnsi="宋体"/>
          <w:color w:val="FF0000"/>
          <w:sz w:val="24"/>
        </w:rPr>
        <w:t>2</w:t>
      </w:r>
      <w:r>
        <w:rPr>
          <w:rFonts w:hint="eastAsia" w:ascii="宋体" w:hAnsi="宋体"/>
          <w:color w:val="FF0000"/>
          <w:sz w:val="24"/>
        </w:rPr>
        <w:t>)</w:t>
      </w:r>
      <w:bookmarkStart w:id="283" w:name="_Hlk71925120"/>
      <w:r>
        <w:rPr>
          <w:rFonts w:hint="eastAsia" w:ascii="宋体" w:hAnsi="宋体"/>
          <w:color w:val="FF0000"/>
          <w:sz w:val="24"/>
        </w:rPr>
        <w:t>《工业和信息化部、国家统计局、国家发展和改革委员会、财政部关于印发中小企业划型标准规定的通知》（工信部联企业〔2011〕300号</w:t>
      </w:r>
      <w:bookmarkEnd w:id="283"/>
      <w:r>
        <w:rPr>
          <w:rFonts w:hint="eastAsia" w:ascii="宋体" w:hAnsi="宋体"/>
          <w:color w:val="FF0000"/>
          <w:sz w:val="24"/>
        </w:rPr>
        <w:t>，以下简称3</w:t>
      </w:r>
      <w:r>
        <w:rPr>
          <w:rFonts w:ascii="宋体" w:hAnsi="宋体"/>
          <w:color w:val="FF0000"/>
          <w:sz w:val="24"/>
        </w:rPr>
        <w:t>00</w:t>
      </w:r>
      <w:r>
        <w:rPr>
          <w:rFonts w:hint="eastAsia" w:ascii="宋体" w:hAnsi="宋体"/>
          <w:color w:val="FF0000"/>
          <w:sz w:val="24"/>
        </w:rPr>
        <w:t>号文）。</w:t>
      </w:r>
    </w:p>
    <w:p>
      <w:pPr>
        <w:ind w:firstLine="480" w:firstLineChars="200"/>
        <w:jc w:val="left"/>
        <w:outlineLvl w:val="3"/>
        <w:rPr>
          <w:rFonts w:ascii="宋体" w:hAnsi="宋体"/>
          <w:color w:val="FF0000"/>
          <w:sz w:val="24"/>
        </w:rPr>
      </w:pPr>
      <w:r>
        <w:rPr>
          <w:rFonts w:hint="eastAsia" w:ascii="宋体" w:hAnsi="宋体"/>
          <w:color w:val="FF0000"/>
          <w:sz w:val="24"/>
        </w:rPr>
        <w:t>(1)《政府采购促进中小企业发展管理办法》（财库〔2020〕46号），链接：</w:t>
      </w:r>
      <w:r>
        <w:fldChar w:fldCharType="begin"/>
      </w:r>
      <w:r>
        <w:instrText xml:space="preserve"> HYPERLINK "http://www.ccgp.gov.cn/news/202012/t20201229_15715888.htm" </w:instrText>
      </w:r>
      <w:r>
        <w:fldChar w:fldCharType="separate"/>
      </w:r>
      <w:r>
        <w:rPr>
          <w:rFonts w:hint="eastAsia" w:ascii="宋体" w:hAnsi="宋体"/>
          <w:color w:val="0000FF"/>
          <w:sz w:val="24"/>
          <w:u w:val="single"/>
        </w:rPr>
        <w:t>www.ccgp.gov.cn/news/202012/t20201229_15715888.htm</w:t>
      </w:r>
      <w:r>
        <w:rPr>
          <w:rFonts w:hint="eastAsia" w:ascii="宋体" w:hAnsi="宋体"/>
          <w:color w:val="0000FF"/>
          <w:sz w:val="24"/>
          <w:u w:val="single"/>
        </w:rPr>
        <w:fldChar w:fldCharType="end"/>
      </w:r>
    </w:p>
    <w:p>
      <w:pPr>
        <w:ind w:firstLine="480" w:firstLineChars="200"/>
        <w:jc w:val="left"/>
        <w:outlineLvl w:val="3"/>
        <w:rPr>
          <w:rFonts w:ascii="宋体" w:hAnsi="宋体"/>
          <w:color w:val="FF0000"/>
          <w:sz w:val="24"/>
        </w:rPr>
      </w:pPr>
      <w:r>
        <w:rPr>
          <w:rFonts w:hint="eastAsia" w:ascii="宋体" w:hAnsi="宋体"/>
          <w:color w:val="FF0000"/>
          <w:sz w:val="24"/>
        </w:rPr>
        <w:t>(2)《关于印发中小企业划型标准规定的通知》（工信部联企业〔2011〕300 号），链接：</w:t>
      </w:r>
      <w:r>
        <w:fldChar w:fldCharType="begin"/>
      </w:r>
      <w:r>
        <w:instrText xml:space="preserve"> HYPERLINK "http://www.gov.cn/zwgk/2011-07/04/content_1898747.htm" </w:instrText>
      </w:r>
      <w:r>
        <w:fldChar w:fldCharType="separate"/>
      </w:r>
      <w:r>
        <w:rPr>
          <w:rFonts w:hint="eastAsia" w:ascii="宋体" w:hAnsi="宋体"/>
          <w:color w:val="0000FF"/>
          <w:sz w:val="24"/>
          <w:u w:val="single"/>
        </w:rPr>
        <w:t>www.gov.cn/zwgk/2011-07/04/content_1898747.htm</w:t>
      </w:r>
      <w:r>
        <w:rPr>
          <w:rFonts w:hint="eastAsia" w:ascii="宋体" w:hAnsi="宋体"/>
          <w:color w:val="0000FF"/>
          <w:sz w:val="24"/>
          <w:u w:val="single"/>
        </w:rPr>
        <w:fldChar w:fldCharType="end"/>
      </w:r>
    </w:p>
    <w:p>
      <w:pPr>
        <w:ind w:firstLine="480" w:firstLineChars="200"/>
        <w:jc w:val="left"/>
        <w:outlineLvl w:val="3"/>
        <w:rPr>
          <w:rFonts w:ascii="宋体" w:hAnsi="宋体"/>
          <w:color w:val="FF0000"/>
          <w:sz w:val="24"/>
        </w:rPr>
      </w:pPr>
      <w:r>
        <w:rPr>
          <w:rFonts w:hint="eastAsia" w:ascii="宋体" w:hAnsi="宋体"/>
          <w:color w:val="FF0000"/>
          <w:sz w:val="24"/>
        </w:rPr>
        <w:t>(3)《统计上大中小微型企业划分办法(2017)》（国统字〔2017〕213 号），链接：</w:t>
      </w:r>
      <w:r>
        <w:fldChar w:fldCharType="begin"/>
      </w:r>
      <w:r>
        <w:instrText xml:space="preserve"> HYPERLINK "http://www.stats.gov.cn/tjsj/tjbz/201801/t20180103_1569357.html" </w:instrText>
      </w:r>
      <w:r>
        <w:fldChar w:fldCharType="separate"/>
      </w:r>
      <w:r>
        <w:rPr>
          <w:rFonts w:hint="eastAsia" w:ascii="宋体" w:hAnsi="宋体"/>
          <w:color w:val="0000FF"/>
          <w:sz w:val="24"/>
          <w:u w:val="single"/>
        </w:rPr>
        <w:t>www.stats.gov.cn/tjsj/tjbz/201801/t20180103_1569357.html</w:t>
      </w:r>
      <w:r>
        <w:rPr>
          <w:rFonts w:hint="eastAsia" w:ascii="宋体" w:hAnsi="宋体"/>
          <w:color w:val="0000FF"/>
          <w:sz w:val="24"/>
          <w:u w:val="single"/>
        </w:rPr>
        <w:fldChar w:fldCharType="end"/>
      </w:r>
    </w:p>
    <w:p>
      <w:pPr>
        <w:ind w:firstLine="480" w:firstLineChars="200"/>
        <w:jc w:val="left"/>
        <w:outlineLvl w:val="3"/>
        <w:rPr>
          <w:rFonts w:ascii="宋体" w:hAnsi="宋体"/>
          <w:color w:val="FF0000"/>
          <w:sz w:val="24"/>
        </w:rPr>
      </w:pPr>
      <w:r>
        <w:rPr>
          <w:rFonts w:hint="eastAsia" w:ascii="宋体" w:hAnsi="宋体"/>
          <w:color w:val="FF0000"/>
          <w:sz w:val="24"/>
        </w:rPr>
        <w:t>(4)《关于促进残疾人就业政府采购政策的通知》（财库〔2017〕141号），链接：</w:t>
      </w:r>
      <w:r>
        <w:fldChar w:fldCharType="begin"/>
      </w:r>
      <w:r>
        <w:instrText xml:space="preserve"> HYPERLINK "http://www.ccgp.gov.cn/zcfg/mof/201709/t20170904_8787205.shtml" </w:instrText>
      </w:r>
      <w:r>
        <w:fldChar w:fldCharType="separate"/>
      </w:r>
      <w:r>
        <w:rPr>
          <w:rFonts w:hint="eastAsia" w:ascii="宋体" w:hAnsi="宋体"/>
          <w:color w:val="0000FF"/>
          <w:sz w:val="24"/>
          <w:u w:val="single"/>
        </w:rPr>
        <w:t>www.ccgp.gov.cn/zcfg/mof/201709/t20170904_8787205.shtml</w:t>
      </w:r>
      <w:r>
        <w:rPr>
          <w:rFonts w:hint="eastAsia" w:ascii="宋体" w:hAnsi="宋体"/>
          <w:color w:val="0000FF"/>
          <w:sz w:val="24"/>
          <w:u w:val="single"/>
        </w:rPr>
        <w:fldChar w:fldCharType="end"/>
      </w:r>
    </w:p>
    <w:p>
      <w:pPr>
        <w:ind w:firstLine="480" w:firstLineChars="200"/>
        <w:jc w:val="left"/>
        <w:outlineLvl w:val="3"/>
        <w:rPr>
          <w:rFonts w:ascii="宋体" w:hAnsi="宋体"/>
          <w:color w:val="FF0000"/>
          <w:sz w:val="24"/>
        </w:rPr>
      </w:pPr>
      <w:r>
        <w:rPr>
          <w:rFonts w:hint="eastAsia" w:ascii="宋体" w:hAnsi="宋体"/>
          <w:color w:val="FF0000"/>
          <w:sz w:val="24"/>
        </w:rPr>
        <w:t>(5)《关于政府采购支持监狱企业发展有关问题的通知》（财库〔2014〕68号），链接：</w:t>
      </w:r>
      <w:r>
        <w:fldChar w:fldCharType="begin"/>
      </w:r>
      <w:r>
        <w:instrText xml:space="preserve"> HYPERLINK "http://www.ccgp.gov.cn/zcfg/mof/201406/t20140616_4619272.htm" </w:instrText>
      </w:r>
      <w:r>
        <w:fldChar w:fldCharType="separate"/>
      </w:r>
      <w:r>
        <w:rPr>
          <w:rFonts w:hint="eastAsia" w:ascii="宋体" w:hAnsi="宋体"/>
          <w:color w:val="0000FF"/>
          <w:sz w:val="24"/>
          <w:u w:val="single"/>
        </w:rPr>
        <w:t>www.ccgp.gov.cn/zcfg/mof/201406/t20140616_4619272.htm</w:t>
      </w:r>
      <w:r>
        <w:rPr>
          <w:rFonts w:hint="eastAsia" w:ascii="宋体" w:hAnsi="宋体"/>
          <w:color w:val="0000FF"/>
          <w:sz w:val="24"/>
          <w:u w:val="single"/>
        </w:rPr>
        <w:fldChar w:fldCharType="end"/>
      </w:r>
    </w:p>
    <w:p>
      <w:pPr>
        <w:ind w:firstLine="480" w:firstLineChars="200"/>
        <w:jc w:val="left"/>
        <w:outlineLvl w:val="3"/>
        <w:rPr>
          <w:rFonts w:ascii="宋体" w:hAnsi="宋体"/>
          <w:bCs/>
          <w:color w:val="FF0000"/>
          <w:sz w:val="24"/>
        </w:rPr>
      </w:pPr>
      <w:r>
        <w:rPr>
          <w:rFonts w:hint="eastAsia" w:ascii="宋体" w:hAnsi="宋体"/>
          <w:bCs/>
          <w:color w:val="FF0000"/>
          <w:sz w:val="24"/>
        </w:rPr>
        <w:t>3、请依照提供的格式和内容填写声明函，不要随意变更格式；声明函不需要盖章或签字；</w:t>
      </w:r>
      <w:r>
        <w:rPr>
          <w:rFonts w:hint="eastAsia" w:ascii="宋体" w:hAnsi="宋体"/>
          <w:color w:val="FF0000"/>
          <w:sz w:val="24"/>
        </w:rPr>
        <w:t>满足多项优惠政策的投标人，不重复享受多项价格扣除政策。</w:t>
      </w:r>
    </w:p>
    <w:p>
      <w:pPr>
        <w:ind w:firstLine="480" w:firstLineChars="200"/>
        <w:jc w:val="left"/>
        <w:outlineLvl w:val="3"/>
        <w:rPr>
          <w:rFonts w:ascii="宋体" w:hAnsi="宋体"/>
          <w:bCs/>
          <w:color w:val="FF0000"/>
          <w:sz w:val="24"/>
        </w:rPr>
      </w:pPr>
      <w:r>
        <w:rPr>
          <w:rFonts w:hint="eastAsia" w:ascii="宋体" w:hAnsi="宋体"/>
          <w:bCs/>
          <w:color w:val="FF0000"/>
          <w:sz w:val="24"/>
        </w:rPr>
        <w:t>4、声明函具体填写要求：</w:t>
      </w:r>
    </w:p>
    <w:p>
      <w:pPr>
        <w:ind w:firstLine="480" w:firstLineChars="200"/>
        <w:jc w:val="left"/>
        <w:outlineLvl w:val="3"/>
        <w:rPr>
          <w:rFonts w:ascii="宋体" w:hAnsi="宋体"/>
          <w:bCs/>
          <w:color w:val="FF0000"/>
          <w:sz w:val="24"/>
        </w:rPr>
      </w:pPr>
      <w:r>
        <w:rPr>
          <w:rFonts w:hint="eastAsia" w:ascii="宋体" w:hAnsi="宋体"/>
          <w:bCs/>
          <w:color w:val="FF0000"/>
          <w:sz w:val="24"/>
        </w:rPr>
        <w:t>（1）声明是中小企业须填写《中小企业声明函》的以下内容：</w:t>
      </w:r>
    </w:p>
    <w:p>
      <w:pPr>
        <w:ind w:firstLine="480" w:firstLineChars="200"/>
        <w:jc w:val="left"/>
        <w:outlineLvl w:val="3"/>
        <w:rPr>
          <w:rFonts w:ascii="宋体" w:hAnsi="宋体"/>
          <w:bCs/>
          <w:color w:val="FF0000"/>
          <w:sz w:val="24"/>
        </w:rPr>
      </w:pPr>
      <w:r>
        <w:rPr>
          <w:rFonts w:hint="eastAsia" w:ascii="宋体" w:hAnsi="宋体"/>
          <w:bCs/>
          <w:color w:val="FF0000"/>
          <w:sz w:val="24"/>
        </w:rPr>
        <w:t>第一处，在“采购人名称”下划线处如实填写采购人名称（深圳公共资源交易中心不是本项目的采购人，而是组织实施机构）；</w:t>
      </w:r>
    </w:p>
    <w:p>
      <w:pPr>
        <w:ind w:firstLine="480" w:firstLineChars="200"/>
        <w:jc w:val="left"/>
        <w:outlineLvl w:val="3"/>
        <w:rPr>
          <w:rFonts w:ascii="宋体" w:hAnsi="宋体"/>
          <w:bCs/>
          <w:color w:val="FF0000"/>
          <w:sz w:val="24"/>
        </w:rPr>
      </w:pPr>
      <w:r>
        <w:rPr>
          <w:rFonts w:hint="eastAsia" w:ascii="宋体" w:hAnsi="宋体"/>
          <w:bCs/>
          <w:color w:val="FF0000"/>
          <w:sz w:val="24"/>
        </w:rPr>
        <w:t>第二处，在“项目名称”下划线处如实填写采购项目名称；</w:t>
      </w:r>
    </w:p>
    <w:p>
      <w:pPr>
        <w:ind w:firstLine="480" w:firstLineChars="200"/>
        <w:jc w:val="left"/>
        <w:outlineLvl w:val="3"/>
        <w:rPr>
          <w:rFonts w:ascii="宋体" w:hAnsi="宋体"/>
          <w:bCs/>
          <w:color w:val="FF0000"/>
          <w:sz w:val="24"/>
        </w:rPr>
      </w:pPr>
      <w:r>
        <w:rPr>
          <w:rFonts w:hint="eastAsia" w:ascii="宋体" w:hAnsi="宋体"/>
          <w:bCs/>
          <w:color w:val="FF0000"/>
          <w:sz w:val="24"/>
        </w:rPr>
        <w:t>第三处，在“标的名称”下划线处填写所采购服务（标的）的具体名称（以</w:t>
      </w:r>
      <w:bookmarkStart w:id="284" w:name="_Hlk72259001"/>
      <w:r>
        <w:rPr>
          <w:rFonts w:hint="eastAsia" w:ascii="宋体" w:hAnsi="宋体"/>
          <w:bCs/>
          <w:color w:val="FF0000"/>
          <w:sz w:val="24"/>
        </w:rPr>
        <w:t>采购文件第一册第三章</w:t>
      </w:r>
      <w:bookmarkEnd w:id="284"/>
      <w:r>
        <w:rPr>
          <w:rFonts w:hint="eastAsia" w:ascii="宋体" w:hAnsi="宋体"/>
          <w:bCs/>
          <w:color w:val="FF0000"/>
          <w:sz w:val="24"/>
        </w:rPr>
        <w:t>用户需求书“服务需求明细”的“服务需求名称”一栏为准）；如果涉及多个服务需求（标的）由同一企业承接，“标的名称”下划线处可以如实填写多个服务需求（标的）；</w:t>
      </w:r>
    </w:p>
    <w:p>
      <w:pPr>
        <w:ind w:firstLine="480" w:firstLineChars="200"/>
        <w:jc w:val="left"/>
        <w:outlineLvl w:val="3"/>
        <w:rPr>
          <w:rFonts w:ascii="宋体" w:hAnsi="宋体"/>
          <w:bCs/>
          <w:color w:val="FF0000"/>
          <w:sz w:val="24"/>
        </w:rPr>
      </w:pPr>
      <w:r>
        <w:rPr>
          <w:rFonts w:hint="eastAsia" w:ascii="宋体" w:hAnsi="宋体"/>
          <w:bCs/>
          <w:color w:val="FF0000"/>
          <w:sz w:val="24"/>
        </w:rPr>
        <w:t>第四处，在“采购文件中明确的所属行业”下划线处填写采购标的对应的中小企业划分标准所属行业（所属行业可在采购文件第一册第二章“对通用条款的补充内容及其他关键信息”章节查看）；</w:t>
      </w:r>
    </w:p>
    <w:p>
      <w:pPr>
        <w:ind w:firstLine="480" w:firstLineChars="200"/>
        <w:jc w:val="left"/>
        <w:outlineLvl w:val="3"/>
        <w:rPr>
          <w:rFonts w:ascii="宋体" w:hAnsi="宋体"/>
          <w:bCs/>
          <w:color w:val="FF0000"/>
          <w:sz w:val="24"/>
        </w:rPr>
      </w:pPr>
      <w:r>
        <w:rPr>
          <w:rFonts w:hint="eastAsia" w:ascii="宋体" w:hAnsi="宋体"/>
          <w:bCs/>
          <w:color w:val="FF0000"/>
          <w:sz w:val="24"/>
        </w:rPr>
        <w:t>第五处，在“企业名称”下划线处如实填写承接企业名称；在“从业人员”、“营业收入”、“资产总额”下划线处如实填写从业人员、营业收入、资产总额；在“中型企业、小型企业、微型企业”下划线处如实依照300号文填写相应的企业类型；从业人员、营业收入、资产总额填报上一年度数据，无上一年度数据的新成立企业可以不填报。</w:t>
      </w:r>
    </w:p>
    <w:p>
      <w:pPr>
        <w:ind w:firstLine="480" w:firstLineChars="200"/>
        <w:jc w:val="left"/>
        <w:outlineLvl w:val="3"/>
        <w:rPr>
          <w:rFonts w:ascii="宋体" w:hAnsi="宋体"/>
          <w:bCs/>
          <w:color w:val="FF0000"/>
          <w:sz w:val="24"/>
        </w:rPr>
      </w:pPr>
      <w:r>
        <w:rPr>
          <w:rFonts w:hint="eastAsia" w:ascii="宋体" w:hAnsi="宋体"/>
          <w:bCs/>
          <w:color w:val="FF0000"/>
          <w:sz w:val="24"/>
        </w:rPr>
        <w:t>（2）声明是残疾人福利性单位须填写《残疾人福利性单位声明函》的相关内容（填写位置的字体已加粗），具体参照以上《中小企业声明函》填写要求执行。</w:t>
      </w:r>
    </w:p>
    <w:p>
      <w:pPr>
        <w:ind w:firstLine="480" w:firstLineChars="200"/>
        <w:jc w:val="left"/>
        <w:outlineLvl w:val="3"/>
        <w:rPr>
          <w:rFonts w:ascii="宋体" w:hAnsi="宋体"/>
          <w:bCs/>
          <w:color w:val="FF0000"/>
          <w:sz w:val="24"/>
        </w:rPr>
      </w:pPr>
      <w:r>
        <w:rPr>
          <w:rFonts w:hint="eastAsia" w:ascii="宋体" w:hAnsi="宋体"/>
          <w:bCs/>
          <w:color w:val="FF0000"/>
          <w:sz w:val="24"/>
        </w:rPr>
        <w:t>（3）声明是监狱企业须填写《监狱企业声明函》的相关内容（填写位置的字体已加粗），具体参照以上《中小企业声明函》填写要求执行。</w:t>
      </w:r>
    </w:p>
    <w:p>
      <w:pPr>
        <w:ind w:firstLine="480" w:firstLineChars="200"/>
        <w:jc w:val="left"/>
        <w:rPr>
          <w:rFonts w:ascii="宋体" w:hAnsi="宋体"/>
          <w:sz w:val="24"/>
        </w:rPr>
      </w:pPr>
      <w:r>
        <w:rPr>
          <w:rFonts w:hint="eastAsia" w:ascii="宋体" w:hAnsi="宋体"/>
          <w:bCs/>
          <w:color w:val="FF0000"/>
          <w:sz w:val="24"/>
        </w:rPr>
        <w:t>5、声明函的有效性最终由评审委员会判定；如评审委员会判定声明函无效，相关供应商不享受</w:t>
      </w:r>
      <w:r>
        <w:rPr>
          <w:rFonts w:hint="eastAsia" w:ascii="宋体" w:hAnsi="宋体"/>
          <w:color w:val="FF0000"/>
          <w:sz w:val="24"/>
        </w:rPr>
        <w:t>价格扣除</w:t>
      </w:r>
      <w:r>
        <w:rPr>
          <w:rFonts w:hint="eastAsia" w:ascii="宋体" w:hAnsi="宋体"/>
          <w:bCs/>
          <w:color w:val="FF0000"/>
          <w:sz w:val="24"/>
        </w:rPr>
        <w:t>（但不作投标无效处理）。</w:t>
      </w:r>
    </w:p>
    <w:p>
      <w:pPr>
        <w:ind w:firstLine="480" w:firstLineChars="200"/>
        <w:jc w:val="left"/>
        <w:rPr>
          <w:rFonts w:ascii="宋体" w:hAnsi="宋体"/>
          <w:sz w:val="24"/>
        </w:rPr>
      </w:pPr>
    </w:p>
    <w:p>
      <w:pPr>
        <w:ind w:firstLine="480" w:firstLineChars="200"/>
        <w:jc w:val="left"/>
        <w:rPr>
          <w:rFonts w:ascii="宋体" w:hAnsi="宋体"/>
          <w:sz w:val="24"/>
        </w:rPr>
      </w:pPr>
    </w:p>
    <w:p>
      <w:pPr>
        <w:jc w:val="center"/>
        <w:outlineLvl w:val="3"/>
        <w:rPr>
          <w:rFonts w:ascii="宋体" w:hAnsi="宋体"/>
          <w:b/>
          <w:sz w:val="24"/>
        </w:rPr>
      </w:pPr>
      <w:r>
        <w:rPr>
          <w:rFonts w:hint="eastAsia" w:ascii="宋体" w:hAnsi="宋体"/>
          <w:b/>
          <w:sz w:val="24"/>
        </w:rPr>
        <w:t>1、</w:t>
      </w:r>
      <w:r>
        <w:rPr>
          <w:rFonts w:ascii="宋体" w:hAnsi="宋体"/>
          <w:b/>
          <w:sz w:val="24"/>
        </w:rPr>
        <w:t>中小企业声明函（</w:t>
      </w:r>
      <w:r>
        <w:rPr>
          <w:rFonts w:hint="eastAsia" w:ascii="宋体" w:hAnsi="宋体"/>
          <w:b/>
          <w:sz w:val="24"/>
        </w:rPr>
        <w:t>服务</w:t>
      </w:r>
      <w:r>
        <w:rPr>
          <w:rFonts w:ascii="宋体" w:hAnsi="宋体"/>
          <w:b/>
          <w:sz w:val="24"/>
        </w:rPr>
        <w:t>）</w:t>
      </w:r>
    </w:p>
    <w:p>
      <w:pPr>
        <w:ind w:firstLine="480" w:firstLineChars="200"/>
        <w:jc w:val="left"/>
        <w:rPr>
          <w:rFonts w:ascii="宋体" w:hAnsi="宋体"/>
          <w:sz w:val="24"/>
        </w:rPr>
      </w:pPr>
      <w:r>
        <w:rPr>
          <w:rFonts w:ascii="宋体" w:hAnsi="宋体"/>
          <w:sz w:val="24"/>
        </w:rPr>
        <w:t>本</w:t>
      </w:r>
      <w:r>
        <w:rPr>
          <w:rFonts w:hint="eastAsia" w:ascii="宋体" w:hAnsi="宋体"/>
          <w:sz w:val="24"/>
        </w:rPr>
        <w:t>投标人</w:t>
      </w:r>
      <w:r>
        <w:rPr>
          <w:rFonts w:ascii="宋体" w:hAnsi="宋体"/>
          <w:sz w:val="24"/>
        </w:rPr>
        <w:t>郑重声明，根据《政府采购促进中小企业发展管理办法》（财库</w:t>
      </w:r>
      <w:r>
        <w:rPr>
          <w:rFonts w:hint="eastAsia" w:ascii="宋体" w:hAnsi="宋体" w:cs="微软雅黑"/>
          <w:sz w:val="24"/>
        </w:rPr>
        <w:t>﹝</w:t>
      </w:r>
      <w:r>
        <w:rPr>
          <w:rFonts w:ascii="宋体" w:hAnsi="宋体"/>
          <w:sz w:val="24"/>
        </w:rPr>
        <w:t>2020</w:t>
      </w:r>
      <w:r>
        <w:rPr>
          <w:rFonts w:hint="eastAsia" w:ascii="宋体" w:hAnsi="宋体" w:cs="微软雅黑"/>
          <w:sz w:val="24"/>
        </w:rPr>
        <w:t>﹞</w:t>
      </w:r>
      <w:r>
        <w:rPr>
          <w:rFonts w:ascii="宋体" w:hAnsi="宋体"/>
          <w:sz w:val="24"/>
        </w:rPr>
        <w:t>46号）的规定，本</w:t>
      </w:r>
      <w:r>
        <w:rPr>
          <w:rFonts w:hint="eastAsia" w:ascii="宋体" w:hAnsi="宋体"/>
          <w:sz w:val="24"/>
        </w:rPr>
        <w:t>投标人</w:t>
      </w:r>
      <w:r>
        <w:rPr>
          <w:rFonts w:ascii="宋体" w:hAnsi="宋体"/>
          <w:sz w:val="24"/>
        </w:rPr>
        <w:t>参加</w:t>
      </w:r>
      <w:r>
        <w:rPr>
          <w:rFonts w:ascii="宋体" w:hAnsi="宋体"/>
          <w:b/>
          <w:bCs/>
          <w:sz w:val="24"/>
          <w:u w:val="single"/>
        </w:rPr>
        <w:t>（</w:t>
      </w:r>
      <w:r>
        <w:rPr>
          <w:rFonts w:hint="eastAsia" w:ascii="宋体" w:hAnsi="宋体"/>
          <w:b/>
          <w:bCs/>
          <w:sz w:val="24"/>
          <w:u w:val="single"/>
        </w:rPr>
        <w:t>采购人</w:t>
      </w:r>
      <w:r>
        <w:rPr>
          <w:rFonts w:ascii="宋体" w:hAnsi="宋体"/>
          <w:b/>
          <w:bCs/>
          <w:sz w:val="24"/>
          <w:u w:val="single"/>
        </w:rPr>
        <w:t>名称）</w:t>
      </w:r>
      <w:r>
        <w:rPr>
          <w:rFonts w:ascii="宋体" w:hAnsi="宋体"/>
          <w:sz w:val="24"/>
        </w:rPr>
        <w:t>的</w:t>
      </w:r>
      <w:r>
        <w:rPr>
          <w:rFonts w:ascii="宋体" w:hAnsi="宋体"/>
          <w:b/>
          <w:bCs/>
          <w:sz w:val="24"/>
          <w:u w:val="single"/>
        </w:rPr>
        <w:t>（项目名称）</w:t>
      </w:r>
      <w:r>
        <w:rPr>
          <w:rFonts w:ascii="宋体" w:hAnsi="宋体"/>
          <w:sz w:val="24"/>
        </w:rPr>
        <w:t>采购活动，</w:t>
      </w:r>
      <w:r>
        <w:rPr>
          <w:rFonts w:hint="eastAsia" w:ascii="宋体" w:hAnsi="宋体"/>
          <w:sz w:val="24"/>
        </w:rPr>
        <w:t>服务</w:t>
      </w:r>
      <w:r>
        <w:rPr>
          <w:rFonts w:ascii="宋体" w:hAnsi="宋体"/>
          <w:sz w:val="24"/>
        </w:rPr>
        <w:t>全部由符合政策要求的中小企业</w:t>
      </w:r>
      <w:r>
        <w:rPr>
          <w:rFonts w:hint="eastAsia" w:ascii="宋体" w:hAnsi="宋体"/>
          <w:sz w:val="24"/>
        </w:rPr>
        <w:t>承接</w:t>
      </w:r>
      <w:r>
        <w:rPr>
          <w:rFonts w:ascii="宋体" w:hAnsi="宋体"/>
          <w:sz w:val="24"/>
        </w:rPr>
        <w:t>。相关企业的具体情况如下：</w:t>
      </w:r>
    </w:p>
    <w:p>
      <w:pPr>
        <w:ind w:firstLine="480" w:firstLineChars="200"/>
        <w:jc w:val="left"/>
        <w:rPr>
          <w:rFonts w:ascii="宋体" w:hAnsi="宋体"/>
          <w:sz w:val="24"/>
        </w:rPr>
      </w:pPr>
      <w:r>
        <w:rPr>
          <w:rFonts w:ascii="宋体" w:hAnsi="宋体"/>
          <w:sz w:val="24"/>
        </w:rPr>
        <w:t>1.</w:t>
      </w:r>
      <w:r>
        <w:rPr>
          <w:rFonts w:ascii="宋体" w:hAnsi="宋体"/>
          <w:b/>
          <w:bCs/>
          <w:sz w:val="24"/>
          <w:u w:val="single"/>
        </w:rPr>
        <w:t>（标的名称）</w:t>
      </w:r>
      <w:r>
        <w:rPr>
          <w:rFonts w:ascii="宋体" w:hAnsi="宋体"/>
          <w:sz w:val="24"/>
        </w:rPr>
        <w:t>，属于</w:t>
      </w:r>
      <w:r>
        <w:rPr>
          <w:rFonts w:ascii="宋体" w:hAnsi="宋体"/>
          <w:b/>
          <w:bCs/>
          <w:sz w:val="24"/>
          <w:u w:val="single"/>
        </w:rPr>
        <w:t>（</w:t>
      </w:r>
      <w:r>
        <w:rPr>
          <w:rFonts w:hint="eastAsia" w:ascii="宋体" w:hAnsi="宋体"/>
          <w:b/>
          <w:bCs/>
          <w:sz w:val="24"/>
          <w:u w:val="single"/>
        </w:rPr>
        <w:t>采购文件</w:t>
      </w:r>
      <w:r>
        <w:rPr>
          <w:rFonts w:ascii="宋体" w:hAnsi="宋体"/>
          <w:b/>
          <w:bCs/>
          <w:sz w:val="24"/>
          <w:u w:val="single"/>
        </w:rPr>
        <w:t>中明确的所属行业）</w:t>
      </w:r>
      <w:r>
        <w:rPr>
          <w:rFonts w:ascii="宋体" w:hAnsi="宋体"/>
          <w:sz w:val="24"/>
        </w:rPr>
        <w:t>行业；</w:t>
      </w:r>
      <w:r>
        <w:rPr>
          <w:rFonts w:hint="eastAsia" w:ascii="宋体" w:hAnsi="宋体"/>
          <w:sz w:val="24"/>
        </w:rPr>
        <w:t>承接企业</w:t>
      </w:r>
      <w:r>
        <w:rPr>
          <w:rFonts w:ascii="宋体" w:hAnsi="宋体"/>
          <w:sz w:val="24"/>
        </w:rPr>
        <w:t>为</w:t>
      </w:r>
      <w:r>
        <w:rPr>
          <w:rFonts w:ascii="宋体" w:hAnsi="宋体"/>
          <w:b/>
          <w:bCs/>
          <w:sz w:val="24"/>
          <w:u w:val="single"/>
        </w:rPr>
        <w:t>（企业名称）</w:t>
      </w:r>
      <w:r>
        <w:rPr>
          <w:rFonts w:ascii="宋体" w:hAnsi="宋体"/>
          <w:sz w:val="24"/>
        </w:rPr>
        <w:t>，从业人员人，营业收入为万元，资产总额为万元，属于</w:t>
      </w:r>
      <w:r>
        <w:rPr>
          <w:rFonts w:ascii="宋体" w:hAnsi="宋体"/>
          <w:b/>
          <w:bCs/>
          <w:sz w:val="24"/>
          <w:u w:val="single"/>
        </w:rPr>
        <w:t>（中型企业、小型企业、微型企业）</w:t>
      </w:r>
      <w:r>
        <w:rPr>
          <w:rFonts w:ascii="宋体" w:hAnsi="宋体"/>
          <w:sz w:val="24"/>
        </w:rPr>
        <w:t>；</w:t>
      </w:r>
    </w:p>
    <w:p>
      <w:pPr>
        <w:ind w:firstLine="480" w:firstLineChars="200"/>
        <w:jc w:val="left"/>
        <w:rPr>
          <w:rFonts w:ascii="宋体" w:hAnsi="宋体"/>
          <w:sz w:val="24"/>
          <w:u w:val="single"/>
        </w:rPr>
      </w:pPr>
      <w:r>
        <w:rPr>
          <w:rFonts w:ascii="宋体" w:hAnsi="宋体"/>
          <w:sz w:val="24"/>
        </w:rPr>
        <w:t>2.</w:t>
      </w:r>
      <w:r>
        <w:rPr>
          <w:rFonts w:ascii="宋体" w:hAnsi="宋体"/>
          <w:b/>
          <w:bCs/>
          <w:sz w:val="24"/>
          <w:u w:val="single"/>
        </w:rPr>
        <w:t>（标的名称）</w:t>
      </w:r>
      <w:r>
        <w:rPr>
          <w:rFonts w:ascii="宋体" w:hAnsi="宋体"/>
          <w:sz w:val="24"/>
        </w:rPr>
        <w:t>，属于</w:t>
      </w:r>
      <w:r>
        <w:rPr>
          <w:rFonts w:ascii="宋体" w:hAnsi="宋体"/>
          <w:b/>
          <w:bCs/>
          <w:sz w:val="24"/>
          <w:u w:val="single"/>
        </w:rPr>
        <w:t>（</w:t>
      </w:r>
      <w:r>
        <w:rPr>
          <w:rFonts w:hint="eastAsia" w:ascii="宋体" w:hAnsi="宋体"/>
          <w:b/>
          <w:bCs/>
          <w:sz w:val="24"/>
          <w:u w:val="single"/>
        </w:rPr>
        <w:t>采购文件</w:t>
      </w:r>
      <w:r>
        <w:rPr>
          <w:rFonts w:ascii="宋体" w:hAnsi="宋体"/>
          <w:b/>
          <w:bCs/>
          <w:sz w:val="24"/>
          <w:u w:val="single"/>
        </w:rPr>
        <w:t>中明确的所属行业）</w:t>
      </w:r>
      <w:r>
        <w:rPr>
          <w:rFonts w:ascii="宋体" w:hAnsi="宋体"/>
          <w:sz w:val="24"/>
        </w:rPr>
        <w:t>行业；</w:t>
      </w:r>
      <w:r>
        <w:rPr>
          <w:rFonts w:hint="eastAsia" w:ascii="宋体" w:hAnsi="宋体"/>
          <w:sz w:val="24"/>
        </w:rPr>
        <w:t>承接企业</w:t>
      </w:r>
      <w:r>
        <w:rPr>
          <w:rFonts w:ascii="宋体" w:hAnsi="宋体"/>
          <w:sz w:val="24"/>
        </w:rPr>
        <w:t>为</w:t>
      </w:r>
      <w:r>
        <w:rPr>
          <w:rFonts w:ascii="宋体" w:hAnsi="宋体"/>
          <w:b/>
          <w:bCs/>
          <w:sz w:val="24"/>
          <w:u w:val="single"/>
        </w:rPr>
        <w:t>（企业名称）</w:t>
      </w:r>
      <w:r>
        <w:rPr>
          <w:rFonts w:ascii="宋体" w:hAnsi="宋体"/>
          <w:sz w:val="24"/>
        </w:rPr>
        <w:t>，从业人员人，营业收入为万元，资产总额为万元，属于</w:t>
      </w:r>
      <w:r>
        <w:rPr>
          <w:rFonts w:ascii="宋体" w:hAnsi="宋体"/>
          <w:b/>
          <w:bCs/>
          <w:sz w:val="24"/>
          <w:u w:val="single"/>
        </w:rPr>
        <w:t>（中型企业、小型企业、微型企业）</w:t>
      </w:r>
      <w:r>
        <w:rPr>
          <w:rFonts w:hint="eastAsia" w:ascii="宋体" w:hAnsi="宋体"/>
          <w:sz w:val="24"/>
        </w:rPr>
        <w:t>；</w:t>
      </w:r>
    </w:p>
    <w:p>
      <w:pPr>
        <w:ind w:firstLine="480" w:firstLineChars="200"/>
        <w:jc w:val="left"/>
        <w:rPr>
          <w:rFonts w:ascii="宋体" w:hAnsi="宋体"/>
          <w:sz w:val="24"/>
        </w:rPr>
      </w:pPr>
      <w:r>
        <w:rPr>
          <w:rFonts w:ascii="宋体" w:hAnsi="宋体"/>
          <w:sz w:val="24"/>
        </w:rPr>
        <w:t>……</w:t>
      </w:r>
    </w:p>
    <w:p>
      <w:pPr>
        <w:ind w:firstLine="480" w:firstLineChars="200"/>
        <w:jc w:val="left"/>
        <w:rPr>
          <w:rFonts w:ascii="宋体" w:hAnsi="宋体"/>
          <w:sz w:val="24"/>
        </w:rPr>
      </w:pPr>
      <w:r>
        <w:rPr>
          <w:rFonts w:ascii="宋体" w:hAnsi="宋体"/>
          <w:sz w:val="24"/>
        </w:rPr>
        <w:t>以上企业，不属于大企业的分支机构，不存在控股股东为大企业的情形，也不存在与大企业的负责人为同一人的情形。</w:t>
      </w:r>
    </w:p>
    <w:p>
      <w:pPr>
        <w:ind w:firstLine="480" w:firstLineChars="200"/>
        <w:jc w:val="left"/>
        <w:rPr>
          <w:rFonts w:ascii="宋体" w:hAnsi="宋体"/>
          <w:bCs/>
          <w:color w:val="FF0000"/>
          <w:sz w:val="24"/>
        </w:rPr>
      </w:pPr>
      <w:bookmarkStart w:id="285" w:name="_Hlk73562275"/>
      <w:r>
        <w:rPr>
          <w:rFonts w:hint="eastAsia" w:ascii="宋体" w:hAnsi="宋体"/>
          <w:sz w:val="24"/>
        </w:rPr>
        <w:t>本</w:t>
      </w:r>
      <w:r>
        <w:rPr>
          <w:rFonts w:ascii="宋体" w:hAnsi="宋体"/>
          <w:sz w:val="24"/>
        </w:rPr>
        <w:t>投标人已知悉《政府采购促进中小企业发展管理办法》（财库〔2020〕46号）、《中小企业划型标准规定》（工信部联企〔2011〕300号）、《统计上大中小微型企业划分办法（2017）》等规定，承诺提供的声明函内容是真实的，并知悉根据《政府采购促进中小企业发展管理办法》（财库〔2020〕46号）第二十条规定，</w:t>
      </w:r>
      <w:r>
        <w:rPr>
          <w:rFonts w:hint="eastAsia" w:ascii="宋体" w:hAnsi="宋体"/>
          <w:sz w:val="24"/>
        </w:rPr>
        <w:t>投标人</w:t>
      </w:r>
      <w:r>
        <w:rPr>
          <w:rFonts w:ascii="宋体" w:hAnsi="宋体"/>
          <w:sz w:val="24"/>
        </w:rPr>
        <w:t>按照本办法规定提供声明函内容不实的，属于提供虚假材料谋取中标，依照《政府采购法》等政府采购有关法律法规规定追究相应责任</w:t>
      </w:r>
      <w:r>
        <w:rPr>
          <w:rFonts w:hint="eastAsia" w:ascii="宋体" w:hAnsi="宋体"/>
          <w:sz w:val="24"/>
        </w:rPr>
        <w:t>。</w:t>
      </w:r>
      <w:bookmarkEnd w:id="285"/>
    </w:p>
    <w:p>
      <w:pPr>
        <w:ind w:firstLine="480" w:firstLineChars="200"/>
        <w:jc w:val="left"/>
        <w:rPr>
          <w:rFonts w:ascii="宋体" w:hAnsi="宋体"/>
          <w:sz w:val="24"/>
        </w:rPr>
      </w:pPr>
    </w:p>
    <w:p>
      <w:pPr>
        <w:spacing w:afterLines="25" w:line="300" w:lineRule="auto"/>
        <w:ind w:firstLine="481" w:firstLineChars="200"/>
        <w:jc w:val="left"/>
        <w:rPr>
          <w:rFonts w:ascii="宋体" w:hAnsi="宋体"/>
          <w:color w:val="FF0000"/>
          <w:sz w:val="24"/>
        </w:rPr>
      </w:pPr>
      <w:r>
        <w:rPr>
          <w:rFonts w:hint="eastAsia" w:ascii="宋体" w:hAnsi="宋体"/>
          <w:b/>
          <w:color w:val="FF0000"/>
          <w:sz w:val="24"/>
        </w:rPr>
        <w:t>说明：</w:t>
      </w:r>
      <w:r>
        <w:rPr>
          <w:rFonts w:hint="eastAsia" w:ascii="宋体" w:hAnsi="宋体"/>
          <w:color w:val="FF0000"/>
          <w:sz w:val="24"/>
        </w:rPr>
        <w:t>对中小企业的认定，由货物制造商或者工程、服务供应商注册登记所在地的县级以上人民政府中小企业主管部门负责。</w:t>
      </w:r>
      <w:r>
        <w:rPr>
          <w:rFonts w:hint="eastAsia" w:ascii="宋体" w:hAnsi="宋体"/>
          <w:color w:val="0000FF"/>
          <w:sz w:val="24"/>
        </w:rPr>
        <w:t>如因供应商提供的《中小企业声明函》引起的质疑、投诉、信访或其他方式情况反映等，供应商须自行澄清，并提供由中小企业主管部门出具的企业划型证明。对于不能出具企业划型证明的供应商，自行承担由此产生的一切后果，包括声明内容视为无效、不享受相关政府采购优惠政策等。</w:t>
      </w:r>
    </w:p>
    <w:p>
      <w:pPr>
        <w:ind w:firstLine="480" w:firstLineChars="200"/>
        <w:jc w:val="left"/>
        <w:rPr>
          <w:rFonts w:ascii="宋体" w:hAnsi="宋体"/>
          <w:sz w:val="24"/>
        </w:rPr>
      </w:pPr>
    </w:p>
    <w:p>
      <w:pPr>
        <w:ind w:firstLine="480" w:firstLineChars="200"/>
        <w:jc w:val="left"/>
        <w:rPr>
          <w:rFonts w:ascii="宋体" w:hAnsi="宋体"/>
          <w:sz w:val="24"/>
        </w:rPr>
      </w:pPr>
    </w:p>
    <w:p>
      <w:pPr>
        <w:jc w:val="center"/>
        <w:outlineLvl w:val="3"/>
        <w:rPr>
          <w:rFonts w:ascii="宋体" w:hAnsi="宋体"/>
          <w:b/>
          <w:sz w:val="24"/>
        </w:rPr>
      </w:pPr>
      <w:r>
        <w:rPr>
          <w:rFonts w:hint="eastAsia" w:ascii="宋体" w:hAnsi="宋体"/>
          <w:b/>
          <w:sz w:val="24"/>
        </w:rPr>
        <w:t>2、残疾人福利性单位声明函（服务类）</w:t>
      </w:r>
    </w:p>
    <w:p>
      <w:pPr>
        <w:ind w:firstLine="480" w:firstLineChars="200"/>
        <w:jc w:val="left"/>
        <w:rPr>
          <w:rFonts w:ascii="宋体" w:hAnsi="宋体"/>
          <w:sz w:val="24"/>
        </w:rPr>
      </w:pPr>
      <w:r>
        <w:rPr>
          <w:rFonts w:ascii="宋体" w:hAnsi="宋体"/>
          <w:sz w:val="24"/>
        </w:rPr>
        <w:t>本</w:t>
      </w:r>
      <w:r>
        <w:rPr>
          <w:rFonts w:hint="eastAsia" w:ascii="宋体" w:hAnsi="宋体"/>
          <w:sz w:val="24"/>
        </w:rPr>
        <w:t>投标人郑重声明，根据《财政部民政部中国残疾人联合会关于促进残疾人就业政府采购政策的通知》（财库〔</w:t>
      </w:r>
      <w:r>
        <w:rPr>
          <w:rFonts w:ascii="宋体" w:hAnsi="宋体"/>
          <w:sz w:val="24"/>
        </w:rPr>
        <w:t>2017</w:t>
      </w:r>
      <w:r>
        <w:rPr>
          <w:rFonts w:hint="eastAsia" w:ascii="宋体" w:hAnsi="宋体"/>
          <w:sz w:val="24"/>
        </w:rPr>
        <w:t>〕</w:t>
      </w:r>
      <w:r>
        <w:rPr>
          <w:rFonts w:ascii="宋体" w:hAnsi="宋体"/>
          <w:sz w:val="24"/>
        </w:rPr>
        <w:t>141</w:t>
      </w:r>
      <w:r>
        <w:rPr>
          <w:rFonts w:hint="eastAsia" w:ascii="宋体" w:hAnsi="宋体"/>
          <w:sz w:val="24"/>
        </w:rPr>
        <w:t>号）的规定，本投标人</w:t>
      </w:r>
      <w:r>
        <w:rPr>
          <w:rFonts w:ascii="宋体" w:hAnsi="宋体"/>
          <w:sz w:val="24"/>
        </w:rPr>
        <w:t>参加</w:t>
      </w:r>
      <w:r>
        <w:rPr>
          <w:rFonts w:ascii="宋体" w:hAnsi="宋体"/>
          <w:b/>
          <w:bCs/>
          <w:sz w:val="24"/>
          <w:u w:val="single"/>
        </w:rPr>
        <w:t>（</w:t>
      </w:r>
      <w:r>
        <w:rPr>
          <w:rFonts w:hint="eastAsia" w:ascii="宋体" w:hAnsi="宋体"/>
          <w:b/>
          <w:bCs/>
          <w:sz w:val="24"/>
          <w:u w:val="single"/>
        </w:rPr>
        <w:t>采购人</w:t>
      </w:r>
      <w:r>
        <w:rPr>
          <w:rFonts w:ascii="宋体" w:hAnsi="宋体"/>
          <w:b/>
          <w:bCs/>
          <w:sz w:val="24"/>
          <w:u w:val="single"/>
        </w:rPr>
        <w:t>名称）</w:t>
      </w:r>
      <w:r>
        <w:rPr>
          <w:rFonts w:ascii="宋体" w:hAnsi="宋体"/>
          <w:sz w:val="24"/>
        </w:rPr>
        <w:t>的</w:t>
      </w:r>
      <w:r>
        <w:rPr>
          <w:rFonts w:ascii="宋体" w:hAnsi="宋体"/>
          <w:b/>
          <w:bCs/>
          <w:sz w:val="24"/>
          <w:u w:val="single"/>
        </w:rPr>
        <w:t>（项目名称）</w:t>
      </w:r>
      <w:r>
        <w:rPr>
          <w:rFonts w:ascii="宋体" w:hAnsi="宋体"/>
          <w:sz w:val="24"/>
        </w:rPr>
        <w:t>采购活动，</w:t>
      </w:r>
      <w:r>
        <w:rPr>
          <w:rFonts w:hint="eastAsia" w:ascii="宋体" w:hAnsi="宋体"/>
          <w:sz w:val="24"/>
        </w:rPr>
        <w:t>服务</w:t>
      </w:r>
      <w:r>
        <w:rPr>
          <w:rFonts w:ascii="宋体" w:hAnsi="宋体"/>
          <w:sz w:val="24"/>
        </w:rPr>
        <w:t>全部由符合政策要求的</w:t>
      </w:r>
      <w:r>
        <w:rPr>
          <w:rFonts w:hint="eastAsia" w:ascii="宋体" w:hAnsi="宋体"/>
          <w:sz w:val="24"/>
        </w:rPr>
        <w:t>残疾人福利性单位承接</w:t>
      </w:r>
      <w:r>
        <w:rPr>
          <w:rFonts w:ascii="宋体" w:hAnsi="宋体"/>
          <w:sz w:val="24"/>
        </w:rPr>
        <w:t>。相关</w:t>
      </w:r>
      <w:r>
        <w:rPr>
          <w:rFonts w:hint="eastAsia" w:ascii="宋体" w:hAnsi="宋体"/>
          <w:sz w:val="24"/>
        </w:rPr>
        <w:t>残疾人福利性单位</w:t>
      </w:r>
      <w:r>
        <w:rPr>
          <w:rFonts w:ascii="宋体" w:hAnsi="宋体"/>
          <w:sz w:val="24"/>
        </w:rPr>
        <w:t>的具体情况如下：</w:t>
      </w:r>
    </w:p>
    <w:p>
      <w:pPr>
        <w:ind w:firstLine="480" w:firstLineChars="200"/>
        <w:jc w:val="left"/>
        <w:rPr>
          <w:rFonts w:ascii="宋体" w:hAnsi="宋体"/>
          <w:sz w:val="24"/>
        </w:rPr>
      </w:pPr>
      <w:r>
        <w:rPr>
          <w:rFonts w:ascii="宋体" w:hAnsi="宋体"/>
          <w:sz w:val="24"/>
        </w:rPr>
        <w:t>1.</w:t>
      </w:r>
      <w:r>
        <w:rPr>
          <w:rFonts w:ascii="宋体" w:hAnsi="宋体"/>
          <w:b/>
          <w:bCs/>
          <w:sz w:val="24"/>
          <w:u w:val="single"/>
        </w:rPr>
        <w:t>（标的名称）</w:t>
      </w:r>
      <w:r>
        <w:rPr>
          <w:rFonts w:hint="eastAsia" w:ascii="宋体" w:hAnsi="宋体"/>
          <w:sz w:val="24"/>
        </w:rPr>
        <w:t>，承接企业</w:t>
      </w:r>
      <w:r>
        <w:rPr>
          <w:rFonts w:ascii="宋体" w:hAnsi="宋体"/>
          <w:sz w:val="24"/>
        </w:rPr>
        <w:t>为</w:t>
      </w:r>
      <w:r>
        <w:rPr>
          <w:rFonts w:ascii="宋体" w:hAnsi="宋体"/>
          <w:b/>
          <w:bCs/>
          <w:sz w:val="24"/>
          <w:u w:val="single"/>
        </w:rPr>
        <w:t>（</w:t>
      </w:r>
      <w:r>
        <w:rPr>
          <w:rFonts w:hint="eastAsia" w:ascii="宋体" w:hAnsi="宋体"/>
          <w:b/>
          <w:bCs/>
          <w:sz w:val="24"/>
          <w:u w:val="single"/>
        </w:rPr>
        <w:t>单位</w:t>
      </w:r>
      <w:r>
        <w:rPr>
          <w:rFonts w:ascii="宋体" w:hAnsi="宋体"/>
          <w:b/>
          <w:bCs/>
          <w:sz w:val="24"/>
          <w:u w:val="single"/>
        </w:rPr>
        <w:t>名称）</w:t>
      </w:r>
      <w:r>
        <w:rPr>
          <w:rFonts w:ascii="宋体" w:hAnsi="宋体"/>
          <w:sz w:val="24"/>
        </w:rPr>
        <w:t>，属于</w:t>
      </w:r>
      <w:r>
        <w:rPr>
          <w:rFonts w:hint="eastAsia" w:ascii="宋体" w:hAnsi="宋体"/>
          <w:b/>
          <w:bCs/>
          <w:sz w:val="24"/>
          <w:u w:val="single"/>
        </w:rPr>
        <w:t>残疾人福利性单位</w:t>
      </w:r>
      <w:r>
        <w:rPr>
          <w:rFonts w:ascii="宋体" w:hAnsi="宋体"/>
          <w:sz w:val="24"/>
        </w:rPr>
        <w:t>；</w:t>
      </w:r>
    </w:p>
    <w:p>
      <w:pPr>
        <w:ind w:firstLine="480" w:firstLineChars="200"/>
        <w:jc w:val="left"/>
        <w:rPr>
          <w:rFonts w:ascii="宋体" w:hAnsi="宋体"/>
          <w:sz w:val="24"/>
        </w:rPr>
      </w:pPr>
      <w:r>
        <w:rPr>
          <w:rFonts w:ascii="宋体" w:hAnsi="宋体"/>
          <w:sz w:val="24"/>
        </w:rPr>
        <w:t>2.</w:t>
      </w:r>
      <w:r>
        <w:rPr>
          <w:rFonts w:ascii="宋体" w:hAnsi="宋体"/>
          <w:b/>
          <w:bCs/>
          <w:sz w:val="24"/>
          <w:u w:val="single"/>
        </w:rPr>
        <w:t>（标的名称）</w:t>
      </w:r>
      <w:r>
        <w:rPr>
          <w:rFonts w:hint="eastAsia" w:ascii="宋体" w:hAnsi="宋体"/>
          <w:sz w:val="24"/>
        </w:rPr>
        <w:t>，承接企业</w:t>
      </w:r>
      <w:r>
        <w:rPr>
          <w:rFonts w:ascii="宋体" w:hAnsi="宋体"/>
          <w:sz w:val="24"/>
        </w:rPr>
        <w:t>为</w:t>
      </w:r>
      <w:r>
        <w:rPr>
          <w:rFonts w:ascii="宋体" w:hAnsi="宋体"/>
          <w:b/>
          <w:bCs/>
          <w:sz w:val="24"/>
          <w:u w:val="single"/>
        </w:rPr>
        <w:t>（</w:t>
      </w:r>
      <w:r>
        <w:rPr>
          <w:rFonts w:hint="eastAsia" w:ascii="宋体" w:hAnsi="宋体"/>
          <w:b/>
          <w:bCs/>
          <w:sz w:val="24"/>
          <w:u w:val="single"/>
        </w:rPr>
        <w:t>单位</w:t>
      </w:r>
      <w:r>
        <w:rPr>
          <w:rFonts w:ascii="宋体" w:hAnsi="宋体"/>
          <w:b/>
          <w:bCs/>
          <w:sz w:val="24"/>
          <w:u w:val="single"/>
        </w:rPr>
        <w:t>名称）</w:t>
      </w:r>
      <w:r>
        <w:rPr>
          <w:rFonts w:ascii="宋体" w:hAnsi="宋体"/>
          <w:sz w:val="24"/>
        </w:rPr>
        <w:t>，属于</w:t>
      </w:r>
      <w:r>
        <w:rPr>
          <w:rFonts w:hint="eastAsia" w:ascii="宋体" w:hAnsi="宋体"/>
          <w:b/>
          <w:bCs/>
          <w:sz w:val="24"/>
          <w:u w:val="single"/>
        </w:rPr>
        <w:t>残疾人福利性单位</w:t>
      </w:r>
      <w:r>
        <w:rPr>
          <w:rFonts w:hint="eastAsia" w:ascii="宋体" w:hAnsi="宋体"/>
          <w:sz w:val="24"/>
        </w:rPr>
        <w:t>。</w:t>
      </w:r>
    </w:p>
    <w:p>
      <w:pPr>
        <w:ind w:firstLine="480" w:firstLineChars="200"/>
        <w:jc w:val="left"/>
        <w:rPr>
          <w:rFonts w:ascii="宋体" w:hAnsi="宋体"/>
          <w:sz w:val="24"/>
        </w:rPr>
      </w:pPr>
      <w:r>
        <w:rPr>
          <w:rFonts w:ascii="宋体" w:hAnsi="宋体"/>
          <w:sz w:val="24"/>
        </w:rPr>
        <w:t>……</w:t>
      </w:r>
    </w:p>
    <w:p>
      <w:pPr>
        <w:ind w:firstLine="480" w:firstLineChars="200"/>
        <w:jc w:val="left"/>
        <w:rPr>
          <w:rFonts w:ascii="宋体" w:hAnsi="宋体"/>
          <w:sz w:val="24"/>
        </w:rPr>
      </w:pPr>
      <w:r>
        <w:rPr>
          <w:rFonts w:hint="eastAsia" w:ascii="宋体" w:hAnsi="宋体"/>
          <w:sz w:val="24"/>
        </w:rPr>
        <w:t>本</w:t>
      </w:r>
      <w:r>
        <w:rPr>
          <w:rFonts w:ascii="宋体" w:hAnsi="宋体"/>
          <w:sz w:val="24"/>
        </w:rPr>
        <w:t>投标人</w:t>
      </w:r>
      <w:r>
        <w:rPr>
          <w:rFonts w:hint="eastAsia" w:ascii="宋体" w:hAnsi="宋体"/>
          <w:sz w:val="24"/>
        </w:rPr>
        <w:t>已</w:t>
      </w:r>
      <w:r>
        <w:rPr>
          <w:rFonts w:ascii="宋体" w:hAnsi="宋体"/>
          <w:sz w:val="24"/>
        </w:rPr>
        <w:t>知悉</w:t>
      </w:r>
      <w:r>
        <w:rPr>
          <w:rFonts w:hint="eastAsia" w:ascii="宋体" w:hAnsi="宋体"/>
          <w:sz w:val="24"/>
        </w:rPr>
        <w:t>《财政部民政部中国残疾人联合会关于促进残疾人就业政府采购政策的通知》（财库〔2017〕141号）</w:t>
      </w:r>
      <w:r>
        <w:rPr>
          <w:rFonts w:ascii="宋体" w:hAnsi="宋体"/>
          <w:sz w:val="24"/>
        </w:rPr>
        <w:t>的规定，承诺提供的声明函内容是真实的，如提供声明函内容不实，则依法追究相关法律责任</w:t>
      </w:r>
      <w:r>
        <w:rPr>
          <w:rFonts w:hint="eastAsia" w:ascii="宋体" w:hAnsi="宋体"/>
          <w:sz w:val="24"/>
        </w:rPr>
        <w:t>。</w:t>
      </w:r>
    </w:p>
    <w:p>
      <w:pPr>
        <w:ind w:firstLine="480" w:firstLineChars="200"/>
        <w:jc w:val="left"/>
        <w:rPr>
          <w:rFonts w:ascii="宋体" w:hAnsi="宋体"/>
          <w:sz w:val="24"/>
        </w:rPr>
      </w:pPr>
    </w:p>
    <w:p>
      <w:pPr>
        <w:spacing w:afterLines="25" w:line="300" w:lineRule="auto"/>
        <w:ind w:firstLine="481" w:firstLineChars="200"/>
        <w:jc w:val="left"/>
        <w:rPr>
          <w:rFonts w:ascii="宋体" w:hAnsi="宋体"/>
          <w:color w:val="FF0000"/>
          <w:sz w:val="24"/>
        </w:rPr>
      </w:pPr>
      <w:r>
        <w:rPr>
          <w:rFonts w:hint="eastAsia" w:ascii="宋体" w:hAnsi="宋体"/>
          <w:b/>
          <w:color w:val="FF0000"/>
          <w:sz w:val="24"/>
        </w:rPr>
        <w:t>说明：</w:t>
      </w:r>
      <w:r>
        <w:rPr>
          <w:rFonts w:hint="eastAsia" w:ascii="宋体" w:hAnsi="宋体"/>
          <w:color w:val="FF0000"/>
          <w:sz w:val="24"/>
        </w:rPr>
        <w:t>根据财库〔2017〕141号文件的规定,享受政府采购支持政策的残疾人福利性单位应当同时满足以下条件：</w:t>
      </w:r>
    </w:p>
    <w:p>
      <w:pPr>
        <w:spacing w:afterLines="25" w:line="300" w:lineRule="auto"/>
        <w:ind w:firstLine="480" w:firstLineChars="200"/>
        <w:jc w:val="left"/>
        <w:rPr>
          <w:rFonts w:ascii="宋体" w:hAnsi="宋体"/>
          <w:color w:val="FF0000"/>
          <w:sz w:val="24"/>
        </w:rPr>
      </w:pPr>
      <w:r>
        <w:rPr>
          <w:rFonts w:hint="eastAsia" w:ascii="宋体" w:hAnsi="宋体"/>
          <w:color w:val="FF0000"/>
          <w:sz w:val="24"/>
        </w:rPr>
        <w:t>（一）</w:t>
      </w:r>
      <w:r>
        <w:rPr>
          <w:rFonts w:hint="eastAsia" w:ascii="宋体" w:hAnsi="宋体"/>
          <w:b/>
          <w:color w:val="FF0000"/>
          <w:sz w:val="24"/>
        </w:rPr>
        <w:t>安置的残疾人占本单位在职职工人数的比例不低于25%（含25%），并且安置的残疾人人数不少于10人（含10人）</w:t>
      </w:r>
      <w:r>
        <w:rPr>
          <w:rFonts w:hint="eastAsia" w:ascii="宋体" w:hAnsi="宋体"/>
          <w:color w:val="FF0000"/>
          <w:sz w:val="24"/>
        </w:rPr>
        <w:t>；</w:t>
      </w:r>
    </w:p>
    <w:p>
      <w:pPr>
        <w:spacing w:afterLines="25" w:line="300" w:lineRule="auto"/>
        <w:ind w:firstLine="480" w:firstLineChars="200"/>
        <w:jc w:val="left"/>
        <w:rPr>
          <w:rFonts w:ascii="宋体" w:hAnsi="宋体"/>
          <w:color w:val="FF0000"/>
          <w:sz w:val="24"/>
        </w:rPr>
      </w:pPr>
      <w:r>
        <w:rPr>
          <w:rFonts w:hint="eastAsia" w:ascii="宋体" w:hAnsi="宋体"/>
          <w:color w:val="FF0000"/>
          <w:sz w:val="24"/>
        </w:rPr>
        <w:t>（二）依法与安置的每位残疾人签订了一年以上（含一年）的劳动合同或服务协议；</w:t>
      </w:r>
    </w:p>
    <w:p>
      <w:pPr>
        <w:spacing w:afterLines="25" w:line="300" w:lineRule="auto"/>
        <w:ind w:firstLine="480" w:firstLineChars="200"/>
        <w:jc w:val="left"/>
        <w:rPr>
          <w:rFonts w:ascii="宋体" w:hAnsi="宋体"/>
          <w:color w:val="FF0000"/>
          <w:sz w:val="24"/>
        </w:rPr>
      </w:pPr>
      <w:r>
        <w:rPr>
          <w:rFonts w:hint="eastAsia" w:ascii="宋体" w:hAnsi="宋体"/>
          <w:color w:val="FF0000"/>
          <w:sz w:val="24"/>
        </w:rPr>
        <w:t>（三）为安置的每位残疾人按月足额缴纳了基本养老保险、基本医疗保险、失业保险、工伤保险和生育保险等社会保险费；</w:t>
      </w:r>
    </w:p>
    <w:p>
      <w:pPr>
        <w:spacing w:afterLines="25" w:line="300" w:lineRule="auto"/>
        <w:ind w:firstLine="480" w:firstLineChars="200"/>
        <w:jc w:val="left"/>
        <w:rPr>
          <w:rFonts w:ascii="宋体" w:hAnsi="宋体"/>
          <w:color w:val="FF0000"/>
          <w:sz w:val="24"/>
        </w:rPr>
      </w:pPr>
      <w:r>
        <w:rPr>
          <w:rFonts w:hint="eastAsia" w:ascii="宋体" w:hAnsi="宋体"/>
          <w:color w:val="FF0000"/>
          <w:sz w:val="24"/>
        </w:rPr>
        <w:t>（四）通过银行等金融机构向安置的每位残疾人，按月支付了不低于单位所在区县适用的经省级人民政府批准的月最低工资标准的工资；</w:t>
      </w:r>
    </w:p>
    <w:p>
      <w:pPr>
        <w:ind w:firstLine="480" w:firstLineChars="200"/>
        <w:jc w:val="left"/>
        <w:rPr>
          <w:rFonts w:ascii="宋体" w:hAnsi="宋体"/>
          <w:color w:val="FF0000"/>
          <w:sz w:val="24"/>
        </w:rPr>
      </w:pPr>
      <w:r>
        <w:rPr>
          <w:rFonts w:hint="eastAsia" w:ascii="宋体" w:hAnsi="宋体"/>
          <w:color w:val="FF0000"/>
          <w:sz w:val="24"/>
        </w:rPr>
        <w:t>（五）提供本单位制造的货物、承担的工程或者服务（以下简称产品），或者提供其他残疾人福利性单位制造的货物（不包括使用非残疾人福利性单位注册商标的货物）。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ind w:firstLine="480" w:firstLineChars="200"/>
        <w:jc w:val="left"/>
        <w:rPr>
          <w:rFonts w:ascii="宋体" w:hAnsi="宋体"/>
          <w:sz w:val="24"/>
        </w:rPr>
      </w:pPr>
    </w:p>
    <w:p>
      <w:pPr>
        <w:ind w:firstLine="480" w:firstLineChars="200"/>
        <w:jc w:val="left"/>
        <w:rPr>
          <w:rFonts w:ascii="宋体" w:hAnsi="宋体"/>
          <w:sz w:val="24"/>
        </w:rPr>
      </w:pPr>
    </w:p>
    <w:p>
      <w:pPr>
        <w:jc w:val="center"/>
        <w:outlineLvl w:val="3"/>
        <w:rPr>
          <w:rFonts w:ascii="宋体" w:hAnsi="宋体"/>
          <w:b/>
          <w:sz w:val="24"/>
        </w:rPr>
      </w:pPr>
      <w:r>
        <w:rPr>
          <w:rFonts w:hint="eastAsia" w:ascii="宋体" w:hAnsi="宋体"/>
          <w:b/>
          <w:sz w:val="24"/>
        </w:rPr>
        <w:t>3、监狱企业声明函【服务类，监狱企业如需享受优惠政策，还须另行提供省级以上监狱管理局、戒毒管理局（含新疆生产建设兵团）出具的监狱企业证明文件】</w:t>
      </w:r>
    </w:p>
    <w:p>
      <w:pPr>
        <w:ind w:firstLine="480" w:firstLineChars="200"/>
        <w:jc w:val="left"/>
        <w:rPr>
          <w:rFonts w:ascii="宋体" w:hAnsi="宋体"/>
          <w:sz w:val="24"/>
        </w:rPr>
      </w:pPr>
      <w:r>
        <w:rPr>
          <w:rFonts w:hint="eastAsia" w:ascii="宋体" w:hAnsi="宋体"/>
          <w:sz w:val="24"/>
        </w:rPr>
        <w:t>本投标人郑重声明，根据《财政部司法部关于政府采购支持监狱企业发展有关问题的通知》（财库〔</w:t>
      </w:r>
      <w:r>
        <w:rPr>
          <w:rFonts w:ascii="宋体" w:hAnsi="宋体"/>
          <w:sz w:val="24"/>
        </w:rPr>
        <w:t>2014</w:t>
      </w:r>
      <w:r>
        <w:rPr>
          <w:rFonts w:hint="eastAsia" w:ascii="宋体" w:hAnsi="宋体"/>
          <w:sz w:val="24"/>
        </w:rPr>
        <w:t>〕</w:t>
      </w:r>
      <w:r>
        <w:rPr>
          <w:rFonts w:ascii="宋体" w:hAnsi="宋体"/>
          <w:sz w:val="24"/>
        </w:rPr>
        <w:t>68</w:t>
      </w:r>
      <w:r>
        <w:rPr>
          <w:rFonts w:hint="eastAsia" w:ascii="宋体" w:hAnsi="宋体"/>
          <w:sz w:val="24"/>
        </w:rPr>
        <w:t>号）的规定，本投标人</w:t>
      </w:r>
      <w:r>
        <w:rPr>
          <w:rFonts w:ascii="宋体" w:hAnsi="宋体"/>
          <w:sz w:val="24"/>
        </w:rPr>
        <w:t>参加</w:t>
      </w:r>
      <w:r>
        <w:rPr>
          <w:rFonts w:ascii="宋体" w:hAnsi="宋体"/>
          <w:b/>
          <w:bCs/>
          <w:sz w:val="24"/>
          <w:u w:val="single"/>
        </w:rPr>
        <w:t>（</w:t>
      </w:r>
      <w:r>
        <w:rPr>
          <w:rFonts w:hint="eastAsia" w:ascii="宋体" w:hAnsi="宋体"/>
          <w:b/>
          <w:bCs/>
          <w:sz w:val="24"/>
          <w:u w:val="single"/>
        </w:rPr>
        <w:t>采购人</w:t>
      </w:r>
      <w:r>
        <w:rPr>
          <w:rFonts w:ascii="宋体" w:hAnsi="宋体"/>
          <w:b/>
          <w:bCs/>
          <w:sz w:val="24"/>
          <w:u w:val="single"/>
        </w:rPr>
        <w:t>名称）</w:t>
      </w:r>
      <w:r>
        <w:rPr>
          <w:rFonts w:ascii="宋体" w:hAnsi="宋体"/>
          <w:sz w:val="24"/>
        </w:rPr>
        <w:t>的</w:t>
      </w:r>
      <w:r>
        <w:rPr>
          <w:rFonts w:ascii="宋体" w:hAnsi="宋体"/>
          <w:b/>
          <w:bCs/>
          <w:sz w:val="24"/>
          <w:u w:val="single"/>
        </w:rPr>
        <w:t>（项目名称）</w:t>
      </w:r>
      <w:r>
        <w:rPr>
          <w:rFonts w:ascii="宋体" w:hAnsi="宋体"/>
          <w:sz w:val="24"/>
        </w:rPr>
        <w:t>采购活动，</w:t>
      </w:r>
      <w:r>
        <w:rPr>
          <w:rFonts w:hint="eastAsia" w:ascii="宋体" w:hAnsi="宋体"/>
          <w:sz w:val="24"/>
        </w:rPr>
        <w:t>服务</w:t>
      </w:r>
      <w:r>
        <w:rPr>
          <w:rFonts w:ascii="宋体" w:hAnsi="宋体"/>
          <w:sz w:val="24"/>
        </w:rPr>
        <w:t>全部由符合政策要求的</w:t>
      </w:r>
      <w:r>
        <w:rPr>
          <w:rFonts w:hint="eastAsia" w:ascii="宋体" w:hAnsi="宋体"/>
          <w:sz w:val="24"/>
        </w:rPr>
        <w:t>监狱企业承接</w:t>
      </w:r>
      <w:r>
        <w:rPr>
          <w:rFonts w:ascii="宋体" w:hAnsi="宋体"/>
          <w:sz w:val="24"/>
        </w:rPr>
        <w:t>。相关</w:t>
      </w:r>
      <w:r>
        <w:rPr>
          <w:rFonts w:hint="eastAsia" w:ascii="宋体" w:hAnsi="宋体"/>
          <w:sz w:val="24"/>
        </w:rPr>
        <w:t>监狱企业</w:t>
      </w:r>
      <w:r>
        <w:rPr>
          <w:rFonts w:ascii="宋体" w:hAnsi="宋体"/>
          <w:sz w:val="24"/>
        </w:rPr>
        <w:t>的具体情况如下：</w:t>
      </w:r>
    </w:p>
    <w:p>
      <w:pPr>
        <w:ind w:firstLine="480" w:firstLineChars="200"/>
        <w:jc w:val="left"/>
        <w:rPr>
          <w:rFonts w:ascii="宋体" w:hAnsi="宋体"/>
          <w:sz w:val="24"/>
        </w:rPr>
      </w:pPr>
      <w:r>
        <w:rPr>
          <w:rFonts w:ascii="宋体" w:hAnsi="宋体"/>
          <w:sz w:val="24"/>
        </w:rPr>
        <w:t>1.</w:t>
      </w:r>
      <w:r>
        <w:rPr>
          <w:rFonts w:ascii="宋体" w:hAnsi="宋体"/>
          <w:b/>
          <w:bCs/>
          <w:sz w:val="24"/>
          <w:u w:val="single"/>
        </w:rPr>
        <w:t>（标的名称）</w:t>
      </w:r>
      <w:r>
        <w:rPr>
          <w:rFonts w:hint="eastAsia" w:ascii="宋体" w:hAnsi="宋体"/>
          <w:sz w:val="24"/>
        </w:rPr>
        <w:t>，承接单位</w:t>
      </w:r>
      <w:r>
        <w:rPr>
          <w:rFonts w:ascii="宋体" w:hAnsi="宋体"/>
          <w:sz w:val="24"/>
        </w:rPr>
        <w:t>为</w:t>
      </w:r>
      <w:r>
        <w:rPr>
          <w:rFonts w:ascii="宋体" w:hAnsi="宋体"/>
          <w:b/>
          <w:bCs/>
          <w:sz w:val="24"/>
          <w:u w:val="single"/>
        </w:rPr>
        <w:t>（</w:t>
      </w:r>
      <w:r>
        <w:rPr>
          <w:rFonts w:hint="eastAsia" w:ascii="宋体" w:hAnsi="宋体"/>
          <w:b/>
          <w:bCs/>
          <w:sz w:val="24"/>
          <w:u w:val="single"/>
        </w:rPr>
        <w:t>企业</w:t>
      </w:r>
      <w:r>
        <w:rPr>
          <w:rFonts w:ascii="宋体" w:hAnsi="宋体"/>
          <w:b/>
          <w:bCs/>
          <w:sz w:val="24"/>
          <w:u w:val="single"/>
        </w:rPr>
        <w:t>名称）</w:t>
      </w:r>
      <w:r>
        <w:rPr>
          <w:rFonts w:ascii="宋体" w:hAnsi="宋体"/>
          <w:sz w:val="24"/>
        </w:rPr>
        <w:t>，属于</w:t>
      </w:r>
      <w:r>
        <w:rPr>
          <w:rFonts w:hint="eastAsia" w:ascii="宋体" w:hAnsi="宋体"/>
          <w:b/>
          <w:bCs/>
          <w:sz w:val="24"/>
          <w:u w:val="single"/>
        </w:rPr>
        <w:t>监狱企业</w:t>
      </w:r>
      <w:r>
        <w:rPr>
          <w:rFonts w:ascii="宋体" w:hAnsi="宋体"/>
          <w:sz w:val="24"/>
        </w:rPr>
        <w:t>；</w:t>
      </w:r>
    </w:p>
    <w:p>
      <w:pPr>
        <w:ind w:firstLine="480" w:firstLineChars="200"/>
        <w:jc w:val="left"/>
        <w:rPr>
          <w:rFonts w:ascii="宋体" w:hAnsi="宋体"/>
          <w:sz w:val="24"/>
        </w:rPr>
      </w:pPr>
      <w:r>
        <w:rPr>
          <w:rFonts w:ascii="宋体" w:hAnsi="宋体"/>
          <w:sz w:val="24"/>
        </w:rPr>
        <w:t>2.</w:t>
      </w:r>
      <w:r>
        <w:rPr>
          <w:rFonts w:ascii="宋体" w:hAnsi="宋体"/>
          <w:b/>
          <w:bCs/>
          <w:sz w:val="24"/>
          <w:u w:val="single"/>
        </w:rPr>
        <w:t>（标的名称）</w:t>
      </w:r>
      <w:r>
        <w:rPr>
          <w:rFonts w:hint="eastAsia" w:ascii="宋体" w:hAnsi="宋体"/>
          <w:sz w:val="24"/>
        </w:rPr>
        <w:t>，承接单位</w:t>
      </w:r>
      <w:r>
        <w:rPr>
          <w:rFonts w:ascii="宋体" w:hAnsi="宋体"/>
          <w:sz w:val="24"/>
        </w:rPr>
        <w:t>为</w:t>
      </w:r>
      <w:r>
        <w:rPr>
          <w:rFonts w:ascii="宋体" w:hAnsi="宋体"/>
          <w:b/>
          <w:bCs/>
          <w:sz w:val="24"/>
          <w:u w:val="single"/>
        </w:rPr>
        <w:t>（</w:t>
      </w:r>
      <w:r>
        <w:rPr>
          <w:rFonts w:hint="eastAsia" w:ascii="宋体" w:hAnsi="宋体"/>
          <w:b/>
          <w:bCs/>
          <w:sz w:val="24"/>
          <w:u w:val="single"/>
        </w:rPr>
        <w:t>企业</w:t>
      </w:r>
      <w:r>
        <w:rPr>
          <w:rFonts w:ascii="宋体" w:hAnsi="宋体"/>
          <w:b/>
          <w:bCs/>
          <w:sz w:val="24"/>
          <w:u w:val="single"/>
        </w:rPr>
        <w:t>名称）</w:t>
      </w:r>
      <w:r>
        <w:rPr>
          <w:rFonts w:ascii="宋体" w:hAnsi="宋体"/>
          <w:sz w:val="24"/>
        </w:rPr>
        <w:t>，属于</w:t>
      </w:r>
      <w:r>
        <w:rPr>
          <w:rFonts w:hint="eastAsia" w:ascii="宋体" w:hAnsi="宋体"/>
          <w:b/>
          <w:bCs/>
          <w:sz w:val="24"/>
          <w:u w:val="single"/>
        </w:rPr>
        <w:t>监狱企业</w:t>
      </w:r>
      <w:r>
        <w:rPr>
          <w:rFonts w:hint="eastAsia" w:ascii="宋体" w:hAnsi="宋体"/>
          <w:sz w:val="24"/>
        </w:rPr>
        <w:t>。</w:t>
      </w:r>
    </w:p>
    <w:p>
      <w:pPr>
        <w:ind w:firstLine="480" w:firstLineChars="200"/>
        <w:jc w:val="left"/>
        <w:outlineLvl w:val="3"/>
        <w:rPr>
          <w:rFonts w:ascii="宋体" w:hAnsi="宋体"/>
          <w:sz w:val="24"/>
        </w:rPr>
      </w:pPr>
      <w:r>
        <w:rPr>
          <w:rFonts w:ascii="宋体" w:hAnsi="宋体"/>
          <w:sz w:val="24"/>
        </w:rPr>
        <w:t>……</w:t>
      </w:r>
    </w:p>
    <w:p>
      <w:pPr>
        <w:ind w:firstLine="480" w:firstLineChars="200"/>
        <w:jc w:val="left"/>
        <w:rPr>
          <w:rFonts w:ascii="宋体" w:hAnsi="宋体"/>
          <w:sz w:val="24"/>
        </w:rPr>
      </w:pPr>
      <w:r>
        <w:rPr>
          <w:rFonts w:ascii="宋体" w:hAnsi="宋体"/>
          <w:sz w:val="24"/>
        </w:rPr>
        <w:t>本</w:t>
      </w:r>
      <w:r>
        <w:rPr>
          <w:rFonts w:hint="eastAsia" w:ascii="宋体" w:hAnsi="宋体"/>
          <w:sz w:val="24"/>
        </w:rPr>
        <w:t>投标人</w:t>
      </w:r>
      <w:r>
        <w:rPr>
          <w:rFonts w:ascii="宋体" w:hAnsi="宋体"/>
          <w:sz w:val="24"/>
        </w:rPr>
        <w:t>对上述声明内容的真实性负责。如有虚假，将依法承担相应责任。</w:t>
      </w:r>
    </w:p>
    <w:p>
      <w:pPr>
        <w:ind w:firstLine="480" w:firstLineChars="200"/>
        <w:jc w:val="left"/>
        <w:rPr>
          <w:rFonts w:ascii="宋体" w:hAnsi="宋体"/>
          <w:sz w:val="24"/>
        </w:rPr>
      </w:pPr>
      <w:r>
        <w:rPr>
          <w:rFonts w:hint="eastAsia" w:ascii="宋体" w:hAnsi="宋体"/>
          <w:sz w:val="24"/>
        </w:rPr>
        <w:t>附：省级以上监狱管理局、戒毒管理局（含新疆生产建设兵团）出具的监狱企业证明文件。</w:t>
      </w:r>
    </w:p>
    <w:p>
      <w:pPr>
        <w:ind w:left="723" w:hanging="722" w:hangingChars="300"/>
        <w:jc w:val="left"/>
        <w:rPr>
          <w:rFonts w:ascii="宋体" w:hAnsi="宋体"/>
          <w:b/>
          <w:sz w:val="24"/>
        </w:rPr>
      </w:pPr>
    </w:p>
    <w:p>
      <w:pPr>
        <w:jc w:val="left"/>
        <w:rPr>
          <w:rFonts w:ascii="宋体" w:hAnsi="宋体"/>
          <w:b/>
          <w:sz w:val="24"/>
        </w:rPr>
      </w:pPr>
    </w:p>
    <w:p>
      <w:pPr>
        <w:spacing w:afterLines="25" w:line="300" w:lineRule="auto"/>
        <w:ind w:firstLine="481" w:firstLineChars="200"/>
        <w:jc w:val="center"/>
        <w:outlineLvl w:val="4"/>
        <w:rPr>
          <w:rFonts w:ascii="宋体" w:hAnsi="宋体"/>
          <w:b/>
          <w:sz w:val="24"/>
        </w:rPr>
      </w:pPr>
      <w:r>
        <w:rPr>
          <w:rFonts w:hint="eastAsia" w:ascii="宋体" w:hAnsi="宋体"/>
          <w:b/>
          <w:sz w:val="24"/>
        </w:rPr>
        <w:t>4、含有优惠主体的联合体声明函</w:t>
      </w:r>
    </w:p>
    <w:p>
      <w:pPr>
        <w:spacing w:afterLines="25" w:line="300" w:lineRule="auto"/>
        <w:ind w:firstLine="480" w:firstLineChars="200"/>
        <w:jc w:val="left"/>
        <w:rPr>
          <w:rFonts w:ascii="宋体" w:hAnsi="宋体"/>
          <w:sz w:val="24"/>
        </w:rPr>
      </w:pPr>
      <w:r>
        <w:rPr>
          <w:rFonts w:hint="eastAsia" w:ascii="宋体" w:hAnsi="宋体"/>
          <w:sz w:val="24"/>
          <w:u w:val="single"/>
        </w:rPr>
        <w:t xml:space="preserve"> （供应商名称、供应商名称） </w:t>
      </w:r>
      <w:r>
        <w:rPr>
          <w:rFonts w:hint="eastAsia" w:ascii="宋体" w:hAnsi="宋体"/>
          <w:sz w:val="24"/>
        </w:rPr>
        <w:t>共同组成联合体（详见联合体协议）。本联合体</w:t>
      </w:r>
      <w:r>
        <w:rPr>
          <w:rFonts w:ascii="宋体" w:hAnsi="宋体"/>
          <w:sz w:val="24"/>
        </w:rPr>
        <w:t>参加</w:t>
      </w:r>
      <w:r>
        <w:rPr>
          <w:rFonts w:ascii="宋体" w:hAnsi="宋体"/>
          <w:b/>
          <w:bCs/>
          <w:sz w:val="24"/>
          <w:u w:val="single"/>
        </w:rPr>
        <w:t>（</w:t>
      </w:r>
      <w:r>
        <w:rPr>
          <w:rFonts w:hint="eastAsia" w:ascii="宋体" w:hAnsi="宋体"/>
          <w:b/>
          <w:bCs/>
          <w:sz w:val="24"/>
          <w:u w:val="single"/>
        </w:rPr>
        <w:t>采购人</w:t>
      </w:r>
      <w:r>
        <w:rPr>
          <w:rFonts w:ascii="宋体" w:hAnsi="宋体"/>
          <w:b/>
          <w:bCs/>
          <w:sz w:val="24"/>
          <w:u w:val="single"/>
        </w:rPr>
        <w:t>名称）</w:t>
      </w:r>
      <w:r>
        <w:rPr>
          <w:rFonts w:ascii="宋体" w:hAnsi="宋体"/>
          <w:sz w:val="24"/>
        </w:rPr>
        <w:t>的</w:t>
      </w:r>
      <w:r>
        <w:rPr>
          <w:rFonts w:ascii="宋体" w:hAnsi="宋体"/>
          <w:b/>
          <w:bCs/>
          <w:sz w:val="24"/>
          <w:u w:val="single"/>
        </w:rPr>
        <w:t>（项目名称）</w:t>
      </w:r>
      <w:r>
        <w:rPr>
          <w:rFonts w:ascii="宋体" w:hAnsi="宋体"/>
          <w:sz w:val="24"/>
        </w:rPr>
        <w:t>采购活动</w:t>
      </w:r>
      <w:r>
        <w:rPr>
          <w:rFonts w:hint="eastAsia" w:ascii="宋体" w:hAnsi="宋体"/>
          <w:sz w:val="24"/>
        </w:rPr>
        <w:t>，郑重声明：</w:t>
      </w:r>
    </w:p>
    <w:p>
      <w:pPr>
        <w:spacing w:afterLines="25" w:line="300" w:lineRule="auto"/>
        <w:ind w:firstLine="480" w:firstLineChars="200"/>
        <w:jc w:val="left"/>
        <w:rPr>
          <w:rFonts w:ascii="宋体" w:hAnsi="宋体"/>
          <w:sz w:val="24"/>
        </w:rPr>
      </w:pPr>
      <w:r>
        <w:rPr>
          <w:rFonts w:ascii="宋体" w:hAnsi="宋体"/>
          <w:sz w:val="24"/>
        </w:rPr>
        <w:t>1.</w:t>
      </w:r>
      <w:r>
        <w:rPr>
          <w:rFonts w:ascii="宋体" w:hAnsi="宋体"/>
          <w:b/>
          <w:bCs/>
          <w:sz w:val="24"/>
          <w:u w:val="single"/>
        </w:rPr>
        <w:t>（标的名称）</w:t>
      </w:r>
      <w:r>
        <w:rPr>
          <w:rFonts w:ascii="宋体" w:hAnsi="宋体"/>
          <w:sz w:val="24"/>
        </w:rPr>
        <w:t>，属于</w:t>
      </w:r>
      <w:r>
        <w:rPr>
          <w:rFonts w:ascii="宋体" w:hAnsi="宋体"/>
          <w:b/>
          <w:bCs/>
          <w:sz w:val="24"/>
          <w:u w:val="single"/>
        </w:rPr>
        <w:t>（</w:t>
      </w:r>
      <w:r>
        <w:rPr>
          <w:rFonts w:hint="eastAsia" w:ascii="宋体" w:hAnsi="宋体"/>
          <w:b/>
          <w:bCs/>
          <w:sz w:val="24"/>
          <w:u w:val="single"/>
        </w:rPr>
        <w:t>采购文件</w:t>
      </w:r>
      <w:r>
        <w:rPr>
          <w:rFonts w:ascii="宋体" w:hAnsi="宋体"/>
          <w:b/>
          <w:bCs/>
          <w:sz w:val="24"/>
          <w:u w:val="single"/>
        </w:rPr>
        <w:t xml:space="preserve">中明确的所属行业） </w:t>
      </w:r>
      <w:r>
        <w:rPr>
          <w:rFonts w:ascii="宋体" w:hAnsi="宋体"/>
          <w:sz w:val="24"/>
        </w:rPr>
        <w:t>行业；</w:t>
      </w:r>
      <w:r>
        <w:rPr>
          <w:rFonts w:hint="eastAsia" w:ascii="宋体" w:hAnsi="宋体"/>
          <w:sz w:val="24"/>
        </w:rPr>
        <w:t>承接企业</w:t>
      </w:r>
      <w:r>
        <w:rPr>
          <w:rFonts w:ascii="宋体" w:hAnsi="宋体"/>
          <w:sz w:val="24"/>
        </w:rPr>
        <w:t>为</w:t>
      </w:r>
      <w:r>
        <w:rPr>
          <w:rFonts w:ascii="宋体" w:hAnsi="宋体"/>
          <w:b/>
          <w:bCs/>
          <w:sz w:val="24"/>
          <w:u w:val="single"/>
        </w:rPr>
        <w:t>（企业名称）</w:t>
      </w:r>
      <w:r>
        <w:rPr>
          <w:rFonts w:ascii="宋体" w:hAnsi="宋体"/>
          <w:sz w:val="24"/>
        </w:rPr>
        <w:t>，从业人员人，营业收入为万元，资产总额为万元 ，属于</w:t>
      </w:r>
      <w:r>
        <w:rPr>
          <w:rFonts w:ascii="宋体" w:hAnsi="宋体"/>
          <w:b/>
          <w:bCs/>
          <w:sz w:val="24"/>
          <w:u w:val="single"/>
        </w:rPr>
        <w:t>（</w:t>
      </w:r>
      <w:r>
        <w:rPr>
          <w:rFonts w:hint="eastAsia" w:ascii="宋体" w:hAnsi="宋体"/>
          <w:b/>
          <w:bCs/>
          <w:sz w:val="24"/>
          <w:u w:val="single"/>
        </w:rPr>
        <w:t>小型企业、微型企业、监狱企业、残疾人福利性单位</w:t>
      </w:r>
      <w:r>
        <w:rPr>
          <w:rFonts w:ascii="宋体" w:hAnsi="宋体"/>
          <w:b/>
          <w:bCs/>
          <w:sz w:val="24"/>
          <w:u w:val="single"/>
        </w:rPr>
        <w:t>）</w:t>
      </w:r>
      <w:r>
        <w:rPr>
          <w:rFonts w:ascii="宋体" w:hAnsi="宋体"/>
          <w:sz w:val="24"/>
        </w:rPr>
        <w:t xml:space="preserve">； </w:t>
      </w:r>
    </w:p>
    <w:p>
      <w:pPr>
        <w:spacing w:afterLines="25" w:line="300" w:lineRule="auto"/>
        <w:ind w:firstLine="480" w:firstLineChars="200"/>
        <w:jc w:val="left"/>
        <w:rPr>
          <w:rFonts w:ascii="宋体" w:hAnsi="宋体"/>
          <w:sz w:val="24"/>
          <w:u w:val="single"/>
        </w:rPr>
      </w:pPr>
      <w:r>
        <w:rPr>
          <w:rFonts w:ascii="宋体" w:hAnsi="宋体"/>
          <w:sz w:val="24"/>
        </w:rPr>
        <w:t>2.</w:t>
      </w:r>
      <w:r>
        <w:rPr>
          <w:rFonts w:ascii="宋体" w:hAnsi="宋体"/>
          <w:b/>
          <w:bCs/>
          <w:sz w:val="24"/>
          <w:u w:val="single"/>
        </w:rPr>
        <w:t>（标的名称）</w:t>
      </w:r>
      <w:r>
        <w:rPr>
          <w:rFonts w:ascii="宋体" w:hAnsi="宋体"/>
          <w:sz w:val="24"/>
        </w:rPr>
        <w:t>，属于</w:t>
      </w:r>
      <w:r>
        <w:rPr>
          <w:rFonts w:ascii="宋体" w:hAnsi="宋体"/>
          <w:b/>
          <w:bCs/>
          <w:sz w:val="24"/>
          <w:u w:val="single"/>
        </w:rPr>
        <w:t>（</w:t>
      </w:r>
      <w:r>
        <w:rPr>
          <w:rFonts w:hint="eastAsia" w:ascii="宋体" w:hAnsi="宋体"/>
          <w:b/>
          <w:bCs/>
          <w:sz w:val="24"/>
          <w:u w:val="single"/>
        </w:rPr>
        <w:t>采购文件</w:t>
      </w:r>
      <w:r>
        <w:rPr>
          <w:rFonts w:ascii="宋体" w:hAnsi="宋体"/>
          <w:b/>
          <w:bCs/>
          <w:sz w:val="24"/>
          <w:u w:val="single"/>
        </w:rPr>
        <w:t xml:space="preserve">中明确的所属行业） </w:t>
      </w:r>
      <w:r>
        <w:rPr>
          <w:rFonts w:ascii="宋体" w:hAnsi="宋体"/>
          <w:sz w:val="24"/>
        </w:rPr>
        <w:t>行业；</w:t>
      </w:r>
      <w:r>
        <w:rPr>
          <w:rFonts w:hint="eastAsia" w:ascii="宋体" w:hAnsi="宋体"/>
          <w:sz w:val="24"/>
        </w:rPr>
        <w:t>承接企业</w:t>
      </w:r>
      <w:r>
        <w:rPr>
          <w:rFonts w:ascii="宋体" w:hAnsi="宋体"/>
          <w:sz w:val="24"/>
        </w:rPr>
        <w:t>为</w:t>
      </w:r>
      <w:r>
        <w:rPr>
          <w:rFonts w:ascii="宋体" w:hAnsi="宋体"/>
          <w:b/>
          <w:bCs/>
          <w:sz w:val="24"/>
          <w:u w:val="single"/>
        </w:rPr>
        <w:t>（企业名称）</w:t>
      </w:r>
      <w:r>
        <w:rPr>
          <w:rFonts w:ascii="宋体" w:hAnsi="宋体"/>
          <w:sz w:val="24"/>
        </w:rPr>
        <w:t>，从业人员人，营业收入为万元，资产总额为万元 ，属于</w:t>
      </w:r>
      <w:r>
        <w:rPr>
          <w:rFonts w:ascii="宋体" w:hAnsi="宋体"/>
          <w:b/>
          <w:bCs/>
          <w:sz w:val="24"/>
          <w:u w:val="single"/>
        </w:rPr>
        <w:t>（</w:t>
      </w:r>
      <w:r>
        <w:rPr>
          <w:rFonts w:hint="eastAsia" w:ascii="宋体" w:hAnsi="宋体"/>
          <w:b/>
          <w:bCs/>
          <w:sz w:val="24"/>
          <w:u w:val="single"/>
        </w:rPr>
        <w:t>小型企业、微型企业、监狱企业、残疾人福利性单位</w:t>
      </w:r>
      <w:r>
        <w:rPr>
          <w:rFonts w:ascii="宋体" w:hAnsi="宋体"/>
          <w:b/>
          <w:bCs/>
          <w:sz w:val="24"/>
          <w:u w:val="single"/>
        </w:rPr>
        <w:t>）</w:t>
      </w:r>
      <w:r>
        <w:rPr>
          <w:rFonts w:hint="eastAsia" w:ascii="宋体" w:hAnsi="宋体"/>
          <w:sz w:val="24"/>
        </w:rPr>
        <w:t>；</w:t>
      </w:r>
    </w:p>
    <w:p>
      <w:pPr>
        <w:spacing w:afterLines="25" w:line="300" w:lineRule="auto"/>
        <w:ind w:firstLine="480" w:firstLineChars="200"/>
        <w:jc w:val="left"/>
        <w:rPr>
          <w:rFonts w:ascii="宋体" w:hAnsi="宋体"/>
          <w:sz w:val="24"/>
        </w:rPr>
      </w:pPr>
      <w:r>
        <w:rPr>
          <w:rFonts w:ascii="宋体" w:hAnsi="宋体"/>
          <w:sz w:val="24"/>
        </w:rPr>
        <w:t>……</w:t>
      </w:r>
    </w:p>
    <w:p>
      <w:pPr>
        <w:spacing w:afterLines="25" w:line="300" w:lineRule="auto"/>
        <w:ind w:firstLine="480" w:firstLineChars="200"/>
        <w:jc w:val="left"/>
        <w:rPr>
          <w:rFonts w:ascii="宋体" w:hAnsi="宋体"/>
          <w:sz w:val="24"/>
        </w:rPr>
      </w:pPr>
      <w:r>
        <w:rPr>
          <w:rFonts w:hint="eastAsia" w:ascii="宋体" w:hAnsi="宋体"/>
          <w:sz w:val="24"/>
        </w:rPr>
        <w:t>上述优惠主体均符合《</w:t>
      </w:r>
      <w:r>
        <w:rPr>
          <w:rFonts w:ascii="宋体" w:hAnsi="宋体"/>
          <w:sz w:val="24"/>
        </w:rPr>
        <w:t>政府采购促进中小企业发展管理办法</w:t>
      </w:r>
      <w:r>
        <w:rPr>
          <w:rFonts w:hint="eastAsia" w:ascii="宋体" w:hAnsi="宋体"/>
          <w:sz w:val="24"/>
        </w:rPr>
        <w:t>》（</w:t>
      </w:r>
      <w:r>
        <w:rPr>
          <w:rFonts w:ascii="宋体" w:hAnsi="宋体"/>
          <w:sz w:val="24"/>
        </w:rPr>
        <w:t>财库〔2020〕46号</w:t>
      </w:r>
      <w:r>
        <w:rPr>
          <w:rFonts w:hint="eastAsia" w:ascii="宋体" w:hAnsi="宋体"/>
          <w:sz w:val="24"/>
        </w:rPr>
        <w:t>）或《关于政府采购支持监狱企业发展有关问题的通知》（财库〔2014〕68号）或《关于促进残疾人就业政府采购政策的通知》（财库〔2017〕141号）等文件的规定，且优惠主体的协议合同金额占到联合体协议总金额比例为</w:t>
      </w:r>
      <w:r>
        <w:rPr>
          <w:rFonts w:hint="eastAsia" w:ascii="宋体" w:hAnsi="宋体"/>
          <w:sz w:val="24"/>
          <w:u w:val="single"/>
        </w:rPr>
        <w:t>_____</w:t>
      </w:r>
      <w:r>
        <w:rPr>
          <w:rFonts w:hint="eastAsia" w:ascii="宋体" w:hAnsi="宋体"/>
          <w:sz w:val="24"/>
        </w:rPr>
        <w:t>%。</w:t>
      </w:r>
    </w:p>
    <w:p>
      <w:pPr>
        <w:spacing w:afterLines="25" w:line="300" w:lineRule="auto"/>
        <w:ind w:firstLine="480" w:firstLineChars="200"/>
        <w:jc w:val="left"/>
        <w:rPr>
          <w:rFonts w:ascii="宋体" w:hAnsi="宋体"/>
          <w:sz w:val="24"/>
        </w:rPr>
      </w:pPr>
      <w:r>
        <w:rPr>
          <w:rFonts w:hint="eastAsia" w:ascii="宋体" w:hAnsi="宋体"/>
          <w:sz w:val="24"/>
        </w:rPr>
        <w:t>本联合体对上述声明的真实性负责。如有虚假，将依法承担相应责任。</w:t>
      </w:r>
    </w:p>
    <w:p>
      <w:pPr>
        <w:spacing w:afterLines="25" w:line="300" w:lineRule="auto"/>
        <w:jc w:val="left"/>
        <w:rPr>
          <w:rFonts w:ascii="宋体" w:hAnsi="宋体"/>
          <w:sz w:val="24"/>
        </w:rPr>
      </w:pPr>
    </w:p>
    <w:p>
      <w:pPr>
        <w:spacing w:afterLines="25" w:line="300" w:lineRule="auto"/>
        <w:jc w:val="left"/>
        <w:rPr>
          <w:rFonts w:ascii="宋体" w:hAnsi="宋体"/>
          <w:sz w:val="24"/>
        </w:rPr>
      </w:pPr>
      <w:r>
        <w:rPr>
          <w:rFonts w:hint="eastAsia" w:ascii="宋体" w:hAnsi="宋体"/>
          <w:sz w:val="24"/>
        </w:rPr>
        <w:t>供应商名称：                              供应商名称：</w:t>
      </w:r>
    </w:p>
    <w:p>
      <w:pPr>
        <w:spacing w:afterLines="25" w:line="300" w:lineRule="auto"/>
        <w:jc w:val="left"/>
        <w:rPr>
          <w:rFonts w:ascii="宋体" w:hAnsi="宋体"/>
          <w:sz w:val="24"/>
        </w:rPr>
      </w:pPr>
      <w:r>
        <w:rPr>
          <w:rFonts w:hint="eastAsia" w:ascii="宋体" w:hAnsi="宋体"/>
          <w:sz w:val="24"/>
        </w:rPr>
        <w:t>日期：                                    日期：</w:t>
      </w:r>
    </w:p>
    <w:p>
      <w:pPr>
        <w:spacing w:afterLines="25" w:line="300" w:lineRule="auto"/>
        <w:jc w:val="left"/>
        <w:rPr>
          <w:rFonts w:ascii="宋体" w:hAnsi="宋体"/>
          <w:sz w:val="24"/>
        </w:rPr>
      </w:pPr>
    </w:p>
    <w:p>
      <w:pPr>
        <w:jc w:val="center"/>
        <w:rPr>
          <w:b/>
          <w:bCs/>
          <w:sz w:val="32"/>
          <w:szCs w:val="32"/>
        </w:rPr>
      </w:pPr>
      <w:r>
        <w:rPr>
          <w:rFonts w:hint="eastAsia" w:ascii="宋体" w:hAnsi="宋体"/>
          <w:b/>
          <w:color w:val="FF0000"/>
          <w:sz w:val="24"/>
        </w:rPr>
        <w:t>说明：本声明函仅针对允许联合体投标的项目（联合体数量上限以资格要求为准），非联合体投标的供应商或不符合优惠政策的供应商无需提供。</w:t>
      </w:r>
      <w:r>
        <w:rPr>
          <w:rFonts w:hint="eastAsia" w:ascii="宋体" w:hAnsi="宋体"/>
          <w:color w:val="FF0000"/>
          <w:sz w:val="24"/>
        </w:rPr>
        <w:t>符合条件的供应商，请仔细填写声明函中需填写内容，</w:t>
      </w:r>
      <w:r>
        <w:rPr>
          <w:rFonts w:hint="eastAsia" w:ascii="宋体" w:hAnsi="宋体"/>
          <w:b/>
          <w:color w:val="0070C0"/>
          <w:sz w:val="24"/>
        </w:rPr>
        <w:t>供应商可根据自身联合体数量及</w:t>
      </w:r>
      <w:r>
        <w:rPr>
          <w:rFonts w:hint="eastAsia" w:ascii="宋体" w:hAnsi="宋体"/>
          <w:b/>
          <w:color w:val="FF0000"/>
          <w:sz w:val="24"/>
        </w:rPr>
        <w:t>优惠主体类型</w:t>
      </w:r>
      <w:r>
        <w:rPr>
          <w:rFonts w:hint="eastAsia" w:ascii="宋体" w:hAnsi="宋体"/>
          <w:b/>
          <w:color w:val="0070C0"/>
          <w:sz w:val="24"/>
        </w:rPr>
        <w:t>进行调整本声明函格式</w:t>
      </w:r>
      <w:r>
        <w:rPr>
          <w:rFonts w:hint="eastAsia" w:ascii="宋体" w:hAnsi="宋体"/>
          <w:color w:val="FF0000"/>
          <w:sz w:val="24"/>
        </w:rPr>
        <w:t>，</w:t>
      </w:r>
      <w:r>
        <w:rPr>
          <w:rFonts w:hint="eastAsia" w:ascii="宋体" w:hAnsi="宋体"/>
          <w:b/>
          <w:color w:val="0070C0"/>
          <w:sz w:val="24"/>
        </w:rPr>
        <w:t>如内容填写不全</w:t>
      </w:r>
      <w:r>
        <w:rPr>
          <w:rFonts w:hint="eastAsia" w:ascii="宋体" w:hAnsi="宋体"/>
          <w:color w:val="FF0000"/>
          <w:sz w:val="24"/>
        </w:rPr>
        <w:t>，评委会有权认定该声明函无效，并做出对供应商不予享受优惠政策的决定。</w:t>
      </w:r>
      <w:r>
        <w:rPr>
          <w:b/>
          <w:bCs/>
          <w:sz w:val="32"/>
          <w:szCs w:val="32"/>
        </w:rPr>
        <w:br w:type="page"/>
      </w:r>
      <w:r>
        <w:rPr>
          <w:rFonts w:hint="eastAsia"/>
          <w:b/>
          <w:bCs/>
          <w:sz w:val="32"/>
          <w:szCs w:val="32"/>
        </w:rPr>
        <w:t>二十一</w:t>
      </w:r>
      <w:r>
        <w:rPr>
          <w:b/>
          <w:bCs/>
          <w:sz w:val="32"/>
          <w:szCs w:val="32"/>
        </w:rPr>
        <w:t>、投标人认为需要加以说明的其他内容</w:t>
      </w:r>
    </w:p>
    <w:p>
      <w:pPr>
        <w:keepNext/>
        <w:keepLines/>
        <w:spacing w:before="260" w:after="260" w:line="416" w:lineRule="auto"/>
        <w:rPr>
          <w:rFonts w:ascii="Arial" w:hAnsi="Arial" w:eastAsia="黑体"/>
          <w:b/>
          <w:bCs/>
          <w:sz w:val="32"/>
          <w:szCs w:val="32"/>
        </w:rPr>
      </w:pPr>
    </w:p>
    <w:p>
      <w:pPr>
        <w:jc w:val="center"/>
        <w:rPr>
          <w:b/>
          <w:bCs/>
          <w:sz w:val="32"/>
          <w:szCs w:val="32"/>
        </w:rPr>
      </w:pPr>
    </w:p>
    <w:p>
      <w:pPr>
        <w:pStyle w:val="73"/>
      </w:pPr>
    </w:p>
    <w:sectPr>
      <w:footerReference r:id="rId6" w:type="default"/>
      <w:pgSz w:w="11906" w:h="16838"/>
      <w:pgMar w:top="1134" w:right="1134" w:bottom="1134" w:left="1134" w:header="851" w:footer="992"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Cambria">
    <w:altName w:val="FreeSerif"/>
    <w:panose1 w:val="02040503050406030204"/>
    <w:charset w:val="00"/>
    <w:family w:val="roman"/>
    <w:pitch w:val="default"/>
    <w:sig w:usb0="00000000" w:usb1="00000000" w:usb2="00000000" w:usb3="00000000" w:csb0="0000009F" w:csb1="00000000"/>
  </w:font>
  <w:font w:name="Arial">
    <w:altName w:val="DejaVu Sans"/>
    <w:panose1 w:val="020B0604020202020204"/>
    <w:charset w:val="00"/>
    <w:family w:val="swiss"/>
    <w:pitch w:val="default"/>
    <w:sig w:usb0="00000000" w:usb1="00000000" w:usb2="00000009" w:usb3="00000000" w:csb0="000001FF" w:csb1="00000000"/>
  </w:font>
  <w:font w:name="Helvetica Neue">
    <w:altName w:val="华文仿宋"/>
    <w:panose1 w:val="00000000000000000000"/>
    <w:charset w:val="00"/>
    <w:family w:val="swiss"/>
    <w:pitch w:val="default"/>
    <w:sig w:usb0="00000000" w:usb1="00000000" w:usb2="00000000" w:usb3="00000000" w:csb0="00040001" w:csb1="00000000"/>
  </w:font>
  <w:font w:name="Courier New">
    <w:altName w:val="DejaVu Sans"/>
    <w:panose1 w:val="02070309020205020404"/>
    <w:charset w:val="00"/>
    <w:family w:val="modern"/>
    <w:pitch w:val="default"/>
    <w:sig w:usb0="00000000" w:usb1="00000000" w:usb2="00000009" w:usb3="00000000" w:csb0="000001FF" w:csb1="00000000"/>
  </w:font>
  <w:font w:name="隶书">
    <w:altName w:val="方正隶书_GBK"/>
    <w:panose1 w:val="02010509060101010101"/>
    <w:charset w:val="86"/>
    <w:family w:val="modern"/>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Verdana">
    <w:altName w:val="Ubuntu"/>
    <w:panose1 w:val="020B0604030504040204"/>
    <w:charset w:val="00"/>
    <w:family w:val="swiss"/>
    <w:pitch w:val="default"/>
    <w:sig w:usb0="00000000" w:usb1="00000000" w:usb2="00000010" w:usb3="00000000" w:csb0="0000019F" w:csb1="00000000"/>
  </w:font>
  <w:font w:name="Tahoma">
    <w:altName w:val="DejaVu Sans"/>
    <w:panose1 w:val="020B0604030504040204"/>
    <w:charset w:val="00"/>
    <w:family w:val="swiss"/>
    <w:pitch w:val="default"/>
    <w:sig w:usb0="00000000" w:usb1="00000000" w:usb2="00000029" w:usb3="00000000" w:csb0="000101FF" w:csb1="00000000"/>
  </w:font>
  <w:font w:name="仿宋">
    <w:altName w:val="方正仿宋_GBK"/>
    <w:panose1 w:val="02010609060101010101"/>
    <w:charset w:val="86"/>
    <w:family w:val="modern"/>
    <w:pitch w:val="default"/>
    <w:sig w:usb0="00000000" w:usb1="00000000" w:usb2="00000016" w:usb3="00000000" w:csb0="00040001" w:csb1="00000000"/>
  </w:font>
  <w:font w:name="方正仿宋_GBK">
    <w:panose1 w:val="02000000000000000000"/>
    <w:charset w:val="86"/>
    <w:family w:val="auto"/>
    <w:pitch w:val="default"/>
    <w:sig w:usb0="00000001" w:usb1="08000000" w:usb2="00000000" w:usb3="00000000" w:csb0="00040000" w:csb1="00000000"/>
  </w:font>
  <w:font w:name="微软雅黑">
    <w:altName w:val="方正黑体_GBK"/>
    <w:panose1 w:val="020B0503020204020204"/>
    <w:charset w:val="86"/>
    <w:family w:val="swiss"/>
    <w:pitch w:val="default"/>
    <w:sig w:usb0="00000000" w:usb1="00000000" w:usb2="00000016" w:usb3="00000000" w:csb0="0004001F"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黑体_GBK">
    <w:panose1 w:val="02000000000000000000"/>
    <w:charset w:val="86"/>
    <w:family w:val="auto"/>
    <w:pitch w:val="default"/>
    <w:sig w:usb0="00000001" w:usb1="08000000" w:usb2="00000000" w:usb3="00000000" w:csb0="00040000" w:csb1="00000000"/>
  </w:font>
  <w:font w:name="方正宋体S-超大字符集">
    <w:panose1 w:val="02000000000000000000"/>
    <w:charset w:val="86"/>
    <w:family w:val="auto"/>
    <w:pitch w:val="default"/>
    <w:sig w:usb0="00000001" w:usb1="08000000" w:usb2="00000000" w:usb3="00000000" w:csb0="00040000" w:csb1="00000000"/>
  </w:font>
  <w:font w:name="FreeSerif">
    <w:panose1 w:val="02020603050405020304"/>
    <w:charset w:val="00"/>
    <w:family w:val="auto"/>
    <w:pitch w:val="default"/>
    <w:sig w:usb0="E59FAFFF" w:usb1="C200FDFF" w:usb2="43501B29" w:usb3="04000043" w:csb0="600101FF" w:csb1="FFFF0000"/>
  </w:font>
  <w:font w:name="华文仿宋">
    <w:panose1 w:val="02010600040101010101"/>
    <w:charset w:val="86"/>
    <w:family w:val="auto"/>
    <w:pitch w:val="default"/>
    <w:sig w:usb0="00000287" w:usb1="080F0000" w:usb2="00000000" w:usb3="00000000" w:csb0="0004009F" w:csb1="DFD70000"/>
  </w:font>
  <w:font w:name="Standard Symbols PS">
    <w:panose1 w:val="05050102010706020507"/>
    <w:charset w:val="00"/>
    <w:family w:val="auto"/>
    <w:pitch w:val="default"/>
    <w:sig w:usb0="00000003" w:usb1="00000000" w:usb2="00000000" w:usb3="00000000" w:csb0="00000001" w:csb1="00000000"/>
  </w:font>
  <w:font w:name="方正隶书_GBK">
    <w:panose1 w:val="02000000000000000000"/>
    <w:charset w:val="86"/>
    <w:family w:val="auto"/>
    <w:pitch w:val="default"/>
    <w:sig w:usb0="00000001" w:usb1="08000000" w:usb2="00000000" w:usb3="00000000" w:csb0="00040000" w:csb1="00000000"/>
  </w:font>
  <w:font w:name="Ubuntu">
    <w:panose1 w:val="020B0604030602030204"/>
    <w:charset w:val="00"/>
    <w:family w:val="auto"/>
    <w:pitch w:val="default"/>
    <w:sig w:usb0="E00002FF" w:usb1="5000205B" w:usb2="00000000" w:usb3="00000000" w:csb0="2000009F" w:csb1="56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57785" cy="131445"/>
              <wp:effectExtent l="0" t="0" r="0" b="0"/>
              <wp:wrapNone/>
              <wp:docPr id="3" name="矩形 1012"/>
              <wp:cNvGraphicFramePr/>
              <a:graphic xmlns:a="http://schemas.openxmlformats.org/drawingml/2006/main">
                <a:graphicData uri="http://schemas.microsoft.com/office/word/2010/wordprocessingShape">
                  <wps:wsp>
                    <wps:cNvSpPr/>
                    <wps:spPr>
                      <a:xfrm>
                        <a:off x="0" y="0"/>
                        <a:ext cx="57785" cy="131445"/>
                      </a:xfrm>
                      <a:prstGeom prst="rect">
                        <a:avLst/>
                      </a:prstGeom>
                      <a:noFill/>
                      <a:ln>
                        <a:noFill/>
                      </a:ln>
                      <a:effectLst/>
                    </wps:spPr>
                    <wps:txbx>
                      <w:txbxContent>
                        <w:p>
                          <w:pPr>
                            <w:pStyle w:val="21"/>
                          </w:pPr>
                          <w:r>
                            <w:fldChar w:fldCharType="begin"/>
                          </w:r>
                          <w:r>
                            <w:instrText xml:space="preserve"> PAGE  \* MERGEFORMAT </w:instrText>
                          </w:r>
                          <w:r>
                            <w:fldChar w:fldCharType="separate"/>
                          </w:r>
                          <w:r>
                            <w:t>2</w:t>
                          </w:r>
                          <w:r>
                            <w:fldChar w:fldCharType="end"/>
                          </w:r>
                        </w:p>
                      </w:txbxContent>
                    </wps:txbx>
                    <wps:bodyPr wrap="square" lIns="0" tIns="0" rIns="0" bIns="0" upright="true">
                      <a:spAutoFit/>
                    </wps:bodyPr>
                  </wps:wsp>
                </a:graphicData>
              </a:graphic>
            </wp:anchor>
          </w:drawing>
        </mc:Choice>
        <mc:Fallback>
          <w:pict>
            <v:rect id="矩形 1012" o:spid="_x0000_s1026" o:spt="1" style="position:absolute;left:0pt;margin-top:0pt;height:10.35pt;width:4.55pt;mso-position-horizontal:center;mso-position-horizontal-relative:margin;z-index:251661312;mso-width-relative:page;mso-height-relative:page;" filled="f" stroked="f" coordsize="21600,21600" o:gfxdata="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BYAAABk&#10;cnMvUEsBAhQAFAAAAAgAh07iQDiXUdvTAAAAAgEAAA8AAAAAAAAAAQAgAAAAOAAAAGRycy9kb3du&#10;cmV2LnhtbFBLAQIUABQAAAAIAIdO4kDdg4rOtQEAAFEDAAAOAAAAAAAAAAEAIAAAADgBAABkcnMv&#10;ZTJvRG9jLnhtbFBLBQYAAAAABgAGAFkBAABfBQAAAAA=&#10;">
              <v:fill on="f" focussize="0,0"/>
              <v:stroke on="f"/>
              <v:imagedata o:title=""/>
              <o:lock v:ext="edit" aspectratio="f"/>
              <v:textbox inset="0mm,0mm,0mm,0mm" style="mso-fit-shape-to-text:t;">
                <w:txbxContent>
                  <w:p>
                    <w:pPr>
                      <w:pStyle w:val="21"/>
                    </w:pPr>
                    <w:r>
                      <w:fldChar w:fldCharType="begin"/>
                    </w:r>
                    <w:r>
                      <w:instrText xml:space="preserve"> PAGE  \* MERGEFORMAT </w:instrText>
                    </w:r>
                    <w:r>
                      <w:fldChar w:fldCharType="separate"/>
                    </w:r>
                    <w:r>
                      <w:t>2</w:t>
                    </w:r>
                    <w:r>
                      <w:fldChar w:fldCharType="end"/>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jc w:val="center"/>
    </w:pPr>
    <w:r>
      <w:fldChar w:fldCharType="begin"/>
    </w:r>
    <w:r>
      <w:instrText xml:space="preserve"> PAGE   \* MERGEFORMAT </w:instrText>
    </w:r>
    <w:r>
      <w:fldChar w:fldCharType="separate"/>
    </w:r>
    <w:r>
      <w:rPr>
        <w:lang w:val="zh-CN"/>
      </w:rPr>
      <w:t>1</w:t>
    </w:r>
    <w:r>
      <w:rPr>
        <w:lang w:val="zh-CN"/>
      </w:rPr>
      <w:fldChar w:fldCharType="end"/>
    </w:r>
  </w:p>
  <w:p>
    <w:pPr>
      <w:pStyle w:val="2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14935" cy="131445"/>
              <wp:effectExtent l="0" t="0" r="0" b="0"/>
              <wp:wrapNone/>
              <wp:docPr id="4" name="矩形 1013"/>
              <wp:cNvGraphicFramePr/>
              <a:graphic xmlns:a="http://schemas.openxmlformats.org/drawingml/2006/main">
                <a:graphicData uri="http://schemas.microsoft.com/office/word/2010/wordprocessingShape">
                  <wps:wsp>
                    <wps:cNvSpPr/>
                    <wps:spPr>
                      <a:xfrm>
                        <a:off x="0" y="0"/>
                        <a:ext cx="114935" cy="131445"/>
                      </a:xfrm>
                      <a:prstGeom prst="rect">
                        <a:avLst/>
                      </a:prstGeom>
                      <a:noFill/>
                      <a:ln>
                        <a:noFill/>
                      </a:ln>
                      <a:effectLst/>
                    </wps:spPr>
                    <wps:txbx>
                      <w:txbxContent>
                        <w:p>
                          <w:pPr>
                            <w:pStyle w:val="21"/>
                            <w:rPr>
                              <w:rStyle w:val="37"/>
                            </w:rPr>
                          </w:pPr>
                          <w:r>
                            <w:fldChar w:fldCharType="begin"/>
                          </w:r>
                          <w:r>
                            <w:instrText xml:space="preserve">PAGE  </w:instrText>
                          </w:r>
                          <w:r>
                            <w:fldChar w:fldCharType="separate"/>
                          </w:r>
                          <w:r>
                            <w:t>5</w:t>
                          </w:r>
                          <w:r>
                            <w:fldChar w:fldCharType="end"/>
                          </w:r>
                        </w:p>
                      </w:txbxContent>
                    </wps:txbx>
                    <wps:bodyPr wrap="square" lIns="0" tIns="0" rIns="0" bIns="0" upright="true">
                      <a:spAutoFit/>
                    </wps:bodyPr>
                  </wps:wsp>
                </a:graphicData>
              </a:graphic>
            </wp:anchor>
          </w:drawing>
        </mc:Choice>
        <mc:Fallback>
          <w:pict>
            <v:rect id="矩形 1013" o:spid="_x0000_s1026" o:spt="1" style="position:absolute;left:0pt;margin-top:0pt;height:10.35pt;width:9.05pt;mso-position-horizontal:center;mso-position-horizontal-relative:margin;z-index:251662336;mso-width-relative:page;mso-height-relative:page;" filled="f" stroked="f" coordsize="21600,21600" o:gfxdata="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BYAAABk&#10;cnMvUEsBAhQAFAAAAAgAh07iQOAOOGrTAAAAAwEAAA8AAAAAAAAAAQAgAAAAOAAAAGRycy9kb3du&#10;cmV2LnhtbFBLAQIUABQAAAAIAIdO4kDgCWJ/tQEAAFIDAAAOAAAAAAAAAAEAIAAAADgBAABkcnMv&#10;ZTJvRG9jLnhtbFBLBQYAAAAABgAGAFkBAABfBQAAAAA=&#10;">
              <v:fill on="f" focussize="0,0"/>
              <v:stroke on="f"/>
              <v:imagedata o:title=""/>
              <o:lock v:ext="edit" aspectratio="f"/>
              <v:textbox inset="0mm,0mm,0mm,0mm" style="mso-fit-shape-to-text:t;">
                <w:txbxContent>
                  <w:p>
                    <w:pPr>
                      <w:pStyle w:val="21"/>
                      <w:rPr>
                        <w:rStyle w:val="37"/>
                      </w:rPr>
                    </w:pPr>
                    <w:r>
                      <w:fldChar w:fldCharType="begin"/>
                    </w:r>
                    <w:r>
                      <w:instrText xml:space="preserve">PAGE  </w:instrText>
                    </w:r>
                    <w:r>
                      <w:fldChar w:fldCharType="separate"/>
                    </w:r>
                    <w:r>
                      <w:t>5</w:t>
                    </w:r>
                    <w:r>
                      <w:fldChar w:fldCharType="end"/>
                    </w:r>
                  </w:p>
                </w:txbxContent>
              </v:textbox>
            </v:rect>
          </w:pict>
        </mc:Fallback>
      </mc:AlternateContent>
    </w:r>
  </w:p>
  <w:p>
    <w:pPr>
      <w:pStyle w:val="21"/>
    </w:pPr>
    <w:r>
      <w:drawing>
        <wp:anchor distT="0" distB="0" distL="114300" distR="114300" simplePos="0" relativeHeight="251660288" behindDoc="0" locked="0" layoutInCell="1" allowOverlap="0">
          <wp:simplePos x="0" y="0"/>
          <wp:positionH relativeFrom="column">
            <wp:posOffset>-396240</wp:posOffset>
          </wp:positionH>
          <wp:positionV relativeFrom="paragraph">
            <wp:posOffset>7620</wp:posOffset>
          </wp:positionV>
          <wp:extent cx="457200" cy="317500"/>
          <wp:effectExtent l="0" t="0" r="0" b="6350"/>
          <wp:wrapSquare wrapText="bothSides"/>
          <wp:docPr id="2" name="图片 101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 name="图片 1014"/>
                  <pic:cNvPicPr>
                    <a:picLocks noChangeAspect="true"/>
                  </pic:cNvPicPr>
                </pic:nvPicPr>
                <pic:blipFill>
                  <a:blip r:embed="rId1"/>
                  <a:stretch>
                    <a:fillRect/>
                  </a:stretch>
                </pic:blipFill>
                <pic:spPr>
                  <a:xfrm>
                    <a:off x="0" y="0"/>
                    <a:ext cx="457200" cy="317500"/>
                  </a:xfrm>
                  <a:prstGeom prst="rect">
                    <a:avLst/>
                  </a:prstGeom>
                  <a:noFill/>
                  <a:ln>
                    <a:noFill/>
                  </a:ln>
                </pic:spPr>
              </pic:pic>
            </a:graphicData>
          </a:graphic>
        </wp:anchor>
      </w:drawing>
    </w:r>
    <w: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50800</wp:posOffset>
              </wp:positionV>
              <wp:extent cx="6092190" cy="0"/>
              <wp:effectExtent l="0" t="0" r="0" b="0"/>
              <wp:wrapNone/>
              <wp:docPr id="1" name="直线 1015"/>
              <wp:cNvGraphicFramePr/>
              <a:graphic xmlns:a="http://schemas.openxmlformats.org/drawingml/2006/main">
                <a:graphicData uri="http://schemas.microsoft.com/office/word/2010/wordprocessingShape">
                  <wps:wsp>
                    <wps:cNvCnPr/>
                    <wps:spPr>
                      <a:xfrm>
                        <a:off x="0" y="0"/>
                        <a:ext cx="6092190" cy="0"/>
                      </a:xfrm>
                      <a:prstGeom prst="line">
                        <a:avLst/>
                      </a:prstGeom>
                      <a:ln w="9525" cap="flat" cmpd="sng">
                        <a:solidFill>
                          <a:srgbClr val="000000"/>
                        </a:solidFill>
                        <a:prstDash val="solid"/>
                        <a:miter/>
                        <a:headEnd type="none" w="med" len="med"/>
                        <a:tailEnd type="none" w="med" len="med"/>
                      </a:ln>
                      <a:effectLst/>
                    </wps:spPr>
                    <wps:bodyPr/>
                  </wps:wsp>
                </a:graphicData>
              </a:graphic>
            </wp:anchor>
          </w:drawing>
        </mc:Choice>
        <mc:Fallback>
          <w:pict>
            <v:line id="直线 1015" o:spid="_x0000_s1026" o:spt="20" style="position:absolute;left:0pt;margin-left:0pt;margin-top:4pt;height:0pt;width:479.7pt;z-index:251659264;mso-width-relative:page;mso-height-relative:page;" filled="f" stroked="t" coordsize="21600,21600" o:gfxdata="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BYAAABkcnMvUEsBAhQAFAAAAAgAh07iQBkeVdTUAAAABAEA&#10;AA8AAAAAAAAAAQAgAAAAOAAAAGRycy9kb3ducmV2LnhtbFBLAQIUABQAAAAIAIdO4kATXmWPzwEA&#10;AJwDAAAOAAAAAAAAAAEAIAAAADkBAABkcnMvZTJvRG9jLnhtbFBLBQYAAAAABgAGAFkBAAB6BQAA&#10;AAA=&#10;">
              <v:fill on="f" focussize="0,0"/>
              <v:stroke color="#000000" joinstyle="miter"/>
              <v:imagedata o:title=""/>
              <o:lock v:ext="edit" aspectratio="f"/>
            </v:line>
          </w:pict>
        </mc:Fallback>
      </mc:AlternateContent>
    </w:r>
  </w:p>
  <w:p>
    <w:pPr>
      <w:pStyle w:val="21"/>
      <w:ind w:firstLine="90"/>
    </w:pPr>
    <w:r>
      <w:rPr>
        <w:rFonts w:hint="eastAsia" w:ascii="宋体" w:hAnsi="宋体" w:cs="宋体"/>
      </w:rPr>
      <w:t xml:space="preserve">深圳市建星项目管理顾问有限公司                </w:t>
    </w:r>
    <w:r>
      <w:rPr>
        <w:rFonts w:hint="eastAsia" w:cs="宋体"/>
      </w:rPr>
      <w:t>电话：</w:t>
    </w:r>
    <w:r>
      <w:t>0755-</w:t>
    </w:r>
    <w:r>
      <w:rPr>
        <w:rFonts w:hint="eastAsia"/>
      </w:rPr>
      <w:t xml:space="preserve">82531482                                            </w:t>
    </w:r>
    <w:r>
      <w:rPr>
        <w:rFonts w:hint="eastAsia" w:cs="宋体"/>
      </w:rPr>
      <w:t>传真：</w:t>
    </w:r>
    <w:r>
      <w:t>0755-83780355</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9F81FD3"/>
    <w:multiLevelType w:val="multilevel"/>
    <w:tmpl w:val="09F81FD3"/>
    <w:lvl w:ilvl="0" w:tentative="0">
      <w:start w:val="1"/>
      <w:numFmt w:val="japaneseCounting"/>
      <w:lvlText w:val="第%1章"/>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18873583"/>
    <w:multiLevelType w:val="multilevel"/>
    <w:tmpl w:val="18873583"/>
    <w:lvl w:ilvl="0" w:tentative="0">
      <w:start w:val="1"/>
      <w:numFmt w:val="japaneseCounting"/>
      <w:lvlText w:val="第%1章"/>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6BFFA8F7"/>
    <w:multiLevelType w:val="singleLevel"/>
    <w:tmpl w:val="6BFFA8F7"/>
    <w:lvl w:ilvl="0" w:tentative="0">
      <w:start w:val="1"/>
      <w:numFmt w:val="decimal"/>
      <w:lvlText w:val="%1."/>
      <w:lvlJc w:val="left"/>
      <w:pPr>
        <w:tabs>
          <w:tab w:val="left" w:pos="312"/>
        </w:tabs>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3"/>
  <w:bordersDoNotSurroundHeader w:val="true"/>
  <w:bordersDoNotSurroundFooter w:val="true"/>
  <w:documentProtection w:enforcement="0"/>
  <w:defaultTabStop w:val="420"/>
  <w:hyphenationZone w:val="425"/>
  <w:characterSpacingControl w:val="doNotCompress"/>
  <w:hdrShapeDefaults>
    <o:shapelayout v:ext="edit">
      <o:idmap v:ext="edit" data="1"/>
    </o:shapelayout>
  </w:hdrShapeDefault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U5ZGYxMTk5NTVmMmQwODBlMGZhMWRmM2RmNmE4ZTQifQ=="/>
  </w:docVars>
  <w:rsids>
    <w:rsidRoot w:val="0095022B"/>
    <w:rsid w:val="0000206E"/>
    <w:rsid w:val="00004822"/>
    <w:rsid w:val="00005E2B"/>
    <w:rsid w:val="0000687B"/>
    <w:rsid w:val="00006DAD"/>
    <w:rsid w:val="00007730"/>
    <w:rsid w:val="00010EE6"/>
    <w:rsid w:val="00012757"/>
    <w:rsid w:val="00014E38"/>
    <w:rsid w:val="000153DE"/>
    <w:rsid w:val="0001661C"/>
    <w:rsid w:val="000168A0"/>
    <w:rsid w:val="00021678"/>
    <w:rsid w:val="00021A0C"/>
    <w:rsid w:val="000220C1"/>
    <w:rsid w:val="00023ABB"/>
    <w:rsid w:val="000336BD"/>
    <w:rsid w:val="0003576E"/>
    <w:rsid w:val="00036E82"/>
    <w:rsid w:val="00040AFD"/>
    <w:rsid w:val="00040F43"/>
    <w:rsid w:val="00041458"/>
    <w:rsid w:val="00042837"/>
    <w:rsid w:val="000441BA"/>
    <w:rsid w:val="00045908"/>
    <w:rsid w:val="00052F2D"/>
    <w:rsid w:val="00054C4A"/>
    <w:rsid w:val="00055CFD"/>
    <w:rsid w:val="00057941"/>
    <w:rsid w:val="00057D7C"/>
    <w:rsid w:val="000627E3"/>
    <w:rsid w:val="00064275"/>
    <w:rsid w:val="00064DAF"/>
    <w:rsid w:val="00065522"/>
    <w:rsid w:val="00066F4C"/>
    <w:rsid w:val="00067E01"/>
    <w:rsid w:val="000705D6"/>
    <w:rsid w:val="00070FC6"/>
    <w:rsid w:val="00073925"/>
    <w:rsid w:val="000805E5"/>
    <w:rsid w:val="000829BD"/>
    <w:rsid w:val="00083B92"/>
    <w:rsid w:val="00083E3B"/>
    <w:rsid w:val="00087B3B"/>
    <w:rsid w:val="00087BEC"/>
    <w:rsid w:val="00090BC7"/>
    <w:rsid w:val="000958CB"/>
    <w:rsid w:val="000A24DE"/>
    <w:rsid w:val="000A3BC8"/>
    <w:rsid w:val="000A4E68"/>
    <w:rsid w:val="000A56DC"/>
    <w:rsid w:val="000A740C"/>
    <w:rsid w:val="000A7E56"/>
    <w:rsid w:val="000B0DBF"/>
    <w:rsid w:val="000B137B"/>
    <w:rsid w:val="000B1596"/>
    <w:rsid w:val="000B192B"/>
    <w:rsid w:val="000B22EE"/>
    <w:rsid w:val="000B25B4"/>
    <w:rsid w:val="000B2D09"/>
    <w:rsid w:val="000B38C3"/>
    <w:rsid w:val="000B418B"/>
    <w:rsid w:val="000B4411"/>
    <w:rsid w:val="000B4600"/>
    <w:rsid w:val="000C19AE"/>
    <w:rsid w:val="000C1B9E"/>
    <w:rsid w:val="000C39A6"/>
    <w:rsid w:val="000C42EE"/>
    <w:rsid w:val="000C49B2"/>
    <w:rsid w:val="000C5E18"/>
    <w:rsid w:val="000C7A06"/>
    <w:rsid w:val="000D0254"/>
    <w:rsid w:val="000D07DB"/>
    <w:rsid w:val="000D1344"/>
    <w:rsid w:val="000D156E"/>
    <w:rsid w:val="000D1E3B"/>
    <w:rsid w:val="000D688B"/>
    <w:rsid w:val="000E2821"/>
    <w:rsid w:val="000E598C"/>
    <w:rsid w:val="000E6B93"/>
    <w:rsid w:val="000E6E84"/>
    <w:rsid w:val="000F1C8E"/>
    <w:rsid w:val="000F218E"/>
    <w:rsid w:val="000F3C9D"/>
    <w:rsid w:val="000F530E"/>
    <w:rsid w:val="000F5469"/>
    <w:rsid w:val="000F6108"/>
    <w:rsid w:val="000F6484"/>
    <w:rsid w:val="001003DA"/>
    <w:rsid w:val="001022AB"/>
    <w:rsid w:val="00102B03"/>
    <w:rsid w:val="00103BA8"/>
    <w:rsid w:val="00104084"/>
    <w:rsid w:val="00104100"/>
    <w:rsid w:val="00104D45"/>
    <w:rsid w:val="00104F22"/>
    <w:rsid w:val="00105393"/>
    <w:rsid w:val="001076C3"/>
    <w:rsid w:val="001100D8"/>
    <w:rsid w:val="00110999"/>
    <w:rsid w:val="00111445"/>
    <w:rsid w:val="00112B4F"/>
    <w:rsid w:val="00113FD5"/>
    <w:rsid w:val="00114C86"/>
    <w:rsid w:val="0011553C"/>
    <w:rsid w:val="00115BE0"/>
    <w:rsid w:val="00117B3C"/>
    <w:rsid w:val="00117F12"/>
    <w:rsid w:val="00121D4A"/>
    <w:rsid w:val="00121DA0"/>
    <w:rsid w:val="0012214D"/>
    <w:rsid w:val="0012227F"/>
    <w:rsid w:val="00123998"/>
    <w:rsid w:val="0012462C"/>
    <w:rsid w:val="00127137"/>
    <w:rsid w:val="00130D22"/>
    <w:rsid w:val="00134511"/>
    <w:rsid w:val="00135D66"/>
    <w:rsid w:val="00141BE7"/>
    <w:rsid w:val="00142BB4"/>
    <w:rsid w:val="0014303E"/>
    <w:rsid w:val="00144007"/>
    <w:rsid w:val="00145571"/>
    <w:rsid w:val="00145FE7"/>
    <w:rsid w:val="00146ADD"/>
    <w:rsid w:val="00146F03"/>
    <w:rsid w:val="00146F69"/>
    <w:rsid w:val="001470F8"/>
    <w:rsid w:val="00150044"/>
    <w:rsid w:val="00150384"/>
    <w:rsid w:val="00150675"/>
    <w:rsid w:val="0015142D"/>
    <w:rsid w:val="001547CB"/>
    <w:rsid w:val="0015532C"/>
    <w:rsid w:val="001577AD"/>
    <w:rsid w:val="001611D5"/>
    <w:rsid w:val="0016349A"/>
    <w:rsid w:val="0016378B"/>
    <w:rsid w:val="00165CD6"/>
    <w:rsid w:val="00171179"/>
    <w:rsid w:val="00171A40"/>
    <w:rsid w:val="00172220"/>
    <w:rsid w:val="001769E9"/>
    <w:rsid w:val="00182922"/>
    <w:rsid w:val="00183564"/>
    <w:rsid w:val="00183794"/>
    <w:rsid w:val="00184699"/>
    <w:rsid w:val="00184B44"/>
    <w:rsid w:val="00186F52"/>
    <w:rsid w:val="0018724B"/>
    <w:rsid w:val="0019080D"/>
    <w:rsid w:val="00196CF8"/>
    <w:rsid w:val="001A00E4"/>
    <w:rsid w:val="001A2487"/>
    <w:rsid w:val="001A4B8E"/>
    <w:rsid w:val="001A4E9B"/>
    <w:rsid w:val="001A6FB5"/>
    <w:rsid w:val="001A7282"/>
    <w:rsid w:val="001B1475"/>
    <w:rsid w:val="001B28CA"/>
    <w:rsid w:val="001B2A80"/>
    <w:rsid w:val="001C0C25"/>
    <w:rsid w:val="001C0C31"/>
    <w:rsid w:val="001C2E1E"/>
    <w:rsid w:val="001C3915"/>
    <w:rsid w:val="001C53CF"/>
    <w:rsid w:val="001C63C5"/>
    <w:rsid w:val="001C6663"/>
    <w:rsid w:val="001D014E"/>
    <w:rsid w:val="001D5050"/>
    <w:rsid w:val="001D7402"/>
    <w:rsid w:val="001E195B"/>
    <w:rsid w:val="001E19E7"/>
    <w:rsid w:val="001E1CFC"/>
    <w:rsid w:val="001E33B0"/>
    <w:rsid w:val="001E5C16"/>
    <w:rsid w:val="001E65A0"/>
    <w:rsid w:val="001E693F"/>
    <w:rsid w:val="001E6A8C"/>
    <w:rsid w:val="001E71A8"/>
    <w:rsid w:val="001F31C2"/>
    <w:rsid w:val="001F6402"/>
    <w:rsid w:val="002009E5"/>
    <w:rsid w:val="002019BC"/>
    <w:rsid w:val="00201ED9"/>
    <w:rsid w:val="002032CE"/>
    <w:rsid w:val="00203ACC"/>
    <w:rsid w:val="00206160"/>
    <w:rsid w:val="00207B2B"/>
    <w:rsid w:val="00210C56"/>
    <w:rsid w:val="002112EC"/>
    <w:rsid w:val="00216050"/>
    <w:rsid w:val="00217BB7"/>
    <w:rsid w:val="0022147F"/>
    <w:rsid w:val="00227A05"/>
    <w:rsid w:val="00230DF1"/>
    <w:rsid w:val="00231649"/>
    <w:rsid w:val="002316FE"/>
    <w:rsid w:val="002348E9"/>
    <w:rsid w:val="002356E0"/>
    <w:rsid w:val="00236257"/>
    <w:rsid w:val="00237508"/>
    <w:rsid w:val="00242FC4"/>
    <w:rsid w:val="002436E3"/>
    <w:rsid w:val="002451CC"/>
    <w:rsid w:val="00245956"/>
    <w:rsid w:val="00247E90"/>
    <w:rsid w:val="0025019B"/>
    <w:rsid w:val="0025038B"/>
    <w:rsid w:val="00250458"/>
    <w:rsid w:val="00250862"/>
    <w:rsid w:val="00253329"/>
    <w:rsid w:val="002533BF"/>
    <w:rsid w:val="002562AC"/>
    <w:rsid w:val="00257E8A"/>
    <w:rsid w:val="0026008A"/>
    <w:rsid w:val="002606E9"/>
    <w:rsid w:val="00261CF4"/>
    <w:rsid w:val="00261DCD"/>
    <w:rsid w:val="002628D7"/>
    <w:rsid w:val="0026295D"/>
    <w:rsid w:val="00264000"/>
    <w:rsid w:val="00265B8F"/>
    <w:rsid w:val="00266700"/>
    <w:rsid w:val="0026715F"/>
    <w:rsid w:val="00270A90"/>
    <w:rsid w:val="00270BC5"/>
    <w:rsid w:val="00271E68"/>
    <w:rsid w:val="00272C47"/>
    <w:rsid w:val="00272F5B"/>
    <w:rsid w:val="00273A61"/>
    <w:rsid w:val="00273D4F"/>
    <w:rsid w:val="0027514E"/>
    <w:rsid w:val="00277CA5"/>
    <w:rsid w:val="00281E35"/>
    <w:rsid w:val="00285CAC"/>
    <w:rsid w:val="00291A61"/>
    <w:rsid w:val="002937F3"/>
    <w:rsid w:val="002939A1"/>
    <w:rsid w:val="002965CE"/>
    <w:rsid w:val="00296AAC"/>
    <w:rsid w:val="002A0632"/>
    <w:rsid w:val="002A2845"/>
    <w:rsid w:val="002A36CC"/>
    <w:rsid w:val="002A3C7A"/>
    <w:rsid w:val="002A6965"/>
    <w:rsid w:val="002A7117"/>
    <w:rsid w:val="002A7CF5"/>
    <w:rsid w:val="002A7F91"/>
    <w:rsid w:val="002B3333"/>
    <w:rsid w:val="002B7233"/>
    <w:rsid w:val="002B7E13"/>
    <w:rsid w:val="002C299E"/>
    <w:rsid w:val="002C29BC"/>
    <w:rsid w:val="002C3BD8"/>
    <w:rsid w:val="002C715C"/>
    <w:rsid w:val="002C7977"/>
    <w:rsid w:val="002D1121"/>
    <w:rsid w:val="002D3DF5"/>
    <w:rsid w:val="002D5AE0"/>
    <w:rsid w:val="002D76C1"/>
    <w:rsid w:val="002E0360"/>
    <w:rsid w:val="002E2118"/>
    <w:rsid w:val="002E3329"/>
    <w:rsid w:val="002E34FF"/>
    <w:rsid w:val="002E537F"/>
    <w:rsid w:val="002E6875"/>
    <w:rsid w:val="002F0378"/>
    <w:rsid w:val="002F1DF8"/>
    <w:rsid w:val="002F2A72"/>
    <w:rsid w:val="002F33BC"/>
    <w:rsid w:val="002F3926"/>
    <w:rsid w:val="002F4752"/>
    <w:rsid w:val="002F4DAB"/>
    <w:rsid w:val="002F629D"/>
    <w:rsid w:val="002F7068"/>
    <w:rsid w:val="002F79C6"/>
    <w:rsid w:val="0030172C"/>
    <w:rsid w:val="00302FDB"/>
    <w:rsid w:val="00304425"/>
    <w:rsid w:val="0030716B"/>
    <w:rsid w:val="00307440"/>
    <w:rsid w:val="00311608"/>
    <w:rsid w:val="00312E61"/>
    <w:rsid w:val="00314375"/>
    <w:rsid w:val="00314462"/>
    <w:rsid w:val="00314E9D"/>
    <w:rsid w:val="00315273"/>
    <w:rsid w:val="003161D6"/>
    <w:rsid w:val="003162FB"/>
    <w:rsid w:val="00317F18"/>
    <w:rsid w:val="00320997"/>
    <w:rsid w:val="00325C6D"/>
    <w:rsid w:val="00326FF3"/>
    <w:rsid w:val="00330846"/>
    <w:rsid w:val="00333F84"/>
    <w:rsid w:val="00337652"/>
    <w:rsid w:val="00342B15"/>
    <w:rsid w:val="003457CC"/>
    <w:rsid w:val="00345BCE"/>
    <w:rsid w:val="00346393"/>
    <w:rsid w:val="003501E5"/>
    <w:rsid w:val="003506BF"/>
    <w:rsid w:val="00350F35"/>
    <w:rsid w:val="00352717"/>
    <w:rsid w:val="00353E2D"/>
    <w:rsid w:val="00353F47"/>
    <w:rsid w:val="0035467E"/>
    <w:rsid w:val="00354E3B"/>
    <w:rsid w:val="00355DFF"/>
    <w:rsid w:val="0036596D"/>
    <w:rsid w:val="00366C2D"/>
    <w:rsid w:val="00366FE4"/>
    <w:rsid w:val="00367ECC"/>
    <w:rsid w:val="00373B5E"/>
    <w:rsid w:val="00375107"/>
    <w:rsid w:val="00375888"/>
    <w:rsid w:val="00376795"/>
    <w:rsid w:val="0037686F"/>
    <w:rsid w:val="0037760E"/>
    <w:rsid w:val="00381641"/>
    <w:rsid w:val="00381A8D"/>
    <w:rsid w:val="00383103"/>
    <w:rsid w:val="00384116"/>
    <w:rsid w:val="0038413C"/>
    <w:rsid w:val="00384679"/>
    <w:rsid w:val="00384A44"/>
    <w:rsid w:val="00384DBA"/>
    <w:rsid w:val="00390DEE"/>
    <w:rsid w:val="00396263"/>
    <w:rsid w:val="003974C7"/>
    <w:rsid w:val="003A2604"/>
    <w:rsid w:val="003A420B"/>
    <w:rsid w:val="003A468C"/>
    <w:rsid w:val="003A5BB8"/>
    <w:rsid w:val="003A7D97"/>
    <w:rsid w:val="003B1078"/>
    <w:rsid w:val="003B1709"/>
    <w:rsid w:val="003B296B"/>
    <w:rsid w:val="003B32C0"/>
    <w:rsid w:val="003B35CC"/>
    <w:rsid w:val="003B3827"/>
    <w:rsid w:val="003C0EF6"/>
    <w:rsid w:val="003C463C"/>
    <w:rsid w:val="003C5743"/>
    <w:rsid w:val="003D0BB6"/>
    <w:rsid w:val="003D18AE"/>
    <w:rsid w:val="003D6600"/>
    <w:rsid w:val="003D7143"/>
    <w:rsid w:val="003E2DC0"/>
    <w:rsid w:val="003E2F4C"/>
    <w:rsid w:val="003E3749"/>
    <w:rsid w:val="003E539F"/>
    <w:rsid w:val="003E7FDF"/>
    <w:rsid w:val="003F54C7"/>
    <w:rsid w:val="003F6928"/>
    <w:rsid w:val="00402021"/>
    <w:rsid w:val="0040280B"/>
    <w:rsid w:val="00403658"/>
    <w:rsid w:val="00404776"/>
    <w:rsid w:val="00404EA4"/>
    <w:rsid w:val="00406A65"/>
    <w:rsid w:val="00406FC7"/>
    <w:rsid w:val="00412D89"/>
    <w:rsid w:val="00412DED"/>
    <w:rsid w:val="00412E08"/>
    <w:rsid w:val="0041492A"/>
    <w:rsid w:val="0041677E"/>
    <w:rsid w:val="0042030C"/>
    <w:rsid w:val="00422C4A"/>
    <w:rsid w:val="004242DD"/>
    <w:rsid w:val="004277AA"/>
    <w:rsid w:val="0042791A"/>
    <w:rsid w:val="00431AC4"/>
    <w:rsid w:val="00435FB5"/>
    <w:rsid w:val="004371AF"/>
    <w:rsid w:val="00437336"/>
    <w:rsid w:val="0043785E"/>
    <w:rsid w:val="00437AD1"/>
    <w:rsid w:val="00442396"/>
    <w:rsid w:val="004463CF"/>
    <w:rsid w:val="0045308C"/>
    <w:rsid w:val="004535CC"/>
    <w:rsid w:val="00457FD5"/>
    <w:rsid w:val="00460A30"/>
    <w:rsid w:val="00460AEA"/>
    <w:rsid w:val="00461CD1"/>
    <w:rsid w:val="00462E29"/>
    <w:rsid w:val="004653FA"/>
    <w:rsid w:val="004662C7"/>
    <w:rsid w:val="00466DB9"/>
    <w:rsid w:val="0047127B"/>
    <w:rsid w:val="0047147B"/>
    <w:rsid w:val="0047218D"/>
    <w:rsid w:val="00473194"/>
    <w:rsid w:val="00474326"/>
    <w:rsid w:val="00474680"/>
    <w:rsid w:val="00474B8D"/>
    <w:rsid w:val="004757B5"/>
    <w:rsid w:val="0047693C"/>
    <w:rsid w:val="00477A2C"/>
    <w:rsid w:val="00481D79"/>
    <w:rsid w:val="004821CB"/>
    <w:rsid w:val="00483028"/>
    <w:rsid w:val="00492798"/>
    <w:rsid w:val="00495310"/>
    <w:rsid w:val="00495A3D"/>
    <w:rsid w:val="00496792"/>
    <w:rsid w:val="00497125"/>
    <w:rsid w:val="004A053E"/>
    <w:rsid w:val="004A1488"/>
    <w:rsid w:val="004A37CC"/>
    <w:rsid w:val="004A70AF"/>
    <w:rsid w:val="004A7B3A"/>
    <w:rsid w:val="004B07A3"/>
    <w:rsid w:val="004B0EB0"/>
    <w:rsid w:val="004B0FAF"/>
    <w:rsid w:val="004B14C9"/>
    <w:rsid w:val="004B14E6"/>
    <w:rsid w:val="004B42C4"/>
    <w:rsid w:val="004B5750"/>
    <w:rsid w:val="004B62D2"/>
    <w:rsid w:val="004C01B9"/>
    <w:rsid w:val="004C1A41"/>
    <w:rsid w:val="004C1CA9"/>
    <w:rsid w:val="004C2236"/>
    <w:rsid w:val="004C2EBB"/>
    <w:rsid w:val="004C3D67"/>
    <w:rsid w:val="004C49BA"/>
    <w:rsid w:val="004C4DB3"/>
    <w:rsid w:val="004C5A1D"/>
    <w:rsid w:val="004C65A9"/>
    <w:rsid w:val="004C65FC"/>
    <w:rsid w:val="004C67C6"/>
    <w:rsid w:val="004D058C"/>
    <w:rsid w:val="004D2F95"/>
    <w:rsid w:val="004D3B10"/>
    <w:rsid w:val="004D4340"/>
    <w:rsid w:val="004E227A"/>
    <w:rsid w:val="004E3690"/>
    <w:rsid w:val="004E453E"/>
    <w:rsid w:val="004E589D"/>
    <w:rsid w:val="004E58B1"/>
    <w:rsid w:val="004E659E"/>
    <w:rsid w:val="004F241D"/>
    <w:rsid w:val="004F2EDC"/>
    <w:rsid w:val="004F4354"/>
    <w:rsid w:val="004F5590"/>
    <w:rsid w:val="004F73C6"/>
    <w:rsid w:val="0050015D"/>
    <w:rsid w:val="005003B5"/>
    <w:rsid w:val="005006DE"/>
    <w:rsid w:val="00501F17"/>
    <w:rsid w:val="00502655"/>
    <w:rsid w:val="00502661"/>
    <w:rsid w:val="005033C2"/>
    <w:rsid w:val="00506F16"/>
    <w:rsid w:val="005070D9"/>
    <w:rsid w:val="0051049D"/>
    <w:rsid w:val="0051587D"/>
    <w:rsid w:val="00517860"/>
    <w:rsid w:val="005219BA"/>
    <w:rsid w:val="0052247D"/>
    <w:rsid w:val="00524F74"/>
    <w:rsid w:val="005250C9"/>
    <w:rsid w:val="0052564E"/>
    <w:rsid w:val="00530221"/>
    <w:rsid w:val="00530619"/>
    <w:rsid w:val="005307F3"/>
    <w:rsid w:val="00535B4C"/>
    <w:rsid w:val="00536EE9"/>
    <w:rsid w:val="00541C86"/>
    <w:rsid w:val="00553329"/>
    <w:rsid w:val="0055596E"/>
    <w:rsid w:val="00557063"/>
    <w:rsid w:val="00557333"/>
    <w:rsid w:val="00560860"/>
    <w:rsid w:val="00560ADE"/>
    <w:rsid w:val="00563577"/>
    <w:rsid w:val="00564B6F"/>
    <w:rsid w:val="00565CD5"/>
    <w:rsid w:val="00566DD6"/>
    <w:rsid w:val="00566E9C"/>
    <w:rsid w:val="00567F3C"/>
    <w:rsid w:val="005710B6"/>
    <w:rsid w:val="005719B9"/>
    <w:rsid w:val="00571D1D"/>
    <w:rsid w:val="005732AD"/>
    <w:rsid w:val="00574EA1"/>
    <w:rsid w:val="005756FF"/>
    <w:rsid w:val="00575C40"/>
    <w:rsid w:val="00576722"/>
    <w:rsid w:val="00580560"/>
    <w:rsid w:val="005807BB"/>
    <w:rsid w:val="005815DA"/>
    <w:rsid w:val="00581B41"/>
    <w:rsid w:val="00582014"/>
    <w:rsid w:val="0058393E"/>
    <w:rsid w:val="00584405"/>
    <w:rsid w:val="0059202F"/>
    <w:rsid w:val="0059212C"/>
    <w:rsid w:val="00594039"/>
    <w:rsid w:val="00594940"/>
    <w:rsid w:val="00594BAA"/>
    <w:rsid w:val="005A2CA0"/>
    <w:rsid w:val="005A5224"/>
    <w:rsid w:val="005A6AD4"/>
    <w:rsid w:val="005A7378"/>
    <w:rsid w:val="005B0427"/>
    <w:rsid w:val="005B1731"/>
    <w:rsid w:val="005B4011"/>
    <w:rsid w:val="005B4DFD"/>
    <w:rsid w:val="005B6EC2"/>
    <w:rsid w:val="005C1C3F"/>
    <w:rsid w:val="005D07E0"/>
    <w:rsid w:val="005D1454"/>
    <w:rsid w:val="005D5C4C"/>
    <w:rsid w:val="005D7875"/>
    <w:rsid w:val="005E1CB8"/>
    <w:rsid w:val="005E4774"/>
    <w:rsid w:val="005E6E50"/>
    <w:rsid w:val="005F0233"/>
    <w:rsid w:val="005F506E"/>
    <w:rsid w:val="005F5FC8"/>
    <w:rsid w:val="00601400"/>
    <w:rsid w:val="00601CD0"/>
    <w:rsid w:val="00603232"/>
    <w:rsid w:val="00606081"/>
    <w:rsid w:val="00606E3E"/>
    <w:rsid w:val="00611DC1"/>
    <w:rsid w:val="0061208A"/>
    <w:rsid w:val="0061233A"/>
    <w:rsid w:val="006125E9"/>
    <w:rsid w:val="00612B1F"/>
    <w:rsid w:val="006149B7"/>
    <w:rsid w:val="0061598D"/>
    <w:rsid w:val="00617BAC"/>
    <w:rsid w:val="0062098B"/>
    <w:rsid w:val="00625137"/>
    <w:rsid w:val="0062751D"/>
    <w:rsid w:val="00627A27"/>
    <w:rsid w:val="006343B9"/>
    <w:rsid w:val="00635417"/>
    <w:rsid w:val="00637067"/>
    <w:rsid w:val="00640120"/>
    <w:rsid w:val="00640523"/>
    <w:rsid w:val="00641846"/>
    <w:rsid w:val="006431C3"/>
    <w:rsid w:val="00646462"/>
    <w:rsid w:val="00650698"/>
    <w:rsid w:val="00652EDC"/>
    <w:rsid w:val="00654717"/>
    <w:rsid w:val="00655D36"/>
    <w:rsid w:val="00657A65"/>
    <w:rsid w:val="006600B9"/>
    <w:rsid w:val="00665492"/>
    <w:rsid w:val="006702F0"/>
    <w:rsid w:val="0067090D"/>
    <w:rsid w:val="00670C29"/>
    <w:rsid w:val="00672116"/>
    <w:rsid w:val="00672A48"/>
    <w:rsid w:val="00673B22"/>
    <w:rsid w:val="00676007"/>
    <w:rsid w:val="0068013B"/>
    <w:rsid w:val="00680E86"/>
    <w:rsid w:val="00681743"/>
    <w:rsid w:val="006824C3"/>
    <w:rsid w:val="00682E6F"/>
    <w:rsid w:val="00684F76"/>
    <w:rsid w:val="0068749E"/>
    <w:rsid w:val="0068775F"/>
    <w:rsid w:val="00687E10"/>
    <w:rsid w:val="006913DC"/>
    <w:rsid w:val="00691A17"/>
    <w:rsid w:val="006936CE"/>
    <w:rsid w:val="006948AA"/>
    <w:rsid w:val="00695401"/>
    <w:rsid w:val="00697AF5"/>
    <w:rsid w:val="00697FCB"/>
    <w:rsid w:val="006A0CB6"/>
    <w:rsid w:val="006A4E4D"/>
    <w:rsid w:val="006A7ECC"/>
    <w:rsid w:val="006B19A2"/>
    <w:rsid w:val="006B1F6E"/>
    <w:rsid w:val="006B3AB5"/>
    <w:rsid w:val="006B561C"/>
    <w:rsid w:val="006B5EC4"/>
    <w:rsid w:val="006C0BE9"/>
    <w:rsid w:val="006C23A8"/>
    <w:rsid w:val="006C29E6"/>
    <w:rsid w:val="006C5B85"/>
    <w:rsid w:val="006C6325"/>
    <w:rsid w:val="006C7AA2"/>
    <w:rsid w:val="006C7C15"/>
    <w:rsid w:val="006C7C2D"/>
    <w:rsid w:val="006D2F9C"/>
    <w:rsid w:val="006D4451"/>
    <w:rsid w:val="006D4FE6"/>
    <w:rsid w:val="006D5C4A"/>
    <w:rsid w:val="006D6ED5"/>
    <w:rsid w:val="006D7273"/>
    <w:rsid w:val="006E01E3"/>
    <w:rsid w:val="006E7882"/>
    <w:rsid w:val="006F08F7"/>
    <w:rsid w:val="006F4164"/>
    <w:rsid w:val="006F495F"/>
    <w:rsid w:val="006F4E80"/>
    <w:rsid w:val="006F5579"/>
    <w:rsid w:val="006F6ECB"/>
    <w:rsid w:val="007035DA"/>
    <w:rsid w:val="00703F07"/>
    <w:rsid w:val="007045BC"/>
    <w:rsid w:val="00705245"/>
    <w:rsid w:val="00712A2E"/>
    <w:rsid w:val="00712D45"/>
    <w:rsid w:val="007153B4"/>
    <w:rsid w:val="0071742C"/>
    <w:rsid w:val="0072010E"/>
    <w:rsid w:val="00720ACF"/>
    <w:rsid w:val="007233CD"/>
    <w:rsid w:val="007247D1"/>
    <w:rsid w:val="00725C23"/>
    <w:rsid w:val="00726996"/>
    <w:rsid w:val="00730AE1"/>
    <w:rsid w:val="00735602"/>
    <w:rsid w:val="00735E25"/>
    <w:rsid w:val="00736735"/>
    <w:rsid w:val="00740F23"/>
    <w:rsid w:val="0074344D"/>
    <w:rsid w:val="00743F09"/>
    <w:rsid w:val="007504CD"/>
    <w:rsid w:val="00752FB3"/>
    <w:rsid w:val="00754F13"/>
    <w:rsid w:val="007553E6"/>
    <w:rsid w:val="00755AE1"/>
    <w:rsid w:val="00756294"/>
    <w:rsid w:val="00760EA1"/>
    <w:rsid w:val="007666B0"/>
    <w:rsid w:val="00767CAC"/>
    <w:rsid w:val="00770106"/>
    <w:rsid w:val="0077158E"/>
    <w:rsid w:val="00772B04"/>
    <w:rsid w:val="007736B9"/>
    <w:rsid w:val="00774E10"/>
    <w:rsid w:val="007802C7"/>
    <w:rsid w:val="0078126A"/>
    <w:rsid w:val="00782DC0"/>
    <w:rsid w:val="00786D2F"/>
    <w:rsid w:val="0078789B"/>
    <w:rsid w:val="007921DE"/>
    <w:rsid w:val="00792613"/>
    <w:rsid w:val="00795693"/>
    <w:rsid w:val="00796125"/>
    <w:rsid w:val="007977C3"/>
    <w:rsid w:val="007A00CA"/>
    <w:rsid w:val="007A0717"/>
    <w:rsid w:val="007A163F"/>
    <w:rsid w:val="007A1742"/>
    <w:rsid w:val="007A766A"/>
    <w:rsid w:val="007B0DFC"/>
    <w:rsid w:val="007B13A5"/>
    <w:rsid w:val="007B1747"/>
    <w:rsid w:val="007B2988"/>
    <w:rsid w:val="007B3488"/>
    <w:rsid w:val="007B6211"/>
    <w:rsid w:val="007B641A"/>
    <w:rsid w:val="007B7E9A"/>
    <w:rsid w:val="007C039A"/>
    <w:rsid w:val="007C212D"/>
    <w:rsid w:val="007C39EB"/>
    <w:rsid w:val="007C3C12"/>
    <w:rsid w:val="007C42C9"/>
    <w:rsid w:val="007C4F4B"/>
    <w:rsid w:val="007C53C4"/>
    <w:rsid w:val="007D193B"/>
    <w:rsid w:val="007D787F"/>
    <w:rsid w:val="007D7E50"/>
    <w:rsid w:val="007E0DEA"/>
    <w:rsid w:val="007E37FE"/>
    <w:rsid w:val="007E3C9D"/>
    <w:rsid w:val="007E6E3B"/>
    <w:rsid w:val="007F004B"/>
    <w:rsid w:val="007F041C"/>
    <w:rsid w:val="007F0464"/>
    <w:rsid w:val="007F1312"/>
    <w:rsid w:val="007F441C"/>
    <w:rsid w:val="0080155E"/>
    <w:rsid w:val="008050F0"/>
    <w:rsid w:val="008059E2"/>
    <w:rsid w:val="00806F8A"/>
    <w:rsid w:val="00807ED7"/>
    <w:rsid w:val="00811176"/>
    <w:rsid w:val="00814DA1"/>
    <w:rsid w:val="0081693D"/>
    <w:rsid w:val="00816AC5"/>
    <w:rsid w:val="00817D69"/>
    <w:rsid w:val="0082114A"/>
    <w:rsid w:val="00821542"/>
    <w:rsid w:val="00824AE5"/>
    <w:rsid w:val="00826869"/>
    <w:rsid w:val="00827FF7"/>
    <w:rsid w:val="00833AFE"/>
    <w:rsid w:val="00836544"/>
    <w:rsid w:val="00837834"/>
    <w:rsid w:val="008403A3"/>
    <w:rsid w:val="00841F35"/>
    <w:rsid w:val="0084364F"/>
    <w:rsid w:val="0084517E"/>
    <w:rsid w:val="00846BBC"/>
    <w:rsid w:val="00846C44"/>
    <w:rsid w:val="00855538"/>
    <w:rsid w:val="00855C8E"/>
    <w:rsid w:val="00857A5A"/>
    <w:rsid w:val="00861034"/>
    <w:rsid w:val="0086283E"/>
    <w:rsid w:val="00870594"/>
    <w:rsid w:val="00873B9A"/>
    <w:rsid w:val="00875DF4"/>
    <w:rsid w:val="008803F2"/>
    <w:rsid w:val="0088478D"/>
    <w:rsid w:val="0088633F"/>
    <w:rsid w:val="008909EC"/>
    <w:rsid w:val="00891D30"/>
    <w:rsid w:val="00896696"/>
    <w:rsid w:val="008A30B9"/>
    <w:rsid w:val="008A3690"/>
    <w:rsid w:val="008A3CB0"/>
    <w:rsid w:val="008A40B9"/>
    <w:rsid w:val="008A5DFF"/>
    <w:rsid w:val="008A6123"/>
    <w:rsid w:val="008B4F56"/>
    <w:rsid w:val="008B5BFF"/>
    <w:rsid w:val="008C10B9"/>
    <w:rsid w:val="008C3F2C"/>
    <w:rsid w:val="008C4282"/>
    <w:rsid w:val="008C5DFB"/>
    <w:rsid w:val="008C6613"/>
    <w:rsid w:val="008D0259"/>
    <w:rsid w:val="008D586A"/>
    <w:rsid w:val="008D66D5"/>
    <w:rsid w:val="008E042E"/>
    <w:rsid w:val="008E07F2"/>
    <w:rsid w:val="008E215D"/>
    <w:rsid w:val="008E2778"/>
    <w:rsid w:val="008E4F51"/>
    <w:rsid w:val="008E562F"/>
    <w:rsid w:val="008E5E0B"/>
    <w:rsid w:val="008E6744"/>
    <w:rsid w:val="008E70E8"/>
    <w:rsid w:val="008F10B7"/>
    <w:rsid w:val="008F4C27"/>
    <w:rsid w:val="008F6F47"/>
    <w:rsid w:val="00900B3A"/>
    <w:rsid w:val="009024A2"/>
    <w:rsid w:val="009029AB"/>
    <w:rsid w:val="00905B14"/>
    <w:rsid w:val="0091042E"/>
    <w:rsid w:val="00911713"/>
    <w:rsid w:val="00911C2B"/>
    <w:rsid w:val="0091256A"/>
    <w:rsid w:val="009126B6"/>
    <w:rsid w:val="00913F7B"/>
    <w:rsid w:val="0091551F"/>
    <w:rsid w:val="00916C3A"/>
    <w:rsid w:val="00922257"/>
    <w:rsid w:val="00922A02"/>
    <w:rsid w:val="00924010"/>
    <w:rsid w:val="009260ED"/>
    <w:rsid w:val="009270B2"/>
    <w:rsid w:val="00932022"/>
    <w:rsid w:val="00932F01"/>
    <w:rsid w:val="0093361F"/>
    <w:rsid w:val="00937542"/>
    <w:rsid w:val="00937737"/>
    <w:rsid w:val="0094169D"/>
    <w:rsid w:val="0094173B"/>
    <w:rsid w:val="00943F19"/>
    <w:rsid w:val="00945657"/>
    <w:rsid w:val="0095022B"/>
    <w:rsid w:val="0095157B"/>
    <w:rsid w:val="00956344"/>
    <w:rsid w:val="00957701"/>
    <w:rsid w:val="00957A24"/>
    <w:rsid w:val="009605FF"/>
    <w:rsid w:val="00960D1F"/>
    <w:rsid w:val="009610AE"/>
    <w:rsid w:val="00966804"/>
    <w:rsid w:val="00967FCE"/>
    <w:rsid w:val="00970724"/>
    <w:rsid w:val="00971FAF"/>
    <w:rsid w:val="0097224B"/>
    <w:rsid w:val="009735B5"/>
    <w:rsid w:val="00974866"/>
    <w:rsid w:val="00975AAC"/>
    <w:rsid w:val="00976D62"/>
    <w:rsid w:val="00976EF3"/>
    <w:rsid w:val="00976F82"/>
    <w:rsid w:val="00977248"/>
    <w:rsid w:val="00977D44"/>
    <w:rsid w:val="00984206"/>
    <w:rsid w:val="009843D0"/>
    <w:rsid w:val="009858F9"/>
    <w:rsid w:val="00995755"/>
    <w:rsid w:val="009A2708"/>
    <w:rsid w:val="009A3754"/>
    <w:rsid w:val="009A38A8"/>
    <w:rsid w:val="009A7855"/>
    <w:rsid w:val="009B1474"/>
    <w:rsid w:val="009B1625"/>
    <w:rsid w:val="009B3F2A"/>
    <w:rsid w:val="009C0107"/>
    <w:rsid w:val="009C0E1A"/>
    <w:rsid w:val="009C5946"/>
    <w:rsid w:val="009C6142"/>
    <w:rsid w:val="009D01AB"/>
    <w:rsid w:val="009D04DC"/>
    <w:rsid w:val="009D3304"/>
    <w:rsid w:val="009D6D7D"/>
    <w:rsid w:val="009D75FB"/>
    <w:rsid w:val="009E010E"/>
    <w:rsid w:val="009E3D05"/>
    <w:rsid w:val="009F066F"/>
    <w:rsid w:val="009F35F3"/>
    <w:rsid w:val="009F3BED"/>
    <w:rsid w:val="009F77B5"/>
    <w:rsid w:val="009F7EB3"/>
    <w:rsid w:val="00A0233F"/>
    <w:rsid w:val="00A025F8"/>
    <w:rsid w:val="00A02F6C"/>
    <w:rsid w:val="00A043B7"/>
    <w:rsid w:val="00A1396F"/>
    <w:rsid w:val="00A152A0"/>
    <w:rsid w:val="00A162AD"/>
    <w:rsid w:val="00A17820"/>
    <w:rsid w:val="00A20230"/>
    <w:rsid w:val="00A2033F"/>
    <w:rsid w:val="00A21A81"/>
    <w:rsid w:val="00A236F4"/>
    <w:rsid w:val="00A25B12"/>
    <w:rsid w:val="00A26DB6"/>
    <w:rsid w:val="00A27246"/>
    <w:rsid w:val="00A3147E"/>
    <w:rsid w:val="00A34B06"/>
    <w:rsid w:val="00A34F86"/>
    <w:rsid w:val="00A4080B"/>
    <w:rsid w:val="00A42223"/>
    <w:rsid w:val="00A429ED"/>
    <w:rsid w:val="00A4350F"/>
    <w:rsid w:val="00A45EC7"/>
    <w:rsid w:val="00A46B98"/>
    <w:rsid w:val="00A47482"/>
    <w:rsid w:val="00A50754"/>
    <w:rsid w:val="00A529F0"/>
    <w:rsid w:val="00A53E6B"/>
    <w:rsid w:val="00A56B29"/>
    <w:rsid w:val="00A57881"/>
    <w:rsid w:val="00A61089"/>
    <w:rsid w:val="00A624EA"/>
    <w:rsid w:val="00A636E5"/>
    <w:rsid w:val="00A646E4"/>
    <w:rsid w:val="00A72FC3"/>
    <w:rsid w:val="00A76197"/>
    <w:rsid w:val="00A77FA8"/>
    <w:rsid w:val="00A80B20"/>
    <w:rsid w:val="00A81357"/>
    <w:rsid w:val="00A825EE"/>
    <w:rsid w:val="00A84D81"/>
    <w:rsid w:val="00A85162"/>
    <w:rsid w:val="00A851B3"/>
    <w:rsid w:val="00A90664"/>
    <w:rsid w:val="00A90E21"/>
    <w:rsid w:val="00A91008"/>
    <w:rsid w:val="00A91CF9"/>
    <w:rsid w:val="00A95EB1"/>
    <w:rsid w:val="00A96820"/>
    <w:rsid w:val="00A96D6A"/>
    <w:rsid w:val="00A97533"/>
    <w:rsid w:val="00A97774"/>
    <w:rsid w:val="00A9785D"/>
    <w:rsid w:val="00AA408F"/>
    <w:rsid w:val="00AA534D"/>
    <w:rsid w:val="00AB0035"/>
    <w:rsid w:val="00AB0772"/>
    <w:rsid w:val="00AB1DA1"/>
    <w:rsid w:val="00AB398A"/>
    <w:rsid w:val="00AB7C2D"/>
    <w:rsid w:val="00AC06BB"/>
    <w:rsid w:val="00AC06CD"/>
    <w:rsid w:val="00AC0895"/>
    <w:rsid w:val="00AC131D"/>
    <w:rsid w:val="00AC46A8"/>
    <w:rsid w:val="00AC4A50"/>
    <w:rsid w:val="00AD2002"/>
    <w:rsid w:val="00AD2BD7"/>
    <w:rsid w:val="00AD3A37"/>
    <w:rsid w:val="00AD7247"/>
    <w:rsid w:val="00AD77A2"/>
    <w:rsid w:val="00AE32E3"/>
    <w:rsid w:val="00AE4543"/>
    <w:rsid w:val="00AE4BEB"/>
    <w:rsid w:val="00AE5D69"/>
    <w:rsid w:val="00AE7292"/>
    <w:rsid w:val="00AF5891"/>
    <w:rsid w:val="00AF6832"/>
    <w:rsid w:val="00B03D35"/>
    <w:rsid w:val="00B075FD"/>
    <w:rsid w:val="00B10CD5"/>
    <w:rsid w:val="00B11B70"/>
    <w:rsid w:val="00B11EA5"/>
    <w:rsid w:val="00B12790"/>
    <w:rsid w:val="00B12FA5"/>
    <w:rsid w:val="00B154CE"/>
    <w:rsid w:val="00B160AD"/>
    <w:rsid w:val="00B204F6"/>
    <w:rsid w:val="00B2077D"/>
    <w:rsid w:val="00B23F7A"/>
    <w:rsid w:val="00B25C24"/>
    <w:rsid w:val="00B26D92"/>
    <w:rsid w:val="00B30806"/>
    <w:rsid w:val="00B30FCF"/>
    <w:rsid w:val="00B33CDF"/>
    <w:rsid w:val="00B350CF"/>
    <w:rsid w:val="00B364D2"/>
    <w:rsid w:val="00B3744B"/>
    <w:rsid w:val="00B40BDC"/>
    <w:rsid w:val="00B40DA5"/>
    <w:rsid w:val="00B40EC8"/>
    <w:rsid w:val="00B41948"/>
    <w:rsid w:val="00B4392B"/>
    <w:rsid w:val="00B43FC0"/>
    <w:rsid w:val="00B4684E"/>
    <w:rsid w:val="00B50E21"/>
    <w:rsid w:val="00B50F1D"/>
    <w:rsid w:val="00B518E7"/>
    <w:rsid w:val="00B57CE5"/>
    <w:rsid w:val="00B6017E"/>
    <w:rsid w:val="00B60CE3"/>
    <w:rsid w:val="00B61AC7"/>
    <w:rsid w:val="00B61CA8"/>
    <w:rsid w:val="00B622F9"/>
    <w:rsid w:val="00B66929"/>
    <w:rsid w:val="00B67DF9"/>
    <w:rsid w:val="00B716B8"/>
    <w:rsid w:val="00B72768"/>
    <w:rsid w:val="00B73248"/>
    <w:rsid w:val="00B737C2"/>
    <w:rsid w:val="00B73C98"/>
    <w:rsid w:val="00B75BC3"/>
    <w:rsid w:val="00B75F1F"/>
    <w:rsid w:val="00B76328"/>
    <w:rsid w:val="00B7741F"/>
    <w:rsid w:val="00B80335"/>
    <w:rsid w:val="00B80D94"/>
    <w:rsid w:val="00B83884"/>
    <w:rsid w:val="00B87037"/>
    <w:rsid w:val="00B912DF"/>
    <w:rsid w:val="00B9637F"/>
    <w:rsid w:val="00B963E7"/>
    <w:rsid w:val="00BA1358"/>
    <w:rsid w:val="00BA261C"/>
    <w:rsid w:val="00BA53F8"/>
    <w:rsid w:val="00BA59C1"/>
    <w:rsid w:val="00BA739B"/>
    <w:rsid w:val="00BB1475"/>
    <w:rsid w:val="00BB1EFA"/>
    <w:rsid w:val="00BB2164"/>
    <w:rsid w:val="00BB2F19"/>
    <w:rsid w:val="00BB4A89"/>
    <w:rsid w:val="00BB675F"/>
    <w:rsid w:val="00BC1FBD"/>
    <w:rsid w:val="00BC2AC3"/>
    <w:rsid w:val="00BC3F46"/>
    <w:rsid w:val="00BC58C4"/>
    <w:rsid w:val="00BC73F5"/>
    <w:rsid w:val="00BC78FD"/>
    <w:rsid w:val="00BC794E"/>
    <w:rsid w:val="00BD2746"/>
    <w:rsid w:val="00BD3F1D"/>
    <w:rsid w:val="00BD580D"/>
    <w:rsid w:val="00BD6A43"/>
    <w:rsid w:val="00BE3F91"/>
    <w:rsid w:val="00BE61E5"/>
    <w:rsid w:val="00BE69E1"/>
    <w:rsid w:val="00BE6DF2"/>
    <w:rsid w:val="00BE70AB"/>
    <w:rsid w:val="00BE7558"/>
    <w:rsid w:val="00BE76AD"/>
    <w:rsid w:val="00BF03B6"/>
    <w:rsid w:val="00BF1148"/>
    <w:rsid w:val="00BF1922"/>
    <w:rsid w:val="00BF2F1C"/>
    <w:rsid w:val="00BF6FAB"/>
    <w:rsid w:val="00BF74D9"/>
    <w:rsid w:val="00C00287"/>
    <w:rsid w:val="00C013D5"/>
    <w:rsid w:val="00C01DA7"/>
    <w:rsid w:val="00C02112"/>
    <w:rsid w:val="00C02902"/>
    <w:rsid w:val="00C03758"/>
    <w:rsid w:val="00C04684"/>
    <w:rsid w:val="00C04FAC"/>
    <w:rsid w:val="00C06B0D"/>
    <w:rsid w:val="00C07A71"/>
    <w:rsid w:val="00C10766"/>
    <w:rsid w:val="00C114C3"/>
    <w:rsid w:val="00C114E5"/>
    <w:rsid w:val="00C13CE4"/>
    <w:rsid w:val="00C16438"/>
    <w:rsid w:val="00C16DF2"/>
    <w:rsid w:val="00C16ECB"/>
    <w:rsid w:val="00C17275"/>
    <w:rsid w:val="00C2053C"/>
    <w:rsid w:val="00C212DF"/>
    <w:rsid w:val="00C2225B"/>
    <w:rsid w:val="00C245B2"/>
    <w:rsid w:val="00C245C0"/>
    <w:rsid w:val="00C246E3"/>
    <w:rsid w:val="00C278F9"/>
    <w:rsid w:val="00C305E8"/>
    <w:rsid w:val="00C32021"/>
    <w:rsid w:val="00C320D1"/>
    <w:rsid w:val="00C32BA3"/>
    <w:rsid w:val="00C32DDE"/>
    <w:rsid w:val="00C332D3"/>
    <w:rsid w:val="00C34EA5"/>
    <w:rsid w:val="00C360EB"/>
    <w:rsid w:val="00C37A60"/>
    <w:rsid w:val="00C37A89"/>
    <w:rsid w:val="00C40900"/>
    <w:rsid w:val="00C40D1E"/>
    <w:rsid w:val="00C43549"/>
    <w:rsid w:val="00C43675"/>
    <w:rsid w:val="00C44950"/>
    <w:rsid w:val="00C47CB0"/>
    <w:rsid w:val="00C51F1E"/>
    <w:rsid w:val="00C52D5F"/>
    <w:rsid w:val="00C55B7A"/>
    <w:rsid w:val="00C564E9"/>
    <w:rsid w:val="00C57874"/>
    <w:rsid w:val="00C6383B"/>
    <w:rsid w:val="00C652EA"/>
    <w:rsid w:val="00C672DC"/>
    <w:rsid w:val="00C71221"/>
    <w:rsid w:val="00C71EC2"/>
    <w:rsid w:val="00C725ED"/>
    <w:rsid w:val="00C736D4"/>
    <w:rsid w:val="00C73CA8"/>
    <w:rsid w:val="00C7546A"/>
    <w:rsid w:val="00C7720A"/>
    <w:rsid w:val="00C77E8C"/>
    <w:rsid w:val="00C836AE"/>
    <w:rsid w:val="00C843A8"/>
    <w:rsid w:val="00C846D1"/>
    <w:rsid w:val="00C8546F"/>
    <w:rsid w:val="00C92E53"/>
    <w:rsid w:val="00C94200"/>
    <w:rsid w:val="00C94426"/>
    <w:rsid w:val="00CA06D0"/>
    <w:rsid w:val="00CA149D"/>
    <w:rsid w:val="00CA1ED2"/>
    <w:rsid w:val="00CA4682"/>
    <w:rsid w:val="00CA4E36"/>
    <w:rsid w:val="00CA5DDF"/>
    <w:rsid w:val="00CA60A4"/>
    <w:rsid w:val="00CA632F"/>
    <w:rsid w:val="00CB00C8"/>
    <w:rsid w:val="00CB0365"/>
    <w:rsid w:val="00CB094A"/>
    <w:rsid w:val="00CB4005"/>
    <w:rsid w:val="00CB5297"/>
    <w:rsid w:val="00CB542B"/>
    <w:rsid w:val="00CB73E6"/>
    <w:rsid w:val="00CC0325"/>
    <w:rsid w:val="00CC1A7B"/>
    <w:rsid w:val="00CC6A18"/>
    <w:rsid w:val="00CC7AD5"/>
    <w:rsid w:val="00CD5A55"/>
    <w:rsid w:val="00CE1EF7"/>
    <w:rsid w:val="00CE4D0A"/>
    <w:rsid w:val="00CF0566"/>
    <w:rsid w:val="00CF35A2"/>
    <w:rsid w:val="00CF3B01"/>
    <w:rsid w:val="00CF3F1A"/>
    <w:rsid w:val="00CF4AFF"/>
    <w:rsid w:val="00CF55B9"/>
    <w:rsid w:val="00CF5C6E"/>
    <w:rsid w:val="00CF7D74"/>
    <w:rsid w:val="00D002D2"/>
    <w:rsid w:val="00D03B2A"/>
    <w:rsid w:val="00D056FC"/>
    <w:rsid w:val="00D05A29"/>
    <w:rsid w:val="00D05C25"/>
    <w:rsid w:val="00D07C39"/>
    <w:rsid w:val="00D10D6E"/>
    <w:rsid w:val="00D115BB"/>
    <w:rsid w:val="00D1376B"/>
    <w:rsid w:val="00D13B38"/>
    <w:rsid w:val="00D16BE6"/>
    <w:rsid w:val="00D2173A"/>
    <w:rsid w:val="00D234A3"/>
    <w:rsid w:val="00D23EA4"/>
    <w:rsid w:val="00D2732A"/>
    <w:rsid w:val="00D30EA6"/>
    <w:rsid w:val="00D3110B"/>
    <w:rsid w:val="00D31C68"/>
    <w:rsid w:val="00D330EB"/>
    <w:rsid w:val="00D33924"/>
    <w:rsid w:val="00D34C55"/>
    <w:rsid w:val="00D36C4D"/>
    <w:rsid w:val="00D374DA"/>
    <w:rsid w:val="00D40536"/>
    <w:rsid w:val="00D41AB7"/>
    <w:rsid w:val="00D44E43"/>
    <w:rsid w:val="00D44E76"/>
    <w:rsid w:val="00D46214"/>
    <w:rsid w:val="00D473A0"/>
    <w:rsid w:val="00D516DC"/>
    <w:rsid w:val="00D52841"/>
    <w:rsid w:val="00D5570A"/>
    <w:rsid w:val="00D5573D"/>
    <w:rsid w:val="00D5582F"/>
    <w:rsid w:val="00D55C35"/>
    <w:rsid w:val="00D55FF2"/>
    <w:rsid w:val="00D5789B"/>
    <w:rsid w:val="00D629A7"/>
    <w:rsid w:val="00D62E68"/>
    <w:rsid w:val="00D63060"/>
    <w:rsid w:val="00D6469E"/>
    <w:rsid w:val="00D6546D"/>
    <w:rsid w:val="00D67E2C"/>
    <w:rsid w:val="00D71730"/>
    <w:rsid w:val="00D81052"/>
    <w:rsid w:val="00D839AB"/>
    <w:rsid w:val="00D83A78"/>
    <w:rsid w:val="00D83E52"/>
    <w:rsid w:val="00D8408C"/>
    <w:rsid w:val="00D8519C"/>
    <w:rsid w:val="00D8542A"/>
    <w:rsid w:val="00D87E92"/>
    <w:rsid w:val="00D92CEE"/>
    <w:rsid w:val="00D93A33"/>
    <w:rsid w:val="00D943B4"/>
    <w:rsid w:val="00D95213"/>
    <w:rsid w:val="00DA1B4D"/>
    <w:rsid w:val="00DA391F"/>
    <w:rsid w:val="00DA43E3"/>
    <w:rsid w:val="00DA66FA"/>
    <w:rsid w:val="00DA7A49"/>
    <w:rsid w:val="00DB100A"/>
    <w:rsid w:val="00DB339F"/>
    <w:rsid w:val="00DB4E35"/>
    <w:rsid w:val="00DB4EB0"/>
    <w:rsid w:val="00DC0CE5"/>
    <w:rsid w:val="00DC1C63"/>
    <w:rsid w:val="00DC20B3"/>
    <w:rsid w:val="00DC2540"/>
    <w:rsid w:val="00DC293D"/>
    <w:rsid w:val="00DC3E01"/>
    <w:rsid w:val="00DC43AE"/>
    <w:rsid w:val="00DC6976"/>
    <w:rsid w:val="00DD0609"/>
    <w:rsid w:val="00DD0AAB"/>
    <w:rsid w:val="00DD14A6"/>
    <w:rsid w:val="00DD540D"/>
    <w:rsid w:val="00DD56DA"/>
    <w:rsid w:val="00DD68D9"/>
    <w:rsid w:val="00DD6A8C"/>
    <w:rsid w:val="00DD7BB3"/>
    <w:rsid w:val="00DE08A9"/>
    <w:rsid w:val="00DE151F"/>
    <w:rsid w:val="00DE393F"/>
    <w:rsid w:val="00DE75D4"/>
    <w:rsid w:val="00DF15C8"/>
    <w:rsid w:val="00DF1E53"/>
    <w:rsid w:val="00DF23CD"/>
    <w:rsid w:val="00DF2CAC"/>
    <w:rsid w:val="00DF3D31"/>
    <w:rsid w:val="00DF4C72"/>
    <w:rsid w:val="00DF7C47"/>
    <w:rsid w:val="00E00219"/>
    <w:rsid w:val="00E01830"/>
    <w:rsid w:val="00E0216F"/>
    <w:rsid w:val="00E02FA9"/>
    <w:rsid w:val="00E030BD"/>
    <w:rsid w:val="00E03A72"/>
    <w:rsid w:val="00E04B34"/>
    <w:rsid w:val="00E06460"/>
    <w:rsid w:val="00E06D7A"/>
    <w:rsid w:val="00E113FB"/>
    <w:rsid w:val="00E14E10"/>
    <w:rsid w:val="00E1534F"/>
    <w:rsid w:val="00E17CA6"/>
    <w:rsid w:val="00E17E92"/>
    <w:rsid w:val="00E225D4"/>
    <w:rsid w:val="00E22D0C"/>
    <w:rsid w:val="00E23B6F"/>
    <w:rsid w:val="00E23D0B"/>
    <w:rsid w:val="00E2431A"/>
    <w:rsid w:val="00E30291"/>
    <w:rsid w:val="00E30CE2"/>
    <w:rsid w:val="00E36406"/>
    <w:rsid w:val="00E37ED0"/>
    <w:rsid w:val="00E40D53"/>
    <w:rsid w:val="00E412B4"/>
    <w:rsid w:val="00E4447B"/>
    <w:rsid w:val="00E53720"/>
    <w:rsid w:val="00E60333"/>
    <w:rsid w:val="00E643E4"/>
    <w:rsid w:val="00E6538A"/>
    <w:rsid w:val="00E66609"/>
    <w:rsid w:val="00E667A8"/>
    <w:rsid w:val="00E671BE"/>
    <w:rsid w:val="00E671EF"/>
    <w:rsid w:val="00E6751D"/>
    <w:rsid w:val="00E701E0"/>
    <w:rsid w:val="00E70365"/>
    <w:rsid w:val="00E703DB"/>
    <w:rsid w:val="00E73629"/>
    <w:rsid w:val="00E77443"/>
    <w:rsid w:val="00E778B7"/>
    <w:rsid w:val="00E81AD5"/>
    <w:rsid w:val="00E87D4C"/>
    <w:rsid w:val="00E942B5"/>
    <w:rsid w:val="00E9495F"/>
    <w:rsid w:val="00E9751D"/>
    <w:rsid w:val="00EA0496"/>
    <w:rsid w:val="00EA18FB"/>
    <w:rsid w:val="00EA6DF4"/>
    <w:rsid w:val="00EB03BF"/>
    <w:rsid w:val="00EB0B4C"/>
    <w:rsid w:val="00EB4E6E"/>
    <w:rsid w:val="00EB54AB"/>
    <w:rsid w:val="00EB5574"/>
    <w:rsid w:val="00EB723C"/>
    <w:rsid w:val="00EB7635"/>
    <w:rsid w:val="00EB7FC6"/>
    <w:rsid w:val="00EC3287"/>
    <w:rsid w:val="00EC45E2"/>
    <w:rsid w:val="00EC483C"/>
    <w:rsid w:val="00EC4EDA"/>
    <w:rsid w:val="00EC76CE"/>
    <w:rsid w:val="00ED0FB4"/>
    <w:rsid w:val="00ED1607"/>
    <w:rsid w:val="00ED1A14"/>
    <w:rsid w:val="00ED1B67"/>
    <w:rsid w:val="00ED1EEF"/>
    <w:rsid w:val="00ED2A68"/>
    <w:rsid w:val="00ED302A"/>
    <w:rsid w:val="00ED320B"/>
    <w:rsid w:val="00ED399D"/>
    <w:rsid w:val="00ED506F"/>
    <w:rsid w:val="00ED5210"/>
    <w:rsid w:val="00ED522F"/>
    <w:rsid w:val="00ED5574"/>
    <w:rsid w:val="00ED5873"/>
    <w:rsid w:val="00ED5E44"/>
    <w:rsid w:val="00ED5E70"/>
    <w:rsid w:val="00ED6DCB"/>
    <w:rsid w:val="00ED73F9"/>
    <w:rsid w:val="00EE1924"/>
    <w:rsid w:val="00EE2B3D"/>
    <w:rsid w:val="00EE35E7"/>
    <w:rsid w:val="00EE4AF5"/>
    <w:rsid w:val="00EF0B70"/>
    <w:rsid w:val="00EF1853"/>
    <w:rsid w:val="00EF3180"/>
    <w:rsid w:val="00EF4747"/>
    <w:rsid w:val="00EF6BD0"/>
    <w:rsid w:val="00EF6DFE"/>
    <w:rsid w:val="00EF7A52"/>
    <w:rsid w:val="00F01FE7"/>
    <w:rsid w:val="00F03721"/>
    <w:rsid w:val="00F03CFF"/>
    <w:rsid w:val="00F04051"/>
    <w:rsid w:val="00F0467B"/>
    <w:rsid w:val="00F05FA4"/>
    <w:rsid w:val="00F06825"/>
    <w:rsid w:val="00F1006B"/>
    <w:rsid w:val="00F1328C"/>
    <w:rsid w:val="00F15AB2"/>
    <w:rsid w:val="00F17C7E"/>
    <w:rsid w:val="00F17EA3"/>
    <w:rsid w:val="00F23916"/>
    <w:rsid w:val="00F2599C"/>
    <w:rsid w:val="00F26181"/>
    <w:rsid w:val="00F27083"/>
    <w:rsid w:val="00F274C6"/>
    <w:rsid w:val="00F30EF5"/>
    <w:rsid w:val="00F32776"/>
    <w:rsid w:val="00F33D99"/>
    <w:rsid w:val="00F371D8"/>
    <w:rsid w:val="00F40545"/>
    <w:rsid w:val="00F41499"/>
    <w:rsid w:val="00F43C25"/>
    <w:rsid w:val="00F44642"/>
    <w:rsid w:val="00F46DFF"/>
    <w:rsid w:val="00F47C69"/>
    <w:rsid w:val="00F51782"/>
    <w:rsid w:val="00F524BA"/>
    <w:rsid w:val="00F52B7B"/>
    <w:rsid w:val="00F5595C"/>
    <w:rsid w:val="00F601A1"/>
    <w:rsid w:val="00F63525"/>
    <w:rsid w:val="00F64170"/>
    <w:rsid w:val="00F6574C"/>
    <w:rsid w:val="00F6582C"/>
    <w:rsid w:val="00F716F1"/>
    <w:rsid w:val="00F71A1A"/>
    <w:rsid w:val="00F74759"/>
    <w:rsid w:val="00F75AD0"/>
    <w:rsid w:val="00F80246"/>
    <w:rsid w:val="00F831DA"/>
    <w:rsid w:val="00F83310"/>
    <w:rsid w:val="00F83665"/>
    <w:rsid w:val="00F836BE"/>
    <w:rsid w:val="00F8421F"/>
    <w:rsid w:val="00F844C7"/>
    <w:rsid w:val="00F8696F"/>
    <w:rsid w:val="00F87F08"/>
    <w:rsid w:val="00F908D9"/>
    <w:rsid w:val="00F919D3"/>
    <w:rsid w:val="00F91E84"/>
    <w:rsid w:val="00F94924"/>
    <w:rsid w:val="00F9637D"/>
    <w:rsid w:val="00FA0E0E"/>
    <w:rsid w:val="00FA14D4"/>
    <w:rsid w:val="00FA1829"/>
    <w:rsid w:val="00FA1A3A"/>
    <w:rsid w:val="00FA21BF"/>
    <w:rsid w:val="00FA6CA3"/>
    <w:rsid w:val="00FB0953"/>
    <w:rsid w:val="00FB2C5F"/>
    <w:rsid w:val="00FB2F0E"/>
    <w:rsid w:val="00FB54C4"/>
    <w:rsid w:val="00FB5511"/>
    <w:rsid w:val="00FB682E"/>
    <w:rsid w:val="00FB78D4"/>
    <w:rsid w:val="00FC0E12"/>
    <w:rsid w:val="00FC1910"/>
    <w:rsid w:val="00FC30FE"/>
    <w:rsid w:val="00FC4420"/>
    <w:rsid w:val="00FC44AF"/>
    <w:rsid w:val="00FC4F8E"/>
    <w:rsid w:val="00FC7D9E"/>
    <w:rsid w:val="00FD0A34"/>
    <w:rsid w:val="00FD2D45"/>
    <w:rsid w:val="00FD37D7"/>
    <w:rsid w:val="00FD40EC"/>
    <w:rsid w:val="00FD4CBE"/>
    <w:rsid w:val="00FD69E9"/>
    <w:rsid w:val="00FD773A"/>
    <w:rsid w:val="00FE0965"/>
    <w:rsid w:val="00FE2DF2"/>
    <w:rsid w:val="00FE458A"/>
    <w:rsid w:val="00FE6335"/>
    <w:rsid w:val="00FE7771"/>
    <w:rsid w:val="00FF0B03"/>
    <w:rsid w:val="00FF0FC1"/>
    <w:rsid w:val="00FF305F"/>
    <w:rsid w:val="00FF5E9C"/>
    <w:rsid w:val="00FF76E6"/>
    <w:rsid w:val="0F550EDE"/>
    <w:rsid w:val="24DD41C7"/>
    <w:rsid w:val="2DB44496"/>
    <w:rsid w:val="5F844B4C"/>
    <w:rsid w:val="71744751"/>
    <w:rsid w:val="72544C9F"/>
    <w:rsid w:val="76FC4E6F"/>
    <w:rsid w:val="7B703D1C"/>
    <w:rsid w:val="7D0A6556"/>
    <w:rsid w:val="7FFBABB4"/>
    <w:rsid w:val="DB4FB8C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0" w:semiHidden="0" w:name="heading 8"/>
    <w:lsdException w:qFormat="1" w:unhideWhenUsed="0" w:uiPriority="9"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qFormat="1" w:unhideWhenUsed="0" w:uiPriority="0" w:semiHidden="0" w:name="toc 8"/>
    <w:lsdException w:unhideWhenUsed="0" w:uiPriority="0" w:semiHidden="0" w:name="toc 9"/>
    <w:lsdException w:qFormat="1" w:unhideWhenUsed="0" w:uiPriority="0" w:semiHidden="0" w:name="Normal Indent"/>
    <w:lsdException w:qFormat="1" w:uiPriority="99"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99"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iPriority="99" w:semiHidden="0" w:name="endnote reference"/>
    <w:lsdException w:qFormat="1" w:uiPriority="99"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1"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semiHidden="0" w:name="Balloon Text"/>
    <w:lsdException w:qFormat="1" w:unhideWhenUsed="0" w:uiPriority="5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both"/>
    </w:pPr>
    <w:rPr>
      <w:rFonts w:ascii="Times New Roman" w:hAnsi="Times New Roman" w:eastAsia="宋体" w:cs="Times New Roman"/>
      <w:sz w:val="21"/>
      <w:szCs w:val="21"/>
      <w:lang w:val="en-US" w:eastAsia="zh-CN" w:bidi="ar-SA"/>
    </w:rPr>
  </w:style>
  <w:style w:type="paragraph" w:styleId="2">
    <w:name w:val="heading 1"/>
    <w:basedOn w:val="1"/>
    <w:next w:val="1"/>
    <w:link w:val="43"/>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44"/>
    <w:qFormat/>
    <w:uiPriority w:val="0"/>
    <w:pPr>
      <w:keepNext/>
      <w:keepLines/>
      <w:spacing w:before="260" w:after="260" w:line="416" w:lineRule="auto"/>
      <w:outlineLvl w:val="1"/>
    </w:pPr>
    <w:rPr>
      <w:rFonts w:ascii="Cambria" w:hAnsi="Cambria"/>
      <w:b/>
      <w:bCs/>
      <w:sz w:val="32"/>
      <w:szCs w:val="32"/>
    </w:rPr>
  </w:style>
  <w:style w:type="paragraph" w:styleId="4">
    <w:name w:val="heading 3"/>
    <w:basedOn w:val="1"/>
    <w:next w:val="1"/>
    <w:link w:val="45"/>
    <w:qFormat/>
    <w:uiPriority w:val="0"/>
    <w:pPr>
      <w:keepNext/>
      <w:keepLines/>
      <w:widowControl w:val="0"/>
      <w:spacing w:before="260" w:after="260" w:line="416" w:lineRule="auto"/>
      <w:outlineLvl w:val="2"/>
    </w:pPr>
    <w:rPr>
      <w:rFonts w:ascii="Arial" w:hAnsi="Arial" w:eastAsia="黑体"/>
      <w:b/>
      <w:bCs/>
      <w:kern w:val="2"/>
      <w:sz w:val="32"/>
      <w:szCs w:val="32"/>
    </w:rPr>
  </w:style>
  <w:style w:type="paragraph" w:styleId="5">
    <w:name w:val="heading 4"/>
    <w:basedOn w:val="1"/>
    <w:next w:val="1"/>
    <w:link w:val="132"/>
    <w:qFormat/>
    <w:uiPriority w:val="0"/>
    <w:pPr>
      <w:keepNext/>
      <w:keepLines/>
      <w:widowControl w:val="0"/>
      <w:spacing w:before="280" w:after="290" w:line="376" w:lineRule="auto"/>
      <w:outlineLvl w:val="3"/>
    </w:pPr>
    <w:rPr>
      <w:rFonts w:ascii="Arial" w:hAnsi="Arial" w:eastAsia="黑体"/>
      <w:b/>
      <w:bCs/>
      <w:kern w:val="2"/>
      <w:sz w:val="28"/>
      <w:szCs w:val="28"/>
    </w:rPr>
  </w:style>
  <w:style w:type="paragraph" w:styleId="6">
    <w:name w:val="heading 5"/>
    <w:basedOn w:val="1"/>
    <w:next w:val="1"/>
    <w:link w:val="46"/>
    <w:qFormat/>
    <w:uiPriority w:val="9"/>
    <w:pPr>
      <w:keepNext/>
      <w:keepLines/>
      <w:spacing w:before="280" w:after="290" w:line="376" w:lineRule="auto"/>
      <w:outlineLvl w:val="4"/>
    </w:pPr>
    <w:rPr>
      <w:b/>
      <w:bCs/>
      <w:sz w:val="28"/>
      <w:szCs w:val="28"/>
    </w:rPr>
  </w:style>
  <w:style w:type="paragraph" w:styleId="7">
    <w:name w:val="heading 6"/>
    <w:basedOn w:val="1"/>
    <w:next w:val="1"/>
    <w:link w:val="47"/>
    <w:qFormat/>
    <w:uiPriority w:val="9"/>
    <w:pPr>
      <w:keepNext/>
      <w:keepLines/>
      <w:spacing w:before="200"/>
      <w:outlineLvl w:val="5"/>
    </w:pPr>
    <w:rPr>
      <w:rFonts w:ascii="Helvetica Neue" w:hAnsi="Helvetica Neue" w:eastAsia="Helvetica Neue"/>
      <w:i/>
      <w:iCs/>
      <w:color w:val="1F3763"/>
      <w:sz w:val="20"/>
      <w:szCs w:val="20"/>
    </w:rPr>
  </w:style>
  <w:style w:type="paragraph" w:styleId="8">
    <w:name w:val="heading 7"/>
    <w:basedOn w:val="1"/>
    <w:next w:val="1"/>
    <w:link w:val="48"/>
    <w:qFormat/>
    <w:uiPriority w:val="9"/>
    <w:pPr>
      <w:keepNext/>
      <w:keepLines/>
      <w:spacing w:before="200"/>
      <w:outlineLvl w:val="6"/>
    </w:pPr>
    <w:rPr>
      <w:rFonts w:ascii="Helvetica Neue" w:hAnsi="Helvetica Neue" w:eastAsia="Helvetica Neue"/>
      <w:i/>
      <w:iCs/>
      <w:color w:val="404040"/>
      <w:sz w:val="20"/>
      <w:szCs w:val="20"/>
    </w:rPr>
  </w:style>
  <w:style w:type="paragraph" w:styleId="9">
    <w:name w:val="heading 8"/>
    <w:basedOn w:val="1"/>
    <w:next w:val="1"/>
    <w:link w:val="49"/>
    <w:qFormat/>
    <w:uiPriority w:val="0"/>
    <w:pPr>
      <w:keepNext/>
      <w:keepLines/>
      <w:spacing w:before="240" w:after="64" w:line="320" w:lineRule="auto"/>
      <w:outlineLvl w:val="7"/>
    </w:pPr>
    <w:rPr>
      <w:rFonts w:ascii="Cambria" w:hAnsi="Cambria"/>
      <w:sz w:val="24"/>
      <w:szCs w:val="24"/>
    </w:rPr>
  </w:style>
  <w:style w:type="paragraph" w:styleId="10">
    <w:name w:val="heading 9"/>
    <w:basedOn w:val="1"/>
    <w:next w:val="1"/>
    <w:link w:val="50"/>
    <w:qFormat/>
    <w:uiPriority w:val="9"/>
    <w:pPr>
      <w:keepNext/>
      <w:keepLines/>
      <w:spacing w:before="200"/>
      <w:outlineLvl w:val="8"/>
    </w:pPr>
    <w:rPr>
      <w:rFonts w:ascii="Helvetica Neue" w:hAnsi="Helvetica Neue" w:eastAsia="Helvetica Neue"/>
      <w:i/>
      <w:iCs/>
      <w:color w:val="404040"/>
      <w:sz w:val="20"/>
      <w:szCs w:val="20"/>
    </w:rPr>
  </w:style>
  <w:style w:type="character" w:default="1" w:styleId="34">
    <w:name w:val="Default Paragraph Font"/>
    <w:semiHidden/>
    <w:unhideWhenUsed/>
    <w:qFormat/>
    <w:uiPriority w:val="1"/>
  </w:style>
  <w:style w:type="table" w:default="1" w:styleId="32">
    <w:name w:val="Normal Table"/>
    <w:semiHidden/>
    <w:unhideWhenUsed/>
    <w:qFormat/>
    <w:uiPriority w:val="99"/>
    <w:tblPr>
      <w:tblCellMar>
        <w:top w:w="0" w:type="dxa"/>
        <w:left w:w="108" w:type="dxa"/>
        <w:bottom w:w="0" w:type="dxa"/>
        <w:right w:w="108" w:type="dxa"/>
      </w:tblCellMar>
    </w:tblPr>
  </w:style>
  <w:style w:type="paragraph" w:styleId="11">
    <w:name w:val="Normal Indent"/>
    <w:basedOn w:val="1"/>
    <w:link w:val="51"/>
    <w:qFormat/>
    <w:uiPriority w:val="0"/>
    <w:pPr>
      <w:ind w:firstLine="420"/>
    </w:pPr>
    <w:rPr>
      <w:sz w:val="24"/>
      <w:szCs w:val="24"/>
    </w:rPr>
  </w:style>
  <w:style w:type="paragraph" w:styleId="12">
    <w:name w:val="Document Map"/>
    <w:basedOn w:val="1"/>
    <w:link w:val="52"/>
    <w:qFormat/>
    <w:uiPriority w:val="99"/>
    <w:pPr>
      <w:shd w:val="clear" w:color="auto" w:fill="000080"/>
    </w:pPr>
    <w:rPr>
      <w:sz w:val="16"/>
      <w:szCs w:val="16"/>
    </w:rPr>
  </w:style>
  <w:style w:type="paragraph" w:styleId="13">
    <w:name w:val="annotation text"/>
    <w:basedOn w:val="1"/>
    <w:link w:val="53"/>
    <w:qFormat/>
    <w:uiPriority w:val="99"/>
    <w:pPr>
      <w:jc w:val="left"/>
    </w:pPr>
    <w:rPr>
      <w:sz w:val="24"/>
      <w:szCs w:val="24"/>
    </w:rPr>
  </w:style>
  <w:style w:type="paragraph" w:styleId="14">
    <w:name w:val="Body Text"/>
    <w:basedOn w:val="1"/>
    <w:link w:val="54"/>
    <w:qFormat/>
    <w:uiPriority w:val="0"/>
    <w:pPr>
      <w:spacing w:after="120"/>
    </w:pPr>
    <w:rPr>
      <w:sz w:val="24"/>
      <w:szCs w:val="24"/>
    </w:rPr>
  </w:style>
  <w:style w:type="paragraph" w:styleId="15">
    <w:name w:val="Body Text Indent"/>
    <w:basedOn w:val="1"/>
    <w:link w:val="55"/>
    <w:qFormat/>
    <w:uiPriority w:val="0"/>
    <w:pPr>
      <w:spacing w:after="120"/>
      <w:ind w:left="420"/>
    </w:pPr>
    <w:rPr>
      <w:sz w:val="24"/>
      <w:szCs w:val="24"/>
    </w:rPr>
  </w:style>
  <w:style w:type="paragraph" w:styleId="16">
    <w:name w:val="Plain Text"/>
    <w:basedOn w:val="1"/>
    <w:link w:val="56"/>
    <w:qFormat/>
    <w:uiPriority w:val="0"/>
    <w:rPr>
      <w:rFonts w:ascii="宋体" w:hAnsi="Courier New"/>
    </w:rPr>
  </w:style>
  <w:style w:type="paragraph" w:styleId="17">
    <w:name w:val="toc 8"/>
    <w:basedOn w:val="1"/>
    <w:next w:val="1"/>
    <w:qFormat/>
    <w:uiPriority w:val="0"/>
    <w:pPr>
      <w:ind w:left="2940"/>
    </w:pPr>
  </w:style>
  <w:style w:type="paragraph" w:styleId="18">
    <w:name w:val="Date"/>
    <w:basedOn w:val="1"/>
    <w:next w:val="1"/>
    <w:link w:val="57"/>
    <w:qFormat/>
    <w:uiPriority w:val="0"/>
    <w:pPr>
      <w:ind w:left="100"/>
    </w:pPr>
    <w:rPr>
      <w:sz w:val="24"/>
      <w:szCs w:val="24"/>
    </w:rPr>
  </w:style>
  <w:style w:type="paragraph" w:styleId="19">
    <w:name w:val="endnote text"/>
    <w:basedOn w:val="1"/>
    <w:link w:val="58"/>
    <w:unhideWhenUsed/>
    <w:qFormat/>
    <w:uiPriority w:val="99"/>
    <w:rPr>
      <w:sz w:val="20"/>
      <w:szCs w:val="20"/>
    </w:rPr>
  </w:style>
  <w:style w:type="paragraph" w:styleId="20">
    <w:name w:val="Balloon Text"/>
    <w:basedOn w:val="1"/>
    <w:link w:val="59"/>
    <w:qFormat/>
    <w:uiPriority w:val="99"/>
    <w:rPr>
      <w:sz w:val="16"/>
      <w:szCs w:val="16"/>
    </w:rPr>
  </w:style>
  <w:style w:type="paragraph" w:styleId="21">
    <w:name w:val="footer"/>
    <w:basedOn w:val="1"/>
    <w:link w:val="60"/>
    <w:qFormat/>
    <w:uiPriority w:val="99"/>
    <w:pPr>
      <w:tabs>
        <w:tab w:val="center" w:pos="4153"/>
        <w:tab w:val="right" w:pos="8306"/>
      </w:tabs>
      <w:snapToGrid w:val="0"/>
      <w:jc w:val="left"/>
    </w:pPr>
    <w:rPr>
      <w:sz w:val="18"/>
      <w:szCs w:val="18"/>
    </w:rPr>
  </w:style>
  <w:style w:type="paragraph" w:styleId="22">
    <w:name w:val="header"/>
    <w:basedOn w:val="1"/>
    <w:link w:val="61"/>
    <w:qFormat/>
    <w:uiPriority w:val="99"/>
    <w:pPr>
      <w:pBdr>
        <w:bottom w:val="single" w:color="auto" w:sz="6" w:space="1"/>
      </w:pBdr>
      <w:tabs>
        <w:tab w:val="center" w:pos="4153"/>
        <w:tab w:val="right" w:pos="8306"/>
      </w:tabs>
      <w:snapToGrid w:val="0"/>
      <w:jc w:val="center"/>
    </w:pPr>
    <w:rPr>
      <w:sz w:val="18"/>
      <w:szCs w:val="18"/>
    </w:rPr>
  </w:style>
  <w:style w:type="paragraph" w:styleId="23">
    <w:name w:val="toc 1"/>
    <w:basedOn w:val="1"/>
    <w:next w:val="1"/>
    <w:qFormat/>
    <w:uiPriority w:val="0"/>
    <w:pPr>
      <w:spacing w:before="120" w:after="120"/>
      <w:jc w:val="left"/>
    </w:pPr>
    <w:rPr>
      <w:b/>
      <w:bCs/>
      <w:caps/>
    </w:rPr>
  </w:style>
  <w:style w:type="paragraph" w:styleId="24">
    <w:name w:val="Subtitle"/>
    <w:basedOn w:val="1"/>
    <w:next w:val="1"/>
    <w:link w:val="62"/>
    <w:qFormat/>
    <w:uiPriority w:val="11"/>
    <w:rPr>
      <w:rFonts w:ascii="Helvetica Neue" w:hAnsi="Helvetica Neue" w:eastAsia="Helvetica Neue"/>
      <w:i/>
      <w:iCs/>
      <w:color w:val="4472C4"/>
      <w:spacing w:val="15"/>
      <w:sz w:val="24"/>
      <w:szCs w:val="24"/>
    </w:rPr>
  </w:style>
  <w:style w:type="paragraph" w:styleId="25">
    <w:name w:val="footnote text"/>
    <w:basedOn w:val="1"/>
    <w:link w:val="63"/>
    <w:unhideWhenUsed/>
    <w:qFormat/>
    <w:uiPriority w:val="99"/>
    <w:rPr>
      <w:sz w:val="20"/>
      <w:szCs w:val="20"/>
    </w:rPr>
  </w:style>
  <w:style w:type="paragraph" w:styleId="26">
    <w:name w:val="Body Text Indent 3"/>
    <w:basedOn w:val="1"/>
    <w:link w:val="64"/>
    <w:qFormat/>
    <w:uiPriority w:val="0"/>
    <w:pPr>
      <w:spacing w:after="120"/>
      <w:ind w:left="420"/>
    </w:pPr>
    <w:rPr>
      <w:sz w:val="16"/>
      <w:szCs w:val="16"/>
    </w:rPr>
  </w:style>
  <w:style w:type="paragraph" w:styleId="27">
    <w:name w:val="HTML Preformatted"/>
    <w:basedOn w:val="1"/>
    <w:link w:val="65"/>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sz w:val="20"/>
      <w:szCs w:val="20"/>
    </w:rPr>
  </w:style>
  <w:style w:type="paragraph" w:styleId="28">
    <w:name w:val="Normal (Web)"/>
    <w:basedOn w:val="1"/>
    <w:qFormat/>
    <w:uiPriority w:val="99"/>
    <w:pPr>
      <w:spacing w:before="100" w:after="100"/>
      <w:jc w:val="left"/>
    </w:pPr>
    <w:rPr>
      <w:sz w:val="24"/>
      <w:szCs w:val="24"/>
    </w:rPr>
  </w:style>
  <w:style w:type="paragraph" w:styleId="29">
    <w:name w:val="Title"/>
    <w:basedOn w:val="1"/>
    <w:link w:val="66"/>
    <w:qFormat/>
    <w:uiPriority w:val="0"/>
    <w:pPr>
      <w:spacing w:before="240" w:after="60"/>
      <w:jc w:val="center"/>
    </w:pPr>
    <w:rPr>
      <w:rFonts w:ascii="Arial" w:hAnsi="Arial" w:eastAsia="隶书"/>
      <w:b/>
      <w:bCs/>
      <w:sz w:val="32"/>
      <w:szCs w:val="32"/>
    </w:rPr>
  </w:style>
  <w:style w:type="paragraph" w:styleId="30">
    <w:name w:val="annotation subject"/>
    <w:basedOn w:val="13"/>
    <w:next w:val="13"/>
    <w:link w:val="67"/>
    <w:qFormat/>
    <w:uiPriority w:val="99"/>
    <w:rPr>
      <w:b/>
      <w:bCs/>
      <w:szCs w:val="21"/>
    </w:rPr>
  </w:style>
  <w:style w:type="paragraph" w:styleId="31">
    <w:name w:val="Body Text First Indent"/>
    <w:basedOn w:val="14"/>
    <w:link w:val="68"/>
    <w:qFormat/>
    <w:uiPriority w:val="0"/>
    <w:pPr>
      <w:ind w:firstLine="420"/>
    </w:pPr>
  </w:style>
  <w:style w:type="table" w:styleId="33">
    <w:name w:val="Table Grid"/>
    <w:basedOn w:val="32"/>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5">
    <w:name w:val="Strong"/>
    <w:qFormat/>
    <w:uiPriority w:val="0"/>
    <w:rPr>
      <w:b/>
      <w:bCs/>
    </w:rPr>
  </w:style>
  <w:style w:type="character" w:styleId="36">
    <w:name w:val="endnote reference"/>
    <w:unhideWhenUsed/>
    <w:qFormat/>
    <w:uiPriority w:val="99"/>
    <w:rPr>
      <w:vertAlign w:val="superscript"/>
    </w:rPr>
  </w:style>
  <w:style w:type="character" w:styleId="37">
    <w:name w:val="page number"/>
    <w:qFormat/>
    <w:uiPriority w:val="0"/>
  </w:style>
  <w:style w:type="character" w:styleId="38">
    <w:name w:val="FollowedHyperlink"/>
    <w:qFormat/>
    <w:uiPriority w:val="0"/>
    <w:rPr>
      <w:color w:val="800080"/>
      <w:u w:val="single"/>
    </w:rPr>
  </w:style>
  <w:style w:type="character" w:styleId="39">
    <w:name w:val="Emphasis"/>
    <w:qFormat/>
    <w:uiPriority w:val="0"/>
    <w:rPr>
      <w:i/>
      <w:iCs/>
    </w:rPr>
  </w:style>
  <w:style w:type="character" w:styleId="40">
    <w:name w:val="Hyperlink"/>
    <w:qFormat/>
    <w:uiPriority w:val="0"/>
    <w:rPr>
      <w:color w:val="0000FF"/>
      <w:u w:val="single"/>
    </w:rPr>
  </w:style>
  <w:style w:type="character" w:styleId="41">
    <w:name w:val="annotation reference"/>
    <w:qFormat/>
    <w:uiPriority w:val="0"/>
    <w:rPr>
      <w:sz w:val="21"/>
      <w:szCs w:val="21"/>
    </w:rPr>
  </w:style>
  <w:style w:type="character" w:styleId="42">
    <w:name w:val="footnote reference"/>
    <w:unhideWhenUsed/>
    <w:qFormat/>
    <w:uiPriority w:val="99"/>
    <w:rPr>
      <w:vertAlign w:val="superscript"/>
    </w:rPr>
  </w:style>
  <w:style w:type="character" w:customStyle="1" w:styleId="43">
    <w:name w:val="标题 1 Char2"/>
    <w:link w:val="2"/>
    <w:qFormat/>
    <w:uiPriority w:val="0"/>
    <w:rPr>
      <w:b/>
      <w:bCs/>
      <w:kern w:val="44"/>
      <w:sz w:val="44"/>
      <w:szCs w:val="44"/>
    </w:rPr>
  </w:style>
  <w:style w:type="character" w:customStyle="1" w:styleId="44">
    <w:name w:val="标题 2 Char2"/>
    <w:link w:val="3"/>
    <w:semiHidden/>
    <w:qFormat/>
    <w:uiPriority w:val="0"/>
    <w:rPr>
      <w:rFonts w:ascii="Cambria" w:hAnsi="Cambria" w:eastAsia="宋体" w:cs="Times New Roman"/>
      <w:b/>
      <w:bCs/>
      <w:sz w:val="32"/>
      <w:szCs w:val="32"/>
    </w:rPr>
  </w:style>
  <w:style w:type="character" w:customStyle="1" w:styleId="45">
    <w:name w:val="标题 3 Char1"/>
    <w:link w:val="4"/>
    <w:qFormat/>
    <w:uiPriority w:val="0"/>
    <w:rPr>
      <w:rFonts w:ascii="Arial" w:hAnsi="Arial" w:eastAsia="黑体"/>
      <w:b/>
      <w:bCs/>
      <w:kern w:val="2"/>
      <w:sz w:val="32"/>
      <w:szCs w:val="32"/>
    </w:rPr>
  </w:style>
  <w:style w:type="character" w:customStyle="1" w:styleId="46">
    <w:name w:val="标题 5 Char"/>
    <w:link w:val="6"/>
    <w:semiHidden/>
    <w:qFormat/>
    <w:uiPriority w:val="9"/>
    <w:rPr>
      <w:b/>
      <w:bCs/>
      <w:sz w:val="28"/>
      <w:szCs w:val="28"/>
    </w:rPr>
  </w:style>
  <w:style w:type="character" w:customStyle="1" w:styleId="47">
    <w:name w:val="标题 6 Char"/>
    <w:link w:val="7"/>
    <w:qFormat/>
    <w:uiPriority w:val="9"/>
    <w:rPr>
      <w:rFonts w:ascii="Helvetica Neue" w:hAnsi="Helvetica Neue" w:eastAsia="Helvetica Neue" w:cs="Times New Roman"/>
      <w:i/>
      <w:iCs/>
      <w:color w:val="1F3763"/>
    </w:rPr>
  </w:style>
  <w:style w:type="character" w:customStyle="1" w:styleId="48">
    <w:name w:val="标题 7 Char"/>
    <w:link w:val="8"/>
    <w:qFormat/>
    <w:uiPriority w:val="9"/>
    <w:rPr>
      <w:rFonts w:ascii="Helvetica Neue" w:hAnsi="Helvetica Neue" w:eastAsia="Helvetica Neue" w:cs="Times New Roman"/>
      <w:i/>
      <w:iCs/>
      <w:color w:val="404040"/>
    </w:rPr>
  </w:style>
  <w:style w:type="character" w:customStyle="1" w:styleId="49">
    <w:name w:val="标题 8 Char"/>
    <w:link w:val="9"/>
    <w:qFormat/>
    <w:uiPriority w:val="0"/>
    <w:rPr>
      <w:rFonts w:ascii="Cambria" w:hAnsi="Cambria" w:eastAsia="宋体" w:cs="Cambria"/>
      <w:sz w:val="24"/>
      <w:szCs w:val="24"/>
    </w:rPr>
  </w:style>
  <w:style w:type="character" w:customStyle="1" w:styleId="50">
    <w:name w:val="标题 9 Char"/>
    <w:link w:val="10"/>
    <w:qFormat/>
    <w:uiPriority w:val="9"/>
    <w:rPr>
      <w:rFonts w:ascii="Helvetica Neue" w:hAnsi="Helvetica Neue" w:eastAsia="Helvetica Neue" w:cs="Times New Roman"/>
      <w:i/>
      <w:iCs/>
      <w:color w:val="404040"/>
      <w:sz w:val="20"/>
      <w:szCs w:val="20"/>
    </w:rPr>
  </w:style>
  <w:style w:type="character" w:customStyle="1" w:styleId="51">
    <w:name w:val="正文缩进 Char"/>
    <w:link w:val="11"/>
    <w:qFormat/>
    <w:uiPriority w:val="0"/>
    <w:rPr>
      <w:rFonts w:eastAsia="宋体"/>
      <w:sz w:val="24"/>
      <w:szCs w:val="24"/>
      <w:lang w:val="en-US" w:eastAsia="zh-CN"/>
    </w:rPr>
  </w:style>
  <w:style w:type="character" w:customStyle="1" w:styleId="52">
    <w:name w:val="文档结构图 Char"/>
    <w:link w:val="12"/>
    <w:qFormat/>
    <w:uiPriority w:val="99"/>
    <w:rPr>
      <w:sz w:val="16"/>
      <w:szCs w:val="0"/>
    </w:rPr>
  </w:style>
  <w:style w:type="character" w:customStyle="1" w:styleId="53">
    <w:name w:val="批注文字 Char1"/>
    <w:link w:val="13"/>
    <w:qFormat/>
    <w:uiPriority w:val="0"/>
    <w:rPr>
      <w:sz w:val="24"/>
      <w:szCs w:val="24"/>
    </w:rPr>
  </w:style>
  <w:style w:type="character" w:customStyle="1" w:styleId="54">
    <w:name w:val="正文文本 Char"/>
    <w:link w:val="14"/>
    <w:qFormat/>
    <w:uiPriority w:val="0"/>
    <w:rPr>
      <w:sz w:val="24"/>
      <w:szCs w:val="24"/>
    </w:rPr>
  </w:style>
  <w:style w:type="character" w:customStyle="1" w:styleId="55">
    <w:name w:val="正文文本缩进 Char1"/>
    <w:link w:val="15"/>
    <w:qFormat/>
    <w:uiPriority w:val="0"/>
    <w:rPr>
      <w:sz w:val="24"/>
      <w:szCs w:val="24"/>
    </w:rPr>
  </w:style>
  <w:style w:type="character" w:customStyle="1" w:styleId="56">
    <w:name w:val="纯文本 Char1"/>
    <w:link w:val="16"/>
    <w:qFormat/>
    <w:uiPriority w:val="0"/>
    <w:rPr>
      <w:rFonts w:ascii="宋体" w:hAnsi="Courier New" w:eastAsia="宋体" w:cs="宋体"/>
      <w:sz w:val="21"/>
      <w:szCs w:val="21"/>
      <w:lang w:val="en-US" w:eastAsia="zh-CN"/>
    </w:rPr>
  </w:style>
  <w:style w:type="character" w:customStyle="1" w:styleId="57">
    <w:name w:val="日期 Char"/>
    <w:link w:val="18"/>
    <w:qFormat/>
    <w:uiPriority w:val="0"/>
    <w:rPr>
      <w:sz w:val="24"/>
      <w:szCs w:val="24"/>
    </w:rPr>
  </w:style>
  <w:style w:type="character" w:customStyle="1" w:styleId="58">
    <w:name w:val="尾注文本 Char"/>
    <w:link w:val="19"/>
    <w:semiHidden/>
    <w:qFormat/>
    <w:uiPriority w:val="99"/>
    <w:rPr>
      <w:sz w:val="20"/>
      <w:szCs w:val="20"/>
    </w:rPr>
  </w:style>
  <w:style w:type="character" w:customStyle="1" w:styleId="59">
    <w:name w:val="批注框文本 Char"/>
    <w:link w:val="20"/>
    <w:qFormat/>
    <w:uiPriority w:val="99"/>
    <w:rPr>
      <w:sz w:val="16"/>
      <w:szCs w:val="0"/>
    </w:rPr>
  </w:style>
  <w:style w:type="character" w:customStyle="1" w:styleId="60">
    <w:name w:val="页脚 Char1"/>
    <w:basedOn w:val="34"/>
    <w:link w:val="21"/>
    <w:qFormat/>
    <w:uiPriority w:val="99"/>
  </w:style>
  <w:style w:type="character" w:customStyle="1" w:styleId="61">
    <w:name w:val="页眉 Char1"/>
    <w:basedOn w:val="34"/>
    <w:link w:val="22"/>
    <w:qFormat/>
    <w:uiPriority w:val="99"/>
  </w:style>
  <w:style w:type="character" w:customStyle="1" w:styleId="62">
    <w:name w:val="副标题 Char"/>
    <w:link w:val="24"/>
    <w:qFormat/>
    <w:uiPriority w:val="11"/>
    <w:rPr>
      <w:rFonts w:ascii="Helvetica Neue" w:hAnsi="Helvetica Neue" w:eastAsia="Helvetica Neue" w:cs="Times New Roman"/>
      <w:i/>
      <w:iCs/>
      <w:color w:val="4472C4"/>
      <w:spacing w:val="15"/>
      <w:sz w:val="24"/>
      <w:szCs w:val="24"/>
    </w:rPr>
  </w:style>
  <w:style w:type="character" w:customStyle="1" w:styleId="63">
    <w:name w:val="脚注文本 Char"/>
    <w:link w:val="25"/>
    <w:semiHidden/>
    <w:qFormat/>
    <w:uiPriority w:val="99"/>
    <w:rPr>
      <w:sz w:val="20"/>
      <w:szCs w:val="20"/>
    </w:rPr>
  </w:style>
  <w:style w:type="character" w:customStyle="1" w:styleId="64">
    <w:name w:val="正文文本缩进 3 Char"/>
    <w:link w:val="26"/>
    <w:qFormat/>
    <w:uiPriority w:val="0"/>
    <w:rPr>
      <w:sz w:val="16"/>
      <w:szCs w:val="16"/>
    </w:rPr>
  </w:style>
  <w:style w:type="character" w:customStyle="1" w:styleId="65">
    <w:name w:val="HTML 预设格式 Char"/>
    <w:link w:val="27"/>
    <w:qFormat/>
    <w:uiPriority w:val="0"/>
    <w:rPr>
      <w:rFonts w:ascii="Courier New" w:hAnsi="Courier New" w:cs="Courier New"/>
      <w:sz w:val="20"/>
      <w:szCs w:val="20"/>
    </w:rPr>
  </w:style>
  <w:style w:type="character" w:customStyle="1" w:styleId="66">
    <w:name w:val="标题 Char"/>
    <w:link w:val="29"/>
    <w:qFormat/>
    <w:uiPriority w:val="0"/>
    <w:rPr>
      <w:rFonts w:ascii="Arial" w:hAnsi="Arial" w:eastAsia="隶书" w:cs="Arial"/>
      <w:b/>
      <w:bCs/>
      <w:sz w:val="32"/>
      <w:szCs w:val="32"/>
    </w:rPr>
  </w:style>
  <w:style w:type="character" w:customStyle="1" w:styleId="67">
    <w:name w:val="批注主题 Char"/>
    <w:link w:val="30"/>
    <w:qFormat/>
    <w:uiPriority w:val="99"/>
    <w:rPr>
      <w:b/>
      <w:bCs/>
      <w:sz w:val="24"/>
      <w:szCs w:val="21"/>
    </w:rPr>
  </w:style>
  <w:style w:type="character" w:customStyle="1" w:styleId="68">
    <w:name w:val="正文首行缩进 Char"/>
    <w:link w:val="31"/>
    <w:qFormat/>
    <w:uiPriority w:val="0"/>
    <w:rPr>
      <w:rFonts w:eastAsia="宋体"/>
      <w:sz w:val="24"/>
      <w:szCs w:val="24"/>
      <w:lang w:val="en-US" w:eastAsia="zh-CN"/>
    </w:rPr>
  </w:style>
  <w:style w:type="paragraph" w:customStyle="1" w:styleId="69">
    <w:name w:val="标题 11"/>
    <w:basedOn w:val="70"/>
    <w:next w:val="1"/>
    <w:link w:val="72"/>
    <w:qFormat/>
    <w:uiPriority w:val="0"/>
    <w:pPr>
      <w:shd w:val="clear" w:color="auto" w:fill="FFFFFF"/>
      <w:tabs>
        <w:tab w:val="left" w:pos="567"/>
      </w:tabs>
      <w:spacing w:before="0" w:after="0" w:line="300" w:lineRule="atLeast"/>
      <w:jc w:val="center"/>
      <w:outlineLvl w:val="0"/>
    </w:pPr>
    <w:rPr>
      <w:sz w:val="44"/>
      <w:szCs w:val="44"/>
    </w:rPr>
  </w:style>
  <w:style w:type="paragraph" w:customStyle="1" w:styleId="70">
    <w:name w:val="标题 31"/>
    <w:basedOn w:val="1"/>
    <w:next w:val="1"/>
    <w:link w:val="71"/>
    <w:qFormat/>
    <w:uiPriority w:val="0"/>
    <w:pPr>
      <w:keepNext/>
      <w:keepLines/>
      <w:spacing w:before="260" w:after="260" w:line="416" w:lineRule="auto"/>
      <w:outlineLvl w:val="2"/>
    </w:pPr>
    <w:rPr>
      <w:b/>
      <w:bCs/>
      <w:sz w:val="32"/>
      <w:szCs w:val="32"/>
    </w:rPr>
  </w:style>
  <w:style w:type="character" w:customStyle="1" w:styleId="71">
    <w:name w:val="标题 3 Char"/>
    <w:link w:val="70"/>
    <w:qFormat/>
    <w:uiPriority w:val="0"/>
    <w:rPr>
      <w:b/>
      <w:bCs/>
      <w:sz w:val="32"/>
      <w:szCs w:val="32"/>
    </w:rPr>
  </w:style>
  <w:style w:type="character" w:customStyle="1" w:styleId="72">
    <w:name w:val="标题 1 Char"/>
    <w:link w:val="69"/>
    <w:qFormat/>
    <w:uiPriority w:val="0"/>
    <w:rPr>
      <w:b/>
      <w:bCs/>
      <w:sz w:val="44"/>
      <w:szCs w:val="44"/>
    </w:rPr>
  </w:style>
  <w:style w:type="paragraph" w:customStyle="1" w:styleId="73">
    <w:name w:val="标题 21"/>
    <w:basedOn w:val="1"/>
    <w:next w:val="1"/>
    <w:link w:val="74"/>
    <w:qFormat/>
    <w:uiPriority w:val="0"/>
    <w:pPr>
      <w:keepNext/>
      <w:keepLines/>
      <w:spacing w:before="260" w:after="260" w:line="416" w:lineRule="auto"/>
      <w:outlineLvl w:val="1"/>
    </w:pPr>
    <w:rPr>
      <w:rFonts w:ascii="Arial" w:hAnsi="Arial" w:eastAsia="黑体"/>
      <w:b/>
      <w:bCs/>
      <w:sz w:val="32"/>
      <w:szCs w:val="32"/>
    </w:rPr>
  </w:style>
  <w:style w:type="character" w:customStyle="1" w:styleId="74">
    <w:name w:val="标题 2 Char"/>
    <w:link w:val="73"/>
    <w:qFormat/>
    <w:uiPriority w:val="0"/>
    <w:rPr>
      <w:rFonts w:ascii="Arial" w:hAnsi="Arial" w:eastAsia="黑体" w:cs="Arial"/>
      <w:b/>
      <w:bCs/>
      <w:sz w:val="32"/>
      <w:szCs w:val="32"/>
    </w:rPr>
  </w:style>
  <w:style w:type="paragraph" w:customStyle="1" w:styleId="75">
    <w:name w:val="标题 41"/>
    <w:basedOn w:val="1"/>
    <w:next w:val="1"/>
    <w:link w:val="76"/>
    <w:qFormat/>
    <w:uiPriority w:val="0"/>
    <w:pPr>
      <w:keepNext/>
      <w:keepLines/>
      <w:spacing w:before="280" w:after="290" w:line="376" w:lineRule="auto"/>
      <w:outlineLvl w:val="3"/>
    </w:pPr>
    <w:rPr>
      <w:rFonts w:ascii="Cambria" w:hAnsi="Cambria"/>
      <w:b/>
      <w:bCs/>
      <w:sz w:val="28"/>
      <w:szCs w:val="28"/>
    </w:rPr>
  </w:style>
  <w:style w:type="character" w:customStyle="1" w:styleId="76">
    <w:name w:val="标题 4 Char"/>
    <w:link w:val="75"/>
    <w:qFormat/>
    <w:uiPriority w:val="0"/>
    <w:rPr>
      <w:rFonts w:ascii="Cambria" w:hAnsi="Cambria" w:eastAsia="宋体" w:cs="Times New Roman"/>
      <w:b/>
      <w:bCs/>
      <w:sz w:val="28"/>
      <w:szCs w:val="28"/>
    </w:rPr>
  </w:style>
  <w:style w:type="character" w:customStyle="1" w:styleId="77">
    <w:name w:val="Param-name"/>
    <w:qFormat/>
    <w:uiPriority w:val="0"/>
  </w:style>
  <w:style w:type="character" w:customStyle="1" w:styleId="78">
    <w:name w:val="页脚 Char"/>
    <w:qFormat/>
    <w:uiPriority w:val="99"/>
    <w:rPr>
      <w:sz w:val="18"/>
      <w:szCs w:val="18"/>
    </w:rPr>
  </w:style>
  <w:style w:type="character" w:customStyle="1" w:styleId="79">
    <w:name w:val="Tpc_title1"/>
    <w:qFormat/>
    <w:uiPriority w:val="0"/>
    <w:rPr>
      <w:b/>
      <w:bCs/>
      <w:sz w:val="18"/>
      <w:szCs w:val="18"/>
    </w:rPr>
  </w:style>
  <w:style w:type="character" w:customStyle="1" w:styleId="80">
    <w:name w:val="Tpc_content1"/>
    <w:qFormat/>
    <w:uiPriority w:val="0"/>
    <w:rPr>
      <w:sz w:val="20"/>
      <w:szCs w:val="20"/>
    </w:rPr>
  </w:style>
  <w:style w:type="character" w:customStyle="1" w:styleId="81">
    <w:name w:val="样式1 Char Char Char Char Char"/>
    <w:link w:val="82"/>
    <w:qFormat/>
    <w:uiPriority w:val="0"/>
    <w:rPr>
      <w:rFonts w:ascii="Arial" w:hAnsi="Arial" w:eastAsia="黑体" w:cs="Arial"/>
      <w:sz w:val="21"/>
      <w:szCs w:val="21"/>
      <w:lang w:val="en-US" w:eastAsia="zh-CN"/>
    </w:rPr>
  </w:style>
  <w:style w:type="paragraph" w:customStyle="1" w:styleId="82">
    <w:name w:val="样式1"/>
    <w:basedOn w:val="29"/>
    <w:link w:val="81"/>
    <w:qFormat/>
    <w:uiPriority w:val="0"/>
    <w:pPr>
      <w:spacing w:before="120" w:after="120"/>
    </w:pPr>
    <w:rPr>
      <w:rFonts w:eastAsia="黑体"/>
      <w:b w:val="0"/>
      <w:bCs w:val="0"/>
      <w:sz w:val="21"/>
      <w:szCs w:val="21"/>
    </w:rPr>
  </w:style>
  <w:style w:type="character" w:customStyle="1" w:styleId="83">
    <w:name w:val="List Paragraph Char Char"/>
    <w:link w:val="84"/>
    <w:qFormat/>
    <w:uiPriority w:val="0"/>
    <w:rPr>
      <w:sz w:val="24"/>
      <w:szCs w:val="24"/>
    </w:rPr>
  </w:style>
  <w:style w:type="paragraph" w:customStyle="1" w:styleId="84">
    <w:name w:val="List Paragraph1"/>
    <w:basedOn w:val="1"/>
    <w:link w:val="83"/>
    <w:qFormat/>
    <w:uiPriority w:val="0"/>
    <w:pPr>
      <w:ind w:firstLine="420"/>
    </w:pPr>
    <w:rPr>
      <w:sz w:val="24"/>
      <w:szCs w:val="24"/>
    </w:rPr>
  </w:style>
  <w:style w:type="character" w:customStyle="1" w:styleId="85">
    <w:name w:val="样式1 Char Char Char Char"/>
    <w:link w:val="86"/>
    <w:qFormat/>
    <w:uiPriority w:val="0"/>
    <w:rPr>
      <w:rFonts w:eastAsia="宋体"/>
      <w:sz w:val="24"/>
      <w:szCs w:val="24"/>
      <w:lang w:val="en-US" w:eastAsia="zh-CN"/>
    </w:rPr>
  </w:style>
  <w:style w:type="paragraph" w:customStyle="1" w:styleId="86">
    <w:name w:val="样式1 Char Char"/>
    <w:basedOn w:val="1"/>
    <w:next w:val="1"/>
    <w:link w:val="85"/>
    <w:qFormat/>
    <w:uiPriority w:val="0"/>
    <w:pPr>
      <w:spacing w:line="360" w:lineRule="auto"/>
      <w:ind w:firstLine="516"/>
    </w:pPr>
    <w:rPr>
      <w:sz w:val="24"/>
      <w:szCs w:val="24"/>
    </w:rPr>
  </w:style>
  <w:style w:type="character" w:customStyle="1" w:styleId="87">
    <w:name w:val="缩进正文 Char Char"/>
    <w:link w:val="88"/>
    <w:qFormat/>
    <w:uiPriority w:val="0"/>
    <w:rPr>
      <w:rFonts w:eastAsia="仿宋_GB2312"/>
      <w:sz w:val="28"/>
      <w:szCs w:val="28"/>
      <w:lang w:val="en-US" w:eastAsia="zh-CN"/>
    </w:rPr>
  </w:style>
  <w:style w:type="paragraph" w:customStyle="1" w:styleId="88">
    <w:name w:val="缩进正文"/>
    <w:basedOn w:val="1"/>
    <w:link w:val="87"/>
    <w:qFormat/>
    <w:uiPriority w:val="0"/>
    <w:pPr>
      <w:ind w:firstLine="560"/>
    </w:pPr>
    <w:rPr>
      <w:rFonts w:eastAsia="仿宋_GB2312"/>
      <w:sz w:val="28"/>
      <w:szCs w:val="28"/>
    </w:rPr>
  </w:style>
  <w:style w:type="character" w:customStyle="1" w:styleId="89">
    <w:name w:val="页眉 Char"/>
    <w:qFormat/>
    <w:uiPriority w:val="99"/>
    <w:rPr>
      <w:sz w:val="18"/>
      <w:szCs w:val="18"/>
    </w:rPr>
  </w:style>
  <w:style w:type="paragraph" w:customStyle="1" w:styleId="90">
    <w:name w:val="正文1"/>
    <w:basedOn w:val="1"/>
    <w:qFormat/>
    <w:uiPriority w:val="0"/>
    <w:pPr>
      <w:tabs>
        <w:tab w:val="left" w:pos="4"/>
      </w:tabs>
      <w:spacing w:line="360" w:lineRule="auto"/>
      <w:ind w:left="-2" w:firstLine="482"/>
    </w:pPr>
    <w:rPr>
      <w:rFonts w:ascii="宋体" w:hAnsi="宋体" w:cs="宋体"/>
      <w:sz w:val="24"/>
      <w:szCs w:val="24"/>
    </w:rPr>
  </w:style>
  <w:style w:type="paragraph" w:customStyle="1" w:styleId="91">
    <w:name w:val="正文 New New New New"/>
    <w:qFormat/>
    <w:uiPriority w:val="0"/>
    <w:pPr>
      <w:jc w:val="both"/>
    </w:pPr>
    <w:rPr>
      <w:rFonts w:ascii="Times New Roman" w:hAnsi="Times New Roman" w:eastAsia="宋体" w:cs="Times New Roman"/>
      <w:sz w:val="21"/>
      <w:szCs w:val="21"/>
      <w:lang w:val="en-US" w:eastAsia="zh-CN" w:bidi="ar-SA"/>
    </w:rPr>
  </w:style>
  <w:style w:type="paragraph" w:customStyle="1" w:styleId="92">
    <w:name w:val="Char1"/>
    <w:basedOn w:val="1"/>
    <w:qFormat/>
    <w:uiPriority w:val="0"/>
    <w:rPr>
      <w:rFonts w:ascii="仿宋_GB2312" w:eastAsia="仿宋_GB2312" w:cs="仿宋_GB2312"/>
      <w:b/>
      <w:bCs/>
      <w:sz w:val="32"/>
      <w:szCs w:val="32"/>
    </w:rPr>
  </w:style>
  <w:style w:type="paragraph" w:customStyle="1" w:styleId="93">
    <w:name w:val="Char Char Char"/>
    <w:basedOn w:val="1"/>
    <w:qFormat/>
    <w:uiPriority w:val="0"/>
    <w:pPr>
      <w:spacing w:line="360" w:lineRule="auto"/>
      <w:ind w:firstLine="560"/>
    </w:pPr>
  </w:style>
  <w:style w:type="paragraph" w:customStyle="1" w:styleId="94">
    <w:name w:val="USE 1"/>
    <w:basedOn w:val="1"/>
    <w:qFormat/>
    <w:uiPriority w:val="0"/>
    <w:pPr>
      <w:spacing w:line="200" w:lineRule="atLeast"/>
      <w:jc w:val="left"/>
    </w:pPr>
    <w:rPr>
      <w:rFonts w:ascii="宋体" w:hAnsi="宋体" w:cs="宋体"/>
      <w:b/>
      <w:bCs/>
      <w:sz w:val="24"/>
      <w:szCs w:val="24"/>
    </w:rPr>
  </w:style>
  <w:style w:type="paragraph" w:customStyle="1" w:styleId="95">
    <w:name w:val="Char Char Char Char1"/>
    <w:basedOn w:val="1"/>
    <w:qFormat/>
    <w:uiPriority w:val="0"/>
    <w:pPr>
      <w:spacing w:after="160" w:line="240" w:lineRule="exact"/>
      <w:jc w:val="left"/>
    </w:pPr>
    <w:rPr>
      <w:rFonts w:ascii="Verdana" w:hAnsi="Verdana" w:eastAsia="仿宋_GB2312" w:cs="Verdana"/>
      <w:sz w:val="24"/>
      <w:szCs w:val="24"/>
      <w:lang w:eastAsia="en-US"/>
    </w:rPr>
  </w:style>
  <w:style w:type="paragraph" w:customStyle="1" w:styleId="96">
    <w:name w:val="Char"/>
    <w:basedOn w:val="1"/>
    <w:qFormat/>
    <w:uiPriority w:val="0"/>
    <w:pPr>
      <w:spacing w:after="160" w:line="360" w:lineRule="auto"/>
      <w:jc w:val="center"/>
    </w:pPr>
    <w:rPr>
      <w:rFonts w:ascii="宋体" w:hAnsi="宋体" w:cs="宋体"/>
      <w:sz w:val="52"/>
      <w:szCs w:val="52"/>
    </w:rPr>
  </w:style>
  <w:style w:type="paragraph" w:customStyle="1" w:styleId="97">
    <w:name w:val="_Style 96"/>
    <w:qFormat/>
    <w:uiPriority w:val="99"/>
    <w:rPr>
      <w:rFonts w:ascii="Times New Roman" w:hAnsi="Times New Roman" w:eastAsia="宋体" w:cs="Times New Roman"/>
      <w:sz w:val="21"/>
      <w:szCs w:val="21"/>
      <w:lang w:val="en-US" w:eastAsia="zh-CN" w:bidi="ar-SA"/>
    </w:rPr>
  </w:style>
  <w:style w:type="paragraph" w:customStyle="1" w:styleId="98">
    <w:name w:val="P0"/>
    <w:basedOn w:val="1"/>
    <w:qFormat/>
    <w:uiPriority w:val="0"/>
  </w:style>
  <w:style w:type="paragraph" w:customStyle="1" w:styleId="99">
    <w:name w:val="Inf"/>
    <w:basedOn w:val="1"/>
    <w:qFormat/>
    <w:uiPriority w:val="0"/>
    <w:pPr>
      <w:spacing w:before="100" w:after="100" w:line="320" w:lineRule="atLeast"/>
      <w:jc w:val="left"/>
    </w:pPr>
    <w:rPr>
      <w:rFonts w:ascii="宋体" w:hAnsi="宋体" w:cs="宋体"/>
      <w:color w:val="000000"/>
      <w:sz w:val="20"/>
      <w:szCs w:val="20"/>
    </w:rPr>
  </w:style>
  <w:style w:type="paragraph" w:customStyle="1" w:styleId="100">
    <w:name w:val="正文 New"/>
    <w:qFormat/>
    <w:uiPriority w:val="0"/>
    <w:pPr>
      <w:jc w:val="both"/>
    </w:pPr>
    <w:rPr>
      <w:rFonts w:ascii="Calibri" w:hAnsi="Calibri" w:eastAsia="宋体" w:cs="Times New Roman"/>
      <w:sz w:val="21"/>
      <w:szCs w:val="22"/>
      <w:lang w:val="en-US" w:eastAsia="zh-CN" w:bidi="ar-SA"/>
    </w:rPr>
  </w:style>
  <w:style w:type="paragraph" w:customStyle="1" w:styleId="101">
    <w:name w:val="列出段落1"/>
    <w:basedOn w:val="1"/>
    <w:qFormat/>
    <w:uiPriority w:val="34"/>
    <w:pPr>
      <w:ind w:firstLine="420"/>
    </w:pPr>
    <w:rPr>
      <w:rFonts w:ascii="Calibri" w:hAnsi="Calibri" w:cs="Calibri"/>
    </w:rPr>
  </w:style>
  <w:style w:type="paragraph" w:customStyle="1" w:styleId="102">
    <w:name w:val="Char2 Char Char Char Char Char Char Char Char Char Char Char Char"/>
    <w:basedOn w:val="1"/>
    <w:qFormat/>
    <w:uiPriority w:val="0"/>
    <w:pPr>
      <w:spacing w:line="360" w:lineRule="auto"/>
      <w:ind w:firstLine="200"/>
    </w:pPr>
    <w:rPr>
      <w:rFonts w:ascii="Tahoma" w:hAnsi="Tahoma" w:cs="Tahoma"/>
      <w:sz w:val="24"/>
      <w:szCs w:val="24"/>
    </w:rPr>
  </w:style>
  <w:style w:type="paragraph" w:customStyle="1" w:styleId="103">
    <w:name w:val="Default"/>
    <w:qFormat/>
    <w:uiPriority w:val="0"/>
    <w:rPr>
      <w:rFonts w:ascii="黑体" w:hAnsi="黑体" w:eastAsia="宋体" w:cs="黑体"/>
      <w:color w:val="000000"/>
      <w:sz w:val="24"/>
      <w:szCs w:val="24"/>
      <w:lang w:val="en-US" w:eastAsia="zh-CN" w:bidi="ar-SA"/>
    </w:rPr>
  </w:style>
  <w:style w:type="paragraph" w:customStyle="1" w:styleId="104">
    <w:name w:val="正文缩进2格"/>
    <w:basedOn w:val="1"/>
    <w:qFormat/>
    <w:uiPriority w:val="0"/>
    <w:pPr>
      <w:spacing w:line="600" w:lineRule="exact"/>
      <w:ind w:firstLine="639"/>
    </w:pPr>
    <w:rPr>
      <w:rFonts w:ascii="仿宋_GB2312" w:hAnsi="宋体" w:eastAsia="仿宋_GB2312" w:cs="仿宋_GB2312"/>
      <w:sz w:val="31"/>
      <w:szCs w:val="31"/>
    </w:rPr>
  </w:style>
  <w:style w:type="paragraph" w:styleId="105">
    <w:name w:val="No Spacing"/>
    <w:qFormat/>
    <w:uiPriority w:val="1"/>
    <w:rPr>
      <w:rFonts w:ascii="Times New Roman" w:hAnsi="Times New Roman" w:eastAsia="宋体" w:cs="Times New Roman"/>
      <w:lang w:val="en-US" w:eastAsia="zh-CN" w:bidi="ar-SA"/>
    </w:rPr>
  </w:style>
  <w:style w:type="character" w:customStyle="1" w:styleId="106">
    <w:name w:val="Heading 1 Char"/>
    <w:qFormat/>
    <w:uiPriority w:val="9"/>
    <w:rPr>
      <w:rFonts w:ascii="Helvetica Neue" w:hAnsi="Helvetica Neue" w:eastAsia="Helvetica Neue" w:cs="Times New Roman"/>
      <w:b/>
      <w:bCs/>
      <w:color w:val="2F5395"/>
      <w:sz w:val="28"/>
      <w:szCs w:val="28"/>
    </w:rPr>
  </w:style>
  <w:style w:type="character" w:customStyle="1" w:styleId="107">
    <w:name w:val="Heading 2 Char"/>
    <w:qFormat/>
    <w:uiPriority w:val="9"/>
    <w:rPr>
      <w:rFonts w:ascii="Helvetica Neue" w:hAnsi="Helvetica Neue" w:eastAsia="Helvetica Neue" w:cs="Times New Roman"/>
      <w:b/>
      <w:bCs/>
      <w:color w:val="4472C4"/>
      <w:sz w:val="26"/>
      <w:szCs w:val="26"/>
    </w:rPr>
  </w:style>
  <w:style w:type="character" w:customStyle="1" w:styleId="108">
    <w:name w:val="Heading 3 Char"/>
    <w:qFormat/>
    <w:uiPriority w:val="9"/>
    <w:rPr>
      <w:rFonts w:ascii="Helvetica Neue" w:hAnsi="Helvetica Neue" w:eastAsia="Helvetica Neue" w:cs="Times New Roman"/>
      <w:b/>
      <w:bCs/>
      <w:color w:val="4472C4"/>
    </w:rPr>
  </w:style>
  <w:style w:type="character" w:customStyle="1" w:styleId="109">
    <w:name w:val="Heading 4 Char"/>
    <w:qFormat/>
    <w:uiPriority w:val="9"/>
    <w:rPr>
      <w:rFonts w:ascii="Helvetica Neue" w:hAnsi="Helvetica Neue" w:eastAsia="Helvetica Neue" w:cs="Times New Roman"/>
      <w:b/>
      <w:bCs/>
      <w:i/>
      <w:iCs/>
      <w:color w:val="4472C4"/>
    </w:rPr>
  </w:style>
  <w:style w:type="character" w:customStyle="1" w:styleId="110">
    <w:name w:val="Heading 5 Char"/>
    <w:qFormat/>
    <w:uiPriority w:val="9"/>
    <w:rPr>
      <w:rFonts w:ascii="Helvetica Neue" w:hAnsi="Helvetica Neue" w:eastAsia="Helvetica Neue" w:cs="Times New Roman"/>
      <w:color w:val="1F3763"/>
    </w:rPr>
  </w:style>
  <w:style w:type="character" w:customStyle="1" w:styleId="111">
    <w:name w:val="Heading 8 Char"/>
    <w:qFormat/>
    <w:uiPriority w:val="9"/>
    <w:rPr>
      <w:rFonts w:ascii="Helvetica Neue" w:hAnsi="Helvetica Neue" w:eastAsia="Helvetica Neue" w:cs="Times New Roman"/>
      <w:color w:val="404040"/>
      <w:sz w:val="20"/>
      <w:szCs w:val="20"/>
    </w:rPr>
  </w:style>
  <w:style w:type="character" w:customStyle="1" w:styleId="112">
    <w:name w:val="Title Char"/>
    <w:qFormat/>
    <w:uiPriority w:val="10"/>
    <w:rPr>
      <w:rFonts w:ascii="Helvetica Neue" w:hAnsi="Helvetica Neue" w:eastAsia="Helvetica Neue" w:cs="Times New Roman"/>
      <w:color w:val="333F4F"/>
      <w:spacing w:val="5"/>
      <w:sz w:val="52"/>
      <w:szCs w:val="52"/>
    </w:rPr>
  </w:style>
  <w:style w:type="character" w:customStyle="1" w:styleId="113">
    <w:name w:val="_Style 112"/>
    <w:qFormat/>
    <w:uiPriority w:val="19"/>
    <w:rPr>
      <w:i/>
      <w:iCs/>
      <w:color w:val="808080"/>
    </w:rPr>
  </w:style>
  <w:style w:type="character" w:customStyle="1" w:styleId="114">
    <w:name w:val="_Style 113"/>
    <w:qFormat/>
    <w:uiPriority w:val="21"/>
    <w:rPr>
      <w:b/>
      <w:bCs/>
      <w:i/>
      <w:iCs/>
      <w:color w:val="4472C4"/>
    </w:rPr>
  </w:style>
  <w:style w:type="paragraph" w:styleId="115">
    <w:name w:val="Quote"/>
    <w:basedOn w:val="1"/>
    <w:next w:val="1"/>
    <w:link w:val="116"/>
    <w:qFormat/>
    <w:uiPriority w:val="29"/>
    <w:rPr>
      <w:i/>
      <w:iCs/>
      <w:color w:val="000000"/>
      <w:sz w:val="20"/>
      <w:szCs w:val="20"/>
    </w:rPr>
  </w:style>
  <w:style w:type="character" w:customStyle="1" w:styleId="116">
    <w:name w:val="引用 Char"/>
    <w:link w:val="115"/>
    <w:qFormat/>
    <w:uiPriority w:val="29"/>
    <w:rPr>
      <w:i/>
      <w:iCs/>
      <w:color w:val="000000"/>
    </w:rPr>
  </w:style>
  <w:style w:type="paragraph" w:styleId="117">
    <w:name w:val="Intense Quote"/>
    <w:basedOn w:val="1"/>
    <w:next w:val="1"/>
    <w:link w:val="118"/>
    <w:qFormat/>
    <w:uiPriority w:val="30"/>
    <w:pPr>
      <w:pBdr>
        <w:bottom w:val="single" w:color="4472C4" w:sz="4" w:space="4"/>
      </w:pBdr>
      <w:spacing w:before="200" w:after="280"/>
      <w:ind w:left="936" w:right="936"/>
    </w:pPr>
    <w:rPr>
      <w:b/>
      <w:bCs/>
      <w:i/>
      <w:iCs/>
      <w:color w:val="4472C4"/>
      <w:sz w:val="20"/>
      <w:szCs w:val="20"/>
    </w:rPr>
  </w:style>
  <w:style w:type="character" w:customStyle="1" w:styleId="118">
    <w:name w:val="明显引用 Char"/>
    <w:link w:val="117"/>
    <w:qFormat/>
    <w:uiPriority w:val="30"/>
    <w:rPr>
      <w:b/>
      <w:bCs/>
      <w:i/>
      <w:iCs/>
      <w:color w:val="4472C4"/>
    </w:rPr>
  </w:style>
  <w:style w:type="character" w:customStyle="1" w:styleId="119">
    <w:name w:val="_Style 118"/>
    <w:qFormat/>
    <w:uiPriority w:val="31"/>
    <w:rPr>
      <w:smallCaps/>
      <w:color w:val="ED7D31"/>
      <w:u w:val="single"/>
    </w:rPr>
  </w:style>
  <w:style w:type="character" w:customStyle="1" w:styleId="120">
    <w:name w:val="_Style 119"/>
    <w:qFormat/>
    <w:uiPriority w:val="32"/>
    <w:rPr>
      <w:b/>
      <w:bCs/>
      <w:smallCaps/>
      <w:color w:val="ED7D31"/>
      <w:spacing w:val="5"/>
      <w:u w:val="single"/>
    </w:rPr>
  </w:style>
  <w:style w:type="character" w:customStyle="1" w:styleId="121">
    <w:name w:val="_Style 120"/>
    <w:qFormat/>
    <w:uiPriority w:val="33"/>
    <w:rPr>
      <w:b/>
      <w:bCs/>
      <w:smallCaps/>
      <w:spacing w:val="5"/>
    </w:rPr>
  </w:style>
  <w:style w:type="character" w:customStyle="1" w:styleId="122">
    <w:name w:val="Plain Text Char"/>
    <w:qFormat/>
    <w:uiPriority w:val="99"/>
    <w:rPr>
      <w:rFonts w:ascii="Courier New" w:hAnsi="Courier New" w:cs="Courier New"/>
      <w:sz w:val="21"/>
      <w:szCs w:val="21"/>
    </w:rPr>
  </w:style>
  <w:style w:type="character" w:customStyle="1" w:styleId="123">
    <w:name w:val="标题 4 Char1"/>
    <w:semiHidden/>
    <w:qFormat/>
    <w:uiPriority w:val="0"/>
    <w:rPr>
      <w:rFonts w:ascii="Cambria" w:hAnsi="Cambria" w:eastAsia="宋体" w:cs="Times New Roman"/>
      <w:b/>
      <w:bCs/>
      <w:sz w:val="28"/>
      <w:szCs w:val="28"/>
    </w:rPr>
  </w:style>
  <w:style w:type="paragraph" w:styleId="124">
    <w:name w:val="List Paragraph"/>
    <w:basedOn w:val="1"/>
    <w:link w:val="125"/>
    <w:qFormat/>
    <w:uiPriority w:val="34"/>
    <w:pPr>
      <w:widowControl w:val="0"/>
      <w:ind w:firstLine="420" w:firstLineChars="200"/>
    </w:pPr>
    <w:rPr>
      <w:rFonts w:ascii="Calibri" w:hAnsi="Calibri"/>
      <w:kern w:val="2"/>
      <w:szCs w:val="22"/>
    </w:rPr>
  </w:style>
  <w:style w:type="character" w:customStyle="1" w:styleId="125">
    <w:name w:val="列出段落 Char"/>
    <w:link w:val="124"/>
    <w:qFormat/>
    <w:uiPriority w:val="34"/>
    <w:rPr>
      <w:rFonts w:ascii="Calibri" w:hAnsi="Calibri"/>
      <w:kern w:val="2"/>
      <w:sz w:val="21"/>
      <w:szCs w:val="22"/>
    </w:rPr>
  </w:style>
  <w:style w:type="paragraph" w:customStyle="1" w:styleId="126">
    <w:name w:val="图表"/>
    <w:basedOn w:val="1"/>
    <w:qFormat/>
    <w:uiPriority w:val="0"/>
    <w:pPr>
      <w:widowControl w:val="0"/>
      <w:jc w:val="center"/>
    </w:pPr>
    <w:rPr>
      <w:rFonts w:ascii="仿宋" w:hAnsi="仿宋" w:eastAsia="方正仿宋_GBK" w:cs="仿宋"/>
      <w:kern w:val="2"/>
      <w:sz w:val="24"/>
      <w:szCs w:val="32"/>
    </w:rPr>
  </w:style>
  <w:style w:type="character" w:customStyle="1" w:styleId="127">
    <w:name w:val="im-content1"/>
    <w:qFormat/>
    <w:uiPriority w:val="0"/>
    <w:rPr>
      <w:color w:val="000000"/>
    </w:rPr>
  </w:style>
  <w:style w:type="paragraph" w:customStyle="1" w:styleId="128">
    <w:name w:val="d_post_content"/>
    <w:basedOn w:val="1"/>
    <w:qFormat/>
    <w:uiPriority w:val="0"/>
    <w:pPr>
      <w:wordWrap w:val="0"/>
      <w:spacing w:before="100" w:beforeAutospacing="1" w:after="100" w:afterAutospacing="1" w:line="360" w:lineRule="atLeast"/>
      <w:jc w:val="left"/>
    </w:pPr>
    <w:rPr>
      <w:rFonts w:ascii="宋体" w:hAnsi="宋体" w:cs="宋体"/>
    </w:rPr>
  </w:style>
  <w:style w:type="table" w:customStyle="1" w:styleId="129">
    <w:name w:val="网格型浅色1"/>
    <w:basedOn w:val="32"/>
    <w:qFormat/>
    <w:uiPriority w:val="40"/>
    <w:tblPr>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CellMar>
        <w:top w:w="0" w:type="dxa"/>
        <w:left w:w="108" w:type="dxa"/>
        <w:bottom w:w="0" w:type="dxa"/>
        <w:right w:w="108" w:type="dxa"/>
      </w:tblCellMar>
    </w:tblPr>
  </w:style>
  <w:style w:type="table" w:customStyle="1" w:styleId="130">
    <w:name w:val="网格型1"/>
    <w:basedOn w:val="3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31">
    <w:name w:val="纯文本 字符1"/>
    <w:basedOn w:val="34"/>
    <w:semiHidden/>
    <w:qFormat/>
    <w:locked/>
    <w:uiPriority w:val="0"/>
    <w:rPr>
      <w:rFonts w:ascii="宋体" w:hAnsi="Courier New" w:eastAsiaTheme="minorEastAsia" w:cstheme="minorBidi"/>
      <w:kern w:val="2"/>
      <w:sz w:val="21"/>
      <w:szCs w:val="22"/>
    </w:rPr>
  </w:style>
  <w:style w:type="character" w:customStyle="1" w:styleId="132">
    <w:name w:val="标题 4 Char2"/>
    <w:basedOn w:val="34"/>
    <w:link w:val="5"/>
    <w:qFormat/>
    <w:uiPriority w:val="0"/>
    <w:rPr>
      <w:rFonts w:ascii="Arial" w:hAnsi="Arial" w:eastAsia="黑体"/>
      <w:b/>
      <w:bCs/>
      <w:kern w:val="2"/>
      <w:sz w:val="28"/>
      <w:szCs w:val="28"/>
    </w:rPr>
  </w:style>
  <w:style w:type="character" w:customStyle="1" w:styleId="133">
    <w:name w:val="标题 2 Char1"/>
    <w:semiHidden/>
    <w:qFormat/>
    <w:uiPriority w:val="0"/>
    <w:rPr>
      <w:rFonts w:ascii="Cambria" w:hAnsi="Cambria" w:eastAsia="宋体" w:cs="Times New Roman"/>
      <w:b/>
      <w:bCs/>
      <w:sz w:val="32"/>
      <w:szCs w:val="32"/>
    </w:rPr>
  </w:style>
  <w:style w:type="character" w:customStyle="1" w:styleId="134">
    <w:name w:val="纯文本 Char"/>
    <w:qFormat/>
    <w:uiPriority w:val="0"/>
    <w:rPr>
      <w:rFonts w:ascii="宋体" w:hAnsi="Courier New" w:eastAsia="宋体" w:cs="宋体"/>
      <w:sz w:val="21"/>
      <w:szCs w:val="21"/>
      <w:lang w:val="en-US" w:eastAsia="zh-CN"/>
    </w:rPr>
  </w:style>
  <w:style w:type="character" w:customStyle="1" w:styleId="135">
    <w:name w:val="标题 1 Char1"/>
    <w:qFormat/>
    <w:uiPriority w:val="0"/>
    <w:rPr>
      <w:b/>
      <w:bCs/>
      <w:kern w:val="44"/>
      <w:sz w:val="44"/>
      <w:szCs w:val="44"/>
    </w:rPr>
  </w:style>
  <w:style w:type="character" w:customStyle="1" w:styleId="136">
    <w:name w:val="批注文字 Char"/>
    <w:qFormat/>
    <w:uiPriority w:val="99"/>
    <w:rPr>
      <w:sz w:val="24"/>
      <w:szCs w:val="24"/>
    </w:rPr>
  </w:style>
  <w:style w:type="character" w:customStyle="1" w:styleId="137">
    <w:name w:val="正文文本缩进 Char"/>
    <w:qFormat/>
    <w:uiPriority w:val="0"/>
    <w:rPr>
      <w:sz w:val="24"/>
      <w:szCs w:val="24"/>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foot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51</Pages>
  <Words>5546</Words>
  <Characters>31618</Characters>
  <Lines>263</Lines>
  <Paragraphs>74</Paragraphs>
  <TotalTime>1</TotalTime>
  <ScaleCrop>false</ScaleCrop>
  <LinksUpToDate>false</LinksUpToDate>
  <CharactersWithSpaces>37090</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2022-10-24T11:13:00Z</dcterms:created>
  <dc:creator>FE110W-ThinkPadT420s</dc:creator>
  <cp:lastModifiedBy>xcz</cp:lastModifiedBy>
  <cp:lastPrinted>2022-07-15T09:26:00Z</cp:lastPrinted>
  <dcterms:modified xsi:type="dcterms:W3CDTF">2023-09-19T10:25:47Z</dcterms:modified>
  <dc:title>【服务类】</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ICV">
    <vt:lpwstr>0D311B7336054B8BBBA6E9735124FCDD</vt:lpwstr>
  </property>
</Properties>
</file>