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宋体" w:hAnsi="宋体" w:eastAsia="宋体" w:cs="宋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44"/>
          <w:szCs w:val="44"/>
          <w:highlight w:val="none"/>
          <w:lang w:val="en-US" w:eastAsia="zh-CN"/>
        </w:rPr>
        <w:t>2023年物业管理必学课程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1.《电动自行车停放充电场所消防安全规范》讲座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2.《高层民用建筑消防安全管理规定》解读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3.《广东省实施&lt;中华人民共和国消防法&gt;办法》解读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4. 物业防汛防台工作思考与启示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5.《电动自行车集中充电设施建设及运营管理规范》解读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crosoft YaHei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5D62E"/>
    <w:rsid w:val="39BF8D2F"/>
    <w:rsid w:val="7DF5D62E"/>
    <w:rsid w:val="EBBED8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2023-09-19T08:53:00Z</dcterms:created>
  <dc:creator>huangyi</dc:creator>
  <cp:lastModifiedBy>huangyi</cp:lastModifiedBy>
  <dcterms:modified xsi:type="dcterms:W3CDTF">2023-09-26T09:51:21Z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