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hint="eastAsia" w:ascii="黑体" w:hAnsi="黑体" w:eastAsia="黑体" w:cs="黑体"/>
          <w:b w:val="0"/>
          <w:bCs w:val="0"/>
          <w:sz w:val="36"/>
          <w:szCs w:val="36"/>
          <w:lang w:val="en" w:eastAsia="zh-CN"/>
        </w:rPr>
      </w:pPr>
      <w:r>
        <w:rPr>
          <w:rFonts w:hint="eastAsia" w:ascii="黑体" w:hAnsi="黑体" w:eastAsia="黑体" w:cs="黑体"/>
          <w:b w:val="0"/>
          <w:bCs w:val="0"/>
          <w:sz w:val="36"/>
          <w:szCs w:val="36"/>
          <w:lang w:val="en" w:eastAsia="zh-CN"/>
        </w:rPr>
        <w:t>公</w:t>
      </w:r>
      <w:r>
        <w:rPr>
          <w:rFonts w:hint="default" w:ascii="黑体" w:hAnsi="黑体" w:eastAsia="黑体" w:cs="黑体"/>
          <w:b w:val="0"/>
          <w:bCs w:val="0"/>
          <w:sz w:val="36"/>
          <w:szCs w:val="36"/>
          <w:lang w:val="en" w:eastAsia="zh-CN"/>
        </w:rPr>
        <w:t xml:space="preserve">  </w:t>
      </w:r>
      <w:r>
        <w:rPr>
          <w:rFonts w:hint="eastAsia" w:ascii="黑体" w:hAnsi="黑体" w:eastAsia="黑体" w:cs="黑体"/>
          <w:b w:val="0"/>
          <w:bCs w:val="0"/>
          <w:sz w:val="36"/>
          <w:szCs w:val="36"/>
          <w:lang w:val="en" w:eastAsia="zh-CN"/>
        </w:rPr>
        <w:t>开</w:t>
      </w:r>
    </w:p>
    <w:p>
      <w:pPr>
        <w:spacing w:line="600" w:lineRule="exact"/>
        <w:rPr>
          <w:rFonts w:hint="eastAsia" w:ascii="黑体" w:hAnsi="黑体" w:eastAsia="黑体" w:cs="黑体"/>
          <w:b w:val="0"/>
          <w:bCs w:val="0"/>
          <w:sz w:val="36"/>
          <w:szCs w:val="36"/>
          <w:lang w:val="en" w:eastAsia="zh-CN"/>
        </w:rPr>
      </w:pPr>
      <w:r>
        <w:rPr>
          <w:rFonts w:hint="eastAsia" w:ascii="黑体" w:hAnsi="黑体" w:eastAsia="黑体" w:cs="黑体"/>
          <w:b w:val="0"/>
          <w:bCs w:val="0"/>
          <w:sz w:val="36"/>
          <w:szCs w:val="36"/>
          <w:lang w:val="en" w:eastAsia="zh-CN"/>
        </w:rPr>
        <w:t>A</w:t>
      </w:r>
      <w:r>
        <w:rPr>
          <w:rFonts w:hint="default" w:ascii="黑体" w:hAnsi="黑体" w:eastAsia="黑体" w:cs="黑体"/>
          <w:b w:val="0"/>
          <w:bCs w:val="0"/>
          <w:sz w:val="36"/>
          <w:szCs w:val="36"/>
          <w:lang w:val="en" w:eastAsia="zh-CN"/>
        </w:rPr>
        <w:t xml:space="preserve">   </w:t>
      </w:r>
      <w:r>
        <w:rPr>
          <w:rFonts w:hint="eastAsia" w:ascii="黑体" w:hAnsi="黑体" w:eastAsia="黑体" w:cs="黑体"/>
          <w:b w:val="0"/>
          <w:bCs w:val="0"/>
          <w:sz w:val="36"/>
          <w:szCs w:val="36"/>
          <w:lang w:val="en" w:eastAsia="zh-CN"/>
        </w:rPr>
        <w:t>类</w:t>
      </w:r>
    </w:p>
    <w:p>
      <w:pPr>
        <w:spacing w:line="560" w:lineRule="exact"/>
        <w:jc w:val="both"/>
        <w:rPr>
          <w:rFonts w:hint="eastAsia" w:ascii="宋体" w:hAnsi="宋体" w:eastAsia="宋体" w:cs="宋体"/>
          <w:b/>
          <w:bCs/>
          <w:w w:val="98"/>
          <w:kern w:val="0"/>
          <w:sz w:val="44"/>
          <w:szCs w:val="44"/>
        </w:rPr>
      </w:pPr>
    </w:p>
    <w:p>
      <w:pPr>
        <w:pStyle w:val="2"/>
        <w:keepNext w:val="0"/>
        <w:keepLines w:val="0"/>
        <w:pageBreakBefore w:val="0"/>
        <w:widowControl/>
        <w:kinsoku/>
        <w:wordWrap/>
        <w:overflowPunct/>
        <w:topLinePunct w:val="0"/>
        <w:autoSpaceDE/>
        <w:autoSpaceDN/>
        <w:bidi w:val="0"/>
        <w:adjustRightInd/>
        <w:snapToGrid/>
        <w:spacing w:before="313" w:beforeLines="100"/>
        <w:textAlignment w:val="auto"/>
        <w:rPr>
          <w:rFonts w:hint="eastAsia"/>
          <w:lang w:val="en-US" w:eastAsia="zh-CN"/>
        </w:rPr>
      </w:pPr>
      <w:r>
        <w:rPr>
          <w:rFonts w:hint="eastAsia"/>
          <w:lang w:val="en-US" w:eastAsia="zh-CN"/>
        </w:rPr>
        <w:t>深圳市住房和建设局关于市七届人大四次</w:t>
      </w:r>
      <w:r>
        <w:rPr>
          <w:rFonts w:hint="eastAsia"/>
          <w:lang w:val="en-US" w:eastAsia="zh-CN"/>
        </w:rPr>
        <w:br w:type="textWrapping"/>
      </w:r>
      <w:r>
        <w:rPr>
          <w:rFonts w:hint="eastAsia"/>
          <w:lang w:val="en-US" w:eastAsia="zh-CN"/>
        </w:rPr>
        <w:t>会议第20230481号建议答复的函</w:t>
      </w:r>
    </w:p>
    <w:p>
      <w:pPr>
        <w:overflowPunct w:val="0"/>
        <w:topLinePunct/>
        <w:adjustRightInd w:val="0"/>
        <w:snapToGrid w:val="0"/>
        <w:spacing w:line="560" w:lineRule="exact"/>
        <w:rPr>
          <w:rFonts w:hint="eastAsia" w:ascii="仿宋_GB2312" w:hAnsi="仿宋_GB2312" w:eastAsia="仿宋_GB2312" w:cs="仿宋_GB2312"/>
          <w:sz w:val="32"/>
          <w:szCs w:val="32"/>
        </w:rPr>
      </w:pPr>
    </w:p>
    <w:p>
      <w:pPr>
        <w:overflowPunct w:val="0"/>
        <w:topLinePunct/>
        <w:adjustRightInd w:val="0"/>
        <w:snapToGrid w:val="0"/>
        <w:spacing w:line="560" w:lineRule="exact"/>
        <w:jc w:val="both"/>
        <w:rPr>
          <w:rFonts w:ascii="仿宋_GB2312" w:hAnsi="仿宋_GB2312" w:eastAsia="仿宋_GB2312" w:cs="仿宋_GB2312"/>
          <w:sz w:val="32"/>
          <w:szCs w:val="32"/>
        </w:rPr>
      </w:pPr>
      <w:bookmarkStart w:id="0" w:name="_GoBack"/>
      <w:r>
        <w:rPr>
          <w:rFonts w:hint="eastAsia" w:ascii="仿宋_GB2312" w:hAnsi="仿宋_GB2312" w:eastAsia="仿宋_GB2312" w:cs="仿宋_GB2312"/>
          <w:sz w:val="32"/>
          <w:szCs w:val="32"/>
        </w:rPr>
        <w:t>尊敬的</w:t>
      </w:r>
      <w:r>
        <w:rPr>
          <w:rFonts w:hint="eastAsia" w:ascii="仿宋_GB2312" w:hAnsi="仿宋_GB2312" w:eastAsia="仿宋_GB2312" w:cs="仿宋_GB2312"/>
          <w:b w:val="0"/>
          <w:sz w:val="32"/>
          <w:szCs w:val="32"/>
          <w:lang w:val="en-US" w:eastAsia="zh-CN"/>
        </w:rPr>
        <w:t>林海东,杨凯越,余为森,苗向,郑海俊,潘艺,郑华玉</w:t>
      </w:r>
      <w:r>
        <w:rPr>
          <w:rFonts w:hint="eastAsia" w:ascii="仿宋_GB2312" w:hAnsi="仿宋_GB2312" w:eastAsia="仿宋_GB2312" w:cs="仿宋_GB2312"/>
          <w:sz w:val="32"/>
          <w:szCs w:val="32"/>
          <w:lang w:eastAsia="zh-CN"/>
        </w:rPr>
        <w:t>代表</w:t>
      </w:r>
      <w:r>
        <w:rPr>
          <w:rFonts w:hint="eastAsia" w:ascii="仿宋_GB2312" w:hAnsi="仿宋_GB2312" w:eastAsia="仿宋_GB2312" w:cs="仿宋_GB2312"/>
          <w:sz w:val="32"/>
          <w:szCs w:val="32"/>
        </w:rPr>
        <w:t>：</w:t>
      </w:r>
    </w:p>
    <w:p>
      <w:pPr>
        <w:spacing w:line="600" w:lineRule="exact"/>
        <w:ind w:firstLine="64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您在市七届人大四次会议上提出的代表建议《</w:t>
      </w:r>
      <w:r>
        <w:rPr>
          <w:rFonts w:hint="eastAsia" w:ascii="仿宋_GB2312" w:hAnsi="仿宋_GB2312" w:eastAsia="仿宋_GB2312" w:cs="仿宋_GB2312"/>
          <w:b w:val="0"/>
          <w:sz w:val="30"/>
          <w:szCs w:val="30"/>
          <w:lang w:val="en-US" w:eastAsia="zh-CN"/>
        </w:rPr>
        <w:t>关于治理建筑工地欠薪纠纷的建议</w:t>
      </w:r>
      <w:r>
        <w:rPr>
          <w:rFonts w:hint="eastAsia" w:ascii="仿宋_GB2312" w:hAnsi="仿宋_GB2312" w:eastAsia="仿宋_GB2312" w:cs="仿宋_GB2312"/>
          <w:sz w:val="32"/>
          <w:szCs w:val="32"/>
          <w:lang w:val="en-US" w:eastAsia="zh-CN"/>
        </w:rPr>
        <w:t>》（建议第20230481号）已经市人大常委会转我局办理。非常感谢您对我们工作的关心和支持。对您的建议，我们进行了认真研究，现答复如下：</w:t>
      </w:r>
    </w:p>
    <w:p>
      <w:pPr>
        <w:numPr>
          <w:ilvl w:val="0"/>
          <w:numId w:val="1"/>
        </w:numPr>
        <w:tabs>
          <w:tab w:val="left" w:pos="629"/>
        </w:tabs>
        <w:spacing w:line="560" w:lineRule="exact"/>
        <w:ind w:firstLine="640" w:firstLineChars="200"/>
        <w:jc w:val="both"/>
        <w:rPr>
          <w:rFonts w:hint="eastAsia" w:ascii="黑体" w:hAnsi="黑体" w:eastAsia="黑体" w:cs="Times New Roman"/>
          <w:sz w:val="32"/>
          <w:szCs w:val="32"/>
        </w:rPr>
      </w:pPr>
      <w:r>
        <w:rPr>
          <w:rFonts w:hint="eastAsia" w:ascii="黑体" w:hAnsi="黑体" w:eastAsia="黑体" w:cs="Times New Roman"/>
          <w:sz w:val="32"/>
          <w:szCs w:val="32"/>
          <w:lang w:val="en-US" w:eastAsia="zh-CN"/>
        </w:rPr>
        <w:t>关于“强化工资监管”</w:t>
      </w:r>
      <w:r>
        <w:rPr>
          <w:rFonts w:hint="eastAsia" w:ascii="黑体" w:hAnsi="黑体" w:eastAsia="黑体" w:cs="Times New Roman"/>
          <w:sz w:val="32"/>
          <w:szCs w:val="32"/>
        </w:rPr>
        <w:t>的建议</w:t>
      </w:r>
    </w:p>
    <w:p>
      <w:pPr>
        <w:keepNext w:val="0"/>
        <w:keepLines w:val="0"/>
        <w:pageBreakBefore w:val="0"/>
        <w:widowControl w:val="0"/>
        <w:kinsoku/>
        <w:wordWrap/>
        <w:overflowPunct/>
        <w:topLinePunct w:val="0"/>
        <w:autoSpaceDE/>
        <w:autoSpaceDN/>
        <w:bidi w:val="0"/>
        <w:adjustRightInd/>
        <w:snapToGrid/>
        <w:spacing w:line="300" w:lineRule="auto"/>
        <w:ind w:right="0" w:rightChars="0" w:firstLine="642"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sz w:val="32"/>
          <w:szCs w:val="32"/>
          <w:lang w:val="en-US" w:eastAsia="zh-CN"/>
        </w:rPr>
        <w:t>印发系列政策文件，明确和细化了工人工资支付的制度要求，要求施工单位按月足额通过农民工工资专户支付工人工资，直接拨付到工人银行卡；</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发布施工合同范本，明确规定建设单位应按月将工人工资拨付到农民工工资专户，房建项目每月拨付比例不少于工程款的18%，市政项目每月拨付比例不少于工程款的13%，且该款项只能用于工人工资支付，不得作其他用途，实现工人工资支付事前管控；</w:t>
      </w:r>
      <w:r>
        <w:rPr>
          <w:rFonts w:hint="eastAsia" w:ascii="仿宋_GB2312" w:hAnsi="仿宋_GB2312" w:eastAsia="仿宋_GB2312" w:cs="仿宋_GB2312"/>
          <w:b/>
          <w:bCs/>
          <w:sz w:val="32"/>
          <w:szCs w:val="32"/>
          <w:lang w:val="en-US" w:eastAsia="zh-CN"/>
        </w:rPr>
        <w:t>三是</w:t>
      </w:r>
      <w:r>
        <w:rPr>
          <w:rFonts w:hint="eastAsia" w:ascii="仿宋_GB2312" w:hAnsi="仿宋_GB2312" w:eastAsia="仿宋_GB2312" w:cs="仿宋_GB2312"/>
          <w:sz w:val="32"/>
          <w:szCs w:val="32"/>
          <w:lang w:val="en-US" w:eastAsia="zh-CN"/>
        </w:rPr>
        <w:t>完善工资保证金制度，市人力资源保障局、市住房建设局、市交通运输局、市水务局、银保监委深圳监管局、民航深圳安监局等六部门印发了《深圳市工程建设领域农民工工资保证金管理办法》（深人社规〔2022〕7号），建立农民工工资保证金制度，保障我市工程建设领域工资支付；</w:t>
      </w:r>
      <w:r>
        <w:rPr>
          <w:rFonts w:hint="eastAsia" w:ascii="仿宋_GB2312" w:hAnsi="仿宋_GB2312" w:eastAsia="仿宋_GB2312" w:cs="仿宋_GB2312"/>
          <w:b/>
          <w:bCs/>
          <w:sz w:val="32"/>
          <w:szCs w:val="32"/>
          <w:lang w:val="en-US" w:eastAsia="zh-CN"/>
        </w:rPr>
        <w:t>四是</w:t>
      </w:r>
      <w:r>
        <w:rPr>
          <w:rFonts w:hint="eastAsia" w:ascii="仿宋_GB2312" w:hAnsi="仿宋_GB2312" w:eastAsia="仿宋_GB2312" w:cs="仿宋_GB2312"/>
          <w:sz w:val="32"/>
          <w:szCs w:val="32"/>
          <w:lang w:val="en-US" w:eastAsia="zh-CN"/>
        </w:rPr>
        <w:t>应用信息化和智能化技术，与21家商业银行进行了工人工资发放数据对接，可实时获取各项目人员工资发放数据，对于未按月支付工人工资的行为将产生预警，实现工人工资支付的事中、事后监管；</w:t>
      </w:r>
      <w:r>
        <w:rPr>
          <w:rFonts w:hint="eastAsia" w:ascii="仿宋_GB2312" w:hAnsi="仿宋_GB2312" w:eastAsia="仿宋_GB2312" w:cs="仿宋_GB2312"/>
          <w:b/>
          <w:bCs/>
          <w:sz w:val="32"/>
          <w:szCs w:val="32"/>
          <w:lang w:val="en-US" w:eastAsia="zh-CN"/>
        </w:rPr>
        <w:t>五是</w:t>
      </w:r>
      <w:r>
        <w:rPr>
          <w:rFonts w:hint="eastAsia" w:ascii="仿宋_GB2312" w:hAnsi="仿宋_GB2312" w:eastAsia="仿宋_GB2312" w:cs="仿宋_GB2312"/>
          <w:sz w:val="32"/>
          <w:szCs w:val="32"/>
          <w:lang w:val="en-US" w:eastAsia="zh-CN"/>
        </w:rPr>
        <w:t>开展多部门联合专项行动，在全市范围内开展“安薪在深”、贯彻落实《保障农民工工资支付条例》、集中整治拖欠农民工工资问题等专项行动，全面排查农民工工资及时足额支付情况，检查本辖区本领域工程项目“两制”落实情况，对查实的制度不落实问题，严格按照《保障农民工工资支付条例》等规定进行处理处罚。</w:t>
      </w:r>
    </w:p>
    <w:p>
      <w:pPr>
        <w:widowControl/>
        <w:numPr>
          <w:ilvl w:val="0"/>
          <w:numId w:val="1"/>
        </w:numPr>
        <w:spacing w:line="560" w:lineRule="exact"/>
        <w:ind w:left="0" w:leftChars="0" w:firstLine="640" w:firstLineChars="200"/>
        <w:jc w:val="both"/>
        <w:rPr>
          <w:rFonts w:hint="eastAsia" w:ascii="黑体" w:hAnsi="黑体" w:eastAsia="黑体" w:cs="Times New Roman"/>
          <w:sz w:val="32"/>
          <w:szCs w:val="32"/>
        </w:rPr>
      </w:pPr>
      <w:r>
        <w:rPr>
          <w:rFonts w:hint="eastAsia" w:ascii="黑体" w:hAnsi="黑体" w:eastAsia="黑体" w:cs="Times New Roman"/>
          <w:sz w:val="32"/>
          <w:szCs w:val="32"/>
          <w:lang w:val="en-US" w:eastAsia="zh-CN"/>
        </w:rPr>
        <w:t>关于“强化法制教育”</w:t>
      </w:r>
      <w:r>
        <w:rPr>
          <w:rFonts w:hint="eastAsia" w:ascii="黑体" w:hAnsi="黑体" w:eastAsia="黑体" w:cs="Times New Roman"/>
          <w:sz w:val="32"/>
          <w:szCs w:val="32"/>
        </w:rPr>
        <w:t>的建议</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642"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sz w:val="32"/>
          <w:szCs w:val="32"/>
          <w:lang w:val="en-US" w:eastAsia="zh-CN"/>
        </w:rPr>
        <w:t>利用局官网、公众号以及市“两制”平台等媒介，结合线下培训方式，加强政策宣贯，增强工人法律意识，要求工地现场设立维权信息告示牌，畅通工人维权路径；</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全面落实“谁执法、谁普法”责任制，通过宣讲会、派发宣传资料、现场法律咨询、张贴宣传海报、悬挂横幅标语等形式，走进企业、厂区、建筑工地，指导督促用人单位依法用工，引导广大农民工依法理性维权。</w:t>
      </w:r>
    </w:p>
    <w:bookmarkEnd w:id="0"/>
    <w:p>
      <w:pPr>
        <w:widowControl/>
        <w:numPr>
          <w:ilvl w:val="0"/>
          <w:numId w:val="1"/>
        </w:numPr>
        <w:spacing w:line="560" w:lineRule="exact"/>
        <w:ind w:left="0" w:leftChars="0" w:firstLine="640" w:firstLineChars="200"/>
        <w:rPr>
          <w:rFonts w:hint="eastAsia" w:ascii="黑体" w:hAnsi="黑体" w:eastAsia="黑体" w:cs="Times New Roman"/>
          <w:sz w:val="32"/>
          <w:szCs w:val="32"/>
          <w:lang w:val="en-US" w:eastAsia="zh-CN"/>
        </w:rPr>
      </w:pPr>
      <w:r>
        <w:rPr>
          <w:rFonts w:hint="eastAsia" w:ascii="黑体" w:hAnsi="黑体" w:eastAsia="黑体" w:cs="Times New Roman"/>
          <w:sz w:val="32"/>
          <w:szCs w:val="32"/>
          <w:lang w:val="en-US" w:eastAsia="zh-CN"/>
        </w:rPr>
        <w:t>关于“强化信用管理”的建议</w:t>
      </w:r>
    </w:p>
    <w:p>
      <w:pPr>
        <w:keepNext w:val="0"/>
        <w:keepLines w:val="0"/>
        <w:pageBreakBefore w:val="0"/>
        <w:widowControl w:val="0"/>
        <w:kinsoku/>
        <w:wordWrap/>
        <w:overflowPunct/>
        <w:topLinePunct w:val="0"/>
        <w:autoSpaceDE/>
        <w:autoSpaceDN/>
        <w:bidi w:val="0"/>
        <w:adjustRightInd/>
        <w:snapToGrid/>
        <w:spacing w:line="300" w:lineRule="auto"/>
        <w:ind w:right="0" w:rightChars="0" w:firstLine="642"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sz w:val="32"/>
          <w:szCs w:val="32"/>
          <w:lang w:val="en-US" w:eastAsia="zh-CN"/>
        </w:rPr>
        <w:t>对于欠薪纠纷多发、信访投诉多的项目和参建企业，采取约谈、通报的方式，对项目现场负责人和相关施工企业负责人进行教育警示。对于情节严重或者造成不良社会影响的，将用人单位及其直接负责的主管人员和其他直接责任人员列入劳务工工资失信联合惩戒对象名单，在政府资金支持、政府采购、招投标、融资贷款、市场准入、税收优惠、评优评先、交通出行等方面依法依规予以限制；</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加强行政司法联动，做好涉嫌拒不支付劳动报酬犯罪案件司法移送接收、查处侦办等工作，保持对拒不支付劳动报酬犯罪的高压态势。</w:t>
      </w:r>
    </w:p>
    <w:p>
      <w:pPr>
        <w:widowControl/>
        <w:overflowPunct w:val="0"/>
        <w:topLinePunct/>
        <w:adjustRightInd w:val="0"/>
        <w:snapToGrid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再次感谢您对我们工作的关心和支持。</w:t>
      </w:r>
    </w:p>
    <w:p>
      <w:pPr>
        <w:pStyle w:val="5"/>
        <w:wordWrap w:val="0"/>
        <w:ind w:firstLine="0" w:firstLineChars="0"/>
        <w:jc w:val="right"/>
        <w:rPr>
          <w:rFonts w:hint="eastAsia" w:ascii="仿宋_GB2312" w:hAnsi="仿宋_GB2312" w:cs="仿宋_GB2312"/>
          <w:szCs w:val="32"/>
          <w:lang w:val="en-US" w:eastAsia="zh-CN"/>
        </w:rPr>
      </w:pPr>
      <w:r>
        <w:rPr>
          <w:rFonts w:hint="eastAsia" w:ascii="仿宋_GB2312" w:hAnsi="仿宋_GB2312" w:cs="仿宋_GB2312"/>
          <w:szCs w:val="32"/>
          <w:lang w:val="en-US" w:eastAsia="zh-CN"/>
        </w:rPr>
        <w:t xml:space="preserve">               </w:t>
      </w:r>
    </w:p>
    <w:p>
      <w:pPr>
        <w:pStyle w:val="5"/>
        <w:wordWrap w:val="0"/>
        <w:ind w:firstLine="0" w:firstLineChars="0"/>
        <w:jc w:val="right"/>
        <w:rPr>
          <w:rFonts w:hint="default" w:ascii="仿宋_GB2312" w:hAnsi="仿宋_GB2312" w:cs="仿宋_GB2312"/>
          <w:szCs w:val="32"/>
          <w:lang w:val="en"/>
        </w:rPr>
      </w:pPr>
      <w:r>
        <w:rPr>
          <w:rFonts w:hint="eastAsia" w:ascii="仿宋_GB2312" w:hAnsi="仿宋_GB2312" w:cs="仿宋_GB2312"/>
          <w:szCs w:val="32"/>
          <w:lang w:val="en-US" w:eastAsia="zh-CN"/>
        </w:rPr>
        <w:t xml:space="preserve">                                </w:t>
      </w:r>
      <w:r>
        <w:rPr>
          <w:rFonts w:hint="eastAsia" w:ascii="仿宋_GB2312" w:hAnsi="仿宋_GB2312" w:cs="仿宋_GB2312"/>
          <w:szCs w:val="32"/>
        </w:rPr>
        <w:t>深圳市住房和建设局</w:t>
      </w:r>
      <w:r>
        <w:rPr>
          <w:rFonts w:hint="default" w:ascii="仿宋_GB2312" w:hAnsi="仿宋_GB2312" w:cs="仿宋_GB2312"/>
          <w:szCs w:val="32"/>
          <w:lang w:val="en"/>
        </w:rPr>
        <w:t xml:space="preserve">  </w:t>
      </w:r>
      <w:r>
        <w:rPr>
          <w:rFonts w:hint="eastAsia" w:ascii="仿宋_GB2312" w:hAnsi="仿宋_GB2312" w:cs="仿宋_GB2312"/>
          <w:szCs w:val="32"/>
        </w:rPr>
        <w:t xml:space="preserve">                      202</w:t>
      </w:r>
      <w:r>
        <w:rPr>
          <w:rFonts w:hint="eastAsia" w:ascii="仿宋_GB2312" w:hAnsi="仿宋_GB2312" w:cs="仿宋_GB2312"/>
          <w:szCs w:val="32"/>
          <w:lang w:val="en-US" w:eastAsia="zh-CN"/>
        </w:rPr>
        <w:t>3</w:t>
      </w:r>
      <w:r>
        <w:rPr>
          <w:rFonts w:hint="eastAsia" w:ascii="仿宋_GB2312" w:hAnsi="仿宋_GB2312" w:cs="仿宋_GB2312"/>
          <w:szCs w:val="32"/>
        </w:rPr>
        <w:t>年</w:t>
      </w:r>
      <w:r>
        <w:rPr>
          <w:rFonts w:hint="default" w:ascii="仿宋_GB2312" w:hAnsi="仿宋_GB2312" w:cs="仿宋_GB2312"/>
          <w:szCs w:val="32"/>
          <w:lang w:val="en" w:eastAsia="zh-CN"/>
        </w:rPr>
        <w:t>6</w:t>
      </w:r>
      <w:r>
        <w:rPr>
          <w:rFonts w:hint="eastAsia" w:ascii="仿宋_GB2312" w:hAnsi="仿宋_GB2312" w:cs="仿宋_GB2312"/>
          <w:szCs w:val="32"/>
        </w:rPr>
        <w:t>月</w:t>
      </w:r>
      <w:r>
        <w:rPr>
          <w:rFonts w:hint="default" w:ascii="仿宋_GB2312" w:hAnsi="仿宋_GB2312" w:cs="仿宋_GB2312"/>
          <w:szCs w:val="32"/>
          <w:lang w:val="en"/>
        </w:rPr>
        <w:t>2</w:t>
      </w:r>
      <w:r>
        <w:rPr>
          <w:rFonts w:hint="eastAsia" w:ascii="仿宋_GB2312" w:hAnsi="仿宋_GB2312" w:cs="仿宋_GB2312"/>
          <w:szCs w:val="32"/>
        </w:rPr>
        <w:t xml:space="preserve">日 </w:t>
      </w:r>
      <w:r>
        <w:rPr>
          <w:rFonts w:hint="default" w:ascii="仿宋_GB2312" w:hAnsi="仿宋_GB2312" w:cs="仿宋_GB2312"/>
          <w:szCs w:val="32"/>
          <w:lang w:val="en"/>
        </w:rPr>
        <w:t xml:space="preserve">    </w:t>
      </w:r>
    </w:p>
    <w:p>
      <w:pPr>
        <w:widowControl/>
        <w:overflowPunct w:val="0"/>
        <w:topLinePunct/>
        <w:adjustRightInd w:val="0"/>
        <w:snapToGrid w:val="0"/>
        <w:spacing w:line="560" w:lineRule="exact"/>
        <w:jc w:val="center"/>
        <w:rPr>
          <w:rFonts w:hint="eastAsia" w:ascii="仿宋_GB2312" w:hAnsi="仿宋_GB2312" w:eastAsia="仿宋_GB2312" w:cs="仿宋_GB2312"/>
          <w:sz w:val="32"/>
          <w:szCs w:val="32"/>
        </w:rPr>
      </w:pPr>
    </w:p>
    <w:p>
      <w:pPr>
        <w:widowControl/>
        <w:overflowPunct w:val="0"/>
        <w:topLinePunct/>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（联系人：</w:t>
      </w:r>
      <w:r>
        <w:rPr>
          <w:rFonts w:hint="eastAsia" w:ascii="仿宋_GB2312" w:hAnsi="仿宋_GB2312" w:eastAsia="仿宋_GB2312" w:cs="仿宋_GB2312"/>
          <w:sz w:val="32"/>
          <w:szCs w:val="32"/>
          <w:lang w:val="en-US" w:eastAsia="zh-CN"/>
        </w:rPr>
        <w:t>陈斌</w:t>
      </w:r>
      <w:r>
        <w:rPr>
          <w:rFonts w:hint="eastAsia" w:ascii="仿宋_GB2312" w:hAnsi="仿宋_GB2312" w:eastAsia="仿宋_GB2312" w:cs="仿宋_GB2312"/>
          <w:sz w:val="32"/>
          <w:szCs w:val="32"/>
        </w:rPr>
        <w:t>，联系电话：</w:t>
      </w:r>
      <w:r>
        <w:rPr>
          <w:rFonts w:hint="eastAsia" w:ascii="仿宋_GB2312" w:hAnsi="仿宋_GB2312" w:eastAsia="仿宋_GB2312" w:cs="仿宋_GB2312"/>
          <w:sz w:val="32"/>
          <w:szCs w:val="32"/>
          <w:lang w:val="en-US" w:eastAsia="zh-CN"/>
        </w:rPr>
        <w:t>0755-</w:t>
      </w:r>
      <w:r>
        <w:rPr>
          <w:rFonts w:hint="eastAsia" w:ascii="仿宋_GB2312" w:hAnsi="Times New Roman" w:eastAsia="仿宋_GB2312" w:cs="Times New Roman"/>
          <w:color w:val="000000"/>
          <w:kern w:val="2"/>
          <w:sz w:val="32"/>
          <w:szCs w:val="32"/>
          <w:lang w:val="en-US" w:eastAsia="zh-CN" w:bidi="ar-SA"/>
        </w:rPr>
        <w:t>83787176</w:t>
      </w:r>
      <w:r>
        <w:rPr>
          <w:rFonts w:hint="eastAsia" w:ascii="仿宋_GB2312" w:hAnsi="仿宋_GB2312" w:eastAsia="仿宋_GB2312" w:cs="仿宋_GB2312"/>
          <w:sz w:val="32"/>
          <w:szCs w:val="32"/>
        </w:rPr>
        <w:t>）</w:t>
      </w:r>
    </w:p>
    <w:p>
      <w:pPr>
        <w:spacing w:line="560" w:lineRule="exact"/>
        <w:rPr>
          <w:rFonts w:ascii="Times New Roman" w:hAnsi="Times New Roman" w:eastAsia="宋体" w:cs="Times New Roman"/>
        </w:rPr>
      </w:pPr>
    </w:p>
    <w:p>
      <w:pPr>
        <w:spacing w:line="560" w:lineRule="exact"/>
        <w:rPr>
          <w:rFonts w:ascii="Times New Roman" w:hAnsi="Times New Roman" w:eastAsia="宋体" w:cs="Times New Roman"/>
        </w:rPr>
      </w:pPr>
    </w:p>
    <w:p>
      <w:pPr>
        <w:rPr>
          <w:rFonts w:ascii="Times New Roman" w:hAnsi="Times New Roman" w:eastAsia="宋体" w:cs="Times New Roman"/>
          <w:lang w:val="en"/>
        </w:rPr>
      </w:pPr>
    </w:p>
    <w:p>
      <w:pPr>
        <w:rPr>
          <w:rFonts w:ascii="Times New Roman" w:hAnsi="Times New Roman" w:eastAsia="宋体" w:cs="Times New Roman"/>
          <w:lang w:val="en"/>
        </w:rPr>
      </w:pPr>
    </w:p>
    <w:p/>
    <w:sectPr>
      <w:pgSz w:w="11906" w:h="16838"/>
      <w:pgMar w:top="2041" w:right="1531" w:bottom="1871" w:left="1588"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Standard Symbols PS">
    <w:panose1 w:val="05050102010706020507"/>
    <w:charset w:val="00"/>
    <w:family w:val="auto"/>
    <w:pitch w:val="default"/>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C9F017"/>
    <w:multiLevelType w:val="singleLevel"/>
    <w:tmpl w:val="B0C9F01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FB6A77D"/>
    <w:rsid w:val="6F7FF3B9"/>
    <w:rsid w:val="777FC680"/>
    <w:rsid w:val="7EFDA25C"/>
    <w:rsid w:val="9EF6CD71"/>
    <w:rsid w:val="AB7E8DE3"/>
    <w:rsid w:val="BDBF129B"/>
    <w:rsid w:val="FFFCF3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Title"/>
    <w:next w:val="1"/>
    <w:qFormat/>
    <w:uiPriority w:val="0"/>
    <w:pPr>
      <w:spacing w:line="560" w:lineRule="exact"/>
      <w:jc w:val="center"/>
      <w:outlineLvl w:val="0"/>
    </w:pPr>
    <w:rPr>
      <w:rFonts w:ascii="方正小标宋_GBK" w:hAnsi="方正小标宋_GBK" w:eastAsia="方正小标宋_GBK" w:cs="宋体"/>
      <w:kern w:val="2"/>
      <w:sz w:val="44"/>
      <w:szCs w:val="44"/>
      <w:lang w:val="en-US" w:eastAsia="zh-CN" w:bidi="ar-SA"/>
    </w:rPr>
  </w:style>
  <w:style w:type="paragraph" w:customStyle="1" w:styleId="5">
    <w:name w:val="仿宋三号"/>
    <w:qFormat/>
    <w:uiPriority w:val="0"/>
    <w:pPr>
      <w:widowControl w:val="0"/>
      <w:spacing w:line="560" w:lineRule="exact"/>
      <w:ind w:firstLine="640" w:firstLineChars="200"/>
      <w:jc w:val="both"/>
    </w:pPr>
    <w:rPr>
      <w:rFonts w:ascii="Times New Roman" w:hAnsi="Times New Roman" w:eastAsia="仿宋_GB2312" w:cs="Times New Roman"/>
      <w:sz w:val="3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2023-06-02T12:45:00Z</dcterms:created>
  <dc:creator>chenxin</dc:creator>
  <cp:lastModifiedBy>chenxin</cp:lastModifiedBy>
  <dcterms:modified xsi:type="dcterms:W3CDTF">2023-06-02T16:54:04Z</dcterms:modified>
  <dc:title>公开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