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40" w:lineRule="auto"/>
        <w:rPr>
          <w:rFonts w:hint="eastAsia" w:ascii="仿宋_GB2312" w:hAnsi="仿宋_GB2312" w:eastAsia="仿宋_GB2312" w:cs="仿宋_GB2312"/>
          <w:b w:val="0"/>
          <w:sz w:val="32"/>
          <w:szCs w:val="32"/>
          <w:lang w:val="en-US" w:eastAsia="zh-CN"/>
        </w:rPr>
      </w:pPr>
      <w:r>
        <w:rPr>
          <w:rFonts w:hint="eastAsia" w:ascii="仿宋_GB2312" w:hAnsi="仿宋_GB2312" w:eastAsia="仿宋_GB2312" w:cs="仿宋_GB2312"/>
          <w:b/>
          <w:bCs/>
          <w:sz w:val="32"/>
          <w:lang w:val="en-US" w:eastAsia="zh-CN"/>
        </w:rPr>
        <w:t>密级：</w:t>
      </w:r>
      <w:r>
        <w:rPr>
          <w:rFonts w:hint="eastAsia" w:ascii="仿宋_GB2312" w:hAnsi="仿宋_GB2312" w:eastAsia="仿宋_GB2312" w:cs="仿宋_GB2312"/>
          <w:b w:val="0"/>
          <w:sz w:val="32"/>
          <w:szCs w:val="32"/>
          <w:lang w:val="en-US" w:eastAsia="zh-CN"/>
        </w:rPr>
        <w:t>公开</w:t>
      </w:r>
    </w:p>
    <w:p>
      <w:pPr>
        <w:spacing w:line="240" w:lineRule="auto"/>
        <w:rPr>
          <w:rFonts w:hint="eastAsia" w:ascii="仿宋_GB2312" w:hAnsi="仿宋_GB2312" w:eastAsia="仿宋_GB2312" w:cs="仿宋_GB2312"/>
          <w:b w:val="0"/>
          <w:sz w:val="32"/>
          <w:lang w:eastAsia="zh-CN"/>
        </w:rPr>
      </w:pPr>
      <w:bookmarkStart w:id="0" w:name="_GoBack"/>
      <w:bookmarkEnd w:id="0"/>
    </w:p>
    <w:p>
      <w:pPr>
        <w:spacing w:line="240" w:lineRule="auto"/>
        <w:rPr>
          <w:rFonts w:hint="eastAsia" w:ascii="仿宋_GB2312" w:hAnsi="仿宋_GB2312" w:eastAsia="仿宋_GB2312" w:cs="仿宋_GB2312"/>
          <w:b w:val="0"/>
          <w:sz w:val="32"/>
          <w:lang w:eastAsia="zh-CN"/>
        </w:rPr>
      </w:pPr>
      <w:r>
        <w:rPr>
          <w:rFonts w:hint="eastAsia" w:ascii="仿宋_GB2312" w:hAnsi="仿宋_GB2312" w:eastAsia="仿宋_GB2312" w:cs="仿宋_GB2312"/>
          <w:b w:val="0"/>
          <w:sz w:val="32"/>
          <w:szCs w:val="32"/>
          <w:lang w:val="en-US" w:eastAsia="zh-CN"/>
        </w:rPr>
        <w:t>建议</w:t>
      </w:r>
      <w:r>
        <w:rPr>
          <w:rFonts w:hint="eastAsia" w:ascii="仿宋_GB2312" w:hAnsi="仿宋_GB2312" w:eastAsia="仿宋_GB2312" w:cs="仿宋_GB2312"/>
          <w:b w:val="0"/>
          <w:sz w:val="32"/>
          <w:lang w:eastAsia="zh-CN"/>
        </w:rPr>
        <w:t>第</w:t>
      </w:r>
      <w:r>
        <w:rPr>
          <w:rFonts w:hint="eastAsia" w:ascii="仿宋_GB2312" w:hAnsi="仿宋_GB2312" w:eastAsia="仿宋_GB2312" w:cs="仿宋_GB2312"/>
          <w:b w:val="0"/>
          <w:sz w:val="28"/>
          <w:lang w:val="en-US" w:eastAsia="zh-CN"/>
        </w:rPr>
        <w:t>20230846</w:t>
      </w:r>
      <w:r>
        <w:rPr>
          <w:rFonts w:hint="eastAsia" w:ascii="仿宋_GB2312" w:hAnsi="仿宋_GB2312" w:eastAsia="仿宋_GB2312" w:cs="仿宋_GB2312"/>
          <w:b w:val="0"/>
          <w:sz w:val="32"/>
          <w:lang w:eastAsia="zh-CN"/>
        </w:rPr>
        <w:t>号</w:t>
      </w:r>
    </w:p>
    <w:p>
      <w:pPr>
        <w:spacing w:line="240" w:lineRule="auto"/>
        <w:ind w:left="1506" w:leftChars="0" w:right="0" w:rightChars="0" w:hanging="1506" w:hangingChars="500"/>
        <w:rPr>
          <w:rFonts w:hint="eastAsia" w:ascii="仿宋_GB2312" w:hAnsi="仿宋_GB2312" w:eastAsia="仿宋_GB2312" w:cs="仿宋_GB2312"/>
          <w:b w:val="0"/>
          <w:sz w:val="30"/>
          <w:szCs w:val="30"/>
          <w:lang w:eastAsia="zh-CN"/>
        </w:rPr>
      </w:pPr>
      <w:r>
        <w:rPr>
          <w:rFonts w:hint="eastAsia" w:ascii="仿宋_GB2312" w:hAnsi="仿宋_GB2312" w:eastAsia="仿宋_GB2312" w:cs="仿宋_GB2312"/>
          <w:b/>
          <w:bCs/>
          <w:sz w:val="30"/>
          <w:szCs w:val="30"/>
          <w:lang w:eastAsia="zh-CN"/>
        </w:rPr>
        <w:t>案    由</w:t>
      </w:r>
      <w:r>
        <w:rPr>
          <w:rFonts w:hint="eastAsia" w:ascii="仿宋_GB2312" w:hAnsi="仿宋_GB2312" w:eastAsia="仿宋_GB2312" w:cs="仿宋_GB2312"/>
          <w:b w:val="0"/>
          <w:sz w:val="30"/>
          <w:szCs w:val="30"/>
          <w:lang w:eastAsia="zh-CN"/>
        </w:rPr>
        <w:t>：</w:t>
      </w:r>
      <w:r>
        <w:rPr>
          <w:rFonts w:hint="eastAsia" w:ascii="仿宋_GB2312" w:hAnsi="仿宋_GB2312" w:eastAsia="仿宋_GB2312" w:cs="仿宋_GB2312"/>
          <w:b w:val="0"/>
          <w:sz w:val="30"/>
          <w:szCs w:val="30"/>
          <w:lang w:val="en-US" w:eastAsia="zh-CN"/>
        </w:rPr>
        <w:t>关于厘清物业管理边界和物业管理事务实施主体责权利关系的建议</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提 出 人：</w:t>
      </w:r>
      <w:r>
        <w:rPr>
          <w:rFonts w:hint="eastAsia" w:ascii="仿宋_GB2312" w:hAnsi="仿宋_GB2312" w:eastAsia="仿宋_GB2312" w:cs="仿宋_GB2312"/>
          <w:b w:val="0"/>
          <w:sz w:val="32"/>
          <w:szCs w:val="32"/>
          <w:lang w:val="en-US" w:eastAsia="zh-CN"/>
        </w:rPr>
        <w:t>曾滔</w:t>
      </w:r>
      <w:r>
        <w:rPr>
          <w:rFonts w:hint="eastAsia" w:ascii="仿宋_GB2312" w:hAnsi="仿宋_GB2312" w:eastAsia="仿宋_GB2312" w:cs="仿宋_GB2312"/>
          <w:b w:val="0"/>
          <w:sz w:val="32"/>
          <w:szCs w:val="32"/>
          <w:lang w:val="en-US" w:eastAsia="zh-CN"/>
        </w:rPr>
        <w:t>(共</w:t>
      </w:r>
      <w:r>
        <w:rPr>
          <w:rFonts w:hint="eastAsia" w:ascii="仿宋_GB2312" w:hAnsi="仿宋_GB2312" w:eastAsia="仿宋_GB2312" w:cs="仿宋_GB2312"/>
          <w:b w:val="0"/>
          <w:sz w:val="32"/>
          <w:szCs w:val="32"/>
          <w:lang w:val="en-US" w:eastAsia="zh-CN"/>
        </w:rPr>
        <w:t>1</w:t>
      </w:r>
      <w:r>
        <w:rPr>
          <w:rFonts w:hint="eastAsia" w:ascii="仿宋_GB2312" w:hAnsi="仿宋_GB2312" w:eastAsia="仿宋_GB2312" w:cs="仿宋_GB2312"/>
          <w:b w:val="0"/>
          <w:sz w:val="32"/>
          <w:szCs w:val="32"/>
          <w:lang w:val="en-US" w:eastAsia="zh-CN"/>
        </w:rPr>
        <w:t>名)</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办理类型：</w:t>
      </w:r>
      <w:r>
        <w:rPr>
          <w:rFonts w:hint="eastAsia" w:ascii="仿宋_GB2312" w:hAnsi="仿宋_GB2312" w:eastAsia="仿宋_GB2312" w:cs="仿宋_GB2312"/>
          <w:b w:val="0"/>
          <w:sz w:val="32"/>
          <w:szCs w:val="32"/>
          <w:lang w:val="en-US" w:eastAsia="zh-CN"/>
        </w:rPr>
        <w:t>主汇办</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承办单位：</w:t>
      </w:r>
      <w:r>
        <w:rPr>
          <w:rFonts w:hint="eastAsia" w:ascii="仿宋_GB2312" w:hAnsi="仿宋_GB2312" w:eastAsia="仿宋_GB2312" w:cs="仿宋_GB2312"/>
          <w:b w:val="0"/>
          <w:sz w:val="32"/>
          <w:szCs w:val="32"/>
          <w:lang w:val="en-US" w:eastAsia="zh-CN"/>
        </w:rPr>
        <w:t>市住房和建设局(主办),市委编办,市规划和自然资源局,市城市管理和综合执法局,市公安局,市水务局</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内    容：</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一、相关背景及现状：</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（一）物业服务企业职责边界模糊。</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在实际工作中，部分政府部门容易将“小区的物业管理”等同于“物业小区的管理”，物业公司的服务行为被赋予了太多的政府和专营单位的角色，部分政府部门将监管职责和专营单位的管理养护工作交给物业公司，增加物业公司的服务成本，小区物业服务水平下降。这种以物业管理为核心的小区治理模式，无法充分落实业主自治力量的权利和职责，容易导致小区治理模式失衡。物业服务企业因赋予政府和专营单位工作由“服务者”转换“管理者”，容易引发物业服务企业和业主的矛盾纠纷，影响小区和谐。</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（二）物业服务概念不清。</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物业管理涉及区一级和街道一级多个业务部门工作，在日常管理和纠纷调处过程中，个别部门单位存在小区问题都是物业管理问题的认识误区，不进入小区开展监管工作，难以形成合力推动解决问题。少数业主将自有专有部分的维修、邻里纠纷调处误认为物业服务企业的工作，无形中增加物业服务企业的服务成本，使得业主对物业服务企业满意度低，进而引发物业服务费提价难，业主欠缴物业服务费现象时有发生。</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二、存在问题及主要原因：</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（一）行政处罚事项存在交叉。</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条例》第119条第4项规定，由区住建局对擅自占用共有物业的行为进行处罚。擅自占用共有物业与占用消防通道、在天面违建、占用架空层建设永久性建筑物等行为存在交叉。此外，对共有物业的定义也不明确，根据《条例》123条，物业是指各类房屋及其附属设施设备和相关场地。相关场地的定义是否包括外墙面、公共绿地、架空层等，如果包括，那么违建、加建行为常常占用公共绿地、消防天面等位置，多个部门均有执法权。比如某小区业主铲除小区绿地的事件中，属地街道办向投诉人回复称该行为属于侵占共有物业，只有住建部门有处罚权。事实上，按照《深圳经济特区市容和环境卫生管理条例》规定，居住区绿地属于城市绿地，应该由城管部门对占用、铲除绿地的行为进行执法。</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条例》第75条第一款规定，物业服务企业负责物业管理区域共有物业安全检查和维护养护，并承担超过保修期或者合理使用年限后的物业安全管理责任。实际工作中，凡是涉及物业小区的安全监管工作都摊派给住房建设部门，《条例》施行以来，个别街道一年就收到安委办、水务局、城管和综合执法局、市场监督管理局、应急管理局、工业和信息化局、消防救援大队等部门转来的安全隐患问题63件，该做法违背了依法分工，依法行政和依法履职原则。</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执法权限不清晰。关于《条例》第79条第一款第六项规定“损坏或者擅自占用、改建物业共有部分”的规定。一是其取证难。无法界定或者较难界定是否为共有物业，例如老旧小区普遍存在将架空层、停车场等约定为建设单位所有。二是职能交叉。如在共有物业进行违规建设、堵塞消防通道等行为，涉及多个部门的职能，住建部门的职能仅为责令改正和罚款，行为人如接受住建部门的罚款，根据“一事不再罚”原则将出现“合法化的花钱圈地”现象。例如在共有路面设置停车桩，在架空层搭建房屋，罚款并不能解决共有物业变成私的根本问题。</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（二）住宅小区物业管理行政监管职责分工不明确。</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一方面，住宅小区物业管理涉及多个行政监管部门，部分监管部门的行政监管不进小区，只监管城市市政公共区域，把他们的监管权给了物业服务企业，导致有些物业服务企业不是重管理、轻服务，就是权力膨胀，乱象丛生，最终受损的是全体业主的公共利益，影响了住宅小区的和谐治理。另一方面，监管物业行业安全不等于监管住宅小区安全，多头监管等同于无人监管。部分行政监管部门把本属于他们职责范围内主办的事情交由住建部门办理，让没有相应执法权的部门去落实监管责任，定期向他们汇报工作推进情况，导致有责无权的事情很难推进。</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三、具体建议</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一）厘清物业管理的行政监管职责边界。住宅小区物业管理的行政监管应依法依规、主次得当、职责分明，各行政监管部门必须进小区履行监管职责。住宅小区物业管理各事务的主管部门（牵头部门）打主力，担起责任，其他部门配合协助，各自按照职责分工履职尽责，齐抓共管，共建共治，搭建责权对等、职责边界清晰的住宅小区治理架构。</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二）加强业委会的监管。明确业主大会和业委会的主体身份，解决业主大会和业委会履职中的所面临的系列问题。在此基础上，形成由住建、民政、市监、公安、法院、检察院等部门联动，共同监管业主大会和业委会的工作机制。</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二）厘清物业管理边界，细化政府各职能部门的职责分工，制定各部门职责清单，坚持“谁主管、谁负责”原则，形成住宅小区治理齐抓共管的工作格局，建议上级部门进一步明确和落实相关行政主管部门和规划建设、城管、公安、环保、消防等专业管理单位的工作职责，细化职责分工、明晰政府公共管理与物业企业、业委会服务的责任边界。</w:t>
      </w:r>
    </w:p>
    <w:p>
      <w:pPr>
        <w:keepNext w:val="0"/>
        <w:keepLines w:val="0"/>
        <w:pageBreakBefore w:val="0"/>
        <w:widowControl w:val="0"/>
        <w:kinsoku/>
        <w:wordWrap/>
        <w:overflowPunct/>
        <w:topLinePunct w:val="0"/>
        <w:autoSpaceDE/>
        <w:autoSpaceDN/>
        <w:bidi w:val="0"/>
        <w:adjustRightInd/>
        <w:snapToGrid/>
        <w:spacing w:line="300" w:lineRule="auto"/>
        <w:ind w:left="0" w:leftChars="0" w:right="0" w:rightChars="0" w:firstLine="0" w:firstLineChars="0"/>
        <w:jc w:val="left"/>
        <w:textAlignment w:val="auto"/>
        <w:outlineLvl w:val="9"/>
        <w:rPr>
          <w:rFonts w:hint="eastAsia" w:ascii="仿宋" w:hAnsi="仿宋" w:eastAsia="仿宋" w:cs="仿宋"/>
          <w:sz w:val="24"/>
          <w:szCs w:val="24"/>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华文仿宋">
    <w:altName w:val="仿宋"/>
    <w:panose1 w:val="02010600040101010101"/>
    <w:charset w:val="86"/>
    <w:family w:val="auto"/>
    <w:pitch w:val="default"/>
    <w:sig w:usb0="00000000" w:usb1="00000000" w:usb2="00000000" w:usb3="00000000" w:csb0="0004009F" w:csb1="DFD7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A26917"/>
    <w:rsid w:val="03FA7913"/>
    <w:rsid w:val="08AD0527"/>
    <w:rsid w:val="0CA81750"/>
    <w:rsid w:val="104457BF"/>
    <w:rsid w:val="142D5EF2"/>
    <w:rsid w:val="1A8370F8"/>
    <w:rsid w:val="1C52129C"/>
    <w:rsid w:val="1D7E45BC"/>
    <w:rsid w:val="1E4C6E49"/>
    <w:rsid w:val="1F7774AB"/>
    <w:rsid w:val="23B47B07"/>
    <w:rsid w:val="28F64EC4"/>
    <w:rsid w:val="2A5B2BC4"/>
    <w:rsid w:val="2AC820BB"/>
    <w:rsid w:val="2DAC5DFC"/>
    <w:rsid w:val="353A69D5"/>
    <w:rsid w:val="35507787"/>
    <w:rsid w:val="36ED4BEC"/>
    <w:rsid w:val="3A1A2BE3"/>
    <w:rsid w:val="49FA03AF"/>
    <w:rsid w:val="4F955F9D"/>
    <w:rsid w:val="526966EA"/>
    <w:rsid w:val="56D80994"/>
    <w:rsid w:val="574C0B47"/>
    <w:rsid w:val="581F309E"/>
    <w:rsid w:val="5F693127"/>
    <w:rsid w:val="66135703"/>
    <w:rsid w:val="6C5816D0"/>
    <w:rsid w:val="6E9C1746"/>
    <w:rsid w:val="70F449E4"/>
    <w:rsid w:val="713C1E52"/>
    <w:rsid w:val="731474DA"/>
    <w:rsid w:val="732C1598"/>
    <w:rsid w:val="73735F79"/>
    <w:rsid w:val="79DA1477"/>
    <w:rsid w:val="7A075E2D"/>
    <w:rsid w:val="7E2F2A5C"/>
    <w:rsid w:val="7F9F389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5</TotalTime>
  <ScaleCrop>false</ScaleCrop>
  <LinksUpToDate>false</LinksUpToDate>
  <CharactersWithSpaces>0</CharactersWithSpaces>
  <Application>WPS Office_11.1.0.10700_F1E327BC-269C-435d-A152-05C5408002CA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limjeon</dc:creator>
  <cp:lastModifiedBy>不如吃茶去</cp:lastModifiedBy>
  <dcterms:modified xsi:type="dcterms:W3CDTF">2021-08-23T03:26:00Z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541166959B6841688F680FB6A261768C</vt:lpwstr>
  </property>
</Properties>
</file>