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050"/>
        </w:tabs>
        <w:bidi w:val="0"/>
        <w:spacing w:line="560" w:lineRule="exact"/>
        <w:ind w:left="0" w:leftChars="0" w:firstLine="0" w:firstLineChars="0"/>
        <w:jc w:val="left"/>
        <w:rPr>
          <w:rFonts w:hint="eastAsia" w:ascii="黑体" w:hAnsi="黑体" w:eastAsia="黑体" w:cs="黑体"/>
          <w:sz w:val="32"/>
          <w:vertAlign w:val="baseline"/>
          <w:lang w:val="en-US" w:eastAsia="zh-CN"/>
        </w:rPr>
      </w:pPr>
      <w:r>
        <w:rPr>
          <w:rFonts w:hint="eastAsia" w:ascii="黑体" w:hAnsi="黑体" w:eastAsia="黑体" w:cs="黑体"/>
          <w:sz w:val="32"/>
          <w:vertAlign w:val="baseline"/>
          <w:lang w:val="en-US" w:eastAsia="zh-CN"/>
        </w:rPr>
        <w:t>公  开</w:t>
      </w:r>
    </w:p>
    <w:p>
      <w:pPr>
        <w:bidi w:val="0"/>
        <w:spacing w:line="560" w:lineRule="exact"/>
        <w:jc w:val="left"/>
        <w:rPr>
          <w:rFonts w:hint="default" w:ascii="黑体" w:hAnsi="黑体" w:eastAsia="黑体" w:cs="黑体"/>
          <w:sz w:val="32"/>
          <w:vertAlign w:val="baseline"/>
          <w:lang w:val="en-US" w:eastAsia="zh-CN"/>
        </w:rPr>
      </w:pPr>
      <w:r>
        <w:rPr>
          <w:rFonts w:hint="default" w:ascii="黑体" w:hAnsi="黑体" w:eastAsia="黑体" w:cs="黑体"/>
          <w:sz w:val="32"/>
          <w:vertAlign w:val="baseline"/>
          <w:lang w:val="en" w:eastAsia="zh-CN"/>
        </w:rPr>
        <w:t>A</w:t>
      </w:r>
      <w:r>
        <w:rPr>
          <w:rFonts w:hint="eastAsia" w:ascii="黑体" w:hAnsi="黑体" w:eastAsia="黑体" w:cs="黑体"/>
          <w:sz w:val="32"/>
          <w:vertAlign w:val="baseline"/>
          <w:lang w:val="en-US" w:eastAsia="zh-CN"/>
        </w:rPr>
        <w:t xml:space="preserve">   类</w:t>
      </w:r>
    </w:p>
    <w:p>
      <w:pPr>
        <w:pStyle w:val="8"/>
        <w:keepNext w:val="0"/>
        <w:keepLines w:val="0"/>
        <w:pageBreakBefore w:val="0"/>
        <w:widowControl/>
        <w:kinsoku/>
        <w:wordWrap/>
        <w:overflowPunct/>
        <w:topLinePunct w:val="0"/>
        <w:autoSpaceDE/>
        <w:autoSpaceDN/>
        <w:bidi w:val="0"/>
        <w:adjustRightInd/>
        <w:snapToGrid/>
        <w:spacing w:before="313" w:beforeLines="100"/>
        <w:textAlignment w:val="auto"/>
        <w:rPr>
          <w:rFonts w:hint="eastAsia" w:ascii="方正小标宋简体" w:hAnsi="方正小标宋简体" w:eastAsia="方正小标宋简体" w:cs="方正小标宋简体"/>
          <w:lang w:val="en-US" w:eastAsia="zh-CN"/>
        </w:rPr>
      </w:pPr>
      <w:r>
        <w:rPr>
          <w:rFonts w:hint="eastAsia" w:ascii="方正小标宋简体" w:hAnsi="方正小标宋简体" w:eastAsia="方正小标宋简体" w:cs="方正小标宋简体"/>
          <w:lang w:val="en-US" w:eastAsia="zh-CN"/>
        </w:rPr>
        <w:t>深圳市住房和建设局关于市七届人大四次会议第20230671号建议答复的函</w:t>
      </w:r>
    </w:p>
    <w:p>
      <w:pPr>
        <w:pStyle w:val="6"/>
        <w:bidi w:val="0"/>
        <w:rPr>
          <w:rFonts w:hint="eastAsia"/>
          <w:lang w:val="en-US" w:eastAsia="zh-CN"/>
        </w:rPr>
      </w:pPr>
    </w:p>
    <w:p>
      <w:pPr>
        <w:bidi w:val="0"/>
        <w:spacing w:line="560" w:lineRule="exact"/>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尊敬的黄振辉、黄伟忠、苏毅、潘艳、廖四照、董倩妤、雷桂林、何彩梅、胡作寰、李倩仪、胡婧代表：</w:t>
      </w:r>
    </w:p>
    <w:p>
      <w:pPr>
        <w:pStyle w:val="6"/>
        <w:bidi w:val="0"/>
        <w:rPr>
          <w:rFonts w:hint="eastAsia"/>
          <w:lang w:val="en-US" w:eastAsia="zh-CN"/>
        </w:rPr>
      </w:pPr>
      <w:r>
        <w:rPr>
          <w:rFonts w:hint="eastAsia"/>
          <w:lang w:val="en-US" w:eastAsia="zh-CN"/>
        </w:rPr>
        <w:t>您们在市七届人大四次会议上提出的代表建议《关于完善住宅小区物业管理行政监管职责分工的建议》（建议第20230671号）已经市人大常委会转我局办理。非常感谢您们对我们工作的关心和支持。对您们的建议，我们进行了认真研究，现答复如下：</w:t>
      </w:r>
    </w:p>
    <w:p>
      <w:pPr>
        <w:pStyle w:val="3"/>
        <w:bidi w:val="0"/>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一、特区法律已明确物业小区行政监管职责分工</w:t>
      </w:r>
    </w:p>
    <w:p>
      <w:pPr>
        <w:pStyle w:val="6"/>
        <w:bidi w:val="0"/>
        <w:rPr>
          <w:rFonts w:hint="eastAsia"/>
        </w:rPr>
      </w:pPr>
      <w:r>
        <w:rPr>
          <w:rFonts w:hint="eastAsia"/>
          <w:lang w:val="en-US" w:eastAsia="zh-CN"/>
        </w:rPr>
        <w:t>《深圳经济特区物业管理条例》（以下简称《条例》）规定，市、区人民政府住房和建设部门负责物业管理活动的监督管理和指导工作；</w:t>
      </w:r>
      <w:r>
        <w:rPr>
          <w:rFonts w:hint="eastAsia"/>
        </w:rPr>
        <w:t>市、区人民政府公安、规划和自然资源、城市管理和综合执法等相关部门按照各自职责，依法开展物业管理相关工作</w:t>
      </w:r>
      <w:r>
        <w:rPr>
          <w:rFonts w:hint="eastAsia"/>
          <w:lang w:eastAsia="zh-CN"/>
        </w:rPr>
        <w:t>；街道办事处负责组织、协调业主大会成立以及业主委员会的选举工作，指导、监督业主大会和业委会的日常活动，调解物业管理纠纷，并配合住房和建设部门对物业管理活动进行监督管理</w:t>
      </w:r>
      <w:r>
        <w:rPr>
          <w:rFonts w:hint="eastAsia"/>
        </w:rPr>
        <w:t>。</w:t>
      </w:r>
    </w:p>
    <w:p>
      <w:pPr>
        <w:pStyle w:val="6"/>
        <w:bidi w:val="0"/>
        <w:rPr>
          <w:rFonts w:hint="eastAsia"/>
          <w:lang w:val="en-US" w:eastAsia="zh-CN"/>
        </w:rPr>
      </w:pPr>
      <w:r>
        <w:rPr>
          <w:rFonts w:hint="eastAsia"/>
          <w:lang w:eastAsia="zh-CN"/>
        </w:rPr>
        <w:t>根据职责，</w:t>
      </w:r>
      <w:r>
        <w:rPr>
          <w:rFonts w:hint="eastAsia"/>
          <w:lang w:val="en-US" w:eastAsia="zh-CN"/>
        </w:rPr>
        <w:t>公安机关负责依法查处物业管理区域影响公共安全和公共秩序的违法行为，对监控安防、车辆停放等开展监督检查；消防救援机构负责依法查处物业管理区域的消防违法行为；城市管理和综合执法部门负责物业管理区域乱设摊点、占用和损坏绿地、擅自伐移树木、违规养犬、户外广告、垃圾分类、饮食服务业油烟污染等行为的监督检查。</w:t>
      </w:r>
    </w:p>
    <w:p>
      <w:pPr>
        <w:pStyle w:val="3"/>
        <w:bidi w:val="0"/>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二、特区法律已明确小区水电气通讯设施移交专营单位管理</w:t>
      </w:r>
    </w:p>
    <w:p>
      <w:pPr>
        <w:keepNext w:val="0"/>
        <w:keepLines w:val="0"/>
        <w:pageBreakBefore w:val="0"/>
        <w:tabs>
          <w:tab w:val="left" w:pos="5812"/>
        </w:tabs>
        <w:kinsoku/>
        <w:wordWrap/>
        <w:overflowPunct/>
        <w:topLinePunct w:val="0"/>
        <w:autoSpaceDE/>
        <w:autoSpaceDN/>
        <w:bidi w:val="0"/>
        <w:spacing w:line="560" w:lineRule="exact"/>
        <w:ind w:left="0" w:leftChars="0" w:right="0" w:firstLine="641"/>
        <w:textAlignment w:val="auto"/>
        <w:rPr>
          <w:rFonts w:hint="eastAsia" w:ascii="仿宋_GB2312" w:hAnsi="仿宋_GB2312" w:eastAsia="仿宋_GB2312" w:cs="仿宋_GB2312"/>
          <w:kern w:val="1"/>
          <w:sz w:val="32"/>
          <w:szCs w:val="32"/>
        </w:rPr>
      </w:pPr>
      <w:r>
        <w:rPr>
          <w:rStyle w:val="13"/>
          <w:rFonts w:hint="eastAsia"/>
          <w:lang w:val="en-US" w:eastAsia="zh-CN"/>
        </w:rPr>
        <w:t>《条例》明确，</w:t>
      </w:r>
      <w:r>
        <w:rPr>
          <w:rStyle w:val="13"/>
          <w:rFonts w:hint="eastAsia"/>
        </w:rPr>
        <w:t>新建住宅建设项目竣工验收备案之日起三个月内，建设单位应当将附着于物业管理区域共有物业符合国家标准和技术规范的供水</w:t>
      </w:r>
      <w:r>
        <w:rPr>
          <w:rFonts w:hint="eastAsia" w:ascii="仿宋_GB2312" w:hAnsi="仿宋_GB2312" w:eastAsia="仿宋_GB2312" w:cs="仿宋_GB2312"/>
          <w:kern w:val="1"/>
          <w:sz w:val="32"/>
          <w:szCs w:val="32"/>
        </w:rPr>
        <w:t>、排水、供电、供气、通讯等设施设备移交相关专营单位管理养护，相关专营单位应当接收。现有住宅物业区域附着于共有物业的供水、供电、供气、通讯等设施设备，符合国家标准和技术规范，经业主共同决定移交的，相关专营单位应当接收，物业服务企业应当配合移交工作。</w:t>
      </w:r>
    </w:p>
    <w:p>
      <w:pPr>
        <w:pStyle w:val="3"/>
        <w:bidi w:val="0"/>
        <w:ind w:firstLine="640" w:firstLineChars="200"/>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三、物业小区管理不能简单等同于小区物业管理，应纳入基层治理重要内容</w:t>
      </w:r>
    </w:p>
    <w:p>
      <w:pPr>
        <w:pStyle w:val="6"/>
        <w:bidi w:val="0"/>
        <w:rPr>
          <w:rFonts w:hint="eastAsia"/>
          <w:lang w:val="en-US" w:eastAsia="zh-CN"/>
        </w:rPr>
      </w:pPr>
      <w:r>
        <w:rPr>
          <w:rFonts w:hint="eastAsia"/>
          <w:lang w:val="en-US" w:eastAsia="zh-CN"/>
        </w:rPr>
        <w:t>小区物业管理只是物业小区管理的一部分，小区的物业管理无法替代物业小区的管理。物业小区管理大大超出物业管理的行业管理范围，理应作为社区基层治理的重要部分。但在实际工作中，有些行政部门未完全按照各自职责依法开展物业小区监管工作，部分市政专营单位未全面实现抄表到户。如南山区某花园小区业主反映小区垃圾清运不及时、保洁工作不到位，表面上看是小区环境保洁问题，实际上根源是垃圾中转站选址占用两小区红线、部分投机业主倒逼政府进行旧改的问题，即使解决了表面上的物业管理问题，但并不能真正解决小区管理问题。</w:t>
      </w:r>
    </w:p>
    <w:p>
      <w:pPr>
        <w:pStyle w:val="2"/>
        <w:rPr>
          <w:rStyle w:val="13"/>
          <w:rFonts w:hint="eastAsia"/>
          <w:lang w:val="en-US" w:eastAsia="zh-CN"/>
        </w:rPr>
      </w:pPr>
      <w:r>
        <w:rPr>
          <w:rStyle w:val="13"/>
          <w:rFonts w:hint="eastAsia" w:cs="Times New Roman"/>
          <w:kern w:val="2"/>
          <w:szCs w:val="24"/>
          <w:lang w:val="en-US" w:eastAsia="zh-CN" w:bidi="ar-SA"/>
        </w:rPr>
        <w:t>为此，我局不断地呼吁小</w:t>
      </w:r>
      <w:r>
        <w:rPr>
          <w:rStyle w:val="13"/>
          <w:rFonts w:hint="eastAsia"/>
          <w:lang w:val="en-US" w:eastAsia="zh-CN"/>
        </w:rPr>
        <w:t>区管理需要“多方参与、齐抓共管”，并积极推动将小区物业管理行政监管职责分工和水电气通讯设施移交管理写进《条例》。为做好物业小区管理，需要相关行政监管部门和专营单位认真落实《条例》，做到“服务进小区、管理进小区、执法进小区”，推动小区共建共治共享。</w:t>
      </w:r>
    </w:p>
    <w:p>
      <w:pPr>
        <w:pStyle w:val="6"/>
        <w:bidi w:val="0"/>
        <w:rPr>
          <w:rFonts w:hint="eastAsia"/>
          <w:lang w:val="en-US" w:eastAsia="zh-CN"/>
        </w:rPr>
      </w:pPr>
      <w:r>
        <w:rPr>
          <w:rFonts w:hint="eastAsia"/>
          <w:lang w:val="en-US" w:eastAsia="zh-CN"/>
        </w:rPr>
        <w:t>再次感谢您们对我们工作的关心和支持。</w:t>
      </w:r>
    </w:p>
    <w:p>
      <w:pPr>
        <w:pStyle w:val="6"/>
        <w:bidi w:val="0"/>
        <w:rPr>
          <w:rFonts w:hint="eastAsia"/>
          <w:lang w:val="en-US" w:eastAsia="zh-CN"/>
        </w:rPr>
      </w:pPr>
    </w:p>
    <w:p>
      <w:pPr>
        <w:pStyle w:val="6"/>
        <w:bidi w:val="0"/>
        <w:rPr>
          <w:rFonts w:hint="eastAsia"/>
          <w:lang w:val="en-US" w:eastAsia="zh-CN"/>
        </w:rPr>
      </w:pPr>
    </w:p>
    <w:p>
      <w:pPr>
        <w:pStyle w:val="6"/>
        <w:bidi w:val="0"/>
        <w:ind w:firstLine="4960" w:firstLineChars="1550"/>
        <w:rPr>
          <w:rFonts w:hint="eastAsia"/>
          <w:lang w:val="en-US" w:eastAsia="zh-CN"/>
        </w:rPr>
      </w:pPr>
      <w:r>
        <w:rPr>
          <w:rFonts w:hint="eastAsia"/>
          <w:lang w:val="en-US" w:eastAsia="zh-CN"/>
        </w:rPr>
        <w:t>深圳市住房和建设局</w:t>
      </w:r>
    </w:p>
    <w:p>
      <w:pPr>
        <w:pStyle w:val="6"/>
        <w:bidi w:val="0"/>
        <w:ind w:firstLine="5120" w:firstLineChars="1600"/>
        <w:rPr>
          <w:rFonts w:hint="eastAsia"/>
          <w:lang w:val="en-US" w:eastAsia="zh-CN"/>
        </w:rPr>
      </w:pPr>
      <w:r>
        <w:rPr>
          <w:rFonts w:hint="eastAsia"/>
          <w:lang w:val="en-US" w:eastAsia="zh-CN"/>
        </w:rPr>
        <w:t>2023年</w:t>
      </w:r>
      <w:r>
        <w:rPr>
          <w:rFonts w:hint="default"/>
          <w:lang w:val="en" w:eastAsia="zh-CN"/>
        </w:rPr>
        <w:t>6</w:t>
      </w:r>
      <w:r>
        <w:rPr>
          <w:rFonts w:hint="eastAsia"/>
          <w:lang w:val="en-US" w:eastAsia="zh-CN"/>
        </w:rPr>
        <w:t>月</w:t>
      </w:r>
      <w:r>
        <w:rPr>
          <w:rFonts w:hint="default"/>
          <w:lang w:val="en" w:eastAsia="zh-CN"/>
        </w:rPr>
        <w:t>5</w:t>
      </w:r>
      <w:bookmarkStart w:id="0" w:name="_GoBack"/>
      <w:bookmarkEnd w:id="0"/>
      <w:r>
        <w:rPr>
          <w:rFonts w:hint="eastAsia"/>
          <w:lang w:val="en-US" w:eastAsia="zh-CN"/>
        </w:rPr>
        <w:t>日</w:t>
      </w:r>
    </w:p>
    <w:p>
      <w:pPr>
        <w:pStyle w:val="6"/>
        <w:bidi w:val="0"/>
        <w:rPr>
          <w:rFonts w:hint="default"/>
          <w:lang w:val="en-US" w:eastAsia="zh-CN"/>
        </w:rPr>
      </w:pPr>
    </w:p>
    <w:p>
      <w:pPr>
        <w:pStyle w:val="6"/>
        <w:bidi w:val="0"/>
        <w:ind w:firstLine="0" w:firstLineChars="0"/>
        <w:jc w:val="center"/>
        <w:rPr>
          <w:rFonts w:hint="eastAsia"/>
          <w:lang w:val="en-US" w:eastAsia="zh-CN"/>
        </w:rPr>
      </w:pPr>
      <w:r>
        <w:rPr>
          <w:rFonts w:hint="eastAsia"/>
          <w:lang w:val="en-US" w:eastAsia="zh-CN"/>
        </w:rPr>
        <w:t>（联系人</w:t>
      </w:r>
      <w:r>
        <w:rPr>
          <w:rFonts w:hint="eastAsia" w:ascii="仿宋_GB2312" w:eastAsia="仿宋_GB2312"/>
          <w:lang w:val="en-US" w:eastAsia="zh-CN"/>
        </w:rPr>
        <w:t>：</w:t>
      </w:r>
      <w:r>
        <w:rPr>
          <w:rFonts w:hint="eastAsia"/>
          <w:lang w:val="en-US" w:eastAsia="zh-CN"/>
        </w:rPr>
        <w:t>刘国彪，13631556564；李亚力，18676348188</w:t>
      </w:r>
      <w:r>
        <w:rPr>
          <w:rFonts w:hint="eastAsia" w:ascii="仿宋_GB2312" w:eastAsia="仿宋_GB2312"/>
          <w:lang w:val="en-US" w:eastAsia="zh-CN"/>
        </w:rPr>
        <w:t>）</w:t>
      </w:r>
    </w:p>
    <w:p/>
    <w:p/>
    <w:sectPr>
      <w:footerReference r:id="rId3" w:type="default"/>
      <w:pgSz w:w="11906" w:h="16838"/>
      <w:pgMar w:top="2041" w:right="1531" w:bottom="1871"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7"/>
                          </w:pPr>
                          <w:r>
                            <w:fldChar w:fldCharType="begin"/>
                          </w:r>
                          <w:r>
                            <w:instrText xml:space="preserve"> PAGE  \* MERGEFORMAT </w:instrText>
                          </w:r>
                          <w:r>
                            <w:fldChar w:fldCharType="separate"/>
                          </w:r>
                          <w:r>
                            <w:t>1</w:t>
                          </w:r>
                          <w: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FE1525"/>
    <w:multiLevelType w:val="singleLevel"/>
    <w:tmpl w:val="FCFE1525"/>
    <w:lvl w:ilvl="0" w:tentative="0">
      <w:start w:val="1"/>
      <w:numFmt w:val="chineseCounting"/>
      <w:pStyle w:val="4"/>
      <w:suff w:val="nothing"/>
      <w:lvlText w:val="%1、"/>
      <w:lvlJc w:val="left"/>
      <w:pPr>
        <w:ind w:left="0" w:firstLine="420"/>
      </w:pPr>
      <w:rPr>
        <w:rFonts w:hint="eastAsia"/>
      </w:rPr>
    </w:lvl>
  </w:abstractNum>
  <w:abstractNum w:abstractNumId="1">
    <w:nsid w:val="FF9B4A20"/>
    <w:multiLevelType w:val="singleLevel"/>
    <w:tmpl w:val="FF9B4A20"/>
    <w:lvl w:ilvl="0" w:tentative="0">
      <w:start w:val="1"/>
      <w:numFmt w:val="chineseCounting"/>
      <w:pStyle w:val="5"/>
      <w:suff w:val="nothing"/>
      <w:lvlText w:val="（%1）"/>
      <w:lvlJc w:val="left"/>
      <w:pPr>
        <w:ind w:left="0" w:firstLine="42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757E21"/>
    <w:rsid w:val="6DFDD19F"/>
    <w:rsid w:val="773F155F"/>
    <w:rsid w:val="77E795FC"/>
    <w:rsid w:val="783B8D57"/>
    <w:rsid w:val="79DF8DFC"/>
    <w:rsid w:val="7EBF3A5F"/>
    <w:rsid w:val="7FBF1CE9"/>
    <w:rsid w:val="BF7729D3"/>
    <w:rsid w:val="CEBF15C4"/>
    <w:rsid w:val="DFEFCBDE"/>
    <w:rsid w:val="E77F2FBF"/>
    <w:rsid w:val="F27F8D80"/>
    <w:rsid w:val="F7CFC2E7"/>
    <w:rsid w:val="F91F5397"/>
    <w:rsid w:val="FDEC7521"/>
    <w:rsid w:val="FEFB764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val="0"/>
      <w:keepLines w:val="0"/>
      <w:spacing w:beforeLines="0" w:beforeAutospacing="0" w:afterLines="0" w:afterAutospacing="0" w:line="560" w:lineRule="exact"/>
      <w:jc w:val="center"/>
      <w:outlineLvl w:val="0"/>
    </w:pPr>
    <w:rPr>
      <w:rFonts w:ascii="Calibri" w:hAnsi="Calibri" w:eastAsia="方正小标宋简体" w:cs="Times New Roman"/>
      <w:kern w:val="44"/>
      <w:sz w:val="44"/>
    </w:rPr>
  </w:style>
  <w:style w:type="paragraph" w:styleId="4">
    <w:name w:val="heading 2"/>
    <w:basedOn w:val="1"/>
    <w:next w:val="1"/>
    <w:semiHidden/>
    <w:unhideWhenUsed/>
    <w:qFormat/>
    <w:uiPriority w:val="0"/>
    <w:pPr>
      <w:keepNext w:val="0"/>
      <w:keepLines w:val="0"/>
      <w:numPr>
        <w:ilvl w:val="0"/>
        <w:numId w:val="1"/>
      </w:numPr>
      <w:spacing w:beforeLines="0" w:beforeAutospacing="0" w:afterLines="0" w:afterAutospacing="0" w:line="560" w:lineRule="exact"/>
      <w:ind w:firstLine="880" w:firstLineChars="200"/>
      <w:outlineLvl w:val="1"/>
    </w:pPr>
    <w:rPr>
      <w:rFonts w:ascii="Arial" w:hAnsi="Arial" w:eastAsia="黑体" w:cs="Times New Roman"/>
      <w:sz w:val="32"/>
    </w:rPr>
  </w:style>
  <w:style w:type="paragraph" w:styleId="5">
    <w:name w:val="heading 3"/>
    <w:basedOn w:val="1"/>
    <w:next w:val="1"/>
    <w:link w:val="12"/>
    <w:semiHidden/>
    <w:unhideWhenUsed/>
    <w:qFormat/>
    <w:uiPriority w:val="0"/>
    <w:pPr>
      <w:keepNext w:val="0"/>
      <w:keepLines w:val="0"/>
      <w:numPr>
        <w:ilvl w:val="0"/>
        <w:numId w:val="2"/>
      </w:numPr>
      <w:spacing w:beforeLines="0" w:beforeAutospacing="0" w:afterLines="0" w:afterAutospacing="0" w:line="560" w:lineRule="exact"/>
      <w:ind w:firstLine="628" w:firstLineChars="200"/>
      <w:outlineLvl w:val="2"/>
    </w:pPr>
    <w:rPr>
      <w:rFonts w:ascii="Calibri" w:hAnsi="Calibri" w:eastAsia="楷体_GB2312" w:cs="Times New Roman"/>
      <w:sz w:val="32"/>
    </w:rPr>
  </w:style>
  <w:style w:type="paragraph" w:styleId="6">
    <w:name w:val="heading 4"/>
    <w:basedOn w:val="1"/>
    <w:next w:val="1"/>
    <w:link w:val="13"/>
    <w:semiHidden/>
    <w:unhideWhenUsed/>
    <w:qFormat/>
    <w:uiPriority w:val="0"/>
    <w:pPr>
      <w:keepNext w:val="0"/>
      <w:keepLines w:val="0"/>
      <w:spacing w:beforeLines="0" w:beforeAutospacing="0" w:afterLines="0" w:afterAutospacing="0" w:line="560" w:lineRule="exact"/>
      <w:ind w:firstLine="880" w:firstLineChars="200"/>
      <w:outlineLvl w:val="3"/>
    </w:pPr>
    <w:rPr>
      <w:rFonts w:ascii="仿宋_GB2312" w:hAnsi="仿宋_GB2312" w:eastAsia="仿宋_GB2312" w:cs="Times New Roman"/>
      <w:sz w:val="3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 w:type="character" w:customStyle="1" w:styleId="11">
    <w:name w:val="标题 4 Char"/>
    <w:link w:val="6"/>
    <w:qFormat/>
    <w:uiPriority w:val="0"/>
    <w:rPr>
      <w:rFonts w:ascii="仿宋_GB2312" w:hAnsi="仿宋_GB2312" w:eastAsia="仿宋_GB2312" w:cs="Times New Roman"/>
      <w:sz w:val="32"/>
    </w:rPr>
  </w:style>
  <w:style w:type="character" w:customStyle="1" w:styleId="12">
    <w:name w:val="标题 3 Char"/>
    <w:link w:val="5"/>
    <w:qFormat/>
    <w:uiPriority w:val="0"/>
    <w:rPr>
      <w:rFonts w:ascii="Calibri" w:hAnsi="Calibri" w:eastAsia="楷体_GB2312" w:cs="Times New Roman"/>
      <w:sz w:val="32"/>
    </w:rPr>
  </w:style>
  <w:style w:type="character" w:customStyle="1" w:styleId="13">
    <w:name w:val="标题 4 Char1"/>
    <w:link w:val="6"/>
    <w:qFormat/>
    <w:uiPriority w:val="0"/>
    <w:rPr>
      <w:rFonts w:ascii="仿宋_GB2312" w:hAnsi="仿宋_GB2312" w:eastAsia="仿宋_GB2312" w:cs="Times New Roman"/>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29</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2022-07-22T14:56:00Z</dcterms:created>
  <dc:creator>chenxin</dc:creator>
  <cp:lastModifiedBy>chenxin</cp:lastModifiedBy>
  <dcterms:modified xsi:type="dcterms:W3CDTF">2023-06-06T09:43:10Z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