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ind w:left="0" w:leftChars="0" w:firstLine="0" w:firstLineChars="0"/>
        <w:jc w:val="left"/>
        <w:rPr>
          <w:rFonts w:hint="eastAsia" w:ascii="黑体" w:hAnsi="黑体" w:eastAsia="黑体" w:cs="黑体"/>
          <w:color w:val="auto"/>
          <w:kern w:val="0"/>
          <w:lang w:val="en-US" w:eastAsia="zh-CN"/>
        </w:rPr>
      </w:pPr>
      <w:r>
        <w:rPr>
          <w:rFonts w:hint="eastAsia" w:ascii="黑体" w:hAnsi="黑体" w:eastAsia="黑体" w:cs="黑体"/>
          <w:color w:val="auto"/>
          <w:kern w:val="0"/>
          <w:lang w:val="en-US" w:eastAsia="zh-CN"/>
        </w:rPr>
        <w:t>公</w:t>
      </w:r>
      <w:r>
        <w:rPr>
          <w:rFonts w:hint="default" w:ascii="黑体" w:hAnsi="黑体" w:eastAsia="黑体" w:cs="黑体"/>
          <w:color w:val="auto"/>
          <w:kern w:val="0"/>
          <w:lang w:eastAsia="zh-CN"/>
        </w:rPr>
        <w:t xml:space="preserve">  </w:t>
      </w:r>
      <w:r>
        <w:rPr>
          <w:rFonts w:hint="eastAsia" w:ascii="黑体" w:hAnsi="黑体" w:eastAsia="黑体" w:cs="黑体"/>
          <w:color w:val="auto"/>
          <w:kern w:val="0"/>
          <w:lang w:val="en-US" w:eastAsia="zh-CN"/>
        </w:rPr>
        <w:t>开</w:t>
      </w:r>
    </w:p>
    <w:p>
      <w:pPr>
        <w:bidi w:val="0"/>
        <w:ind w:left="0" w:leftChars="0" w:firstLine="0" w:firstLineChars="0"/>
        <w:jc w:val="left"/>
        <w:rPr>
          <w:rFonts w:hint="default" w:ascii="黑体" w:hAnsi="黑体" w:eastAsia="黑体" w:cs="黑体"/>
          <w:color w:val="auto"/>
          <w:spacing w:val="768"/>
          <w:kern w:val="0"/>
          <w:fitText w:val="960" w:id="1474761654"/>
          <w:lang w:val="en-US" w:eastAsia="zh-CN"/>
        </w:rPr>
      </w:pPr>
      <w:r>
        <w:rPr>
          <w:rFonts w:hint="eastAsia" w:ascii="黑体" w:hAnsi="黑体" w:eastAsia="黑体" w:cs="黑体"/>
          <w:color w:val="auto"/>
          <w:kern w:val="0"/>
          <w:lang w:val="en-US" w:eastAsia="zh-CN"/>
        </w:rPr>
        <w:t>A  类</w:t>
      </w:r>
    </w:p>
    <w:p>
      <w:pPr>
        <w:pStyle w:val="5"/>
        <w:keepNext w:val="0"/>
        <w:keepLines w:val="0"/>
        <w:pageBreakBefore w:val="0"/>
        <w:widowControl/>
        <w:kinsoku/>
        <w:wordWrap/>
        <w:overflowPunct/>
        <w:topLinePunct w:val="0"/>
        <w:autoSpaceDE/>
        <w:autoSpaceDN/>
        <w:bidi w:val="0"/>
        <w:adjustRightInd w:val="0"/>
        <w:snapToGrid w:val="0"/>
        <w:spacing w:before="0" w:beforeLines="0"/>
        <w:textAlignment w:val="auto"/>
        <w:rPr>
          <w:rFonts w:hint="eastAsia"/>
          <w:color w:val="auto"/>
          <w:lang w:val="en-US" w:eastAsia="zh-CN"/>
        </w:rPr>
      </w:pPr>
    </w:p>
    <w:p>
      <w:pPr>
        <w:pStyle w:val="5"/>
        <w:keepNext w:val="0"/>
        <w:keepLines w:val="0"/>
        <w:pageBreakBefore w:val="0"/>
        <w:widowControl/>
        <w:kinsoku/>
        <w:wordWrap/>
        <w:overflowPunct/>
        <w:topLinePunct w:val="0"/>
        <w:autoSpaceDE/>
        <w:autoSpaceDN/>
        <w:bidi w:val="0"/>
        <w:adjustRightInd w:val="0"/>
        <w:snapToGrid w:val="0"/>
        <w:spacing w:before="0" w:beforeLines="0"/>
        <w:textAlignment w:val="auto"/>
        <w:rPr>
          <w:rFonts w:hint="eastAsia"/>
          <w:color w:val="auto"/>
          <w:lang w:val="en-US" w:eastAsia="zh-CN"/>
        </w:rPr>
      </w:pPr>
      <w:r>
        <w:rPr>
          <w:rFonts w:hint="eastAsia"/>
          <w:color w:val="auto"/>
          <w:lang w:val="en-US" w:eastAsia="zh-CN"/>
        </w:rPr>
        <w:t>深圳市住房和建设局关于市七届人大二次</w:t>
      </w:r>
      <w:r>
        <w:rPr>
          <w:rFonts w:hint="eastAsia"/>
          <w:color w:val="auto"/>
          <w:lang w:val="en-US" w:eastAsia="zh-CN"/>
        </w:rPr>
        <w:br w:type="textWrapping"/>
      </w:r>
      <w:r>
        <w:rPr>
          <w:rFonts w:hint="eastAsia"/>
          <w:color w:val="auto"/>
          <w:lang w:val="en-US" w:eastAsia="zh-CN"/>
        </w:rPr>
        <w:t>会议第20230762号建议答复的函</w:t>
      </w:r>
    </w:p>
    <w:p>
      <w:pPr>
        <w:bidi w:val="0"/>
        <w:adjustRightInd w:val="0"/>
        <w:snapToGrid w:val="0"/>
        <w:spacing w:beforeLines="0"/>
        <w:rPr>
          <w:rFonts w:hint="eastAsia"/>
          <w:color w:val="auto"/>
          <w:lang w:val="en-US" w:eastAsia="zh-CN"/>
        </w:rPr>
      </w:pPr>
    </w:p>
    <w:p>
      <w:pPr>
        <w:bidi w:val="0"/>
        <w:adjustRightInd w:val="0"/>
        <w:snapToGrid w:val="0"/>
        <w:spacing w:beforeLines="0"/>
        <w:ind w:left="0" w:leftChars="0" w:firstLine="0" w:firstLineChars="0"/>
        <w:rPr>
          <w:rFonts w:hint="eastAsia"/>
          <w:color w:val="auto"/>
          <w:lang w:val="en-US" w:eastAsia="zh-CN"/>
        </w:rPr>
      </w:pPr>
      <w:r>
        <w:rPr>
          <w:rFonts w:hint="eastAsia"/>
          <w:color w:val="auto"/>
          <w:lang w:val="en-US" w:eastAsia="zh-CN"/>
        </w:rPr>
        <w:t>尊敬的张汉清,余莉,杨勤,杨燕娴,方成群,张毅代表：</w:t>
      </w:r>
    </w:p>
    <w:p>
      <w:pPr>
        <w:bidi w:val="0"/>
        <w:adjustRightInd w:val="0"/>
        <w:snapToGrid w:val="0"/>
        <w:spacing w:beforeLines="0"/>
        <w:rPr>
          <w:rFonts w:hint="eastAsia"/>
          <w:color w:val="auto"/>
          <w:lang w:val="en-US" w:eastAsia="zh-CN"/>
        </w:rPr>
      </w:pPr>
      <w:r>
        <w:rPr>
          <w:rFonts w:hint="eastAsia"/>
          <w:color w:val="auto"/>
          <w:lang w:val="en-US" w:eastAsia="zh-CN"/>
        </w:rPr>
        <w:t>您在市七届人大四次会议上提出的代表建议《关于加快推动深圳绿色建筑高质量发展的建议》（建议第20230762</w:t>
      </w:r>
      <w:bookmarkStart w:id="0" w:name="_GoBack"/>
      <w:bookmarkEnd w:id="0"/>
      <w:r>
        <w:rPr>
          <w:rFonts w:hint="eastAsia"/>
          <w:color w:val="auto"/>
          <w:lang w:val="en-US" w:eastAsia="zh-CN"/>
        </w:rPr>
        <w:t>号）经市人大常委会转我局办理。非常感谢您对我们工作的关心和支持。对您的建议，我们进行了认真研究，现答复如下：</w:t>
      </w:r>
    </w:p>
    <w:p>
      <w:pPr>
        <w:numPr>
          <w:ilvl w:val="0"/>
          <w:numId w:val="1"/>
        </w:numPr>
        <w:bidi w:val="0"/>
        <w:adjustRightInd w:val="0"/>
        <w:snapToGrid w:val="0"/>
        <w:spacing w:beforeLines="0"/>
        <w:rPr>
          <w:rFonts w:hint="eastAsia" w:ascii="黑体" w:hAnsi="黑体" w:eastAsia="黑体" w:cs="Times New Roman"/>
          <w:color w:val="auto"/>
          <w:kern w:val="2"/>
          <w:sz w:val="32"/>
          <w:szCs w:val="24"/>
          <w:lang w:val="en-US" w:eastAsia="zh-CN" w:bidi="ar-SA"/>
        </w:rPr>
      </w:pPr>
      <w:r>
        <w:rPr>
          <w:rFonts w:hint="eastAsia" w:ascii="黑体" w:hAnsi="黑体" w:eastAsia="黑体" w:cs="Times New Roman"/>
          <w:color w:val="auto"/>
          <w:kern w:val="2"/>
          <w:sz w:val="32"/>
          <w:szCs w:val="24"/>
          <w:lang w:val="en-US" w:eastAsia="zh-CN" w:bidi="ar-SA"/>
        </w:rPr>
        <w:t>关于“进一步加大绿色建筑产业的政策引导和扶持力度”的建议。</w:t>
      </w:r>
    </w:p>
    <w:p>
      <w:pPr>
        <w:keepNext w:val="0"/>
        <w:keepLines w:val="0"/>
        <w:pageBreakBefore w:val="0"/>
        <w:kinsoku/>
        <w:wordWrap/>
        <w:overflowPunct/>
        <w:topLinePunct w:val="0"/>
        <w:autoSpaceDE/>
        <w:autoSpaceDN/>
        <w:bidi w:val="0"/>
        <w:adjustRightInd w:val="0"/>
        <w:snapToGrid w:val="0"/>
        <w:spacing w:beforeLines="0" w:line="560" w:lineRule="exact"/>
        <w:ind w:firstLine="642" w:firstLineChars="200"/>
        <w:textAlignment w:val="auto"/>
        <w:rPr>
          <w:rStyle w:val="8"/>
          <w:rFonts w:hint="eastAsia" w:ascii="仿宋_GB2312" w:hAnsi="仿宋_GB2312" w:eastAsia="仿宋_GB2312" w:cs="Times New Roman"/>
          <w:b w:val="0"/>
          <w:i w:val="0"/>
          <w:caps w:val="0"/>
          <w:spacing w:val="0"/>
          <w:w w:val="100"/>
          <w:kern w:val="2"/>
          <w:sz w:val="32"/>
          <w:szCs w:val="32"/>
          <w:lang w:val="en-US" w:eastAsia="zh-CN" w:bidi="ar-SA"/>
        </w:rPr>
      </w:pP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b w:val="0"/>
          <w:bCs w:val="0"/>
          <w:sz w:val="32"/>
          <w:szCs w:val="32"/>
          <w:lang w:val="en-US" w:eastAsia="zh-CN"/>
        </w:rPr>
        <w:t>强化政策体系顶层设计。</w:t>
      </w:r>
      <w:r>
        <w:rPr>
          <w:rFonts w:hint="eastAsia" w:ascii="仿宋_GB2312" w:hAnsi="仿宋_GB2312" w:eastAsia="仿宋_GB2312" w:cs="仿宋_GB2312"/>
          <w:snapToGrid w:val="0"/>
          <w:sz w:val="32"/>
          <w:szCs w:val="32"/>
        </w:rPr>
        <w:t>2013年</w:t>
      </w:r>
      <w:r>
        <w:rPr>
          <w:rFonts w:hint="eastAsia" w:ascii="仿宋_GB2312" w:hAnsi="仿宋_GB2312" w:eastAsia="仿宋_GB2312" w:cs="仿宋_GB2312"/>
          <w:spacing w:val="-3"/>
          <w:sz w:val="32"/>
          <w:szCs w:val="32"/>
        </w:rPr>
        <w:t>深圳</w:t>
      </w:r>
      <w:r>
        <w:rPr>
          <w:rFonts w:hint="eastAsia" w:ascii="仿宋_GB2312" w:hAnsi="仿宋_GB2312" w:eastAsia="仿宋_GB2312" w:cs="仿宋_GB2312"/>
          <w:snapToGrid w:val="0"/>
          <w:sz w:val="32"/>
          <w:szCs w:val="32"/>
        </w:rPr>
        <w:t>颁布实施全国首部绿色建筑</w:t>
      </w:r>
      <w:r>
        <w:rPr>
          <w:rFonts w:hint="eastAsia" w:ascii="仿宋_GB2312" w:hAnsi="仿宋_GB2312" w:eastAsia="仿宋_GB2312" w:cs="仿宋_GB2312"/>
          <w:snapToGrid w:val="0"/>
          <w:sz w:val="32"/>
          <w:szCs w:val="32"/>
          <w:lang w:val="en-US" w:eastAsia="zh-CN"/>
        </w:rPr>
        <w:t>政府规章</w:t>
      </w:r>
      <w:r>
        <w:rPr>
          <w:rFonts w:hint="eastAsia" w:ascii="仿宋_GB2312" w:hAnsi="仿宋_GB2312" w:eastAsia="仿宋_GB2312" w:cs="仿宋_GB2312"/>
          <w:snapToGrid w:val="0"/>
          <w:sz w:val="32"/>
          <w:szCs w:val="32"/>
        </w:rPr>
        <w:t>——《深圳市绿色建筑促进办法》，为</w:t>
      </w:r>
      <w:r>
        <w:rPr>
          <w:rFonts w:hint="eastAsia" w:ascii="仿宋_GB2312" w:hAnsi="仿宋_GB2312" w:eastAsia="仿宋_GB2312" w:cs="仿宋_GB2312"/>
          <w:snapToGrid w:val="0"/>
          <w:sz w:val="32"/>
          <w:szCs w:val="32"/>
          <w:lang w:val="en-US" w:eastAsia="zh-CN"/>
        </w:rPr>
        <w:t>绿色建筑全面发展</w:t>
      </w:r>
      <w:r>
        <w:rPr>
          <w:rFonts w:hint="eastAsia" w:ascii="仿宋_GB2312" w:hAnsi="仿宋_GB2312" w:eastAsia="仿宋_GB2312" w:cs="仿宋_GB2312"/>
          <w:snapToGrid w:val="0"/>
          <w:sz w:val="32"/>
          <w:szCs w:val="32"/>
        </w:rPr>
        <w:t>提供了</w:t>
      </w:r>
      <w:r>
        <w:rPr>
          <w:rFonts w:hint="eastAsia" w:ascii="仿宋_GB2312" w:hAnsi="仿宋_GB2312" w:eastAsia="仿宋_GB2312" w:cs="仿宋_GB2312"/>
          <w:snapToGrid w:val="0"/>
          <w:sz w:val="32"/>
          <w:szCs w:val="32"/>
          <w:lang w:val="en-US" w:eastAsia="zh-CN"/>
        </w:rPr>
        <w:t>法律</w:t>
      </w:r>
      <w:r>
        <w:rPr>
          <w:rFonts w:hint="eastAsia" w:ascii="仿宋_GB2312" w:hAnsi="仿宋_GB2312" w:eastAsia="仿宋_GB2312" w:cs="仿宋_GB2312"/>
          <w:snapToGrid w:val="0"/>
          <w:sz w:val="32"/>
          <w:szCs w:val="32"/>
        </w:rPr>
        <w:t>保障。根据发展</w:t>
      </w:r>
      <w:r>
        <w:rPr>
          <w:rFonts w:hint="eastAsia" w:ascii="仿宋_GB2312" w:hAnsi="仿宋_GB2312" w:eastAsia="仿宋_GB2312" w:cs="仿宋_GB2312"/>
          <w:snapToGrid w:val="0"/>
          <w:sz w:val="32"/>
          <w:szCs w:val="32"/>
          <w:lang w:val="en-US" w:eastAsia="zh-CN"/>
        </w:rPr>
        <w:t>阶段</w:t>
      </w:r>
      <w:r>
        <w:rPr>
          <w:rFonts w:hint="eastAsia" w:ascii="仿宋_GB2312" w:hAnsi="仿宋_GB2312" w:eastAsia="仿宋_GB2312" w:cs="仿宋_GB2312"/>
          <w:snapToGrid w:val="0"/>
          <w:sz w:val="32"/>
          <w:szCs w:val="32"/>
        </w:rPr>
        <w:t>需要</w:t>
      </w:r>
      <w:r>
        <w:rPr>
          <w:rFonts w:hint="eastAsia" w:ascii="仿宋_GB2312" w:hAnsi="仿宋_GB2312" w:eastAsia="仿宋_GB2312" w:cs="仿宋_GB2312"/>
          <w:snapToGrid w:val="0"/>
          <w:sz w:val="32"/>
          <w:szCs w:val="32"/>
          <w:lang w:eastAsia="zh-CN"/>
        </w:rPr>
        <w:t>，</w:t>
      </w:r>
      <w:r>
        <w:rPr>
          <w:rFonts w:hint="eastAsia" w:ascii="仿宋_GB2312" w:hAnsi="仿宋_GB2312" w:eastAsia="仿宋_GB2312" w:cs="仿宋_GB2312"/>
          <w:snapToGrid w:val="0"/>
          <w:sz w:val="32"/>
          <w:szCs w:val="32"/>
          <w:lang w:val="en-US" w:eastAsia="zh-CN"/>
        </w:rPr>
        <w:t>2017年出台《关于提升建设工程质量水平打造城市建设精品的若干措施》</w:t>
      </w:r>
      <w:r>
        <w:rPr>
          <w:rFonts w:hint="eastAsia" w:ascii="仿宋_GB2312" w:hAnsi="仿宋_GB2312" w:eastAsia="仿宋_GB2312" w:cs="仿宋_GB2312"/>
          <w:spacing w:val="-3"/>
          <w:sz w:val="32"/>
          <w:szCs w:val="32"/>
          <w:lang w:val="en-US" w:eastAsia="zh-CN"/>
        </w:rPr>
        <w:t>、2018年出台</w:t>
      </w:r>
      <w:r>
        <w:rPr>
          <w:rFonts w:hint="eastAsia" w:ascii="仿宋_GB2312" w:hAnsi="仿宋_GB2312" w:eastAsia="仿宋_GB2312" w:cs="仿宋_GB2312"/>
          <w:snapToGrid w:val="0"/>
          <w:sz w:val="32"/>
          <w:szCs w:val="32"/>
          <w:lang w:val="en-US" w:eastAsia="zh-CN"/>
        </w:rPr>
        <w:t>《深圳市绿色建筑量质齐升三年行动方案(2018-2020)》等</w:t>
      </w:r>
      <w:r>
        <w:rPr>
          <w:rFonts w:hint="eastAsia" w:ascii="仿宋_GB2312" w:hAnsi="仿宋_GB2312" w:eastAsia="仿宋_GB2312" w:cs="仿宋_GB2312"/>
          <w:snapToGrid w:val="0"/>
          <w:sz w:val="32"/>
          <w:szCs w:val="32"/>
        </w:rPr>
        <w:t>配套文件</w:t>
      </w:r>
      <w:r>
        <w:rPr>
          <w:rFonts w:hint="eastAsia" w:ascii="仿宋_GB2312" w:hAnsi="仿宋_GB2312" w:eastAsia="仿宋_GB2312" w:cs="仿宋_GB2312"/>
          <w:snapToGrid w:val="0"/>
          <w:sz w:val="32"/>
          <w:szCs w:val="32"/>
          <w:lang w:eastAsia="zh-CN"/>
        </w:rPr>
        <w:t>，</w:t>
      </w:r>
      <w:r>
        <w:rPr>
          <w:rFonts w:hint="eastAsia" w:ascii="仿宋_GB2312" w:hAnsi="仿宋_GB2312" w:eastAsia="仿宋_GB2312" w:cs="仿宋_GB2312"/>
          <w:color w:val="auto"/>
          <w:spacing w:val="-3"/>
          <w:sz w:val="32"/>
          <w:szCs w:val="32"/>
          <w:lang w:val="en-US" w:eastAsia="zh-CN"/>
        </w:rPr>
        <w:t>构建了刚性约束与鼓励激励并举的政策体系</w:t>
      </w:r>
      <w:r>
        <w:rPr>
          <w:rFonts w:hint="eastAsia" w:ascii="仿宋_GB2312" w:hAnsi="仿宋_GB2312" w:eastAsia="仿宋_GB2312" w:cs="仿宋_GB2312"/>
          <w:spacing w:val="-3"/>
          <w:sz w:val="32"/>
          <w:szCs w:val="32"/>
          <w:lang w:val="en-US" w:eastAsia="zh-CN"/>
        </w:rPr>
        <w:t>。</w:t>
      </w:r>
      <w:r>
        <w:rPr>
          <w:rStyle w:val="8"/>
          <w:rFonts w:hint="eastAsia" w:ascii="仿宋_GB2312" w:hAnsi="仿宋_GB2312" w:eastAsia="仿宋_GB2312" w:cs="Times New Roman"/>
          <w:b w:val="0"/>
          <w:i w:val="0"/>
          <w:caps w:val="0"/>
          <w:spacing w:val="0"/>
          <w:w w:val="100"/>
          <w:kern w:val="2"/>
          <w:sz w:val="32"/>
          <w:szCs w:val="32"/>
          <w:lang w:val="en-US" w:eastAsia="zh-CN" w:bidi="ar-SA"/>
        </w:rPr>
        <w:t>2022年3月28日</w:t>
      </w:r>
      <w:r>
        <w:rPr>
          <w:rStyle w:val="8"/>
          <w:rFonts w:hint="eastAsia" w:cs="Times New Roman"/>
          <w:b w:val="0"/>
          <w:i w:val="0"/>
          <w:caps w:val="0"/>
          <w:spacing w:val="0"/>
          <w:w w:val="100"/>
          <w:kern w:val="2"/>
          <w:sz w:val="32"/>
          <w:szCs w:val="32"/>
          <w:lang w:val="en-US" w:eastAsia="zh-CN" w:bidi="ar-SA"/>
        </w:rPr>
        <w:t>，</w:t>
      </w:r>
      <w:r>
        <w:rPr>
          <w:rStyle w:val="8"/>
          <w:rFonts w:hint="eastAsia" w:ascii="仿宋_GB2312" w:hAnsi="仿宋_GB2312" w:eastAsia="仿宋_GB2312" w:cs="Times New Roman"/>
          <w:b w:val="0"/>
          <w:i w:val="0"/>
          <w:caps w:val="0"/>
          <w:spacing w:val="0"/>
          <w:w w:val="100"/>
          <w:kern w:val="2"/>
          <w:sz w:val="32"/>
          <w:szCs w:val="32"/>
          <w:lang w:val="en-US" w:eastAsia="zh-CN" w:bidi="ar-SA"/>
        </w:rPr>
        <w:t>发布</w:t>
      </w:r>
      <w:r>
        <w:rPr>
          <w:rFonts w:hint="eastAsia" w:ascii="仿宋_GB2312" w:hAnsi="仿宋_GB2312" w:eastAsia="仿宋_GB2312" w:cs="仿宋_GB2312"/>
          <w:sz w:val="32"/>
          <w:szCs w:val="32"/>
          <w:lang w:val="en-US" w:eastAsia="zh-CN"/>
        </w:rPr>
        <w:t>《深圳经济特区绿色建筑条例》，并</w:t>
      </w:r>
      <w:r>
        <w:rPr>
          <w:rStyle w:val="8"/>
          <w:rFonts w:hint="eastAsia" w:ascii="仿宋_GB2312" w:hAnsi="仿宋_GB2312" w:eastAsia="仿宋_GB2312" w:cs="Times New Roman"/>
          <w:b w:val="0"/>
          <w:i w:val="0"/>
          <w:caps w:val="0"/>
          <w:spacing w:val="0"/>
          <w:w w:val="100"/>
          <w:kern w:val="2"/>
          <w:sz w:val="32"/>
          <w:szCs w:val="32"/>
          <w:lang w:val="en-US" w:eastAsia="zh-CN" w:bidi="ar-SA"/>
        </w:rPr>
        <w:t>自2022年7月1日起正式实施，在全国范围内首度将“碳达峰、碳中和”融入绿色建筑全生命期管控，明确了“新建建筑的建设和运行应当符合不低于绿色建筑标准一星级的要求；大型公共建筑和国家机关办公建筑的建设和运行应当符合不低于绿色建筑标准二星级的要求”，推动形成促进绿色建筑高质量发展的法治环境。</w:t>
      </w:r>
      <w:r>
        <w:rPr>
          <w:rStyle w:val="8"/>
          <w:rFonts w:hint="eastAsia" w:cs="Times New Roman"/>
          <w:b w:val="0"/>
          <w:i w:val="0"/>
          <w:caps w:val="0"/>
          <w:spacing w:val="0"/>
          <w:w w:val="100"/>
          <w:kern w:val="2"/>
          <w:sz w:val="32"/>
          <w:szCs w:val="32"/>
          <w:lang w:val="en-US" w:eastAsia="zh-CN" w:bidi="ar-SA"/>
        </w:rPr>
        <w:t>同时，</w:t>
      </w:r>
      <w:r>
        <w:rPr>
          <w:rStyle w:val="8"/>
          <w:rFonts w:hint="eastAsia" w:ascii="仿宋_GB2312" w:hAnsi="仿宋_GB2312" w:eastAsia="仿宋_GB2312" w:cs="Times New Roman"/>
          <w:b w:val="0"/>
          <w:i w:val="0"/>
          <w:caps w:val="0"/>
          <w:spacing w:val="0"/>
          <w:w w:val="100"/>
          <w:kern w:val="2"/>
          <w:sz w:val="32"/>
          <w:szCs w:val="32"/>
          <w:lang w:val="en-US" w:eastAsia="zh-CN" w:bidi="ar-SA"/>
        </w:rPr>
        <w:t>市住房建设局</w:t>
      </w:r>
      <w:r>
        <w:rPr>
          <w:rStyle w:val="8"/>
          <w:rFonts w:hint="eastAsia" w:cs="Times New Roman"/>
          <w:b w:val="0"/>
          <w:i w:val="0"/>
          <w:caps w:val="0"/>
          <w:spacing w:val="0"/>
          <w:w w:val="100"/>
          <w:kern w:val="2"/>
          <w:sz w:val="32"/>
          <w:szCs w:val="32"/>
          <w:lang w:val="en-US" w:eastAsia="zh-CN" w:bidi="ar-SA"/>
        </w:rPr>
        <w:t>在已印发的</w:t>
      </w:r>
      <w:r>
        <w:rPr>
          <w:rStyle w:val="8"/>
          <w:rFonts w:hint="eastAsia" w:ascii="仿宋_GB2312" w:hAnsi="仿宋_GB2312" w:eastAsia="仿宋_GB2312" w:cs="Times New Roman"/>
          <w:b w:val="0"/>
          <w:i w:val="0"/>
          <w:caps w:val="0"/>
          <w:spacing w:val="0"/>
          <w:w w:val="100"/>
          <w:kern w:val="2"/>
          <w:sz w:val="32"/>
          <w:szCs w:val="32"/>
          <w:lang w:val="en-US" w:eastAsia="zh-CN" w:bidi="ar-SA"/>
        </w:rPr>
        <w:t>《深圳市绿色建筑高质量发展行动实施方案（2022-2025）》</w:t>
      </w:r>
      <w:r>
        <w:rPr>
          <w:rStyle w:val="8"/>
          <w:rFonts w:hint="eastAsia" w:cs="Times New Roman"/>
          <w:b w:val="0"/>
          <w:i w:val="0"/>
          <w:caps w:val="0"/>
          <w:spacing w:val="0"/>
          <w:w w:val="100"/>
          <w:kern w:val="2"/>
          <w:sz w:val="32"/>
          <w:szCs w:val="32"/>
          <w:lang w:val="en-US" w:eastAsia="zh-CN" w:bidi="ar-SA"/>
        </w:rPr>
        <w:t>和</w:t>
      </w:r>
      <w:r>
        <w:rPr>
          <w:rStyle w:val="8"/>
          <w:rFonts w:hint="eastAsia" w:ascii="仿宋_GB2312" w:hAnsi="仿宋_GB2312" w:eastAsia="仿宋_GB2312" w:cs="Times New Roman"/>
          <w:b w:val="0"/>
          <w:i w:val="0"/>
          <w:caps w:val="0"/>
          <w:spacing w:val="0"/>
          <w:w w:val="100"/>
          <w:kern w:val="2"/>
          <w:sz w:val="32"/>
          <w:szCs w:val="32"/>
          <w:lang w:val="en-US" w:eastAsia="zh-CN" w:bidi="ar-SA"/>
        </w:rPr>
        <w:t>正在编制的《深圳市城市建设领域降碳行动计划》等文件中，充分吸纳提案中关于“将推进存量建筑绿色运营纳入双碳工作大局”、“建立相关工作体系”的建议，着力提升存量建筑运行能效，建立健全建筑全寿命期绿色低碳管理工作机制。</w:t>
      </w:r>
    </w:p>
    <w:p>
      <w:pPr>
        <w:bidi w:val="0"/>
        <w:adjustRightInd w:val="0"/>
        <w:snapToGrid w:val="0"/>
        <w:spacing w:beforeLines="0"/>
        <w:jc w:val="both"/>
        <w:rPr>
          <w:rFonts w:hint="eastAsia" w:ascii="仿宋_GB2312" w:hAnsi="仿宋_GB2312" w:eastAsia="仿宋_GB2312" w:cs="仿宋_GB2312"/>
          <w:snapToGrid w:val="0"/>
          <w:kern w:val="2"/>
          <w:sz w:val="32"/>
          <w:szCs w:val="32"/>
          <w:highlight w:val="none"/>
          <w:lang w:val="en-US" w:eastAsia="zh-CN" w:bidi="ar-SA"/>
        </w:rPr>
      </w:pPr>
      <w:r>
        <w:rPr>
          <w:rFonts w:hint="eastAsia"/>
          <w:b/>
          <w:bCs/>
          <w:color w:val="auto"/>
          <w:lang w:val="en-US" w:eastAsia="zh-CN"/>
        </w:rPr>
        <w:t>二</w:t>
      </w:r>
      <w:r>
        <w:rPr>
          <w:rFonts w:hint="eastAsia" w:ascii="仿宋_GB2312" w:hAnsi="仿宋_GB2312" w:eastAsia="仿宋_GB2312" w:cs="Times New Roman"/>
          <w:b/>
          <w:bCs/>
          <w:snapToGrid/>
          <w:color w:val="auto"/>
          <w:kern w:val="2"/>
          <w:sz w:val="32"/>
          <w:szCs w:val="24"/>
          <w:highlight w:val="none"/>
          <w:lang w:val="en-US" w:eastAsia="zh-Hans" w:bidi="ar-SA"/>
        </w:rPr>
        <w:t>是</w:t>
      </w:r>
      <w:r>
        <w:rPr>
          <w:rFonts w:hint="eastAsia" w:ascii="仿宋_GB2312" w:hAnsi="仿宋_GB2312" w:eastAsia="仿宋_GB2312" w:cs="仿宋_GB2312"/>
          <w:snapToGrid w:val="0"/>
          <w:kern w:val="2"/>
          <w:sz w:val="32"/>
          <w:szCs w:val="32"/>
          <w:highlight w:val="none"/>
          <w:lang w:val="en-US" w:eastAsia="zh-CN" w:bidi="ar-SA"/>
        </w:rPr>
        <w:t>以国家和行业标准为基础，以国际先进城市为标杆，着力构建</w:t>
      </w:r>
      <w:r>
        <w:rPr>
          <w:rFonts w:hint="eastAsia" w:cs="仿宋_GB2312"/>
          <w:snapToGrid w:val="0"/>
          <w:kern w:val="2"/>
          <w:sz w:val="32"/>
          <w:szCs w:val="32"/>
          <w:highlight w:val="none"/>
          <w:lang w:val="en-US" w:eastAsia="zh-CN" w:bidi="ar-SA"/>
        </w:rPr>
        <w:t>绿色低碳</w:t>
      </w:r>
      <w:r>
        <w:rPr>
          <w:rFonts w:hint="eastAsia" w:ascii="仿宋_GB2312" w:hAnsi="仿宋_GB2312" w:eastAsia="仿宋_GB2312" w:cs="仿宋_GB2312"/>
          <w:snapToGrid w:val="0"/>
          <w:kern w:val="2"/>
          <w:sz w:val="32"/>
          <w:szCs w:val="32"/>
          <w:highlight w:val="none"/>
          <w:lang w:val="en-US" w:eastAsia="zh-CN" w:bidi="ar-SA"/>
        </w:rPr>
        <w:t>“深圳标准”体系。截至目前，</w:t>
      </w:r>
      <w:r>
        <w:rPr>
          <w:rFonts w:hint="eastAsia" w:cs="仿宋_GB2312"/>
          <w:snapToGrid w:val="0"/>
          <w:kern w:val="2"/>
          <w:sz w:val="32"/>
          <w:szCs w:val="32"/>
          <w:highlight w:val="none"/>
          <w:lang w:val="en-US" w:eastAsia="zh-CN" w:bidi="ar-SA"/>
        </w:rPr>
        <w:t>我</w:t>
      </w:r>
      <w:r>
        <w:rPr>
          <w:rFonts w:hint="eastAsia" w:cs="仿宋_GB2312"/>
          <w:snapToGrid w:val="0"/>
          <w:kern w:val="2"/>
          <w:sz w:val="32"/>
          <w:szCs w:val="32"/>
          <w:highlight w:val="none"/>
          <w:lang w:val="en-US" w:eastAsia="zh-Hans" w:bidi="ar-SA"/>
        </w:rPr>
        <w:t>局</w:t>
      </w:r>
      <w:r>
        <w:rPr>
          <w:rFonts w:hint="eastAsia" w:ascii="仿宋_GB2312" w:hAnsi="仿宋_GB2312" w:eastAsia="仿宋_GB2312" w:cs="仿宋_GB2312"/>
          <w:snapToGrid w:val="0"/>
          <w:kern w:val="2"/>
          <w:sz w:val="32"/>
          <w:szCs w:val="32"/>
          <w:highlight w:val="none"/>
          <w:lang w:val="en-US" w:eastAsia="zh-CN" w:bidi="ar-SA"/>
        </w:rPr>
        <w:t>已发布实施30余部节能和绿色建筑标准、10余部装配式建筑标准，形成了国标为基础、地标为支撑、团标为补充的多层次标准体系</w:t>
      </w:r>
      <w:r>
        <w:rPr>
          <w:rFonts w:hint="default" w:cs="仿宋_GB2312"/>
          <w:snapToGrid w:val="0"/>
          <w:kern w:val="2"/>
          <w:sz w:val="32"/>
          <w:szCs w:val="32"/>
          <w:highlight w:val="none"/>
          <w:lang w:eastAsia="zh-CN" w:bidi="ar-SA"/>
        </w:rPr>
        <w:t>，</w:t>
      </w:r>
      <w:r>
        <w:rPr>
          <w:rFonts w:hint="eastAsia" w:cs="仿宋_GB2312"/>
          <w:snapToGrid w:val="0"/>
          <w:kern w:val="2"/>
          <w:sz w:val="32"/>
          <w:szCs w:val="32"/>
          <w:highlight w:val="none"/>
          <w:lang w:val="en-US" w:eastAsia="zh-Hans" w:bidi="ar-SA"/>
        </w:rPr>
        <w:t>为进一步制定面向新建和存量建筑净零碳法规和标准提供了基础</w:t>
      </w:r>
      <w:r>
        <w:rPr>
          <w:rFonts w:hint="eastAsia" w:ascii="仿宋_GB2312" w:hAnsi="仿宋_GB2312" w:eastAsia="仿宋_GB2312" w:cs="仿宋_GB2312"/>
          <w:snapToGrid w:val="0"/>
          <w:kern w:val="2"/>
          <w:sz w:val="32"/>
          <w:szCs w:val="32"/>
          <w:highlight w:val="none"/>
          <w:lang w:val="en-US" w:eastAsia="zh-CN" w:bidi="ar-SA"/>
        </w:rPr>
        <w:t>。其中，2021年印发实施了《深圳市超低能耗建筑技术导则》《中小学绿色校园设计标准》，完成《深圳市建筑节能工程施工验收规范》修订，</w:t>
      </w:r>
      <w:r>
        <w:rPr>
          <w:rFonts w:hint="default" w:cs="仿宋_GB2312"/>
          <w:snapToGrid w:val="0"/>
          <w:kern w:val="2"/>
          <w:sz w:val="32"/>
          <w:szCs w:val="32"/>
          <w:highlight w:val="none"/>
          <w:lang w:eastAsia="zh-CN" w:bidi="ar-SA"/>
        </w:rPr>
        <w:t>2022</w:t>
      </w:r>
      <w:r>
        <w:rPr>
          <w:rFonts w:hint="eastAsia" w:cs="仿宋_GB2312"/>
          <w:snapToGrid w:val="0"/>
          <w:kern w:val="2"/>
          <w:sz w:val="32"/>
          <w:szCs w:val="32"/>
          <w:highlight w:val="none"/>
          <w:lang w:val="en-US" w:eastAsia="zh-Hans" w:bidi="ar-SA"/>
        </w:rPr>
        <w:t>年开展</w:t>
      </w:r>
      <w:r>
        <w:rPr>
          <w:rFonts w:hint="eastAsia" w:cs="仿宋_GB2312"/>
          <w:snapToGrid w:val="0"/>
          <w:kern w:val="2"/>
          <w:sz w:val="32"/>
          <w:szCs w:val="32"/>
          <w:highlight w:val="none"/>
          <w:lang w:val="en-US" w:eastAsia="zh-CN" w:bidi="ar-SA"/>
        </w:rPr>
        <w:t>深圳市《居住建筑节能设计标准》《公共建筑节能设计标准》</w:t>
      </w:r>
      <w:r>
        <w:rPr>
          <w:rFonts w:hint="default" w:cs="仿宋_GB2312"/>
          <w:snapToGrid w:val="0"/>
          <w:kern w:val="2"/>
          <w:sz w:val="32"/>
          <w:szCs w:val="32"/>
          <w:highlight w:val="none"/>
          <w:lang w:eastAsia="zh-CN" w:bidi="ar-SA"/>
        </w:rPr>
        <w:t>《</w:t>
      </w:r>
      <w:r>
        <w:rPr>
          <w:rFonts w:hint="eastAsia" w:cs="仿宋_GB2312"/>
          <w:snapToGrid w:val="0"/>
          <w:kern w:val="2"/>
          <w:sz w:val="32"/>
          <w:szCs w:val="32"/>
          <w:highlight w:val="none"/>
          <w:lang w:val="en-US" w:eastAsia="zh-Hans" w:bidi="ar-SA"/>
        </w:rPr>
        <w:t>民用建筑碳排放计算标准</w:t>
      </w:r>
      <w:r>
        <w:rPr>
          <w:rFonts w:hint="default" w:cs="仿宋_GB2312"/>
          <w:snapToGrid w:val="0"/>
          <w:kern w:val="2"/>
          <w:sz w:val="32"/>
          <w:szCs w:val="32"/>
          <w:highlight w:val="none"/>
          <w:lang w:eastAsia="zh-CN" w:bidi="ar-SA"/>
        </w:rPr>
        <w:t>》</w:t>
      </w:r>
      <w:r>
        <w:rPr>
          <w:rFonts w:hint="eastAsia" w:cs="仿宋_GB2312"/>
          <w:snapToGrid w:val="0"/>
          <w:kern w:val="2"/>
          <w:sz w:val="32"/>
          <w:szCs w:val="32"/>
          <w:highlight w:val="none"/>
          <w:lang w:val="en-US" w:eastAsia="zh-Hans" w:bidi="ar-SA"/>
        </w:rPr>
        <w:t>编制工作</w:t>
      </w:r>
      <w:r>
        <w:rPr>
          <w:rFonts w:hint="default" w:cs="仿宋_GB2312"/>
          <w:snapToGrid w:val="0"/>
          <w:kern w:val="2"/>
          <w:sz w:val="32"/>
          <w:szCs w:val="32"/>
          <w:highlight w:val="none"/>
          <w:lang w:eastAsia="zh-Hans" w:bidi="ar-SA"/>
        </w:rPr>
        <w:t>，</w:t>
      </w:r>
      <w:r>
        <w:rPr>
          <w:rFonts w:hint="eastAsia" w:cs="仿宋_GB2312"/>
          <w:snapToGrid w:val="0"/>
          <w:kern w:val="2"/>
          <w:sz w:val="32"/>
          <w:szCs w:val="32"/>
          <w:highlight w:val="none"/>
          <w:lang w:val="en-US" w:eastAsia="zh-Hans" w:bidi="ar-SA"/>
        </w:rPr>
        <w:t>在普及绿色建筑基础上提高节能减排目标</w:t>
      </w:r>
      <w:r>
        <w:rPr>
          <w:rFonts w:hint="eastAsia" w:ascii="仿宋_GB2312" w:hAnsi="仿宋_GB2312" w:eastAsia="仿宋_GB2312" w:cs="仿宋_GB2312"/>
          <w:snapToGrid w:val="0"/>
          <w:kern w:val="2"/>
          <w:sz w:val="32"/>
          <w:szCs w:val="32"/>
          <w:highlight w:val="none"/>
          <w:lang w:val="en-US" w:eastAsia="zh-CN" w:bidi="ar-SA"/>
        </w:rPr>
        <w:t>。</w:t>
      </w:r>
      <w:r>
        <w:rPr>
          <w:rFonts w:hint="default" w:cs="仿宋_GB2312"/>
          <w:snapToGrid w:val="0"/>
          <w:kern w:val="2"/>
          <w:sz w:val="32"/>
          <w:szCs w:val="32"/>
          <w:highlight w:val="none"/>
          <w:lang w:val="en" w:eastAsia="zh-CN" w:bidi="ar-SA"/>
        </w:rPr>
        <w:t>202</w:t>
      </w:r>
      <w:r>
        <w:rPr>
          <w:rFonts w:hint="eastAsia" w:cs="仿宋_GB2312"/>
          <w:snapToGrid w:val="0"/>
          <w:kern w:val="2"/>
          <w:sz w:val="32"/>
          <w:szCs w:val="32"/>
          <w:highlight w:val="none"/>
          <w:lang w:val="en-US" w:eastAsia="zh-CN" w:bidi="ar-SA"/>
        </w:rPr>
        <w:t>2年，印发实施中央首批综合改革</w:t>
      </w:r>
      <w:r>
        <w:rPr>
          <w:rFonts w:hint="eastAsia" w:ascii="CESI仿宋-GB2312" w:hAnsi="CESI仿宋-GB2312" w:eastAsia="CESI仿宋-GB2312" w:cs="CESI仿宋-GB2312"/>
          <w:sz w:val="32"/>
          <w:szCs w:val="32"/>
          <w:highlight w:val="none"/>
        </w:rPr>
        <w:t>主要核心成果《中小学校项目规范》</w:t>
      </w:r>
      <w:r>
        <w:rPr>
          <w:rFonts w:hint="eastAsia" w:ascii="CESI仿宋-GB2312" w:hAnsi="CESI仿宋-GB2312" w:eastAsia="CESI仿宋-GB2312" w:cs="CESI仿宋-GB2312"/>
          <w:sz w:val="32"/>
          <w:szCs w:val="32"/>
          <w:highlight w:val="none"/>
          <w:lang w:eastAsia="zh-CN"/>
        </w:rPr>
        <w:t>，</w:t>
      </w:r>
      <w:r>
        <w:rPr>
          <w:rFonts w:hint="eastAsia" w:ascii="Times New Roman" w:hAnsi="Times New Roman" w:eastAsia="仿宋_GB2312"/>
          <w:b w:val="0"/>
          <w:bCs w:val="0"/>
          <w:sz w:val="32"/>
          <w:szCs w:val="32"/>
          <w:highlight w:val="none"/>
          <w:lang w:eastAsia="zh-CN"/>
        </w:rPr>
        <w:t>向</w:t>
      </w:r>
      <w:r>
        <w:rPr>
          <w:rFonts w:hint="eastAsia" w:ascii="Times New Roman" w:hAnsi="Times New Roman" w:eastAsia="仿宋_GB2312"/>
          <w:b w:val="0"/>
          <w:bCs w:val="0"/>
          <w:sz w:val="32"/>
          <w:szCs w:val="32"/>
          <w:highlight w:val="none"/>
        </w:rPr>
        <w:t>国际先进标准看齐，全面融入绿色、开放、共享理念，</w:t>
      </w:r>
      <w:r>
        <w:rPr>
          <w:rFonts w:hint="eastAsia" w:ascii="Times New Roman" w:hAnsi="Times New Roman" w:eastAsia="仿宋_GB2312"/>
          <w:sz w:val="32"/>
          <w:szCs w:val="32"/>
          <w:highlight w:val="none"/>
        </w:rPr>
        <w:t>以结果为导向，强化综合安全性能、耐久性能、使用性能和健康性能，实质性提升学校空间、物理环境、使用功能、健康安全等关键品质</w:t>
      </w:r>
      <w:r>
        <w:rPr>
          <w:rFonts w:hint="eastAsia" w:ascii="Times New Roman" w:hAnsi="Times New Roman"/>
          <w:sz w:val="32"/>
          <w:szCs w:val="32"/>
          <w:highlight w:val="none"/>
          <w:lang w:eastAsia="zh-CN"/>
        </w:rPr>
        <w:t>。</w:t>
      </w:r>
    </w:p>
    <w:p>
      <w:pPr>
        <w:bidi w:val="0"/>
        <w:adjustRightInd w:val="0"/>
        <w:snapToGrid w:val="0"/>
        <w:spacing w:beforeLines="0"/>
        <w:rPr>
          <w:rFonts w:hint="eastAsia" w:ascii="仿宋_GB2312" w:hAnsi="仿宋_GB2312" w:eastAsia="仿宋_GB2312" w:cs="仿宋_GB2312"/>
          <w:b w:val="0"/>
          <w:bCs w:val="0"/>
          <w:color w:val="000000"/>
          <w:kern w:val="2"/>
          <w:sz w:val="32"/>
          <w:szCs w:val="32"/>
          <w:lang w:val="en-US" w:eastAsia="zh-CN" w:bidi="ar-SA"/>
        </w:rPr>
      </w:pP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b w:val="0"/>
          <w:bCs w:val="0"/>
          <w:sz w:val="32"/>
          <w:szCs w:val="32"/>
          <w:lang w:val="en-US" w:eastAsia="zh-CN"/>
        </w:rPr>
        <w:t>加强对示范项目的补助和激励。</w:t>
      </w:r>
      <w:r>
        <w:rPr>
          <w:rFonts w:hint="eastAsia" w:ascii="仿宋_GB2312" w:hAnsi="仿宋_GB2312" w:eastAsia="仿宋_GB2312" w:cs="仿宋_GB2312"/>
          <w:b w:val="0"/>
          <w:bCs w:val="0"/>
          <w:color w:val="000000"/>
          <w:kern w:val="2"/>
          <w:sz w:val="32"/>
          <w:szCs w:val="32"/>
          <w:lang w:val="en-US" w:eastAsia="zh-CN" w:bidi="ar-SA"/>
        </w:rPr>
        <w:t>市住房建设局、市财政局联合印发了《深圳市工程建设领域绿色创新发展专项资金管理办法》《深圳市工程建设领域绿色创新发展专项资金实施细则》《关于支持建筑领域绿色低碳发展若干措施》，进一步</w:t>
      </w:r>
      <w:r>
        <w:rPr>
          <w:rFonts w:hint="eastAsia" w:ascii="仿宋_GB2312" w:hAnsi="仿宋_GB2312" w:eastAsia="仿宋_GB2312" w:cs="仿宋_GB2312"/>
          <w:b w:val="0"/>
          <w:bCs w:val="0"/>
          <w:color w:val="000000"/>
          <w:kern w:val="2"/>
          <w:sz w:val="32"/>
          <w:szCs w:val="32"/>
          <w:lang w:val="en" w:eastAsia="zh-CN" w:bidi="ar-SA"/>
        </w:rPr>
        <w:t>加强财政资金对建筑绿色低碳领域的支持和引导作用，</w:t>
      </w:r>
      <w:r>
        <w:rPr>
          <w:rFonts w:hint="eastAsia" w:ascii="仿宋_GB2312" w:hAnsi="仿宋_GB2312" w:eastAsia="仿宋_GB2312" w:cs="仿宋_GB2312"/>
          <w:b w:val="0"/>
          <w:bCs w:val="0"/>
          <w:color w:val="000000"/>
          <w:kern w:val="2"/>
          <w:sz w:val="32"/>
          <w:szCs w:val="32"/>
          <w:lang w:val="en-US" w:eastAsia="zh-CN" w:bidi="ar-SA"/>
        </w:rPr>
        <w:t>专项资金的支持范围包括建筑节能与绿色建筑、智能建造与装配式建筑、建筑废弃物减排与综合利用、建筑信息化技术应用、建设科技、宜居城市、工程建设标准化、工程建设领域绿色创新发展技术与服务等。统筹、协助并指导我市绿色低碳示范项目积极申报各类奖项和评优工作。</w:t>
      </w:r>
    </w:p>
    <w:p>
      <w:pPr>
        <w:pStyle w:val="4"/>
        <w:keepNext w:val="0"/>
        <w:keepLines w:val="0"/>
        <w:pageBreakBefore w:val="0"/>
        <w:kinsoku/>
        <w:wordWrap/>
        <w:overflowPunct/>
        <w:topLinePunct w:val="0"/>
        <w:autoSpaceDE/>
        <w:autoSpaceDN/>
        <w:bidi w:val="0"/>
        <w:adjustRightInd w:val="0"/>
        <w:snapToGrid w:val="0"/>
        <w:spacing w:beforeLines="0" w:line="560" w:lineRule="exact"/>
        <w:ind w:firstLine="642" w:firstLineChars="200"/>
        <w:textAlignment w:val="auto"/>
        <w:rPr>
          <w:rStyle w:val="8"/>
          <w:rFonts w:hint="eastAsia" w:ascii="仿宋_GB2312" w:hAnsi="仿宋_GB2312" w:eastAsia="仿宋_GB2312"/>
          <w:b w:val="0"/>
          <w:i w:val="0"/>
          <w:caps w:val="0"/>
          <w:spacing w:val="0"/>
          <w:w w:val="100"/>
          <w:sz w:val="32"/>
          <w:szCs w:val="32"/>
          <w:lang w:val="en-US" w:eastAsia="zh-CN"/>
        </w:rPr>
      </w:pPr>
      <w:r>
        <w:rPr>
          <w:rStyle w:val="8"/>
          <w:rFonts w:hint="eastAsia" w:ascii="仿宋_GB2312" w:hAnsi="仿宋_GB2312" w:eastAsia="仿宋_GB2312"/>
          <w:b/>
          <w:bCs/>
          <w:i w:val="0"/>
          <w:caps w:val="0"/>
          <w:spacing w:val="0"/>
          <w:w w:val="100"/>
          <w:sz w:val="32"/>
          <w:szCs w:val="32"/>
          <w:lang w:val="en-US" w:eastAsia="zh-CN"/>
        </w:rPr>
        <w:t>四是</w:t>
      </w:r>
      <w:r>
        <w:rPr>
          <w:rStyle w:val="8"/>
          <w:rFonts w:hint="eastAsia" w:ascii="仿宋_GB2312" w:hAnsi="仿宋_GB2312" w:eastAsia="仿宋_GB2312"/>
          <w:b w:val="0"/>
          <w:bCs w:val="0"/>
          <w:i w:val="0"/>
          <w:caps w:val="0"/>
          <w:spacing w:val="0"/>
          <w:w w:val="100"/>
          <w:sz w:val="32"/>
          <w:szCs w:val="32"/>
          <w:lang w:val="en-US" w:eastAsia="zh-CN"/>
        </w:rPr>
        <w:t>探索金融手段支持建设领域绿色低碳发展工作机制。</w:t>
      </w:r>
      <w:r>
        <w:rPr>
          <w:rStyle w:val="8"/>
          <w:rFonts w:hint="eastAsia" w:ascii="仿宋_GB2312" w:hAnsi="仿宋_GB2312" w:eastAsia="仿宋_GB2312"/>
          <w:b w:val="0"/>
          <w:i w:val="0"/>
          <w:caps w:val="0"/>
          <w:spacing w:val="0"/>
          <w:w w:val="100"/>
          <w:sz w:val="32"/>
          <w:szCs w:val="32"/>
          <w:lang w:val="en" w:eastAsia="zh-CN"/>
        </w:rPr>
        <w:t>市住房建设局已</w:t>
      </w:r>
      <w:r>
        <w:rPr>
          <w:rFonts w:hint="eastAsia" w:ascii="仿宋_GB2312" w:hAnsi="仿宋_GB2312" w:eastAsia="仿宋_GB2312" w:cs="仿宋_GB2312"/>
          <w:color w:val="auto"/>
          <w:sz w:val="32"/>
          <w:szCs w:val="32"/>
          <w:lang w:val="en-US" w:eastAsia="zh-CN"/>
        </w:rPr>
        <w:t>与银行业、保险业加强沟通对接，研究搭建政银保联动机制，并将签订相关合作备忘录。对绿色低碳项目和产业提供更多种类的金融服务，如绿色项目前期贷款、绿色项目固定资产贷款、绿色建筑节能贷款、绿色建筑合同配套融资、绿色建筑产业链融资等。探索更多种类的差别化服务，研究建立差别化定价机制，推动银行业金融机构根据绿色建筑星级、项目节能降碳效果等提供阶梯式、差别化优惠利率。</w:t>
      </w:r>
    </w:p>
    <w:p>
      <w:pPr>
        <w:pStyle w:val="3"/>
        <w:bidi w:val="0"/>
        <w:adjustRightInd w:val="0"/>
        <w:snapToGrid w:val="0"/>
        <w:spacing w:beforeLines="0"/>
        <w:rPr>
          <w:rFonts w:hint="eastAsia"/>
          <w:color w:val="auto"/>
          <w:lang w:val="en-US" w:eastAsia="zh-CN"/>
        </w:rPr>
      </w:pPr>
      <w:r>
        <w:rPr>
          <w:rFonts w:hint="eastAsia"/>
          <w:color w:val="auto"/>
          <w:lang w:val="en-US" w:eastAsia="zh-CN"/>
        </w:rPr>
        <w:t>二、关于“鼓励智能光伏与绿色建筑融合发展”的建议。</w:t>
      </w:r>
    </w:p>
    <w:p>
      <w:pPr>
        <w:keepNext w:val="0"/>
        <w:keepLines w:val="0"/>
        <w:pageBreakBefore w:val="0"/>
        <w:widowControl w:val="0"/>
        <w:kinsoku/>
        <w:overflowPunct/>
        <w:topLinePunct w:val="0"/>
        <w:autoSpaceDE/>
        <w:autoSpaceDN/>
        <w:bidi w:val="0"/>
        <w:adjustRightInd w:val="0"/>
        <w:snapToGrid w:val="0"/>
        <w:spacing w:beforeLines="0" w:line="560" w:lineRule="exact"/>
        <w:ind w:firstLine="642" w:firstLineChars="200"/>
        <w:jc w:val="left"/>
        <w:textAlignment w:val="auto"/>
        <w:rPr>
          <w:rFonts w:hint="eastAsia" w:ascii="CESI仿宋-GB2312" w:hAnsi="CESI仿宋-GB2312" w:eastAsia="CESI仿宋-GB2312" w:cs="CESI仿宋-GB2312"/>
          <w:sz w:val="32"/>
          <w:szCs w:val="32"/>
          <w:lang w:val="en-US" w:eastAsia="zh-CN"/>
        </w:rPr>
      </w:pP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完善顶层设计。2022年12月，经市政府同意，</w:t>
      </w:r>
      <w:r>
        <w:rPr>
          <w:rFonts w:hint="eastAsia" w:cs="仿宋_GB2312"/>
          <w:sz w:val="32"/>
          <w:szCs w:val="32"/>
          <w:lang w:val="en-US" w:eastAsia="zh-CN"/>
        </w:rPr>
        <w:t>市发改</w:t>
      </w:r>
      <w:r>
        <w:rPr>
          <w:rFonts w:hint="eastAsia" w:ascii="仿宋_GB2312" w:hAnsi="仿宋_GB2312" w:eastAsia="仿宋_GB2312" w:cs="仿宋_GB2312"/>
          <w:sz w:val="32"/>
          <w:szCs w:val="32"/>
          <w:lang w:val="en-US" w:eastAsia="zh-CN"/>
        </w:rPr>
        <w:t>委印发《深圳市关于大力推进分布式光伏发电的若干措施》等文件，提出推进分布式光伏规模应用，充分利用工业园区、企业厂房、物流仓储基地、公共建筑、交通设施和居民住宅等建筑物屋顶、外立面或其他适宜场地，按照“宜建尽建”原则积极开展光伏项目建设，大力推广建筑光伏一体化（BIPV），力争“十四五”期间全市新增光伏装机容量150万千瓦</w:t>
      </w:r>
      <w:r>
        <w:rPr>
          <w:rFonts w:hint="eastAsia" w:cs="仿宋_GB2312"/>
          <w:sz w:val="32"/>
          <w:szCs w:val="32"/>
          <w:lang w:val="en-US" w:eastAsia="zh-CN"/>
        </w:rPr>
        <w:t>。</w:t>
      </w:r>
      <w:r>
        <w:rPr>
          <w:rFonts w:hint="eastAsia" w:ascii="仿宋_GB2312" w:hAnsi="仿宋_GB2312" w:eastAsia="仿宋_GB2312" w:cs="仿宋_GB2312"/>
          <w:sz w:val="32"/>
          <w:szCs w:val="32"/>
          <w:lang w:val="en-US" w:eastAsia="zh-CN"/>
        </w:rPr>
        <w:t>根据全市碳达峰工作的总体部署，</w:t>
      </w:r>
      <w:r>
        <w:rPr>
          <w:rFonts w:hint="eastAsia" w:cs="仿宋_GB2312"/>
          <w:sz w:val="32"/>
          <w:szCs w:val="32"/>
          <w:lang w:val="en-US" w:eastAsia="zh-CN"/>
        </w:rPr>
        <w:t>市住建</w:t>
      </w:r>
      <w:r>
        <w:rPr>
          <w:rFonts w:hint="eastAsia" w:ascii="仿宋_GB2312" w:hAnsi="仿宋_GB2312" w:eastAsia="仿宋_GB2312" w:cs="仿宋_GB2312"/>
          <w:sz w:val="32"/>
          <w:szCs w:val="32"/>
          <w:lang w:val="en-US" w:eastAsia="zh-CN"/>
        </w:rPr>
        <w:t>局已编制上报我市碳达峰“1+N”政策文件之一《深圳市城乡建设绿色低碳行动计划》，加大建筑光伏应用的推进力度，科学测算相关指标并纳入生态文明考核，为全市光伏规模化发展提供更加广阔的建筑应用场景。</w:t>
      </w:r>
    </w:p>
    <w:p>
      <w:pPr>
        <w:keepNext w:val="0"/>
        <w:keepLines w:val="0"/>
        <w:pageBreakBefore w:val="0"/>
        <w:widowControl/>
        <w:kinsoku/>
        <w:overflowPunct/>
        <w:topLinePunct w:val="0"/>
        <w:autoSpaceDE/>
        <w:autoSpaceDN/>
        <w:bidi w:val="0"/>
        <w:adjustRightInd w:val="0"/>
        <w:snapToGrid w:val="0"/>
        <w:spacing w:beforeLines="0" w:line="560" w:lineRule="exact"/>
        <w:ind w:firstLine="642" w:firstLineChars="200"/>
        <w:jc w:val="left"/>
        <w:textAlignment w:val="auto"/>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b/>
          <w:bCs/>
          <w:sz w:val="32"/>
          <w:szCs w:val="32"/>
          <w:lang w:val="en-US" w:eastAsia="zh-CN"/>
        </w:rPr>
        <w:t>二是</w:t>
      </w:r>
      <w:r>
        <w:rPr>
          <w:rFonts w:hint="eastAsia" w:cs="仿宋_GB2312"/>
          <w:sz w:val="32"/>
          <w:szCs w:val="32"/>
          <w:lang w:val="en-US" w:eastAsia="zh-CN"/>
        </w:rPr>
        <w:t>注重</w:t>
      </w:r>
      <w:r>
        <w:rPr>
          <w:rFonts w:hint="eastAsia" w:ascii="仿宋_GB2312" w:hAnsi="仿宋_GB2312" w:eastAsia="仿宋_GB2312" w:cs="仿宋_GB2312"/>
          <w:sz w:val="32"/>
          <w:szCs w:val="32"/>
          <w:lang w:val="en-US" w:eastAsia="zh-CN"/>
        </w:rPr>
        <w:t>体系</w:t>
      </w:r>
      <w:r>
        <w:rPr>
          <w:rFonts w:hint="eastAsia" w:cs="仿宋_GB2312"/>
          <w:sz w:val="32"/>
          <w:szCs w:val="32"/>
          <w:lang w:val="en-US" w:eastAsia="zh-CN"/>
        </w:rPr>
        <w:t>建设</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 w:eastAsia="zh-CN"/>
        </w:rPr>
        <w:t>我市高度重视</w:t>
      </w:r>
      <w:r>
        <w:rPr>
          <w:rFonts w:hint="eastAsia" w:cs="仿宋_GB2312"/>
          <w:sz w:val="32"/>
          <w:szCs w:val="32"/>
          <w:lang w:val="en" w:eastAsia="zh-CN"/>
        </w:rPr>
        <w:t>光伏等</w:t>
      </w:r>
      <w:r>
        <w:rPr>
          <w:rFonts w:hint="eastAsia" w:ascii="仿宋_GB2312" w:hAnsi="仿宋_GB2312" w:eastAsia="仿宋_GB2312" w:cs="仿宋_GB2312"/>
          <w:sz w:val="32"/>
          <w:szCs w:val="32"/>
          <w:lang w:val="en" w:eastAsia="zh-CN"/>
        </w:rPr>
        <w:t>可再生能源建筑应用工作，在推进</w:t>
      </w:r>
      <w:r>
        <w:rPr>
          <w:rFonts w:hint="eastAsia" w:ascii="仿宋_GB2312" w:hAnsi="仿宋_GB2312" w:eastAsia="仿宋_GB2312" w:cs="仿宋_GB2312"/>
          <w:sz w:val="32"/>
          <w:szCs w:val="32"/>
          <w:lang w:val="en-US" w:eastAsia="zh-CN"/>
        </w:rPr>
        <w:t>城市第六立面专项行动时，将光伏屋顶纳入建设内容。同时大力推动</w:t>
      </w:r>
      <w:r>
        <w:rPr>
          <w:rFonts w:hint="eastAsia" w:ascii="仿宋_GB2312" w:hAnsi="仿宋_GB2312" w:eastAsia="仿宋_GB2312" w:cs="仿宋_GB2312"/>
          <w:sz w:val="32"/>
          <w:szCs w:val="32"/>
          <w:lang w:val="en" w:eastAsia="zh-CN"/>
        </w:rPr>
        <w:t>“光储直柔”建筑试点建设，已有未来大厦、中建绿色产业园、华为数字能源安托山基地等具有代表性的项目。按房建工程项目竣工验收口径统计，全市现有太阳能光热建筑1187个、集热面积103.78万平方米，太阳能光伏应用项目85个、装机功率5</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 w:eastAsia="zh-CN"/>
        </w:rPr>
        <w:t>0</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lang w:val="en" w:eastAsia="zh-CN"/>
        </w:rPr>
        <w:t>万</w:t>
      </w:r>
      <w:r>
        <w:rPr>
          <w:rFonts w:hint="eastAsia" w:ascii="仿宋_GB2312" w:hAnsi="仿宋_GB2312" w:eastAsia="仿宋_GB2312" w:cs="仿宋_GB2312"/>
          <w:sz w:val="32"/>
          <w:szCs w:val="32"/>
          <w:lang w:val="en-US" w:eastAsia="zh-CN"/>
        </w:rPr>
        <w:t>千瓦，受惠建筑面积3341万平方米。</w:t>
      </w:r>
      <w:r>
        <w:rPr>
          <w:rFonts w:hint="eastAsia" w:ascii="仿宋_GB2312" w:hAnsi="仿宋_GB2312" w:eastAsia="仿宋_GB2312" w:cs="仿宋_GB2312"/>
          <w:sz w:val="32"/>
          <w:szCs w:val="32"/>
          <w:lang w:val="en" w:eastAsia="zh-CN"/>
        </w:rPr>
        <w:t>我局已启动深圳市地方标准《居住建筑节能设计标准》和《公共建筑节能设计标准》的全面修订，推动新建建筑根据不同类型、不同高度的特征，充分利用屋面、立面空间，进一步提升新建建筑</w:t>
      </w:r>
      <w:r>
        <w:rPr>
          <w:rFonts w:hint="eastAsia" w:cs="仿宋_GB2312"/>
          <w:sz w:val="32"/>
          <w:szCs w:val="32"/>
          <w:lang w:val="en" w:eastAsia="zh-CN"/>
        </w:rPr>
        <w:t>光伏等</w:t>
      </w:r>
      <w:r>
        <w:rPr>
          <w:rFonts w:hint="eastAsia" w:ascii="仿宋_GB2312" w:hAnsi="仿宋_GB2312" w:eastAsia="仿宋_GB2312" w:cs="仿宋_GB2312"/>
          <w:sz w:val="32"/>
          <w:szCs w:val="32"/>
          <w:lang w:val="en" w:eastAsia="zh-CN"/>
        </w:rPr>
        <w:t>可再生能源利用率。</w:t>
      </w:r>
    </w:p>
    <w:p>
      <w:pPr>
        <w:keepNext w:val="0"/>
        <w:keepLines w:val="0"/>
        <w:pageBreakBefore w:val="0"/>
        <w:widowControl/>
        <w:kinsoku/>
        <w:overflowPunct/>
        <w:topLinePunct w:val="0"/>
        <w:autoSpaceDE/>
        <w:autoSpaceDN/>
        <w:bidi w:val="0"/>
        <w:adjustRightInd w:val="0"/>
        <w:snapToGrid w:val="0"/>
        <w:spacing w:beforeLines="0" w:line="560" w:lineRule="exact"/>
        <w:ind w:firstLine="642" w:firstLineChars="200"/>
        <w:jc w:val="both"/>
        <w:textAlignment w:val="auto"/>
        <w:rPr>
          <w:rFonts w:hint="eastAsia"/>
          <w:lang w:val="en-US" w:eastAsia="zh-CN"/>
        </w:rPr>
      </w:pPr>
      <w:r>
        <w:rPr>
          <w:rFonts w:hint="eastAsia" w:ascii="仿宋_GB2312" w:hAnsi="仿宋_GB2312" w:eastAsia="仿宋_GB2312" w:cs="仿宋_GB2312"/>
          <w:b/>
          <w:bCs/>
          <w:sz w:val="32"/>
          <w:szCs w:val="32"/>
          <w:lang w:val="en-US" w:eastAsia="zh-CN"/>
        </w:rPr>
        <w:t>三是</w:t>
      </w:r>
      <w:r>
        <w:rPr>
          <w:rFonts w:hint="eastAsia" w:cs="仿宋_GB2312"/>
          <w:sz w:val="32"/>
          <w:szCs w:val="32"/>
          <w:lang w:val="en-US" w:eastAsia="zh-CN"/>
        </w:rPr>
        <w:t>增加扶持力度。根据</w:t>
      </w:r>
      <w:r>
        <w:rPr>
          <w:rFonts w:hint="eastAsia" w:ascii="仿宋_GB2312" w:hAnsi="仿宋_GB2312" w:eastAsia="仿宋_GB2312" w:cs="仿宋_GB2312"/>
          <w:sz w:val="32"/>
          <w:szCs w:val="32"/>
          <w:lang w:val="en-US" w:eastAsia="zh-CN"/>
        </w:rPr>
        <w:t>《深圳市关于大力推进分布式光伏发电的若干措施》等文件</w:t>
      </w:r>
      <w:r>
        <w:rPr>
          <w:rFonts w:hint="eastAsia" w:cs="仿宋_GB2312"/>
          <w:sz w:val="32"/>
          <w:szCs w:val="32"/>
          <w:lang w:val="en-US" w:eastAsia="zh-CN"/>
        </w:rPr>
        <w:t>，</w:t>
      </w:r>
      <w:r>
        <w:rPr>
          <w:rFonts w:hint="eastAsia" w:ascii="仿宋_GB2312" w:hAnsi="仿宋_GB2312" w:eastAsia="仿宋_GB2312" w:cs="仿宋_GB2312"/>
          <w:sz w:val="32"/>
          <w:szCs w:val="32"/>
          <w:lang w:val="en-US" w:eastAsia="zh-CN"/>
        </w:rPr>
        <w:t>创新光伏项目投融资服务，充分发挥投资引导基金等政策性基金引导作用，鼓励社会资本积极投资建设光伏项目，发挥深圳气候投融资改革优势，引导碳减排支持工具为光伏项目提供低成本资金；实施薄膜光伏项目财政补贴，对于本市范围内于2022年1月1日至2025年12月31日期间建成，并网计量的薄膜光伏示范项目纳入补贴范围，市级财政对纳入补贴范围项目在本政策有效期内的发电量予以补贴，推动薄膜光伏示范应用。</w:t>
      </w:r>
    </w:p>
    <w:p>
      <w:pPr>
        <w:pStyle w:val="3"/>
        <w:bidi w:val="0"/>
        <w:adjustRightInd w:val="0"/>
        <w:snapToGrid w:val="0"/>
        <w:spacing w:beforeLines="0"/>
        <w:rPr>
          <w:rFonts w:hint="eastAsia"/>
          <w:color w:val="auto"/>
          <w:lang w:val="en-US" w:eastAsia="zh-CN"/>
        </w:rPr>
      </w:pPr>
      <w:r>
        <w:rPr>
          <w:rFonts w:hint="eastAsia"/>
          <w:color w:val="auto"/>
          <w:lang w:val="en-US" w:eastAsia="zh-CN"/>
        </w:rPr>
        <w:t>三、关于“引导政府基金加大对科技型建筑企业的投融资支持，助推建筑产业转型升级”的建议。</w:t>
      </w:r>
    </w:p>
    <w:p>
      <w:pPr>
        <w:bidi w:val="0"/>
        <w:adjustRightInd w:val="0"/>
        <w:snapToGrid w:val="0"/>
        <w:spacing w:beforeLines="0"/>
        <w:rPr>
          <w:rFonts w:hint="default"/>
          <w:color w:val="auto"/>
          <w:lang w:eastAsia="zh-Hans"/>
        </w:rPr>
      </w:pPr>
      <w:r>
        <w:rPr>
          <w:rFonts w:hint="eastAsia"/>
          <w:b/>
          <w:bCs/>
          <w:color w:val="auto"/>
          <w:lang w:val="en-US" w:eastAsia="zh-Hans"/>
        </w:rPr>
        <w:t>一是</w:t>
      </w:r>
      <w:r>
        <w:rPr>
          <w:rFonts w:hint="eastAsia"/>
          <w:b w:val="0"/>
          <w:bCs w:val="0"/>
          <w:color w:val="auto"/>
          <w:lang w:val="en-US" w:eastAsia="zh-CN"/>
        </w:rPr>
        <w:t>加强</w:t>
      </w:r>
      <w:r>
        <w:rPr>
          <w:rFonts w:hint="eastAsia"/>
          <w:color w:val="auto"/>
          <w:lang w:val="en-US" w:eastAsia="zh-CN"/>
        </w:rPr>
        <w:t>政策</w:t>
      </w:r>
      <w:r>
        <w:rPr>
          <w:rFonts w:hint="eastAsia"/>
          <w:color w:val="auto"/>
          <w:lang w:val="en-US" w:eastAsia="zh-Hans"/>
        </w:rPr>
        <w:t>引领</w:t>
      </w:r>
      <w:r>
        <w:rPr>
          <w:rFonts w:hint="default"/>
          <w:color w:val="auto"/>
          <w:lang w:eastAsia="zh-Hans"/>
        </w:rPr>
        <w:t>。</w:t>
      </w:r>
      <w:r>
        <w:rPr>
          <w:rFonts w:hint="eastAsia"/>
          <w:color w:val="auto"/>
          <w:lang w:val="en-US" w:eastAsia="zh-Hans"/>
        </w:rPr>
        <w:t>市工业和信息化局</w:t>
      </w:r>
      <w:r>
        <w:rPr>
          <w:rFonts w:hint="eastAsia"/>
          <w:color w:val="auto"/>
          <w:lang w:val="en-US" w:eastAsia="zh-CN"/>
        </w:rPr>
        <w:t>印发了</w:t>
      </w:r>
      <w:r>
        <w:rPr>
          <w:rFonts w:hint="default"/>
          <w:color w:val="auto"/>
          <w:lang w:eastAsia="zh-Hans"/>
        </w:rPr>
        <w:t>《</w:t>
      </w:r>
      <w:r>
        <w:rPr>
          <w:rFonts w:hint="eastAsia"/>
          <w:color w:val="auto"/>
          <w:lang w:val="en-US" w:eastAsia="zh-Hans"/>
        </w:rPr>
        <w:t>安全节能环保产业集群行动计划（2021年-2025年）</w:t>
      </w:r>
      <w:r>
        <w:rPr>
          <w:rFonts w:hint="default"/>
          <w:color w:val="auto"/>
          <w:lang w:eastAsia="zh-Hans"/>
        </w:rPr>
        <w:t>》</w:t>
      </w:r>
      <w:r>
        <w:rPr>
          <w:rFonts w:hint="eastAsia"/>
          <w:color w:val="auto"/>
          <w:lang w:val="en-US" w:eastAsia="zh-Hans"/>
        </w:rPr>
        <w:t>，积极谋划布局建筑废弃物综合利用行业发展；推广光储直柔为主的绿色建筑技术；推动工业园区转供电升级改造，提高园区建筑用电效能，鼓励园区开展需求侧响应，创建绿色低碳示范园区，减少能耗和碳排放</w:t>
      </w:r>
      <w:r>
        <w:rPr>
          <w:rFonts w:hint="default"/>
          <w:color w:val="auto"/>
          <w:lang w:eastAsia="zh-Hans"/>
        </w:rPr>
        <w:t>。</w:t>
      </w:r>
    </w:p>
    <w:p>
      <w:pPr>
        <w:bidi w:val="0"/>
        <w:adjustRightInd w:val="0"/>
        <w:snapToGrid w:val="0"/>
        <w:spacing w:beforeLines="0"/>
        <w:rPr>
          <w:rFonts w:hint="default"/>
          <w:color w:val="auto"/>
          <w:lang w:eastAsia="zh-Hans"/>
        </w:rPr>
      </w:pPr>
      <w:r>
        <w:rPr>
          <w:rFonts w:hint="eastAsia"/>
          <w:b/>
          <w:bCs/>
          <w:color w:val="auto"/>
          <w:lang w:eastAsia="zh-CN"/>
        </w:rPr>
        <w:t>二是</w:t>
      </w:r>
      <w:r>
        <w:rPr>
          <w:rFonts w:hint="eastAsia"/>
          <w:color w:val="auto"/>
          <w:lang w:eastAsia="zh-CN"/>
        </w:rPr>
        <w:t>加强金融支持。</w:t>
      </w:r>
      <w:r>
        <w:rPr>
          <w:rFonts w:hint="default"/>
          <w:color w:val="auto"/>
          <w:lang w:eastAsia="zh-Hans"/>
        </w:rPr>
        <w:t>2016年以来，市科技创新委员会累计立项资助建筑生命周期产业链低碳升级相关基础研究、技术攻关等项目19个,资助金额近2000万元。</w:t>
      </w:r>
      <w:r>
        <w:rPr>
          <w:rFonts w:hint="eastAsia"/>
          <w:color w:val="auto"/>
          <w:lang w:eastAsia="zh-CN"/>
        </w:rPr>
        <w:t>为</w:t>
      </w:r>
      <w:r>
        <w:rPr>
          <w:rFonts w:hint="default"/>
          <w:color w:val="auto"/>
          <w:lang w:eastAsia="zh-Hans"/>
        </w:rPr>
        <w:t>争创国家绿色金融改革创新试验区，市地方金融监管局明确提出支持设立绿色产业投资基金，引导有实力的机构投资者和社会资本，投资节能环保、清洁能源、绿色交通、绿色建筑等领域的企业和项目；创新分布式光伏发电保险以及绿色建筑类保险，推广新能源汽车、充电桩保险，促进能源、交通、建筑领域低碳发展；深化区域碳市场、创新碳金融产品。</w:t>
      </w:r>
    </w:p>
    <w:p>
      <w:pPr>
        <w:bidi w:val="0"/>
        <w:adjustRightInd w:val="0"/>
        <w:snapToGrid w:val="0"/>
        <w:spacing w:beforeLines="0"/>
        <w:rPr>
          <w:rFonts w:hint="eastAsia"/>
          <w:color w:val="auto"/>
          <w:lang w:val="en-US" w:eastAsia="zh-Hans"/>
        </w:rPr>
      </w:pPr>
      <w:r>
        <w:rPr>
          <w:rFonts w:hint="eastAsia"/>
          <w:b/>
          <w:bCs/>
          <w:color w:val="auto"/>
          <w:lang w:val="en-US" w:eastAsia="zh-CN"/>
        </w:rPr>
        <w:t>三</w:t>
      </w:r>
      <w:r>
        <w:rPr>
          <w:rFonts w:hint="eastAsia"/>
          <w:b/>
          <w:bCs/>
          <w:color w:val="auto"/>
          <w:lang w:val="en-US" w:eastAsia="zh-Hans"/>
        </w:rPr>
        <w:t>是</w:t>
      </w:r>
      <w:r>
        <w:rPr>
          <w:rFonts w:hint="eastAsia"/>
          <w:color w:val="auto"/>
          <w:lang w:val="en-US" w:eastAsia="zh-Hans"/>
        </w:rPr>
        <w:t>加强技术研发</w:t>
      </w:r>
      <w:r>
        <w:rPr>
          <w:rFonts w:hint="default"/>
          <w:color w:val="auto"/>
          <w:lang w:eastAsia="zh-Hans"/>
        </w:rPr>
        <w:t>。市科技创新委员会</w:t>
      </w:r>
      <w:r>
        <w:rPr>
          <w:rFonts w:hint="eastAsia"/>
          <w:color w:val="auto"/>
          <w:lang w:eastAsia="zh-CN"/>
        </w:rPr>
        <w:t>印发了</w:t>
      </w:r>
      <w:r>
        <w:rPr>
          <w:rFonts w:hint="eastAsia"/>
          <w:color w:val="auto"/>
          <w:lang w:val="en-US" w:eastAsia="zh-Hans"/>
        </w:rPr>
        <w:t>《深圳市科技创新“十四五”规划》</w:t>
      </w:r>
      <w:r>
        <w:rPr>
          <w:rFonts w:hint="default"/>
          <w:color w:val="auto"/>
          <w:lang w:eastAsia="zh-Hans"/>
        </w:rPr>
        <w:t>，</w:t>
      </w:r>
      <w:r>
        <w:rPr>
          <w:rFonts w:hint="eastAsia"/>
          <w:color w:val="auto"/>
          <w:lang w:val="en-US" w:eastAsia="zh-Hans"/>
        </w:rPr>
        <w:t>明确提出重点在绿色低碳建筑技术领域开展技术攻关,研发光储直柔技术、高效空调系统技术、建筑废弃物再生利用技术等</w:t>
      </w:r>
      <w:r>
        <w:rPr>
          <w:rFonts w:hint="eastAsia"/>
          <w:color w:val="auto"/>
          <w:lang w:val="en-US" w:eastAsia="zh-CN"/>
        </w:rPr>
        <w:t>，</w:t>
      </w:r>
      <w:r>
        <w:rPr>
          <w:rFonts w:hint="eastAsia"/>
          <w:color w:val="auto"/>
          <w:lang w:val="en-US" w:eastAsia="zh-Hans"/>
        </w:rPr>
        <w:t>推动建设国家可持续发展议程创新示范区,打造安全、宜居、智慧、绿色、韧性城市。将聚焦我市新型绿色智能建筑材料研发及产业应用相关基础研究和技术攻关</w:t>
      </w:r>
      <w:r>
        <w:rPr>
          <w:rFonts w:hint="eastAsia"/>
          <w:color w:val="auto"/>
          <w:lang w:val="en-US" w:eastAsia="zh-CN"/>
        </w:rPr>
        <w:t>，</w:t>
      </w:r>
      <w:r>
        <w:rPr>
          <w:rFonts w:hint="eastAsia"/>
          <w:color w:val="auto"/>
          <w:lang w:val="en-US" w:eastAsia="zh-Hans"/>
        </w:rPr>
        <w:t>持续支持节能建筑应用领域科技创新活动</w:t>
      </w:r>
      <w:r>
        <w:rPr>
          <w:rFonts w:hint="eastAsia"/>
          <w:color w:val="auto"/>
          <w:lang w:val="en-US" w:eastAsia="zh-CN"/>
        </w:rPr>
        <w:t>，</w:t>
      </w:r>
      <w:r>
        <w:rPr>
          <w:rFonts w:hint="eastAsia"/>
          <w:color w:val="auto"/>
          <w:lang w:val="en-US" w:eastAsia="zh-Hans"/>
        </w:rPr>
        <w:t>推动低碳建筑新材料新工艺应用成果加速转化。</w:t>
      </w:r>
    </w:p>
    <w:p>
      <w:pPr>
        <w:bidi w:val="0"/>
        <w:adjustRightInd w:val="0"/>
        <w:snapToGrid w:val="0"/>
        <w:spacing w:beforeLines="0"/>
        <w:rPr>
          <w:rFonts w:hint="eastAsia"/>
          <w:color w:val="auto"/>
          <w:lang w:val="en-US" w:eastAsia="zh-CN"/>
        </w:rPr>
      </w:pPr>
      <w:r>
        <w:rPr>
          <w:rFonts w:hint="eastAsia"/>
          <w:color w:val="auto"/>
          <w:lang w:val="en-US" w:eastAsia="zh-CN"/>
        </w:rPr>
        <w:t>再次感谢您对我们工作的关心和支持。</w:t>
      </w:r>
    </w:p>
    <w:p>
      <w:pPr>
        <w:keepNext w:val="0"/>
        <w:keepLines w:val="0"/>
        <w:pageBreakBefore w:val="0"/>
        <w:widowControl w:val="0"/>
        <w:kinsoku/>
        <w:wordWrap/>
        <w:overflowPunct/>
        <w:topLinePunct w:val="0"/>
        <w:autoSpaceDE/>
        <w:autoSpaceDN/>
        <w:bidi w:val="0"/>
        <w:adjustRightInd w:val="0"/>
        <w:snapToGrid w:val="0"/>
        <w:spacing w:beforeLines="0"/>
        <w:ind w:right="1280" w:rightChars="400"/>
        <w:jc w:val="right"/>
        <w:textAlignment w:val="auto"/>
        <w:rPr>
          <w:rFonts w:hint="eastAsia"/>
          <w:color w:val="auto"/>
          <w:lang w:val="en-US" w:eastAsia="zh-CN"/>
        </w:rPr>
      </w:pPr>
    </w:p>
    <w:p>
      <w:pPr>
        <w:keepNext w:val="0"/>
        <w:keepLines w:val="0"/>
        <w:pageBreakBefore w:val="0"/>
        <w:widowControl w:val="0"/>
        <w:kinsoku/>
        <w:wordWrap/>
        <w:overflowPunct/>
        <w:topLinePunct w:val="0"/>
        <w:autoSpaceDE/>
        <w:autoSpaceDN/>
        <w:bidi w:val="0"/>
        <w:adjustRightInd w:val="0"/>
        <w:snapToGrid w:val="0"/>
        <w:spacing w:beforeLines="0"/>
        <w:ind w:right="1280" w:rightChars="400"/>
        <w:jc w:val="right"/>
        <w:textAlignment w:val="auto"/>
        <w:rPr>
          <w:rFonts w:hint="eastAsia"/>
          <w:color w:val="auto"/>
          <w:lang w:val="en-US" w:eastAsia="zh-CN"/>
        </w:rPr>
      </w:pPr>
      <w:r>
        <w:rPr>
          <w:rFonts w:hint="eastAsia"/>
          <w:color w:val="auto"/>
          <w:lang w:val="en-US" w:eastAsia="zh-CN"/>
        </w:rPr>
        <w:t>深圳市住房和建设局</w:t>
      </w:r>
    </w:p>
    <w:p>
      <w:pPr>
        <w:wordWrap w:val="0"/>
        <w:bidi w:val="0"/>
        <w:adjustRightInd w:val="0"/>
        <w:snapToGrid w:val="0"/>
        <w:spacing w:beforeLines="0"/>
        <w:jc w:val="right"/>
        <w:rPr>
          <w:rFonts w:hint="eastAsia"/>
          <w:color w:val="auto"/>
          <w:lang w:val="en-US" w:eastAsia="zh-CN"/>
        </w:rPr>
      </w:pPr>
      <w:r>
        <w:rPr>
          <w:rFonts w:hint="eastAsia"/>
          <w:color w:val="auto"/>
          <w:lang w:val="en-US" w:eastAsia="zh-CN"/>
        </w:rPr>
        <w:t xml:space="preserve">2023年4月23日         </w:t>
      </w:r>
    </w:p>
    <w:p>
      <w:pPr>
        <w:pStyle w:val="2"/>
        <w:wordWrap/>
        <w:adjustRightInd w:val="0"/>
        <w:snapToGrid w:val="0"/>
        <w:spacing w:beforeLines="0"/>
        <w:rPr>
          <w:rFonts w:hint="default"/>
          <w:color w:val="auto"/>
          <w:lang w:val="en-US" w:eastAsia="zh-CN"/>
        </w:rPr>
      </w:pPr>
    </w:p>
    <w:p>
      <w:pPr>
        <w:bidi w:val="0"/>
        <w:adjustRightInd w:val="0"/>
        <w:snapToGrid w:val="0"/>
        <w:spacing w:beforeLines="0"/>
        <w:ind w:firstLine="0" w:firstLineChars="0"/>
        <w:jc w:val="center"/>
        <w:rPr>
          <w:color w:val="auto"/>
        </w:rPr>
      </w:pPr>
      <w:r>
        <w:rPr>
          <w:rFonts w:hint="eastAsia"/>
          <w:color w:val="auto"/>
          <w:lang w:val="en-US" w:eastAsia="zh-CN"/>
        </w:rPr>
        <w:t>（联系人：周蜜，电话：83785668、13827440669）</w:t>
      </w:r>
    </w:p>
    <w:p/>
    <w:sectPr>
      <w:pgSz w:w="11906" w:h="16838"/>
      <w:pgMar w:top="1440" w:right="1800" w:bottom="1440" w:left="1800"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楷体">
    <w:altName w:val="方正楷体_GBK"/>
    <w:panose1 w:val="02010609060101010101"/>
    <w:charset w:val="00"/>
    <w:family w:val="modern"/>
    <w:pitch w:val="default"/>
    <w:sig w:usb0="00000000" w:usb1="00000000"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CESI仿宋-GB2312">
    <w:panose1 w:val="02000500000000000000"/>
    <w:charset w:val="86"/>
    <w:family w:val="auto"/>
    <w:pitch w:val="default"/>
    <w:sig w:usb0="800002AF" w:usb1="084F6CF8" w:usb2="00000010" w:usb3="00000000" w:csb0="0004000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FreeSerif">
    <w:panose1 w:val="02020603050405020304"/>
    <w:charset w:val="00"/>
    <w:family w:val="auto"/>
    <w:pitch w:val="default"/>
    <w:sig w:usb0="E59FAFFF" w:usb1="C200FDFF" w:usb2="43501B29" w:usb3="04000043" w:csb0="600101FF" w:csb1="FFFF0000"/>
  </w:font>
  <w:font w:name="Standard Symbols PS">
    <w:panose1 w:val="05050102010706020507"/>
    <w:charset w:val="00"/>
    <w:family w:val="auto"/>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7FFBE3D"/>
    <w:multiLevelType w:val="singleLevel"/>
    <w:tmpl w:val="77FFBE3D"/>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7FF7DA0"/>
    <w:rsid w:val="3FDB6680"/>
    <w:rsid w:val="56B973BD"/>
    <w:rsid w:val="57FC87D1"/>
    <w:rsid w:val="779F41AC"/>
    <w:rsid w:val="7BFFA457"/>
    <w:rsid w:val="7ED7CDE8"/>
    <w:rsid w:val="7EEB0003"/>
    <w:rsid w:val="B7FD15E8"/>
    <w:rsid w:val="FB754855"/>
    <w:rsid w:val="FB97DA2D"/>
    <w:rsid w:val="FD7CC8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640" w:firstLineChars="200"/>
      <w:jc w:val="both"/>
    </w:pPr>
    <w:rPr>
      <w:rFonts w:ascii="仿宋_GB2312" w:hAnsi="仿宋_GB2312" w:eastAsia="仿宋_GB2312" w:cs="Times New Roman"/>
      <w:kern w:val="2"/>
      <w:sz w:val="32"/>
      <w:szCs w:val="24"/>
      <w:lang w:val="en-US" w:eastAsia="zh-CN" w:bidi="ar-SA"/>
    </w:rPr>
  </w:style>
  <w:style w:type="paragraph" w:styleId="3">
    <w:name w:val="heading 1"/>
    <w:next w:val="1"/>
    <w:qFormat/>
    <w:uiPriority w:val="0"/>
    <w:pPr>
      <w:spacing w:line="560" w:lineRule="exact"/>
      <w:ind w:left="0" w:firstLine="883" w:firstLineChars="200"/>
      <w:jc w:val="both"/>
      <w:outlineLvl w:val="0"/>
    </w:pPr>
    <w:rPr>
      <w:rFonts w:ascii="黑体" w:hAnsi="黑体" w:eastAsia="黑体" w:cs="Times New Roman"/>
      <w:kern w:val="2"/>
      <w:sz w:val="32"/>
      <w:szCs w:val="24"/>
      <w:lang w:val="en-US" w:eastAsia="zh-CN" w:bidi="ar-SA"/>
    </w:rPr>
  </w:style>
  <w:style w:type="paragraph" w:styleId="4">
    <w:name w:val="heading 2"/>
    <w:basedOn w:val="1"/>
    <w:next w:val="1"/>
    <w:unhideWhenUsed/>
    <w:qFormat/>
    <w:uiPriority w:val="0"/>
    <w:pPr>
      <w:spacing w:line="560" w:lineRule="exact"/>
      <w:ind w:firstLine="200" w:firstLineChars="200"/>
      <w:outlineLvl w:val="1"/>
    </w:pPr>
    <w:rPr>
      <w:rFonts w:ascii="楷体" w:hAnsi="楷体" w:eastAsia="楷体_GB231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5">
    <w:name w:val="Title"/>
    <w:next w:val="1"/>
    <w:qFormat/>
    <w:uiPriority w:val="0"/>
    <w:pPr>
      <w:spacing w:line="560" w:lineRule="exact"/>
      <w:jc w:val="center"/>
      <w:outlineLvl w:val="0"/>
    </w:pPr>
    <w:rPr>
      <w:rFonts w:ascii="方正小标宋_GBK" w:hAnsi="方正小标宋_GBK" w:eastAsia="方正小标宋_GBK" w:cs="宋体"/>
      <w:kern w:val="2"/>
      <w:sz w:val="44"/>
      <w:szCs w:val="44"/>
      <w:lang w:val="en-US" w:eastAsia="zh-CN" w:bidi="ar-SA"/>
    </w:rPr>
  </w:style>
  <w:style w:type="character" w:customStyle="1" w:styleId="8">
    <w:name w:val="NormalCharacter"/>
    <w:semiHidden/>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15</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2023-03-29T16:54:00Z</dcterms:created>
  <dc:creator>chenxin</dc:creator>
  <cp:lastModifiedBy>chenxin</cp:lastModifiedBy>
  <dcterms:modified xsi:type="dcterms:W3CDTF">2023-04-23T14:47:00Z</dcterms:modified>
  <dc:title>公  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