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黑体" w:hAnsi="黑体" w:eastAsia="黑体" w:cs="黑体"/>
          <w:sz w:val="32"/>
          <w:vertAlign w:val="baseline"/>
          <w:lang w:val="en-US" w:eastAsia="zh-CN"/>
        </w:rPr>
      </w:pPr>
      <w:r>
        <w:rPr>
          <w:rFonts w:hint="eastAsia" w:ascii="黑体" w:hAnsi="黑体" w:eastAsia="黑体" w:cs="黑体"/>
          <w:sz w:val="32"/>
          <w:vertAlign w:val="baseline"/>
          <w:lang w:val="en-US" w:eastAsia="zh-CN"/>
        </w:rPr>
        <w:t>公  开</w:t>
      </w:r>
    </w:p>
    <w:p>
      <w:pPr>
        <w:keepNext w:val="0"/>
        <w:keepLines w:val="0"/>
        <w:pageBreakBefore w:val="0"/>
        <w:kinsoku/>
        <w:wordWrap/>
        <w:overflowPunct/>
        <w:topLinePunct w:val="0"/>
        <w:autoSpaceDE/>
        <w:autoSpaceDN/>
        <w:bidi w:val="0"/>
        <w:adjustRightInd/>
        <w:snapToGrid/>
        <w:spacing w:line="560" w:lineRule="exact"/>
        <w:jc w:val="left"/>
        <w:textAlignment w:val="auto"/>
        <w:rPr>
          <w:rFonts w:hint="default" w:ascii="黑体" w:hAnsi="黑体" w:eastAsia="黑体" w:cs="黑体"/>
          <w:sz w:val="32"/>
          <w:vertAlign w:val="baseline"/>
          <w:lang w:val="en-US" w:eastAsia="zh-CN"/>
        </w:rPr>
      </w:pPr>
      <w:r>
        <w:rPr>
          <w:rFonts w:hint="default" w:ascii="黑体" w:hAnsi="黑体" w:eastAsia="黑体" w:cs="黑体"/>
          <w:sz w:val="32"/>
          <w:vertAlign w:val="baseline"/>
          <w:lang w:val="en" w:eastAsia="zh-CN"/>
        </w:rPr>
        <w:t>A</w:t>
      </w:r>
      <w:r>
        <w:rPr>
          <w:rFonts w:hint="eastAsia" w:ascii="黑体" w:hAnsi="黑体" w:eastAsia="黑体" w:cs="黑体"/>
          <w:sz w:val="32"/>
          <w:vertAlign w:val="baseline"/>
          <w:lang w:val="en-US" w:eastAsia="zh-CN"/>
        </w:rPr>
        <w:t xml:space="preserve">   类</w:t>
      </w:r>
    </w:p>
    <w:p>
      <w:pPr>
        <w:pStyle w:val="8"/>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lang w:val="en-US" w:eastAsia="zh-CN"/>
        </w:rPr>
      </w:pPr>
    </w:p>
    <w:p>
      <w:pPr>
        <w:pStyle w:val="8"/>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lang w:val="en-US" w:eastAsia="zh-CN"/>
        </w:rPr>
      </w:pPr>
      <w:r>
        <w:rPr>
          <w:rFonts w:hint="eastAsia" w:ascii="方正小标宋简体" w:hAnsi="方正小标宋简体" w:eastAsia="方正小标宋简体" w:cs="方正小标宋简体"/>
          <w:lang w:val="en-US" w:eastAsia="zh-CN"/>
        </w:rPr>
        <w:t>深圳市住房和建设局关于市七届人大四次会议第20230846号建议答复的函</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尊敬的曾滔代表：</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r>
        <w:rPr>
          <w:rFonts w:hint="eastAsia"/>
          <w:lang w:val="en-US" w:eastAsia="zh-CN"/>
        </w:rPr>
        <w:t>您在市七届人大四次会议上提出的代表建议《关于厘清物业管理边界和物业管理事务实施主体责权利关系的建议》（建议第20230846号）已经市人大常委会转我局以及市委编办、市规划资源局、市城管局、市公安局、市水务局办理。非常感谢您对我们工作的关心和支持。对您的建议，我们进行了认真研究，现答复如下：</w:t>
      </w:r>
    </w:p>
    <w:p>
      <w:pPr>
        <w:pStyle w:val="3"/>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一、关于“厘清物业管理的行政监管职责边界”的建议</w:t>
      </w:r>
    </w:p>
    <w:p>
      <w:pPr>
        <w:pStyle w:val="5"/>
        <w:keepNext w:val="0"/>
        <w:keepLines w:val="0"/>
        <w:pageBreakBefore w:val="0"/>
        <w:widowControl w:val="0"/>
        <w:kinsoku/>
        <w:wordWrap/>
        <w:overflowPunct/>
        <w:topLinePunct w:val="0"/>
        <w:autoSpaceDE/>
        <w:autoSpaceDN/>
        <w:bidi w:val="0"/>
        <w:adjustRightInd/>
        <w:snapToGrid/>
        <w:spacing w:beforeLines="0" w:afterLines="0" w:line="560" w:lineRule="exact"/>
        <w:ind w:firstLine="640" w:firstLineChars="200"/>
        <w:textAlignment w:val="auto"/>
        <w:rPr>
          <w:rFonts w:hint="eastAsia"/>
          <w:lang w:val="en-US" w:eastAsia="zh-CN"/>
        </w:rPr>
      </w:pPr>
      <w:r>
        <w:rPr>
          <w:rFonts w:hint="eastAsia"/>
          <w:lang w:val="en-US" w:eastAsia="zh-CN"/>
        </w:rPr>
        <w:t>特区法规已明确住建部门及街道办行政监管职责</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r>
        <w:rPr>
          <w:rFonts w:hint="eastAsia"/>
          <w:lang w:val="en-US" w:eastAsia="zh-CN"/>
        </w:rPr>
        <w:t>《深圳经济特区物业管理条例》（以下简称《条例》）规定，</w:t>
      </w:r>
      <w:r>
        <w:rPr>
          <w:rFonts w:hint="eastAsia"/>
          <w:b/>
          <w:bCs/>
          <w:lang w:val="en-US" w:eastAsia="zh-CN"/>
        </w:rPr>
        <w:t>我局</w:t>
      </w:r>
      <w:r>
        <w:rPr>
          <w:rFonts w:hint="eastAsia"/>
          <w:lang w:val="en-US" w:eastAsia="zh-CN"/>
        </w:rPr>
        <w:t>负责本市物业管理活动的监督管理和指导工作，履行贯彻执行物业管理法律法规和相关规定、研究拟定或者制定物业管理规划标准规范和措施、指导、协调全市物业使用安全监督检查工作、统筹全市物业专项维修资金管理工作等职责。</w:t>
      </w:r>
      <w:r>
        <w:rPr>
          <w:rFonts w:hint="eastAsia"/>
          <w:b/>
          <w:bCs/>
          <w:lang w:val="en-US" w:eastAsia="zh-CN"/>
        </w:rPr>
        <w:t>区住建部门</w:t>
      </w:r>
      <w:r>
        <w:rPr>
          <w:rFonts w:hint="eastAsia"/>
          <w:lang w:val="en-US" w:eastAsia="zh-CN"/>
        </w:rPr>
        <w:t>负责辖区内物业管理的监督管理和指导工作。</w:t>
      </w:r>
      <w:r>
        <w:rPr>
          <w:rFonts w:hint="eastAsia"/>
          <w:b/>
          <w:bCs/>
          <w:lang w:val="en-US" w:eastAsia="zh-CN"/>
        </w:rPr>
        <w:t>街道办事处</w:t>
      </w:r>
      <w:r>
        <w:rPr>
          <w:rFonts w:hint="eastAsia"/>
          <w:lang w:val="en-US" w:eastAsia="zh-CN"/>
        </w:rPr>
        <w:t>负责组织、协调业主大会成立以及业主委员会的选举工作，指导、监督业主大会和业主委员会的日常活动，调解物业管理纠纷，并配合住房和建设部门对物业管理活动进行监督管理。</w:t>
      </w:r>
    </w:p>
    <w:p>
      <w:pPr>
        <w:pStyle w:val="5"/>
        <w:keepNext w:val="0"/>
        <w:keepLines w:val="0"/>
        <w:pageBreakBefore w:val="0"/>
        <w:widowControl w:val="0"/>
        <w:kinsoku/>
        <w:wordWrap/>
        <w:overflowPunct/>
        <w:topLinePunct w:val="0"/>
        <w:autoSpaceDE/>
        <w:autoSpaceDN/>
        <w:bidi w:val="0"/>
        <w:adjustRightInd/>
        <w:snapToGrid/>
        <w:spacing w:beforeLines="0" w:afterLines="0" w:line="560" w:lineRule="exact"/>
        <w:ind w:firstLine="640" w:firstLineChars="200"/>
        <w:textAlignment w:val="auto"/>
        <w:rPr>
          <w:rFonts w:hint="eastAsia"/>
          <w:lang w:val="en-US" w:eastAsia="zh-CN"/>
        </w:rPr>
      </w:pPr>
      <w:r>
        <w:rPr>
          <w:rFonts w:hint="eastAsia"/>
          <w:lang w:val="en-US" w:eastAsia="zh-CN"/>
        </w:rPr>
        <w:t>特区法规已明确物业小区其他行政监管职责</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r>
        <w:rPr>
          <w:rFonts w:hint="eastAsia"/>
          <w:lang w:val="en-US" w:eastAsia="zh-CN"/>
        </w:rPr>
        <w:t>《条例》规定，</w:t>
      </w:r>
      <w:r>
        <w:rPr>
          <w:rFonts w:hint="eastAsia"/>
        </w:rPr>
        <w:t>市、区人民政府公安、规划和自然资源、城市管理和综合执法等相关部门按照各自职责，依法开展物业管理相关工作。</w:t>
      </w:r>
      <w:r>
        <w:rPr>
          <w:rFonts w:hint="eastAsia"/>
          <w:b/>
          <w:bCs/>
          <w:lang w:val="en-US" w:eastAsia="zh-CN"/>
        </w:rPr>
        <w:t>公安机关</w:t>
      </w:r>
      <w:r>
        <w:rPr>
          <w:rFonts w:hint="eastAsia"/>
          <w:lang w:val="en-US" w:eastAsia="zh-CN"/>
        </w:rPr>
        <w:t>负责依法查处住宅物业管理区域影响公共安全和公共秩序的违法行为，对监控安防、车辆停放等开展监督检查。</w:t>
      </w:r>
      <w:r>
        <w:rPr>
          <w:rFonts w:hint="eastAsia"/>
          <w:b/>
          <w:bCs/>
          <w:lang w:val="en-US" w:eastAsia="zh-CN"/>
        </w:rPr>
        <w:t>消防救援机构</w:t>
      </w:r>
      <w:r>
        <w:rPr>
          <w:rFonts w:hint="eastAsia"/>
          <w:lang w:val="en-US" w:eastAsia="zh-CN"/>
        </w:rPr>
        <w:t>负责依法查处物业管理区域的消防违法行为。</w:t>
      </w:r>
      <w:r>
        <w:rPr>
          <w:rFonts w:hint="eastAsia"/>
          <w:b/>
          <w:bCs/>
          <w:lang w:val="en-US" w:eastAsia="zh-CN"/>
        </w:rPr>
        <w:t>城市管理和综合执法部门</w:t>
      </w:r>
      <w:r>
        <w:rPr>
          <w:rFonts w:hint="eastAsia"/>
          <w:lang w:val="en-US" w:eastAsia="zh-CN"/>
        </w:rPr>
        <w:t>负责物业管理区域乱设摊点、占用和损坏绿地、擅自伐移树木、违规养犬、户外广告、垃圾分类、饮食服务业油烟污染等行为的监督检查。</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r>
        <w:rPr>
          <w:rFonts w:hint="eastAsia"/>
          <w:lang w:val="en-US" w:eastAsia="zh-CN"/>
        </w:rPr>
        <w:t>同时，水务部门负责小区排水（化粪池）设施的监管；规划土地监察局负责对物业小区内违法建设行为的监管；城市居住区绿地和单位附属绿地由物业管理单位或者业主按照城市公共绿地维护要求负责维护，城市管理和综合执法部门应当进行指导、检查和监督。</w:t>
      </w:r>
    </w:p>
    <w:p>
      <w:pPr>
        <w:pStyle w:val="5"/>
        <w:keepNext w:val="0"/>
        <w:keepLines w:val="0"/>
        <w:pageBreakBefore w:val="0"/>
        <w:widowControl w:val="0"/>
        <w:kinsoku/>
        <w:wordWrap/>
        <w:overflowPunct/>
        <w:topLinePunct w:val="0"/>
        <w:autoSpaceDE/>
        <w:autoSpaceDN/>
        <w:bidi w:val="0"/>
        <w:adjustRightInd/>
        <w:snapToGrid/>
        <w:spacing w:beforeLines="0" w:afterLines="0" w:line="560" w:lineRule="exact"/>
        <w:ind w:firstLine="640" w:firstLineChars="200"/>
        <w:textAlignment w:val="auto"/>
        <w:rPr>
          <w:rFonts w:hint="eastAsia"/>
          <w:lang w:val="en-US" w:eastAsia="zh-CN"/>
        </w:rPr>
      </w:pPr>
      <w:r>
        <w:rPr>
          <w:rFonts w:hint="eastAsia"/>
          <w:lang w:val="en-US" w:eastAsia="zh-CN"/>
        </w:rPr>
        <w:t>特区法规已明确小区水电气通讯设施移交专营单位管理</w:t>
      </w:r>
    </w:p>
    <w:p>
      <w:pPr>
        <w:keepNext w:val="0"/>
        <w:keepLines w:val="0"/>
        <w:pageBreakBefore w:val="0"/>
        <w:tabs>
          <w:tab w:val="left" w:pos="5812"/>
        </w:tabs>
        <w:kinsoku/>
        <w:wordWrap/>
        <w:overflowPunct/>
        <w:topLinePunct w:val="0"/>
        <w:autoSpaceDE/>
        <w:autoSpaceDN/>
        <w:bidi w:val="0"/>
        <w:adjustRightInd/>
        <w:snapToGrid/>
        <w:spacing w:line="560" w:lineRule="exact"/>
        <w:ind w:left="0" w:leftChars="0" w:right="0" w:firstLine="641"/>
        <w:textAlignment w:val="auto"/>
        <w:rPr>
          <w:rFonts w:hint="eastAsia" w:ascii="仿宋_GB2312" w:hAnsi="仿宋_GB2312" w:eastAsia="仿宋_GB2312" w:cs="仿宋_GB2312"/>
          <w:kern w:val="1"/>
          <w:sz w:val="32"/>
          <w:szCs w:val="32"/>
        </w:rPr>
      </w:pPr>
      <w:r>
        <w:rPr>
          <w:rStyle w:val="13"/>
          <w:rFonts w:hint="eastAsia"/>
          <w:lang w:val="en-US" w:eastAsia="zh-CN"/>
        </w:rPr>
        <w:t>《条例》明确，</w:t>
      </w:r>
      <w:r>
        <w:rPr>
          <w:rStyle w:val="13"/>
          <w:rFonts w:hint="eastAsia"/>
        </w:rPr>
        <w:t>新建住宅建设项目竣工验收备案之日起三个月内，建设单位应当将附着于物业管理区域共有物业符合国家标准和技术规范的供水</w:t>
      </w:r>
      <w:r>
        <w:rPr>
          <w:rFonts w:hint="eastAsia" w:ascii="仿宋_GB2312" w:hAnsi="仿宋_GB2312" w:eastAsia="仿宋_GB2312" w:cs="仿宋_GB2312"/>
          <w:kern w:val="1"/>
          <w:sz w:val="32"/>
          <w:szCs w:val="32"/>
        </w:rPr>
        <w:t>、排水、供电、供气、通讯等设施设备移交相关专营单位管理养护，相关专营单位应当接收。现有住宅物业区域附着于共有物业的供水、供电、供气、通讯等设施设备，符合国家标准和技术规范，经业主共同决定移交的，相关专营单位应当接收，物业服务企业应当配合移交工作。</w:t>
      </w:r>
    </w:p>
    <w:p>
      <w:pPr>
        <w:pStyle w:val="2"/>
        <w:keepNext w:val="0"/>
        <w:keepLines w:val="0"/>
        <w:pageBreakBefore w:val="0"/>
        <w:kinsoku/>
        <w:wordWrap/>
        <w:overflowPunct/>
        <w:topLinePunct w:val="0"/>
        <w:autoSpaceDE/>
        <w:autoSpaceDN/>
        <w:bidi w:val="0"/>
        <w:adjustRightInd/>
        <w:snapToGrid/>
        <w:spacing w:line="560" w:lineRule="exact"/>
        <w:textAlignment w:val="auto"/>
        <w:rPr>
          <w:rFonts w:hint="eastAsia" w:ascii="Calibri" w:hAnsi="Calibri" w:eastAsia="楷体_GB2312" w:cs="Times New Roman"/>
          <w:kern w:val="2"/>
          <w:sz w:val="32"/>
          <w:szCs w:val="24"/>
          <w:lang w:val="en-US" w:eastAsia="zh-CN" w:bidi="ar-SA"/>
        </w:rPr>
      </w:pPr>
      <w:r>
        <w:rPr>
          <w:rFonts w:hint="eastAsia" w:eastAsia="楷体_GB2312" w:cs="Times New Roman"/>
          <w:kern w:val="2"/>
          <w:sz w:val="32"/>
          <w:szCs w:val="24"/>
          <w:lang w:val="en-US" w:eastAsia="zh-CN" w:bidi="ar-SA"/>
        </w:rPr>
        <w:t>（四）</w:t>
      </w:r>
      <w:r>
        <w:rPr>
          <w:rFonts w:hint="eastAsia" w:ascii="Calibri" w:hAnsi="Calibri" w:eastAsia="楷体_GB2312" w:cs="Times New Roman"/>
          <w:kern w:val="2"/>
          <w:sz w:val="32"/>
          <w:szCs w:val="24"/>
          <w:lang w:val="en-US" w:eastAsia="zh-CN" w:bidi="ar-SA"/>
        </w:rPr>
        <w:t>典型做法</w:t>
      </w:r>
    </w:p>
    <w:p>
      <w:pPr>
        <w:pStyle w:val="2"/>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1"/>
          <w:sz w:val="32"/>
          <w:szCs w:val="32"/>
          <w:lang w:eastAsia="zh-CN"/>
        </w:rPr>
      </w:pPr>
      <w:r>
        <w:rPr>
          <w:rFonts w:hint="eastAsia" w:ascii="仿宋_GB2312" w:hAnsi="仿宋_GB2312" w:eastAsia="仿宋_GB2312" w:cs="仿宋_GB2312"/>
          <w:kern w:val="1"/>
          <w:sz w:val="32"/>
          <w:szCs w:val="32"/>
          <w:lang w:eastAsia="zh-CN"/>
        </w:rPr>
        <w:t>市公安局已开展“智感安防小区”建设，在小区现有防范的基础上，通过建设智感采集前端设备，对人脸、车禁、门禁、视频等数据进行采集，加强社区治安管理要素的动态感知采集，加强对重点人员和车辆的发现及预警。</w:t>
      </w:r>
    </w:p>
    <w:p>
      <w:pPr>
        <w:pStyle w:val="3"/>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二、关于“</w:t>
      </w:r>
      <w:r>
        <w:rPr>
          <w:rFonts w:hint="eastAsia" w:ascii="黑体" w:hAnsi="黑体" w:eastAsia="黑体" w:cs="黑体"/>
          <w:sz w:val="32"/>
          <w:szCs w:val="32"/>
          <w:lang w:val="en-US" w:eastAsia="zh-CN"/>
        </w:rPr>
        <w:t>加强业委会的监管</w:t>
      </w:r>
      <w:r>
        <w:rPr>
          <w:rFonts w:hint="eastAsia" w:ascii="黑体" w:hAnsi="黑体" w:eastAsia="黑体" w:cs="黑体"/>
          <w:sz w:val="32"/>
          <w:szCs w:val="32"/>
          <w:lang w:eastAsia="zh-CN"/>
        </w:rPr>
        <w:t>”的建议</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ascii="楷体_GB2312" w:hAnsi="楷体_GB2312" w:eastAsia="楷体_GB2312" w:cs="楷体_GB2312"/>
          <w:kern w:val="2"/>
          <w:sz w:val="32"/>
          <w:szCs w:val="24"/>
          <w:lang w:val="en-US" w:eastAsia="zh-CN" w:bidi="ar-SA"/>
        </w:rPr>
      </w:pPr>
      <w:r>
        <w:rPr>
          <w:rFonts w:hint="eastAsia" w:ascii="楷体_GB2312" w:hAnsi="楷体_GB2312" w:eastAsia="楷体_GB2312" w:cs="楷体_GB2312"/>
          <w:kern w:val="2"/>
          <w:sz w:val="32"/>
          <w:szCs w:val="24"/>
          <w:lang w:val="en-US" w:eastAsia="zh-CN" w:bidi="ar-SA"/>
        </w:rPr>
        <w:t>（一）明确业主大会和业主委员会地位</w:t>
      </w:r>
    </w:p>
    <w:p>
      <w:pPr>
        <w:pStyle w:val="2"/>
        <w:keepNext w:val="0"/>
        <w:keepLines w:val="0"/>
        <w:pageBreakBefore w:val="0"/>
        <w:kinsoku/>
        <w:wordWrap/>
        <w:overflowPunct/>
        <w:topLinePunct w:val="0"/>
        <w:autoSpaceDE/>
        <w:autoSpaceDN/>
        <w:bidi w:val="0"/>
        <w:adjustRightInd/>
        <w:snapToGrid/>
        <w:spacing w:line="560" w:lineRule="exact"/>
        <w:textAlignment w:val="auto"/>
        <w:rPr>
          <w:rStyle w:val="13"/>
          <w:rFonts w:hint="eastAsia" w:cs="Times New Roman"/>
          <w:kern w:val="2"/>
          <w:szCs w:val="24"/>
          <w:lang w:val="en-US" w:eastAsia="zh-CN" w:bidi="ar-SA"/>
        </w:rPr>
      </w:pPr>
      <w:r>
        <w:rPr>
          <w:rStyle w:val="13"/>
          <w:rFonts w:hint="eastAsia" w:cs="Times New Roman"/>
          <w:kern w:val="2"/>
          <w:szCs w:val="24"/>
          <w:lang w:val="en-US" w:eastAsia="zh-CN" w:bidi="ar-SA"/>
        </w:rPr>
        <w:t>无论是《民法典》还是《条例》都明确业主大会的权利地位，业主大会作出的决议对全体业主有约束力。根据《条例》第三十四条第一款规定，业主委员会是业主大会的执行机构，接受业主大会、业主监事会或者监事以及业主的监督。业主委员会委员、候补委员阻挠、妨碍业主大会行使职权或者拒不执行业主大会决定，由区住房和建设</w:t>
      </w:r>
      <w:bookmarkStart w:id="0" w:name="_GoBack"/>
      <w:bookmarkEnd w:id="0"/>
      <w:r>
        <w:rPr>
          <w:rStyle w:val="13"/>
          <w:rFonts w:hint="eastAsia" w:cs="Times New Roman"/>
          <w:kern w:val="2"/>
          <w:szCs w:val="24"/>
          <w:lang w:val="en-US" w:eastAsia="zh-CN" w:bidi="ar-SA"/>
        </w:rPr>
        <w:t>部门给予警告，并处一万元以上三万元以下罚款，有违法所得的，没收违法所得。</w:t>
      </w:r>
    </w:p>
    <w:p>
      <w:pPr>
        <w:pStyle w:val="2"/>
        <w:keepNext w:val="0"/>
        <w:keepLines w:val="0"/>
        <w:pageBreakBefore w:val="0"/>
        <w:numPr>
          <w:ilvl w:val="0"/>
          <w:numId w:val="3"/>
        </w:numPr>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kern w:val="2"/>
          <w:sz w:val="32"/>
          <w:szCs w:val="24"/>
          <w:lang w:val="en-US" w:eastAsia="zh-CN" w:bidi="ar-SA"/>
        </w:rPr>
      </w:pPr>
      <w:r>
        <w:rPr>
          <w:rFonts w:hint="eastAsia" w:ascii="楷体_GB2312" w:hAnsi="楷体_GB2312" w:eastAsia="楷体_GB2312" w:cs="楷体_GB2312"/>
          <w:kern w:val="2"/>
          <w:sz w:val="32"/>
          <w:szCs w:val="24"/>
          <w:lang w:val="en-US" w:eastAsia="zh-CN" w:bidi="ar-SA"/>
        </w:rPr>
        <w:t>设立专门机构指导业主委员会</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r>
        <w:rPr>
          <w:rFonts w:hint="eastAsia"/>
          <w:lang w:val="en-US" w:eastAsia="zh-CN"/>
        </w:rPr>
        <w:t>2021年12月，市委组织部会同市住房建设局、市民政局联合印发《关于推进“支部建在小区上”提升居民小区治理水平的若干措施》（深组通〔2021〕38号），要求街道会同民政、住建部门指导社区居民委员会设立环境和物业管理委员会，鼓励引入专业力量为业主委员会和小区居民提供政策咨询、法律服务、财务管理、物业监督等专业支持。</w:t>
      </w:r>
    </w:p>
    <w:p>
      <w:pPr>
        <w:pStyle w:val="3"/>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三、关于“厘清物业管理边界”的建议</w:t>
      </w:r>
    </w:p>
    <w:p>
      <w:pPr>
        <w:pStyle w:val="2"/>
        <w:keepNext w:val="0"/>
        <w:keepLines w:val="0"/>
        <w:pageBreakBefore w:val="0"/>
        <w:kinsoku/>
        <w:wordWrap/>
        <w:overflowPunct/>
        <w:topLinePunct w:val="0"/>
        <w:autoSpaceDE/>
        <w:autoSpaceDN/>
        <w:bidi w:val="0"/>
        <w:adjustRightInd/>
        <w:snapToGrid/>
        <w:spacing w:line="560" w:lineRule="exact"/>
        <w:textAlignment w:val="auto"/>
        <w:rPr>
          <w:rStyle w:val="13"/>
          <w:rFonts w:hint="eastAsia"/>
          <w:lang w:val="en-US" w:eastAsia="zh-CN"/>
        </w:rPr>
      </w:pPr>
      <w:r>
        <w:rPr>
          <w:rStyle w:val="13"/>
          <w:rFonts w:hint="eastAsia"/>
          <w:lang w:val="en-US" w:eastAsia="zh-CN"/>
        </w:rPr>
        <w:t>与第一个建议相同，详见第一部分。</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r>
        <w:rPr>
          <w:rFonts w:hint="eastAsia"/>
          <w:lang w:val="en-US" w:eastAsia="zh-CN"/>
        </w:rPr>
        <w:t>再次感谢您对我们工作的关心和支持。</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eastAsia"/>
          <w:lang w:val="en-US" w:eastAsia="zh-CN"/>
        </w:rPr>
      </w:pPr>
    </w:p>
    <w:p>
      <w:pPr>
        <w:pStyle w:val="6"/>
        <w:keepNext w:val="0"/>
        <w:keepLines w:val="0"/>
        <w:pageBreakBefore w:val="0"/>
        <w:kinsoku/>
        <w:wordWrap/>
        <w:overflowPunct/>
        <w:topLinePunct w:val="0"/>
        <w:autoSpaceDE/>
        <w:autoSpaceDN/>
        <w:bidi w:val="0"/>
        <w:adjustRightInd/>
        <w:snapToGrid/>
        <w:spacing w:beforeLines="0" w:afterLines="0" w:line="560" w:lineRule="exact"/>
        <w:ind w:firstLine="4838" w:firstLineChars="1512"/>
        <w:textAlignment w:val="auto"/>
        <w:rPr>
          <w:rFonts w:hint="eastAsia"/>
          <w:lang w:val="en-US" w:eastAsia="zh-CN"/>
        </w:rPr>
      </w:pPr>
      <w:r>
        <w:rPr>
          <w:rFonts w:hint="eastAsia"/>
          <w:lang w:val="en-US" w:eastAsia="zh-CN"/>
        </w:rPr>
        <w:t>深圳市住房和建设局</w:t>
      </w:r>
    </w:p>
    <w:p>
      <w:pPr>
        <w:pStyle w:val="6"/>
        <w:keepNext w:val="0"/>
        <w:keepLines w:val="0"/>
        <w:pageBreakBefore w:val="0"/>
        <w:kinsoku/>
        <w:wordWrap/>
        <w:overflowPunct/>
        <w:topLinePunct w:val="0"/>
        <w:autoSpaceDE/>
        <w:autoSpaceDN/>
        <w:bidi w:val="0"/>
        <w:adjustRightInd/>
        <w:snapToGrid/>
        <w:spacing w:beforeLines="0" w:afterLines="0" w:line="560" w:lineRule="exact"/>
        <w:ind w:firstLine="5155" w:firstLineChars="1611"/>
        <w:textAlignment w:val="auto"/>
        <w:rPr>
          <w:rFonts w:hint="eastAsia"/>
          <w:lang w:val="en-US" w:eastAsia="zh-CN"/>
        </w:rPr>
      </w:pPr>
      <w:r>
        <w:rPr>
          <w:rFonts w:hint="eastAsia"/>
          <w:lang w:val="en-US" w:eastAsia="zh-CN"/>
        </w:rPr>
        <w:t>2023年</w:t>
      </w:r>
      <w:r>
        <w:rPr>
          <w:rFonts w:hint="default"/>
          <w:lang w:val="en" w:eastAsia="zh-CN"/>
        </w:rPr>
        <w:t>6</w:t>
      </w:r>
      <w:r>
        <w:rPr>
          <w:rFonts w:hint="eastAsia"/>
          <w:lang w:val="en-US" w:eastAsia="zh-CN"/>
        </w:rPr>
        <w:t>月</w:t>
      </w:r>
      <w:r>
        <w:rPr>
          <w:rFonts w:hint="default"/>
          <w:lang w:val="en" w:eastAsia="zh-CN"/>
        </w:rPr>
        <w:t>5</w:t>
      </w:r>
      <w:r>
        <w:rPr>
          <w:rFonts w:hint="eastAsia"/>
          <w:lang w:val="en-US" w:eastAsia="zh-CN"/>
        </w:rPr>
        <w:t>日</w:t>
      </w:r>
    </w:p>
    <w:p>
      <w:pPr>
        <w:pStyle w:val="6"/>
        <w:keepNext w:val="0"/>
        <w:keepLines w:val="0"/>
        <w:pageBreakBefore w:val="0"/>
        <w:kinsoku/>
        <w:wordWrap/>
        <w:overflowPunct/>
        <w:topLinePunct w:val="0"/>
        <w:autoSpaceDE/>
        <w:autoSpaceDN/>
        <w:bidi w:val="0"/>
        <w:adjustRightInd/>
        <w:snapToGrid/>
        <w:spacing w:beforeLines="0" w:afterLines="0" w:line="560" w:lineRule="exact"/>
        <w:textAlignment w:val="auto"/>
        <w:rPr>
          <w:rFonts w:hint="default"/>
          <w:lang w:val="en-US" w:eastAsia="zh-CN"/>
        </w:rPr>
      </w:pPr>
    </w:p>
    <w:p>
      <w:pPr>
        <w:pStyle w:val="6"/>
        <w:keepNext w:val="0"/>
        <w:keepLines w:val="0"/>
        <w:pageBreakBefore w:val="0"/>
        <w:kinsoku/>
        <w:wordWrap/>
        <w:overflowPunct/>
        <w:topLinePunct w:val="0"/>
        <w:autoSpaceDE/>
        <w:autoSpaceDN/>
        <w:bidi w:val="0"/>
        <w:adjustRightInd/>
        <w:snapToGrid/>
        <w:spacing w:beforeLines="0" w:afterLines="0" w:line="560" w:lineRule="exact"/>
        <w:ind w:firstLine="0" w:firstLineChars="0"/>
        <w:jc w:val="center"/>
        <w:textAlignment w:val="auto"/>
        <w:rPr>
          <w:rFonts w:hint="eastAsia"/>
          <w:lang w:val="en-US" w:eastAsia="zh-CN"/>
        </w:rPr>
      </w:pPr>
      <w:r>
        <w:rPr>
          <w:rFonts w:hint="eastAsia"/>
          <w:lang w:val="en-US" w:eastAsia="zh-CN"/>
        </w:rPr>
        <w:t>（联系人及电话</w:t>
      </w:r>
      <w:r>
        <w:rPr>
          <w:rFonts w:hint="eastAsia" w:ascii="仿宋_GB2312" w:eastAsia="仿宋_GB2312"/>
          <w:lang w:val="en-US" w:eastAsia="zh-CN"/>
        </w:rPr>
        <w:t>：</w:t>
      </w:r>
      <w:r>
        <w:rPr>
          <w:rFonts w:hint="eastAsia"/>
          <w:lang w:val="en-US" w:eastAsia="zh-CN"/>
        </w:rPr>
        <w:t>李亚力，18676348188</w:t>
      </w:r>
      <w:r>
        <w:rPr>
          <w:rFonts w:hint="eastAsia" w:ascii="仿宋_GB2312" w:eastAsia="仿宋_GB2312"/>
          <w:lang w:val="en-US" w:eastAsia="zh-CN"/>
        </w:rPr>
        <w:t>）</w:t>
      </w:r>
    </w:p>
    <w:p>
      <w:pPr>
        <w:keepNext w:val="0"/>
        <w:keepLines w:val="0"/>
        <w:pageBreakBefore w:val="0"/>
        <w:kinsoku/>
        <w:wordWrap/>
        <w:overflowPunct/>
        <w:topLinePunct w:val="0"/>
        <w:autoSpaceDE/>
        <w:autoSpaceDN/>
        <w:bidi w:val="0"/>
        <w:adjustRightInd/>
        <w:snapToGrid/>
        <w:spacing w:line="560" w:lineRule="exact"/>
        <w:textAlignment w:val="auto"/>
      </w:pPr>
    </w:p>
    <w:p/>
    <w:sectPr>
      <w:footerReference r:id="rId3" w:type="default"/>
      <w:pgSz w:w="11906" w:h="16838"/>
      <w:pgMar w:top="2041" w:right="1531" w:bottom="1871"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7"/>
                          </w:pPr>
                          <w:r>
                            <w:fldChar w:fldCharType="begin"/>
                          </w:r>
                          <w:r>
                            <w:instrText xml:space="preserve"> PAGE  \* MERGEFORMAT </w:instrText>
                          </w:r>
                          <w:r>
                            <w:fldChar w:fldCharType="separate"/>
                          </w:r>
                          <w:r>
                            <w:t>1</w:t>
                          </w:r>
                          <w: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FE1525"/>
    <w:multiLevelType w:val="singleLevel"/>
    <w:tmpl w:val="FCFE1525"/>
    <w:lvl w:ilvl="0" w:tentative="0">
      <w:start w:val="1"/>
      <w:numFmt w:val="chineseCounting"/>
      <w:pStyle w:val="4"/>
      <w:suff w:val="nothing"/>
      <w:lvlText w:val="%1、"/>
      <w:lvlJc w:val="left"/>
      <w:pPr>
        <w:ind w:left="0" w:firstLine="420"/>
      </w:pPr>
      <w:rPr>
        <w:rFonts w:hint="eastAsia"/>
      </w:rPr>
    </w:lvl>
  </w:abstractNum>
  <w:abstractNum w:abstractNumId="1">
    <w:nsid w:val="FF9B4A20"/>
    <w:multiLevelType w:val="singleLevel"/>
    <w:tmpl w:val="FF9B4A20"/>
    <w:lvl w:ilvl="0" w:tentative="0">
      <w:start w:val="1"/>
      <w:numFmt w:val="chineseCounting"/>
      <w:pStyle w:val="5"/>
      <w:suff w:val="nothing"/>
      <w:lvlText w:val="（%1）"/>
      <w:lvlJc w:val="left"/>
      <w:pPr>
        <w:ind w:left="0" w:firstLine="420"/>
      </w:pPr>
      <w:rPr>
        <w:rFonts w:hint="eastAsia"/>
      </w:rPr>
    </w:lvl>
  </w:abstractNum>
  <w:abstractNum w:abstractNumId="2">
    <w:nsid w:val="2EFF9D0D"/>
    <w:multiLevelType w:val="singleLevel"/>
    <w:tmpl w:val="2EFF9D0D"/>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757E21"/>
    <w:rsid w:val="6DFDD19F"/>
    <w:rsid w:val="77E795FC"/>
    <w:rsid w:val="7AFB7FD3"/>
    <w:rsid w:val="7EBF3A5F"/>
    <w:rsid w:val="7F738B4D"/>
    <w:rsid w:val="7FDB79E0"/>
    <w:rsid w:val="BDFF1B05"/>
    <w:rsid w:val="BF7729D3"/>
    <w:rsid w:val="CEBF15C4"/>
    <w:rsid w:val="E77F2FBF"/>
    <w:rsid w:val="F27F8D80"/>
    <w:rsid w:val="F7CFC2E7"/>
    <w:rsid w:val="F91F5397"/>
    <w:rsid w:val="FDEC7521"/>
    <w:rsid w:val="FFCEAFC5"/>
    <w:rsid w:val="FFFD8C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val="0"/>
      <w:keepLines w:val="0"/>
      <w:spacing w:beforeLines="0" w:beforeAutospacing="0" w:afterLines="0" w:afterAutospacing="0" w:line="560" w:lineRule="exact"/>
      <w:jc w:val="center"/>
      <w:outlineLvl w:val="0"/>
    </w:pPr>
    <w:rPr>
      <w:rFonts w:ascii="Calibri" w:hAnsi="Calibri" w:eastAsia="方正小标宋简体" w:cs="Times New Roman"/>
      <w:kern w:val="44"/>
      <w:sz w:val="44"/>
    </w:rPr>
  </w:style>
  <w:style w:type="paragraph" w:styleId="4">
    <w:name w:val="heading 2"/>
    <w:basedOn w:val="1"/>
    <w:next w:val="1"/>
    <w:semiHidden/>
    <w:unhideWhenUsed/>
    <w:qFormat/>
    <w:uiPriority w:val="0"/>
    <w:pPr>
      <w:keepNext w:val="0"/>
      <w:keepLines w:val="0"/>
      <w:numPr>
        <w:ilvl w:val="0"/>
        <w:numId w:val="1"/>
      </w:numPr>
      <w:spacing w:beforeLines="0" w:beforeAutospacing="0" w:afterLines="0" w:afterAutospacing="0" w:line="560" w:lineRule="exact"/>
      <w:ind w:firstLine="880" w:firstLineChars="200"/>
      <w:outlineLvl w:val="1"/>
    </w:pPr>
    <w:rPr>
      <w:rFonts w:ascii="Arial" w:hAnsi="Arial" w:eastAsia="黑体" w:cs="Times New Roman"/>
      <w:sz w:val="32"/>
    </w:rPr>
  </w:style>
  <w:style w:type="paragraph" w:styleId="5">
    <w:name w:val="heading 3"/>
    <w:basedOn w:val="1"/>
    <w:next w:val="1"/>
    <w:link w:val="12"/>
    <w:semiHidden/>
    <w:unhideWhenUsed/>
    <w:qFormat/>
    <w:uiPriority w:val="0"/>
    <w:pPr>
      <w:keepNext w:val="0"/>
      <w:keepLines w:val="0"/>
      <w:numPr>
        <w:ilvl w:val="0"/>
        <w:numId w:val="2"/>
      </w:numPr>
      <w:spacing w:beforeLines="0" w:beforeAutospacing="0" w:afterLines="0" w:afterAutospacing="0" w:line="560" w:lineRule="exact"/>
      <w:ind w:firstLine="628" w:firstLineChars="200"/>
      <w:outlineLvl w:val="2"/>
    </w:pPr>
    <w:rPr>
      <w:rFonts w:ascii="Calibri" w:hAnsi="Calibri" w:eastAsia="楷体_GB2312" w:cs="Times New Roman"/>
      <w:sz w:val="32"/>
    </w:rPr>
  </w:style>
  <w:style w:type="paragraph" w:styleId="6">
    <w:name w:val="heading 4"/>
    <w:basedOn w:val="1"/>
    <w:next w:val="1"/>
    <w:link w:val="13"/>
    <w:semiHidden/>
    <w:unhideWhenUsed/>
    <w:qFormat/>
    <w:uiPriority w:val="0"/>
    <w:pPr>
      <w:keepNext w:val="0"/>
      <w:keepLines w:val="0"/>
      <w:spacing w:beforeLines="0" w:beforeAutospacing="0" w:afterLines="0" w:afterAutospacing="0" w:line="560" w:lineRule="exact"/>
      <w:ind w:firstLine="880" w:firstLineChars="200"/>
      <w:outlineLvl w:val="3"/>
    </w:pPr>
    <w:rPr>
      <w:rFonts w:ascii="仿宋_GB2312" w:hAnsi="仿宋_GB2312" w:eastAsia="仿宋_GB2312" w:cs="Times New Roman"/>
      <w:sz w:val="3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 w:type="character" w:customStyle="1" w:styleId="11">
    <w:name w:val="标题 4 Char"/>
    <w:link w:val="6"/>
    <w:qFormat/>
    <w:uiPriority w:val="0"/>
    <w:rPr>
      <w:rFonts w:ascii="仿宋_GB2312" w:hAnsi="仿宋_GB2312" w:eastAsia="仿宋_GB2312" w:cs="Times New Roman"/>
      <w:sz w:val="32"/>
    </w:rPr>
  </w:style>
  <w:style w:type="character" w:customStyle="1" w:styleId="12">
    <w:name w:val="标题 3 Char"/>
    <w:link w:val="5"/>
    <w:qFormat/>
    <w:uiPriority w:val="0"/>
    <w:rPr>
      <w:rFonts w:ascii="Calibri" w:hAnsi="Calibri" w:eastAsia="楷体_GB2312" w:cs="Times New Roman"/>
      <w:sz w:val="32"/>
    </w:rPr>
  </w:style>
  <w:style w:type="character" w:customStyle="1" w:styleId="13">
    <w:name w:val="标题 4 Char1"/>
    <w:link w:val="6"/>
    <w:qFormat/>
    <w:uiPriority w:val="0"/>
    <w:rPr>
      <w:rFonts w:ascii="仿宋_GB2312" w:hAnsi="仿宋_GB2312" w:eastAsia="仿宋_GB2312" w:cs="Times New Roman"/>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2022-07-22T06:56:00Z</dcterms:created>
  <dc:creator>chenxin</dc:creator>
  <cp:lastModifiedBy>chenxin</cp:lastModifiedBy>
  <dcterms:modified xsi:type="dcterms:W3CDTF">2023-06-06T09:51:27Z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