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20"/>
        <w:jc w:val="center"/>
        <w:rPr>
          <w:rFonts w:ascii="宋体" w:eastAsia="宋体"/>
          <w:b/>
          <w:sz w:val="44"/>
          <w:lang w:val="en"/>
        </w:rPr>
      </w:pPr>
      <w:r>
        <w:rPr>
          <w:rFonts w:hint="eastAsia" w:ascii="宋体" w:eastAsia="宋体"/>
          <w:b/>
          <w:sz w:val="44"/>
          <w:lang w:val="en"/>
        </w:rPr>
        <w:t>帆湾海寓项目安居型商品房</w:t>
      </w:r>
    </w:p>
    <w:p>
      <w:pPr>
        <w:ind w:left="220"/>
        <w:jc w:val="center"/>
        <w:rPr>
          <w:rFonts w:ascii="宋体" w:eastAsia="宋体"/>
          <w:b/>
          <w:sz w:val="44"/>
        </w:rPr>
      </w:pPr>
      <w:r>
        <w:rPr>
          <w:rFonts w:hint="eastAsia" w:ascii="宋体" w:eastAsia="宋体"/>
          <w:b/>
          <w:sz w:val="44"/>
          <w:lang w:val="en"/>
        </w:rPr>
        <w:t>看房交通指引和注意事项</w:t>
      </w:r>
    </w:p>
    <w:p>
      <w:pPr>
        <w:ind w:left="220"/>
        <w:jc w:val="center"/>
        <w:rPr>
          <w:rFonts w:ascii="宋体" w:eastAsia="宋体"/>
          <w:b/>
          <w:sz w:val="44"/>
        </w:rPr>
      </w:pPr>
    </w:p>
    <w:p>
      <w:pPr>
        <w:pStyle w:val="2"/>
        <w:spacing w:line="360" w:lineRule="auto"/>
        <w:ind w:right="409" w:firstLine="602" w:firstLineChars="200"/>
        <w:jc w:val="both"/>
        <w:rPr>
          <w:b/>
          <w:bCs/>
          <w:kern w:val="2"/>
          <w:lang w:bidi="ar-SA"/>
        </w:rPr>
      </w:pPr>
      <w:r>
        <w:rPr>
          <w:rFonts w:hint="eastAsia"/>
          <w:b/>
          <w:bCs/>
          <w:kern w:val="2"/>
          <w:lang w:bidi="ar-SA"/>
        </w:rPr>
        <w:t>看房现场不提供停车位，建议绿色出行。请看房家庭认真仔细阅读以下事项：</w:t>
      </w:r>
    </w:p>
    <w:p>
      <w:pPr>
        <w:pStyle w:val="2"/>
        <w:spacing w:line="360" w:lineRule="auto"/>
        <w:ind w:right="409" w:firstLine="602" w:firstLineChars="200"/>
        <w:jc w:val="both"/>
      </w:pPr>
      <w:r>
        <w:rPr>
          <w:rFonts w:hint="eastAsia"/>
          <w:b/>
          <w:bCs/>
        </w:rPr>
        <w:t>一、看房交通</w:t>
      </w:r>
    </w:p>
    <w:p>
      <w:pPr>
        <w:pStyle w:val="2"/>
        <w:spacing w:line="360" w:lineRule="auto"/>
        <w:ind w:right="409" w:firstLine="600" w:firstLineChars="200"/>
        <w:jc w:val="both"/>
      </w:pPr>
      <w:r>
        <w:rPr>
          <w:rFonts w:hint="eastAsia"/>
        </w:rPr>
        <w:t>看房家庭可选择以下任意一种形式前往项目现场看房（</w:t>
      </w:r>
      <w:r>
        <w:rPr>
          <w:rFonts w:hint="eastAsia"/>
          <w:lang w:val="en-US"/>
        </w:rPr>
        <w:t>帆湾海寓营销中心</w:t>
      </w:r>
      <w:r>
        <w:rPr>
          <w:rFonts w:hint="eastAsia"/>
        </w:rPr>
        <w:t>，地址：广东省深圳市大鹏新区高源南路与银葵路交叉路口往东约</w:t>
      </w:r>
      <w:r>
        <w:t>50米</w:t>
      </w:r>
      <w:r>
        <w:rPr>
          <w:rFonts w:hint="eastAsia"/>
        </w:rPr>
        <w:t>。）</w:t>
      </w:r>
    </w:p>
    <w:p>
      <w:pPr>
        <w:pStyle w:val="2"/>
        <w:spacing w:line="360" w:lineRule="auto"/>
        <w:ind w:right="409" w:firstLine="602" w:firstLineChars="200"/>
        <w:jc w:val="both"/>
        <w:rPr>
          <w:b/>
          <w:bCs/>
          <w:lang w:val="en-US"/>
        </w:rPr>
      </w:pPr>
      <w:r>
        <w:rPr>
          <w:rFonts w:hint="eastAsia"/>
          <w:b/>
          <w:bCs/>
        </w:rPr>
        <w:t>（一）乘坐地铁</w:t>
      </w:r>
      <w:r>
        <w:rPr>
          <w:rFonts w:hint="eastAsia"/>
          <w:b/>
          <w:bCs/>
          <w:lang w:val="en-US"/>
        </w:rPr>
        <w:t>和公交车</w:t>
      </w:r>
      <w:r>
        <w:rPr>
          <w:rFonts w:hint="eastAsia"/>
        </w:rPr>
        <w:t>（请密切留意最新公共交通信息）</w:t>
      </w:r>
    </w:p>
    <w:p>
      <w:pPr>
        <w:pStyle w:val="2"/>
        <w:spacing w:before="7" w:line="360" w:lineRule="auto"/>
        <w:ind w:right="259" w:firstLine="600" w:firstLineChars="200"/>
      </w:pPr>
      <w:r>
        <w:rPr>
          <w:rFonts w:hint="eastAsia"/>
        </w:rPr>
        <w:t>您的位置-</w:t>
      </w:r>
      <w:r>
        <w:rPr>
          <w:rFonts w:hint="eastAsia"/>
          <w:b/>
          <w:bCs/>
          <w:lang w:val="en-US"/>
        </w:rPr>
        <w:t>地铁14号线锦龙地铁站</w:t>
      </w:r>
      <w:r>
        <w:rPr>
          <w:b/>
          <w:bCs/>
          <w:lang w:val="en-US"/>
        </w:rPr>
        <w:t>A</w:t>
      </w:r>
      <w:r>
        <w:rPr>
          <w:rFonts w:hint="eastAsia"/>
          <w:b/>
          <w:bCs/>
          <w:lang w:val="en-US"/>
        </w:rPr>
        <w:t>出口</w:t>
      </w:r>
      <w:r>
        <w:rPr>
          <w:rFonts w:hint="eastAsia"/>
        </w:rPr>
        <w:t>-</w:t>
      </w:r>
      <w:r>
        <w:rPr>
          <w:rFonts w:hint="eastAsia"/>
          <w:b/>
          <w:bCs/>
          <w:lang w:val="en-US"/>
        </w:rPr>
        <w:t>公交站坪山城市候机楼站上车M</w:t>
      </w:r>
      <w:r>
        <w:rPr>
          <w:b/>
          <w:bCs/>
          <w:lang w:val="en-US"/>
        </w:rPr>
        <w:t>220</w:t>
      </w:r>
      <w:r>
        <w:rPr>
          <w:rFonts w:hint="eastAsia"/>
          <w:b/>
          <w:bCs/>
          <w:lang w:val="en-US"/>
        </w:rPr>
        <w:t>路</w:t>
      </w:r>
      <w:r>
        <w:rPr>
          <w:rFonts w:hint="eastAsia"/>
        </w:rPr>
        <w:t>-</w:t>
      </w:r>
      <w:r>
        <w:rPr>
          <w:rFonts w:hint="eastAsia"/>
          <w:b/>
          <w:bCs/>
          <w:lang w:val="en-US"/>
        </w:rPr>
        <w:t>君轩科技站</w:t>
      </w:r>
      <w:r>
        <w:rPr>
          <w:rFonts w:hint="eastAsia"/>
          <w:lang w:val="en-US"/>
        </w:rPr>
        <w:t>下车</w:t>
      </w:r>
      <w:r>
        <w:rPr>
          <w:rFonts w:hint="eastAsia"/>
        </w:rPr>
        <w:t>-步行约</w:t>
      </w:r>
      <w:r>
        <w:rPr>
          <w:lang w:val="en-US"/>
        </w:rPr>
        <w:t>310</w:t>
      </w:r>
      <w:r>
        <w:rPr>
          <w:rFonts w:hint="eastAsia"/>
        </w:rPr>
        <w:t>米到帆湾海寓营销中心。</w:t>
      </w:r>
    </w:p>
    <w:p>
      <w:pPr>
        <w:pStyle w:val="2"/>
        <w:spacing w:before="7" w:line="360" w:lineRule="auto"/>
        <w:ind w:right="259" w:firstLine="600" w:firstLineChars="200"/>
      </w:pPr>
      <w:r>
        <w:drawing>
          <wp:inline distT="0" distB="0" distL="0" distR="0">
            <wp:extent cx="5657850" cy="2939415"/>
            <wp:effectExtent l="0" t="0" r="0" b="0"/>
            <wp:docPr id="859748040" name="图片 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9748040" name="图片 2"/>
                    <pic:cNvPicPr>
                      <a:picLocks noChangeAspect="true" noChangeArrowheads="true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57850" cy="293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before="7" w:line="360" w:lineRule="auto"/>
        <w:ind w:right="259"/>
      </w:pPr>
    </w:p>
    <w:p>
      <w:pPr>
        <w:pStyle w:val="2"/>
        <w:spacing w:before="7" w:line="360" w:lineRule="auto"/>
        <w:ind w:right="259" w:firstLine="602" w:firstLineChars="200"/>
      </w:pPr>
      <w:r>
        <w:rPr>
          <w:rFonts w:hint="eastAsia"/>
          <w:b/>
          <w:bCs/>
        </w:rPr>
        <w:t>（</w:t>
      </w:r>
      <w:r>
        <w:rPr>
          <w:rFonts w:hint="eastAsia"/>
          <w:b/>
          <w:bCs/>
          <w:lang w:val="en-US"/>
        </w:rPr>
        <w:t>二</w:t>
      </w:r>
      <w:r>
        <w:rPr>
          <w:rFonts w:hint="eastAsia"/>
          <w:b/>
          <w:bCs/>
        </w:rPr>
        <w:t>）乘坐公交</w:t>
      </w:r>
      <w:r>
        <w:rPr>
          <w:rFonts w:hint="eastAsia"/>
        </w:rPr>
        <w:t>（请密切留意最新公共交通信息）</w:t>
      </w:r>
    </w:p>
    <w:p>
      <w:pPr>
        <w:pStyle w:val="2"/>
        <w:spacing w:before="7" w:line="360" w:lineRule="auto"/>
        <w:ind w:right="259" w:firstLine="600" w:firstLineChars="200"/>
      </w:pPr>
      <w:r>
        <w:rPr>
          <w:rFonts w:hint="eastAsia"/>
        </w:rPr>
        <w:t>您的位置-</w:t>
      </w:r>
      <w:r>
        <w:rPr>
          <w:rFonts w:hint="eastAsia"/>
          <w:b/>
          <w:bCs/>
          <w:lang w:val="en-US"/>
        </w:rPr>
        <w:t>君轩科技园/白石冈/葵涌生态法治公园/高源社区工作站</w:t>
      </w:r>
      <w:r>
        <w:rPr>
          <w:rFonts w:hint="eastAsia"/>
          <w:lang w:val="en-US"/>
        </w:rPr>
        <w:t>-</w:t>
      </w:r>
      <w:r>
        <w:rPr>
          <w:rFonts w:hint="eastAsia"/>
        </w:rPr>
        <w:t>步行约</w:t>
      </w:r>
      <w:r>
        <w:rPr>
          <w:lang w:val="en-US"/>
        </w:rPr>
        <w:t>4</w:t>
      </w:r>
      <w:r>
        <w:rPr>
          <w:rFonts w:hint="eastAsia"/>
          <w:lang w:val="en-US"/>
        </w:rPr>
        <w:t>00</w:t>
      </w:r>
      <w:r>
        <w:rPr>
          <w:rFonts w:hint="eastAsia"/>
        </w:rPr>
        <w:t>米到帆湾海寓营销中心</w:t>
      </w:r>
    </w:p>
    <w:p>
      <w:pPr>
        <w:pStyle w:val="2"/>
        <w:spacing w:before="7" w:line="360" w:lineRule="auto"/>
        <w:ind w:right="259" w:firstLine="42" w:firstLineChars="14"/>
      </w:pPr>
      <w:r>
        <w:drawing>
          <wp:inline distT="0" distB="0" distL="0" distR="0">
            <wp:extent cx="5657850" cy="2939415"/>
            <wp:effectExtent l="0" t="0" r="0" b="0"/>
            <wp:docPr id="283224310" name="图片 3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224310" name="图片 3"/>
                    <pic:cNvPicPr>
                      <a:picLocks noChangeAspect="true" noChangeArrowheads="true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57850" cy="293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640"/>
        <w:rPr>
          <w:b/>
          <w:bCs/>
          <w:color w:val="C00000"/>
          <w:kern w:val="2"/>
          <w:sz w:val="24"/>
          <w:szCs w:val="24"/>
          <w:lang w:val="en-US" w:bidi="ar-SA"/>
        </w:rPr>
      </w:pPr>
      <w:r>
        <w:rPr>
          <w:rFonts w:hint="eastAsia"/>
          <w:b/>
          <w:bCs/>
          <w:sz w:val="30"/>
          <w:szCs w:val="30"/>
          <w:lang w:val="en-US"/>
        </w:rPr>
        <w:t>（三）自驾车</w:t>
      </w:r>
    </w:p>
    <w:p>
      <w:pPr>
        <w:spacing w:line="360" w:lineRule="auto"/>
        <w:ind w:firstLine="640"/>
        <w:rPr>
          <w:sz w:val="30"/>
          <w:szCs w:val="30"/>
          <w:lang w:val="en-US"/>
        </w:rPr>
      </w:pPr>
      <w:r>
        <w:rPr>
          <w:rFonts w:hint="eastAsia"/>
          <w:sz w:val="30"/>
          <w:szCs w:val="30"/>
        </w:rPr>
        <w:t>1．从罗湖</w:t>
      </w:r>
      <w:r>
        <w:rPr>
          <w:rFonts w:hint="eastAsia"/>
          <w:sz w:val="30"/>
          <w:szCs w:val="30"/>
          <w:lang w:val="en-US"/>
        </w:rPr>
        <w:t>/福田</w:t>
      </w:r>
      <w:r>
        <w:rPr>
          <w:rFonts w:hint="eastAsia"/>
          <w:sz w:val="30"/>
          <w:szCs w:val="30"/>
        </w:rPr>
        <w:t>出发：</w:t>
      </w:r>
      <w:r>
        <w:rPr>
          <w:rFonts w:hint="eastAsia"/>
          <w:sz w:val="30"/>
          <w:szCs w:val="30"/>
          <w:lang w:val="en-US"/>
        </w:rPr>
        <w:t>北环大道/深南东路/滨河大道——沿河北路——罗沙路——惠深沿海高速——葵涌高架桥——坪葵路——金葵东路——高源南路——银葵路——帆湾海寓营销中心</w:t>
      </w:r>
    </w:p>
    <w:p>
      <w:pPr>
        <w:spacing w:line="360" w:lineRule="auto"/>
        <w:ind w:firstLine="640"/>
        <w:rPr>
          <w:sz w:val="30"/>
          <w:szCs w:val="30"/>
          <w:lang w:val="en-US"/>
        </w:rPr>
      </w:pPr>
      <w:r>
        <w:rPr>
          <w:rFonts w:hint="eastAsia"/>
          <w:sz w:val="30"/>
          <w:szCs w:val="30"/>
          <w:lang w:val="en-US"/>
        </w:rPr>
        <w:t>2．从坂田/龙华出发：布龙路——水官高速——盐排快速——惠深沿海高速——葵涌高架桥——坪葵路——金葵东路——高源南路——银葵路——帆湾海寓营销中心</w:t>
      </w:r>
    </w:p>
    <w:p>
      <w:pPr>
        <w:spacing w:line="360" w:lineRule="auto"/>
        <w:ind w:firstLine="640"/>
        <w:rPr>
          <w:sz w:val="30"/>
          <w:szCs w:val="30"/>
          <w:lang w:val="en-US"/>
        </w:rPr>
      </w:pPr>
      <w:r>
        <w:rPr>
          <w:rFonts w:hint="eastAsia"/>
          <w:sz w:val="30"/>
          <w:szCs w:val="30"/>
          <w:lang w:val="en-US"/>
        </w:rPr>
        <w:t>3．从布吉/横岗出发：龙岗大道——南坪快速——坪葵路——金葵东路——高源南路——银葵路——帆湾海寓营销中心</w:t>
      </w:r>
    </w:p>
    <w:p>
      <w:pPr>
        <w:spacing w:line="360" w:lineRule="auto"/>
        <w:ind w:firstLine="640"/>
        <w:rPr>
          <w:sz w:val="30"/>
          <w:szCs w:val="30"/>
          <w:lang w:val="en-US"/>
        </w:rPr>
      </w:pPr>
      <w:r>
        <w:rPr>
          <w:rFonts w:hint="eastAsia"/>
          <w:sz w:val="30"/>
          <w:szCs w:val="30"/>
          <w:lang w:val="en-US"/>
        </w:rPr>
        <w:t>4．从龙岗中心城周边出发：龙岗大道——盐排快速——惠深沿海高速——葵涌高架桥——坪葵路——金葵东路——高源南路——银葵路——帆湾海寓营销中心</w:t>
      </w:r>
    </w:p>
    <w:p>
      <w:pPr>
        <w:spacing w:line="360" w:lineRule="auto"/>
        <w:ind w:firstLine="602" w:firstLineChars="200"/>
        <w:rPr>
          <w:b/>
          <w:bCs/>
          <w:sz w:val="30"/>
          <w:szCs w:val="30"/>
        </w:rPr>
      </w:pPr>
    </w:p>
    <w:p>
      <w:pPr>
        <w:spacing w:line="360" w:lineRule="auto"/>
        <w:ind w:firstLine="602" w:firstLineChars="200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二、交通区位图</w:t>
      </w:r>
    </w:p>
    <w:p>
      <w:pPr>
        <w:pStyle w:val="2"/>
        <w:spacing w:before="58"/>
        <w:ind w:left="0" w:firstLine="600" w:firstLineChars="200"/>
        <w:rPr>
          <w:b/>
          <w:bCs/>
        </w:rPr>
      </w:pPr>
      <w:r>
        <w:drawing>
          <wp:inline distT="0" distB="0" distL="0" distR="0">
            <wp:extent cx="5192395" cy="2908300"/>
            <wp:effectExtent l="0" t="0" r="8255" b="6350"/>
            <wp:docPr id="3" name="图片 3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true" noChangeArrowheads="true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2093" cy="294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before="58"/>
        <w:ind w:left="0" w:firstLine="602" w:firstLineChars="200"/>
        <w:rPr>
          <w:b/>
          <w:bCs/>
        </w:rPr>
      </w:pPr>
      <w:r>
        <w:rPr>
          <w:b/>
          <w:bCs/>
        </w:rPr>
        <w:t>三、注意事项</w:t>
      </w:r>
    </w:p>
    <w:p>
      <w:pPr>
        <w:spacing w:line="360" w:lineRule="auto"/>
        <w:ind w:firstLine="640"/>
        <w:rPr>
          <w:sz w:val="30"/>
          <w:szCs w:val="30"/>
        </w:rPr>
      </w:pPr>
      <w:r>
        <w:rPr>
          <w:rFonts w:hint="eastAsia"/>
          <w:sz w:val="30"/>
          <w:szCs w:val="30"/>
        </w:rPr>
        <w:t>（一）看房家庭须按约定的时间，凭申请人身份证、预约看房回执单参加看房活动。</w:t>
      </w:r>
    </w:p>
    <w:p>
      <w:pPr>
        <w:spacing w:line="360" w:lineRule="auto"/>
        <w:ind w:firstLine="640"/>
        <w:rPr>
          <w:sz w:val="30"/>
          <w:szCs w:val="30"/>
        </w:rPr>
      </w:pPr>
      <w:r>
        <w:rPr>
          <w:rFonts w:hint="eastAsia"/>
          <w:sz w:val="30"/>
          <w:szCs w:val="30"/>
        </w:rPr>
        <w:t>（二）考虑到看房现场接待能力有限，为了营造顺畅、良好的看房环境，请每个看房家庭最多安排两人现场看房。从安全角度考虑，请看房家庭尽量不要携带老人、儿童。</w:t>
      </w:r>
    </w:p>
    <w:p>
      <w:pPr>
        <w:spacing w:line="360" w:lineRule="auto"/>
        <w:ind w:firstLine="640"/>
        <w:rPr>
          <w:sz w:val="30"/>
          <w:szCs w:val="30"/>
        </w:rPr>
      </w:pPr>
      <w:r>
        <w:rPr>
          <w:rFonts w:hint="eastAsia"/>
          <w:sz w:val="30"/>
          <w:szCs w:val="30"/>
        </w:rPr>
        <w:t>（三）为了保证看房家庭人身安全，请遵循现场工作人员统一安排，不要在看房现场随意走动，以免发生意外。</w:t>
      </w:r>
    </w:p>
    <w:p>
      <w:pPr>
        <w:spacing w:line="360" w:lineRule="auto"/>
        <w:ind w:firstLine="900" w:firstLineChars="300"/>
        <w:rPr>
          <w:sz w:val="30"/>
          <w:szCs w:val="30"/>
        </w:rPr>
      </w:pPr>
      <w:r>
        <w:rPr>
          <w:rFonts w:hint="eastAsia"/>
          <w:sz w:val="30"/>
          <w:szCs w:val="30"/>
        </w:rPr>
        <w:t>如有任何疑问，欢迎来电咨询：</w:t>
      </w:r>
      <w:r>
        <w:rPr>
          <w:sz w:val="30"/>
          <w:szCs w:val="30"/>
        </w:rPr>
        <w:t>0755-86681033</w:t>
      </w:r>
    </w:p>
    <w:p>
      <w:pPr>
        <w:spacing w:line="360" w:lineRule="auto"/>
        <w:ind w:firstLine="900" w:firstLineChars="300"/>
        <w:rPr>
          <w:sz w:val="30"/>
          <w:szCs w:val="30"/>
        </w:rPr>
      </w:pPr>
    </w:p>
    <w:p>
      <w:pPr>
        <w:wordWrap w:val="0"/>
        <w:spacing w:line="360" w:lineRule="auto"/>
        <w:ind w:firstLine="900" w:firstLineChars="300"/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>深圳市贝添利电子有限责任公司</w:t>
      </w:r>
    </w:p>
    <w:p>
      <w:pPr>
        <w:spacing w:line="360" w:lineRule="auto"/>
        <w:ind w:right="300" w:firstLine="900" w:firstLineChars="300"/>
        <w:jc w:val="center"/>
        <w:rPr>
          <w:sz w:val="30"/>
          <w:szCs w:val="30"/>
          <w:lang w:val="en-US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         </w:t>
      </w:r>
      <w:r>
        <w:rPr>
          <w:rFonts w:hint="eastAsia"/>
          <w:sz w:val="30"/>
          <w:szCs w:val="30"/>
        </w:rPr>
        <w:t>202</w:t>
      </w:r>
      <w:r>
        <w:rPr>
          <w:rFonts w:hint="eastAsia"/>
          <w:sz w:val="30"/>
          <w:szCs w:val="30"/>
          <w:lang w:val="en-US"/>
        </w:rPr>
        <w:t>3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  <w:lang w:val="en-US" w:eastAsia="zh-CN"/>
        </w:rPr>
        <w:t>11</w:t>
      </w:r>
      <w:bookmarkStart w:id="0" w:name="_GoBack"/>
      <w:bookmarkEnd w:id="0"/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  <w:lang w:val="en-US"/>
        </w:rPr>
        <w:t xml:space="preserve">       </w:t>
      </w:r>
    </w:p>
    <w:p>
      <w:pPr>
        <w:autoSpaceDE/>
        <w:autoSpaceDN/>
        <w:adjustRightInd w:val="0"/>
        <w:snapToGrid w:val="0"/>
        <w:spacing w:line="360" w:lineRule="auto"/>
        <w:rPr>
          <w:rFonts w:hint="eastAsia"/>
          <w:sz w:val="30"/>
          <w:szCs w:val="30"/>
          <w:lang w:val="en-US"/>
        </w:rPr>
      </w:pPr>
    </w:p>
    <w:p>
      <w:pPr>
        <w:autoSpaceDE/>
        <w:autoSpaceDN/>
        <w:adjustRightInd w:val="0"/>
        <w:snapToGrid w:val="0"/>
        <w:spacing w:line="360" w:lineRule="auto"/>
        <w:jc w:val="center"/>
        <w:rPr>
          <w:sz w:val="30"/>
          <w:szCs w:val="30"/>
          <w:lang w:val="en-US"/>
        </w:rPr>
      </w:pPr>
      <w:r>
        <w:rPr>
          <w:rFonts w:hint="eastAsia"/>
          <w:sz w:val="30"/>
          <w:szCs w:val="30"/>
          <w:lang w:val="en-US"/>
        </w:rPr>
        <w:t>帆湾海寓营销中心定位二维码（百度地图）:</w:t>
      </w:r>
    </w:p>
    <w:p>
      <w:pPr>
        <w:autoSpaceDE/>
        <w:autoSpaceDN/>
        <w:adjustRightInd w:val="0"/>
        <w:snapToGrid w:val="0"/>
        <w:spacing w:line="360" w:lineRule="auto"/>
        <w:jc w:val="center"/>
        <w:rPr>
          <w:rFonts w:hint="eastAsia"/>
          <w:sz w:val="28"/>
          <w:szCs w:val="28"/>
          <w:lang w:val="en-US"/>
        </w:rPr>
      </w:pPr>
      <w:r>
        <w:rPr>
          <w:sz w:val="28"/>
          <w:szCs w:val="28"/>
          <w:lang w:val="en-US"/>
        </w:rPr>
        <w:drawing>
          <wp:inline distT="0" distB="0" distL="0" distR="0">
            <wp:extent cx="819150" cy="819150"/>
            <wp:effectExtent l="0" t="0" r="0" b="0"/>
            <wp:docPr id="1303498661" name="图片 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3498661" name="图片 1"/>
                    <pic:cNvPicPr>
                      <a:picLocks noChangeAspect="true" noChangeArrowheads="true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>
      <w:pgSz w:w="11910" w:h="16840"/>
      <w:pgMar w:top="1600" w:right="1420" w:bottom="280" w:left="15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true"/>
  <w:bordersDoNotSurroundFooter w:val="true"/>
  <w:documentProtection w:enforcement="0"/>
  <w:defaultTabStop w:val="720"/>
  <w:drawingGridHorizontalSpacing w:val="110"/>
  <w:noPunctuationKerning w:val="true"/>
  <w:characterSpacingControl w:val="doNotCompress"/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Q3NDQ4ZmI1YzI1ODVmODBkZmM4OGY3NDZlODJjMzUifQ=="/>
  </w:docVars>
  <w:rsids>
    <w:rsidRoot w:val="006D23F9"/>
    <w:rsid w:val="0006118B"/>
    <w:rsid w:val="0018240D"/>
    <w:rsid w:val="00211B25"/>
    <w:rsid w:val="00255E9A"/>
    <w:rsid w:val="00257336"/>
    <w:rsid w:val="0027181A"/>
    <w:rsid w:val="00321069"/>
    <w:rsid w:val="0052163D"/>
    <w:rsid w:val="00552B3A"/>
    <w:rsid w:val="00675D62"/>
    <w:rsid w:val="006D23F9"/>
    <w:rsid w:val="007231C3"/>
    <w:rsid w:val="007B6B5F"/>
    <w:rsid w:val="00854204"/>
    <w:rsid w:val="009060D7"/>
    <w:rsid w:val="00926FED"/>
    <w:rsid w:val="00A3251A"/>
    <w:rsid w:val="00A42317"/>
    <w:rsid w:val="00A67C08"/>
    <w:rsid w:val="00BB3EBA"/>
    <w:rsid w:val="00C06C23"/>
    <w:rsid w:val="00DA0BC4"/>
    <w:rsid w:val="00E50E70"/>
    <w:rsid w:val="00EB1C20"/>
    <w:rsid w:val="00F95F84"/>
    <w:rsid w:val="018469EA"/>
    <w:rsid w:val="027C0F0B"/>
    <w:rsid w:val="07FFC50F"/>
    <w:rsid w:val="08075FA8"/>
    <w:rsid w:val="094B67A2"/>
    <w:rsid w:val="10C43C3D"/>
    <w:rsid w:val="11A4130A"/>
    <w:rsid w:val="11C51F54"/>
    <w:rsid w:val="12A534DE"/>
    <w:rsid w:val="19247D07"/>
    <w:rsid w:val="19D61256"/>
    <w:rsid w:val="19E405BC"/>
    <w:rsid w:val="1A4062D5"/>
    <w:rsid w:val="1A4E4EBA"/>
    <w:rsid w:val="1AAD3A1D"/>
    <w:rsid w:val="1CAA2BD6"/>
    <w:rsid w:val="1ECC60B9"/>
    <w:rsid w:val="21BF5BA4"/>
    <w:rsid w:val="21E9488E"/>
    <w:rsid w:val="22DC4FDA"/>
    <w:rsid w:val="25D047C9"/>
    <w:rsid w:val="268B3C0D"/>
    <w:rsid w:val="29335FEA"/>
    <w:rsid w:val="2B9729AA"/>
    <w:rsid w:val="30FB7C67"/>
    <w:rsid w:val="33853A7D"/>
    <w:rsid w:val="33907FF3"/>
    <w:rsid w:val="34FA1C97"/>
    <w:rsid w:val="35D80881"/>
    <w:rsid w:val="361D5846"/>
    <w:rsid w:val="39BD4514"/>
    <w:rsid w:val="3AE94FE6"/>
    <w:rsid w:val="3BB7106B"/>
    <w:rsid w:val="3F6019A4"/>
    <w:rsid w:val="409A11CA"/>
    <w:rsid w:val="413904B5"/>
    <w:rsid w:val="436D3191"/>
    <w:rsid w:val="43A157E6"/>
    <w:rsid w:val="4457098C"/>
    <w:rsid w:val="45540A8B"/>
    <w:rsid w:val="477B433D"/>
    <w:rsid w:val="49E968B4"/>
    <w:rsid w:val="4B416599"/>
    <w:rsid w:val="4E975B26"/>
    <w:rsid w:val="4FEB3F4F"/>
    <w:rsid w:val="539668ED"/>
    <w:rsid w:val="54E85290"/>
    <w:rsid w:val="55890DA9"/>
    <w:rsid w:val="589A5F81"/>
    <w:rsid w:val="5DD05191"/>
    <w:rsid w:val="5E4302CA"/>
    <w:rsid w:val="5EAA2CCB"/>
    <w:rsid w:val="61C65C04"/>
    <w:rsid w:val="63911317"/>
    <w:rsid w:val="63EC0681"/>
    <w:rsid w:val="64225A6A"/>
    <w:rsid w:val="6844250D"/>
    <w:rsid w:val="68F96A0A"/>
    <w:rsid w:val="6ACA3981"/>
    <w:rsid w:val="6AD12CF2"/>
    <w:rsid w:val="6AE7E5DD"/>
    <w:rsid w:val="6CF93170"/>
    <w:rsid w:val="6FF915FB"/>
    <w:rsid w:val="70563CE5"/>
    <w:rsid w:val="714A181D"/>
    <w:rsid w:val="73FF29B0"/>
    <w:rsid w:val="76D909DA"/>
    <w:rsid w:val="7825635E"/>
    <w:rsid w:val="789F3387"/>
    <w:rsid w:val="79663D4B"/>
    <w:rsid w:val="7B0765E0"/>
    <w:rsid w:val="7C671271"/>
    <w:rsid w:val="7D2324B9"/>
    <w:rsid w:val="7F1030A6"/>
    <w:rsid w:val="DF8F0BED"/>
    <w:rsid w:val="DFFFB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"/>
      <w:ind w:left="100"/>
    </w:pPr>
    <w:rPr>
      <w:sz w:val="30"/>
      <w:szCs w:val="30"/>
    </w:r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</w:pPr>
    <w:rPr>
      <w:rFonts w:ascii="宋体" w:hAnsi="宋体" w:cs="宋体"/>
      <w:sz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</w:style>
  <w:style w:type="paragraph" w:customStyle="1" w:styleId="11">
    <w:name w:val="Table Paragraph"/>
    <w:basedOn w:val="1"/>
    <w:qFormat/>
    <w:uiPriority w:val="1"/>
  </w:style>
  <w:style w:type="character" w:customStyle="1" w:styleId="12">
    <w:name w:val="页眉 字符"/>
    <w:basedOn w:val="7"/>
    <w:link w:val="4"/>
    <w:qFormat/>
    <w:uiPriority w:val="0"/>
    <w:rPr>
      <w:rFonts w:ascii="仿宋" w:hAnsi="仿宋" w:eastAsia="仿宋" w:cs="仿宋"/>
      <w:sz w:val="18"/>
      <w:szCs w:val="18"/>
      <w:lang w:val="zh-CN" w:bidi="zh-CN"/>
    </w:rPr>
  </w:style>
  <w:style w:type="character" w:customStyle="1" w:styleId="13">
    <w:name w:val="页脚 字符"/>
    <w:basedOn w:val="7"/>
    <w:link w:val="3"/>
    <w:qFormat/>
    <w:uiPriority w:val="0"/>
    <w:rPr>
      <w:rFonts w:ascii="仿宋" w:hAnsi="仿宋" w:eastAsia="仿宋" w:cs="仿宋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129</Words>
  <Characters>738</Characters>
  <Lines>6</Lines>
  <Paragraphs>1</Paragraphs>
  <TotalTime>1371</TotalTime>
  <ScaleCrop>false</ScaleCrop>
  <LinksUpToDate>false</LinksUpToDate>
  <CharactersWithSpaces>866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2023-05-18T03:39:00Z</dcterms:created>
  <dc:creator>Administrator.DESKTOP-UBJIL0S</dc:creator>
  <cp:lastModifiedBy>bzs_zhangyehui</cp:lastModifiedBy>
  <dcterms:modified xsi:type="dcterms:W3CDTF">2023-11-01T15:21:18Z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2021-07-11T00:00:00Z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2021-07-12T00:00:00Z</vt:filetime>
  </property>
  <property fmtid="{D5CDD505-2E9C-101B-9397-08002B2CF9AE}" pid="5" name="KSOProductBuildVer">
    <vt:lpwstr>2052-11.8.2.10337</vt:lpwstr>
  </property>
  <property fmtid="{D5CDD505-2E9C-101B-9397-08002B2CF9AE}" pid="6" name="ICV">
    <vt:lpwstr>1391BC5C24E54384B1A89F0DCB09696D</vt:lpwstr>
  </property>
</Properties>
</file>