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b/>
          <w:sz w:val="32"/>
          <w:szCs w:val="32"/>
        </w:rPr>
      </w:pPr>
    </w:p>
    <w:p>
      <w:pPr>
        <w:jc w:val="left"/>
        <w:rPr>
          <w:b/>
        </w:rPr>
      </w:pPr>
      <w:r>
        <w:rPr>
          <w:b/>
        </w:rPr>
        <w:t xml:space="preserve"> </w:t>
      </w:r>
    </w:p>
    <w:p>
      <w:pPr>
        <w:jc w:val="left"/>
      </w:pPr>
      <w:r>
        <w:rPr>
          <w:rFonts w:eastAsia="黑体"/>
          <w:bCs/>
          <w:sz w:val="28"/>
          <w:szCs w:val="28"/>
        </w:rPr>
        <w:t>201</w:t>
      </w:r>
      <w:r>
        <w:rPr>
          <w:rFonts w:hint="eastAsia" w:eastAsia="黑体"/>
          <w:bCs/>
          <w:sz w:val="28"/>
          <w:szCs w:val="28"/>
        </w:rPr>
        <w:t>9</w:t>
      </w:r>
    </w:p>
    <w:p>
      <w:pPr>
        <w:jc w:val="left"/>
        <w:rPr>
          <w:b/>
          <w:sz w:val="22"/>
        </w:rPr>
      </w:pPr>
      <w:r>
        <w:rPr>
          <w:b/>
          <w:sz w:val="22"/>
        </w:rPr>
        <w:t xml:space="preserve"> </w:t>
      </w:r>
    </w:p>
    <w:p>
      <w:pPr>
        <w:pStyle w:val="18"/>
        <w:spacing w:before="120" w:after="120"/>
        <w:rPr>
          <w:rFonts w:ascii="Times New Roman" w:hAnsi="Times New Roman" w:eastAsia="黑体" w:cs="Times New Roman"/>
          <w:b w:val="0"/>
          <w:bCs w:val="0"/>
          <w:sz w:val="30"/>
        </w:rPr>
      </w:pPr>
    </w:p>
    <w:p>
      <w:pPr>
        <w:jc w:val="left"/>
        <w:rPr>
          <w:b/>
          <w:sz w:val="32"/>
        </w:rPr>
      </w:pPr>
    </w:p>
    <w:p>
      <w:pPr>
        <w:jc w:val="left"/>
        <w:rPr>
          <w:b/>
          <w:sz w:val="32"/>
        </w:rPr>
      </w:pPr>
    </w:p>
    <w:p>
      <w:pPr>
        <w:pStyle w:val="18"/>
        <w:spacing w:before="120" w:after="120"/>
        <w:rPr>
          <w:rFonts w:ascii="Times New Roman" w:hAnsi="Times New Roman" w:eastAsia="黑体" w:cs="Times New Roman"/>
          <w:b w:val="0"/>
          <w:bCs w:val="0"/>
          <w:sz w:val="72"/>
          <w:szCs w:val="72"/>
        </w:rPr>
      </w:pPr>
      <w:r>
        <w:rPr>
          <w:rFonts w:ascii="Times New Roman" w:hAnsi="Times New Roman" w:eastAsia="黑体" w:cs="Times New Roman"/>
          <w:b w:val="0"/>
          <w:bCs w:val="0"/>
          <w:sz w:val="72"/>
          <w:szCs w:val="72"/>
        </w:rPr>
        <w:t xml:space="preserve"> </w:t>
      </w:r>
    </w:p>
    <w:p>
      <w:pPr>
        <w:pStyle w:val="18"/>
        <w:spacing w:before="120" w:after="120"/>
        <w:rPr>
          <w:rFonts w:ascii="Times New Roman" w:hAnsi="Times New Roman" w:eastAsia="黑体" w:cs="Times New Roman"/>
          <w:b w:val="0"/>
          <w:bCs w:val="0"/>
          <w:sz w:val="72"/>
          <w:szCs w:val="72"/>
        </w:rPr>
      </w:pPr>
      <w:bookmarkStart w:id="0" w:name="_Toc20515"/>
      <w:bookmarkStart w:id="1" w:name="_Toc12827"/>
      <w:bookmarkStart w:id="2" w:name="_Toc7975"/>
      <w:bookmarkStart w:id="3" w:name="_Toc20153561"/>
      <w:r>
        <w:rPr>
          <w:rFonts w:hint="eastAsia" w:ascii="Times New Roman" w:hAnsi="Times New Roman" w:eastAsia="黑体" w:cs="Times New Roman"/>
          <w:b w:val="0"/>
          <w:bCs w:val="0"/>
          <w:sz w:val="52"/>
          <w:szCs w:val="52"/>
        </w:rPr>
        <w:t>深圳市物业管理招标文件示范文本</w:t>
      </w:r>
      <w:bookmarkEnd w:id="0"/>
      <w:bookmarkEnd w:id="1"/>
      <w:bookmarkEnd w:id="2"/>
      <w:bookmarkEnd w:id="3"/>
    </w:p>
    <w:p>
      <w:pPr>
        <w:jc w:val="center"/>
        <w:rPr>
          <w:rFonts w:ascii="黑体" w:hAnsi="宋体" w:eastAsia="黑体" w:cs="宋体"/>
          <w:kern w:val="0"/>
          <w:sz w:val="30"/>
          <w:szCs w:val="30"/>
        </w:rPr>
      </w:pPr>
    </w:p>
    <w:p>
      <w:pPr>
        <w:jc w:val="center"/>
        <w:rPr>
          <w:rFonts w:eastAsia="黑体"/>
          <w:sz w:val="44"/>
        </w:rPr>
      </w:pPr>
    </w:p>
    <w:p>
      <w:pPr>
        <w:jc w:val="left"/>
        <w:rPr>
          <w:rFonts w:eastAsia="黑体"/>
          <w:b/>
          <w:sz w:val="30"/>
        </w:rPr>
      </w:pPr>
    </w:p>
    <w:p>
      <w:pPr>
        <w:jc w:val="left"/>
        <w:rPr>
          <w:rFonts w:eastAsia="黑体"/>
          <w:sz w:val="30"/>
        </w:rPr>
      </w:pPr>
    </w:p>
    <w:p>
      <w:pPr>
        <w:jc w:val="left"/>
        <w:rPr>
          <w:rFonts w:eastAsia="黑体"/>
          <w:sz w:val="30"/>
        </w:rPr>
      </w:pPr>
    </w:p>
    <w:p>
      <w:pPr>
        <w:jc w:val="left"/>
        <w:rPr>
          <w:rFonts w:eastAsia="黑体"/>
          <w:sz w:val="30"/>
        </w:rPr>
      </w:pPr>
    </w:p>
    <w:p>
      <w:pPr>
        <w:ind w:firstLine="1800" w:firstLineChars="600"/>
        <w:jc w:val="left"/>
        <w:rPr>
          <w:rFonts w:eastAsia="黑体"/>
          <w:sz w:val="30"/>
          <w:u w:val="single"/>
        </w:rPr>
      </w:pPr>
      <w:r>
        <w:rPr>
          <w:rFonts w:hint="eastAsia" w:eastAsia="黑体"/>
          <w:sz w:val="30"/>
        </w:rPr>
        <w:t>项目名称：</w:t>
      </w:r>
      <w:r>
        <w:rPr>
          <w:rFonts w:eastAsia="黑体"/>
          <w:sz w:val="30"/>
          <w:u w:val="single"/>
        </w:rPr>
        <w:t xml:space="preserve">                                  </w:t>
      </w:r>
    </w:p>
    <w:p>
      <w:pPr>
        <w:jc w:val="left"/>
        <w:rPr>
          <w:rFonts w:eastAsia="黑体"/>
          <w:sz w:val="30"/>
        </w:rPr>
      </w:pPr>
    </w:p>
    <w:p>
      <w:pPr>
        <w:jc w:val="left"/>
        <w:rPr>
          <w:rFonts w:eastAsia="黑体"/>
          <w:sz w:val="30"/>
        </w:rPr>
      </w:pPr>
    </w:p>
    <w:p>
      <w:pPr>
        <w:ind w:firstLine="1800" w:firstLineChars="600"/>
        <w:jc w:val="left"/>
        <w:rPr>
          <w:rFonts w:eastAsia="黑体"/>
          <w:sz w:val="30"/>
          <w:u w:val="single"/>
        </w:rPr>
      </w:pPr>
      <w:r>
        <w:rPr>
          <w:rFonts w:hint="eastAsia" w:eastAsia="黑体"/>
          <w:sz w:val="30"/>
        </w:rPr>
        <w:t>招标单位：</w:t>
      </w:r>
      <w:r>
        <w:rPr>
          <w:rFonts w:eastAsia="黑体"/>
          <w:sz w:val="30"/>
          <w:u w:val="single"/>
        </w:rPr>
        <w:t xml:space="preserve">                                  </w:t>
      </w:r>
    </w:p>
    <w:p>
      <w:pPr>
        <w:rPr>
          <w:rFonts w:eastAsia="黑体"/>
          <w:sz w:val="24"/>
          <w:u w:val="single"/>
        </w:rPr>
      </w:pPr>
    </w:p>
    <w:p>
      <w:pPr>
        <w:rPr>
          <w:rFonts w:eastAsia="黑体"/>
          <w:sz w:val="24"/>
          <w:u w:val="single"/>
        </w:rPr>
      </w:pPr>
    </w:p>
    <w:p>
      <w:pPr>
        <w:rPr>
          <w:rFonts w:eastAsia="黑体"/>
          <w:b/>
        </w:rPr>
      </w:pPr>
    </w:p>
    <w:p>
      <w:pPr>
        <w:rPr>
          <w:rFonts w:eastAsia="黑体"/>
          <w:b/>
        </w:rPr>
      </w:pPr>
    </w:p>
    <w:p>
      <w:pPr>
        <w:rPr>
          <w:rFonts w:eastAsia="黑体"/>
          <w:b/>
        </w:rPr>
      </w:pPr>
    </w:p>
    <w:p>
      <w:pPr>
        <w:jc w:val="center"/>
        <w:rPr>
          <w:rFonts w:eastAsia="黑体"/>
          <w:sz w:val="30"/>
          <w:szCs w:val="30"/>
          <w:u w:val="single"/>
        </w:rPr>
      </w:pPr>
    </w:p>
    <w:p>
      <w:pPr>
        <w:jc w:val="center"/>
        <w:rPr>
          <w:rFonts w:eastAsia="黑体"/>
          <w:sz w:val="30"/>
          <w:szCs w:val="30"/>
          <w:u w:val="single"/>
        </w:rPr>
      </w:pPr>
    </w:p>
    <w:p>
      <w:pPr>
        <w:jc w:val="center"/>
        <w:rPr>
          <w:rFonts w:eastAsia="黑体"/>
          <w:sz w:val="30"/>
          <w:szCs w:val="30"/>
        </w:rPr>
      </w:pPr>
      <w:r>
        <w:rPr>
          <w:rFonts w:eastAsia="黑体"/>
          <w:sz w:val="30"/>
          <w:szCs w:val="30"/>
          <w:u w:val="single"/>
        </w:rPr>
        <w:t xml:space="preserve">    </w:t>
      </w:r>
      <w:r>
        <w:rPr>
          <w:rFonts w:hint="eastAsia" w:eastAsia="黑体"/>
          <w:sz w:val="30"/>
          <w:szCs w:val="30"/>
        </w:rPr>
        <w:t>年</w:t>
      </w:r>
      <w:r>
        <w:rPr>
          <w:rFonts w:eastAsia="黑体"/>
          <w:sz w:val="30"/>
          <w:szCs w:val="30"/>
          <w:u w:val="single"/>
        </w:rPr>
        <w:t xml:space="preserve">    </w:t>
      </w:r>
      <w:r>
        <w:rPr>
          <w:rFonts w:hint="eastAsia" w:eastAsia="黑体"/>
          <w:sz w:val="30"/>
          <w:szCs w:val="30"/>
        </w:rPr>
        <w:t>月</w:t>
      </w:r>
    </w:p>
    <w:p>
      <w:pPr>
        <w:widowControl/>
        <w:jc w:val="left"/>
        <w:rPr>
          <w:rFonts w:eastAsia="黑体"/>
          <w:sz w:val="30"/>
          <w:szCs w:val="30"/>
        </w:rPr>
      </w:pPr>
    </w:p>
    <w:p>
      <w:pPr>
        <w:widowControl/>
        <w:jc w:val="left"/>
        <w:rPr>
          <w:rFonts w:eastAsia="黑体"/>
          <w:sz w:val="30"/>
          <w:szCs w:val="30"/>
        </w:rPr>
      </w:pPr>
      <w:r>
        <w:rPr>
          <w:rFonts w:hint="eastAsia" w:eastAsia="黑体"/>
          <w:sz w:val="30"/>
          <w:szCs w:val="30"/>
        </w:rPr>
        <w:t xml:space="preserve">              </w:t>
      </w: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p>
    <w:p>
      <w:pPr>
        <w:widowControl/>
        <w:jc w:val="center"/>
        <w:rPr>
          <w:rFonts w:eastAsia="黑体"/>
          <w:sz w:val="30"/>
          <w:szCs w:val="30"/>
        </w:rPr>
        <w:sectPr>
          <w:footerReference r:id="rId3" w:type="default"/>
          <w:pgSz w:w="11906" w:h="16838"/>
          <w:pgMar w:top="720" w:right="720" w:bottom="720" w:left="720" w:header="851" w:footer="1134" w:gutter="0"/>
          <w:cols w:space="720" w:num="1"/>
        </w:sectPr>
      </w:pPr>
      <w:r>
        <w:rPr>
          <w:rFonts w:hint="eastAsia" w:eastAsia="黑体"/>
          <w:sz w:val="30"/>
          <w:szCs w:val="30"/>
        </w:rPr>
        <w:t>发布单位：深圳市住房和建设局</w:t>
      </w:r>
    </w:p>
    <w:p>
      <w:pPr>
        <w:jc w:val="center"/>
      </w:pPr>
    </w:p>
    <w:p>
      <w:pPr>
        <w:jc w:val="center"/>
        <w:rPr>
          <w:rFonts w:ascii="黑体" w:hAnsi="黑体" w:eastAsia="黑体" w:cs="黑体"/>
          <w:b/>
          <w:color w:val="000000"/>
          <w:sz w:val="32"/>
          <w:szCs w:val="32"/>
        </w:rPr>
      </w:pPr>
      <w:r>
        <w:rPr>
          <w:rFonts w:hint="eastAsia" w:ascii="黑体" w:hAnsi="黑体" w:eastAsia="黑体" w:cs="黑体"/>
          <w:b/>
          <w:color w:val="000000"/>
          <w:sz w:val="32"/>
          <w:szCs w:val="32"/>
        </w:rPr>
        <w:t>编制说明</w:t>
      </w:r>
    </w:p>
    <w:p>
      <w:pPr>
        <w:spacing w:line="420" w:lineRule="auto"/>
        <w:ind w:firstLine="480"/>
        <w:jc w:val="left"/>
        <w:rPr>
          <w:color w:val="000000"/>
          <w:sz w:val="24"/>
        </w:rPr>
      </w:pPr>
    </w:p>
    <w:p>
      <w:pPr>
        <w:spacing w:line="360" w:lineRule="auto"/>
        <w:ind w:firstLine="482"/>
        <w:jc w:val="left"/>
        <w:rPr>
          <w:color w:val="000000"/>
          <w:sz w:val="24"/>
        </w:rPr>
      </w:pPr>
      <w:r>
        <w:rPr>
          <w:rFonts w:hint="eastAsia"/>
          <w:color w:val="000000"/>
          <w:sz w:val="24"/>
        </w:rPr>
        <w:t>一、为了规范我市物业管理招标投标活动，维护招标人和投标人的合法权益，促进物业管理市场健康发育，根据《中华人民共和国招标投标法》《中华人民共和国招标投标法实施条例》《中华人民共和国合同法》《深圳经济特区物业管理条例》等有关规定，结合我市物业管理招标投标活动的实际，市住建局编制了《深圳市物业管理招标文件示范文本》（以下简称示范文本）。本示范文本自</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月起发布试行。</w:t>
      </w:r>
    </w:p>
    <w:p>
      <w:pPr>
        <w:spacing w:line="360" w:lineRule="auto"/>
        <w:ind w:firstLine="482"/>
        <w:jc w:val="left"/>
        <w:rPr>
          <w:color w:val="000000"/>
          <w:sz w:val="24"/>
        </w:rPr>
      </w:pPr>
      <w:r>
        <w:rPr>
          <w:rFonts w:hint="eastAsia"/>
          <w:color w:val="000000"/>
          <w:sz w:val="24"/>
        </w:rPr>
        <w:t>二、本示范文本中的所有空格招标人必须按实填写，无内容或不采用者应用斜画线表示。</w:t>
      </w:r>
    </w:p>
    <w:p>
      <w:pPr>
        <w:spacing w:line="360" w:lineRule="auto"/>
        <w:ind w:firstLine="482"/>
        <w:jc w:val="left"/>
        <w:rPr>
          <w:color w:val="000000"/>
          <w:spacing w:val="8"/>
          <w:kern w:val="0"/>
          <w:sz w:val="24"/>
        </w:rPr>
      </w:pPr>
      <w:r>
        <w:rPr>
          <w:rFonts w:hint="eastAsia"/>
          <w:color w:val="000000"/>
          <w:sz w:val="24"/>
        </w:rPr>
        <w:t>三、</w:t>
      </w:r>
      <w:r>
        <w:rPr>
          <w:rFonts w:hint="eastAsia"/>
          <w:color w:val="000000"/>
          <w:spacing w:val="8"/>
          <w:kern w:val="0"/>
          <w:sz w:val="24"/>
        </w:rPr>
        <w:t>本示范文本仅供参考。街道办事处组织招投标的，可在各区住房和建设部门的指导下，根据实际情况，编制相应的招标文本。</w:t>
      </w: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spacing w:line="360" w:lineRule="auto"/>
        <w:ind w:firstLine="480"/>
        <w:jc w:val="left"/>
        <w:rPr>
          <w:color w:val="000000"/>
          <w:spacing w:val="8"/>
          <w:kern w:val="0"/>
          <w:sz w:val="24"/>
        </w:rPr>
      </w:pPr>
    </w:p>
    <w:p>
      <w:pPr>
        <w:pStyle w:val="37"/>
        <w:jc w:val="center"/>
        <w:rPr>
          <w:rFonts w:ascii="黑体" w:hAnsi="黑体" w:eastAsia="黑体"/>
          <w:b/>
          <w:bCs/>
          <w:color w:val="auto"/>
        </w:rPr>
      </w:pPr>
      <w:r>
        <w:rPr>
          <w:rFonts w:ascii="黑体" w:hAnsi="黑体" w:eastAsia="黑体"/>
          <w:b/>
          <w:bCs/>
          <w:color w:val="auto"/>
          <w:lang w:val="zh-CN"/>
        </w:rPr>
        <w:t>目录</w:t>
      </w:r>
    </w:p>
    <w:p>
      <w:pPr>
        <w:pStyle w:val="15"/>
        <w:tabs>
          <w:tab w:val="right" w:leader="dot" w:pos="8296"/>
        </w:tabs>
        <w:rPr>
          <w:rFonts w:ascii="Calibri" w:hAnsi="Calibri" w:eastAsia="宋体" w:cs="黑体"/>
          <w:bCs w:val="0"/>
          <w:iCs w:val="0"/>
          <w:sz w:val="21"/>
          <w:szCs w:val="22"/>
        </w:rPr>
      </w:pPr>
      <w:r>
        <w:fldChar w:fldCharType="begin"/>
      </w:r>
      <w:r>
        <w:instrText xml:space="preserve"> TOC \o "1-3" \h \z \u </w:instrText>
      </w:r>
      <w:r>
        <w:fldChar w:fldCharType="separate"/>
      </w:r>
      <w:r>
        <w:fldChar w:fldCharType="begin"/>
      </w:r>
      <w:r>
        <w:instrText xml:space="preserve"> HYPERLINK \l "_Toc20153561" </w:instrText>
      </w:r>
      <w:r>
        <w:fldChar w:fldCharType="separate"/>
      </w:r>
      <w:r>
        <w:rPr>
          <w:rStyle w:val="26"/>
          <w:rFonts w:eastAsia="黑体"/>
        </w:rPr>
        <w:t>深圳市物业管理招标文件示范文本</w:t>
      </w:r>
      <w:r>
        <w:tab/>
      </w:r>
      <w:r>
        <w:fldChar w:fldCharType="begin"/>
      </w:r>
      <w:r>
        <w:instrText xml:space="preserve"> PAGEREF _Toc20153561 \h </w:instrText>
      </w:r>
      <w:r>
        <w:fldChar w:fldCharType="separate"/>
      </w:r>
      <w:r>
        <w:t>1</w:t>
      </w:r>
      <w:r>
        <w:fldChar w:fldCharType="end"/>
      </w:r>
      <w:r>
        <w:fldChar w:fldCharType="end"/>
      </w:r>
    </w:p>
    <w:p>
      <w:pPr>
        <w:pStyle w:val="15"/>
        <w:tabs>
          <w:tab w:val="right" w:leader="dot" w:pos="8296"/>
        </w:tabs>
        <w:rPr>
          <w:rFonts w:ascii="Calibri" w:hAnsi="Calibri" w:eastAsia="宋体" w:cs="黑体"/>
          <w:bCs w:val="0"/>
          <w:iCs w:val="0"/>
          <w:sz w:val="21"/>
          <w:szCs w:val="22"/>
        </w:rPr>
      </w:pPr>
      <w:r>
        <w:fldChar w:fldCharType="begin"/>
      </w:r>
      <w:r>
        <w:instrText xml:space="preserve"> HYPERLINK \l "_Toc20153562" </w:instrText>
      </w:r>
      <w:r>
        <w:fldChar w:fldCharType="separate"/>
      </w:r>
      <w:r>
        <w:rPr>
          <w:rStyle w:val="26"/>
          <w:rFonts w:eastAsia="黑体"/>
        </w:rPr>
        <w:t>致投标人</w:t>
      </w:r>
      <w:r>
        <w:tab/>
      </w:r>
      <w:r>
        <w:fldChar w:fldCharType="begin"/>
      </w:r>
      <w:r>
        <w:instrText xml:space="preserve"> PAGEREF _Toc20153562 \h </w:instrText>
      </w:r>
      <w:r>
        <w:fldChar w:fldCharType="separate"/>
      </w:r>
      <w:r>
        <w:t>3</w:t>
      </w:r>
      <w:r>
        <w:fldChar w:fldCharType="end"/>
      </w:r>
      <w:r>
        <w:fldChar w:fldCharType="end"/>
      </w:r>
    </w:p>
    <w:p>
      <w:pPr>
        <w:pStyle w:val="15"/>
        <w:tabs>
          <w:tab w:val="right" w:leader="dot" w:pos="8296"/>
        </w:tabs>
        <w:rPr>
          <w:rFonts w:ascii="Calibri" w:hAnsi="Calibri" w:eastAsia="宋体" w:cs="黑体"/>
          <w:bCs w:val="0"/>
          <w:iCs w:val="0"/>
          <w:sz w:val="21"/>
          <w:szCs w:val="22"/>
        </w:rPr>
      </w:pPr>
      <w:r>
        <w:fldChar w:fldCharType="begin"/>
      </w:r>
      <w:r>
        <w:instrText xml:space="preserve"> HYPERLINK \l "_Toc20153563" </w:instrText>
      </w:r>
      <w:r>
        <w:fldChar w:fldCharType="separate"/>
      </w:r>
      <w:r>
        <w:rPr>
          <w:rStyle w:val="26"/>
          <w:rFonts w:eastAsia="黑体"/>
        </w:rPr>
        <w:t>第一部分  招标公告（投标邀请书）</w:t>
      </w:r>
      <w:r>
        <w:tab/>
      </w:r>
      <w:r>
        <w:fldChar w:fldCharType="begin"/>
      </w:r>
      <w:r>
        <w:instrText xml:space="preserve"> PAGEREF _Toc20153563 \h </w:instrText>
      </w:r>
      <w:r>
        <w:fldChar w:fldCharType="separate"/>
      </w:r>
      <w:r>
        <w:t>4</w:t>
      </w:r>
      <w:r>
        <w:fldChar w:fldCharType="end"/>
      </w:r>
      <w:r>
        <w:fldChar w:fldCharType="end"/>
      </w:r>
    </w:p>
    <w:p>
      <w:pPr>
        <w:pStyle w:val="15"/>
        <w:tabs>
          <w:tab w:val="right" w:leader="dot" w:pos="8296"/>
        </w:tabs>
        <w:rPr>
          <w:rFonts w:ascii="Calibri" w:hAnsi="Calibri" w:eastAsia="宋体" w:cs="黑体"/>
          <w:bCs w:val="0"/>
          <w:iCs w:val="0"/>
          <w:sz w:val="21"/>
          <w:szCs w:val="22"/>
        </w:rPr>
      </w:pPr>
      <w:r>
        <w:fldChar w:fldCharType="begin"/>
      </w:r>
      <w:r>
        <w:instrText xml:space="preserve"> HYPERLINK \l "_Toc20153564" </w:instrText>
      </w:r>
      <w:r>
        <w:fldChar w:fldCharType="separate"/>
      </w:r>
      <w:r>
        <w:rPr>
          <w:rStyle w:val="26"/>
          <w:rFonts w:eastAsia="黑体"/>
        </w:rPr>
        <w:t>第二部分 投标人须知</w:t>
      </w:r>
      <w:r>
        <w:tab/>
      </w:r>
      <w:r>
        <w:fldChar w:fldCharType="begin"/>
      </w:r>
      <w:r>
        <w:instrText xml:space="preserve"> PAGEREF _Toc20153564 \h </w:instrText>
      </w:r>
      <w:r>
        <w:fldChar w:fldCharType="separate"/>
      </w:r>
      <w:r>
        <w:t>6</w:t>
      </w:r>
      <w:r>
        <w:fldChar w:fldCharType="end"/>
      </w:r>
      <w:r>
        <w:fldChar w:fldCharType="end"/>
      </w:r>
    </w:p>
    <w:p>
      <w:pPr>
        <w:pStyle w:val="15"/>
        <w:tabs>
          <w:tab w:val="right" w:leader="dot" w:pos="8296"/>
        </w:tabs>
        <w:ind w:firstLine="607" w:firstLineChars="253"/>
        <w:rPr>
          <w:rFonts w:ascii="Calibri" w:hAnsi="Calibri" w:eastAsia="宋体" w:cs="黑体"/>
          <w:bCs w:val="0"/>
          <w:iCs w:val="0"/>
          <w:sz w:val="21"/>
          <w:szCs w:val="22"/>
        </w:rPr>
      </w:pPr>
      <w:r>
        <w:fldChar w:fldCharType="begin"/>
      </w:r>
      <w:r>
        <w:instrText xml:space="preserve"> HYPERLINK \l "_Toc20153565" </w:instrText>
      </w:r>
      <w:r>
        <w:fldChar w:fldCharType="separate"/>
      </w:r>
      <w:r>
        <w:rPr>
          <w:rStyle w:val="26"/>
          <w:rFonts w:ascii="仿宋_GB2312" w:hAnsi="仿宋_GB2312" w:eastAsia="仿宋_GB2312" w:cs="仿宋_GB2312"/>
        </w:rPr>
        <w:t>第一节 否决性条款</w:t>
      </w:r>
      <w:r>
        <w:tab/>
      </w:r>
      <w:r>
        <w:fldChar w:fldCharType="begin"/>
      </w:r>
      <w:r>
        <w:instrText xml:space="preserve"> PAGEREF _Toc20153565 \h </w:instrText>
      </w:r>
      <w:r>
        <w:fldChar w:fldCharType="separate"/>
      </w:r>
      <w:r>
        <w:t>6</w:t>
      </w:r>
      <w:r>
        <w:fldChar w:fldCharType="end"/>
      </w:r>
      <w:r>
        <w:fldChar w:fldCharType="end"/>
      </w:r>
    </w:p>
    <w:p>
      <w:pPr>
        <w:pStyle w:val="15"/>
        <w:tabs>
          <w:tab w:val="right" w:leader="dot" w:pos="8296"/>
        </w:tabs>
        <w:ind w:firstLine="607" w:firstLineChars="253"/>
        <w:rPr>
          <w:rStyle w:val="26"/>
          <w:rFonts w:ascii="仿宋_GB2312" w:hAnsi="仿宋_GB2312" w:eastAsia="仿宋_GB2312" w:cs="仿宋_GB2312"/>
        </w:rPr>
      </w:pPr>
      <w:r>
        <w:fldChar w:fldCharType="begin"/>
      </w:r>
      <w:r>
        <w:instrText xml:space="preserve"> HYPERLINK \l "_Toc20153566" </w:instrText>
      </w:r>
      <w:r>
        <w:fldChar w:fldCharType="separate"/>
      </w:r>
      <w:r>
        <w:rPr>
          <w:rStyle w:val="26"/>
          <w:rFonts w:ascii="仿宋_GB2312" w:hAnsi="仿宋_GB2312" w:eastAsia="仿宋_GB2312" w:cs="仿宋_GB2312"/>
        </w:rPr>
        <w:t>第二节 投标须知前附表</w:t>
      </w:r>
      <w:r>
        <w:rPr>
          <w:rStyle w:val="26"/>
          <w:rFonts w:ascii="仿宋_GB2312" w:hAnsi="仿宋_GB2312" w:eastAsia="仿宋_GB2312" w:cs="仿宋_GB2312"/>
        </w:rPr>
        <w:tab/>
      </w:r>
      <w:r>
        <w:rPr>
          <w:rStyle w:val="26"/>
          <w:rFonts w:ascii="仿宋_GB2312" w:hAnsi="仿宋_GB2312" w:eastAsia="仿宋_GB2312" w:cs="仿宋_GB2312"/>
        </w:rPr>
        <w:fldChar w:fldCharType="begin"/>
      </w:r>
      <w:r>
        <w:rPr>
          <w:rStyle w:val="26"/>
          <w:rFonts w:ascii="仿宋_GB2312" w:hAnsi="仿宋_GB2312" w:eastAsia="仿宋_GB2312" w:cs="仿宋_GB2312"/>
        </w:rPr>
        <w:instrText xml:space="preserve"> PAGEREF _Toc20153566 \h </w:instrText>
      </w:r>
      <w:r>
        <w:rPr>
          <w:rStyle w:val="26"/>
          <w:rFonts w:ascii="仿宋_GB2312" w:hAnsi="仿宋_GB2312" w:eastAsia="仿宋_GB2312" w:cs="仿宋_GB2312"/>
        </w:rPr>
        <w:fldChar w:fldCharType="separate"/>
      </w:r>
      <w:r>
        <w:rPr>
          <w:rStyle w:val="26"/>
          <w:rFonts w:ascii="仿宋_GB2312" w:hAnsi="仿宋_GB2312" w:eastAsia="仿宋_GB2312" w:cs="仿宋_GB2312"/>
        </w:rPr>
        <w:t>8</w:t>
      </w:r>
      <w:r>
        <w:rPr>
          <w:rStyle w:val="26"/>
          <w:rFonts w:ascii="仿宋_GB2312" w:hAnsi="仿宋_GB2312" w:eastAsia="仿宋_GB2312" w:cs="仿宋_GB2312"/>
        </w:rPr>
        <w:fldChar w:fldCharType="end"/>
      </w:r>
      <w:r>
        <w:rPr>
          <w:rStyle w:val="26"/>
          <w:rFonts w:ascii="仿宋_GB2312" w:hAnsi="仿宋_GB2312" w:eastAsia="仿宋_GB2312" w:cs="仿宋_GB2312"/>
        </w:rPr>
        <w:fldChar w:fldCharType="end"/>
      </w:r>
    </w:p>
    <w:p>
      <w:pPr>
        <w:pStyle w:val="15"/>
        <w:tabs>
          <w:tab w:val="right" w:leader="dot" w:pos="8296"/>
        </w:tabs>
        <w:ind w:firstLine="607" w:firstLineChars="253"/>
        <w:rPr>
          <w:rStyle w:val="26"/>
          <w:rFonts w:ascii="仿宋_GB2312" w:hAnsi="仿宋_GB2312" w:eastAsia="仿宋_GB2312" w:cs="仿宋_GB2312"/>
        </w:rPr>
      </w:pPr>
      <w:r>
        <w:fldChar w:fldCharType="begin"/>
      </w:r>
      <w:r>
        <w:instrText xml:space="preserve"> HYPERLINK \l "_Toc20153567" </w:instrText>
      </w:r>
      <w:r>
        <w:fldChar w:fldCharType="separate"/>
      </w:r>
      <w:r>
        <w:rPr>
          <w:rStyle w:val="26"/>
          <w:rFonts w:ascii="仿宋_GB2312" w:hAnsi="仿宋_GB2312" w:eastAsia="仿宋_GB2312" w:cs="仿宋_GB2312"/>
        </w:rPr>
        <w:t>第三节 其他需要说明的事项</w:t>
      </w:r>
      <w:r>
        <w:rPr>
          <w:rStyle w:val="26"/>
          <w:rFonts w:ascii="仿宋_GB2312" w:hAnsi="仿宋_GB2312" w:eastAsia="仿宋_GB2312" w:cs="仿宋_GB2312"/>
        </w:rPr>
        <w:tab/>
      </w:r>
      <w:r>
        <w:rPr>
          <w:rStyle w:val="26"/>
          <w:rFonts w:ascii="仿宋_GB2312" w:hAnsi="仿宋_GB2312" w:eastAsia="仿宋_GB2312" w:cs="仿宋_GB2312"/>
        </w:rPr>
        <w:fldChar w:fldCharType="begin"/>
      </w:r>
      <w:r>
        <w:rPr>
          <w:rStyle w:val="26"/>
          <w:rFonts w:ascii="仿宋_GB2312" w:hAnsi="仿宋_GB2312" w:eastAsia="仿宋_GB2312" w:cs="仿宋_GB2312"/>
        </w:rPr>
        <w:instrText xml:space="preserve"> PAGEREF _Toc20153567 \h </w:instrText>
      </w:r>
      <w:r>
        <w:rPr>
          <w:rStyle w:val="26"/>
          <w:rFonts w:ascii="仿宋_GB2312" w:hAnsi="仿宋_GB2312" w:eastAsia="仿宋_GB2312" w:cs="仿宋_GB2312"/>
        </w:rPr>
        <w:fldChar w:fldCharType="separate"/>
      </w:r>
      <w:r>
        <w:rPr>
          <w:rStyle w:val="26"/>
          <w:rFonts w:ascii="仿宋_GB2312" w:hAnsi="仿宋_GB2312" w:eastAsia="仿宋_GB2312" w:cs="仿宋_GB2312"/>
        </w:rPr>
        <w:t>11</w:t>
      </w:r>
      <w:r>
        <w:rPr>
          <w:rStyle w:val="26"/>
          <w:rFonts w:ascii="仿宋_GB2312" w:hAnsi="仿宋_GB2312" w:eastAsia="仿宋_GB2312" w:cs="仿宋_GB2312"/>
        </w:rPr>
        <w:fldChar w:fldCharType="end"/>
      </w:r>
      <w:r>
        <w:rPr>
          <w:rStyle w:val="26"/>
          <w:rFonts w:ascii="仿宋_GB2312" w:hAnsi="仿宋_GB2312" w:eastAsia="仿宋_GB2312" w:cs="仿宋_GB2312"/>
        </w:rPr>
        <w:fldChar w:fldCharType="end"/>
      </w:r>
    </w:p>
    <w:p>
      <w:pPr>
        <w:pStyle w:val="15"/>
        <w:tabs>
          <w:tab w:val="right" w:leader="dot" w:pos="8296"/>
        </w:tabs>
        <w:ind w:firstLine="607" w:firstLineChars="253"/>
        <w:rPr>
          <w:rStyle w:val="26"/>
          <w:rFonts w:ascii="仿宋_GB2312" w:hAnsi="仿宋_GB2312" w:eastAsia="仿宋_GB2312" w:cs="仿宋_GB2312"/>
        </w:rPr>
      </w:pPr>
      <w:r>
        <w:fldChar w:fldCharType="begin"/>
      </w:r>
      <w:r>
        <w:instrText xml:space="preserve"> HYPERLINK \l "_Toc20153568" </w:instrText>
      </w:r>
      <w:r>
        <w:fldChar w:fldCharType="separate"/>
      </w:r>
      <w:r>
        <w:rPr>
          <w:rStyle w:val="26"/>
          <w:rFonts w:ascii="仿宋_GB2312" w:hAnsi="仿宋_GB2312" w:eastAsia="仿宋_GB2312" w:cs="仿宋_GB2312"/>
        </w:rPr>
        <w:t>第四节 评定程序及评定方法</w:t>
      </w:r>
      <w:r>
        <w:rPr>
          <w:rStyle w:val="26"/>
          <w:rFonts w:ascii="仿宋_GB2312" w:hAnsi="仿宋_GB2312" w:eastAsia="仿宋_GB2312" w:cs="仿宋_GB2312"/>
        </w:rPr>
        <w:tab/>
      </w:r>
      <w:r>
        <w:rPr>
          <w:rStyle w:val="26"/>
          <w:rFonts w:ascii="仿宋_GB2312" w:hAnsi="仿宋_GB2312" w:eastAsia="仿宋_GB2312" w:cs="仿宋_GB2312"/>
        </w:rPr>
        <w:fldChar w:fldCharType="begin"/>
      </w:r>
      <w:r>
        <w:rPr>
          <w:rStyle w:val="26"/>
          <w:rFonts w:ascii="仿宋_GB2312" w:hAnsi="仿宋_GB2312" w:eastAsia="仿宋_GB2312" w:cs="仿宋_GB2312"/>
        </w:rPr>
        <w:instrText xml:space="preserve"> PAGEREF _Toc20153568 \h </w:instrText>
      </w:r>
      <w:r>
        <w:rPr>
          <w:rStyle w:val="26"/>
          <w:rFonts w:ascii="仿宋_GB2312" w:hAnsi="仿宋_GB2312" w:eastAsia="仿宋_GB2312" w:cs="仿宋_GB2312"/>
        </w:rPr>
        <w:fldChar w:fldCharType="separate"/>
      </w:r>
      <w:r>
        <w:rPr>
          <w:rStyle w:val="26"/>
          <w:rFonts w:ascii="仿宋_GB2312" w:hAnsi="仿宋_GB2312" w:eastAsia="仿宋_GB2312" w:cs="仿宋_GB2312"/>
        </w:rPr>
        <w:t>13</w:t>
      </w:r>
      <w:r>
        <w:rPr>
          <w:rStyle w:val="26"/>
          <w:rFonts w:ascii="仿宋_GB2312" w:hAnsi="仿宋_GB2312" w:eastAsia="仿宋_GB2312" w:cs="仿宋_GB2312"/>
        </w:rPr>
        <w:fldChar w:fldCharType="end"/>
      </w:r>
      <w:r>
        <w:rPr>
          <w:rStyle w:val="26"/>
          <w:rFonts w:ascii="仿宋_GB2312" w:hAnsi="仿宋_GB2312" w:eastAsia="仿宋_GB2312" w:cs="仿宋_GB2312"/>
        </w:rPr>
        <w:fldChar w:fldCharType="end"/>
      </w:r>
    </w:p>
    <w:p>
      <w:pPr>
        <w:pStyle w:val="15"/>
        <w:tabs>
          <w:tab w:val="right" w:leader="dot" w:pos="8296"/>
        </w:tabs>
        <w:ind w:firstLine="607" w:firstLineChars="253"/>
        <w:rPr>
          <w:rStyle w:val="26"/>
          <w:rFonts w:ascii="仿宋_GB2312" w:hAnsi="仿宋_GB2312" w:eastAsia="仿宋_GB2312" w:cs="仿宋_GB2312"/>
        </w:rPr>
      </w:pPr>
      <w:r>
        <w:fldChar w:fldCharType="begin"/>
      </w:r>
      <w:r>
        <w:instrText xml:space="preserve"> HYPERLINK \l "_Toc20153569" </w:instrText>
      </w:r>
      <w:r>
        <w:fldChar w:fldCharType="separate"/>
      </w:r>
      <w:r>
        <w:rPr>
          <w:rStyle w:val="26"/>
          <w:rFonts w:ascii="仿宋_GB2312" w:hAnsi="仿宋_GB2312" w:eastAsia="仿宋_GB2312" w:cs="仿宋_GB2312"/>
        </w:rPr>
        <w:t>第五节 合同的签订</w:t>
      </w:r>
      <w:r>
        <w:rPr>
          <w:rStyle w:val="26"/>
          <w:rFonts w:ascii="仿宋_GB2312" w:hAnsi="仿宋_GB2312" w:eastAsia="仿宋_GB2312" w:cs="仿宋_GB2312"/>
        </w:rPr>
        <w:tab/>
      </w:r>
      <w:r>
        <w:rPr>
          <w:rStyle w:val="26"/>
          <w:rFonts w:ascii="仿宋_GB2312" w:hAnsi="仿宋_GB2312" w:eastAsia="仿宋_GB2312" w:cs="仿宋_GB2312"/>
        </w:rPr>
        <w:fldChar w:fldCharType="begin"/>
      </w:r>
      <w:r>
        <w:rPr>
          <w:rStyle w:val="26"/>
          <w:rFonts w:ascii="仿宋_GB2312" w:hAnsi="仿宋_GB2312" w:eastAsia="仿宋_GB2312" w:cs="仿宋_GB2312"/>
        </w:rPr>
        <w:instrText xml:space="preserve"> PAGEREF _Toc20153569 \h </w:instrText>
      </w:r>
      <w:r>
        <w:rPr>
          <w:rStyle w:val="26"/>
          <w:rFonts w:ascii="仿宋_GB2312" w:hAnsi="仿宋_GB2312" w:eastAsia="仿宋_GB2312" w:cs="仿宋_GB2312"/>
        </w:rPr>
        <w:fldChar w:fldCharType="separate"/>
      </w:r>
      <w:r>
        <w:rPr>
          <w:rStyle w:val="26"/>
          <w:rFonts w:ascii="仿宋_GB2312" w:hAnsi="仿宋_GB2312" w:eastAsia="仿宋_GB2312" w:cs="仿宋_GB2312"/>
        </w:rPr>
        <w:t>22</w:t>
      </w:r>
      <w:r>
        <w:rPr>
          <w:rStyle w:val="26"/>
          <w:rFonts w:ascii="仿宋_GB2312" w:hAnsi="仿宋_GB2312" w:eastAsia="仿宋_GB2312" w:cs="仿宋_GB2312"/>
        </w:rPr>
        <w:fldChar w:fldCharType="end"/>
      </w:r>
      <w:r>
        <w:rPr>
          <w:rStyle w:val="26"/>
          <w:rFonts w:ascii="仿宋_GB2312" w:hAnsi="仿宋_GB2312" w:eastAsia="仿宋_GB2312" w:cs="仿宋_GB2312"/>
        </w:rPr>
        <w:fldChar w:fldCharType="end"/>
      </w:r>
    </w:p>
    <w:p>
      <w:pPr>
        <w:pStyle w:val="15"/>
        <w:tabs>
          <w:tab w:val="right" w:leader="dot" w:pos="8296"/>
        </w:tabs>
        <w:rPr>
          <w:rFonts w:ascii="Calibri" w:hAnsi="Calibri" w:eastAsia="宋体" w:cs="黑体"/>
          <w:bCs w:val="0"/>
          <w:iCs w:val="0"/>
          <w:sz w:val="21"/>
          <w:szCs w:val="22"/>
        </w:rPr>
      </w:pPr>
      <w:r>
        <w:fldChar w:fldCharType="begin"/>
      </w:r>
      <w:r>
        <w:instrText xml:space="preserve"> HYPERLINK \l "_Toc20153570" </w:instrText>
      </w:r>
      <w:r>
        <w:fldChar w:fldCharType="separate"/>
      </w:r>
      <w:r>
        <w:rPr>
          <w:rStyle w:val="26"/>
          <w:rFonts w:eastAsia="黑体"/>
        </w:rPr>
        <w:t>第三部分 招标文件</w:t>
      </w:r>
      <w:r>
        <w:tab/>
      </w:r>
      <w:r>
        <w:fldChar w:fldCharType="begin"/>
      </w:r>
      <w:r>
        <w:instrText xml:space="preserve"> PAGEREF _Toc20153570 \h </w:instrText>
      </w:r>
      <w:r>
        <w:fldChar w:fldCharType="separate"/>
      </w:r>
      <w:r>
        <w:t>23</w:t>
      </w:r>
      <w:r>
        <w:fldChar w:fldCharType="end"/>
      </w:r>
      <w:r>
        <w:fldChar w:fldCharType="end"/>
      </w:r>
    </w:p>
    <w:p>
      <w:pPr>
        <w:pStyle w:val="15"/>
        <w:tabs>
          <w:tab w:val="right" w:leader="dot" w:pos="8296"/>
        </w:tabs>
        <w:ind w:firstLine="607" w:firstLineChars="253"/>
        <w:rPr>
          <w:rStyle w:val="26"/>
          <w:rFonts w:ascii="仿宋_GB2312" w:hAnsi="仿宋_GB2312" w:eastAsia="仿宋_GB2312" w:cs="仿宋_GB2312"/>
        </w:rPr>
      </w:pPr>
      <w:r>
        <w:fldChar w:fldCharType="begin"/>
      </w:r>
      <w:r>
        <w:instrText xml:space="preserve"> HYPERLINK \l "_Toc20153571" </w:instrText>
      </w:r>
      <w:r>
        <w:fldChar w:fldCharType="separate"/>
      </w:r>
      <w:r>
        <w:rPr>
          <w:rStyle w:val="26"/>
          <w:rFonts w:ascii="仿宋_GB2312" w:hAnsi="仿宋_GB2312" w:eastAsia="仿宋_GB2312" w:cs="仿宋_GB2312"/>
        </w:rPr>
        <w:t>第一节 招标项目需求书</w:t>
      </w:r>
      <w:r>
        <w:rPr>
          <w:rStyle w:val="26"/>
          <w:rFonts w:ascii="仿宋_GB2312" w:hAnsi="仿宋_GB2312" w:eastAsia="仿宋_GB2312" w:cs="仿宋_GB2312"/>
        </w:rPr>
        <w:tab/>
      </w:r>
      <w:r>
        <w:rPr>
          <w:rStyle w:val="26"/>
          <w:rFonts w:ascii="仿宋_GB2312" w:hAnsi="仿宋_GB2312" w:eastAsia="仿宋_GB2312" w:cs="仿宋_GB2312"/>
        </w:rPr>
        <w:fldChar w:fldCharType="begin"/>
      </w:r>
      <w:r>
        <w:rPr>
          <w:rStyle w:val="26"/>
          <w:rFonts w:ascii="仿宋_GB2312" w:hAnsi="仿宋_GB2312" w:eastAsia="仿宋_GB2312" w:cs="仿宋_GB2312"/>
        </w:rPr>
        <w:instrText xml:space="preserve"> PAGEREF _Toc20153571 \h </w:instrText>
      </w:r>
      <w:r>
        <w:rPr>
          <w:rStyle w:val="26"/>
          <w:rFonts w:ascii="仿宋_GB2312" w:hAnsi="仿宋_GB2312" w:eastAsia="仿宋_GB2312" w:cs="仿宋_GB2312"/>
        </w:rPr>
        <w:fldChar w:fldCharType="separate"/>
      </w:r>
      <w:r>
        <w:rPr>
          <w:rStyle w:val="26"/>
          <w:rFonts w:ascii="仿宋_GB2312" w:hAnsi="仿宋_GB2312" w:eastAsia="仿宋_GB2312" w:cs="仿宋_GB2312"/>
        </w:rPr>
        <w:t>23</w:t>
      </w:r>
      <w:r>
        <w:rPr>
          <w:rStyle w:val="26"/>
          <w:rFonts w:ascii="仿宋_GB2312" w:hAnsi="仿宋_GB2312" w:eastAsia="仿宋_GB2312" w:cs="仿宋_GB2312"/>
        </w:rPr>
        <w:fldChar w:fldCharType="end"/>
      </w:r>
      <w:r>
        <w:rPr>
          <w:rStyle w:val="26"/>
          <w:rFonts w:ascii="仿宋_GB2312" w:hAnsi="仿宋_GB2312" w:eastAsia="仿宋_GB2312" w:cs="仿宋_GB2312"/>
        </w:rPr>
        <w:fldChar w:fldCharType="end"/>
      </w:r>
    </w:p>
    <w:p>
      <w:pPr>
        <w:pStyle w:val="15"/>
        <w:tabs>
          <w:tab w:val="right" w:leader="dot" w:pos="8296"/>
        </w:tabs>
        <w:ind w:firstLine="607" w:firstLineChars="253"/>
        <w:rPr>
          <w:rStyle w:val="26"/>
          <w:rFonts w:ascii="仿宋_GB2312" w:hAnsi="仿宋_GB2312" w:eastAsia="仿宋_GB2312" w:cs="仿宋_GB2312"/>
        </w:rPr>
      </w:pPr>
      <w:r>
        <w:fldChar w:fldCharType="begin"/>
      </w:r>
      <w:r>
        <w:instrText xml:space="preserve"> HYPERLINK \l "_Toc20153572" </w:instrText>
      </w:r>
      <w:r>
        <w:fldChar w:fldCharType="separate"/>
      </w:r>
      <w:r>
        <w:rPr>
          <w:rStyle w:val="26"/>
          <w:rFonts w:ascii="仿宋_GB2312" w:hAnsi="仿宋_GB2312" w:eastAsia="仿宋_GB2312" w:cs="仿宋_GB2312"/>
        </w:rPr>
        <w:t>第二节 投标文件格式、主要内容</w:t>
      </w:r>
      <w:r>
        <w:rPr>
          <w:rStyle w:val="26"/>
          <w:rFonts w:ascii="仿宋_GB2312" w:hAnsi="仿宋_GB2312" w:eastAsia="仿宋_GB2312" w:cs="仿宋_GB2312"/>
        </w:rPr>
        <w:tab/>
      </w:r>
      <w:r>
        <w:rPr>
          <w:rStyle w:val="26"/>
          <w:rFonts w:ascii="仿宋_GB2312" w:hAnsi="仿宋_GB2312" w:eastAsia="仿宋_GB2312" w:cs="仿宋_GB2312"/>
        </w:rPr>
        <w:fldChar w:fldCharType="begin"/>
      </w:r>
      <w:r>
        <w:rPr>
          <w:rStyle w:val="26"/>
          <w:rFonts w:ascii="仿宋_GB2312" w:hAnsi="仿宋_GB2312" w:eastAsia="仿宋_GB2312" w:cs="仿宋_GB2312"/>
        </w:rPr>
        <w:instrText xml:space="preserve"> PAGEREF _Toc20153572 \h </w:instrText>
      </w:r>
      <w:r>
        <w:rPr>
          <w:rStyle w:val="26"/>
          <w:rFonts w:ascii="仿宋_GB2312" w:hAnsi="仿宋_GB2312" w:eastAsia="仿宋_GB2312" w:cs="仿宋_GB2312"/>
        </w:rPr>
        <w:fldChar w:fldCharType="separate"/>
      </w:r>
      <w:r>
        <w:rPr>
          <w:rStyle w:val="26"/>
          <w:rFonts w:ascii="仿宋_GB2312" w:hAnsi="仿宋_GB2312" w:eastAsia="仿宋_GB2312" w:cs="仿宋_GB2312"/>
        </w:rPr>
        <w:t>30</w:t>
      </w:r>
      <w:r>
        <w:rPr>
          <w:rStyle w:val="26"/>
          <w:rFonts w:ascii="仿宋_GB2312" w:hAnsi="仿宋_GB2312" w:eastAsia="仿宋_GB2312" w:cs="仿宋_GB2312"/>
        </w:rPr>
        <w:fldChar w:fldCharType="end"/>
      </w:r>
      <w:r>
        <w:rPr>
          <w:rStyle w:val="26"/>
          <w:rFonts w:ascii="仿宋_GB2312" w:hAnsi="仿宋_GB2312" w:eastAsia="仿宋_GB2312" w:cs="仿宋_GB2312"/>
        </w:rPr>
        <w:fldChar w:fldCharType="end"/>
      </w:r>
    </w:p>
    <w:p>
      <w:pPr>
        <w:pStyle w:val="15"/>
        <w:tabs>
          <w:tab w:val="right" w:leader="dot" w:pos="8296"/>
        </w:tabs>
        <w:rPr>
          <w:rFonts w:ascii="Calibri" w:hAnsi="Calibri" w:eastAsia="宋体" w:cs="黑体"/>
          <w:bCs w:val="0"/>
          <w:iCs w:val="0"/>
          <w:sz w:val="21"/>
          <w:szCs w:val="22"/>
        </w:rPr>
      </w:pPr>
      <w:r>
        <w:fldChar w:fldCharType="begin"/>
      </w:r>
      <w:r>
        <w:instrText xml:space="preserve"> HYPERLINK \l "_Toc20153573" </w:instrText>
      </w:r>
      <w:r>
        <w:fldChar w:fldCharType="separate"/>
      </w:r>
      <w:r>
        <w:rPr>
          <w:rStyle w:val="26"/>
          <w:rFonts w:eastAsia="黑体"/>
        </w:rPr>
        <w:t>第四部分 合同主要条款及格式</w:t>
      </w:r>
      <w:r>
        <w:tab/>
      </w:r>
      <w:r>
        <w:fldChar w:fldCharType="begin"/>
      </w:r>
      <w:r>
        <w:instrText xml:space="preserve"> PAGEREF _Toc20153573 \h </w:instrText>
      </w:r>
      <w:r>
        <w:fldChar w:fldCharType="separate"/>
      </w:r>
      <w:r>
        <w:t>43</w:t>
      </w:r>
      <w:r>
        <w:fldChar w:fldCharType="end"/>
      </w:r>
      <w:r>
        <w:fldChar w:fldCharType="end"/>
      </w:r>
    </w:p>
    <w:p>
      <w:r>
        <w:rPr>
          <w:b/>
          <w:bCs/>
          <w:lang w:val="zh-CN"/>
        </w:rPr>
        <w:fldChar w:fldCharType="end"/>
      </w:r>
    </w:p>
    <w:p>
      <w:pPr>
        <w:spacing w:line="360" w:lineRule="auto"/>
        <w:ind w:right="105" w:rightChars="50"/>
        <w:outlineLvl w:val="1"/>
        <w:rPr>
          <w:rFonts w:eastAsia="黑体"/>
          <w:b/>
          <w:color w:val="000000"/>
          <w:sz w:val="44"/>
        </w:rPr>
      </w:pPr>
    </w:p>
    <w:p>
      <w:pPr>
        <w:spacing w:line="360" w:lineRule="auto"/>
        <w:ind w:right="105" w:rightChars="50"/>
        <w:outlineLvl w:val="1"/>
        <w:rPr>
          <w:rFonts w:eastAsia="黑体"/>
          <w:b/>
          <w:color w:val="000000"/>
          <w:sz w:val="44"/>
        </w:rPr>
      </w:pPr>
    </w:p>
    <w:p>
      <w:pPr>
        <w:spacing w:line="360" w:lineRule="auto"/>
        <w:ind w:right="105" w:rightChars="50"/>
        <w:outlineLvl w:val="1"/>
        <w:rPr>
          <w:rFonts w:eastAsia="黑体"/>
          <w:b/>
          <w:color w:val="000000"/>
          <w:sz w:val="44"/>
        </w:rPr>
      </w:pPr>
    </w:p>
    <w:p>
      <w:pPr>
        <w:spacing w:line="360" w:lineRule="auto"/>
        <w:ind w:right="105" w:rightChars="50"/>
        <w:outlineLvl w:val="1"/>
        <w:rPr>
          <w:rFonts w:eastAsia="黑体"/>
          <w:b/>
          <w:color w:val="000000"/>
          <w:sz w:val="44"/>
        </w:rPr>
      </w:pPr>
    </w:p>
    <w:p>
      <w:pPr>
        <w:spacing w:line="360" w:lineRule="auto"/>
        <w:ind w:right="105" w:rightChars="50"/>
        <w:outlineLvl w:val="1"/>
        <w:rPr>
          <w:rFonts w:eastAsia="黑体"/>
          <w:b/>
          <w:color w:val="000000"/>
          <w:sz w:val="44"/>
        </w:rPr>
      </w:pPr>
    </w:p>
    <w:p>
      <w:pPr>
        <w:pStyle w:val="2"/>
        <w:jc w:val="both"/>
        <w:rPr>
          <w:rFonts w:eastAsia="黑体"/>
          <w:color w:val="000000"/>
          <w:szCs w:val="32"/>
        </w:rPr>
      </w:pPr>
      <w:bookmarkStart w:id="4" w:name="_Toc9328"/>
      <w:bookmarkStart w:id="5" w:name="_Toc28279"/>
      <w:bookmarkStart w:id="6" w:name="_Toc7984"/>
    </w:p>
    <w:p>
      <w:pPr>
        <w:pStyle w:val="2"/>
        <w:rPr>
          <w:rFonts w:eastAsia="黑体"/>
          <w:color w:val="000000"/>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2"/>
        <w:rPr>
          <w:rFonts w:eastAsia="黑体"/>
          <w:color w:val="000000"/>
          <w:szCs w:val="32"/>
        </w:rPr>
      </w:pPr>
      <w:bookmarkStart w:id="7" w:name="_Toc20153562"/>
      <w:r>
        <w:rPr>
          <w:rFonts w:hint="eastAsia" w:eastAsia="黑体"/>
          <w:color w:val="000000"/>
          <w:szCs w:val="32"/>
        </w:rPr>
        <w:t>致投标人</w:t>
      </w:r>
      <w:bookmarkEnd w:id="4"/>
      <w:bookmarkEnd w:id="5"/>
      <w:bookmarkEnd w:id="6"/>
      <w:bookmarkEnd w:id="7"/>
    </w:p>
    <w:p>
      <w:pPr>
        <w:jc w:val="left"/>
        <w:rPr>
          <w:color w:val="000000"/>
        </w:rPr>
      </w:pPr>
    </w:p>
    <w:p>
      <w:pPr>
        <w:widowControl/>
        <w:autoSpaceDE w:val="0"/>
        <w:autoSpaceDN w:val="0"/>
        <w:spacing w:line="500" w:lineRule="exact"/>
        <w:ind w:right="-36"/>
        <w:jc w:val="left"/>
        <w:textAlignment w:val="bottom"/>
        <w:rPr>
          <w:color w:val="000000"/>
          <w:sz w:val="24"/>
        </w:rPr>
      </w:pPr>
      <w:r>
        <w:rPr>
          <w:rFonts w:hint="eastAsia"/>
          <w:color w:val="000000"/>
        </w:rPr>
        <w:t xml:space="preserve">    </w:t>
      </w:r>
      <w:r>
        <w:rPr>
          <w:rFonts w:hint="eastAsia"/>
          <w:color w:val="000000"/>
          <w:sz w:val="24"/>
        </w:rPr>
        <w:t xml:space="preserve"> </w:t>
      </w:r>
      <w:r>
        <w:rPr>
          <w:rFonts w:hint="eastAsia" w:ascii="宋体" w:hAnsi="宋体" w:cs="宋体"/>
          <w:bCs/>
          <w:sz w:val="24"/>
        </w:rPr>
        <w:t>本招标文件是依据有关物业管理招标投标的法律、法规规定，根据招标物业项目的特点和需要编制的。招标文件的编制遵循了公开、公平、公正和诚实信用的原则。招标文件所包含的内容已清楚地反映了招标物业项目的规模、性质以及商务和技术要求等。我们要求投标人必须完全响应本招标文件的实质性内容。</w:t>
      </w:r>
    </w:p>
    <w:p>
      <w:pPr>
        <w:spacing w:line="360" w:lineRule="auto"/>
        <w:ind w:left="105" w:leftChars="50" w:right="105" w:rightChars="50" w:firstLine="200"/>
        <w:jc w:val="left"/>
        <w:rPr>
          <w:color w:val="000000"/>
          <w:sz w:val="24"/>
        </w:rPr>
      </w:pPr>
    </w:p>
    <w:tbl>
      <w:tblPr>
        <w:tblStyle w:val="20"/>
        <w:tblW w:w="7275" w:type="dxa"/>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30"/>
        <w:gridCol w:w="1413"/>
        <w:gridCol w:w="1455"/>
        <w:gridCol w:w="2277"/>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7" w:hRule="atLeast"/>
          <w:jc w:val="center"/>
        </w:trPr>
        <w:tc>
          <w:tcPr>
            <w:tcW w:w="2130" w:type="dxa"/>
            <w:tcBorders>
              <w:top w:val="single"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招标人(业主大会）或者（居民委员会）：</w:t>
            </w:r>
          </w:p>
        </w:tc>
        <w:tc>
          <w:tcPr>
            <w:tcW w:w="5145" w:type="dxa"/>
            <w:gridSpan w:val="3"/>
            <w:tcBorders>
              <w:top w:val="single"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62" w:hRule="atLeast"/>
          <w:jc w:val="center"/>
        </w:trPr>
        <w:tc>
          <w:tcPr>
            <w:tcW w:w="2130" w:type="dxa"/>
            <w:tcBorders>
              <w:top w:val="dotted"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地址：</w:t>
            </w:r>
          </w:p>
        </w:tc>
        <w:tc>
          <w:tcPr>
            <w:tcW w:w="5145" w:type="dxa"/>
            <w:gridSpan w:val="3"/>
            <w:tcBorders>
              <w:top w:val="dotted"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2" w:hRule="atLeast"/>
          <w:jc w:val="center"/>
        </w:trPr>
        <w:tc>
          <w:tcPr>
            <w:tcW w:w="2130" w:type="dxa"/>
            <w:tcBorders>
              <w:top w:val="dotted"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邮政编码：</w:t>
            </w:r>
          </w:p>
        </w:tc>
        <w:tc>
          <w:tcPr>
            <w:tcW w:w="1413"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color w:val="000000"/>
                <w:sz w:val="24"/>
                <w:u w:val="single"/>
              </w:rPr>
              <w:t xml:space="preserve">          </w:t>
            </w:r>
          </w:p>
        </w:tc>
        <w:tc>
          <w:tcPr>
            <w:tcW w:w="1455"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rFonts w:hint="eastAsia"/>
                <w:color w:val="000000"/>
                <w:sz w:val="24"/>
              </w:rPr>
              <w:t>传</w:t>
            </w:r>
            <w:r>
              <w:rPr>
                <w:color w:val="000000"/>
                <w:sz w:val="24"/>
              </w:rPr>
              <w:t xml:space="preserve">    </w:t>
            </w:r>
            <w:r>
              <w:rPr>
                <w:rFonts w:hint="eastAsia"/>
                <w:color w:val="000000"/>
                <w:sz w:val="24"/>
              </w:rPr>
              <w:t>真：</w:t>
            </w:r>
          </w:p>
        </w:tc>
        <w:tc>
          <w:tcPr>
            <w:tcW w:w="2277" w:type="dxa"/>
            <w:tcBorders>
              <w:top w:val="dotted"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02" w:hRule="atLeast"/>
          <w:jc w:val="center"/>
        </w:trPr>
        <w:tc>
          <w:tcPr>
            <w:tcW w:w="2130" w:type="dxa"/>
            <w:tcBorders>
              <w:top w:val="dotted"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人：</w:t>
            </w:r>
          </w:p>
        </w:tc>
        <w:tc>
          <w:tcPr>
            <w:tcW w:w="1413"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color w:val="000000"/>
                <w:sz w:val="24"/>
                <w:u w:val="single"/>
              </w:rPr>
              <w:t xml:space="preserve">          </w:t>
            </w:r>
          </w:p>
        </w:tc>
        <w:tc>
          <w:tcPr>
            <w:tcW w:w="1455"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rFonts w:hint="eastAsia"/>
                <w:color w:val="000000"/>
                <w:sz w:val="24"/>
              </w:rPr>
              <w:t>联系电话：</w:t>
            </w:r>
          </w:p>
        </w:tc>
        <w:tc>
          <w:tcPr>
            <w:tcW w:w="2277" w:type="dxa"/>
            <w:tcBorders>
              <w:top w:val="dotted"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22" w:hRule="atLeast"/>
          <w:jc w:val="center"/>
        </w:trPr>
        <w:tc>
          <w:tcPr>
            <w:tcW w:w="2130" w:type="dxa"/>
            <w:tcBorders>
              <w:top w:val="dotted" w:color="auto" w:sz="4" w:space="0"/>
              <w:left w:val="nil"/>
              <w:bottom w:val="single" w:color="auto" w:sz="4" w:space="0"/>
              <w:right w:val="dotted" w:color="auto" w:sz="4" w:space="0"/>
            </w:tcBorders>
            <w:vAlign w:val="bottom"/>
          </w:tcPr>
          <w:p>
            <w:pPr>
              <w:jc w:val="left"/>
              <w:rPr>
                <w:color w:val="000000"/>
                <w:sz w:val="24"/>
              </w:rPr>
            </w:pPr>
            <w:r>
              <w:rPr>
                <w:color w:val="000000"/>
                <w:sz w:val="24"/>
              </w:rPr>
              <w:t>E - mail</w:t>
            </w:r>
            <w:r>
              <w:rPr>
                <w:rFonts w:hint="eastAsia"/>
                <w:color w:val="000000"/>
                <w:sz w:val="24"/>
              </w:rPr>
              <w:t>：</w:t>
            </w:r>
          </w:p>
        </w:tc>
        <w:tc>
          <w:tcPr>
            <w:tcW w:w="5145" w:type="dxa"/>
            <w:gridSpan w:val="3"/>
            <w:tcBorders>
              <w:top w:val="dotted" w:color="auto" w:sz="4" w:space="0"/>
              <w:left w:val="dotted" w:color="auto" w:sz="4" w:space="0"/>
              <w:bottom w:val="single" w:color="auto" w:sz="4" w:space="0"/>
              <w:right w:val="nil"/>
            </w:tcBorders>
            <w:vAlign w:val="bottom"/>
          </w:tcPr>
          <w:p>
            <w:pPr>
              <w:jc w:val="left"/>
              <w:rPr>
                <w:color w:val="000000"/>
                <w:sz w:val="24"/>
              </w:rPr>
            </w:pPr>
            <w:r>
              <w:rPr>
                <w:color w:val="000000"/>
                <w:sz w:val="24"/>
                <w:u w:val="single"/>
              </w:rPr>
              <w:t xml:space="preserve">                                  </w:t>
            </w:r>
          </w:p>
        </w:tc>
      </w:tr>
    </w:tbl>
    <w:p>
      <w:pPr>
        <w:spacing w:line="360" w:lineRule="auto"/>
        <w:ind w:right="105" w:rightChars="50" w:firstLine="480" w:firstLineChars="200"/>
        <w:jc w:val="left"/>
        <w:rPr>
          <w:color w:val="000000"/>
          <w:sz w:val="24"/>
        </w:rPr>
      </w:pPr>
    </w:p>
    <w:tbl>
      <w:tblPr>
        <w:tblStyle w:val="20"/>
        <w:tblW w:w="7177" w:type="dxa"/>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99"/>
        <w:gridCol w:w="1425"/>
        <w:gridCol w:w="1425"/>
        <w:gridCol w:w="222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92" w:hRule="atLeast"/>
          <w:jc w:val="center"/>
        </w:trPr>
        <w:tc>
          <w:tcPr>
            <w:tcW w:w="2099" w:type="dxa"/>
            <w:tcBorders>
              <w:top w:val="single" w:color="auto" w:sz="4" w:space="0"/>
              <w:left w:val="nil"/>
              <w:bottom w:val="dotted" w:color="auto" w:sz="4" w:space="0"/>
              <w:right w:val="dotted" w:color="auto" w:sz="4" w:space="0"/>
            </w:tcBorders>
            <w:vAlign w:val="bottom"/>
          </w:tcPr>
          <w:p>
            <w:pPr>
              <w:rPr>
                <w:color w:val="000000"/>
                <w:sz w:val="24"/>
              </w:rPr>
            </w:pPr>
            <w:r>
              <w:rPr>
                <w:rFonts w:hint="eastAsia"/>
                <w:color w:val="000000"/>
                <w:sz w:val="24"/>
              </w:rPr>
              <w:t>招标代理机构：</w:t>
            </w:r>
          </w:p>
        </w:tc>
        <w:tc>
          <w:tcPr>
            <w:tcW w:w="5078" w:type="dxa"/>
            <w:gridSpan w:val="3"/>
            <w:tcBorders>
              <w:top w:val="single"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法定代表人：</w:t>
            </w:r>
          </w:p>
        </w:tc>
        <w:tc>
          <w:tcPr>
            <w:tcW w:w="5078" w:type="dxa"/>
            <w:gridSpan w:val="3"/>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单位地址：</w:t>
            </w:r>
          </w:p>
        </w:tc>
        <w:tc>
          <w:tcPr>
            <w:tcW w:w="5078" w:type="dxa"/>
            <w:gridSpan w:val="3"/>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邮政编码：</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color w:val="000000"/>
                <w:sz w:val="24"/>
                <w:u w:val="single"/>
              </w:rPr>
              <w:t xml:space="preserve">          </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rFonts w:hint="eastAsia"/>
                <w:color w:val="000000"/>
                <w:sz w:val="24"/>
              </w:rPr>
              <w:t>传</w:t>
            </w:r>
            <w:r>
              <w:rPr>
                <w:color w:val="000000"/>
                <w:sz w:val="24"/>
              </w:rPr>
              <w:t xml:space="preserve">    </w:t>
            </w:r>
            <w:r>
              <w:rPr>
                <w:rFonts w:hint="eastAsia"/>
                <w:color w:val="000000"/>
                <w:sz w:val="24"/>
              </w:rPr>
              <w:t>真：</w:t>
            </w:r>
          </w:p>
        </w:tc>
        <w:tc>
          <w:tcPr>
            <w:tcW w:w="2228" w:type="dxa"/>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人：</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color w:val="000000"/>
                <w:sz w:val="24"/>
                <w:u w:val="single"/>
              </w:rPr>
              <w:t xml:space="preserve">          </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rFonts w:hint="eastAsia"/>
                <w:color w:val="000000"/>
                <w:sz w:val="24"/>
              </w:rPr>
              <w:t>联系电话：</w:t>
            </w:r>
          </w:p>
        </w:tc>
        <w:tc>
          <w:tcPr>
            <w:tcW w:w="2228" w:type="dxa"/>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62" w:hRule="atLeast"/>
          <w:jc w:val="center"/>
        </w:trPr>
        <w:tc>
          <w:tcPr>
            <w:tcW w:w="2099" w:type="dxa"/>
            <w:tcBorders>
              <w:top w:val="dotted" w:color="auto" w:sz="4" w:space="0"/>
              <w:left w:val="nil"/>
              <w:bottom w:val="single" w:color="auto" w:sz="4" w:space="0"/>
              <w:right w:val="dotted" w:color="auto" w:sz="4" w:space="0"/>
            </w:tcBorders>
            <w:vAlign w:val="bottom"/>
          </w:tcPr>
          <w:p>
            <w:pPr>
              <w:rPr>
                <w:color w:val="000000"/>
                <w:sz w:val="24"/>
              </w:rPr>
            </w:pPr>
            <w:r>
              <w:rPr>
                <w:color w:val="000000"/>
                <w:sz w:val="24"/>
              </w:rPr>
              <w:t>E - mail</w:t>
            </w:r>
            <w:r>
              <w:rPr>
                <w:rFonts w:hint="eastAsia"/>
                <w:color w:val="000000"/>
                <w:sz w:val="24"/>
              </w:rPr>
              <w:t>：</w:t>
            </w:r>
          </w:p>
        </w:tc>
        <w:tc>
          <w:tcPr>
            <w:tcW w:w="5078" w:type="dxa"/>
            <w:gridSpan w:val="3"/>
            <w:tcBorders>
              <w:top w:val="dotted" w:color="auto" w:sz="4" w:space="0"/>
              <w:left w:val="dotted" w:color="auto" w:sz="4" w:space="0"/>
              <w:bottom w:val="single" w:color="auto" w:sz="4" w:space="0"/>
              <w:right w:val="nil"/>
            </w:tcBorders>
            <w:vAlign w:val="bottom"/>
          </w:tcPr>
          <w:p>
            <w:pPr>
              <w:rPr>
                <w:color w:val="000000"/>
                <w:sz w:val="24"/>
              </w:rPr>
            </w:pPr>
            <w:r>
              <w:rPr>
                <w:color w:val="000000"/>
                <w:sz w:val="24"/>
                <w:u w:val="single"/>
              </w:rPr>
              <w:t xml:space="preserve">                                  </w:t>
            </w:r>
          </w:p>
        </w:tc>
      </w:tr>
    </w:tbl>
    <w:p>
      <w:pPr>
        <w:spacing w:before="72" w:line="360" w:lineRule="auto"/>
        <w:ind w:right="105" w:rightChars="50"/>
        <w:jc w:val="left"/>
        <w:rPr>
          <w:color w:val="000000"/>
          <w:sz w:val="24"/>
        </w:rPr>
      </w:pPr>
    </w:p>
    <w:p>
      <w:pPr>
        <w:spacing w:before="72" w:line="360" w:lineRule="auto"/>
        <w:ind w:left="105" w:leftChars="50" w:right="105" w:rightChars="50" w:firstLine="480"/>
        <w:jc w:val="left"/>
        <w:rPr>
          <w:color w:val="000000"/>
          <w:sz w:val="24"/>
        </w:rPr>
      </w:pPr>
    </w:p>
    <w:p>
      <w:pPr>
        <w:spacing w:line="300" w:lineRule="auto"/>
        <w:ind w:right="105" w:rightChars="50" w:firstLine="6000" w:firstLineChars="2500"/>
        <w:jc w:val="lef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pPr>
        <w:pStyle w:val="2"/>
        <w:spacing w:line="360" w:lineRule="auto"/>
        <w:rPr>
          <w:rFonts w:eastAsia="黑体"/>
          <w:color w:val="000000"/>
          <w:sz w:val="24"/>
          <w:szCs w:val="24"/>
        </w:rPr>
      </w:pPr>
      <w:r>
        <w:rPr>
          <w:rFonts w:eastAsia="黑体"/>
          <w:b w:val="0"/>
          <w:color w:val="000000"/>
          <w:sz w:val="44"/>
        </w:rPr>
        <w:br w:type="page"/>
      </w:r>
      <w:bookmarkStart w:id="8" w:name="_Toc14677"/>
      <w:bookmarkStart w:id="9" w:name="_Toc21858"/>
      <w:bookmarkStart w:id="10" w:name="_Toc30535"/>
      <w:bookmarkStart w:id="11" w:name="_Toc20153563"/>
      <w:r>
        <w:rPr>
          <w:rFonts w:hint="eastAsia" w:eastAsia="黑体"/>
          <w:color w:val="000000"/>
          <w:szCs w:val="32"/>
        </w:rPr>
        <w:t>第一部分</w:t>
      </w:r>
      <w:r>
        <w:rPr>
          <w:rFonts w:eastAsia="黑体"/>
          <w:color w:val="000000"/>
          <w:szCs w:val="32"/>
        </w:rPr>
        <w:t xml:space="preserve">  </w:t>
      </w:r>
      <w:r>
        <w:rPr>
          <w:rFonts w:hint="eastAsia" w:eastAsia="黑体"/>
          <w:color w:val="000000"/>
          <w:szCs w:val="32"/>
        </w:rPr>
        <w:t>招标公告</w:t>
      </w:r>
      <w:bookmarkEnd w:id="8"/>
      <w:bookmarkEnd w:id="9"/>
      <w:bookmarkEnd w:id="10"/>
      <w:bookmarkEnd w:id="11"/>
    </w:p>
    <w:p>
      <w:pPr>
        <w:pStyle w:val="5"/>
        <w:spacing w:line="440" w:lineRule="exact"/>
        <w:ind w:firstLine="392" w:firstLineChars="187"/>
        <w:rPr>
          <w:color w:val="000000"/>
          <w:szCs w:val="21"/>
        </w:rPr>
      </w:pPr>
    </w:p>
    <w:p>
      <w:pPr>
        <w:pStyle w:val="5"/>
        <w:spacing w:line="500" w:lineRule="exact"/>
        <w:ind w:firstLine="480"/>
        <w:rPr>
          <w:rFonts w:ascii="宋体" w:hAnsi="宋体" w:cs="宋体"/>
          <w:color w:val="000000"/>
          <w:sz w:val="24"/>
        </w:rPr>
      </w:pPr>
      <w:r>
        <w:rPr>
          <w:rFonts w:hint="eastAsia" w:ascii="宋体" w:hAnsi="宋体" w:cs="宋体"/>
          <w:color w:val="000000"/>
          <w:sz w:val="24"/>
        </w:rPr>
        <w:t>根据《深圳经济特区物业管理条例》有关规定，</w:t>
      </w:r>
      <w:r>
        <w:rPr>
          <w:rFonts w:hint="eastAsia" w:ascii="宋体" w:hAnsi="宋体" w:cs="宋体"/>
          <w:color w:val="000000"/>
          <w:sz w:val="24"/>
          <w:u w:val="single"/>
        </w:rPr>
        <w:t xml:space="preserve">  (招标人名称)   </w:t>
      </w:r>
      <w:r>
        <w:rPr>
          <w:rFonts w:hint="eastAsia" w:ascii="宋体" w:hAnsi="宋体" w:cs="宋体"/>
          <w:color w:val="000000"/>
          <w:sz w:val="24"/>
        </w:rPr>
        <w:t>就</w:t>
      </w:r>
      <w:r>
        <w:rPr>
          <w:rFonts w:hint="eastAsia" w:ascii="宋体" w:hAnsi="宋体" w:cs="宋体"/>
          <w:color w:val="000000"/>
          <w:sz w:val="24"/>
          <w:u w:val="single"/>
        </w:rPr>
        <w:t xml:space="preserve">  （物业项目名称）  </w:t>
      </w:r>
      <w:r>
        <w:rPr>
          <w:rFonts w:hint="eastAsia" w:ascii="宋体" w:hAnsi="宋体" w:cs="宋体"/>
          <w:color w:val="000000"/>
          <w:sz w:val="24"/>
        </w:rPr>
        <w:t>项目物业管理单位选聘进行公开招标。现邀请符合资格的投标人参加投标。</w:t>
      </w:r>
    </w:p>
    <w:p>
      <w:pPr>
        <w:spacing w:line="500" w:lineRule="exact"/>
        <w:ind w:firstLine="481" w:firstLineChars="200"/>
        <w:rPr>
          <w:rFonts w:ascii="宋体" w:hAnsi="宋体" w:cs="宋体"/>
          <w:b/>
          <w:color w:val="000000"/>
          <w:sz w:val="24"/>
        </w:rPr>
      </w:pPr>
      <w:r>
        <w:rPr>
          <w:rFonts w:hint="eastAsia" w:ascii="宋体" w:hAnsi="宋体" w:cs="宋体"/>
          <w:b/>
          <w:color w:val="000000"/>
          <w:sz w:val="24"/>
        </w:rPr>
        <w:t>一、招标项目</w:t>
      </w:r>
    </w:p>
    <w:p>
      <w:pPr>
        <w:spacing w:line="500" w:lineRule="exact"/>
        <w:ind w:firstLine="480" w:firstLineChars="200"/>
        <w:rPr>
          <w:rFonts w:ascii="宋体" w:hAnsi="宋体" w:cs="宋体"/>
          <w:color w:val="000000"/>
          <w:sz w:val="24"/>
        </w:rPr>
      </w:pPr>
      <w:r>
        <w:rPr>
          <w:rFonts w:hint="eastAsia" w:ascii="宋体" w:hAnsi="宋体" w:cs="宋体"/>
          <w:color w:val="000000"/>
          <w:sz w:val="24"/>
        </w:rPr>
        <w:t>（一）物业项目名称：</w:t>
      </w:r>
      <w:r>
        <w:rPr>
          <w:rFonts w:hint="eastAsia" w:ascii="宋体" w:hAnsi="宋体" w:cs="宋体"/>
          <w:color w:val="000000"/>
          <w:sz w:val="24"/>
          <w:u w:val="single"/>
        </w:rPr>
        <w:t xml:space="preserve">                                    </w:t>
      </w:r>
    </w:p>
    <w:p>
      <w:pPr>
        <w:pStyle w:val="5"/>
        <w:spacing w:line="500" w:lineRule="exact"/>
        <w:ind w:firstLine="480"/>
        <w:rPr>
          <w:rFonts w:ascii="宋体" w:hAnsi="宋体" w:cs="宋体"/>
          <w:color w:val="000000"/>
          <w:sz w:val="24"/>
          <w:u w:val="single"/>
        </w:rPr>
      </w:pPr>
      <w:r>
        <w:rPr>
          <w:rFonts w:hint="eastAsia" w:ascii="宋体" w:hAnsi="宋体" w:cs="宋体"/>
          <w:color w:val="000000"/>
          <w:sz w:val="24"/>
        </w:rPr>
        <w:t>（二）物业项目地点：</w:t>
      </w:r>
      <w:r>
        <w:rPr>
          <w:rFonts w:hint="eastAsia" w:ascii="宋体" w:hAnsi="宋体" w:cs="宋体"/>
          <w:color w:val="000000"/>
          <w:sz w:val="24"/>
          <w:u w:val="single"/>
        </w:rPr>
        <w:t xml:space="preserve">                                    </w:t>
      </w:r>
    </w:p>
    <w:p>
      <w:pPr>
        <w:pStyle w:val="5"/>
        <w:spacing w:line="500" w:lineRule="exact"/>
        <w:ind w:firstLine="480"/>
        <w:rPr>
          <w:rFonts w:ascii="宋体" w:hAnsi="宋体" w:cs="宋体"/>
          <w:color w:val="000000"/>
          <w:sz w:val="24"/>
        </w:rPr>
      </w:pPr>
      <w:r>
        <w:rPr>
          <w:rFonts w:hint="eastAsia" w:ascii="宋体" w:hAnsi="宋体" w:cs="宋体"/>
          <w:color w:val="000000"/>
          <w:sz w:val="24"/>
        </w:rPr>
        <w:t>（三）物业项目概况：</w:t>
      </w:r>
      <w:r>
        <w:rPr>
          <w:rFonts w:hint="eastAsia" w:ascii="宋体" w:hAnsi="宋体" w:cs="宋体"/>
          <w:color w:val="000000"/>
          <w:sz w:val="24"/>
          <w:u w:val="single"/>
        </w:rPr>
        <w:t xml:space="preserve"> （物业项目名称） </w:t>
      </w:r>
      <w:r>
        <w:rPr>
          <w:rFonts w:hint="eastAsia" w:ascii="宋体" w:hAnsi="宋体" w:cs="宋体"/>
          <w:color w:val="000000"/>
          <w:sz w:val="24"/>
        </w:rPr>
        <w:t>系</w:t>
      </w:r>
      <w:r>
        <w:rPr>
          <w:rFonts w:hint="eastAsia" w:ascii="宋体" w:hAnsi="宋体" w:cs="宋体"/>
          <w:color w:val="000000"/>
          <w:sz w:val="24"/>
          <w:u w:val="single"/>
        </w:rPr>
        <w:t xml:space="preserve">  （物业类型及性质，如商品房住宅小区等） </w:t>
      </w:r>
      <w:r>
        <w:rPr>
          <w:rFonts w:hint="eastAsia" w:ascii="宋体" w:hAnsi="宋体" w:cs="宋体"/>
          <w:color w:val="000000"/>
          <w:sz w:val="24"/>
        </w:rPr>
        <w:t>，总占地面积</w:t>
      </w:r>
      <w:r>
        <w:rPr>
          <w:rFonts w:hint="eastAsia" w:ascii="宋体" w:hAnsi="宋体" w:cs="宋体"/>
          <w:color w:val="000000"/>
          <w:sz w:val="24"/>
          <w:u w:val="single"/>
        </w:rPr>
        <w:t xml:space="preserve">       </w:t>
      </w:r>
      <w:r>
        <w:rPr>
          <w:rFonts w:hint="eastAsia" w:ascii="宋体" w:hAnsi="宋体" w:cs="宋体"/>
          <w:color w:val="000000"/>
          <w:sz w:val="24"/>
        </w:rPr>
        <w:t>万平方米，总建筑面积</w:t>
      </w:r>
      <w:r>
        <w:rPr>
          <w:rFonts w:hint="eastAsia" w:ascii="宋体" w:hAnsi="宋体" w:cs="宋体"/>
          <w:color w:val="000000"/>
          <w:sz w:val="24"/>
          <w:u w:val="single"/>
        </w:rPr>
        <w:t xml:space="preserve">       </w:t>
      </w:r>
      <w:r>
        <w:rPr>
          <w:rFonts w:hint="eastAsia" w:ascii="宋体" w:hAnsi="宋体" w:cs="宋体"/>
          <w:color w:val="000000"/>
          <w:sz w:val="24"/>
        </w:rPr>
        <w:t>万平方米，其中，住宅</w:t>
      </w:r>
      <w:r>
        <w:rPr>
          <w:rFonts w:hint="eastAsia" w:ascii="宋体" w:hAnsi="宋体" w:cs="宋体"/>
          <w:color w:val="000000"/>
          <w:sz w:val="24"/>
          <w:u w:val="single"/>
        </w:rPr>
        <w:t xml:space="preserve">      </w:t>
      </w:r>
      <w:r>
        <w:rPr>
          <w:rFonts w:hint="eastAsia" w:ascii="宋体" w:hAnsi="宋体" w:cs="宋体"/>
          <w:color w:val="000000"/>
          <w:sz w:val="24"/>
        </w:rPr>
        <w:t>万平方米，商业</w:t>
      </w:r>
      <w:r>
        <w:rPr>
          <w:rFonts w:hint="eastAsia" w:ascii="宋体" w:hAnsi="宋体" w:cs="宋体"/>
          <w:color w:val="000000"/>
          <w:sz w:val="24"/>
          <w:u w:val="single"/>
        </w:rPr>
        <w:t xml:space="preserve">      </w:t>
      </w:r>
      <w:r>
        <w:rPr>
          <w:rFonts w:hint="eastAsia" w:ascii="宋体" w:hAnsi="宋体" w:cs="宋体"/>
          <w:color w:val="000000"/>
          <w:sz w:val="24"/>
        </w:rPr>
        <w:t>万平方米，其他物业</w:t>
      </w:r>
      <w:r>
        <w:rPr>
          <w:rFonts w:hint="eastAsia" w:ascii="宋体" w:hAnsi="宋体" w:cs="宋体"/>
          <w:color w:val="000000"/>
          <w:sz w:val="24"/>
          <w:u w:val="single"/>
        </w:rPr>
        <w:t xml:space="preserve">      </w:t>
      </w:r>
      <w:r>
        <w:rPr>
          <w:rFonts w:hint="eastAsia" w:ascii="宋体" w:hAnsi="宋体" w:cs="宋体"/>
          <w:color w:val="000000"/>
          <w:sz w:val="24"/>
        </w:rPr>
        <w:t>万平方米；住宅共</w:t>
      </w:r>
      <w:r>
        <w:rPr>
          <w:rFonts w:hint="eastAsia" w:ascii="宋体" w:hAnsi="宋体" w:cs="宋体"/>
          <w:color w:val="000000"/>
          <w:sz w:val="24"/>
          <w:u w:val="single"/>
        </w:rPr>
        <w:t xml:space="preserve">      </w:t>
      </w:r>
      <w:r>
        <w:rPr>
          <w:rFonts w:hint="eastAsia" w:ascii="宋体" w:hAnsi="宋体" w:cs="宋体"/>
          <w:color w:val="000000"/>
          <w:sz w:val="24"/>
        </w:rPr>
        <w:t>套；本项目建筑容积率为</w:t>
      </w:r>
      <w:r>
        <w:rPr>
          <w:rFonts w:hint="eastAsia" w:ascii="宋体" w:hAnsi="宋体" w:cs="宋体"/>
          <w:color w:val="000000"/>
          <w:sz w:val="24"/>
          <w:u w:val="single"/>
        </w:rPr>
        <w:t xml:space="preserve">     </w:t>
      </w:r>
      <w:r>
        <w:rPr>
          <w:rFonts w:hint="eastAsia" w:ascii="宋体" w:hAnsi="宋体" w:cs="宋体"/>
          <w:color w:val="000000"/>
          <w:sz w:val="24"/>
        </w:rPr>
        <w:t>，建筑覆盖率为</w:t>
      </w:r>
      <w:r>
        <w:rPr>
          <w:rFonts w:hint="eastAsia" w:ascii="宋体" w:hAnsi="宋体" w:cs="宋体"/>
          <w:color w:val="000000"/>
          <w:sz w:val="24"/>
          <w:u w:val="single"/>
        </w:rPr>
        <w:t xml:space="preserve">     </w:t>
      </w:r>
      <w:r>
        <w:rPr>
          <w:rFonts w:hint="eastAsia" w:ascii="宋体" w:hAnsi="宋体" w:cs="宋体"/>
          <w:color w:val="000000"/>
          <w:sz w:val="24"/>
        </w:rPr>
        <w:t>，绿化率为</w:t>
      </w:r>
      <w:r>
        <w:rPr>
          <w:rFonts w:hint="eastAsia" w:ascii="宋体" w:hAnsi="宋体" w:cs="宋体"/>
          <w:color w:val="000000"/>
          <w:sz w:val="24"/>
          <w:u w:val="single"/>
        </w:rPr>
        <w:t xml:space="preserve">      </w:t>
      </w:r>
      <w:r>
        <w:rPr>
          <w:rFonts w:hint="eastAsia" w:ascii="宋体" w:hAnsi="宋体" w:cs="宋体"/>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本物业项目其他概况：</w:t>
      </w:r>
      <w:r>
        <w:rPr>
          <w:rFonts w:hint="eastAsia" w:ascii="宋体" w:hAnsi="宋体" w:cs="宋体"/>
          <w:color w:val="000000"/>
          <w:sz w:val="24"/>
          <w:u w:val="single"/>
        </w:rPr>
        <w:t xml:space="preserve">                                    </w:t>
      </w:r>
    </w:p>
    <w:p>
      <w:pPr>
        <w:spacing w:line="500" w:lineRule="exact"/>
        <w:ind w:firstLine="481" w:firstLineChars="200"/>
        <w:rPr>
          <w:rFonts w:ascii="宋体" w:hAnsi="宋体" w:cs="宋体"/>
          <w:b/>
          <w:color w:val="000000"/>
          <w:sz w:val="24"/>
        </w:rPr>
      </w:pPr>
      <w:r>
        <w:rPr>
          <w:rFonts w:hint="eastAsia" w:ascii="宋体" w:hAnsi="宋体" w:cs="宋体"/>
          <w:b/>
          <w:color w:val="000000"/>
          <w:sz w:val="24"/>
        </w:rPr>
        <w:t>二、招标范围</w:t>
      </w:r>
    </w:p>
    <w:p>
      <w:pPr>
        <w:pStyle w:val="5"/>
        <w:spacing w:line="500" w:lineRule="exact"/>
        <w:ind w:firstLine="480"/>
        <w:rPr>
          <w:rFonts w:ascii="宋体" w:hAnsi="宋体" w:cs="宋体"/>
          <w:color w:val="000000"/>
          <w:sz w:val="24"/>
        </w:rPr>
      </w:pPr>
      <w:r>
        <w:rPr>
          <w:rFonts w:hint="eastAsia" w:ascii="宋体" w:hAnsi="宋体" w:cs="宋体"/>
          <w:color w:val="000000"/>
          <w:sz w:val="24"/>
        </w:rPr>
        <w:t>（一）</w:t>
      </w:r>
      <w:r>
        <w:rPr>
          <w:rFonts w:hint="eastAsia" w:ascii="宋体" w:hAnsi="宋体" w:cs="宋体"/>
          <w:color w:val="000000"/>
          <w:sz w:val="24"/>
          <w:u w:val="single"/>
        </w:rPr>
        <w:t xml:space="preserve">  （物业项目名称） </w:t>
      </w:r>
      <w:r>
        <w:rPr>
          <w:rFonts w:hint="eastAsia" w:ascii="宋体" w:hAnsi="宋体" w:cs="宋体"/>
          <w:color w:val="000000"/>
          <w:sz w:val="24"/>
        </w:rPr>
        <w:t>项目物业管理服务。</w:t>
      </w:r>
    </w:p>
    <w:p>
      <w:pPr>
        <w:pStyle w:val="5"/>
        <w:spacing w:line="500" w:lineRule="exact"/>
        <w:ind w:firstLine="480"/>
        <w:rPr>
          <w:rFonts w:ascii="宋体" w:hAnsi="宋体" w:cs="宋体"/>
          <w:color w:val="000000"/>
          <w:sz w:val="24"/>
        </w:rPr>
      </w:pPr>
      <w:r>
        <w:rPr>
          <w:rFonts w:hint="eastAsia" w:ascii="宋体" w:hAnsi="宋体" w:cs="宋体"/>
          <w:color w:val="000000"/>
          <w:sz w:val="24"/>
        </w:rPr>
        <w:t>（二）预计接管日期：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p>
    <w:p>
      <w:pPr>
        <w:pStyle w:val="5"/>
        <w:spacing w:line="500" w:lineRule="exact"/>
        <w:ind w:firstLine="480"/>
        <w:rPr>
          <w:rFonts w:ascii="宋体" w:hAnsi="宋体" w:cs="宋体"/>
          <w:b/>
          <w:bCs/>
          <w:color w:val="000000"/>
          <w:sz w:val="24"/>
          <w:highlight w:val="yellow"/>
        </w:rPr>
      </w:pPr>
      <w:r>
        <w:rPr>
          <w:rFonts w:hint="eastAsia" w:ascii="宋体" w:hAnsi="宋体" w:cs="宋体"/>
          <w:color w:val="000000"/>
          <w:sz w:val="24"/>
        </w:rPr>
        <w:t>（三）服务期限：</w:t>
      </w:r>
      <w:r>
        <w:rPr>
          <w:rFonts w:hint="eastAsia" w:ascii="宋体" w:hAnsi="宋体" w:cs="宋体"/>
          <w:color w:val="000000"/>
          <w:sz w:val="24"/>
          <w:u w:val="single"/>
        </w:rPr>
        <w:t xml:space="preserve">      </w:t>
      </w:r>
      <w:r>
        <w:rPr>
          <w:rFonts w:hint="eastAsia" w:ascii="宋体" w:hAnsi="宋体" w:cs="宋体"/>
          <w:color w:val="000000"/>
          <w:sz w:val="24"/>
        </w:rPr>
        <w:t>年。</w:t>
      </w:r>
    </w:p>
    <w:p>
      <w:pPr>
        <w:spacing w:line="500" w:lineRule="exact"/>
        <w:ind w:firstLine="481" w:firstLineChars="200"/>
        <w:rPr>
          <w:color w:val="000000"/>
          <w:sz w:val="24"/>
        </w:rPr>
      </w:pPr>
      <w:r>
        <w:rPr>
          <w:rFonts w:hint="eastAsia"/>
          <w:b/>
          <w:bCs/>
          <w:color w:val="000000"/>
          <w:sz w:val="24"/>
        </w:rPr>
        <w:t>三、投标人资格要求（</w:t>
      </w:r>
      <w:r>
        <w:rPr>
          <w:rFonts w:hint="eastAsia"/>
          <w:b/>
          <w:color w:val="000000"/>
          <w:sz w:val="24"/>
        </w:rPr>
        <w:t>招标人可根据实际情况对投标人的资格条件进行调整</w:t>
      </w:r>
      <w:r>
        <w:rPr>
          <w:rFonts w:hint="eastAsia"/>
          <w:color w:val="000000"/>
          <w:sz w:val="24"/>
        </w:rPr>
        <w:t>）</w:t>
      </w:r>
    </w:p>
    <w:p>
      <w:pPr>
        <w:pStyle w:val="5"/>
        <w:tabs>
          <w:tab w:val="left" w:pos="567"/>
        </w:tabs>
        <w:spacing w:line="500" w:lineRule="exact"/>
        <w:ind w:firstLine="480"/>
        <w:rPr>
          <w:rFonts w:ascii="宋体" w:hAnsi="宋体" w:cs="宋体"/>
          <w:sz w:val="24"/>
        </w:rPr>
      </w:pPr>
      <w:r>
        <w:rPr>
          <w:rFonts w:hint="eastAsia" w:ascii="宋体" w:hAnsi="宋体" w:cs="宋体"/>
          <w:sz w:val="24"/>
        </w:rPr>
        <w:t>（一）具有独立法人资格或具有独立承担民事责任能力的其它组织（提供统一社会信用代码证复印件，原件备查）。</w:t>
      </w:r>
    </w:p>
    <w:p>
      <w:pPr>
        <w:pStyle w:val="5"/>
        <w:tabs>
          <w:tab w:val="left" w:pos="567"/>
        </w:tabs>
        <w:spacing w:line="500" w:lineRule="exact"/>
        <w:ind w:firstLine="480"/>
        <w:rPr>
          <w:rFonts w:ascii="宋体" w:hAnsi="宋体" w:cs="宋体"/>
          <w:sz w:val="24"/>
        </w:rPr>
      </w:pPr>
      <w:r>
        <w:rPr>
          <w:rFonts w:hint="eastAsia" w:ascii="宋体" w:hAnsi="宋体" w:cs="宋体"/>
          <w:sz w:val="24"/>
        </w:rPr>
        <w:t>（二）参与本项目投标前三年内，在经营活动中没有重大违法记录（由潜在投标人在《投标及履约承诺函》中作出声明）。</w:t>
      </w:r>
    </w:p>
    <w:p>
      <w:pPr>
        <w:pStyle w:val="5"/>
        <w:tabs>
          <w:tab w:val="left" w:pos="567"/>
        </w:tabs>
        <w:spacing w:line="500" w:lineRule="exact"/>
        <w:ind w:firstLine="480"/>
        <w:rPr>
          <w:rFonts w:ascii="宋体" w:hAnsi="宋体" w:cs="宋体"/>
          <w:sz w:val="24"/>
        </w:rPr>
      </w:pPr>
      <w:r>
        <w:rPr>
          <w:rFonts w:hint="eastAsia" w:ascii="宋体" w:hAnsi="宋体" w:cs="宋体"/>
          <w:sz w:val="24"/>
        </w:rPr>
        <w:t>（三）未被列入失信被执行人、重大税收违法案件当事人名单、严重违法失信行为记录名单（由潜在投标人在《投标及履约承诺函》中作出声明）。</w:t>
      </w:r>
    </w:p>
    <w:p>
      <w:pPr>
        <w:pStyle w:val="5"/>
        <w:tabs>
          <w:tab w:val="left" w:pos="567"/>
        </w:tabs>
        <w:spacing w:line="500" w:lineRule="exact"/>
        <w:ind w:firstLine="480"/>
        <w:rPr>
          <w:rFonts w:ascii="宋体" w:hAnsi="宋体" w:cs="宋体"/>
          <w:sz w:val="24"/>
        </w:rPr>
      </w:pPr>
      <w:r>
        <w:rPr>
          <w:rFonts w:hint="eastAsia" w:ascii="宋体" w:hAnsi="宋体" w:cs="宋体"/>
          <w:color w:val="000000"/>
          <w:sz w:val="24"/>
        </w:rPr>
        <w:t>（四）财务要求：财务状况良好，需提供近3年（自    年    月    日至    年    月    日止）财务状况表(复印件加盖公章)。</w:t>
      </w:r>
    </w:p>
    <w:p>
      <w:pPr>
        <w:pStyle w:val="5"/>
        <w:tabs>
          <w:tab w:val="left" w:pos="567"/>
        </w:tabs>
        <w:spacing w:line="500" w:lineRule="exact"/>
        <w:ind w:firstLine="480"/>
        <w:rPr>
          <w:rFonts w:ascii="宋体" w:hAnsi="宋体" w:cs="宋体"/>
          <w:sz w:val="24"/>
        </w:rPr>
      </w:pPr>
      <w:r>
        <w:rPr>
          <w:rFonts w:hint="eastAsia" w:ascii="宋体" w:hAnsi="宋体" w:cs="宋体"/>
          <w:sz w:val="24"/>
        </w:rPr>
        <w:t>（五）本项目不接受联合体投标，不允许转包、分包。</w:t>
      </w:r>
    </w:p>
    <w:p>
      <w:pPr>
        <w:pStyle w:val="5"/>
        <w:spacing w:line="500" w:lineRule="exact"/>
        <w:ind w:firstLine="482"/>
        <w:rPr>
          <w:b/>
          <w:color w:val="000000"/>
          <w:sz w:val="24"/>
        </w:rPr>
      </w:pPr>
      <w:r>
        <w:rPr>
          <w:rFonts w:hint="eastAsia"/>
          <w:b/>
          <w:color w:val="000000"/>
          <w:sz w:val="24"/>
        </w:rPr>
        <w:t>四、招标相关事项</w:t>
      </w:r>
    </w:p>
    <w:p>
      <w:pPr>
        <w:spacing w:line="500" w:lineRule="exact"/>
        <w:ind w:firstLine="481" w:firstLineChars="200"/>
        <w:rPr>
          <w:b/>
          <w:bCs/>
          <w:sz w:val="24"/>
        </w:rPr>
      </w:pPr>
      <w:r>
        <w:rPr>
          <w:rFonts w:hint="eastAsia"/>
          <w:b/>
          <w:bCs/>
          <w:sz w:val="24"/>
        </w:rPr>
        <w:t>（一）</w:t>
      </w:r>
      <w:r>
        <w:rPr>
          <w:b/>
          <w:bCs/>
          <w:sz w:val="24"/>
        </w:rPr>
        <w:t>递交投标文件截止时间、开标时间和地点</w:t>
      </w:r>
    </w:p>
    <w:p>
      <w:pPr>
        <w:spacing w:line="500" w:lineRule="exact"/>
        <w:ind w:firstLine="480" w:firstLineChars="200"/>
        <w:rPr>
          <w:rFonts w:ascii="宋体" w:hAnsi="宋体" w:cs="宋体"/>
          <w:sz w:val="24"/>
        </w:rPr>
      </w:pPr>
      <w:r>
        <w:rPr>
          <w:rFonts w:hint="eastAsia" w:ascii="宋体" w:hAnsi="宋体" w:cs="宋体"/>
          <w:sz w:val="24"/>
        </w:rPr>
        <w:t>1、递交投标文件时间：    年   月   日至     年    月    日。</w:t>
      </w:r>
    </w:p>
    <w:p>
      <w:pPr>
        <w:spacing w:line="500" w:lineRule="exact"/>
        <w:ind w:firstLine="480" w:firstLineChars="200"/>
        <w:rPr>
          <w:rFonts w:ascii="宋体" w:hAnsi="宋体" w:cs="宋体"/>
          <w:sz w:val="24"/>
        </w:rPr>
      </w:pPr>
      <w:r>
        <w:rPr>
          <w:rFonts w:hint="eastAsia" w:ascii="宋体" w:hAnsi="宋体" w:cs="宋体"/>
          <w:sz w:val="24"/>
        </w:rPr>
        <w:t>2、投标截止及开标时间：   年   月   日    时   分。招标人（代理机构）只接受在投标截止时间前由投标人法定代表人或其授权代表亲自递交且密封完好的投标文件，逾期收到或不符合规定的投标文件恕不接受。</w:t>
      </w:r>
    </w:p>
    <w:p>
      <w:pPr>
        <w:spacing w:line="500" w:lineRule="exact"/>
        <w:ind w:firstLine="480" w:firstLineChars="200"/>
        <w:rPr>
          <w:rFonts w:ascii="宋体" w:hAnsi="宋体" w:cs="宋体"/>
          <w:sz w:val="24"/>
        </w:rPr>
      </w:pPr>
      <w:r>
        <w:rPr>
          <w:rFonts w:hint="eastAsia" w:ascii="宋体" w:hAnsi="宋体" w:cs="宋体"/>
          <w:sz w:val="24"/>
        </w:rPr>
        <w:t xml:space="preserve">3、开标地点：  </w:t>
      </w:r>
    </w:p>
    <w:p>
      <w:pPr>
        <w:spacing w:line="500" w:lineRule="exact"/>
        <w:ind w:firstLine="480" w:firstLineChars="200"/>
        <w:rPr>
          <w:rFonts w:ascii="宋体" w:hAnsi="宋体" w:cs="宋体"/>
          <w:sz w:val="24"/>
        </w:rPr>
      </w:pPr>
      <w:r>
        <w:rPr>
          <w:rFonts w:hint="eastAsia" w:ascii="宋体" w:hAnsi="宋体" w:cs="宋体"/>
          <w:sz w:val="24"/>
        </w:rPr>
        <w:t>鼓励业主大会（居民委员会）通过住房和建设部门建立的招投标平台选聘物业服务企业。</w:t>
      </w:r>
    </w:p>
    <w:p>
      <w:pPr>
        <w:spacing w:line="500" w:lineRule="exact"/>
        <w:ind w:firstLine="480" w:firstLineChars="200"/>
        <w:rPr>
          <w:rFonts w:ascii="宋体" w:hAnsi="宋体" w:cs="宋体"/>
          <w:sz w:val="24"/>
        </w:rPr>
      </w:pPr>
      <w:r>
        <w:rPr>
          <w:rFonts w:hint="eastAsia" w:ascii="宋体" w:hAnsi="宋体" w:cs="宋体"/>
          <w:sz w:val="24"/>
        </w:rPr>
        <w:t>届时欢迎投标人法定代表人或授权代表出席开标仪式。</w:t>
      </w:r>
    </w:p>
    <w:p>
      <w:pPr>
        <w:spacing w:line="500" w:lineRule="exact"/>
        <w:ind w:firstLine="481" w:firstLineChars="200"/>
        <w:rPr>
          <w:rFonts w:ascii="宋体" w:hAnsi="宋体" w:cs="宋体"/>
          <w:b/>
          <w:bCs/>
          <w:sz w:val="24"/>
        </w:rPr>
      </w:pPr>
      <w:r>
        <w:rPr>
          <w:rFonts w:hint="eastAsia" w:ascii="宋体" w:hAnsi="宋体" w:cs="宋体"/>
          <w:b/>
          <w:bCs/>
          <w:sz w:val="24"/>
        </w:rPr>
        <w:t>（二）其它相关事项</w:t>
      </w:r>
    </w:p>
    <w:p>
      <w:pPr>
        <w:spacing w:line="500" w:lineRule="exact"/>
        <w:ind w:firstLine="480" w:firstLineChars="200"/>
        <w:rPr>
          <w:rFonts w:ascii="宋体" w:hAnsi="宋体" w:cs="宋体"/>
          <w:sz w:val="24"/>
        </w:rPr>
      </w:pPr>
      <w:r>
        <w:rPr>
          <w:rFonts w:hint="eastAsia" w:ascii="宋体" w:hAnsi="宋体" w:cs="宋体"/>
          <w:sz w:val="24"/>
        </w:rPr>
        <w:t>投标申请人应对所提供资料的真实性、准确性负责，若有虚假或欺诈，一经查实，将取消其投标资格，一切后果由该投标申请人承担。</w:t>
      </w:r>
    </w:p>
    <w:p>
      <w:pPr>
        <w:spacing w:line="500" w:lineRule="exact"/>
        <w:ind w:firstLine="480" w:firstLineChars="200"/>
        <w:rPr>
          <w:rFonts w:ascii="宋体" w:hAnsi="宋体" w:cs="宋体"/>
          <w:sz w:val="24"/>
        </w:rPr>
      </w:pPr>
      <w:r>
        <w:rPr>
          <w:rFonts w:hint="eastAsia" w:ascii="宋体" w:hAnsi="宋体" w:cs="宋体"/>
          <w:sz w:val="24"/>
        </w:rPr>
        <w:t>（1）投标人应承担其编制投标文件与递交投标文件所涉及的相关费用。</w:t>
      </w:r>
    </w:p>
    <w:p>
      <w:pPr>
        <w:spacing w:line="500" w:lineRule="exact"/>
        <w:ind w:firstLine="480" w:firstLineChars="200"/>
        <w:rPr>
          <w:rFonts w:ascii="宋体" w:hAnsi="宋体" w:cs="宋体"/>
          <w:sz w:val="24"/>
        </w:rPr>
      </w:pPr>
      <w:r>
        <w:rPr>
          <w:rFonts w:hint="eastAsia" w:ascii="宋体" w:hAnsi="宋体" w:cs="宋体"/>
          <w:sz w:val="24"/>
        </w:rPr>
        <w:t>（2）本招标文件所涉及的时间一律为北京时间。</w:t>
      </w:r>
    </w:p>
    <w:p>
      <w:pPr>
        <w:spacing w:line="500" w:lineRule="exact"/>
        <w:ind w:firstLine="480" w:firstLineChars="200"/>
        <w:rPr>
          <w:rFonts w:ascii="宋体" w:hAnsi="宋体" w:cs="宋体"/>
          <w:sz w:val="24"/>
        </w:rPr>
      </w:pPr>
      <w:r>
        <w:rPr>
          <w:rFonts w:hint="eastAsia" w:ascii="宋体" w:hAnsi="宋体" w:cs="宋体"/>
          <w:sz w:val="24"/>
        </w:rPr>
        <w:t>（3）本招标公告由招标人负责解释，招标人保留变更、修改本公告的权利。</w:t>
      </w:r>
    </w:p>
    <w:p>
      <w:pPr>
        <w:spacing w:line="500" w:lineRule="exact"/>
        <w:ind w:firstLine="480" w:firstLineChars="200"/>
        <w:rPr>
          <w:rFonts w:ascii="宋体" w:hAnsi="宋体" w:cs="宋体"/>
          <w:sz w:val="24"/>
        </w:rPr>
      </w:pPr>
      <w:r>
        <w:rPr>
          <w:rFonts w:hint="eastAsia" w:ascii="宋体" w:hAnsi="宋体" w:cs="宋体"/>
          <w:sz w:val="24"/>
        </w:rPr>
        <w:t>（4）其他事项。</w:t>
      </w:r>
    </w:p>
    <w:p>
      <w:pPr>
        <w:pStyle w:val="5"/>
        <w:spacing w:line="500" w:lineRule="exact"/>
        <w:ind w:firstLine="482"/>
        <w:rPr>
          <w:b/>
          <w:color w:val="000000"/>
          <w:sz w:val="24"/>
        </w:rPr>
      </w:pPr>
      <w:r>
        <w:rPr>
          <w:rFonts w:hint="eastAsia"/>
          <w:b/>
          <w:color w:val="000000"/>
          <w:sz w:val="24"/>
        </w:rPr>
        <w:t>五、公告期限：自招标公告发布之日起5个工作日。</w:t>
      </w:r>
    </w:p>
    <w:p>
      <w:pPr>
        <w:pStyle w:val="5"/>
        <w:spacing w:line="500" w:lineRule="exact"/>
        <w:ind w:firstLine="482"/>
        <w:rPr>
          <w:b/>
          <w:color w:val="000000"/>
          <w:sz w:val="24"/>
        </w:rPr>
      </w:pPr>
      <w:r>
        <w:rPr>
          <w:rFonts w:hint="eastAsia"/>
          <w:b/>
          <w:color w:val="000000"/>
          <w:sz w:val="24"/>
        </w:rPr>
        <w:t>六、发布媒介：</w:t>
      </w:r>
    </w:p>
    <w:p>
      <w:pPr>
        <w:pStyle w:val="5"/>
        <w:spacing w:line="360" w:lineRule="auto"/>
        <w:ind w:firstLine="0" w:firstLineChars="0"/>
        <w:rPr>
          <w:color w:val="000000"/>
          <w:szCs w:val="21"/>
        </w:rPr>
      </w:pPr>
    </w:p>
    <w:p>
      <w:pPr>
        <w:pStyle w:val="5"/>
        <w:spacing w:line="360" w:lineRule="auto"/>
        <w:ind w:firstLine="3360" w:firstLineChars="1600"/>
        <w:rPr>
          <w:color w:val="000000"/>
          <w:szCs w:val="21"/>
        </w:rPr>
      </w:pPr>
    </w:p>
    <w:p>
      <w:pPr>
        <w:pStyle w:val="5"/>
        <w:spacing w:line="360" w:lineRule="auto"/>
        <w:ind w:firstLine="3360" w:firstLineChars="1600"/>
        <w:rPr>
          <w:color w:val="000000"/>
          <w:szCs w:val="21"/>
        </w:rPr>
      </w:pPr>
    </w:p>
    <w:p>
      <w:pPr>
        <w:spacing w:line="500" w:lineRule="exact"/>
        <w:ind w:firstLine="420" w:firstLineChars="200"/>
        <w:rPr>
          <w:color w:val="000000"/>
          <w:sz w:val="24"/>
        </w:rPr>
      </w:pPr>
      <w:r>
        <w:rPr>
          <w:rFonts w:hint="eastAsia"/>
          <w:color w:val="000000"/>
          <w:szCs w:val="21"/>
        </w:rPr>
        <w:t xml:space="preserve">                                     </w:t>
      </w:r>
      <w:r>
        <w:rPr>
          <w:rFonts w:hint="eastAsia"/>
          <w:color w:val="000000"/>
          <w:sz w:val="24"/>
        </w:rPr>
        <w:t xml:space="preserve"> 招标人：</w:t>
      </w:r>
    </w:p>
    <w:p>
      <w:pPr>
        <w:pStyle w:val="5"/>
        <w:spacing w:line="360" w:lineRule="auto"/>
        <w:ind w:firstLine="5520" w:firstLineChars="2300"/>
        <w:rPr>
          <w:rFonts w:ascii="宋体" w:hAnsi="宋体" w:cs="宋体"/>
          <w:color w:val="000000"/>
          <w:sz w:val="24"/>
        </w:rPr>
      </w:pPr>
      <w:r>
        <w:rPr>
          <w:rFonts w:hint="eastAsia" w:ascii="宋体" w:hAnsi="宋体" w:cs="宋体"/>
          <w:color w:val="000000"/>
          <w:sz w:val="24"/>
        </w:rPr>
        <w:t>年    月    日</w:t>
      </w:r>
    </w:p>
    <w:p>
      <w:pPr>
        <w:pStyle w:val="2"/>
        <w:rPr>
          <w:rFonts w:ascii="宋体" w:hAnsi="宋体" w:cs="宋体"/>
          <w:color w:val="000000"/>
          <w:sz w:val="24"/>
          <w:szCs w:val="24"/>
        </w:rPr>
      </w:pPr>
      <w:bookmarkStart w:id="12" w:name="_Toc17759"/>
    </w:p>
    <w:p>
      <w:pPr>
        <w:pStyle w:val="2"/>
        <w:rPr>
          <w:rFonts w:eastAsia="黑体"/>
          <w:color w:val="000000"/>
          <w:szCs w:val="32"/>
        </w:rPr>
      </w:pPr>
    </w:p>
    <w:p>
      <w:pPr>
        <w:pStyle w:val="2"/>
        <w:rPr>
          <w:rFonts w:eastAsia="黑体"/>
          <w:color w:val="000000"/>
          <w:szCs w:val="32"/>
        </w:rPr>
      </w:pPr>
      <w:bookmarkStart w:id="13" w:name="_Toc20153564"/>
      <w:r>
        <w:rPr>
          <w:rFonts w:hint="eastAsia" w:eastAsia="黑体"/>
          <w:color w:val="000000"/>
          <w:szCs w:val="32"/>
        </w:rPr>
        <w:t>第二部分</w:t>
      </w:r>
      <w:r>
        <w:rPr>
          <w:rFonts w:eastAsia="黑体"/>
          <w:color w:val="000000"/>
          <w:szCs w:val="32"/>
        </w:rPr>
        <w:t xml:space="preserve"> </w:t>
      </w:r>
      <w:r>
        <w:rPr>
          <w:rFonts w:hint="eastAsia" w:eastAsia="黑体"/>
          <w:color w:val="000000"/>
          <w:szCs w:val="32"/>
        </w:rPr>
        <w:t>投标人须知</w:t>
      </w:r>
      <w:bookmarkEnd w:id="12"/>
      <w:bookmarkEnd w:id="13"/>
    </w:p>
    <w:p>
      <w:pPr>
        <w:pStyle w:val="28"/>
        <w:rPr>
          <w:rFonts w:ascii="仿宋_GB2312" w:hAnsi="仿宋_GB2312" w:eastAsia="仿宋_GB2312" w:cs="仿宋_GB2312"/>
          <w:color w:val="000000"/>
        </w:rPr>
      </w:pPr>
      <w:bookmarkStart w:id="14" w:name="_Toc20153565"/>
      <w:bookmarkStart w:id="15" w:name="_Toc31472"/>
      <w:r>
        <w:rPr>
          <w:rFonts w:hint="eastAsia" w:ascii="仿宋_GB2312" w:hAnsi="仿宋_GB2312" w:eastAsia="仿宋_GB2312" w:cs="仿宋_GB2312"/>
          <w:color w:val="000000"/>
        </w:rPr>
        <w:t>第一节 否决性条款</w:t>
      </w:r>
      <w:bookmarkEnd w:id="14"/>
      <w:bookmarkEnd w:id="15"/>
    </w:p>
    <w:p>
      <w:pPr>
        <w:pStyle w:val="28"/>
        <w:spacing w:line="480" w:lineRule="exact"/>
        <w:rPr>
          <w:rFonts w:ascii="Times New Roman" w:hAnsi="Times New Roman" w:cs="Times New Roman"/>
          <w:color w:val="000000"/>
        </w:rPr>
      </w:pPr>
    </w:p>
    <w:p>
      <w:pPr>
        <w:numPr>
          <w:ilvl w:val="0"/>
          <w:numId w:val="0"/>
        </w:numPr>
        <w:spacing w:line="360" w:lineRule="auto"/>
        <w:rPr>
          <w:rFonts w:ascii="宋体" w:hAnsi="宋体" w:cs="宋体"/>
          <w:color w:val="000000"/>
          <w:sz w:val="24"/>
        </w:rPr>
      </w:pPr>
      <w:r>
        <w:rPr>
          <w:rFonts w:hint="eastAsia" w:ascii="宋体" w:hAnsi="宋体" w:cs="宋体"/>
          <w:color w:val="000000"/>
          <w:sz w:val="24"/>
        </w:rPr>
        <w:t>【提示】</w:t>
      </w:r>
    </w:p>
    <w:p>
      <w:pPr>
        <w:spacing w:line="360" w:lineRule="auto"/>
        <w:rPr>
          <w:rFonts w:ascii="宋体" w:hAnsi="宋体" w:cs="宋体"/>
          <w:color w:val="000000"/>
          <w:sz w:val="24"/>
        </w:rPr>
      </w:pPr>
      <w:r>
        <w:rPr>
          <w:rFonts w:hint="eastAsia" w:ascii="宋体" w:hAnsi="宋体" w:cs="宋体"/>
          <w:color w:val="000000"/>
          <w:sz w:val="24"/>
        </w:rPr>
        <w:t>（1）否决性条款包括：投标文件的不予受理、无效标和废标。</w:t>
      </w:r>
    </w:p>
    <w:p>
      <w:pPr>
        <w:spacing w:line="360" w:lineRule="auto"/>
        <w:rPr>
          <w:rFonts w:ascii="宋体" w:hAnsi="宋体" w:cs="宋体"/>
          <w:color w:val="000000"/>
          <w:sz w:val="24"/>
        </w:rPr>
      </w:pPr>
      <w:r>
        <w:rPr>
          <w:rFonts w:hint="eastAsia" w:ascii="宋体" w:hAnsi="宋体" w:cs="宋体"/>
          <w:color w:val="000000"/>
          <w:sz w:val="24"/>
        </w:rPr>
        <w:t>（2）投标文件中没有本所述情形之一的，不得作否决处理。</w:t>
      </w:r>
    </w:p>
    <w:p>
      <w:pPr>
        <w:spacing w:line="360" w:lineRule="auto"/>
        <w:rPr>
          <w:rFonts w:ascii="宋体" w:hAnsi="宋体" w:cs="宋体"/>
          <w:color w:val="000000"/>
          <w:sz w:val="24"/>
        </w:rPr>
      </w:pPr>
      <w:r>
        <w:rPr>
          <w:rFonts w:hint="eastAsia" w:ascii="宋体" w:hAnsi="宋体" w:cs="宋体"/>
          <w:color w:val="000000"/>
          <w:sz w:val="24"/>
        </w:rPr>
        <w:t>（3）招标文件其他章节中有关否决性条款的阐述与本节不一致的，以本节内容为准。</w:t>
      </w:r>
    </w:p>
    <w:p>
      <w:pPr>
        <w:spacing w:line="360" w:lineRule="auto"/>
        <w:ind w:firstLine="420" w:firstLineChars="200"/>
        <w:rPr>
          <w:color w:val="000000"/>
          <w:szCs w:val="21"/>
        </w:rPr>
      </w:pPr>
    </w:p>
    <w:p>
      <w:pPr>
        <w:spacing w:line="360" w:lineRule="auto"/>
        <w:rPr>
          <w:rFonts w:ascii="宋体" w:hAnsi="宋体" w:cs="宋体"/>
          <w:b/>
          <w:color w:val="000000"/>
          <w:sz w:val="24"/>
        </w:rPr>
      </w:pPr>
      <w:r>
        <w:rPr>
          <w:rFonts w:hint="eastAsia" w:ascii="宋体" w:hAnsi="宋体" w:cs="宋体"/>
          <w:b/>
          <w:color w:val="000000"/>
          <w:sz w:val="24"/>
        </w:rPr>
        <w:t>1.投标文件不予受理的情形（由招标人负责判定）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（1）在投标截止时间以后送达的，或者未送达到指定地点的；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（2）未密封和加盖投标人公章、单位负责人没有签字的；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（3）未按招标文件规定的形式和金额提交投标担保的；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（4）未按招标文件规定提交投标函、物业管理投标承诺书的；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（5）投标人曾因在招标、评标以及其他与招标投标有关活动中从事违法行为而受过行政处罚或刑事处罚的；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（6）招标文件或者法律、法规规定的其他投标文件不予受理的情形。</w:t>
      </w:r>
    </w:p>
    <w:p>
      <w:pPr>
        <w:spacing w:line="360" w:lineRule="auto"/>
        <w:rPr>
          <w:rFonts w:ascii="宋体" w:hAnsi="宋体" w:cs="宋体"/>
          <w:b/>
          <w:color w:val="000000"/>
          <w:sz w:val="24"/>
        </w:rPr>
      </w:pPr>
      <w:r>
        <w:rPr>
          <w:rFonts w:hint="eastAsia" w:ascii="宋体" w:hAnsi="宋体" w:cs="宋体"/>
          <w:b/>
          <w:color w:val="000000"/>
          <w:sz w:val="24"/>
        </w:rPr>
        <w:t>2.评审中有关无效标的情形（由评标委员会负责判定）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（1）投标报价低于成本或者高于招标文件设定的最高投标限价；</w:t>
      </w:r>
    </w:p>
    <w:p>
      <w:pPr>
        <w:spacing w:line="360" w:lineRule="auto"/>
        <w:ind w:firstLine="480" w:firstLineChars="200"/>
        <w:rPr>
          <w:rFonts w:ascii="宋体" w:hAnsi="宋体" w:cs="宋体"/>
          <w:color w:val="000000"/>
          <w:sz w:val="24"/>
        </w:rPr>
      </w:pPr>
      <w:r>
        <w:rPr>
          <w:rFonts w:hint="eastAsia" w:ascii="宋体" w:hAnsi="宋体" w:cs="宋体"/>
          <w:color w:val="000000"/>
          <w:sz w:val="24"/>
        </w:rPr>
        <w:t>（2）同一项目出现两个及以上报价，且未声明哪个是有效的；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（3）投标保函的内容不符合招标文件要求的；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（4）投标函、物业管理投标承诺书未按招标文件规定填写的；          </w:t>
      </w:r>
    </w:p>
    <w:p>
      <w:pPr>
        <w:spacing w:line="360" w:lineRule="auto"/>
        <w:ind w:firstLine="480" w:firstLineChars="200"/>
        <w:rPr>
          <w:rFonts w:ascii="宋体" w:hAnsi="宋体" w:cs="宋体"/>
          <w:color w:val="000000"/>
          <w:sz w:val="24"/>
        </w:rPr>
      </w:pPr>
      <w:r>
        <w:rPr>
          <w:rFonts w:hint="eastAsia" w:ascii="宋体" w:hAnsi="宋体" w:cs="宋体"/>
          <w:color w:val="000000"/>
          <w:sz w:val="24"/>
        </w:rPr>
        <w:t>（5）投标人资格条件不符合国家和招标文件规定的资格条件的；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（6）不同投标人的投标文件由同一台电脑或同一家投标单位的投标文件编制软件编制的；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（7）招标文件或者法律、法规规定的其他无效标情形。</w:t>
      </w:r>
    </w:p>
    <w:p>
      <w:pPr>
        <w:spacing w:line="360" w:lineRule="auto"/>
        <w:rPr>
          <w:rFonts w:ascii="宋体" w:hAnsi="宋体" w:cs="宋体"/>
          <w:color w:val="000000"/>
          <w:sz w:val="24"/>
        </w:rPr>
      </w:pPr>
    </w:p>
    <w:p>
      <w:pPr>
        <w:spacing w:line="360" w:lineRule="auto"/>
        <w:ind w:firstLine="420" w:firstLineChars="200"/>
        <w:rPr>
          <w:color w:val="000000"/>
          <w:szCs w:val="21"/>
        </w:rPr>
      </w:pPr>
    </w:p>
    <w:p>
      <w:pPr>
        <w:spacing w:line="360" w:lineRule="auto"/>
        <w:rPr>
          <w:rFonts w:ascii="仿宋_GB2312" w:hAnsi="仿宋_GB2312" w:eastAsia="仿宋_GB2312" w:cs="仿宋_GB2312"/>
          <w:b/>
          <w:color w:val="000000"/>
          <w:sz w:val="24"/>
        </w:rPr>
      </w:pPr>
      <w:r>
        <w:rPr>
          <w:rFonts w:hint="eastAsia" w:ascii="宋体" w:hAnsi="宋体" w:cs="宋体"/>
          <w:b/>
          <w:color w:val="000000"/>
          <w:sz w:val="24"/>
        </w:rPr>
        <w:t>3.评审中有关废标的情形（由评标委员会负责判定）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（1）投标人以他人的名义投标或出现串通投标、弄虚作假情形的；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（2）投标文件没有对招标文件的实质性要求和条件作出响应；</w:t>
      </w:r>
    </w:p>
    <w:p>
      <w:pPr>
        <w:spacing w:line="360" w:lineRule="auto"/>
        <w:ind w:firstLine="480" w:firstLineChars="200"/>
        <w:rPr>
          <w:rFonts w:ascii="宋体" w:hAnsi="宋体" w:cs="宋体"/>
          <w:color w:val="000000"/>
          <w:sz w:val="24"/>
        </w:rPr>
      </w:pPr>
      <w:r>
        <w:rPr>
          <w:rFonts w:hint="eastAsia" w:ascii="宋体" w:hAnsi="宋体" w:cs="宋体"/>
          <w:color w:val="000000"/>
          <w:sz w:val="24"/>
        </w:rPr>
        <w:t>（3)评标委员会根据招标文件的规定对投标文件的投标价格进行调整，投标人不接受调整方式的，或不接受调整后的价格的；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（4）投标人拒不按照评标委员会要求对投标文件进行澄清、说明、补正的；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（5）招标文件或者法律、法规规定的其他废标情形。</w:t>
      </w:r>
    </w:p>
    <w:p>
      <w:pPr>
        <w:spacing w:line="360" w:lineRule="auto"/>
        <w:rPr>
          <w:rFonts w:ascii="宋体" w:hAnsi="宋体" w:cs="宋体"/>
          <w:b/>
          <w:bCs/>
          <w:color w:val="000000"/>
          <w:sz w:val="24"/>
        </w:rPr>
      </w:pPr>
      <w:r>
        <w:rPr>
          <w:rFonts w:hint="eastAsia" w:ascii="宋体" w:hAnsi="宋体" w:cs="宋体"/>
          <w:b/>
          <w:bCs/>
          <w:color w:val="000000"/>
          <w:sz w:val="24"/>
        </w:rPr>
        <w:t>4、禁止参加投标的情形</w:t>
      </w:r>
    </w:p>
    <w:p>
      <w:pPr>
        <w:spacing w:line="360" w:lineRule="auto"/>
        <w:rPr>
          <w:rFonts w:ascii="宋体" w:hAnsi="宋体" w:cs="宋体"/>
          <w:color w:val="000000"/>
          <w:sz w:val="24"/>
        </w:rPr>
      </w:pPr>
      <w:r>
        <w:rPr>
          <w:rFonts w:hint="eastAsia" w:ascii="宋体" w:hAnsi="宋体" w:cs="宋体"/>
          <w:color w:val="000000"/>
          <w:sz w:val="24"/>
        </w:rPr>
        <w:t xml:space="preserve">    投标申请人近三年内被行政主管部门或被招标人履约评价人为不合格的，或近三年内被查处有围标串标、弄虚作假行为的，招标人可拒绝其参加投标，并作为投标条件在招标公告和招标文件中设置。</w:t>
      </w:r>
    </w:p>
    <w:p>
      <w:pPr>
        <w:spacing w:line="360" w:lineRule="auto"/>
        <w:rPr>
          <w:color w:val="000000"/>
          <w:szCs w:val="21"/>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Times New Roman" w:hAnsi="Times New Roman" w:cs="Times New Roman"/>
          <w:color w:val="000000"/>
        </w:rPr>
      </w:pPr>
    </w:p>
    <w:p>
      <w:pPr>
        <w:pStyle w:val="28"/>
        <w:rPr>
          <w:rFonts w:ascii="仿宋_GB2312" w:hAnsi="仿宋_GB2312" w:eastAsia="仿宋_GB2312" w:cs="仿宋_GB2312"/>
          <w:color w:val="000000"/>
        </w:rPr>
      </w:pPr>
      <w:bookmarkStart w:id="16" w:name="_Toc11873"/>
      <w:bookmarkStart w:id="17" w:name="_Toc27668"/>
      <w:bookmarkStart w:id="18" w:name="_Toc14890"/>
      <w:bookmarkStart w:id="19" w:name="_Toc20153566"/>
      <w:r>
        <w:rPr>
          <w:rFonts w:hint="eastAsia" w:ascii="仿宋_GB2312" w:hAnsi="仿宋_GB2312" w:eastAsia="仿宋_GB2312" w:cs="仿宋_GB2312"/>
          <w:color w:val="000000"/>
        </w:rPr>
        <w:t xml:space="preserve">第二节 </w:t>
      </w:r>
      <w:bookmarkEnd w:id="16"/>
      <w:bookmarkEnd w:id="17"/>
      <w:bookmarkEnd w:id="18"/>
      <w:bookmarkStart w:id="20" w:name="_Toc15506"/>
      <w:bookmarkStart w:id="21" w:name="_Toc17953"/>
      <w:bookmarkStart w:id="22" w:name="_Toc1281"/>
      <w:r>
        <w:rPr>
          <w:rFonts w:hint="eastAsia" w:ascii="仿宋_GB2312" w:hAnsi="仿宋_GB2312" w:eastAsia="仿宋_GB2312" w:cs="仿宋_GB2312"/>
          <w:color w:val="000000"/>
        </w:rPr>
        <w:t>投标须知前附表</w:t>
      </w:r>
      <w:bookmarkEnd w:id="19"/>
      <w:bookmarkEnd w:id="20"/>
      <w:bookmarkEnd w:id="21"/>
      <w:bookmarkEnd w:id="22"/>
    </w:p>
    <w:tbl>
      <w:tblPr>
        <w:tblStyle w:val="20"/>
        <w:tblW w:w="93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56"/>
        <w:gridCol w:w="1541"/>
        <w:gridCol w:w="48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b/>
                <w:bCs/>
                <w:color w:val="000000"/>
              </w:rPr>
            </w:pPr>
            <w:r>
              <w:rPr>
                <w:rFonts w:hint="eastAsia"/>
                <w:b/>
                <w:bCs/>
                <w:color w:val="000000"/>
              </w:rPr>
              <w:t>序号</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b/>
                <w:bCs/>
                <w:color w:val="000000"/>
              </w:rPr>
            </w:pPr>
            <w:r>
              <w:rPr>
                <w:rFonts w:hint="eastAsia"/>
                <w:b/>
                <w:bCs/>
                <w:color w:val="000000"/>
              </w:rPr>
              <w:t>内</w:t>
            </w:r>
            <w:r>
              <w:rPr>
                <w:b/>
                <w:bCs/>
                <w:color w:val="000000"/>
              </w:rPr>
              <w:t xml:space="preserve">   </w:t>
            </w:r>
            <w:r>
              <w:rPr>
                <w:rFonts w:hint="eastAsia"/>
                <w:b/>
                <w:bCs/>
                <w:color w:val="000000"/>
              </w:rPr>
              <w:t>容</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center"/>
              <w:rPr>
                <w:b/>
                <w:bCs/>
                <w:color w:val="000000"/>
              </w:rPr>
            </w:pPr>
            <w:r>
              <w:rPr>
                <w:rFonts w:hint="eastAsia"/>
                <w:b/>
                <w:bCs/>
                <w:color w:val="000000"/>
              </w:rPr>
              <w:t>规</w:t>
            </w:r>
            <w:r>
              <w:rPr>
                <w:b/>
                <w:bCs/>
                <w:color w:val="000000"/>
              </w:rPr>
              <w:t xml:space="preserve">      </w:t>
            </w:r>
            <w:r>
              <w:rPr>
                <w:rFonts w:hint="eastAsia"/>
                <w:b/>
                <w:bCs/>
                <w:color w:val="000000"/>
              </w:rPr>
              <w:t>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1</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项目名称</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color w:val="000000"/>
                <w:szCs w:val="21"/>
                <w:u w:val="single"/>
              </w:rPr>
              <w:t xml:space="preserve">  </w:t>
            </w:r>
            <w:r>
              <w:rPr>
                <w:rFonts w:hint="eastAsia"/>
                <w:color w:val="000000"/>
                <w:szCs w:val="21"/>
                <w:u w:val="single"/>
              </w:rPr>
              <w:t>（物业项目名称）</w:t>
            </w:r>
            <w:r>
              <w:rPr>
                <w:color w:val="000000"/>
                <w:szCs w:val="21"/>
                <w:u w:val="single"/>
              </w:rPr>
              <w:t xml:space="preserve"> </w:t>
            </w:r>
            <w:r>
              <w:rPr>
                <w:rFonts w:hint="eastAsia"/>
                <w:color w:val="000000"/>
                <w:szCs w:val="21"/>
              </w:rPr>
              <w:t>项目物业管理服务。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2</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项目概况</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rFonts w:hint="eastAsia"/>
                <w:snapToGrid w:val="0"/>
                <w:color w:val="000000"/>
                <w:kern w:val="0"/>
                <w:szCs w:val="32"/>
                <w:lang w:val="zh-CN"/>
              </w:rPr>
              <w:t>见招标公告中有关</w:t>
            </w:r>
            <w:r>
              <w:rPr>
                <w:rFonts w:hint="eastAsia"/>
                <w:snapToGrid w:val="0"/>
                <w:color w:val="000000"/>
                <w:kern w:val="0"/>
                <w:szCs w:val="32"/>
              </w:rPr>
              <w:t>项目概况</w:t>
            </w:r>
            <w:r>
              <w:rPr>
                <w:rFonts w:hint="eastAsia"/>
                <w:snapToGrid w:val="0"/>
                <w:color w:val="000000"/>
                <w:kern w:val="0"/>
                <w:szCs w:val="32"/>
                <w:lang w:val="zh-CN"/>
              </w:rPr>
              <w:t>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3</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接管时间</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4</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服务期限</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color w:val="000000"/>
                <w:szCs w:val="21"/>
                <w:u w:val="single"/>
              </w:rPr>
              <w:t xml:space="preserve">      </w:t>
            </w:r>
            <w:r>
              <w:rPr>
                <w:rFonts w:hint="eastAsia"/>
                <w:color w:val="000000"/>
                <w:szCs w:val="21"/>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bCs/>
                <w:color w:val="000000"/>
              </w:rPr>
            </w:pPr>
            <w:r>
              <w:rPr>
                <w:rFonts w:hint="eastAsia"/>
                <w:bCs/>
                <w:color w:val="000000"/>
              </w:rPr>
              <w:t>5</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bCs/>
                <w:color w:val="000000"/>
              </w:rPr>
            </w:pPr>
            <w:r>
              <w:rPr>
                <w:rFonts w:hint="eastAsia"/>
                <w:bCs/>
                <w:color w:val="000000"/>
              </w:rPr>
              <w:t>投标人条件要求</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见招标公告中有关投标人</w:t>
            </w:r>
            <w:r>
              <w:rPr>
                <w:rFonts w:hint="eastAsia"/>
                <w:snapToGrid w:val="0"/>
                <w:color w:val="000000"/>
                <w:kern w:val="0"/>
                <w:szCs w:val="32"/>
              </w:rPr>
              <w:t>条件要求</w:t>
            </w:r>
            <w:r>
              <w:rPr>
                <w:rFonts w:hint="eastAsia"/>
                <w:snapToGrid w:val="0"/>
                <w:color w:val="000000"/>
                <w:kern w:val="0"/>
                <w:szCs w:val="32"/>
                <w:lang w:val="zh-CN"/>
              </w:rPr>
              <w:t>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6</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是否接受联合体投标</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接受（</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不接受（</w:t>
            </w:r>
            <w:r>
              <w:rPr>
                <w:snapToGrid w:val="0"/>
                <w:color w:val="000000"/>
                <w:kern w:val="0"/>
                <w:szCs w:val="32"/>
                <w:lang w:val="zh-CN"/>
              </w:rPr>
              <w:t xml:space="preserve">   </w:t>
            </w:r>
            <w:r>
              <w:rPr>
                <w:rFonts w:hint="eastAsia"/>
                <w:snapToGrid w:val="0"/>
                <w:color w:val="000000"/>
                <w:kern w:val="0"/>
                <w:szCs w:val="32"/>
                <w:lang w:val="zh-CN"/>
              </w:rPr>
              <w:t>）</w:t>
            </w:r>
          </w:p>
          <w:p>
            <w:pPr>
              <w:spacing w:line="520" w:lineRule="exact"/>
              <w:rPr>
                <w:snapToGrid w:val="0"/>
                <w:color w:val="000000"/>
                <w:kern w:val="0"/>
                <w:szCs w:val="32"/>
                <w:lang w:val="zh-CN"/>
              </w:rPr>
            </w:pPr>
            <w:r>
              <w:rPr>
                <w:rFonts w:hint="eastAsia"/>
                <w:color w:val="000000"/>
                <w:szCs w:val="21"/>
              </w:rPr>
              <w:t>（注：请在相应选项后的括号内打</w:t>
            </w:r>
            <w:r>
              <w:rPr>
                <w:color w:val="000000"/>
                <w:szCs w:val="21"/>
              </w:rPr>
              <w:t>“√”</w:t>
            </w:r>
            <w:r>
              <w:rPr>
                <w:rFonts w:hint="eastAsia"/>
                <w:color w:val="000000"/>
                <w:szCs w:val="21"/>
              </w:rPr>
              <w:t>，或在横线上填写，下同）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70" w:hRule="atLeast"/>
          <w:jc w:val="center"/>
        </w:trPr>
        <w:tc>
          <w:tcPr>
            <w:tcW w:w="807" w:type="dxa"/>
            <w:vMerge w:val="restart"/>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7</w:t>
            </w:r>
          </w:p>
        </w:tc>
        <w:tc>
          <w:tcPr>
            <w:tcW w:w="2156" w:type="dxa"/>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踏勘现场</w:t>
            </w:r>
          </w:p>
        </w:tc>
        <w:tc>
          <w:tcPr>
            <w:tcW w:w="6423" w:type="dxa"/>
            <w:gridSpan w:val="2"/>
            <w:tcBorders>
              <w:top w:val="single" w:color="auto" w:sz="6" w:space="0"/>
              <w:left w:val="single" w:color="auto" w:sz="6" w:space="0"/>
              <w:bottom w:val="single" w:color="auto" w:sz="4" w:space="0"/>
              <w:right w:val="double" w:color="auto" w:sz="4" w:space="0"/>
            </w:tcBorders>
            <w:vAlign w:val="center"/>
          </w:tcPr>
          <w:p>
            <w:pPr>
              <w:spacing w:line="520" w:lineRule="exact"/>
              <w:rPr>
                <w:snapToGrid w:val="0"/>
                <w:color w:val="000000"/>
                <w:kern w:val="0"/>
                <w:szCs w:val="32"/>
                <w:u w:val="single"/>
                <w:lang w:val="zh-CN"/>
              </w:rPr>
            </w:pPr>
            <w:r>
              <w:rPr>
                <w:rFonts w:hint="eastAsia"/>
                <w:snapToGrid w:val="0"/>
                <w:color w:val="000000"/>
                <w:kern w:val="0"/>
                <w:szCs w:val="32"/>
                <w:lang w:val="zh-CN"/>
              </w:rPr>
              <w:t>组织（</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不组织（</w:t>
            </w:r>
            <w:r>
              <w:rPr>
                <w:snapToGrid w:val="0"/>
                <w:color w:val="000000"/>
                <w:kern w:val="0"/>
                <w:szCs w:val="32"/>
                <w:lang w:val="zh-CN"/>
              </w:rPr>
              <w:t xml:space="preserve">   </w:t>
            </w:r>
            <w:r>
              <w:rPr>
                <w:rFonts w:hint="eastAsia"/>
                <w:snapToGrid w:val="0"/>
                <w:color w:val="000000"/>
                <w:kern w:val="0"/>
                <w:szCs w:val="32"/>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6423" w:type="dxa"/>
            <w:gridSpan w:val="2"/>
            <w:tcBorders>
              <w:top w:val="single" w:color="auto" w:sz="4"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时间：</w:t>
            </w:r>
            <w:r>
              <w:rPr>
                <w:snapToGrid w:val="0"/>
                <w:color w:val="000000"/>
                <w:kern w:val="0"/>
                <w:szCs w:val="32"/>
                <w:u w:val="single"/>
                <w:lang w:val="zh-CN"/>
              </w:rPr>
              <w:t xml:space="preserve">                       </w:t>
            </w:r>
            <w:r>
              <w:rPr>
                <w:rFonts w:hint="eastAsia"/>
                <w:snapToGrid w:val="0"/>
                <w:color w:val="000000"/>
                <w:kern w:val="0"/>
                <w:szCs w:val="32"/>
                <w:lang w:val="zh-CN"/>
              </w:rPr>
              <w:t>；集合地点：</w:t>
            </w:r>
            <w:r>
              <w:rPr>
                <w:snapToGrid w:val="0"/>
                <w:color w:val="000000"/>
                <w:kern w:val="0"/>
                <w:szCs w:val="32"/>
                <w:u w:val="single"/>
                <w:lang w:val="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80" w:hRule="atLeast"/>
          <w:jc w:val="center"/>
        </w:trPr>
        <w:tc>
          <w:tcPr>
            <w:tcW w:w="807" w:type="dxa"/>
            <w:vMerge w:val="restart"/>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8</w:t>
            </w:r>
          </w:p>
        </w:tc>
        <w:tc>
          <w:tcPr>
            <w:tcW w:w="2156" w:type="dxa"/>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招标文件质疑和答疑</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投标人质疑截止时间：</w:t>
            </w:r>
            <w:r>
              <w:rPr>
                <w:snapToGrid w:val="0"/>
                <w:color w:val="000000"/>
                <w:kern w:val="0"/>
                <w:szCs w:val="32"/>
                <w:u w:val="single"/>
                <w:lang w:val="zh-CN"/>
              </w:rPr>
              <w:t xml:space="preserve">        </w:t>
            </w:r>
            <w:r>
              <w:rPr>
                <w:snapToGrid w:val="0"/>
                <w:color w:val="000000"/>
                <w:kern w:val="0"/>
                <w:szCs w:val="32"/>
                <w:lang w:val="zh-CN"/>
              </w:rPr>
              <w:t xml:space="preserve"> </w:t>
            </w:r>
            <w:r>
              <w:rPr>
                <w:rFonts w:hint="eastAsia"/>
                <w:snapToGrid w:val="0"/>
                <w:color w:val="000000"/>
                <w:kern w:val="0"/>
                <w:szCs w:val="32"/>
                <w:lang w:val="zh-CN"/>
              </w:rPr>
              <w:t>年</w:t>
            </w:r>
            <w:r>
              <w:rPr>
                <w:snapToGrid w:val="0"/>
                <w:color w:val="000000"/>
                <w:kern w:val="0"/>
                <w:szCs w:val="32"/>
                <w:u w:val="single"/>
                <w:lang w:val="zh-CN"/>
              </w:rPr>
              <w:t xml:space="preserve">     </w:t>
            </w:r>
            <w:r>
              <w:rPr>
                <w:rFonts w:hint="eastAsia"/>
                <w:snapToGrid w:val="0"/>
                <w:color w:val="000000"/>
                <w:kern w:val="0"/>
                <w:szCs w:val="32"/>
                <w:lang w:val="zh-CN"/>
              </w:rPr>
              <w:t>月</w:t>
            </w:r>
            <w:r>
              <w:rPr>
                <w:snapToGrid w:val="0"/>
                <w:color w:val="000000"/>
                <w:kern w:val="0"/>
                <w:szCs w:val="32"/>
                <w:u w:val="single"/>
                <w:lang w:val="zh-CN"/>
              </w:rPr>
              <w:t xml:space="preserve">     </w:t>
            </w:r>
            <w:r>
              <w:rPr>
                <w:rFonts w:hint="eastAsia"/>
                <w:snapToGrid w:val="0"/>
                <w:color w:val="000000"/>
                <w:kern w:val="0"/>
                <w:szCs w:val="32"/>
                <w:lang w:val="zh-CN"/>
              </w:rPr>
              <w:t>日</w:t>
            </w:r>
            <w:r>
              <w:rPr>
                <w:snapToGrid w:val="0"/>
                <w:color w:val="000000"/>
                <w:kern w:val="0"/>
                <w:szCs w:val="32"/>
                <w:u w:val="single"/>
                <w:lang w:val="zh-CN"/>
              </w:rPr>
              <w:t xml:space="preserve">     </w:t>
            </w:r>
            <w:r>
              <w:rPr>
                <w:rFonts w:hint="eastAsia"/>
                <w:snapToGrid w:val="0"/>
                <w:color w:val="000000"/>
                <w:kern w:val="0"/>
                <w:szCs w:val="32"/>
                <w:lang w:val="zh-CN"/>
              </w:rPr>
              <w:t>时。</w:t>
            </w:r>
          </w:p>
          <w:p>
            <w:pPr>
              <w:spacing w:line="520" w:lineRule="exact"/>
              <w:rPr>
                <w:snapToGrid w:val="0"/>
                <w:color w:val="000000"/>
                <w:kern w:val="0"/>
                <w:szCs w:val="32"/>
              </w:rPr>
            </w:pPr>
            <w:r>
              <w:rPr>
                <w:rFonts w:hint="eastAsia"/>
                <w:snapToGrid w:val="0"/>
                <w:color w:val="000000"/>
                <w:kern w:val="0"/>
                <w:szCs w:val="32"/>
              </w:rPr>
              <w:t>投标人提交质疑问题的方式：</w:t>
            </w:r>
          </w:p>
          <w:p>
            <w:pPr>
              <w:spacing w:line="520" w:lineRule="exact"/>
              <w:rPr>
                <w:snapToGrid w:val="0"/>
                <w:color w:val="000000"/>
                <w:kern w:val="0"/>
                <w:szCs w:val="32"/>
              </w:rPr>
            </w:pPr>
            <w:r>
              <w:rPr>
                <w:rFonts w:hint="eastAsia"/>
                <w:snapToGrid w:val="0"/>
                <w:color w:val="000000"/>
                <w:kern w:val="0"/>
                <w:szCs w:val="32"/>
              </w:rPr>
              <w:t>（</w:t>
            </w:r>
            <w:r>
              <w:rPr>
                <w:snapToGrid w:val="0"/>
                <w:color w:val="000000"/>
                <w:kern w:val="0"/>
                <w:szCs w:val="32"/>
              </w:rPr>
              <w:t xml:space="preserve">   </w:t>
            </w:r>
            <w:r>
              <w:rPr>
                <w:rFonts w:hint="eastAsia"/>
                <w:snapToGrid w:val="0"/>
                <w:color w:val="000000"/>
                <w:kern w:val="0"/>
                <w:szCs w:val="32"/>
              </w:rPr>
              <w:t>）传真至</w:t>
            </w:r>
            <w:r>
              <w:rPr>
                <w:snapToGrid w:val="0"/>
                <w:color w:val="000000"/>
                <w:kern w:val="0"/>
                <w:szCs w:val="32"/>
                <w:u w:val="single"/>
              </w:rPr>
              <w:t xml:space="preserve">                    </w:t>
            </w:r>
            <w:r>
              <w:rPr>
                <w:rFonts w:hint="eastAsia"/>
                <w:snapToGrid w:val="0"/>
                <w:color w:val="000000"/>
                <w:kern w:val="0"/>
                <w:szCs w:val="32"/>
              </w:rPr>
              <w:t>（传真后请致电确认）。</w:t>
            </w:r>
          </w:p>
          <w:p>
            <w:pPr>
              <w:spacing w:line="520" w:lineRule="exact"/>
              <w:rPr>
                <w:snapToGrid w:val="0"/>
                <w:color w:val="000000"/>
                <w:kern w:val="0"/>
                <w:szCs w:val="32"/>
              </w:rPr>
            </w:pPr>
            <w:r>
              <w:rPr>
                <w:rFonts w:hint="eastAsia"/>
                <w:snapToGrid w:val="0"/>
                <w:color w:val="000000"/>
                <w:kern w:val="0"/>
                <w:szCs w:val="32"/>
              </w:rPr>
              <w:t>（</w:t>
            </w:r>
            <w:r>
              <w:rPr>
                <w:snapToGrid w:val="0"/>
                <w:color w:val="000000"/>
                <w:kern w:val="0"/>
                <w:szCs w:val="32"/>
              </w:rPr>
              <w:t xml:space="preserve">   </w:t>
            </w:r>
            <w:r>
              <w:rPr>
                <w:rFonts w:hint="eastAsia"/>
                <w:snapToGrid w:val="0"/>
                <w:color w:val="000000"/>
                <w:kern w:val="0"/>
                <w:szCs w:val="32"/>
              </w:rPr>
              <w:t>）递送书面文件至：</w:t>
            </w:r>
            <w:r>
              <w:rPr>
                <w:snapToGrid w:val="0"/>
                <w:color w:val="000000"/>
                <w:kern w:val="0"/>
                <w:szCs w:val="32"/>
                <w:u w:val="single"/>
              </w:rPr>
              <w:t xml:space="preserve">                             </w:t>
            </w:r>
            <w:r>
              <w:rPr>
                <w:snapToGrid w:val="0"/>
                <w:color w:val="000000"/>
                <w:kern w:val="0"/>
                <w:szCs w:val="32"/>
              </w:rPr>
              <w:t xml:space="preserve"> </w:t>
            </w:r>
            <w:r>
              <w:rPr>
                <w:rFonts w:hint="eastAsia"/>
                <w:snapToGrid w:val="0"/>
                <w:color w:val="000000"/>
                <w:kern w:val="0"/>
                <w:szCs w:val="32"/>
              </w:rPr>
              <w:t>。</w:t>
            </w:r>
          </w:p>
          <w:p>
            <w:pPr>
              <w:spacing w:line="520" w:lineRule="exact"/>
              <w:rPr>
                <w:snapToGrid w:val="0"/>
                <w:color w:val="000000"/>
                <w:kern w:val="0"/>
                <w:szCs w:val="32"/>
                <w:lang w:val="zh-CN"/>
              </w:rPr>
            </w:pPr>
            <w:r>
              <w:rPr>
                <w:rFonts w:hint="eastAsia"/>
                <w:snapToGrid w:val="0"/>
                <w:color w:val="000000"/>
                <w:kern w:val="0"/>
                <w:szCs w:val="32"/>
              </w:rPr>
              <w:t>（</w:t>
            </w:r>
            <w:r>
              <w:rPr>
                <w:snapToGrid w:val="0"/>
                <w:color w:val="000000"/>
                <w:kern w:val="0"/>
                <w:szCs w:val="32"/>
              </w:rPr>
              <w:t xml:space="preserve">   </w:t>
            </w:r>
            <w:r>
              <w:rPr>
                <w:rFonts w:hint="eastAsia"/>
                <w:snapToGrid w:val="0"/>
                <w:color w:val="000000"/>
                <w:kern w:val="0"/>
                <w:szCs w:val="32"/>
              </w:rPr>
              <w:t>）其他：</w:t>
            </w:r>
            <w:r>
              <w:rPr>
                <w:snapToGrid w:val="0"/>
                <w:color w:val="000000"/>
                <w:kern w:val="0"/>
                <w:szCs w:val="32"/>
                <w:u w:val="single"/>
              </w:rPr>
              <w:t xml:space="preserve">                                       </w:t>
            </w:r>
            <w:r>
              <w:rPr>
                <w:snapToGrid w:val="0"/>
                <w:color w:val="000000"/>
                <w:kern w:val="0"/>
                <w:szCs w:val="32"/>
              </w:rPr>
              <w:t xml:space="preserve"> </w:t>
            </w:r>
            <w:r>
              <w:rPr>
                <w:rFonts w:hint="eastAsia"/>
                <w:snapToGrid w:val="0"/>
                <w:color w:val="000000"/>
                <w:kern w:val="0"/>
                <w:szCs w:val="3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招标人答疑截止时间：</w:t>
            </w:r>
            <w:r>
              <w:rPr>
                <w:snapToGrid w:val="0"/>
                <w:color w:val="000000"/>
                <w:kern w:val="0"/>
                <w:szCs w:val="32"/>
                <w:u w:val="single"/>
                <w:lang w:val="zh-CN"/>
              </w:rPr>
              <w:t xml:space="preserve">         </w:t>
            </w:r>
            <w:r>
              <w:rPr>
                <w:snapToGrid w:val="0"/>
                <w:color w:val="000000"/>
                <w:kern w:val="0"/>
                <w:szCs w:val="32"/>
                <w:lang w:val="zh-CN"/>
              </w:rPr>
              <w:t xml:space="preserve"> </w:t>
            </w:r>
            <w:r>
              <w:rPr>
                <w:rFonts w:hint="eastAsia"/>
                <w:snapToGrid w:val="0"/>
                <w:color w:val="000000"/>
                <w:kern w:val="0"/>
                <w:szCs w:val="32"/>
                <w:lang w:val="zh-CN"/>
              </w:rPr>
              <w:t>年</w:t>
            </w:r>
            <w:r>
              <w:rPr>
                <w:snapToGrid w:val="0"/>
                <w:color w:val="000000"/>
                <w:kern w:val="0"/>
                <w:szCs w:val="32"/>
                <w:u w:val="single"/>
                <w:lang w:val="zh-CN"/>
              </w:rPr>
              <w:t xml:space="preserve">     </w:t>
            </w:r>
            <w:r>
              <w:rPr>
                <w:rFonts w:hint="eastAsia"/>
                <w:snapToGrid w:val="0"/>
                <w:color w:val="000000"/>
                <w:kern w:val="0"/>
                <w:szCs w:val="32"/>
                <w:lang w:val="zh-CN"/>
              </w:rPr>
              <w:t>月</w:t>
            </w:r>
            <w:r>
              <w:rPr>
                <w:snapToGrid w:val="0"/>
                <w:color w:val="000000"/>
                <w:kern w:val="0"/>
                <w:szCs w:val="32"/>
                <w:u w:val="single"/>
                <w:lang w:val="zh-CN"/>
              </w:rPr>
              <w:t xml:space="preserve">     </w:t>
            </w:r>
            <w:r>
              <w:rPr>
                <w:rFonts w:hint="eastAsia"/>
                <w:snapToGrid w:val="0"/>
                <w:color w:val="000000"/>
                <w:kern w:val="0"/>
                <w:szCs w:val="32"/>
                <w:lang w:val="zh-CN"/>
              </w:rPr>
              <w:t>日</w:t>
            </w:r>
            <w:r>
              <w:rPr>
                <w:snapToGrid w:val="0"/>
                <w:color w:val="000000"/>
                <w:kern w:val="0"/>
                <w:szCs w:val="32"/>
                <w:u w:val="single"/>
                <w:lang w:val="zh-CN"/>
              </w:rPr>
              <w:t xml:space="preserve">     </w:t>
            </w:r>
            <w:r>
              <w:rPr>
                <w:rFonts w:hint="eastAsia"/>
                <w:snapToGrid w:val="0"/>
                <w:color w:val="000000"/>
                <w:kern w:val="0"/>
                <w:szCs w:val="32"/>
                <w:lang w:val="zh-CN"/>
              </w:rPr>
              <w:t>时。</w:t>
            </w:r>
          </w:p>
          <w:p>
            <w:pPr>
              <w:spacing w:line="520" w:lineRule="exact"/>
              <w:rPr>
                <w:snapToGrid w:val="0"/>
                <w:color w:val="000000"/>
                <w:kern w:val="0"/>
                <w:szCs w:val="32"/>
                <w:lang w:val="zh-CN"/>
              </w:rPr>
            </w:pPr>
            <w:r>
              <w:rPr>
                <w:rFonts w:hint="eastAsia"/>
                <w:snapToGrid w:val="0"/>
                <w:color w:val="000000"/>
                <w:kern w:val="0"/>
                <w:szCs w:val="32"/>
                <w:lang w:val="zh-CN"/>
              </w:rPr>
              <w:t>投标人获取答疑或招标文件补充文件的方式：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9</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分包</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rPr>
              <w:t>允许</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w:t>
            </w:r>
            <w:r>
              <w:rPr>
                <w:rFonts w:hint="eastAsia"/>
                <w:snapToGrid w:val="0"/>
                <w:color w:val="000000"/>
                <w:kern w:val="0"/>
                <w:szCs w:val="32"/>
              </w:rPr>
              <w:t>允许</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10</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投标货币</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11</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投标报价限价</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12</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投标有效期</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ind w:firstLine="210" w:firstLineChars="100"/>
              <w:rPr>
                <w:color w:val="000000"/>
              </w:rPr>
            </w:pPr>
            <w:r>
              <w:rPr>
                <w:color w:val="000000"/>
                <w:u w:val="single"/>
              </w:rPr>
              <w:t xml:space="preserve">        </w:t>
            </w:r>
            <w:r>
              <w:rPr>
                <w:rFonts w:hint="eastAsia"/>
                <w:color w:val="000000"/>
              </w:rPr>
              <w:t>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55" w:hRule="atLeast"/>
          <w:jc w:val="center"/>
        </w:trPr>
        <w:tc>
          <w:tcPr>
            <w:tcW w:w="807" w:type="dxa"/>
            <w:vMerge w:val="restart"/>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13</w:t>
            </w:r>
          </w:p>
        </w:tc>
        <w:tc>
          <w:tcPr>
            <w:tcW w:w="2156" w:type="dxa"/>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投标担保</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rFonts w:hint="eastAsia" w:ascii="宋体" w:hAnsi="宋体"/>
                <w:color w:val="000000"/>
                <w:szCs w:val="21"/>
              </w:rPr>
              <w:t>投标担保的金额：　</w:t>
            </w:r>
            <w:r>
              <w:rPr>
                <w:rFonts w:hint="eastAsia" w:ascii="宋体" w:hAnsi="宋体"/>
                <w:color w:val="000000"/>
                <w:szCs w:val="21"/>
                <w:u w:val="single"/>
              </w:rPr>
              <w:t>　　　</w:t>
            </w:r>
            <w:r>
              <w:rPr>
                <w:rFonts w:hint="eastAsia" w:ascii="宋体" w:hAnsi="宋体"/>
                <w:color w:val="000000"/>
                <w:szCs w:val="21"/>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rFonts w:hint="eastAsia" w:ascii="宋体" w:hAnsi="宋体"/>
                <w:color w:val="000000"/>
                <w:szCs w:val="21"/>
              </w:rPr>
              <w:t>□现金转帐     □投标保函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1541" w:type="dxa"/>
            <w:tcBorders>
              <w:top w:val="single" w:color="auto" w:sz="6" w:space="0"/>
              <w:left w:val="single" w:color="auto" w:sz="6" w:space="0"/>
              <w:bottom w:val="single" w:color="auto" w:sz="6" w:space="0"/>
              <w:right w:val="single" w:color="auto" w:sz="4" w:space="0"/>
            </w:tcBorders>
            <w:vAlign w:val="center"/>
          </w:tcPr>
          <w:p>
            <w:pPr>
              <w:spacing w:line="520" w:lineRule="exact"/>
              <w:rPr>
                <w:color w:val="000000"/>
              </w:rPr>
            </w:pPr>
            <w:r>
              <w:rPr>
                <w:rFonts w:hint="eastAsia" w:ascii="宋体" w:hAnsi="宋体"/>
                <w:color w:val="000000"/>
                <w:szCs w:val="21"/>
              </w:rPr>
              <w:t>现金转帐</w:t>
            </w:r>
          </w:p>
        </w:tc>
        <w:tc>
          <w:tcPr>
            <w:tcW w:w="4882" w:type="dxa"/>
            <w:tcBorders>
              <w:top w:val="single" w:color="auto" w:sz="6" w:space="0"/>
              <w:left w:val="single" w:color="auto" w:sz="4" w:space="0"/>
              <w:bottom w:val="single" w:color="auto" w:sz="6" w:space="0"/>
              <w:right w:val="double" w:color="auto" w:sz="4" w:space="0"/>
            </w:tcBorders>
            <w:vAlign w:val="center"/>
          </w:tcPr>
          <w:p>
            <w:pPr>
              <w:spacing w:line="520" w:lineRule="exact"/>
              <w:jc w:val="left"/>
              <w:rPr>
                <w:rFonts w:ascii="宋体" w:hAnsi="宋体"/>
                <w:color w:val="000000"/>
                <w:szCs w:val="21"/>
              </w:rPr>
            </w:pPr>
            <w:r>
              <w:rPr>
                <w:rFonts w:hint="eastAsia" w:ascii="宋体" w:hAnsi="宋体"/>
                <w:color w:val="000000"/>
                <w:szCs w:val="21"/>
              </w:rPr>
              <w:t>投标人应在      年   月   日   时前到帐。</w:t>
            </w:r>
          </w:p>
          <w:p>
            <w:pPr>
              <w:spacing w:line="520" w:lineRule="exact"/>
              <w:jc w:val="left"/>
              <w:rPr>
                <w:rFonts w:ascii="宋体" w:hAnsi="宋体"/>
                <w:color w:val="000000"/>
                <w:szCs w:val="21"/>
                <w:u w:val="single"/>
              </w:rPr>
            </w:pPr>
            <w:r>
              <w:rPr>
                <w:rFonts w:hint="eastAsia" w:ascii="宋体" w:hAnsi="宋体"/>
                <w:color w:val="000000"/>
                <w:szCs w:val="21"/>
              </w:rPr>
              <w:t>收款人全称：</w:t>
            </w:r>
            <w:r>
              <w:rPr>
                <w:rFonts w:hint="eastAsia" w:ascii="宋体" w:hAnsi="宋体"/>
                <w:color w:val="000000"/>
                <w:szCs w:val="21"/>
                <w:u w:val="single"/>
              </w:rPr>
              <w:t>　　　　　　　　　　　　　</w:t>
            </w:r>
          </w:p>
          <w:p>
            <w:pPr>
              <w:spacing w:line="520" w:lineRule="exact"/>
              <w:jc w:val="left"/>
              <w:rPr>
                <w:rFonts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rPr>
            </w:pPr>
            <w:r>
              <w:rPr>
                <w:rFonts w:hint="eastAsia" w:ascii="宋体" w:hAnsi="宋体"/>
                <w:color w:val="000000"/>
                <w:szCs w:val="21"/>
              </w:rPr>
              <w:t>帐    号：</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rPr>
            </w:pPr>
            <w:r>
              <w:rPr>
                <w:rFonts w:hint="eastAsia" w:ascii="宋体" w:hAnsi="宋体"/>
                <w:color w:val="000000"/>
                <w:szCs w:val="21"/>
              </w:rPr>
              <w:t>财务联系人：</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rPr>
            </w:pPr>
            <w:r>
              <w:rPr>
                <w:rFonts w:hint="eastAsia" w:ascii="宋体" w:hAnsi="宋体"/>
                <w:color w:val="000000"/>
                <w:szCs w:val="21"/>
              </w:rPr>
              <w:t>财务联系电话：</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u w:val="single"/>
              </w:rPr>
            </w:pPr>
            <w:r>
              <w:rPr>
                <w:rFonts w:hint="eastAsia" w:ascii="宋体" w:hAnsi="宋体"/>
                <w:color w:val="000000"/>
                <w:szCs w:val="21"/>
              </w:rPr>
              <w:t>注：</w:t>
            </w:r>
            <w:bookmarkStart w:id="23" w:name="c__5064201_"/>
            <w:r>
              <w:rPr>
                <w:rFonts w:hint="eastAsia" w:ascii="宋体" w:hAnsi="宋体"/>
                <w:color w:val="000000"/>
                <w:szCs w:val="21"/>
              </w:rPr>
              <w:t>投标保证金须在投标人基本账户转出，汇款时简要注明项目名称。</w:t>
            </w:r>
            <w:bookmarkEnd w:id="23"/>
            <w:bookmarkStart w:id="24" w:name="c__5064435_"/>
            <w:r>
              <w:rPr>
                <w:rFonts w:hint="eastAsia" w:ascii="宋体" w:hAnsi="宋体"/>
                <w:color w:val="000000"/>
                <w:szCs w:val="21"/>
              </w:rPr>
              <w:t>投标保证金未按约定时间到账以及非投标人基本账户转出均视为无效投标。</w:t>
            </w:r>
            <w:bookmarkEnd w:id="24"/>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1541" w:type="dxa"/>
            <w:tcBorders>
              <w:top w:val="single" w:color="auto" w:sz="6" w:space="0"/>
              <w:left w:val="single" w:color="auto" w:sz="6" w:space="0"/>
              <w:bottom w:val="single" w:color="auto" w:sz="6" w:space="0"/>
              <w:right w:val="single" w:color="auto" w:sz="4" w:space="0"/>
            </w:tcBorders>
            <w:vAlign w:val="center"/>
          </w:tcPr>
          <w:p>
            <w:pPr>
              <w:spacing w:line="520" w:lineRule="exact"/>
              <w:rPr>
                <w:color w:val="000000"/>
              </w:rPr>
            </w:pPr>
            <w:r>
              <w:rPr>
                <w:rFonts w:hint="eastAsia" w:ascii="宋体" w:hAnsi="宋体"/>
                <w:color w:val="000000"/>
                <w:szCs w:val="21"/>
              </w:rPr>
              <w:t>投标保函</w:t>
            </w:r>
          </w:p>
        </w:tc>
        <w:tc>
          <w:tcPr>
            <w:tcW w:w="4882" w:type="dxa"/>
            <w:tcBorders>
              <w:top w:val="single" w:color="auto" w:sz="6" w:space="0"/>
              <w:left w:val="single" w:color="auto" w:sz="4" w:space="0"/>
              <w:bottom w:val="single" w:color="auto" w:sz="6" w:space="0"/>
              <w:right w:val="double" w:color="auto" w:sz="4" w:space="0"/>
            </w:tcBorders>
            <w:vAlign w:val="center"/>
          </w:tcPr>
          <w:p>
            <w:pPr>
              <w:spacing w:line="520" w:lineRule="exact"/>
              <w:jc w:val="left"/>
              <w:rPr>
                <w:rFonts w:ascii="宋体" w:hAnsi="宋体"/>
                <w:color w:val="000000"/>
                <w:szCs w:val="21"/>
              </w:rPr>
            </w:pPr>
            <w:r>
              <w:rPr>
                <w:rFonts w:hint="eastAsia" w:ascii="宋体" w:hAnsi="宋体"/>
                <w:color w:val="000000"/>
                <w:szCs w:val="21"/>
              </w:rPr>
              <w:t>投标保函应在投标有效期截止时间</w:t>
            </w:r>
            <w:r>
              <w:rPr>
                <w:rFonts w:hint="eastAsia" w:ascii="宋体" w:hAnsi="宋体"/>
                <w:color w:val="000000"/>
                <w:szCs w:val="21"/>
                <w:u w:val="single"/>
              </w:rPr>
              <w:t xml:space="preserve">      </w:t>
            </w:r>
            <w:r>
              <w:rPr>
                <w:rFonts w:hint="eastAsia" w:ascii="宋体" w:hAnsi="宋体"/>
                <w:color w:val="000000"/>
                <w:szCs w:val="21"/>
              </w:rPr>
              <w:t>天内保持有效。</w:t>
            </w:r>
          </w:p>
          <w:p>
            <w:pPr>
              <w:spacing w:line="520" w:lineRule="exact"/>
              <w:jc w:val="left"/>
              <w:rPr>
                <w:rFonts w:ascii="宋体" w:hAnsi="宋体"/>
                <w:color w:val="000000"/>
                <w:szCs w:val="21"/>
              </w:rPr>
            </w:pPr>
            <w:r>
              <w:rPr>
                <w:rFonts w:hint="eastAsia" w:ascii="宋体" w:hAnsi="宋体"/>
                <w:color w:val="000000"/>
                <w:szCs w:val="21"/>
              </w:rPr>
              <w:t>□由银行出具的投标保函</w:t>
            </w:r>
          </w:p>
          <w:p>
            <w:pPr>
              <w:spacing w:line="520" w:lineRule="exact"/>
              <w:rPr>
                <w:color w:val="000000"/>
              </w:rPr>
            </w:pPr>
            <w:r>
              <w:rPr>
                <w:rFonts w:hint="eastAsia" w:ascii="宋体" w:hAnsi="宋体"/>
                <w:color w:val="000000"/>
                <w:szCs w:val="21"/>
              </w:rPr>
              <w:t>□由专业担保公司出具的投标保函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14</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投标人的替代方案</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rFonts w:hint="eastAsia"/>
                <w:snapToGrid w:val="0"/>
                <w:color w:val="000000"/>
                <w:kern w:val="0"/>
                <w:szCs w:val="32"/>
                <w:lang w:val="zh-CN"/>
              </w:rPr>
              <w:t>允许（</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不允许（</w:t>
            </w:r>
            <w:r>
              <w:rPr>
                <w:snapToGrid w:val="0"/>
                <w:color w:val="000000"/>
                <w:kern w:val="0"/>
                <w:szCs w:val="32"/>
                <w:lang w:val="zh-CN"/>
              </w:rPr>
              <w:t xml:space="preserve">   </w:t>
            </w:r>
            <w:r>
              <w:rPr>
                <w:rFonts w:hint="eastAsia"/>
                <w:snapToGrid w:val="0"/>
                <w:color w:val="000000"/>
                <w:kern w:val="0"/>
                <w:szCs w:val="32"/>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color w:val="000000"/>
              </w:rPr>
              <w:t>1</w:t>
            </w:r>
            <w:r>
              <w:rPr>
                <w:rFonts w:hint="eastAsia"/>
                <w:color w:val="000000"/>
              </w:rPr>
              <w:t>5</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210" w:firstLineChars="100"/>
              <w:rPr>
                <w:color w:val="000000"/>
              </w:rPr>
            </w:pPr>
            <w:r>
              <w:rPr>
                <w:rFonts w:hint="eastAsia"/>
                <w:color w:val="000000"/>
              </w:rPr>
              <w:t>投标文件的份数</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color w:val="000000"/>
                <w:u w:val="single"/>
              </w:rPr>
              <w:t xml:space="preserve">      </w:t>
            </w:r>
            <w:r>
              <w:rPr>
                <w:rFonts w:hint="eastAsia"/>
                <w:color w:val="000000"/>
              </w:rPr>
              <w:t>份正本和</w:t>
            </w:r>
            <w:r>
              <w:rPr>
                <w:color w:val="000000"/>
                <w:u w:val="single"/>
              </w:rPr>
              <w:t xml:space="preserve">      </w:t>
            </w:r>
            <w:r>
              <w:rPr>
                <w:rFonts w:hint="eastAsia"/>
                <w:color w:val="000000"/>
              </w:rPr>
              <w:t>份副本（电子文档一份，优盘拷贝方式提供）。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color w:val="000000"/>
              </w:rPr>
              <w:t>1</w:t>
            </w:r>
            <w:r>
              <w:rPr>
                <w:rFonts w:hint="eastAsia"/>
                <w:color w:val="000000"/>
              </w:rPr>
              <w:t>6</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投标文件的递交</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b/>
                <w:color w:val="000000"/>
                <w:szCs w:val="21"/>
              </w:rPr>
            </w:pPr>
            <w:r>
              <w:rPr>
                <w:rFonts w:hint="eastAsia"/>
                <w:color w:val="000000"/>
                <w:szCs w:val="21"/>
              </w:rPr>
              <w:t>（</w:t>
            </w:r>
            <w:r>
              <w:rPr>
                <w:color w:val="000000"/>
                <w:szCs w:val="21"/>
              </w:rPr>
              <w:t>1</w:t>
            </w:r>
            <w:r>
              <w:rPr>
                <w:rFonts w:hint="eastAsia"/>
                <w:color w:val="000000"/>
                <w:szCs w:val="21"/>
              </w:rPr>
              <w:t>）投标文件递交截止时间：</w:t>
            </w:r>
            <w:r>
              <w:rPr>
                <w:color w:val="000000"/>
                <w:szCs w:val="21"/>
                <w:u w:val="single"/>
              </w:rPr>
              <w:t xml:space="preserve">                             </w:t>
            </w:r>
            <w:r>
              <w:rPr>
                <w:rFonts w:hint="eastAsia"/>
                <w:color w:val="000000"/>
                <w:szCs w:val="21"/>
              </w:rPr>
              <w:t>。</w:t>
            </w:r>
          </w:p>
          <w:p>
            <w:pPr>
              <w:spacing w:line="520" w:lineRule="exact"/>
              <w:rPr>
                <w:b/>
                <w:color w:val="000000"/>
              </w:rPr>
            </w:pPr>
            <w:r>
              <w:rPr>
                <w:rFonts w:hint="eastAsia"/>
                <w:color w:val="000000"/>
              </w:rPr>
              <w:t>（</w:t>
            </w:r>
            <w:r>
              <w:rPr>
                <w:color w:val="000000"/>
              </w:rPr>
              <w:t>2</w:t>
            </w:r>
            <w:r>
              <w:rPr>
                <w:rFonts w:hint="eastAsia"/>
                <w:color w:val="000000"/>
              </w:rPr>
              <w:t>）投标文件递交地点：</w:t>
            </w:r>
            <w:r>
              <w:rPr>
                <w:color w:val="000000"/>
                <w:u w:val="single"/>
              </w:rPr>
              <w:t xml:space="preserve">                                 </w:t>
            </w:r>
            <w:r>
              <w:rPr>
                <w:rFonts w:hint="eastAsia"/>
                <w:color w:val="000000"/>
              </w:rPr>
              <w:t>。</w:t>
            </w:r>
          </w:p>
          <w:p>
            <w:pPr>
              <w:spacing w:line="520" w:lineRule="exact"/>
              <w:rPr>
                <w:color w:val="000000"/>
              </w:rPr>
            </w:pPr>
            <w:r>
              <w:rPr>
                <w:rFonts w:hint="eastAsia"/>
                <w:color w:val="000000"/>
              </w:rPr>
              <w:t>（</w:t>
            </w:r>
            <w:r>
              <w:rPr>
                <w:color w:val="000000"/>
              </w:rPr>
              <w:t>3</w:t>
            </w:r>
            <w:r>
              <w:rPr>
                <w:rFonts w:hint="eastAsia"/>
                <w:color w:val="000000"/>
              </w:rPr>
              <w:t>）注意事项：</w:t>
            </w:r>
          </w:p>
          <w:p>
            <w:pPr>
              <w:spacing w:line="520" w:lineRule="exact"/>
              <w:ind w:firstLine="210" w:firstLineChars="100"/>
              <w:rPr>
                <w:color w:val="000000"/>
              </w:rPr>
            </w:pPr>
            <w:r>
              <w:rPr>
                <w:color w:val="000000"/>
              </w:rPr>
              <w:t>1</w:t>
            </w:r>
            <w:r>
              <w:rPr>
                <w:rFonts w:hint="eastAsia"/>
                <w:color w:val="000000"/>
              </w:rPr>
              <w:t>）投标人应对投标文件进行密封、装订和标记；</w:t>
            </w:r>
          </w:p>
          <w:p>
            <w:pPr>
              <w:spacing w:line="520" w:lineRule="exact"/>
              <w:ind w:firstLine="210" w:firstLineChars="100"/>
              <w:rPr>
                <w:color w:val="000000"/>
              </w:rPr>
            </w:pPr>
            <w:r>
              <w:rPr>
                <w:color w:val="000000"/>
              </w:rPr>
              <w:t>2</w:t>
            </w:r>
            <w:r>
              <w:rPr>
                <w:rFonts w:hint="eastAsia"/>
                <w:color w:val="000000"/>
              </w:rPr>
              <w:t>）其他：</w:t>
            </w:r>
            <w:r>
              <w:rPr>
                <w:color w:val="000000"/>
                <w:u w:val="single"/>
              </w:rPr>
              <w:t xml:space="preserve">        </w:t>
            </w:r>
            <w:r>
              <w:rPr>
                <w:rFonts w:hint="eastAsia"/>
                <w:color w:val="000000"/>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color w:val="000000"/>
              </w:rPr>
              <w:t>1</w:t>
            </w:r>
            <w:r>
              <w:rPr>
                <w:rFonts w:hint="eastAsia"/>
                <w:color w:val="000000"/>
              </w:rPr>
              <w:t>7</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开标会</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jc w:val="left"/>
              <w:rPr>
                <w:color w:val="000000"/>
                <w:szCs w:val="21"/>
              </w:rPr>
            </w:pPr>
            <w:r>
              <w:rPr>
                <w:rFonts w:hint="eastAsia"/>
                <w:color w:val="000000"/>
                <w:szCs w:val="21"/>
              </w:rPr>
              <w:t>开标时间</w:t>
            </w:r>
            <w:r>
              <w:rPr>
                <w:color w:val="000000"/>
                <w:szCs w:val="21"/>
              </w:rPr>
              <w:t>:</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r>
              <w:rPr>
                <w:color w:val="000000"/>
                <w:szCs w:val="21"/>
                <w:u w:val="single"/>
              </w:rPr>
              <w:t xml:space="preserve">    </w:t>
            </w:r>
            <w:r>
              <w:rPr>
                <w:rFonts w:hint="eastAsia"/>
                <w:color w:val="000000"/>
                <w:szCs w:val="21"/>
              </w:rPr>
              <w:t>时</w:t>
            </w:r>
            <w:r>
              <w:rPr>
                <w:color w:val="000000"/>
                <w:szCs w:val="21"/>
                <w:u w:val="single"/>
              </w:rPr>
              <w:t xml:space="preserve">   </w:t>
            </w:r>
            <w:r>
              <w:rPr>
                <w:rFonts w:hint="eastAsia"/>
                <w:color w:val="000000"/>
                <w:szCs w:val="21"/>
              </w:rPr>
              <w:t>分</w:t>
            </w:r>
          </w:p>
          <w:p>
            <w:pPr>
              <w:spacing w:line="520" w:lineRule="exact"/>
              <w:rPr>
                <w:color w:val="000000"/>
                <w:szCs w:val="21"/>
              </w:rPr>
            </w:pPr>
            <w:r>
              <w:rPr>
                <w:rFonts w:hint="eastAsia"/>
                <w:color w:val="000000"/>
                <w:szCs w:val="21"/>
              </w:rPr>
              <w:t>地点：</w:t>
            </w:r>
            <w:r>
              <w:rPr>
                <w:color w:val="000000"/>
                <w:u w:val="single"/>
              </w:rPr>
              <w:t xml:space="preserve">        </w:t>
            </w:r>
            <w:r>
              <w:rPr>
                <w:rFonts w:hint="eastAsia"/>
                <w:color w:val="000000"/>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color w:val="000000"/>
              </w:rPr>
              <w:t>1</w:t>
            </w:r>
            <w:r>
              <w:rPr>
                <w:rFonts w:hint="eastAsia"/>
                <w:color w:val="000000"/>
              </w:rPr>
              <w:t>8</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评标定标方法</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rPr>
            </w:pPr>
            <w:r>
              <w:rPr>
                <w:rFonts w:hint="eastAsia"/>
                <w:color w:val="000000"/>
                <w:szCs w:val="21"/>
              </w:rPr>
              <w:t>评标方法：综合评分法</w:t>
            </w:r>
          </w:p>
          <w:p>
            <w:pPr>
              <w:spacing w:line="520" w:lineRule="exact"/>
              <w:rPr>
                <w:color w:val="000000"/>
                <w:szCs w:val="21"/>
              </w:rPr>
            </w:pPr>
            <w:r>
              <w:rPr>
                <w:rFonts w:hint="eastAsia"/>
                <w:color w:val="000000"/>
                <w:szCs w:val="21"/>
              </w:rPr>
              <w:t>定标方法：(1)________（项目）业主大会决定;或者（2）定标委员会抽签决定。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19</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ascii="宋体" w:hAnsi="宋体"/>
                <w:color w:val="000000"/>
                <w:szCs w:val="21"/>
              </w:rPr>
              <w:t>中标公示</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rPr>
            </w:pPr>
            <w:r>
              <w:rPr>
                <w:rFonts w:hint="eastAsia" w:ascii="宋体" w:hAnsi="宋体"/>
                <w:color w:val="000000"/>
                <w:szCs w:val="21"/>
              </w:rPr>
              <w:t>中标公示需同时公布项目经理及相关主要负责人信息。公示期不得少于3日，中标公示发布渠道应与招标公告发布渠道一致。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20</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签订合同</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numPr>
                <w:ilvl w:val="0"/>
                <w:numId w:val="1"/>
              </w:numPr>
              <w:spacing w:line="520" w:lineRule="exact"/>
              <w:rPr>
                <w:rFonts w:ascii="宋体" w:hAnsi="宋体"/>
                <w:color w:val="000000"/>
                <w:szCs w:val="21"/>
              </w:rPr>
            </w:pPr>
            <w:r>
              <w:rPr>
                <w:rFonts w:hint="eastAsia" w:ascii="宋体" w:hAnsi="宋体"/>
                <w:color w:val="000000"/>
                <w:szCs w:val="21"/>
              </w:rPr>
              <w:t>通过定标委员会抽签决定的，招标人和中标人应当自中标通知书发出之日起</w:t>
            </w:r>
            <w:r>
              <w:rPr>
                <w:color w:val="000000"/>
                <w:szCs w:val="21"/>
                <w:u w:val="single"/>
              </w:rPr>
              <w:t xml:space="preserve">         </w:t>
            </w:r>
            <w:r>
              <w:rPr>
                <w:rFonts w:hint="eastAsia"/>
                <w:color w:val="000000"/>
                <w:szCs w:val="21"/>
              </w:rPr>
              <w:t>日内</w:t>
            </w:r>
            <w:r>
              <w:rPr>
                <w:rFonts w:hint="eastAsia" w:ascii="宋体" w:hAnsi="宋体"/>
                <w:color w:val="000000"/>
                <w:szCs w:val="21"/>
              </w:rPr>
              <w:t>按照招标文件和中标人的投标文件订立书面合同。招标人和中标人不得再行订立背离合同实质性内容的其他协议。</w:t>
            </w:r>
          </w:p>
          <w:p>
            <w:pPr>
              <w:numPr>
                <w:ilvl w:val="0"/>
                <w:numId w:val="1"/>
              </w:numPr>
              <w:spacing w:line="520" w:lineRule="exact"/>
              <w:rPr>
                <w:rFonts w:ascii="宋体" w:hAnsi="宋体"/>
                <w:color w:val="000000"/>
                <w:szCs w:val="21"/>
              </w:rPr>
            </w:pPr>
            <w:r>
              <w:rPr>
                <w:rFonts w:hint="eastAsia" w:ascii="宋体" w:hAnsi="宋体"/>
                <w:color w:val="000000"/>
                <w:szCs w:val="21"/>
              </w:rPr>
              <w:t>通过业主大会决定的，招标人应当自业主大会结果公示期满后_______日内与通过业主大会表决的物业服务企业签订合同。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21</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知识产权</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u w:val="single"/>
              </w:rPr>
            </w:pPr>
            <w:r>
              <w:rPr>
                <w:rFonts w:ascii="宋体" w:hAnsi="宋体"/>
                <w:color w:val="00000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22</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解释权</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u w:val="single"/>
              </w:rPr>
            </w:pPr>
            <w:r>
              <w:rPr>
                <w:rFonts w:ascii="宋体" w:hAnsi="宋体"/>
                <w:color w:val="000000"/>
                <w:szCs w:val="21"/>
              </w:rPr>
              <w:t>按本款前述规定仍不能形成结论的，由招标人负责解释。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double" w:color="auto" w:sz="4" w:space="0"/>
              <w:right w:val="single" w:color="auto" w:sz="6" w:space="0"/>
            </w:tcBorders>
            <w:vAlign w:val="center"/>
          </w:tcPr>
          <w:p>
            <w:pPr>
              <w:spacing w:line="520" w:lineRule="exact"/>
              <w:jc w:val="center"/>
              <w:rPr>
                <w:color w:val="000000"/>
              </w:rPr>
            </w:pPr>
            <w:r>
              <w:rPr>
                <w:rFonts w:hint="eastAsia"/>
                <w:color w:val="000000"/>
              </w:rPr>
              <w:t>23</w:t>
            </w:r>
          </w:p>
        </w:tc>
        <w:tc>
          <w:tcPr>
            <w:tcW w:w="2156" w:type="dxa"/>
            <w:tcBorders>
              <w:top w:val="single" w:color="auto" w:sz="6" w:space="0"/>
              <w:left w:val="single" w:color="auto" w:sz="6" w:space="0"/>
              <w:bottom w:val="double" w:color="auto" w:sz="4" w:space="0"/>
              <w:right w:val="single" w:color="auto" w:sz="6" w:space="0"/>
            </w:tcBorders>
            <w:vAlign w:val="center"/>
          </w:tcPr>
          <w:p>
            <w:pPr>
              <w:spacing w:line="520" w:lineRule="exact"/>
              <w:jc w:val="center"/>
              <w:rPr>
                <w:color w:val="000000"/>
              </w:rPr>
            </w:pPr>
            <w:r>
              <w:rPr>
                <w:rFonts w:hint="eastAsia"/>
                <w:color w:val="000000"/>
              </w:rPr>
              <w:t>其他</w:t>
            </w:r>
          </w:p>
        </w:tc>
        <w:tc>
          <w:tcPr>
            <w:tcW w:w="6423" w:type="dxa"/>
            <w:gridSpan w:val="2"/>
            <w:tcBorders>
              <w:top w:val="single" w:color="auto" w:sz="6" w:space="0"/>
              <w:left w:val="single" w:color="auto" w:sz="6" w:space="0"/>
              <w:bottom w:val="double" w:color="auto" w:sz="4" w:space="0"/>
              <w:right w:val="double" w:color="auto" w:sz="4" w:space="0"/>
            </w:tcBorders>
            <w:vAlign w:val="center"/>
          </w:tcPr>
          <w:p>
            <w:pPr>
              <w:spacing w:line="520" w:lineRule="exact"/>
              <w:rPr>
                <w:color w:val="000000"/>
                <w:szCs w:val="21"/>
              </w:rPr>
            </w:pPr>
            <w:r>
              <w:rPr>
                <w:color w:val="000000"/>
                <w:u w:val="single"/>
              </w:rPr>
              <w:t xml:space="preserve">        </w:t>
            </w:r>
            <w:r>
              <w:rPr>
                <w:rFonts w:hint="eastAsia"/>
                <w:color w:val="000000"/>
                <w:u w:val="single"/>
              </w:rPr>
              <w:t xml:space="preserve">                                       </w:t>
            </w:r>
          </w:p>
        </w:tc>
      </w:tr>
    </w:tbl>
    <w:p>
      <w:pPr>
        <w:rPr>
          <w:color w:val="000000"/>
          <w:szCs w:val="21"/>
        </w:rPr>
      </w:pPr>
    </w:p>
    <w:p>
      <w:pPr>
        <w:pStyle w:val="28"/>
        <w:rPr>
          <w:rFonts w:ascii="仿宋_GB2312" w:hAnsi="仿宋_GB2312" w:eastAsia="仿宋_GB2312" w:cs="仿宋_GB2312"/>
          <w:color w:val="000000"/>
        </w:rPr>
        <w:sectPr>
          <w:footerReference r:id="rId5" w:type="default"/>
          <w:pgSz w:w="11906" w:h="16838"/>
          <w:pgMar w:top="1440" w:right="1800" w:bottom="1440" w:left="1800" w:header="851" w:footer="992" w:gutter="0"/>
          <w:cols w:space="720" w:num="1"/>
          <w:docGrid w:type="lines" w:linePitch="312" w:charSpace="0"/>
        </w:sectPr>
      </w:pPr>
      <w:bookmarkStart w:id="25" w:name="_Toc20153567"/>
      <w:bookmarkStart w:id="26" w:name="_Toc9318"/>
      <w:bookmarkStart w:id="27" w:name="_Toc13381"/>
      <w:bookmarkStart w:id="28" w:name="_Toc10211"/>
    </w:p>
    <w:p>
      <w:pPr>
        <w:pStyle w:val="28"/>
        <w:rPr>
          <w:rFonts w:ascii="仿宋_GB2312" w:hAnsi="仿宋_GB2312" w:eastAsia="仿宋_GB2312" w:cs="仿宋_GB2312"/>
          <w:color w:val="000000"/>
          <w:sz w:val="30"/>
          <w:szCs w:val="30"/>
        </w:rPr>
      </w:pPr>
      <w:r>
        <w:rPr>
          <w:rFonts w:hint="eastAsia" w:ascii="仿宋_GB2312" w:hAnsi="仿宋_GB2312" w:eastAsia="仿宋_GB2312" w:cs="仿宋_GB2312"/>
          <w:color w:val="000000"/>
        </w:rPr>
        <w:t>第三节 其他需要说明的事项</w:t>
      </w:r>
      <w:bookmarkEnd w:id="25"/>
      <w:bookmarkEnd w:id="26"/>
      <w:bookmarkEnd w:id="27"/>
      <w:bookmarkEnd w:id="28"/>
    </w:p>
    <w:p>
      <w:pPr>
        <w:spacing w:line="360" w:lineRule="auto"/>
        <w:ind w:firstLine="632" w:firstLineChars="300"/>
        <w:rPr>
          <w:b/>
          <w:bCs/>
          <w:color w:val="000000"/>
          <w:szCs w:val="21"/>
        </w:rPr>
      </w:pPr>
    </w:p>
    <w:p>
      <w:pPr>
        <w:spacing w:line="360" w:lineRule="auto"/>
        <w:rPr>
          <w:rFonts w:ascii="宋体" w:hAnsi="宋体" w:cs="宋体"/>
          <w:b/>
          <w:bCs/>
          <w:color w:val="000000"/>
          <w:sz w:val="24"/>
        </w:rPr>
      </w:pPr>
      <w:r>
        <w:rPr>
          <w:rFonts w:hint="eastAsia" w:ascii="宋体" w:hAnsi="宋体" w:cs="宋体"/>
          <w:b/>
          <w:bCs/>
          <w:color w:val="000000"/>
          <w:sz w:val="24"/>
        </w:rPr>
        <w:t>1.招标文件的澄清</w:t>
      </w:r>
    </w:p>
    <w:p>
      <w:pPr>
        <w:spacing w:line="360" w:lineRule="auto"/>
        <w:ind w:firstLine="462" w:firstLineChars="196"/>
        <w:rPr>
          <w:rFonts w:ascii="宋体" w:hAnsi="宋体" w:cs="宋体"/>
          <w:color w:val="000000"/>
          <w:spacing w:val="10"/>
          <w:sz w:val="24"/>
        </w:rPr>
      </w:pPr>
      <w:r>
        <w:rPr>
          <w:rFonts w:hint="eastAsia" w:ascii="宋体" w:hAnsi="宋体" w:cs="宋体"/>
          <w:color w:val="000000"/>
          <w:spacing w:val="-2"/>
          <w:sz w:val="24"/>
        </w:rPr>
        <w:t>投标人在收到招标文件后，若对招标文件有疑问，或者要求对招标文件进行澄清的，均应在</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年</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月</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日</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时</w:t>
      </w:r>
      <w:r>
        <w:rPr>
          <w:rFonts w:hint="eastAsia" w:ascii="宋体" w:hAnsi="宋体" w:cs="宋体"/>
          <w:color w:val="000000"/>
          <w:spacing w:val="10"/>
          <w:sz w:val="24"/>
        </w:rPr>
        <w:t>前向招标人提交书面资料。不论是招标人根据需要主动对招标文件进行必要的澄清或是根据投标人的要求对招标文件做出澄清，招标人都将在</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年</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月</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日</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时</w:t>
      </w:r>
      <w:r>
        <w:rPr>
          <w:rFonts w:hint="eastAsia" w:ascii="宋体" w:hAnsi="宋体" w:cs="宋体"/>
          <w:color w:val="000000"/>
          <w:spacing w:val="10"/>
          <w:sz w:val="24"/>
        </w:rPr>
        <w:t>之前以</w:t>
      </w:r>
      <w:r>
        <w:rPr>
          <w:rFonts w:hint="eastAsia" w:ascii="宋体" w:hAnsi="宋体" w:cs="宋体"/>
          <w:color w:val="000000"/>
          <w:spacing w:val="10"/>
          <w:sz w:val="24"/>
          <w:u w:val="single"/>
        </w:rPr>
        <w:t xml:space="preserve">  书面（或网上回复）形式  </w:t>
      </w:r>
      <w:r>
        <w:rPr>
          <w:rFonts w:hint="eastAsia" w:ascii="宋体" w:hAnsi="宋体" w:cs="宋体"/>
          <w:color w:val="000000"/>
          <w:spacing w:val="10"/>
          <w:sz w:val="24"/>
        </w:rPr>
        <w:t>答复或发送给所有投标人。澄清纪要作为招标文件的组成部分，对投标人起约束作用。</w:t>
      </w:r>
    </w:p>
    <w:p>
      <w:pPr>
        <w:spacing w:line="360" w:lineRule="auto"/>
        <w:rPr>
          <w:rFonts w:ascii="宋体" w:hAnsi="宋体" w:cs="宋体"/>
          <w:b/>
          <w:bCs/>
          <w:color w:val="000000"/>
          <w:sz w:val="24"/>
        </w:rPr>
      </w:pPr>
      <w:r>
        <w:rPr>
          <w:rFonts w:hint="eastAsia" w:ascii="宋体" w:hAnsi="宋体" w:cs="宋体"/>
          <w:b/>
          <w:bCs/>
          <w:color w:val="000000"/>
          <w:sz w:val="24"/>
        </w:rPr>
        <w:t>2.投标文件的编制及格式要求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(1)投标人提交的投标文件应按本招标文件对投标文件格式的顺序编排。本招标文件提供的投标文件格式可以按同样格式扩展。本招标文件未提供的投标文件格式由投标人自拟。</w:t>
      </w:r>
    </w:p>
    <w:p>
      <w:pPr>
        <w:numPr>
          <w:ilvl w:val="0"/>
          <w:numId w:val="0"/>
        </w:numPr>
        <w:spacing w:line="360" w:lineRule="auto"/>
        <w:ind w:firstLine="480" w:firstLineChars="200"/>
        <w:rPr>
          <w:rFonts w:ascii="宋体" w:hAnsi="宋体" w:cs="宋体"/>
          <w:color w:val="000000"/>
          <w:sz w:val="24"/>
        </w:rPr>
      </w:pPr>
      <w:r>
        <w:rPr>
          <w:rFonts w:hint="eastAsia" w:ascii="宋体" w:hAnsi="宋体" w:cs="宋体"/>
          <w:color w:val="000000"/>
          <w:sz w:val="24"/>
        </w:rPr>
        <w:t>(2)投标人应将投标文件资料合订为一本纸质投标文件，并准备</w:t>
      </w:r>
      <w:r>
        <w:rPr>
          <w:rFonts w:hint="eastAsia" w:ascii="宋体" w:hAnsi="宋体" w:cs="宋体"/>
          <w:b/>
          <w:color w:val="000000"/>
          <w:sz w:val="24"/>
          <w:u w:val="single"/>
        </w:rPr>
        <w:t xml:space="preserve">    </w:t>
      </w:r>
      <w:r>
        <w:rPr>
          <w:rFonts w:hint="eastAsia" w:ascii="宋体" w:hAnsi="宋体" w:cs="宋体"/>
          <w:b/>
          <w:color w:val="000000"/>
          <w:sz w:val="24"/>
        </w:rPr>
        <w:t>份</w:t>
      </w:r>
      <w:r>
        <w:rPr>
          <w:rFonts w:hint="eastAsia" w:ascii="宋体" w:hAnsi="宋体" w:cs="宋体"/>
          <w:color w:val="000000"/>
          <w:sz w:val="24"/>
        </w:rPr>
        <w:t>正本和</w:t>
      </w:r>
      <w:r>
        <w:rPr>
          <w:rFonts w:hint="eastAsia" w:ascii="宋体" w:hAnsi="宋体" w:cs="宋体"/>
          <w:b/>
          <w:color w:val="000000"/>
          <w:sz w:val="24"/>
          <w:u w:val="single"/>
        </w:rPr>
        <w:t xml:space="preserve">    </w:t>
      </w:r>
      <w:r>
        <w:rPr>
          <w:rFonts w:hint="eastAsia" w:ascii="宋体" w:hAnsi="宋体" w:cs="宋体"/>
          <w:b/>
          <w:color w:val="000000"/>
          <w:sz w:val="24"/>
        </w:rPr>
        <w:t>份</w:t>
      </w:r>
      <w:r>
        <w:rPr>
          <w:rFonts w:hint="eastAsia" w:ascii="宋体" w:hAnsi="宋体" w:cs="宋体"/>
          <w:color w:val="000000"/>
          <w:sz w:val="24"/>
        </w:rPr>
        <w:t>副本纸质投标文件，在每一份投标文件上要明确注明“正本”或“副本”字样，一旦正本和副本有差异，以正本为准。</w:t>
      </w:r>
    </w:p>
    <w:p>
      <w:pPr>
        <w:spacing w:line="360" w:lineRule="auto"/>
        <w:ind w:firstLine="470" w:firstLineChars="196"/>
        <w:rPr>
          <w:rFonts w:ascii="宋体" w:hAnsi="宋体" w:cs="宋体"/>
          <w:b/>
          <w:bCs/>
          <w:color w:val="000000"/>
          <w:sz w:val="24"/>
        </w:rPr>
      </w:pPr>
      <w:r>
        <w:rPr>
          <w:rFonts w:hint="eastAsia" w:ascii="宋体" w:hAnsi="宋体" w:cs="宋体"/>
          <w:color w:val="000000"/>
          <w:sz w:val="24"/>
        </w:rPr>
        <w:t>(3)投标文件正本和副本须打印并由经正式授权的投标人代表签字。</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(4)投标书应加盖投标单位和单位法定代表人或法定代表人委托人印章。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(5)其他要求。</w:t>
      </w:r>
    </w:p>
    <w:p>
      <w:pPr>
        <w:spacing w:line="360" w:lineRule="auto"/>
        <w:rPr>
          <w:rFonts w:ascii="宋体" w:hAnsi="宋体" w:cs="宋体"/>
          <w:b/>
          <w:bCs/>
          <w:color w:val="000000"/>
          <w:sz w:val="24"/>
        </w:rPr>
      </w:pPr>
      <w:r>
        <w:rPr>
          <w:rFonts w:hint="eastAsia" w:ascii="宋体" w:hAnsi="宋体" w:cs="宋体"/>
          <w:b/>
          <w:bCs/>
          <w:color w:val="000000"/>
          <w:sz w:val="24"/>
        </w:rPr>
        <w:t>3.投标担保</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(1)投标担保的形式：</w:t>
      </w:r>
    </w:p>
    <w:p>
      <w:pPr>
        <w:spacing w:line="360" w:lineRule="auto"/>
        <w:ind w:firstLine="480" w:firstLineChars="200"/>
        <w:rPr>
          <w:rFonts w:ascii="宋体" w:hAnsi="宋体" w:cs="宋体"/>
          <w:b/>
          <w:color w:val="000000"/>
          <w:sz w:val="24"/>
          <w:u w:val="single"/>
        </w:rPr>
      </w:pPr>
      <w:r>
        <w:rPr>
          <w:rFonts w:hint="eastAsia" w:ascii="宋体" w:hAnsi="宋体" w:cs="宋体"/>
          <w:color w:val="000000"/>
          <w:sz w:val="24"/>
        </w:rPr>
        <w:t>投标人应按“投标须知前附表”的规定提交投标担保。投标担保是投标文件的组成部分，如没有提交投标担保，其投标将会被拒绝。</w:t>
      </w:r>
    </w:p>
    <w:p>
      <w:pPr>
        <w:spacing w:line="360" w:lineRule="auto"/>
        <w:ind w:firstLine="470" w:firstLineChars="196"/>
        <w:rPr>
          <w:rFonts w:ascii="宋体" w:hAnsi="宋体" w:cs="宋体"/>
          <w:color w:val="000000"/>
          <w:sz w:val="24"/>
        </w:rPr>
      </w:pPr>
      <w:r>
        <w:rPr>
          <w:rFonts w:hint="eastAsia" w:ascii="宋体" w:hAnsi="宋体" w:cs="宋体"/>
          <w:color w:val="000000"/>
          <w:sz w:val="24"/>
        </w:rPr>
        <w:t>(2)如下列任何情形发生时，投标保证金将被没收：</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1）投标人在招标文件中规定的投标有效期内撤回其投标；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2）中标人在规定期限内未能根据本项须知规定签订合同；</w:t>
      </w:r>
    </w:p>
    <w:p>
      <w:pPr>
        <w:spacing w:line="360" w:lineRule="auto"/>
        <w:ind w:firstLine="470" w:firstLineChars="196"/>
        <w:rPr>
          <w:rFonts w:ascii="宋体" w:hAnsi="宋体" w:cs="宋体"/>
          <w:color w:val="000000"/>
          <w:sz w:val="24"/>
        </w:rPr>
      </w:pPr>
      <w:r>
        <w:rPr>
          <w:rFonts w:hint="eastAsia" w:ascii="宋体" w:hAnsi="宋体" w:cs="宋体"/>
          <w:color w:val="000000"/>
          <w:sz w:val="24"/>
        </w:rPr>
        <w:t>3）投标人提供虚假投标文件或虚假补充文件；</w:t>
      </w:r>
    </w:p>
    <w:p>
      <w:pPr>
        <w:spacing w:line="360" w:lineRule="auto"/>
        <w:ind w:firstLine="470" w:firstLineChars="196"/>
        <w:rPr>
          <w:rFonts w:ascii="宋体" w:hAnsi="宋体" w:cs="宋体"/>
          <w:color w:val="000000"/>
          <w:sz w:val="24"/>
        </w:rPr>
      </w:pPr>
      <w:r>
        <w:rPr>
          <w:rFonts w:hint="eastAsia" w:ascii="宋体" w:hAnsi="宋体" w:cs="宋体"/>
          <w:color w:val="000000"/>
          <w:sz w:val="24"/>
        </w:rPr>
        <w:t>4）招标文件或法律法规规定的其他情形。</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(3)未中标的投标人的投标担保将按照本须知第15条招标人规定的投标有效期或经投标人同意的延长的投标有效期期满后7天内予以退还(不计利息)。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(4)出现下列情形之一时，招标人应当在7天内退还投标人的投标担保：</w:t>
      </w:r>
    </w:p>
    <w:p>
      <w:pPr>
        <w:spacing w:line="360" w:lineRule="auto"/>
        <w:ind w:firstLine="616" w:firstLineChars="257"/>
        <w:rPr>
          <w:rFonts w:ascii="宋体" w:hAnsi="宋体" w:cs="宋体"/>
          <w:color w:val="000000"/>
          <w:sz w:val="24"/>
        </w:rPr>
      </w:pPr>
      <w:r>
        <w:rPr>
          <w:rFonts w:hint="eastAsia" w:ascii="宋体" w:hAnsi="宋体" w:cs="宋体"/>
          <w:color w:val="000000"/>
          <w:sz w:val="24"/>
        </w:rPr>
        <w:t>1）中标通知书发出，中标人签订了物业服务合同；</w:t>
      </w:r>
    </w:p>
    <w:p>
      <w:pPr>
        <w:spacing w:line="360" w:lineRule="auto"/>
        <w:ind w:firstLine="616" w:firstLineChars="257"/>
        <w:rPr>
          <w:rFonts w:ascii="宋体" w:hAnsi="宋体" w:cs="宋体"/>
          <w:color w:val="000000"/>
          <w:sz w:val="24"/>
        </w:rPr>
      </w:pPr>
      <w:r>
        <w:rPr>
          <w:rFonts w:hint="eastAsia" w:ascii="宋体" w:hAnsi="宋体" w:cs="宋体"/>
          <w:color w:val="000000"/>
          <w:sz w:val="24"/>
        </w:rPr>
        <w:t>2）招标过程中招标活动因正当理由被招标人宣布中止；</w:t>
      </w:r>
    </w:p>
    <w:p>
      <w:pPr>
        <w:spacing w:line="360" w:lineRule="auto"/>
        <w:ind w:firstLine="616" w:firstLineChars="257"/>
        <w:rPr>
          <w:rFonts w:ascii="宋体" w:hAnsi="宋体" w:cs="宋体"/>
          <w:color w:val="000000"/>
          <w:sz w:val="24"/>
        </w:rPr>
      </w:pPr>
      <w:r>
        <w:rPr>
          <w:rFonts w:hint="eastAsia" w:ascii="宋体" w:hAnsi="宋体" w:cs="宋体"/>
          <w:color w:val="000000"/>
          <w:sz w:val="24"/>
        </w:rPr>
        <w:t>3）招标失败需重新组织招标；</w:t>
      </w:r>
    </w:p>
    <w:p>
      <w:pPr>
        <w:spacing w:line="360" w:lineRule="auto"/>
        <w:ind w:firstLine="616" w:firstLineChars="257"/>
        <w:rPr>
          <w:rFonts w:ascii="宋体" w:hAnsi="宋体" w:cs="宋体"/>
          <w:color w:val="000000"/>
          <w:sz w:val="24"/>
        </w:rPr>
      </w:pPr>
      <w:r>
        <w:rPr>
          <w:rFonts w:hint="eastAsia" w:ascii="宋体" w:hAnsi="宋体" w:cs="宋体"/>
          <w:color w:val="000000"/>
          <w:sz w:val="24"/>
        </w:rPr>
        <w:t>4）投标有效期满而投标人不同意作出延长。</w:t>
      </w:r>
    </w:p>
    <w:p>
      <w:pPr>
        <w:spacing w:line="360" w:lineRule="auto"/>
        <w:ind w:firstLine="470" w:firstLineChars="196"/>
        <w:jc w:val="center"/>
        <w:rPr>
          <w:rFonts w:ascii="宋体" w:hAnsi="宋体" w:cs="宋体"/>
          <w:color w:val="000000"/>
          <w:sz w:val="24"/>
        </w:rPr>
      </w:pPr>
      <w:r>
        <w:rPr>
          <w:rFonts w:hint="eastAsia" w:ascii="宋体" w:hAnsi="宋体" w:cs="宋体"/>
          <w:color w:val="000000"/>
          <w:sz w:val="24"/>
        </w:rPr>
        <w:t>(5)在特殊的情况下，招标人在原定的投标有效期满之前，招标人可以根据需要以书面形式向投标人提出延长投标有效期的要求，对此要求投标人须以书面形式予以答复，投标人可以拒绝招标人此项要求，而不被没收投标保证金。同意延长投标有效期的投标人不能要求也不允许修改其投标文件，但需要相应的延长投标担保的有效期，在延长的投标有效期内本须知第16条关于投标保证金的退</w:t>
      </w:r>
    </w:p>
    <w:p>
      <w:pPr>
        <w:spacing w:line="360" w:lineRule="auto"/>
        <w:rPr>
          <w:rFonts w:ascii="宋体" w:hAnsi="宋体" w:cs="宋体"/>
          <w:color w:val="000000"/>
          <w:sz w:val="24"/>
        </w:rPr>
      </w:pPr>
      <w:r>
        <w:rPr>
          <w:rFonts w:hint="eastAsia" w:ascii="宋体" w:hAnsi="宋体" w:cs="宋体"/>
          <w:color w:val="000000"/>
          <w:sz w:val="24"/>
        </w:rPr>
        <w:t>还与没收的规定仍然适用；</w:t>
      </w:r>
      <w:bookmarkStart w:id="29" w:name="_Toc3046"/>
      <w:bookmarkStart w:id="30" w:name="_Toc13809"/>
      <w:bookmarkStart w:id="31" w:name="_Toc19417"/>
    </w:p>
    <w:p>
      <w:pPr>
        <w:pStyle w:val="28"/>
        <w:rPr>
          <w:rFonts w:ascii="仿宋_GB2312" w:hAnsi="仿宋_GB2312" w:eastAsia="仿宋_GB2312" w:cs="仿宋_GB2312"/>
          <w:color w:val="000000"/>
        </w:rPr>
        <w:sectPr>
          <w:pgSz w:w="11906" w:h="16838"/>
          <w:pgMar w:top="1440" w:right="1800" w:bottom="1440" w:left="1800" w:header="851" w:footer="992" w:gutter="0"/>
          <w:cols w:space="720" w:num="1"/>
          <w:docGrid w:type="lines" w:linePitch="312" w:charSpace="0"/>
        </w:sectPr>
      </w:pPr>
      <w:bookmarkStart w:id="32" w:name="_Toc20153568"/>
    </w:p>
    <w:p>
      <w:pPr>
        <w:pStyle w:val="28"/>
        <w:rPr>
          <w:rFonts w:ascii="仿宋_GB2312" w:hAnsi="仿宋_GB2312" w:eastAsia="仿宋_GB2312" w:cs="仿宋_GB2312"/>
          <w:color w:val="000000"/>
        </w:rPr>
      </w:pPr>
      <w:r>
        <w:rPr>
          <w:rFonts w:hint="eastAsia" w:ascii="仿宋_GB2312" w:hAnsi="仿宋_GB2312" w:eastAsia="仿宋_GB2312" w:cs="仿宋_GB2312"/>
          <w:color w:val="000000"/>
        </w:rPr>
        <w:t>第四节 评定程序及评定方法</w:t>
      </w:r>
      <w:bookmarkEnd w:id="29"/>
      <w:bookmarkEnd w:id="30"/>
      <w:bookmarkEnd w:id="31"/>
      <w:bookmarkEnd w:id="32"/>
    </w:p>
    <w:p>
      <w:pPr>
        <w:spacing w:line="360" w:lineRule="auto"/>
        <w:rPr>
          <w:rFonts w:ascii="宋体" w:hAnsi="宋体" w:cs="宋体"/>
          <w:b/>
          <w:bCs/>
          <w:color w:val="000000"/>
          <w:sz w:val="24"/>
        </w:rPr>
      </w:pPr>
      <w:r>
        <w:rPr>
          <w:rFonts w:hint="eastAsia" w:ascii="宋体" w:hAnsi="宋体" w:cs="宋体"/>
          <w:b/>
          <w:bCs/>
          <w:color w:val="000000"/>
          <w:sz w:val="24"/>
        </w:rPr>
        <w:t>一、评标委员会的组建</w:t>
      </w:r>
    </w:p>
    <w:p>
      <w:pPr>
        <w:spacing w:line="360" w:lineRule="auto"/>
        <w:rPr>
          <w:rFonts w:ascii="宋体" w:hAnsi="宋体" w:cs="宋体"/>
          <w:b/>
          <w:bCs/>
          <w:color w:val="000000"/>
          <w:sz w:val="24"/>
        </w:rPr>
      </w:pPr>
      <w:bookmarkStart w:id="33" w:name="_Hlk21444777"/>
      <w:r>
        <w:rPr>
          <w:rFonts w:ascii="宋体" w:hAnsi="宋体" w:cs="宋体"/>
          <w:b/>
          <w:bCs/>
          <w:color w:val="000000"/>
          <w:sz w:val="24"/>
        </w:rPr>
        <w:t>1</w:t>
      </w:r>
      <w:r>
        <w:rPr>
          <w:rFonts w:hint="eastAsia" w:ascii="宋体" w:hAnsi="宋体" w:cs="宋体"/>
          <w:b/>
          <w:bCs/>
          <w:color w:val="000000"/>
          <w:sz w:val="24"/>
        </w:rPr>
        <w:t>.评标委员会的组建</w:t>
      </w:r>
      <w:bookmarkEnd w:id="33"/>
    </w:p>
    <w:p>
      <w:pPr>
        <w:spacing w:line="360" w:lineRule="auto"/>
        <w:ind w:firstLine="470" w:firstLineChars="196"/>
        <w:rPr>
          <w:rFonts w:ascii="宋体" w:hAnsi="宋体" w:cs="宋体"/>
          <w:color w:val="000000"/>
          <w:sz w:val="24"/>
        </w:rPr>
      </w:pPr>
      <w:r>
        <w:rPr>
          <w:rFonts w:hint="eastAsia" w:ascii="宋体" w:hAnsi="宋体" w:cs="宋体"/>
          <w:color w:val="000000"/>
          <w:sz w:val="24"/>
        </w:rPr>
        <w:t>评标由招标人依法组建的评标委员会负责。评标委员会</w:t>
      </w:r>
      <w:r>
        <w:rPr>
          <w:rFonts w:hint="eastAsia" w:ascii="宋体" w:hAnsi="宋体" w:cs="宋体"/>
          <w:color w:val="000000"/>
          <w:sz w:val="24"/>
          <w:lang w:eastAsia="zh-CN"/>
        </w:rPr>
        <w:t>由</w:t>
      </w:r>
      <w:r>
        <w:rPr>
          <w:rFonts w:hint="eastAsia" w:ascii="宋体" w:hAnsi="宋体" w:cs="宋体"/>
          <w:color w:val="000000"/>
          <w:sz w:val="24"/>
        </w:rPr>
        <w:t>物业管理方面的专家组成，成员为5人。</w:t>
      </w:r>
    </w:p>
    <w:p>
      <w:pPr>
        <w:spacing w:line="360" w:lineRule="auto"/>
        <w:ind w:firstLine="470" w:firstLineChars="196"/>
        <w:rPr>
          <w:rFonts w:ascii="宋体" w:hAnsi="宋体" w:cs="宋体"/>
          <w:color w:val="000000"/>
          <w:sz w:val="24"/>
        </w:rPr>
      </w:pPr>
      <w:r>
        <w:rPr>
          <w:rFonts w:ascii="宋体" w:hAnsi="宋体" w:cs="宋体"/>
          <w:color w:val="000000"/>
          <w:sz w:val="24"/>
        </w:rPr>
        <w:t>1.1</w:t>
      </w:r>
      <w:r>
        <w:rPr>
          <w:rFonts w:hint="eastAsia" w:ascii="宋体" w:hAnsi="宋体" w:cs="宋体"/>
          <w:color w:val="000000"/>
          <w:sz w:val="24"/>
        </w:rPr>
        <w:t>评标委员会的专家成员，从住房和建设部门建立的专家库中随机抽取的方式确定。与本招标项目投标人有利害关系的人不得进入评标委员会，已进入的应当及时更换。</w:t>
      </w:r>
    </w:p>
    <w:p>
      <w:pPr>
        <w:spacing w:line="360" w:lineRule="auto"/>
        <w:ind w:firstLine="470" w:firstLineChars="196"/>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评标委员会的职责：评标委员会应根据招标文件规定的评标方法和标准，对投标文件进行系统地评审。评标委员会可以向招标人推荐中标候选人。</w:t>
      </w:r>
    </w:p>
    <w:p>
      <w:pPr>
        <w:spacing w:line="360" w:lineRule="auto"/>
        <w:ind w:firstLine="470" w:firstLineChars="196"/>
        <w:rPr>
          <w:rFonts w:ascii="宋体" w:hAnsi="宋体" w:cs="宋体"/>
          <w:color w:val="000000"/>
          <w:sz w:val="24"/>
        </w:rPr>
      </w:pPr>
      <w:r>
        <w:rPr>
          <w:rFonts w:ascii="宋体" w:hAnsi="宋体" w:cs="宋体"/>
          <w:color w:val="000000"/>
          <w:sz w:val="24"/>
        </w:rPr>
        <w:t>1.3</w:t>
      </w:r>
      <w:r>
        <w:rPr>
          <w:rFonts w:hint="eastAsia" w:ascii="宋体" w:hAnsi="宋体" w:cs="宋体"/>
          <w:color w:val="000000"/>
          <w:sz w:val="24"/>
        </w:rPr>
        <w:t>评标定标应当遵循</w:t>
      </w:r>
      <w:r>
        <w:rPr>
          <w:rFonts w:hint="eastAsia" w:ascii="宋体" w:hAnsi="宋体" w:cs="宋体"/>
          <w:color w:val="000000"/>
          <w:sz w:val="24"/>
          <w:u w:val="single"/>
        </w:rPr>
        <w:t>公平、公正、科学、择优</w:t>
      </w:r>
      <w:r>
        <w:rPr>
          <w:rFonts w:hint="eastAsia" w:ascii="宋体" w:hAnsi="宋体" w:cs="宋体"/>
          <w:color w:val="000000"/>
          <w:sz w:val="24"/>
        </w:rPr>
        <w:t>的原则。评标委员会的评审应实行少数服从多数的原则，经评标委员会成员记名表决半数以上通过的评标结果有效。</w:t>
      </w:r>
    </w:p>
    <w:p>
      <w:pPr>
        <w:spacing w:line="360" w:lineRule="auto"/>
        <w:ind w:firstLine="470" w:firstLineChars="196"/>
        <w:rPr>
          <w:rFonts w:ascii="宋体" w:hAnsi="宋体" w:cs="宋体"/>
          <w:color w:val="000000"/>
          <w:sz w:val="24"/>
        </w:rPr>
      </w:pPr>
      <w:r>
        <w:rPr>
          <w:rFonts w:ascii="宋体" w:hAnsi="宋体" w:cs="宋体"/>
          <w:color w:val="000000"/>
          <w:sz w:val="24"/>
        </w:rPr>
        <w:t>1.4</w:t>
      </w:r>
      <w:r>
        <w:rPr>
          <w:rFonts w:hint="eastAsia" w:ascii="宋体" w:hAnsi="宋体" w:cs="宋体"/>
          <w:color w:val="000000"/>
          <w:sz w:val="24"/>
        </w:rPr>
        <w:t>招标人在招标文件中规定的其他要求。</w:t>
      </w:r>
    </w:p>
    <w:p>
      <w:pPr>
        <w:spacing w:line="360" w:lineRule="auto"/>
        <w:rPr>
          <w:rFonts w:ascii="宋体" w:hAnsi="宋体" w:cs="宋体"/>
          <w:b/>
          <w:bCs/>
          <w:color w:val="000000"/>
          <w:sz w:val="24"/>
        </w:rPr>
      </w:pPr>
      <w:r>
        <w:rPr>
          <w:rFonts w:hint="eastAsia" w:ascii="宋体" w:hAnsi="宋体" w:cs="宋体"/>
          <w:b/>
          <w:bCs/>
          <w:color w:val="000000"/>
          <w:sz w:val="24"/>
        </w:rPr>
        <w:t>2.向评标委员会提供的资料</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1公开发布的招标文件，包括招标文件的补充、修改或澄清文件及图纸、答疑纪要等；</w:t>
      </w:r>
    </w:p>
    <w:p>
      <w:pPr>
        <w:spacing w:line="360" w:lineRule="auto"/>
        <w:ind w:firstLine="470" w:firstLineChars="196"/>
        <w:rPr>
          <w:rFonts w:ascii="宋体" w:hAnsi="宋体" w:cs="宋体"/>
          <w:color w:val="000000"/>
          <w:sz w:val="24"/>
        </w:rPr>
      </w:pPr>
      <w:r>
        <w:rPr>
          <w:rFonts w:ascii="宋体" w:hAnsi="宋体" w:cs="宋体"/>
          <w:color w:val="000000"/>
          <w:sz w:val="24"/>
        </w:rPr>
        <w:t>2.2</w:t>
      </w:r>
      <w:r>
        <w:rPr>
          <w:rFonts w:hint="eastAsia" w:ascii="宋体" w:hAnsi="宋体" w:cs="宋体"/>
          <w:color w:val="000000"/>
          <w:sz w:val="24"/>
        </w:rPr>
        <w:t>项目概况和重点的书面介绍。包括项目规模、项目特点、技术要求、招标文件与示范文本有较大变动的条款等；</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3记录开标过程的《开标情况记录表》；</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4其他评标必需的资料。</w:t>
      </w:r>
    </w:p>
    <w:p>
      <w:pPr>
        <w:spacing w:line="360" w:lineRule="auto"/>
        <w:rPr>
          <w:rFonts w:ascii="宋体" w:hAnsi="宋体" w:cs="宋体"/>
          <w:b/>
          <w:bCs/>
          <w:color w:val="000000"/>
          <w:sz w:val="24"/>
        </w:rPr>
      </w:pPr>
      <w:r>
        <w:rPr>
          <w:rFonts w:hint="eastAsia" w:ascii="宋体" w:hAnsi="宋体" w:cs="宋体"/>
          <w:b/>
          <w:bCs/>
          <w:color w:val="000000"/>
          <w:sz w:val="24"/>
        </w:rPr>
        <w:t>3.评标委员会的职责</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1评标委员会由招标人依法组建，负责评标活动。</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2评标委员会推举一名评标组长，主持评标工作。</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3评标委员会根据招标文件规定的评标方法和标准，对投标文件进行评审和比较，招标文件中没有规定的方法和标准不得作为评标的依据。</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4评标过程中发现的重大问题，由评标委员会负责裁决。如果否决全部投标，应先征询招标人意见。</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5评标讨论过程中，评标委员会成员应当对投标文件发表专业、客观、公正的意见，意见不一致时应作进一步的讨论。评标委员会成员对任何一个投标文件的质疑，应当在讨论或现场评审时提出，表决结果确定后才提出的质疑，不可作为改变表决结果的依据。</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6如果投标人提交的投标文件超出招标文件要求的内容，评标委员会对超出招标文件要求的内容不予评审，只评审招标文件要求的内容。</w:t>
      </w:r>
    </w:p>
    <w:p>
      <w:pPr>
        <w:spacing w:line="360" w:lineRule="auto"/>
        <w:rPr>
          <w:rFonts w:ascii="宋体" w:hAnsi="宋体" w:cs="宋体"/>
          <w:b/>
          <w:bCs/>
          <w:color w:val="000000"/>
          <w:sz w:val="24"/>
        </w:rPr>
      </w:pPr>
      <w:r>
        <w:rPr>
          <w:rFonts w:hint="eastAsia" w:ascii="宋体" w:hAnsi="宋体" w:cs="宋体"/>
          <w:b/>
          <w:bCs/>
          <w:color w:val="000000"/>
          <w:sz w:val="24"/>
        </w:rPr>
        <w:t>二、评审程序</w:t>
      </w:r>
    </w:p>
    <w:p>
      <w:pPr>
        <w:spacing w:line="360" w:lineRule="auto"/>
        <w:rPr>
          <w:rFonts w:ascii="宋体" w:hAnsi="宋体" w:cs="宋体"/>
          <w:b/>
          <w:bCs/>
          <w:color w:val="000000"/>
          <w:sz w:val="24"/>
        </w:rPr>
      </w:pPr>
      <w:r>
        <w:rPr>
          <w:rFonts w:hint="eastAsia" w:ascii="宋体" w:hAnsi="宋体" w:cs="宋体"/>
          <w:b/>
          <w:bCs/>
          <w:color w:val="000000"/>
          <w:sz w:val="24"/>
        </w:rPr>
        <w:t>1.投标文件的评审</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1 推荐评标组长</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评标委员会成员推荐一名评标组长，由评标组长组织评标。</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.2 投标文件的初步评审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由评标委员会进行投标文件的初步评审。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投标文件有下列情形之一的，初步评审不通过，应作无效标处理：</w:t>
      </w:r>
    </w:p>
    <w:p>
      <w:pPr>
        <w:spacing w:line="360" w:lineRule="auto"/>
        <w:ind w:firstLine="470" w:firstLineChars="196"/>
        <w:rPr>
          <w:rFonts w:ascii="宋体" w:hAnsi="宋体" w:cs="宋体"/>
          <w:color w:val="000000"/>
          <w:sz w:val="24"/>
        </w:rPr>
      </w:pPr>
      <w:r>
        <w:rPr>
          <w:rFonts w:hint="eastAsia" w:ascii="宋体" w:hAnsi="宋体" w:cs="宋体"/>
          <w:color w:val="000000"/>
          <w:sz w:val="24"/>
        </w:rPr>
        <w:t>（1）物业服务费报价不符合招标文件要求的；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（2）同一项目出现两个及以上报价，且未声明哪个是有效的；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（3）投标保函（若招标人设有）的内容不符合招标文件要求的；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 xml:space="preserve">（4）投标函、物业管理投标承诺书未按招标文件规定填写的；          </w:t>
      </w:r>
    </w:p>
    <w:p>
      <w:pPr>
        <w:spacing w:line="360" w:lineRule="auto"/>
        <w:ind w:firstLine="470" w:firstLineChars="196"/>
        <w:rPr>
          <w:rFonts w:ascii="宋体" w:hAnsi="宋体" w:cs="宋体"/>
          <w:color w:val="000000"/>
          <w:sz w:val="24"/>
        </w:rPr>
      </w:pPr>
      <w:r>
        <w:rPr>
          <w:rFonts w:hint="eastAsia" w:ascii="宋体" w:hAnsi="宋体" w:cs="宋体"/>
          <w:color w:val="000000"/>
          <w:sz w:val="24"/>
        </w:rPr>
        <w:t>（5）投标人资格条件不符合国家有关规定和招标文件要求的；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（6）不同投标人的投标文件由同一台电脑或同一家投标单位的投标文件编制软件编制的；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（7）招标文件或者法律、法规规定的其他无效标情形。</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.3投标文件的详细评审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由评标委员会进行投标文件的详细评审。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投标文件有下列情形之一的，详细评审不通过，应作废标处理：</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（1）投标人以他人的名义投标或出现串通投标、弄虚作假情形的；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（2）投标文件不满足招标文件规定的任何一项实质性要求的；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（3）评标委员会根据招标文件的规定对投标文件的投标价格进行调整，投标人不接受调整方式的，或不接受调整后的价格的；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（4）投标人拒不按照评标委员会要求对投标文件进行澄清、说明、补正的；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（5）招标文件或者法律、法规规定的其他废标情形。</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.4 对不属于</w:t>
      </w:r>
      <w:r>
        <w:rPr>
          <w:rFonts w:ascii="宋体" w:hAnsi="宋体" w:cs="宋体"/>
          <w:color w:val="000000"/>
          <w:sz w:val="24"/>
        </w:rPr>
        <w:t>1</w:t>
      </w:r>
      <w:r>
        <w:rPr>
          <w:rFonts w:hint="eastAsia" w:ascii="宋体" w:hAnsi="宋体" w:cs="宋体"/>
          <w:color w:val="000000"/>
          <w:sz w:val="24"/>
        </w:rPr>
        <w:t>.2和</w:t>
      </w:r>
      <w:r>
        <w:rPr>
          <w:rFonts w:ascii="宋体" w:hAnsi="宋体" w:cs="宋体"/>
          <w:color w:val="000000"/>
          <w:sz w:val="24"/>
        </w:rPr>
        <w:t>1</w:t>
      </w:r>
      <w:r>
        <w:rPr>
          <w:rFonts w:hint="eastAsia" w:ascii="宋体" w:hAnsi="宋体" w:cs="宋体"/>
          <w:color w:val="000000"/>
          <w:sz w:val="24"/>
        </w:rPr>
        <w:t>.3两款所列的其他情形，除招标人在招标文件中规定或者法律法规另有规定外，不得作为无效标或废标的理由。</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.5投标文件的答辩</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评标委员会完成投标文件技术（资信）标及商务标的评审后，评标委员会根据投标人的投标书中涉及内容，现场设置有针对性的投标人答辩问题。答辩时间原则上不超过10分钟。</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.6 废标的处理</w:t>
      </w:r>
    </w:p>
    <w:p>
      <w:pPr>
        <w:spacing w:line="360" w:lineRule="auto"/>
        <w:ind w:firstLine="470" w:firstLineChars="196"/>
        <w:rPr>
          <w:rFonts w:ascii="宋体" w:hAnsi="宋体" w:cs="宋体"/>
          <w:color w:val="000000"/>
          <w:sz w:val="24"/>
        </w:rPr>
      </w:pPr>
      <w:r>
        <w:rPr>
          <w:rFonts w:hint="eastAsia" w:ascii="宋体" w:hAnsi="宋体" w:cs="宋体"/>
          <w:color w:val="000000"/>
          <w:sz w:val="24"/>
        </w:rPr>
        <w:t>（1）除“投标文件否决性条款摘要”中规定的情形外，评标委员会对投标文件应坚持谨慎确定无效标和废标的原则。</w:t>
      </w:r>
    </w:p>
    <w:p>
      <w:pPr>
        <w:spacing w:line="360" w:lineRule="auto"/>
        <w:ind w:firstLine="470" w:firstLineChars="196"/>
        <w:rPr>
          <w:rFonts w:ascii="宋体" w:hAnsi="宋体" w:cs="宋体"/>
          <w:color w:val="000000"/>
          <w:sz w:val="24"/>
        </w:rPr>
      </w:pPr>
      <w:r>
        <w:rPr>
          <w:rFonts w:hint="eastAsia" w:ascii="宋体" w:hAnsi="宋体" w:cs="宋体"/>
          <w:color w:val="000000"/>
          <w:sz w:val="24"/>
        </w:rPr>
        <w:t>（2） 评标委员会在作出任何一项无效标和废标决定之前，都应严格遵循以下程序：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1）评标委员会应要求当事投标人作相应的答辩。</w:t>
      </w:r>
    </w:p>
    <w:p>
      <w:pPr>
        <w:spacing w:line="360" w:lineRule="auto"/>
        <w:ind w:firstLine="470" w:firstLineChars="196"/>
        <w:rPr>
          <w:rFonts w:ascii="宋体" w:hAnsi="宋体" w:cs="宋体"/>
          <w:color w:val="000000"/>
          <w:sz w:val="24"/>
        </w:rPr>
      </w:pPr>
      <w:r>
        <w:rPr>
          <w:rFonts w:hint="eastAsia" w:ascii="宋体" w:hAnsi="宋体" w:cs="宋体"/>
          <w:color w:val="000000"/>
          <w:sz w:val="24"/>
        </w:rPr>
        <w:t>2）评标委员会将答辩记录送当事投标人委派答辩人签字确认。如果投标人拒绝在答辩记录上签字确认的，视为同意答辩记录。</w:t>
      </w:r>
    </w:p>
    <w:p>
      <w:pPr>
        <w:spacing w:line="360" w:lineRule="auto"/>
        <w:ind w:firstLine="470" w:firstLineChars="196"/>
        <w:rPr>
          <w:rFonts w:ascii="宋体" w:hAnsi="宋体" w:cs="宋体"/>
          <w:color w:val="000000"/>
          <w:sz w:val="24"/>
        </w:rPr>
      </w:pPr>
      <w:r>
        <w:rPr>
          <w:rFonts w:hint="eastAsia" w:ascii="宋体" w:hAnsi="宋体" w:cs="宋体"/>
          <w:color w:val="000000"/>
          <w:sz w:val="24"/>
        </w:rPr>
        <w:t>3）评标委员会应在充分讨论的基础上，通过记名的集体表决方式作出决定。</w:t>
      </w:r>
    </w:p>
    <w:p>
      <w:pPr>
        <w:spacing w:line="360" w:lineRule="auto"/>
        <w:ind w:firstLine="470" w:firstLineChars="196"/>
        <w:rPr>
          <w:rFonts w:ascii="宋体" w:hAnsi="宋体" w:cs="宋体"/>
          <w:color w:val="000000"/>
          <w:sz w:val="24"/>
        </w:rPr>
      </w:pPr>
      <w:r>
        <w:rPr>
          <w:rFonts w:hint="eastAsia" w:ascii="宋体" w:hAnsi="宋体" w:cs="宋体"/>
          <w:color w:val="000000"/>
          <w:sz w:val="24"/>
        </w:rPr>
        <w:t>4）如果评标委员会通过表决做出无效标或废标的决定，应在《评标报告》中详细记录做出无效标或废标的理由、依据和评标委员会表决的过程和结论。《评标报告》由评标委员会全体成员签字。若评标委员会成员对表决结论持有异议，可以书面方式阐述其不同意见和理由；如果该成员拒绝在《评标报告》上签字，又不陈述其不同意见和理由的，视为同意表决结论。</w:t>
      </w:r>
    </w:p>
    <w:p>
      <w:pPr>
        <w:spacing w:line="360" w:lineRule="auto"/>
        <w:ind w:firstLine="470" w:firstLineChars="196"/>
        <w:rPr>
          <w:rFonts w:ascii="宋体" w:hAnsi="宋体" w:cs="宋体"/>
          <w:color w:val="000000"/>
          <w:sz w:val="24"/>
        </w:rPr>
      </w:pPr>
      <w:r>
        <w:rPr>
          <w:rFonts w:hint="eastAsia" w:ascii="宋体" w:hAnsi="宋体" w:cs="宋体"/>
          <w:color w:val="000000"/>
          <w:sz w:val="24"/>
        </w:rPr>
        <w:t>5）评标委员会在否决所有投标文件前，应当向招标人核实有关情况，听取招标人意见。</w:t>
      </w:r>
    </w:p>
    <w:p>
      <w:pPr>
        <w:spacing w:line="360" w:lineRule="auto"/>
        <w:rPr>
          <w:rFonts w:ascii="宋体" w:hAnsi="宋体" w:cs="宋体"/>
          <w:b/>
          <w:bCs/>
          <w:color w:val="000000"/>
          <w:sz w:val="24"/>
        </w:rPr>
      </w:pPr>
      <w:r>
        <w:rPr>
          <w:rFonts w:ascii="宋体" w:hAnsi="宋体" w:cs="宋体"/>
          <w:b/>
          <w:bCs/>
          <w:color w:val="000000"/>
          <w:sz w:val="24"/>
        </w:rPr>
        <w:t>2</w:t>
      </w:r>
      <w:r>
        <w:rPr>
          <w:rFonts w:hint="eastAsia" w:ascii="宋体" w:hAnsi="宋体" w:cs="宋体"/>
          <w:b/>
          <w:bCs/>
          <w:color w:val="000000"/>
          <w:sz w:val="24"/>
        </w:rPr>
        <w:t>.澄清有关问题和对答辩人的要求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w:t>
      </w:r>
      <w:r>
        <w:rPr>
          <w:rFonts w:hint="eastAsia" w:ascii="宋体" w:hAnsi="宋体" w:cs="宋体"/>
          <w:color w:val="000000"/>
          <w:sz w:val="24"/>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受权的代表签字），并不得超出投标文件的范围或者改变投标文件的实质性的内容。</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投标人委派的答辩人应符合以下条件：</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.1拟进行投标答辩的，答辩人必须是投标人拟派往本招标项目的项目负责人、其法定代表人或者法定代表人委托代理人。</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.2答辩人须经招标人核验其身份。答辩人务必携带有效的身份证明材料。投标人拟委派答辩人非本节第</w:t>
      </w:r>
      <w:r>
        <w:rPr>
          <w:rFonts w:ascii="宋体" w:hAnsi="宋体" w:cs="宋体"/>
          <w:color w:val="000000"/>
          <w:sz w:val="24"/>
        </w:rPr>
        <w:t>2</w:t>
      </w:r>
      <w:r>
        <w:rPr>
          <w:rFonts w:hint="eastAsia" w:ascii="宋体" w:hAnsi="宋体" w:cs="宋体"/>
          <w:color w:val="000000"/>
          <w:sz w:val="24"/>
        </w:rPr>
        <w:t>.2.1条规定的人员不得进入答辩室。</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.3评标委员会要求投标人进行答辩，但投标人在规定时间内未派出答辩人的，评标委员会将根据招标文件规定作出不利于投标人的判定，且投标人不得因此提出任何异议。</w:t>
      </w:r>
    </w:p>
    <w:p>
      <w:pPr>
        <w:spacing w:line="360" w:lineRule="auto"/>
        <w:rPr>
          <w:rFonts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.错误的修正</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.1评标委员会将对确定为实质上响应招标文件要求的投标文件进行校核，看其是否有计算上、累计上或表达上的错误，修正错误的原则如下：</w:t>
      </w:r>
    </w:p>
    <w:p>
      <w:pPr>
        <w:spacing w:line="360" w:lineRule="auto"/>
        <w:ind w:firstLine="470" w:firstLineChars="196"/>
        <w:rPr>
          <w:rFonts w:ascii="宋体" w:hAnsi="宋体" w:cs="宋体"/>
          <w:color w:val="000000"/>
          <w:sz w:val="24"/>
        </w:rPr>
      </w:pPr>
      <w:r>
        <w:rPr>
          <w:rFonts w:hint="eastAsia" w:ascii="宋体" w:hAnsi="宋体" w:cs="宋体"/>
          <w:color w:val="000000"/>
          <w:sz w:val="24"/>
        </w:rPr>
        <w:t>(1)如果数字表示的金额和用文字表示的金额不一致时，应以文字表示的金额为准；</w:t>
      </w:r>
    </w:p>
    <w:p>
      <w:pPr>
        <w:spacing w:line="360" w:lineRule="auto"/>
        <w:ind w:firstLine="470" w:firstLineChars="196"/>
        <w:rPr>
          <w:rFonts w:ascii="宋体" w:hAnsi="宋体" w:cs="宋体"/>
          <w:color w:val="000000"/>
          <w:sz w:val="24"/>
        </w:rPr>
      </w:pPr>
      <w:r>
        <w:rPr>
          <w:rFonts w:hint="eastAsia" w:ascii="宋体" w:hAnsi="宋体" w:cs="宋体"/>
          <w:color w:val="000000"/>
          <w:sz w:val="24"/>
        </w:rPr>
        <w:t>(2)当综合单价与数量的乘积与合价不一致时，以综合单价为准，除非评标委员会认为综合单价有明显的小数点错误，此时应以标出的合价为准，并修改综合单价。</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.2按上述修正错误的原则及方法调整或修正投标文件的投标报价，评标委员会须取得投标人同意并书面签字确认后，调整后的投标报价对投标人起约束作用。如果投标人不接受修正后的报价，则其投标将被拒绝。</w:t>
      </w:r>
    </w:p>
    <w:p>
      <w:pPr>
        <w:spacing w:line="360" w:lineRule="auto"/>
        <w:ind w:firstLine="470" w:firstLineChars="196"/>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.3</w:t>
      </w:r>
      <w:r>
        <w:rPr>
          <w:rFonts w:hint="eastAsia" w:ascii="宋体" w:hAnsi="宋体" w:cs="宋体"/>
          <w:color w:val="000000"/>
          <w:sz w:val="24"/>
        </w:rPr>
        <w:t>按照本节3</w:t>
      </w:r>
      <w:r>
        <w:rPr>
          <w:rFonts w:ascii="宋体" w:hAnsi="宋体" w:cs="宋体"/>
          <w:color w:val="000000"/>
          <w:sz w:val="24"/>
        </w:rPr>
        <w:t>.1</w:t>
      </w:r>
      <w:r>
        <w:rPr>
          <w:rFonts w:hint="eastAsia" w:ascii="宋体" w:hAnsi="宋体" w:cs="宋体"/>
          <w:color w:val="000000"/>
          <w:sz w:val="24"/>
        </w:rPr>
        <w:t>条规定的调整方法确定的调整后价格超出招标控制价的，其投标将被拒绝。</w:t>
      </w:r>
    </w:p>
    <w:p>
      <w:pPr>
        <w:spacing w:line="360" w:lineRule="auto"/>
        <w:rPr>
          <w:rFonts w:ascii="宋体" w:hAnsi="宋体" w:cs="宋体"/>
          <w:b/>
          <w:bCs/>
          <w:color w:val="000000"/>
          <w:sz w:val="24"/>
        </w:rPr>
      </w:pPr>
      <w:r>
        <w:rPr>
          <w:rFonts w:ascii="宋体" w:hAnsi="宋体" w:cs="宋体"/>
          <w:b/>
          <w:bCs/>
          <w:color w:val="000000"/>
          <w:sz w:val="24"/>
        </w:rPr>
        <w:t>4</w:t>
      </w:r>
      <w:r>
        <w:rPr>
          <w:rFonts w:hint="eastAsia" w:ascii="宋体" w:hAnsi="宋体" w:cs="宋体"/>
          <w:b/>
          <w:bCs/>
          <w:color w:val="000000"/>
          <w:sz w:val="24"/>
        </w:rPr>
        <w:t>.投标文件的比较与评价</w:t>
      </w:r>
    </w:p>
    <w:p>
      <w:pPr>
        <w:spacing w:line="360" w:lineRule="auto"/>
        <w:ind w:firstLine="470" w:firstLineChars="196"/>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.1评标委员会将对实质性响应的投标文件进行评估和比较。</w:t>
      </w:r>
    </w:p>
    <w:p>
      <w:pPr>
        <w:spacing w:line="360" w:lineRule="auto"/>
        <w:ind w:firstLine="470" w:firstLineChars="196"/>
        <w:rPr>
          <w:rFonts w:ascii="宋体" w:hAnsi="宋体" w:cs="宋体"/>
          <w:color w:val="000000"/>
          <w:sz w:val="24"/>
          <w:u w:val="single"/>
        </w:rPr>
      </w:pPr>
      <w:r>
        <w:rPr>
          <w:rFonts w:ascii="宋体" w:hAnsi="宋体" w:cs="宋体"/>
          <w:color w:val="000000"/>
          <w:sz w:val="24"/>
        </w:rPr>
        <w:t>4</w:t>
      </w:r>
      <w:r>
        <w:rPr>
          <w:rFonts w:hint="eastAsia" w:ascii="宋体" w:hAnsi="宋体" w:cs="宋体"/>
          <w:color w:val="000000"/>
          <w:sz w:val="24"/>
        </w:rPr>
        <w:t>.2其他相关事项：</w:t>
      </w:r>
      <w:r>
        <w:rPr>
          <w:rFonts w:hint="eastAsia" w:ascii="宋体" w:hAnsi="宋体" w:cs="宋体"/>
          <w:color w:val="000000"/>
          <w:sz w:val="24"/>
          <w:u w:val="single"/>
        </w:rPr>
        <w:t xml:space="preserve">                                 。</w:t>
      </w:r>
    </w:p>
    <w:p>
      <w:pPr>
        <w:spacing w:line="360" w:lineRule="auto"/>
        <w:rPr>
          <w:rFonts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.评标报告</w:t>
      </w:r>
    </w:p>
    <w:p>
      <w:pPr>
        <w:spacing w:line="360" w:lineRule="auto"/>
        <w:ind w:firstLine="470" w:firstLineChars="196"/>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.1 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70" w:firstLineChars="196"/>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.2评标过程中，若评标委员会认为投标人均不满足招标要求的，可以不推荐中标候选人，建议招标人重新组织招标。</w:t>
      </w:r>
    </w:p>
    <w:p>
      <w:pPr>
        <w:spacing w:line="360" w:lineRule="auto"/>
        <w:rPr>
          <w:rFonts w:ascii="宋体" w:hAnsi="宋体" w:cs="宋体"/>
          <w:b/>
          <w:bCs/>
          <w:color w:val="000000"/>
          <w:sz w:val="24"/>
        </w:rPr>
      </w:pPr>
      <w:r>
        <w:rPr>
          <w:rFonts w:ascii="宋体" w:hAnsi="宋体" w:cs="宋体"/>
          <w:b/>
          <w:bCs/>
          <w:color w:val="000000"/>
          <w:sz w:val="24"/>
        </w:rPr>
        <w:t>6</w:t>
      </w:r>
      <w:r>
        <w:rPr>
          <w:rFonts w:hint="eastAsia" w:ascii="宋体" w:hAnsi="宋体" w:cs="宋体"/>
          <w:b/>
          <w:bCs/>
          <w:color w:val="000000"/>
          <w:sz w:val="24"/>
        </w:rPr>
        <w:t>.评标方法</w:t>
      </w:r>
    </w:p>
    <w:p>
      <w:pPr>
        <w:spacing w:line="360" w:lineRule="auto"/>
        <w:ind w:firstLine="470" w:firstLineChars="196"/>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.1评标方法：综合评标方法。</w:t>
      </w:r>
    </w:p>
    <w:p>
      <w:pPr>
        <w:spacing w:line="360" w:lineRule="auto"/>
        <w:ind w:firstLine="470" w:firstLineChars="196"/>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.2应当根据“投标须知前附表”规定的评标方法，对投标文件进行评审和比较。招标文件中没有规定的标准和方法不得作为评标的依据。</w:t>
      </w:r>
    </w:p>
    <w:p>
      <w:pPr>
        <w:spacing w:line="360" w:lineRule="auto"/>
        <w:ind w:firstLine="470" w:firstLineChars="196"/>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.3具体各评标方法规则附后。</w:t>
      </w:r>
    </w:p>
    <w:p>
      <w:pPr>
        <w:spacing w:line="360" w:lineRule="auto"/>
        <w:rPr>
          <w:rFonts w:ascii="宋体" w:hAnsi="宋体" w:cs="宋体"/>
          <w:b/>
          <w:bCs/>
          <w:color w:val="000000"/>
          <w:sz w:val="24"/>
        </w:rPr>
      </w:pPr>
      <w:r>
        <w:rPr>
          <w:rFonts w:ascii="宋体" w:hAnsi="宋体" w:cs="宋体"/>
          <w:b/>
          <w:bCs/>
          <w:color w:val="000000"/>
          <w:sz w:val="24"/>
        </w:rPr>
        <w:t>7</w:t>
      </w:r>
      <w:r>
        <w:rPr>
          <w:rFonts w:hint="eastAsia" w:ascii="宋体" w:hAnsi="宋体" w:cs="宋体"/>
          <w:b/>
          <w:bCs/>
          <w:color w:val="000000"/>
          <w:sz w:val="24"/>
        </w:rPr>
        <w:t>.评标过程的保密及其他规定</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.1开标后，直到与中标人签订合同为止，凡属于对投标文件的审查、澄清、评价和比较有关的资料以及中标候选人的推荐情况，与评标有关的其他任何情况均严格保密。</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.2在投标文件的评审和比较、中标候选人推荐以及授予合同的过程中，投标人不得有向招标人和评标委员会施加影响的任何行为。</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.3中标人确定后，招标人不对未中标人就评标过程以及未能中标原因作出任何解释。未中标人不得向评标委员会成员或其他有关人员索问评标过程的情况和材料。</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.4评标过程中，若评标委员依据招标文件的规定要求招标人重新招标，招标人不负担因招标失败给投标人造成的损失。</w:t>
      </w:r>
    </w:p>
    <w:p>
      <w:pPr>
        <w:spacing w:line="360" w:lineRule="auto"/>
        <w:rPr>
          <w:rFonts w:ascii="宋体" w:hAnsi="宋体" w:cs="宋体"/>
          <w:b/>
          <w:bCs/>
          <w:color w:val="000000"/>
          <w:sz w:val="24"/>
        </w:rPr>
      </w:pPr>
      <w:r>
        <w:rPr>
          <w:rFonts w:hint="eastAsia" w:ascii="宋体" w:hAnsi="宋体" w:cs="宋体"/>
          <w:b/>
          <w:bCs/>
          <w:color w:val="000000"/>
          <w:sz w:val="24"/>
        </w:rPr>
        <w:t>8.评标定标方法</w:t>
      </w:r>
    </w:p>
    <w:p>
      <w:pPr>
        <w:spacing w:line="360" w:lineRule="auto"/>
        <w:ind w:firstLine="472" w:firstLineChars="196"/>
        <w:rPr>
          <w:rFonts w:ascii="宋体" w:hAnsi="宋体" w:cs="宋体"/>
          <w:b/>
          <w:bCs/>
          <w:color w:val="000000"/>
          <w:sz w:val="24"/>
        </w:rPr>
      </w:pPr>
      <w:r>
        <w:rPr>
          <w:rFonts w:hint="eastAsia" w:ascii="宋体" w:hAnsi="宋体" w:cs="宋体"/>
          <w:b/>
          <w:bCs/>
          <w:color w:val="000000"/>
          <w:sz w:val="24"/>
        </w:rPr>
        <w:t>业主大会可以根据实际情况，授权定标委员会采用抽签的方式定标，也可以由业主大会直接表决的方法定标。</w:t>
      </w:r>
    </w:p>
    <w:p>
      <w:pPr>
        <w:spacing w:line="360" w:lineRule="auto"/>
        <w:ind w:firstLine="472" w:firstLineChars="196"/>
        <w:rPr>
          <w:rFonts w:ascii="宋体" w:hAnsi="宋体" w:cs="宋体"/>
          <w:b/>
          <w:bCs/>
          <w:color w:val="000000"/>
          <w:sz w:val="24"/>
        </w:rPr>
      </w:pPr>
      <w:r>
        <w:rPr>
          <w:rFonts w:hint="eastAsia" w:ascii="宋体" w:hAnsi="宋体" w:cs="宋体"/>
          <w:b/>
          <w:bCs/>
          <w:color w:val="000000"/>
          <w:sz w:val="24"/>
        </w:rPr>
        <w:t>第一种方法：业主大会授权定标委员会采用抽签定标的方式定标</w:t>
      </w:r>
    </w:p>
    <w:p>
      <w:pPr>
        <w:spacing w:line="360" w:lineRule="auto"/>
        <w:ind w:firstLine="470" w:firstLineChars="196"/>
        <w:rPr>
          <w:rFonts w:ascii="宋体" w:hAnsi="宋体" w:cs="宋体"/>
          <w:color w:val="000000"/>
          <w:sz w:val="24"/>
        </w:rPr>
      </w:pPr>
      <w:r>
        <w:rPr>
          <w:rFonts w:ascii="宋体" w:hAnsi="宋体" w:cs="宋体"/>
          <w:color w:val="000000"/>
          <w:sz w:val="24"/>
        </w:rPr>
        <w:t>8.1定标</w:t>
      </w:r>
      <w:r>
        <w:rPr>
          <w:rFonts w:hint="eastAsia" w:ascii="宋体" w:hAnsi="宋体" w:cs="宋体"/>
          <w:color w:val="000000"/>
          <w:sz w:val="24"/>
        </w:rPr>
        <w:t>基本</w:t>
      </w:r>
      <w:r>
        <w:rPr>
          <w:rFonts w:ascii="宋体" w:hAnsi="宋体" w:cs="宋体"/>
          <w:color w:val="000000"/>
          <w:sz w:val="24"/>
        </w:rPr>
        <w:t>程序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8.1.1确定中标候选人</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评标委员会在评标报告中向招标人推荐无排序的中标候选人。所有递交的投标文件不被评标委员会判定为废标或无效标的投标人均为中标候选人进入定标程序，评标委员会应当同时形成评标报告。</w:t>
      </w:r>
    </w:p>
    <w:p>
      <w:pPr>
        <w:spacing w:line="360" w:lineRule="auto"/>
        <w:ind w:firstLine="470" w:firstLineChars="196"/>
        <w:rPr>
          <w:rFonts w:ascii="宋体" w:hAnsi="宋体" w:cs="宋体"/>
          <w:color w:val="000000"/>
          <w:sz w:val="24"/>
        </w:rPr>
      </w:pPr>
      <w:r>
        <w:rPr>
          <w:rFonts w:hint="eastAsia" w:ascii="宋体" w:hAnsi="宋体" w:cs="宋体"/>
          <w:color w:val="000000"/>
          <w:sz w:val="24"/>
        </w:rPr>
        <w:t>招标人组建定标委员会，定标委员会成员对所有进入定标程序的投标人通过随机抽签方式确定一名中标人。</w:t>
      </w:r>
    </w:p>
    <w:p>
      <w:pPr>
        <w:spacing w:line="360" w:lineRule="auto"/>
        <w:ind w:firstLine="470" w:firstLineChars="196"/>
        <w:rPr>
          <w:rFonts w:ascii="宋体" w:hAnsi="宋体" w:cs="宋体"/>
          <w:color w:val="000000"/>
          <w:sz w:val="24"/>
        </w:rPr>
      </w:pPr>
      <w:r>
        <w:rPr>
          <w:rFonts w:hint="eastAsia" w:ascii="宋体" w:hAnsi="宋体" w:cs="宋体"/>
          <w:color w:val="000000"/>
          <w:sz w:val="24"/>
        </w:rPr>
        <w:t>中标价以该中标人的投标报价为准。</w:t>
      </w:r>
    </w:p>
    <w:p>
      <w:pPr>
        <w:spacing w:line="360" w:lineRule="auto"/>
        <w:ind w:firstLine="470" w:firstLineChars="196"/>
        <w:rPr>
          <w:rFonts w:ascii="宋体" w:hAnsi="宋体" w:cs="宋体"/>
          <w:color w:val="000000"/>
          <w:sz w:val="24"/>
        </w:rPr>
      </w:pPr>
      <w:r>
        <w:rPr>
          <w:rFonts w:hint="eastAsia" w:ascii="宋体" w:hAnsi="宋体" w:cs="宋体"/>
          <w:color w:val="000000"/>
          <w:sz w:val="24"/>
        </w:rPr>
        <w:t>8.1.2 组建定标委员会</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成员由业主委员会委员和候补委员以外的业主代表组成，由7名以上单数成员组成。定标委员会由招标人负责组建，经业主自主报名后，在定标当日，由招标人在报名人员名单中（报名人员数量须为定标委员会成员人数2倍以上）随机抽取确定。与投标人有利害关系的人员不得进入定标委员会。</w:t>
      </w:r>
    </w:p>
    <w:p>
      <w:pPr>
        <w:spacing w:line="360" w:lineRule="auto"/>
        <w:ind w:firstLine="470" w:firstLineChars="196"/>
        <w:rPr>
          <w:rFonts w:ascii="宋体" w:hAnsi="宋体" w:cs="宋体"/>
          <w:color w:val="000000"/>
          <w:sz w:val="24"/>
        </w:rPr>
      </w:pPr>
      <w:r>
        <w:rPr>
          <w:rFonts w:hint="eastAsia" w:ascii="宋体" w:hAnsi="宋体" w:cs="宋体"/>
          <w:color w:val="000000"/>
          <w:sz w:val="24"/>
        </w:rPr>
        <w:t>招标人应同时组建3人以上的监督小组，对定标全过程进行监督。</w:t>
      </w:r>
    </w:p>
    <w:p>
      <w:pPr>
        <w:spacing w:line="360" w:lineRule="auto"/>
        <w:ind w:firstLine="470" w:firstLineChars="196"/>
        <w:rPr>
          <w:rFonts w:ascii="宋体" w:hAnsi="宋体" w:cs="宋体"/>
          <w:color w:val="000000"/>
          <w:sz w:val="24"/>
        </w:rPr>
      </w:pPr>
      <w:r>
        <w:rPr>
          <w:rFonts w:hint="eastAsia" w:ascii="宋体" w:hAnsi="宋体" w:cs="宋体"/>
          <w:color w:val="000000"/>
          <w:sz w:val="24"/>
        </w:rPr>
        <w:t>8.1.3 定标委员会以票决的形式决定3名投标人进入抽签程序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定标委员会成员根据评标委员会的报告，对所有进入定标程序的投标人进行综合比较，在比较的基础上，以投票的方式决定3名投标人进入业主大会表决程序。按得票数多少排序。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8.1.4 抽签定标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定标委员会按以下原则对进入抽签程序的3名投标人进行抽签，抽中者即为项目中标人。</w:t>
      </w:r>
    </w:p>
    <w:p>
      <w:pPr>
        <w:spacing w:line="360" w:lineRule="auto"/>
        <w:ind w:firstLine="470" w:firstLineChars="196"/>
        <w:rPr>
          <w:rFonts w:ascii="宋体" w:hAnsi="宋体" w:cs="宋体"/>
          <w:color w:val="000000"/>
          <w:sz w:val="24"/>
        </w:rPr>
      </w:pPr>
      <w:r>
        <w:rPr>
          <w:rFonts w:hint="eastAsia" w:ascii="宋体" w:hAnsi="宋体" w:cs="宋体"/>
          <w:color w:val="000000"/>
          <w:sz w:val="24"/>
        </w:rPr>
        <w:t>抽签原则：</w:t>
      </w:r>
    </w:p>
    <w:p>
      <w:pPr>
        <w:spacing w:line="360" w:lineRule="auto"/>
        <w:ind w:firstLine="470" w:firstLineChars="196"/>
        <w:rPr>
          <w:rFonts w:ascii="宋体" w:hAnsi="宋体" w:cs="宋体"/>
          <w:color w:val="000000"/>
          <w:sz w:val="24"/>
        </w:rPr>
      </w:pPr>
      <w:r>
        <w:rPr>
          <w:rFonts w:hint="eastAsia" w:ascii="宋体" w:hAnsi="宋体" w:cs="宋体"/>
          <w:color w:val="000000"/>
          <w:sz w:val="24"/>
        </w:rPr>
        <w:t>□大号中标，按抽签号码从大到小进行排序，号码最大者中标；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□小号中标，按抽签号码从小到大进行排序，号码最小者中标。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抽签顺序：按照其提交投标文件的顺序。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8.1.5定标委员会应完成定标记录和定标报告。</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定标记录应包括定标会议的记录、定标委员会成员候选人名单、定标委员会成员名单、选票留底（含投票理由）。</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定标报告应包括定标委员会的产生过程、定标程序及定标结果等内容。</w:t>
      </w:r>
    </w:p>
    <w:p>
      <w:pPr>
        <w:ind w:firstLine="481" w:firstLineChars="200"/>
        <w:jc w:val="left"/>
        <w:rPr>
          <w:rFonts w:ascii="宋体" w:hAnsi="宋体" w:cs="宋体"/>
          <w:b/>
          <w:bCs/>
          <w:color w:val="000000"/>
          <w:sz w:val="24"/>
        </w:rPr>
      </w:pPr>
      <w:r>
        <w:rPr>
          <w:rFonts w:hint="eastAsia" w:ascii="宋体" w:hAnsi="宋体" w:cs="宋体"/>
          <w:b/>
          <w:bCs/>
          <w:color w:val="000000"/>
          <w:sz w:val="24"/>
        </w:rPr>
        <w:t>第二种方法：业主大会定标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8.2业主大会定标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8.2.1 推荐中标候选人</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评标委员会在评标报告中向招标人推荐无排序的中标候选人。所有递交的投标文件不被评标委员会判定为废标或无效标的投标人均为中标候选人进入定标程序，评标委员会应当同时形成评标报告。</w:t>
      </w:r>
    </w:p>
    <w:p>
      <w:pPr>
        <w:spacing w:line="360" w:lineRule="auto"/>
        <w:ind w:firstLine="470" w:firstLineChars="196"/>
        <w:rPr>
          <w:rFonts w:ascii="宋体" w:hAnsi="宋体" w:cs="宋体"/>
          <w:color w:val="000000"/>
          <w:sz w:val="24"/>
        </w:rPr>
      </w:pPr>
      <w:r>
        <w:rPr>
          <w:rFonts w:hint="eastAsia" w:ascii="宋体" w:hAnsi="宋体" w:cs="宋体"/>
          <w:color w:val="000000"/>
          <w:sz w:val="24"/>
        </w:rPr>
        <w:t>8.2.2 组建定标委员会</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成员由业主委员会委员和候补委员以外的业主代表组成，由7名以上单数成员组成。定标委员会由招标人负责组建，经业主自主报名后，在定标当日，由招标人在报名人员名单中（报名人员数量须为定标委员会成员人数2倍以上）随机抽取确定。与投标人有利害关系的人员不得进入定标委员会。</w:t>
      </w:r>
    </w:p>
    <w:p>
      <w:pPr>
        <w:spacing w:line="360" w:lineRule="auto"/>
        <w:ind w:firstLine="470" w:firstLineChars="196"/>
        <w:rPr>
          <w:rFonts w:ascii="宋体" w:hAnsi="宋体" w:cs="宋体"/>
          <w:color w:val="000000"/>
          <w:sz w:val="24"/>
        </w:rPr>
      </w:pPr>
      <w:r>
        <w:rPr>
          <w:rFonts w:hint="eastAsia" w:ascii="宋体" w:hAnsi="宋体" w:cs="宋体"/>
          <w:color w:val="000000"/>
          <w:sz w:val="24"/>
        </w:rPr>
        <w:t>招标人应同时组建3人以上的监督小组，对定标全过程进行监督。</w:t>
      </w:r>
    </w:p>
    <w:p>
      <w:pPr>
        <w:spacing w:line="360" w:lineRule="auto"/>
        <w:ind w:firstLine="470" w:firstLineChars="196"/>
        <w:rPr>
          <w:rFonts w:ascii="宋体" w:hAnsi="宋体" w:cs="宋体"/>
          <w:color w:val="000000"/>
          <w:sz w:val="24"/>
        </w:rPr>
      </w:pPr>
      <w:r>
        <w:rPr>
          <w:rFonts w:hint="eastAsia" w:ascii="宋体" w:hAnsi="宋体" w:cs="宋体"/>
          <w:color w:val="000000"/>
          <w:sz w:val="24"/>
        </w:rPr>
        <w:t>8.2.3 定标委员会以票决的形式决定3名投标人进入业主大会表决程序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定标委员会成员根据评标委员会的报告，对所有进入定标程序的投标人进行综合比较，在比较的基础上，以投票的方式决定3名投标人进入业主大会表决程序。按得票数多少排序。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8.2.4 业主大会票决定标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业主委员会依据《深圳经济特区物业管理条例》组织召开业主大会，由业主大会对3名投标人进行表决。</w:t>
      </w:r>
    </w:p>
    <w:p>
      <w:pPr>
        <w:spacing w:line="360" w:lineRule="auto"/>
        <w:ind w:firstLine="470" w:firstLineChars="196"/>
        <w:rPr>
          <w:rFonts w:ascii="宋体" w:hAnsi="宋体" w:cs="宋体"/>
          <w:color w:val="000000"/>
          <w:sz w:val="24"/>
        </w:rPr>
      </w:pPr>
      <w:r>
        <w:rPr>
          <w:rFonts w:hint="eastAsia" w:ascii="宋体" w:hAnsi="宋体" w:cs="宋体"/>
          <w:color w:val="000000"/>
          <w:sz w:val="24"/>
        </w:rPr>
        <w:t>表决原则：业主大会作出有关定标的决定，应当符合《深圳经济特区物业管理条例》第三十条的规定。</w:t>
      </w:r>
    </w:p>
    <w:p>
      <w:pPr>
        <w:spacing w:line="360" w:lineRule="auto"/>
        <w:ind w:firstLine="470" w:firstLineChars="196"/>
        <w:rPr>
          <w:rFonts w:ascii="宋体" w:hAnsi="宋体" w:cs="宋体"/>
          <w:color w:val="000000"/>
          <w:sz w:val="24"/>
        </w:rPr>
      </w:pPr>
    </w:p>
    <w:p>
      <w:pPr>
        <w:ind w:firstLine="481" w:firstLineChars="200"/>
        <w:jc w:val="left"/>
        <w:rPr>
          <w:rFonts w:ascii="宋体" w:hAnsi="宋体" w:cs="宋体"/>
          <w:b/>
          <w:bCs/>
          <w:color w:val="000000"/>
          <w:sz w:val="24"/>
        </w:rPr>
      </w:pPr>
      <w:r>
        <w:rPr>
          <w:rFonts w:hint="eastAsia" w:ascii="宋体" w:hAnsi="宋体" w:cs="宋体"/>
          <w:b/>
          <w:bCs/>
          <w:color w:val="000000"/>
          <w:sz w:val="24"/>
        </w:rPr>
        <w:t>8</w:t>
      </w:r>
      <w:r>
        <w:rPr>
          <w:rFonts w:ascii="宋体" w:hAnsi="宋体" w:cs="宋体"/>
          <w:b/>
          <w:bCs/>
          <w:color w:val="000000"/>
          <w:sz w:val="24"/>
        </w:rPr>
        <w:t xml:space="preserve">.3 </w:t>
      </w:r>
      <w:r>
        <w:rPr>
          <w:rFonts w:hint="eastAsia" w:ascii="宋体" w:hAnsi="宋体" w:cs="宋体"/>
          <w:b/>
          <w:bCs/>
          <w:color w:val="000000"/>
          <w:sz w:val="24"/>
        </w:rPr>
        <w:t>评分表（适用于评标方法采用综合评分法，评审内容供招标人设置时参考）</w:t>
      </w:r>
    </w:p>
    <w:tbl>
      <w:tblPr>
        <w:tblStyle w:val="20"/>
        <w:tblW w:w="8848" w:type="dxa"/>
        <w:tblInd w:w="-72"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8"/>
        <w:gridCol w:w="660"/>
        <w:gridCol w:w="2850"/>
        <w:gridCol w:w="750"/>
        <w:gridCol w:w="2959"/>
        <w:gridCol w:w="8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评分项</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1</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技术部分，权重A</w:t>
            </w:r>
            <w:r>
              <w:rPr>
                <w:rFonts w:ascii="仿宋_GB2312" w:eastAsia="仿宋_GB2312"/>
                <w:b/>
                <w:bCs/>
                <w:color w:val="333300"/>
                <w:szCs w:val="21"/>
              </w:rPr>
              <w:t>1</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3</w:t>
            </w:r>
            <w:r>
              <w:rPr>
                <w:rFonts w:ascii="仿宋_GB2312" w:eastAsia="仿宋_GB2312"/>
                <w:b/>
                <w:bCs/>
                <w:color w:val="333300"/>
                <w:szCs w:val="21"/>
              </w:rPr>
              <w:t>0</w:t>
            </w:r>
            <w:r>
              <w:rPr>
                <w:rFonts w:hint="eastAsia" w:ascii="仿宋_GB2312" w:eastAsia="仿宋_GB2312"/>
                <w:b/>
                <w:bCs/>
                <w:color w:val="33330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restart"/>
            <w:vAlign w:val="center"/>
          </w:tcPr>
          <w:p>
            <w:pPr>
              <w:spacing w:line="360" w:lineRule="auto"/>
              <w:jc w:val="center"/>
              <w:rPr>
                <w:rFonts w:ascii="仿宋_GB2312" w:eastAsia="仿宋_GB2312"/>
                <w:b/>
                <w:bCs/>
                <w:color w:val="333300"/>
                <w:szCs w:val="21"/>
              </w:rPr>
            </w:pPr>
          </w:p>
        </w:tc>
        <w:tc>
          <w:tcPr>
            <w:tcW w:w="66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28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内容</w:t>
            </w:r>
          </w:p>
        </w:tc>
        <w:tc>
          <w:tcPr>
            <w:tcW w:w="7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评分准则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1</w:t>
            </w:r>
          </w:p>
        </w:tc>
        <w:tc>
          <w:tcPr>
            <w:tcW w:w="2850" w:type="dxa"/>
            <w:vAlign w:val="center"/>
          </w:tcPr>
          <w:p>
            <w:pPr>
              <w:rPr>
                <w:rFonts w:ascii="仿宋_GB2312" w:eastAsia="仿宋_GB2312"/>
                <w:b/>
                <w:bCs/>
                <w:color w:val="333300"/>
                <w:szCs w:val="21"/>
              </w:rPr>
            </w:pPr>
            <w:r>
              <w:rPr>
                <w:rFonts w:hint="eastAsia" w:ascii="仿宋_GB2312" w:eastAsia="仿宋_GB2312"/>
                <w:color w:val="333300"/>
                <w:szCs w:val="21"/>
              </w:rPr>
              <w:t>根据项目需求（方案工作内容完整丰富，对项目需求的理解深度等方面）</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2</w:t>
            </w:r>
          </w:p>
        </w:tc>
        <w:tc>
          <w:tcPr>
            <w:tcW w:w="2850" w:type="dxa"/>
            <w:vAlign w:val="center"/>
          </w:tcPr>
          <w:p>
            <w:pPr>
              <w:rPr>
                <w:rFonts w:ascii="仿宋_GB2312" w:eastAsia="仿宋_GB2312"/>
                <w:b/>
                <w:bCs/>
                <w:color w:val="333300"/>
                <w:szCs w:val="21"/>
              </w:rPr>
            </w:pPr>
            <w:r>
              <w:rPr>
                <w:rFonts w:hint="eastAsia" w:ascii="仿宋_GB2312" w:eastAsia="仿宋_GB2312"/>
                <w:color w:val="333300"/>
                <w:szCs w:val="21"/>
              </w:rPr>
              <w:t>服务方案的总体思路</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4</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重点、难点的分析和对策</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5</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物业管理服务方案具体实施计划的合理性、可操作性等</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6</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服务方案的质量控制方案</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7</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答辩部分（现场答辩，根据各投标人提交的投标文件中内容由评标专家自行设置答辩问题）</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r>
              <w:rPr>
                <w:rFonts w:hint="eastAsia" w:ascii="仿宋_GB2312" w:eastAsia="仿宋_GB2312"/>
                <w:color w:val="333300"/>
                <w:szCs w:val="21"/>
              </w:rPr>
              <w:t>评分内容：项目服务定位理解准确，对专家提出的问题与投标文件承诺一致。关键内容分析解答条理清晰、明确。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2</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商务部分，权重A</w:t>
            </w:r>
            <w:r>
              <w:rPr>
                <w:rFonts w:ascii="仿宋_GB2312" w:eastAsia="仿宋_GB2312"/>
                <w:b/>
                <w:bCs/>
                <w:color w:val="333300"/>
                <w:szCs w:val="21"/>
              </w:rPr>
              <w:t>2</w:t>
            </w:r>
          </w:p>
        </w:tc>
        <w:tc>
          <w:tcPr>
            <w:tcW w:w="3830" w:type="dxa"/>
            <w:gridSpan w:val="2"/>
            <w:vAlign w:val="center"/>
          </w:tcPr>
          <w:p>
            <w:pPr>
              <w:spacing w:line="360" w:lineRule="auto"/>
              <w:jc w:val="center"/>
              <w:rPr>
                <w:rFonts w:ascii="仿宋_GB2312" w:eastAsia="仿宋_GB2312"/>
                <w:color w:val="333300"/>
                <w:szCs w:val="21"/>
              </w:rPr>
            </w:pPr>
            <w:r>
              <w:rPr>
                <w:rFonts w:hint="eastAsia" w:ascii="仿宋_GB2312" w:eastAsia="仿宋_GB2312"/>
                <w:b/>
                <w:bCs/>
                <w:color w:val="333300"/>
                <w:szCs w:val="21"/>
              </w:rPr>
              <w:t>5</w:t>
            </w:r>
            <w:r>
              <w:rPr>
                <w:rFonts w:ascii="仿宋_GB2312" w:eastAsia="仿宋_GB2312"/>
                <w:b/>
                <w:bCs/>
                <w:color w:val="333300"/>
                <w:szCs w:val="21"/>
              </w:rPr>
              <w:t>0</w:t>
            </w:r>
            <w:r>
              <w:rPr>
                <w:rFonts w:hint="eastAsia" w:ascii="仿宋_GB2312" w:eastAsia="仿宋_GB2312"/>
                <w:b/>
                <w:bCs/>
                <w:color w:val="33330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p>
        </w:tc>
        <w:tc>
          <w:tcPr>
            <w:tcW w:w="66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28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内容</w:t>
            </w:r>
          </w:p>
        </w:tc>
        <w:tc>
          <w:tcPr>
            <w:tcW w:w="7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评分准则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758" w:type="dxa"/>
            <w:vMerge w:val="restart"/>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1</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拟投入的人员综合素质情况</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p>
          <w:p>
            <w:pPr>
              <w:jc w:val="center"/>
              <w:rPr>
                <w:rFonts w:ascii="仿宋_GB2312" w:eastAsia="仿宋_GB2312"/>
                <w:color w:val="333300"/>
                <w:szCs w:val="21"/>
              </w:rPr>
            </w:pPr>
            <w:r>
              <w:rPr>
                <w:rFonts w:hint="eastAsia" w:ascii="仿宋_GB2312" w:eastAsia="仿宋_GB2312"/>
                <w:color w:val="333300"/>
                <w:szCs w:val="21"/>
              </w:rPr>
              <w:t>2</w:t>
            </w:r>
          </w:p>
          <w:p>
            <w:pPr>
              <w:jc w:val="center"/>
              <w:rPr>
                <w:rFonts w:ascii="仿宋_GB2312" w:eastAsia="仿宋_GB2312"/>
                <w:color w:val="333300"/>
                <w:szCs w:val="21"/>
              </w:rPr>
            </w:pP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投标项目负责人资格、业绩等情况</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3</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投标人综合实力及誉（从企业认证、投标人业绩情况，</w:t>
            </w:r>
            <w:r>
              <w:rPr>
                <w:rFonts w:hint="eastAsia" w:ascii="仿宋_GB2312" w:hAnsi="宋体" w:eastAsia="仿宋_GB2312"/>
                <w:color w:val="333300"/>
                <w:szCs w:val="21"/>
              </w:rPr>
              <w:t>注册资金、纳税情况等方面）</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944" w:hRule="atLeast"/>
        </w:trPr>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4</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良好行为信用信息（物业服务企业、项目负责人）</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color w:val="333300"/>
                <w:szCs w:val="21"/>
              </w:rPr>
            </w:pPr>
            <w:r>
              <w:rPr>
                <w:rFonts w:hint="eastAsia" w:ascii="仿宋_GB2312" w:eastAsia="仿宋_GB2312"/>
                <w:color w:val="333300"/>
                <w:szCs w:val="21"/>
              </w:rPr>
              <w:t>评分内容：</w:t>
            </w:r>
          </w:p>
          <w:p>
            <w:pPr>
              <w:rPr>
                <w:rFonts w:ascii="仿宋_GB2312" w:eastAsia="仿宋_GB2312"/>
                <w:color w:val="333300"/>
                <w:szCs w:val="21"/>
              </w:rPr>
            </w:pPr>
            <w:r>
              <w:rPr>
                <w:rFonts w:hint="eastAsia" w:ascii="仿宋_GB2312" w:eastAsia="仿宋_GB2312"/>
                <w:color w:val="333300"/>
                <w:szCs w:val="21"/>
              </w:rPr>
              <w:t>1、物业服务企业或者企业法定代表人、主要负责人、物业管理项目负责人、其他从业人员在从事物业服务活动中受到的省部级以上的奖励、表彰及认定情况的信息。</w:t>
            </w:r>
          </w:p>
          <w:p>
            <w:pPr>
              <w:rPr>
                <w:rFonts w:ascii="仿宋_GB2312" w:eastAsia="仿宋_GB2312"/>
                <w:color w:val="333300"/>
                <w:szCs w:val="21"/>
              </w:rPr>
            </w:pPr>
            <w:r>
              <w:rPr>
                <w:rFonts w:ascii="仿宋_GB2312" w:eastAsia="仿宋_GB2312"/>
                <w:color w:val="333300"/>
                <w:szCs w:val="21"/>
              </w:rPr>
              <w:t>2</w:t>
            </w:r>
            <w:r>
              <w:rPr>
                <w:rFonts w:hint="eastAsia" w:ascii="仿宋_GB2312" w:eastAsia="仿宋_GB2312"/>
                <w:color w:val="333300"/>
                <w:szCs w:val="21"/>
              </w:rPr>
              <w:t>、本市政府或者市相关行政管理部门、行业协会关于物业管理方面的奖励、表彰及认定情况的信息。</w:t>
            </w:r>
          </w:p>
          <w:p>
            <w:pPr>
              <w:rPr>
                <w:rFonts w:ascii="仿宋_GB2312" w:eastAsia="仿宋_GB2312"/>
                <w:b/>
                <w:bCs/>
                <w:color w:val="333300"/>
                <w:szCs w:val="21"/>
              </w:rPr>
            </w:pPr>
            <w:r>
              <w:rPr>
                <w:rFonts w:hint="eastAsia" w:ascii="仿宋_GB2312" w:eastAsia="仿宋_GB2312"/>
                <w:color w:val="333300"/>
                <w:szCs w:val="21"/>
              </w:rPr>
              <w:t>3、获评绿色物业星级情况（以发牌情况确定），配合宜居社区创建情况（以街道办认可为准）。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5</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物业服务企业、项目负责人不良行为信用信息</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color w:val="333300"/>
                <w:szCs w:val="21"/>
              </w:rPr>
            </w:pPr>
            <w:r>
              <w:rPr>
                <w:rFonts w:hint="eastAsia" w:ascii="仿宋_GB2312" w:eastAsia="仿宋_GB2312"/>
                <w:color w:val="333300"/>
                <w:szCs w:val="21"/>
              </w:rPr>
              <w:t>评分内容：</w:t>
            </w:r>
          </w:p>
          <w:p>
            <w:pPr>
              <w:rPr>
                <w:rFonts w:ascii="仿宋_GB2312" w:eastAsia="仿宋_GB2312"/>
                <w:color w:val="333300"/>
                <w:szCs w:val="21"/>
              </w:rPr>
            </w:pPr>
            <w:r>
              <w:rPr>
                <w:rFonts w:ascii="仿宋_GB2312" w:eastAsia="仿宋_GB2312"/>
                <w:color w:val="333300"/>
                <w:szCs w:val="21"/>
              </w:rPr>
              <w:t>1</w:t>
            </w:r>
            <w:r>
              <w:rPr>
                <w:rFonts w:hint="eastAsia" w:ascii="仿宋_GB2312" w:eastAsia="仿宋_GB2312"/>
                <w:color w:val="333300"/>
                <w:szCs w:val="21"/>
              </w:rPr>
              <w:t>、受到市、区物业协会公开谴责</w:t>
            </w:r>
          </w:p>
          <w:p>
            <w:pPr>
              <w:rPr>
                <w:rFonts w:ascii="仿宋_GB2312" w:hAnsi="仿宋" w:eastAsia="仿宋_GB2312" w:cs="仿宋"/>
                <w:szCs w:val="21"/>
              </w:rPr>
            </w:pPr>
            <w:r>
              <w:rPr>
                <w:rFonts w:ascii="仿宋_GB2312" w:hAnsi="仿宋" w:eastAsia="仿宋_GB2312" w:cs="仿宋"/>
                <w:szCs w:val="21"/>
              </w:rPr>
              <w:t>2</w:t>
            </w:r>
            <w:r>
              <w:rPr>
                <w:rFonts w:hint="eastAsia" w:ascii="仿宋_GB2312" w:hAnsi="仿宋" w:eastAsia="仿宋_GB2312" w:cs="仿宋"/>
                <w:szCs w:val="21"/>
              </w:rPr>
              <w:t>、受到市、区物业协会书面警告</w:t>
            </w:r>
          </w:p>
          <w:p>
            <w:pPr>
              <w:rPr>
                <w:rFonts w:ascii="仿宋_GB2312" w:eastAsia="仿宋_GB2312"/>
                <w:color w:val="333300"/>
                <w:szCs w:val="21"/>
              </w:rPr>
            </w:pPr>
            <w:r>
              <w:rPr>
                <w:rFonts w:ascii="仿宋_GB2312" w:eastAsia="仿宋_GB2312"/>
                <w:color w:val="333300"/>
                <w:szCs w:val="21"/>
              </w:rPr>
              <w:t>3</w:t>
            </w:r>
            <w:r>
              <w:rPr>
                <w:rFonts w:hint="eastAsia" w:ascii="仿宋_GB2312" w:eastAsia="仿宋_GB2312"/>
                <w:color w:val="333300"/>
                <w:szCs w:val="21"/>
              </w:rPr>
              <w:t>、服务质量被投诉较多，经查证属实</w:t>
            </w:r>
          </w:p>
          <w:p>
            <w:pPr>
              <w:rPr>
                <w:rFonts w:ascii="仿宋_GB2312" w:hAnsi="仿宋" w:eastAsia="仿宋_GB2312" w:cs="仿宋"/>
                <w:szCs w:val="21"/>
              </w:rPr>
            </w:pPr>
            <w:r>
              <w:rPr>
                <w:rFonts w:ascii="仿宋_GB2312" w:hAnsi="仿宋" w:eastAsia="仿宋_GB2312" w:cs="仿宋"/>
                <w:szCs w:val="21"/>
              </w:rPr>
              <w:t>4</w:t>
            </w:r>
            <w:r>
              <w:rPr>
                <w:rFonts w:hint="eastAsia" w:ascii="仿宋_GB2312" w:hAnsi="仿宋" w:eastAsia="仿宋_GB2312" w:cs="仿宋"/>
                <w:szCs w:val="21"/>
              </w:rPr>
              <w:t>、擅自停水、电被投诉，经查证属实</w:t>
            </w:r>
          </w:p>
          <w:p>
            <w:pPr>
              <w:rPr>
                <w:rFonts w:ascii="仿宋_GB2312" w:hAnsi="仿宋" w:eastAsia="仿宋_GB2312" w:cs="仿宋"/>
                <w:szCs w:val="21"/>
              </w:rPr>
            </w:pPr>
            <w:r>
              <w:rPr>
                <w:rFonts w:ascii="仿宋_GB2312" w:hAnsi="仿宋" w:eastAsia="仿宋_GB2312" w:cs="仿宋"/>
                <w:szCs w:val="21"/>
              </w:rPr>
              <w:t>5</w:t>
            </w:r>
            <w:r>
              <w:rPr>
                <w:rFonts w:hint="eastAsia" w:ascii="仿宋_GB2312" w:hAnsi="仿宋" w:eastAsia="仿宋_GB2312" w:cs="仿宋"/>
                <w:szCs w:val="21"/>
              </w:rPr>
              <w:t>、未按规定报送物业管理统计报表</w:t>
            </w:r>
          </w:p>
          <w:p>
            <w:pPr>
              <w:rPr>
                <w:rFonts w:ascii="仿宋_GB2312" w:eastAsia="仿宋_GB2312"/>
                <w:color w:val="333300"/>
                <w:szCs w:val="21"/>
              </w:rPr>
            </w:pPr>
            <w:r>
              <w:rPr>
                <w:rFonts w:ascii="仿宋_GB2312" w:eastAsia="仿宋_GB2312"/>
                <w:color w:val="333300"/>
                <w:szCs w:val="21"/>
              </w:rPr>
              <w:t>6</w:t>
            </w:r>
            <w:r>
              <w:rPr>
                <w:rFonts w:hint="eastAsia" w:ascii="仿宋_GB2312" w:eastAsia="仿宋_GB2312"/>
                <w:color w:val="333300"/>
                <w:szCs w:val="21"/>
              </w:rPr>
              <w:t>、不按要求参加市、区两级业务及安全培训的</w:t>
            </w:r>
          </w:p>
          <w:p>
            <w:pPr>
              <w:rPr>
                <w:rFonts w:ascii="仿宋_GB2312" w:hAnsi="仿宋" w:eastAsia="仿宋_GB2312" w:cs="仿宋"/>
                <w:szCs w:val="21"/>
              </w:rPr>
            </w:pPr>
            <w:r>
              <w:rPr>
                <w:rFonts w:ascii="仿宋_GB2312" w:hAnsi="仿宋" w:eastAsia="仿宋_GB2312" w:cs="仿宋"/>
                <w:szCs w:val="21"/>
              </w:rPr>
              <w:t>7</w:t>
            </w:r>
            <w:r>
              <w:rPr>
                <w:rFonts w:hint="eastAsia" w:ascii="仿宋_GB2312" w:hAnsi="仿宋" w:eastAsia="仿宋_GB2312" w:cs="仿宋"/>
                <w:szCs w:val="21"/>
              </w:rPr>
              <w:t>、物业管理项目及其设施设备信息未及时向业主公开</w:t>
            </w:r>
          </w:p>
          <w:p>
            <w:pPr>
              <w:rPr>
                <w:rFonts w:ascii="仿宋_GB2312" w:hAnsi="仿宋" w:eastAsia="仿宋_GB2312" w:cs="仿宋"/>
                <w:szCs w:val="21"/>
              </w:rPr>
            </w:pPr>
            <w:r>
              <w:rPr>
                <w:rFonts w:ascii="仿宋_GB2312" w:hAnsi="仿宋" w:eastAsia="仿宋_GB2312" w:cs="仿宋"/>
                <w:szCs w:val="21"/>
              </w:rPr>
              <w:t>8</w:t>
            </w:r>
            <w:r>
              <w:rPr>
                <w:rFonts w:hint="eastAsia" w:ascii="仿宋_GB2312" w:hAnsi="仿宋" w:eastAsia="仿宋_GB2312" w:cs="仿宋"/>
                <w:szCs w:val="21"/>
              </w:rPr>
              <w:t>、无故不参加市、区主管部门组织的业务和安全培训的</w:t>
            </w:r>
          </w:p>
          <w:p>
            <w:pPr>
              <w:rPr>
                <w:rFonts w:ascii="仿宋_GB2312" w:eastAsia="仿宋_GB2312"/>
                <w:b/>
                <w:bCs/>
                <w:color w:val="333300"/>
                <w:szCs w:val="21"/>
              </w:rPr>
            </w:pPr>
            <w:r>
              <w:rPr>
                <w:rFonts w:ascii="仿宋_GB2312" w:hAnsi="仿宋" w:eastAsia="仿宋_GB2312" w:cs="仿宋"/>
                <w:szCs w:val="21"/>
              </w:rPr>
              <w:t>9</w:t>
            </w:r>
            <w:r>
              <w:rPr>
                <w:rFonts w:hint="eastAsia" w:ascii="仿宋_GB2312" w:hAnsi="仿宋" w:eastAsia="仿宋_GB2312" w:cs="仿宋"/>
                <w:szCs w:val="21"/>
              </w:rPr>
              <w:t>、物业管理项目发生一般安全事故的</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3</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报价部分，权重A</w:t>
            </w:r>
            <w:r>
              <w:rPr>
                <w:rFonts w:ascii="仿宋_GB2312" w:eastAsia="仿宋_GB2312"/>
                <w:b/>
                <w:bCs/>
                <w:color w:val="333300"/>
                <w:szCs w:val="21"/>
              </w:rPr>
              <w:t>3</w:t>
            </w:r>
          </w:p>
        </w:tc>
        <w:tc>
          <w:tcPr>
            <w:tcW w:w="3830" w:type="dxa"/>
            <w:gridSpan w:val="2"/>
            <w:vAlign w:val="center"/>
          </w:tcPr>
          <w:p>
            <w:pPr>
              <w:spacing w:line="360" w:lineRule="auto"/>
              <w:jc w:val="center"/>
              <w:rPr>
                <w:rFonts w:ascii="仿宋_GB2312" w:eastAsia="仿宋_GB2312"/>
                <w:color w:val="333300"/>
                <w:szCs w:val="21"/>
              </w:rPr>
            </w:pPr>
            <w:r>
              <w:rPr>
                <w:rFonts w:hint="eastAsia" w:ascii="仿宋_GB2312" w:eastAsia="仿宋_GB2312"/>
                <w:b/>
                <w:bCs/>
                <w:color w:val="333300"/>
                <w:szCs w:val="21"/>
              </w:rPr>
              <w:t>2</w:t>
            </w:r>
            <w:r>
              <w:rPr>
                <w:rFonts w:ascii="仿宋_GB2312" w:eastAsia="仿宋_GB2312"/>
                <w:b/>
                <w:bCs/>
                <w:color w:val="333300"/>
                <w:szCs w:val="21"/>
              </w:rPr>
              <w:t>0</w:t>
            </w:r>
            <w:r>
              <w:rPr>
                <w:rFonts w:hint="eastAsia" w:ascii="仿宋_GB2312" w:eastAsia="仿宋_GB2312"/>
                <w:b/>
                <w:bCs/>
                <w:color w:val="33330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94" w:hRule="atLeast"/>
        </w:trPr>
        <w:tc>
          <w:tcPr>
            <w:tcW w:w="758" w:type="dxa"/>
            <w:vAlign w:val="center"/>
          </w:tcPr>
          <w:p>
            <w:pPr>
              <w:spacing w:line="360" w:lineRule="auto"/>
              <w:jc w:val="center"/>
              <w:rPr>
                <w:rFonts w:ascii="仿宋_GB2312" w:eastAsia="仿宋_GB2312"/>
                <w:b/>
                <w:bCs/>
                <w:color w:val="333300"/>
                <w:szCs w:val="21"/>
              </w:rPr>
            </w:pPr>
          </w:p>
        </w:tc>
        <w:tc>
          <w:tcPr>
            <w:tcW w:w="66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28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内容</w:t>
            </w:r>
          </w:p>
        </w:tc>
        <w:tc>
          <w:tcPr>
            <w:tcW w:w="7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评分准则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25" w:hRule="atLeast"/>
        </w:trPr>
        <w:tc>
          <w:tcPr>
            <w:tcW w:w="758" w:type="dxa"/>
            <w:vMerge w:val="restart"/>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1</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按招标文件规定报价，投标报价合理。</w:t>
            </w:r>
          </w:p>
        </w:tc>
        <w:tc>
          <w:tcPr>
            <w:tcW w:w="750" w:type="dxa"/>
            <w:vAlign w:val="center"/>
          </w:tcPr>
          <w:p>
            <w:pPr>
              <w:rPr>
                <w:rFonts w:ascii="仿宋_GB2312" w:eastAsia="仿宋_GB2312"/>
                <w:b/>
                <w:bCs/>
                <w:color w:val="333300"/>
                <w:szCs w:val="21"/>
              </w:rPr>
            </w:pPr>
          </w:p>
        </w:tc>
        <w:tc>
          <w:tcPr>
            <w:tcW w:w="3830" w:type="dxa"/>
            <w:gridSpan w:val="2"/>
            <w:vMerge w:val="restart"/>
            <w:vAlign w:val="center"/>
          </w:tcPr>
          <w:p>
            <w:pPr>
              <w:spacing w:line="360" w:lineRule="auto"/>
              <w:rPr>
                <w:rFonts w:ascii="仿宋_GB2312" w:eastAsia="仿宋_GB2312"/>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090" w:hRule="atLeast"/>
        </w:trPr>
        <w:tc>
          <w:tcPr>
            <w:tcW w:w="758" w:type="dxa"/>
            <w:vMerge w:val="continue"/>
            <w:vAlign w:val="top"/>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2</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按招标文件规定报价，投标报价基本合理。</w:t>
            </w:r>
          </w:p>
        </w:tc>
        <w:tc>
          <w:tcPr>
            <w:tcW w:w="750" w:type="dxa"/>
            <w:vAlign w:val="center"/>
          </w:tcPr>
          <w:p>
            <w:pPr>
              <w:jc w:val="center"/>
              <w:rPr>
                <w:rFonts w:ascii="仿宋_GB2312" w:eastAsia="仿宋_GB2312"/>
                <w:b/>
                <w:bCs/>
                <w:color w:val="333300"/>
                <w:szCs w:val="21"/>
              </w:rPr>
            </w:pPr>
          </w:p>
        </w:tc>
        <w:tc>
          <w:tcPr>
            <w:tcW w:w="3830" w:type="dxa"/>
            <w:gridSpan w:val="2"/>
            <w:vMerge w:val="continue"/>
            <w:vAlign w:val="center"/>
          </w:tcPr>
          <w:p>
            <w:pPr>
              <w:spacing w:line="360" w:lineRule="auto"/>
              <w:jc w:val="center"/>
              <w:rPr>
                <w:rFonts w:ascii="仿宋_GB2312" w:eastAsia="仿宋_GB2312"/>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368" w:hRule="atLeast"/>
        </w:trPr>
        <w:tc>
          <w:tcPr>
            <w:tcW w:w="758" w:type="dxa"/>
            <w:vMerge w:val="continue"/>
            <w:vAlign w:val="top"/>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3</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按招标文件规定报价，投标报价不合理（偏高或偏低）。</w:t>
            </w:r>
          </w:p>
        </w:tc>
        <w:tc>
          <w:tcPr>
            <w:tcW w:w="750" w:type="dxa"/>
            <w:vAlign w:val="center"/>
          </w:tcPr>
          <w:p>
            <w:pPr>
              <w:jc w:val="center"/>
              <w:rPr>
                <w:rFonts w:ascii="仿宋_GB2312" w:eastAsia="仿宋_GB2312"/>
                <w:b/>
                <w:bCs/>
                <w:color w:val="333300"/>
                <w:szCs w:val="21"/>
              </w:rPr>
            </w:pPr>
          </w:p>
        </w:tc>
        <w:tc>
          <w:tcPr>
            <w:tcW w:w="3830" w:type="dxa"/>
            <w:gridSpan w:val="2"/>
            <w:vMerge w:val="continue"/>
            <w:vAlign w:val="center"/>
          </w:tcPr>
          <w:p>
            <w:pPr>
              <w:spacing w:line="360" w:lineRule="auto"/>
              <w:jc w:val="center"/>
              <w:rPr>
                <w:rFonts w:ascii="仿宋_GB2312" w:eastAsia="仿宋_GB2312"/>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top"/>
          </w:tcPr>
          <w:p>
            <w:pPr>
              <w:rPr>
                <w:rFonts w:ascii="仿宋_GB2312" w:eastAsia="仿宋_GB2312"/>
                <w:b/>
                <w:bCs/>
                <w:szCs w:val="21"/>
              </w:rPr>
            </w:pPr>
            <w:r>
              <w:rPr>
                <w:rFonts w:hint="eastAsia" w:ascii="仿宋_GB2312" w:eastAsia="仿宋_GB2312"/>
                <w:b/>
                <w:bCs/>
                <w:szCs w:val="21"/>
              </w:rPr>
              <w:t>评标总分（100分）</w:t>
            </w:r>
          </w:p>
        </w:tc>
        <w:tc>
          <w:tcPr>
            <w:tcW w:w="7219" w:type="dxa"/>
            <w:gridSpan w:val="4"/>
            <w:vAlign w:val="top"/>
          </w:tcPr>
          <w:p>
            <w:pPr>
              <w:spacing w:line="360" w:lineRule="auto"/>
              <w:rPr>
                <w:rFonts w:ascii="仿宋_GB2312" w:eastAsia="仿宋_GB2312"/>
                <w:szCs w:val="21"/>
              </w:rPr>
            </w:pPr>
          </w:p>
        </w:tc>
        <w:tc>
          <w:tcPr>
            <w:tcW w:w="871" w:type="dxa"/>
            <w:vAlign w:val="top"/>
          </w:tcPr>
          <w:p>
            <w:pPr>
              <w:spacing w:line="360" w:lineRule="auto"/>
              <w:rPr>
                <w:rFonts w:ascii="仿宋_GB2312" w:eastAsia="仿宋_GB2312"/>
                <w:szCs w:val="21"/>
              </w:rPr>
            </w:pPr>
          </w:p>
        </w:tc>
      </w:tr>
    </w:tbl>
    <w:p>
      <w:pPr>
        <w:numPr>
          <w:ilvl w:val="0"/>
          <w:numId w:val="0"/>
        </w:numPr>
        <w:ind w:firstLine="420" w:firstLineChars="200"/>
        <w:rPr>
          <w:rFonts w:ascii="宋体" w:hAnsi="宋体" w:cs="宋体"/>
          <w:szCs w:val="21"/>
        </w:rPr>
      </w:pPr>
      <w:r>
        <w:rPr>
          <w:rFonts w:hint="eastAsia" w:ascii="宋体" w:hAnsi="宋体" w:cs="宋体"/>
          <w:szCs w:val="21"/>
        </w:rPr>
        <w:t>一般权重设置区间：A1=0.20-0.3;  A2=0.5-0.6;  A3=0.2（若设置）。</w:t>
      </w:r>
    </w:p>
    <w:p>
      <w:pPr>
        <w:numPr>
          <w:ilvl w:val="0"/>
          <w:numId w:val="0"/>
        </w:numPr>
        <w:ind w:firstLine="420" w:firstLineChars="200"/>
        <w:rPr>
          <w:rFonts w:ascii="宋体" w:hAnsi="宋体" w:cs="宋体"/>
          <w:szCs w:val="21"/>
        </w:rPr>
      </w:pPr>
      <w:r>
        <w:rPr>
          <w:rFonts w:hint="eastAsia" w:ascii="宋体" w:hAnsi="宋体" w:cs="宋体"/>
          <w:szCs w:val="21"/>
        </w:rPr>
        <w:t>权重要求：A1+ A2+ A3＝1。</w:t>
      </w:r>
    </w:p>
    <w:p>
      <w:pPr>
        <w:numPr>
          <w:ilvl w:val="0"/>
          <w:numId w:val="0"/>
        </w:numPr>
        <w:rPr>
          <w:rFonts w:ascii="宋体" w:hAnsi="宋体" w:cs="宋体"/>
          <w:sz w:val="24"/>
        </w:rPr>
      </w:pPr>
    </w:p>
    <w:p>
      <w:pPr>
        <w:numPr>
          <w:ilvl w:val="0"/>
          <w:numId w:val="0"/>
        </w:numPr>
        <w:spacing w:line="360" w:lineRule="auto"/>
        <w:ind w:firstLine="481" w:firstLineChars="200"/>
        <w:rPr>
          <w:rFonts w:ascii="宋体" w:hAnsi="宋体" w:cs="宋体"/>
          <w:sz w:val="24"/>
        </w:rPr>
      </w:pPr>
      <w:r>
        <w:rPr>
          <w:rFonts w:hint="eastAsia" w:ascii="宋体" w:hAnsi="宋体" w:cs="宋体"/>
          <w:b/>
          <w:bCs/>
          <w:sz w:val="24"/>
        </w:rPr>
        <w:t>说明</w:t>
      </w:r>
      <w:r>
        <w:rPr>
          <w:rFonts w:hint="eastAsia" w:ascii="宋体" w:hAnsi="宋体" w:cs="宋体"/>
          <w:sz w:val="24"/>
        </w:rPr>
        <w:t>：招标人在设置评分表时，务必根据《深圳市物业管理信用信息公开暂行办法》附表《物业管理信用信息公开目录》的规定，将信用信息作为商务标的组成部分，纳入项目的评审，并根据实际情况调整细项权重。评标委员会根据评分表对投标人进行详细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8.4中标结果公示</w:t>
      </w:r>
    </w:p>
    <w:p>
      <w:pPr>
        <w:spacing w:line="360" w:lineRule="auto"/>
        <w:ind w:firstLine="470" w:firstLineChars="196"/>
        <w:rPr>
          <w:rFonts w:ascii="宋体" w:hAnsi="宋体" w:cs="宋体"/>
          <w:color w:val="000000"/>
          <w:sz w:val="24"/>
        </w:rPr>
      </w:pPr>
      <w:r>
        <w:rPr>
          <w:rFonts w:hint="eastAsia" w:ascii="宋体" w:hAnsi="宋体" w:cs="宋体"/>
          <w:color w:val="000000"/>
          <w:sz w:val="24"/>
        </w:rPr>
        <w:t xml:space="preserve">8.4.1为体现“公开、公平、公正”的原则，评标结束后，招标人将在______（网站或者其他渠道）发布中标结果公示，公示期为 3 个工作日。投标人如对中标结果有异议，请于公告期内，以书面形式向招标人反映。 </w:t>
      </w:r>
    </w:p>
    <w:p>
      <w:pPr>
        <w:spacing w:line="360" w:lineRule="auto"/>
        <w:ind w:firstLine="470" w:firstLineChars="196"/>
        <w:rPr>
          <w:rFonts w:ascii="宋体" w:hAnsi="宋体" w:cs="宋体"/>
          <w:color w:val="000000"/>
          <w:sz w:val="24"/>
        </w:rPr>
      </w:pPr>
      <w:r>
        <w:rPr>
          <w:rFonts w:hint="eastAsia" w:ascii="宋体" w:hAnsi="宋体" w:cs="宋体"/>
          <w:color w:val="000000"/>
          <w:sz w:val="24"/>
        </w:rPr>
        <w:t>8.4.2质疑投诉人应提供相关证据，保证质疑投诉内容的真实性和可靠性，并承担相应的法律责任。</w:t>
      </w:r>
    </w:p>
    <w:p>
      <w:pPr>
        <w:spacing w:line="360" w:lineRule="auto"/>
        <w:ind w:firstLine="481" w:firstLineChars="200"/>
        <w:rPr>
          <w:rFonts w:ascii="宋体" w:hAnsi="宋体" w:cs="宋体"/>
          <w:b/>
          <w:bCs/>
          <w:color w:val="000000"/>
          <w:sz w:val="24"/>
        </w:rPr>
      </w:pPr>
      <w:r>
        <w:rPr>
          <w:rFonts w:hint="eastAsia" w:ascii="宋体" w:hAnsi="宋体" w:cs="宋体"/>
          <w:b/>
          <w:bCs/>
          <w:color w:val="000000"/>
          <w:sz w:val="24"/>
        </w:rPr>
        <w:t>8.</w:t>
      </w:r>
      <w:r>
        <w:rPr>
          <w:rFonts w:ascii="宋体" w:hAnsi="宋体" w:cs="宋体"/>
          <w:b/>
          <w:bCs/>
          <w:color w:val="000000"/>
          <w:sz w:val="24"/>
        </w:rPr>
        <w:t>5</w:t>
      </w:r>
      <w:r>
        <w:rPr>
          <w:rFonts w:hint="eastAsia" w:ascii="宋体" w:hAnsi="宋体" w:cs="宋体"/>
          <w:b/>
          <w:bCs/>
          <w:color w:val="000000"/>
          <w:sz w:val="24"/>
        </w:rPr>
        <w:t xml:space="preserve"> 发出中标通知书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中标人确定后，招标人向中标人发出中标通知书。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中标通知书是合同的重要组成部分。</w:t>
      </w:r>
    </w:p>
    <w:p>
      <w:pPr>
        <w:spacing w:line="360" w:lineRule="auto"/>
        <w:ind w:firstLine="481" w:firstLineChars="200"/>
        <w:rPr>
          <w:rFonts w:ascii="宋体" w:hAnsi="宋体" w:cs="宋体"/>
          <w:b/>
          <w:bCs/>
          <w:color w:val="000000"/>
          <w:sz w:val="24"/>
        </w:rPr>
      </w:pPr>
      <w:r>
        <w:rPr>
          <w:rFonts w:hint="eastAsia" w:ascii="宋体" w:hAnsi="宋体" w:cs="宋体"/>
          <w:b/>
          <w:bCs/>
          <w:color w:val="000000"/>
          <w:sz w:val="24"/>
        </w:rPr>
        <w:t>8.</w:t>
      </w:r>
      <w:r>
        <w:rPr>
          <w:rFonts w:ascii="宋体" w:hAnsi="宋体" w:cs="宋体"/>
          <w:b/>
          <w:bCs/>
          <w:color w:val="000000"/>
          <w:sz w:val="24"/>
        </w:rPr>
        <w:t>6</w:t>
      </w:r>
      <w:r>
        <w:rPr>
          <w:rFonts w:hint="eastAsia" w:ascii="宋体" w:hAnsi="宋体" w:cs="宋体"/>
          <w:b/>
          <w:bCs/>
          <w:color w:val="000000"/>
          <w:sz w:val="24"/>
        </w:rPr>
        <w:t xml:space="preserve"> 备案</w:t>
      </w:r>
    </w:p>
    <w:p>
      <w:pPr>
        <w:spacing w:line="360" w:lineRule="auto"/>
        <w:rPr>
          <w:rFonts w:ascii="仿宋_GB2312" w:hAnsi="仿宋_GB2312" w:eastAsia="仿宋_GB2312" w:cs="仿宋_GB2312"/>
          <w:color w:val="000000"/>
        </w:rPr>
      </w:pPr>
      <w:r>
        <w:rPr>
          <w:rFonts w:hint="eastAsia" w:ascii="宋体" w:hAnsi="宋体" w:cs="宋体"/>
          <w:color w:val="000000"/>
          <w:sz w:val="24"/>
        </w:rPr>
        <w:t xml:space="preserve">   </w:t>
      </w:r>
      <w:bookmarkStart w:id="34" w:name="_Toc20153569"/>
      <w:bookmarkStart w:id="35" w:name="_Toc5934"/>
      <w:bookmarkStart w:id="36" w:name="_Toc31673"/>
      <w:bookmarkStart w:id="37" w:name="_Toc2689"/>
    </w:p>
    <w:p>
      <w:pPr>
        <w:pStyle w:val="28"/>
        <w:rPr>
          <w:rFonts w:ascii="仿宋_GB2312" w:hAnsi="仿宋_GB2312" w:eastAsia="仿宋_GB2312" w:cs="仿宋_GB2312"/>
          <w:color w:val="000000"/>
          <w:sz w:val="30"/>
          <w:szCs w:val="30"/>
        </w:rPr>
      </w:pPr>
      <w:r>
        <w:rPr>
          <w:rFonts w:hint="eastAsia" w:ascii="仿宋_GB2312" w:hAnsi="仿宋_GB2312" w:eastAsia="仿宋_GB2312" w:cs="仿宋_GB2312"/>
          <w:color w:val="000000"/>
        </w:rPr>
        <w:t>第五节 合同的签订</w:t>
      </w:r>
      <w:bookmarkEnd w:id="34"/>
      <w:bookmarkEnd w:id="35"/>
      <w:bookmarkEnd w:id="36"/>
      <w:bookmarkEnd w:id="37"/>
    </w:p>
    <w:p>
      <w:pPr>
        <w:spacing w:line="360" w:lineRule="auto"/>
        <w:ind w:firstLine="413" w:firstLineChars="196"/>
        <w:rPr>
          <w:rFonts w:ascii="宋体" w:hAnsi="宋体" w:cs="宋体"/>
          <w:color w:val="000000"/>
          <w:sz w:val="24"/>
        </w:rPr>
      </w:pPr>
      <w:r>
        <w:rPr>
          <w:rFonts w:hint="eastAsia"/>
          <w:b/>
          <w:bCs/>
          <w:color w:val="000000"/>
          <w:szCs w:val="21"/>
        </w:rPr>
        <w:t xml:space="preserve">   </w:t>
      </w:r>
      <w:r>
        <w:rPr>
          <w:rFonts w:hint="eastAsia" w:ascii="宋体" w:hAnsi="宋体" w:cs="宋体"/>
          <w:color w:val="000000"/>
          <w:sz w:val="24"/>
        </w:rPr>
        <w:t xml:space="preserve"> </w:t>
      </w:r>
    </w:p>
    <w:p>
      <w:pPr>
        <w:spacing w:line="360" w:lineRule="auto"/>
        <w:ind w:firstLine="470" w:firstLineChars="196"/>
        <w:rPr>
          <w:rFonts w:ascii="宋体" w:hAnsi="宋体" w:cs="宋体"/>
          <w:color w:val="000000"/>
          <w:sz w:val="24"/>
        </w:rPr>
      </w:pPr>
      <w:r>
        <w:rPr>
          <w:rFonts w:hint="eastAsia" w:ascii="宋体" w:hAnsi="宋体" w:cs="宋体"/>
          <w:color w:val="000000"/>
          <w:sz w:val="24"/>
        </w:rPr>
        <w:t>1.中标人将于中标通知书发出之日起30 日内，按照招标文件和投标文件内容与招标人签订书面合同，合同书应采用本招标文件第四部分规定的合同样本；</w:t>
      </w:r>
    </w:p>
    <w:p>
      <w:pPr>
        <w:spacing w:line="360" w:lineRule="auto"/>
        <w:ind w:firstLine="470" w:firstLineChars="196"/>
        <w:rPr>
          <w:rFonts w:ascii="宋体" w:hAnsi="宋体" w:cs="宋体"/>
          <w:color w:val="000000"/>
          <w:sz w:val="24"/>
        </w:rPr>
      </w:pPr>
      <w:r>
        <w:rPr>
          <w:rFonts w:hint="eastAsia" w:ascii="宋体" w:hAnsi="宋体" w:cs="宋体"/>
          <w:color w:val="000000"/>
          <w:sz w:val="24"/>
        </w:rPr>
        <w:t>2.中标人如不按本投标须知规定与招标人签订合同，则招标人将有充分的理由废除中标，并没收其投标保证金，给招标人造成的损失超过投标担保数额的，还应当对超过部分予以赔偿，同时承担相应法律责任；</w:t>
      </w:r>
    </w:p>
    <w:p>
      <w:pPr>
        <w:spacing w:line="360" w:lineRule="auto"/>
        <w:ind w:firstLine="470" w:firstLineChars="196"/>
        <w:rPr>
          <w:rFonts w:ascii="宋体" w:hAnsi="宋体" w:cs="宋体"/>
          <w:color w:val="000000"/>
          <w:sz w:val="24"/>
        </w:rPr>
      </w:pPr>
      <w:r>
        <w:rPr>
          <w:rFonts w:hint="eastAsia" w:ascii="宋体" w:hAnsi="宋体" w:cs="宋体"/>
          <w:color w:val="000000"/>
          <w:sz w:val="24"/>
        </w:rPr>
        <w:t>3.招标人与中标人签订的服务合同必须遵守本招标文件的合同条件，并且不得更改合同条件；</w:t>
      </w:r>
    </w:p>
    <w:p>
      <w:pPr>
        <w:spacing w:line="360" w:lineRule="auto"/>
        <w:ind w:firstLine="470" w:firstLineChars="196"/>
        <w:rPr>
          <w:rFonts w:ascii="宋体" w:hAnsi="宋体" w:cs="宋体"/>
          <w:color w:val="000000"/>
          <w:sz w:val="24"/>
        </w:rPr>
      </w:pPr>
      <w:r>
        <w:rPr>
          <w:rFonts w:hint="eastAsia" w:ascii="宋体" w:hAnsi="宋体" w:cs="宋体"/>
          <w:color w:val="000000"/>
          <w:sz w:val="24"/>
        </w:rPr>
        <w:t>4.招标人与中标人签订中标合同之日起7日内，应将中标合同送区有关行政管理部门备案。中标人将工程分包的，应当自订立合同之日起7日内，将分包合同送区有关行政管理部门备案。</w:t>
      </w:r>
    </w:p>
    <w:p>
      <w:pPr>
        <w:tabs>
          <w:tab w:val="left" w:pos="5040"/>
        </w:tabs>
        <w:rPr>
          <w:color w:val="000000"/>
        </w:rPr>
      </w:pPr>
    </w:p>
    <w:p>
      <w:pPr>
        <w:tabs>
          <w:tab w:val="left" w:pos="5040"/>
        </w:tabs>
        <w:rPr>
          <w:color w:val="000000"/>
        </w:rPr>
      </w:pPr>
    </w:p>
    <w:p>
      <w:pPr>
        <w:rPr>
          <w:rFonts w:eastAsia="黑体"/>
          <w:color w:val="000000"/>
          <w:szCs w:val="32"/>
        </w:rPr>
      </w:pPr>
      <w:bookmarkStart w:id="38" w:name="_Toc30096"/>
    </w:p>
    <w:p>
      <w:pPr>
        <w:pStyle w:val="2"/>
        <w:spacing w:line="360" w:lineRule="auto"/>
        <w:rPr>
          <w:rFonts w:eastAsia="黑体"/>
          <w:color w:val="000000"/>
          <w:szCs w:val="32"/>
        </w:rPr>
        <w:sectPr>
          <w:pgSz w:w="11906" w:h="16838"/>
          <w:pgMar w:top="1440" w:right="1800" w:bottom="1440" w:left="1800" w:header="851" w:footer="992" w:gutter="0"/>
          <w:cols w:space="720" w:num="1"/>
          <w:docGrid w:type="lines" w:linePitch="312" w:charSpace="0"/>
        </w:sectPr>
      </w:pPr>
      <w:bookmarkStart w:id="39" w:name="_Toc20153570"/>
    </w:p>
    <w:p>
      <w:pPr>
        <w:pStyle w:val="2"/>
        <w:spacing w:line="360" w:lineRule="auto"/>
        <w:rPr>
          <w:rFonts w:eastAsia="黑体"/>
          <w:color w:val="000000"/>
          <w:szCs w:val="32"/>
        </w:rPr>
      </w:pPr>
      <w:r>
        <w:rPr>
          <w:rFonts w:hint="eastAsia" w:eastAsia="黑体"/>
          <w:color w:val="000000"/>
          <w:szCs w:val="32"/>
        </w:rPr>
        <w:t>第三部分</w:t>
      </w:r>
      <w:r>
        <w:rPr>
          <w:rFonts w:eastAsia="黑体"/>
          <w:color w:val="000000"/>
          <w:szCs w:val="32"/>
        </w:rPr>
        <w:t xml:space="preserve"> </w:t>
      </w:r>
      <w:r>
        <w:rPr>
          <w:rFonts w:hint="eastAsia" w:eastAsia="黑体"/>
          <w:color w:val="000000"/>
          <w:szCs w:val="32"/>
        </w:rPr>
        <w:t>招标文件</w:t>
      </w:r>
      <w:bookmarkEnd w:id="38"/>
      <w:bookmarkEnd w:id="39"/>
    </w:p>
    <w:p>
      <w:pPr>
        <w:pStyle w:val="28"/>
        <w:rPr>
          <w:rFonts w:ascii="仿宋_GB2312" w:hAnsi="仿宋_GB2312" w:eastAsia="仿宋_GB2312" w:cs="仿宋_GB2312"/>
          <w:color w:val="000000"/>
        </w:rPr>
      </w:pPr>
      <w:bookmarkStart w:id="40" w:name="_Toc20153571"/>
      <w:bookmarkStart w:id="41" w:name="_Toc29207"/>
      <w:r>
        <w:rPr>
          <w:rFonts w:hint="eastAsia" w:ascii="仿宋_GB2312" w:hAnsi="仿宋_GB2312" w:eastAsia="仿宋_GB2312" w:cs="仿宋_GB2312"/>
          <w:color w:val="000000"/>
        </w:rPr>
        <w:t>第一节 招标项目需求书</w:t>
      </w:r>
      <w:bookmarkEnd w:id="40"/>
      <w:bookmarkEnd w:id="41"/>
    </w:p>
    <w:p>
      <w:pPr>
        <w:spacing w:line="360" w:lineRule="auto"/>
        <w:rPr>
          <w:rFonts w:ascii="宋体" w:hAnsi="宋体" w:cs="宋体"/>
          <w:b/>
          <w:color w:val="000000"/>
          <w:sz w:val="24"/>
        </w:rPr>
      </w:pPr>
      <w:r>
        <w:rPr>
          <w:rFonts w:hint="eastAsia" w:ascii="宋体" w:hAnsi="宋体" w:cs="宋体"/>
          <w:b/>
          <w:color w:val="000000"/>
          <w:sz w:val="24"/>
        </w:rPr>
        <w:t>1．项目概况</w:t>
      </w:r>
    </w:p>
    <w:p>
      <w:pPr>
        <w:spacing w:line="360" w:lineRule="auto"/>
        <w:ind w:firstLine="477" w:firstLineChars="199"/>
        <w:rPr>
          <w:rFonts w:ascii="宋体" w:hAnsi="宋体" w:cs="宋体"/>
          <w:bCs/>
          <w:color w:val="000000"/>
          <w:sz w:val="24"/>
        </w:rPr>
      </w:pPr>
      <w:r>
        <w:rPr>
          <w:rFonts w:hint="eastAsia" w:ascii="宋体" w:hAnsi="宋体" w:cs="宋体"/>
          <w:bCs/>
          <w:color w:val="000000"/>
          <w:sz w:val="24"/>
        </w:rPr>
        <w:t>1.1 工程概况</w:t>
      </w:r>
    </w:p>
    <w:p>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（物业项目名称）   </w:t>
      </w:r>
      <w:r>
        <w:rPr>
          <w:rFonts w:hint="eastAsia" w:ascii="宋体" w:hAnsi="宋体" w:cs="宋体"/>
          <w:color w:val="000000"/>
          <w:sz w:val="24"/>
        </w:rPr>
        <w:t>项目系由</w:t>
      </w:r>
      <w:r>
        <w:rPr>
          <w:rFonts w:hint="eastAsia" w:ascii="宋体" w:hAnsi="宋体" w:cs="宋体"/>
          <w:color w:val="000000"/>
          <w:sz w:val="24"/>
          <w:u w:val="single"/>
        </w:rPr>
        <w:t xml:space="preserve">             </w:t>
      </w:r>
      <w:r>
        <w:rPr>
          <w:rFonts w:hint="eastAsia" w:ascii="宋体" w:hAnsi="宋体" w:cs="宋体"/>
          <w:color w:val="000000"/>
          <w:sz w:val="24"/>
        </w:rPr>
        <w:t>投资建设的</w:t>
      </w:r>
      <w:r>
        <w:rPr>
          <w:rFonts w:hint="eastAsia" w:ascii="宋体" w:hAnsi="宋体" w:cs="宋体"/>
          <w:color w:val="000000"/>
          <w:sz w:val="24"/>
          <w:u w:val="single"/>
        </w:rPr>
        <w:t>（物业类型及性质，如商品房住宅小区或经济适用房住宅小区、医院、学校等）  。</w:t>
      </w:r>
      <w:r>
        <w:rPr>
          <w:rFonts w:hint="eastAsia" w:ascii="宋体" w:hAnsi="宋体" w:cs="宋体"/>
          <w:color w:val="000000"/>
          <w:sz w:val="24"/>
        </w:rPr>
        <w:t>具体相关情况如下表：</w:t>
      </w:r>
    </w:p>
    <w:p>
      <w:pPr>
        <w:spacing w:line="360" w:lineRule="auto"/>
        <w:ind w:firstLine="420" w:firstLineChars="200"/>
        <w:rPr>
          <w:color w:val="000000"/>
          <w:szCs w:val="21"/>
        </w:rPr>
      </w:pPr>
    </w:p>
    <w:tbl>
      <w:tblPr>
        <w:tblStyle w:val="20"/>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704"/>
        <w:gridCol w:w="1445"/>
        <w:gridCol w:w="1816"/>
        <w:gridCol w:w="604"/>
        <w:gridCol w:w="1317"/>
        <w:gridCol w:w="1104"/>
        <w:gridCol w:w="983"/>
        <w:gridCol w:w="1456"/>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rFonts w:hint="eastAsia"/>
                <w:color w:val="000000"/>
                <w:szCs w:val="21"/>
              </w:rPr>
              <w:t>序号</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内</w:t>
            </w:r>
            <w:r>
              <w:rPr>
                <w:color w:val="000000"/>
                <w:szCs w:val="21"/>
              </w:rPr>
              <w:t xml:space="preserve"> </w:t>
            </w:r>
            <w:r>
              <w:rPr>
                <w:rFonts w:hint="eastAsia"/>
                <w:color w:val="000000"/>
                <w:szCs w:val="21"/>
              </w:rPr>
              <w:t>容</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相关数据资料</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1</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总占地面积</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color w:val="000000"/>
                <w:szCs w:val="21"/>
                <w:u w:val="single"/>
              </w:rPr>
              <w:t xml:space="preserve">                  </w:t>
            </w: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2</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总建筑面积</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color w:val="000000"/>
                <w:szCs w:val="21"/>
                <w:u w:val="single"/>
              </w:rPr>
              <w:t xml:space="preserve">                  </w:t>
            </w: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3</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计容积率总建筑面积</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left"/>
              <w:rPr>
                <w:color w:val="000000"/>
                <w:szCs w:val="21"/>
                <w:u w:val="single"/>
              </w:rPr>
            </w:pPr>
            <w:r>
              <w:rPr>
                <w:color w:val="000000"/>
                <w:szCs w:val="21"/>
                <w:u w:val="single"/>
              </w:rPr>
              <w:t xml:space="preserve">                  </w:t>
            </w: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4</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竣工时间</w:t>
            </w:r>
          </w:p>
        </w:tc>
        <w:tc>
          <w:tcPr>
            <w:tcW w:w="242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Cs w:val="21"/>
                <w:u w:val="single"/>
              </w:rPr>
            </w:pPr>
          </w:p>
        </w:tc>
        <w:tc>
          <w:tcPr>
            <w:tcW w:w="24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交付时间</w:t>
            </w:r>
          </w:p>
        </w:tc>
        <w:tc>
          <w:tcPr>
            <w:tcW w:w="2439"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Cs w:val="21"/>
                <w:u w:val="singl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5</w:t>
            </w:r>
          </w:p>
          <w:p>
            <w:pPr>
              <w:ind w:firstLine="105" w:firstLineChars="50"/>
              <w:rPr>
                <w:color w:val="000000"/>
                <w:szCs w:val="21"/>
              </w:rPr>
            </w:pPr>
          </w:p>
        </w:tc>
        <w:tc>
          <w:tcPr>
            <w:tcW w:w="144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各种类型物业建筑面积及相关情况</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住宅</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商业</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公厕</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幼儿园</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社区文化中心</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社区健康服务中心</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垃圾站</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社区居委会</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物业服务办公用房</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业主委员会活动用房</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物业管理员工宿舍</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其他物业</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带电梯楼宇</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栋</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不带电梯楼宇</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栋</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ind w:firstLine="105" w:firstLineChars="50"/>
              <w:rPr>
                <w:color w:val="000000"/>
                <w:szCs w:val="21"/>
              </w:rPr>
            </w:pPr>
            <w:r>
              <w:rPr>
                <w:color w:val="000000"/>
                <w:szCs w:val="21"/>
              </w:rPr>
              <w:t>6</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停车位数量</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室内停车位</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室外（含露天）停车位</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7</w:t>
            </w:r>
          </w:p>
        </w:tc>
        <w:tc>
          <w:tcPr>
            <w:tcW w:w="144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相关指标数据</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建筑物栋数</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r>
              <w:rPr>
                <w:rFonts w:hint="eastAsia"/>
                <w:color w:val="000000"/>
                <w:szCs w:val="21"/>
              </w:rPr>
              <w:t>栋</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建筑容积率</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建筑覆盖率</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绿化率</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p>
        </w:tc>
      </w:tr>
    </w:tbl>
    <w:p>
      <w:pPr>
        <w:pStyle w:val="5"/>
        <w:spacing w:line="360" w:lineRule="auto"/>
        <w:rPr>
          <w:color w:val="000000"/>
          <w:szCs w:val="21"/>
        </w:rPr>
      </w:pPr>
      <w:r>
        <w:rPr>
          <w:rFonts w:hint="eastAsia"/>
          <w:color w:val="000000"/>
          <w:szCs w:val="21"/>
        </w:rPr>
        <w:t>注：请根据物业项目具体情况填写上表，没有数据的指标可空白；可按照表格格式扩展。</w:t>
      </w:r>
    </w:p>
    <w:p>
      <w:pPr>
        <w:pStyle w:val="5"/>
        <w:spacing w:line="360" w:lineRule="auto"/>
        <w:rPr>
          <w:color w:val="000000"/>
          <w:szCs w:val="21"/>
        </w:rPr>
      </w:pPr>
      <w:r>
        <w:rPr>
          <w:rFonts w:hint="eastAsia"/>
          <w:color w:val="000000"/>
          <w:szCs w:val="21"/>
        </w:rPr>
        <w:t>此处应该附上建设工程规划平面图，以供投标人参考。</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1.2 户型情况</w:t>
      </w:r>
    </w:p>
    <w:p>
      <w:pPr>
        <w:spacing w:line="360" w:lineRule="auto"/>
        <w:ind w:firstLine="477" w:firstLineChars="199"/>
        <w:rPr>
          <w:rFonts w:ascii="宋体" w:hAnsi="宋体" w:cs="宋体"/>
          <w:color w:val="000000"/>
          <w:sz w:val="24"/>
          <w:u w:val="single"/>
        </w:rPr>
      </w:pPr>
      <w:r>
        <w:rPr>
          <w:rFonts w:hint="eastAsia" w:ascii="宋体" w:hAnsi="宋体" w:cs="宋体"/>
          <w:color w:val="000000"/>
          <w:sz w:val="24"/>
        </w:rPr>
        <w:t>本项目共有</w:t>
      </w:r>
      <w:r>
        <w:rPr>
          <w:rFonts w:hint="eastAsia" w:ascii="宋体" w:hAnsi="宋体" w:cs="宋体"/>
          <w:color w:val="000000"/>
          <w:sz w:val="24"/>
          <w:u w:val="single"/>
        </w:rPr>
        <w:t xml:space="preserve">     </w:t>
      </w:r>
      <w:r>
        <w:rPr>
          <w:rFonts w:hint="eastAsia" w:ascii="宋体" w:hAnsi="宋体" w:cs="宋体"/>
          <w:color w:val="000000"/>
          <w:sz w:val="24"/>
        </w:rPr>
        <w:t>套住宅，有</w:t>
      </w:r>
      <w:r>
        <w:rPr>
          <w:rFonts w:hint="eastAsia" w:ascii="宋体" w:hAnsi="宋体" w:cs="宋体"/>
          <w:color w:val="000000"/>
          <w:sz w:val="24"/>
          <w:u w:val="single"/>
        </w:rPr>
        <w:t xml:space="preserve">     </w:t>
      </w:r>
      <w:r>
        <w:rPr>
          <w:rFonts w:hint="eastAsia" w:ascii="宋体" w:hAnsi="宋体" w:cs="宋体"/>
          <w:color w:val="000000"/>
          <w:sz w:val="24"/>
        </w:rPr>
        <w:t>种户型设计：其中</w:t>
      </w:r>
      <w:r>
        <w:rPr>
          <w:rFonts w:hint="eastAsia" w:ascii="宋体" w:hAnsi="宋体" w:cs="宋体"/>
          <w:color w:val="000000"/>
          <w:sz w:val="24"/>
          <w:u w:val="single"/>
        </w:rPr>
        <w:t xml:space="preserve">      </w:t>
      </w:r>
      <w:r>
        <w:rPr>
          <w:rFonts w:hint="eastAsia" w:ascii="宋体" w:hAnsi="宋体" w:cs="宋体"/>
          <w:color w:val="000000"/>
          <w:sz w:val="24"/>
        </w:rPr>
        <w:t>户型有</w:t>
      </w:r>
      <w:r>
        <w:rPr>
          <w:rFonts w:hint="eastAsia" w:ascii="宋体" w:hAnsi="宋体" w:cs="宋体"/>
          <w:color w:val="000000"/>
          <w:sz w:val="24"/>
          <w:u w:val="single"/>
        </w:rPr>
        <w:t xml:space="preserve">    </w:t>
      </w:r>
      <w:r>
        <w:rPr>
          <w:rFonts w:hint="eastAsia" w:ascii="宋体" w:hAnsi="宋体" w:cs="宋体"/>
          <w:color w:val="000000"/>
          <w:sz w:val="24"/>
        </w:rPr>
        <w:t>套，单套建筑面积为</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户型有</w:t>
      </w:r>
      <w:r>
        <w:rPr>
          <w:rFonts w:hint="eastAsia" w:ascii="宋体" w:hAnsi="宋体" w:cs="宋体"/>
          <w:color w:val="000000"/>
          <w:sz w:val="24"/>
          <w:u w:val="single"/>
        </w:rPr>
        <w:t xml:space="preserve">    </w:t>
      </w:r>
      <w:r>
        <w:rPr>
          <w:rFonts w:hint="eastAsia" w:ascii="宋体" w:hAnsi="宋体" w:cs="宋体"/>
          <w:color w:val="000000"/>
          <w:sz w:val="24"/>
        </w:rPr>
        <w:t>套，单套建筑面积为</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77" w:firstLineChars="199"/>
        <w:rPr>
          <w:rFonts w:ascii="宋体" w:hAnsi="宋体" w:cs="宋体"/>
          <w:bCs/>
          <w:color w:val="000000"/>
          <w:sz w:val="24"/>
        </w:rPr>
      </w:pPr>
      <w:r>
        <w:rPr>
          <w:rFonts w:hint="eastAsia" w:ascii="宋体" w:hAnsi="宋体" w:cs="宋体"/>
          <w:bCs/>
          <w:color w:val="000000"/>
          <w:sz w:val="24"/>
        </w:rPr>
        <w:t>1.3 物业专项维修资金账户余额情况</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截至本项目物业管理招标公告发布（投标邀请书发出）之日止，本项目物业专项维修资金相关情况如下表所示：</w:t>
      </w:r>
    </w:p>
    <w:tbl>
      <w:tblPr>
        <w:tblStyle w:val="20"/>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712"/>
        <w:gridCol w:w="3512"/>
        <w:gridCol w:w="4205"/>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705" w:hRule="atLeast"/>
          <w:jc w:val="center"/>
        </w:trPr>
        <w:tc>
          <w:tcPr>
            <w:tcW w:w="17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rPr>
            </w:pPr>
            <w:r>
              <w:rPr>
                <w:rFonts w:hint="eastAsia"/>
                <w:bCs/>
                <w:color w:val="000000"/>
              </w:rPr>
              <w:t>物业专项维修资金账户余额情况</w:t>
            </w:r>
          </w:p>
        </w:tc>
        <w:tc>
          <w:tcPr>
            <w:tcW w:w="35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首期归集物业专项维修资金</w:t>
            </w:r>
          </w:p>
        </w:tc>
        <w:tc>
          <w:tcPr>
            <w:tcW w:w="42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color w:val="000000"/>
                <w:szCs w:val="21"/>
                <w:u w:val="single"/>
              </w:rPr>
              <w:t xml:space="preserve">                                  </w:t>
            </w:r>
            <w:r>
              <w:rPr>
                <w:rFonts w:hint="eastAsia"/>
                <w:color w:val="000000"/>
                <w:szCs w:val="21"/>
              </w:rPr>
              <w:t>元</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600" w:hRule="atLeast"/>
          <w:jc w:val="center"/>
        </w:trPr>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rPr>
            </w:pPr>
          </w:p>
        </w:tc>
        <w:tc>
          <w:tcPr>
            <w:tcW w:w="35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日常收取的物业专项维修资金的收取标准</w:t>
            </w:r>
          </w:p>
        </w:tc>
        <w:tc>
          <w:tcPr>
            <w:tcW w:w="42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color w:val="000000"/>
                <w:szCs w:val="21"/>
                <w:u w:val="single"/>
              </w:rPr>
              <w:t xml:space="preserve">                         </w:t>
            </w:r>
            <w:r>
              <w:rPr>
                <w:rFonts w:hint="eastAsia"/>
                <w:color w:val="000000"/>
                <w:szCs w:val="21"/>
              </w:rPr>
              <w:t>元</w:t>
            </w:r>
            <w:r>
              <w:rPr>
                <w:color w:val="000000"/>
                <w:szCs w:val="21"/>
              </w:rPr>
              <w:t>/</w:t>
            </w:r>
            <w:r>
              <w:rPr>
                <w:rFonts w:hint="eastAsia"/>
                <w:color w:val="000000"/>
                <w:szCs w:val="21"/>
              </w:rPr>
              <w:t>月</w:t>
            </w:r>
            <w:r>
              <w:rPr>
                <w:color w:val="000000"/>
                <w:szCs w:val="21"/>
              </w:rPr>
              <w:t>/</w:t>
            </w:r>
            <w:r>
              <w:rPr>
                <w:rFonts w:hint="eastAsia"/>
                <w:color w:val="000000"/>
                <w:szCs w:val="21"/>
              </w:rPr>
              <w:t>平方米</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1192" w:hRule="atLeast"/>
          <w:jc w:val="center"/>
        </w:trPr>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rPr>
            </w:pPr>
          </w:p>
        </w:tc>
        <w:tc>
          <w:tcPr>
            <w:tcW w:w="35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截至本项目物业管理招标公告发布（投标邀请书发出）之日止，本项目物业专项维修资金（含首期归集和日常收取）账户余额</w:t>
            </w:r>
          </w:p>
        </w:tc>
        <w:tc>
          <w:tcPr>
            <w:tcW w:w="42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u w:val="single"/>
              </w:rPr>
            </w:pPr>
            <w:r>
              <w:rPr>
                <w:color w:val="000000"/>
                <w:szCs w:val="21"/>
                <w:u w:val="single"/>
              </w:rPr>
              <w:t xml:space="preserve">                                  </w:t>
            </w:r>
            <w:r>
              <w:rPr>
                <w:rFonts w:hint="eastAsia"/>
                <w:color w:val="000000"/>
                <w:szCs w:val="21"/>
              </w:rPr>
              <w:t>元</w:t>
            </w:r>
          </w:p>
        </w:tc>
      </w:tr>
    </w:tbl>
    <w:p>
      <w:pPr>
        <w:spacing w:line="360" w:lineRule="auto"/>
        <w:rPr>
          <w:rFonts w:ascii="宋体" w:hAnsi="宋体" w:cs="宋体"/>
          <w:b/>
          <w:color w:val="000000"/>
          <w:sz w:val="24"/>
        </w:rPr>
      </w:pPr>
      <w:r>
        <w:rPr>
          <w:rFonts w:hint="eastAsia" w:ascii="宋体" w:hAnsi="宋体" w:cs="宋体"/>
          <w:b/>
          <w:color w:val="000000"/>
          <w:sz w:val="24"/>
        </w:rPr>
        <w:t>2．物业服务范围</w:t>
      </w:r>
    </w:p>
    <w:p>
      <w:pPr>
        <w:spacing w:line="360" w:lineRule="auto"/>
        <w:rPr>
          <w:rFonts w:ascii="宋体" w:hAnsi="宋体" w:cs="宋体"/>
          <w:b/>
          <w:snapToGrid w:val="0"/>
          <w:color w:val="000000"/>
          <w:kern w:val="0"/>
          <w:sz w:val="24"/>
        </w:rPr>
      </w:pPr>
      <w:r>
        <w:rPr>
          <w:rFonts w:hint="eastAsia" w:ascii="宋体" w:hAnsi="宋体" w:cs="宋体"/>
          <w:b/>
          <w:snapToGrid w:val="0"/>
          <w:color w:val="000000"/>
          <w:kern w:val="0"/>
          <w:sz w:val="24"/>
        </w:rPr>
        <w:t>（以下物业服务范围为参考文本，招标人应根据物业项目具体情况明确物业服务范围）</w:t>
      </w:r>
    </w:p>
    <w:p>
      <w:pPr>
        <w:snapToGrid w:val="0"/>
        <w:spacing w:line="360" w:lineRule="auto"/>
        <w:ind w:firstLine="480" w:firstLineChars="200"/>
        <w:rPr>
          <w:rFonts w:ascii="宋体" w:hAnsi="宋体" w:cs="宋体"/>
          <w:b/>
          <w:snapToGrid w:val="0"/>
          <w:color w:val="000000"/>
          <w:kern w:val="0"/>
          <w:sz w:val="24"/>
        </w:rPr>
      </w:pPr>
      <w:r>
        <w:rPr>
          <w:rFonts w:hint="eastAsia" w:ascii="宋体" w:hAnsi="宋体" w:cs="宋体"/>
          <w:snapToGrid w:val="0"/>
          <w:color w:val="000000"/>
          <w:kern w:val="0"/>
          <w:sz w:val="24"/>
        </w:rPr>
        <w:t>以下文本如涉及甲方乙方，甲方指本项目物业服务企业的选聘单位，即</w:t>
      </w:r>
      <w:r>
        <w:rPr>
          <w:rFonts w:hint="eastAsia" w:ascii="宋体" w:hAnsi="宋体" w:cs="宋体"/>
          <w:snapToGrid w:val="0"/>
          <w:color w:val="000000"/>
          <w:kern w:val="0"/>
          <w:sz w:val="24"/>
          <w:u w:val="single"/>
        </w:rPr>
        <w:t xml:space="preserve">   </w:t>
      </w:r>
      <w:r>
        <w:rPr>
          <w:rFonts w:hint="eastAsia" w:ascii="宋体" w:hAnsi="宋体" w:cs="宋体"/>
          <w:color w:val="000000"/>
          <w:sz w:val="24"/>
          <w:u w:val="single"/>
        </w:rPr>
        <w:t xml:space="preserve">（招标人名称）   </w:t>
      </w:r>
      <w:r>
        <w:rPr>
          <w:rFonts w:hint="eastAsia" w:ascii="宋体" w:hAnsi="宋体" w:cs="宋体"/>
          <w:snapToGrid w:val="0"/>
          <w:color w:val="000000"/>
          <w:kern w:val="0"/>
          <w:sz w:val="24"/>
        </w:rPr>
        <w:t>，乙方指向本项目提供物业服务的投标物业服务企业</w:t>
      </w:r>
      <w:r>
        <w:rPr>
          <w:rFonts w:hint="eastAsia" w:ascii="宋体" w:hAnsi="宋体" w:cs="宋体"/>
          <w:b/>
          <w:snapToGrid w:val="0"/>
          <w:color w:val="000000"/>
          <w:kern w:val="0"/>
          <w:sz w:val="24"/>
        </w:rPr>
        <w:t>。</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1、对房屋建筑本体及其附属建筑物、构筑物、配套的设备设施的日常运行维护、保养和管理等。</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2、房屋建筑本体之外的共有部位的日常维修、养护和管理。物业共有部位一般包括建筑物的基础、承重结构、外墙、屋顶等基本结构部分，通道、楼梯、大堂等公共通行部分，避难层、设备层、架空层或者设备间等结构部分。</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3、公共环境的清洁卫生（垃圾清扫、收集和转运等）和绿化管理（绿化养护及养护检查）等。</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4、协助当地公安机关进行物业公共秩序管理服务工作，一般包括公共安全防范管理、消防管理、突发事件应急管理、小区车辆停放管理等。</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5、物业及物业管理档案、资料的管理，包括业主及物业使用人信息、小区共有设备设施信息、物业管理业绩信息等。</w:t>
      </w:r>
    </w:p>
    <w:p>
      <w:pPr>
        <w:snapToGrid w:val="0"/>
        <w:spacing w:line="360" w:lineRule="auto"/>
        <w:ind w:firstLine="480" w:firstLineChars="200"/>
        <w:rPr>
          <w:rFonts w:ascii="宋体" w:hAnsi="宋体" w:cs="宋体"/>
          <w:b/>
          <w:color w:val="000000"/>
          <w:sz w:val="24"/>
        </w:rPr>
      </w:pPr>
      <w:r>
        <w:rPr>
          <w:rFonts w:hint="eastAsia" w:ascii="宋体" w:hAnsi="宋体" w:cs="宋体"/>
          <w:snapToGrid w:val="0"/>
          <w:color w:val="000000"/>
          <w:kern w:val="0"/>
          <w:sz w:val="24"/>
        </w:rPr>
        <w:t>6、招标人在招标文件中要求或者法规和政策规定由物业服务企业提供的其他物业管理事项。</w:t>
      </w:r>
    </w:p>
    <w:p>
      <w:pPr>
        <w:spacing w:line="360" w:lineRule="auto"/>
        <w:rPr>
          <w:rFonts w:ascii="宋体" w:hAnsi="宋体" w:cs="宋体"/>
          <w:b/>
          <w:color w:val="000000"/>
          <w:sz w:val="24"/>
        </w:rPr>
      </w:pPr>
      <w:r>
        <w:rPr>
          <w:rFonts w:hint="eastAsia" w:ascii="宋体" w:hAnsi="宋体" w:cs="宋体"/>
          <w:b/>
          <w:color w:val="000000"/>
          <w:sz w:val="24"/>
        </w:rPr>
        <w:t>3．服务期限</w:t>
      </w:r>
    </w:p>
    <w:p>
      <w:pPr>
        <w:snapToGrid w:val="0"/>
        <w:spacing w:line="360" w:lineRule="auto"/>
        <w:ind w:firstLine="573"/>
        <w:rPr>
          <w:rFonts w:ascii="宋体" w:hAnsi="宋体" w:cs="宋体"/>
          <w:b/>
          <w:color w:val="000000"/>
          <w:sz w:val="24"/>
        </w:rPr>
      </w:pPr>
      <w:r>
        <w:rPr>
          <w:rFonts w:hint="eastAsia" w:ascii="宋体" w:hAnsi="宋体" w:cs="宋体"/>
          <w:snapToGrid w:val="0"/>
          <w:color w:val="000000"/>
          <w:kern w:val="0"/>
          <w:sz w:val="24"/>
        </w:rPr>
        <w:t>本合同期限为</w:t>
      </w:r>
      <w:r>
        <w:rPr>
          <w:rFonts w:hint="eastAsia" w:ascii="宋体" w:hAnsi="宋体" w:cs="宋体"/>
          <w:snapToGrid w:val="0"/>
          <w:color w:val="000000"/>
          <w:kern w:val="0"/>
          <w:sz w:val="24"/>
          <w:u w:val="single"/>
        </w:rPr>
        <w:t xml:space="preserve">     </w:t>
      </w:r>
      <w:r>
        <w:rPr>
          <w:rFonts w:hint="eastAsia" w:ascii="宋体" w:hAnsi="宋体" w:cs="宋体"/>
          <w:snapToGrid w:val="0"/>
          <w:color w:val="000000"/>
          <w:kern w:val="0"/>
          <w:sz w:val="24"/>
        </w:rPr>
        <w:t>年，具体合同起止日期由甲、乙双方约定</w:t>
      </w:r>
      <w:r>
        <w:rPr>
          <w:rFonts w:hint="eastAsia" w:ascii="宋体" w:hAnsi="宋体" w:cs="宋体"/>
          <w:color w:val="000000"/>
          <w:sz w:val="24"/>
        </w:rPr>
        <w:t>。</w:t>
      </w:r>
    </w:p>
    <w:p>
      <w:pPr>
        <w:spacing w:line="360" w:lineRule="auto"/>
        <w:rPr>
          <w:rFonts w:ascii="宋体" w:hAnsi="宋体" w:cs="宋体"/>
          <w:b/>
          <w:snapToGrid w:val="0"/>
          <w:color w:val="000000"/>
          <w:kern w:val="0"/>
          <w:sz w:val="24"/>
        </w:rPr>
      </w:pPr>
      <w:r>
        <w:rPr>
          <w:rFonts w:hint="eastAsia" w:ascii="宋体" w:hAnsi="宋体" w:cs="宋体"/>
          <w:b/>
          <w:color w:val="000000"/>
          <w:sz w:val="24"/>
        </w:rPr>
        <w:t>4．物业服务标准及要求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合同期限内，物业管理的分项标准要求如下：</w:t>
      </w:r>
    </w:p>
    <w:tbl>
      <w:tblPr>
        <w:tblStyle w:val="20"/>
        <w:tblW w:w="93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7"/>
        <w:gridCol w:w="61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1"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序号</w:t>
            </w:r>
          </w:p>
        </w:tc>
        <w:tc>
          <w:tcPr>
            <w:tcW w:w="2487"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项</w:t>
            </w:r>
            <w:r>
              <w:rPr>
                <w:b/>
                <w:color w:val="000000"/>
                <w:szCs w:val="21"/>
              </w:rPr>
              <w:t xml:space="preserve">  </w:t>
            </w:r>
            <w:r>
              <w:rPr>
                <w:rFonts w:hint="eastAsia"/>
                <w:b/>
                <w:color w:val="000000"/>
                <w:szCs w:val="21"/>
              </w:rPr>
              <w:t>目</w:t>
            </w:r>
          </w:p>
        </w:tc>
        <w:tc>
          <w:tcPr>
            <w:tcW w:w="616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b/>
                <w:color w:val="000000"/>
                <w:szCs w:val="21"/>
              </w:rPr>
            </w:pPr>
            <w:r>
              <w:rPr>
                <w:rFonts w:hint="eastAsia"/>
                <w:b/>
                <w:color w:val="000000"/>
                <w:szCs w:val="21"/>
              </w:rPr>
              <w:t>服</w:t>
            </w:r>
            <w:r>
              <w:rPr>
                <w:b/>
                <w:color w:val="000000"/>
                <w:szCs w:val="21"/>
              </w:rPr>
              <w:t xml:space="preserve">     </w:t>
            </w:r>
            <w:r>
              <w:rPr>
                <w:rFonts w:hint="eastAsia"/>
                <w:b/>
                <w:color w:val="000000"/>
                <w:szCs w:val="21"/>
              </w:rPr>
              <w:t>务</w:t>
            </w:r>
            <w:r>
              <w:rPr>
                <w:b/>
                <w:color w:val="000000"/>
                <w:szCs w:val="21"/>
              </w:rPr>
              <w:t xml:space="preserve">     </w:t>
            </w:r>
            <w:r>
              <w:rPr>
                <w:rFonts w:hint="eastAsia"/>
                <w:b/>
                <w:color w:val="000000"/>
                <w:szCs w:val="21"/>
              </w:rPr>
              <w:t>标</w:t>
            </w:r>
            <w:r>
              <w:rPr>
                <w:b/>
                <w:color w:val="000000"/>
                <w:szCs w:val="21"/>
              </w:rPr>
              <w:t xml:space="preserve">     </w:t>
            </w:r>
            <w:r>
              <w:rPr>
                <w:rFonts w:hint="eastAsia"/>
                <w:b/>
                <w:color w:val="000000"/>
                <w:szCs w:val="21"/>
              </w:rPr>
              <w:t>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1</w:t>
            </w:r>
          </w:p>
        </w:tc>
        <w:tc>
          <w:tcPr>
            <w:tcW w:w="24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szCs w:val="21"/>
              </w:rPr>
            </w:pPr>
            <w:r>
              <w:rPr>
                <w:rFonts w:hint="eastAsia"/>
                <w:snapToGrid w:val="0"/>
                <w:color w:val="000000"/>
                <w:kern w:val="0"/>
              </w:rPr>
              <w:t>对房屋建筑本体及其附属建筑物、构筑物、配套的设备设施的日常运行维护、保养和管理等。</w:t>
            </w:r>
          </w:p>
        </w:tc>
        <w:tc>
          <w:tcPr>
            <w:tcW w:w="6168" w:type="dxa"/>
            <w:tcBorders>
              <w:top w:val="single" w:color="auto" w:sz="4" w:space="0"/>
              <w:left w:val="single" w:color="auto" w:sz="4" w:space="0"/>
              <w:bottom w:val="single" w:color="auto" w:sz="4" w:space="0"/>
              <w:right w:val="double" w:color="auto" w:sz="4" w:space="0"/>
            </w:tcBorders>
            <w:vAlign w:val="top"/>
          </w:tcPr>
          <w:p>
            <w:pPr>
              <w:spacing w:line="36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2</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snapToGrid w:val="0"/>
                <w:color w:val="000000"/>
                <w:kern w:val="0"/>
              </w:rPr>
              <w:t>房屋建筑本体之外的共有部位的日常维修、养护和管理。</w:t>
            </w:r>
          </w:p>
        </w:tc>
        <w:tc>
          <w:tcPr>
            <w:tcW w:w="6168" w:type="dxa"/>
            <w:tcBorders>
              <w:top w:val="single" w:color="auto" w:sz="4" w:space="0"/>
              <w:left w:val="single" w:color="auto" w:sz="4" w:space="0"/>
              <w:bottom w:val="single" w:color="auto" w:sz="4" w:space="0"/>
              <w:right w:val="double" w:color="auto" w:sz="4" w:space="0"/>
            </w:tcBorders>
            <w:vAlign w:val="top"/>
          </w:tcPr>
          <w:p>
            <w:pPr>
              <w:spacing w:line="36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3</w:t>
            </w:r>
          </w:p>
        </w:tc>
        <w:tc>
          <w:tcPr>
            <w:tcW w:w="24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szCs w:val="21"/>
              </w:rPr>
            </w:pPr>
            <w:r>
              <w:rPr>
                <w:rFonts w:hint="eastAsia"/>
                <w:snapToGrid w:val="0"/>
                <w:color w:val="000000"/>
                <w:kern w:val="0"/>
              </w:rPr>
              <w:t>公共环境的清洁卫生（垃圾清扫、收集和转运等）和绿化管理（绿化养护及养护检查）等。</w:t>
            </w:r>
          </w:p>
        </w:tc>
        <w:tc>
          <w:tcPr>
            <w:tcW w:w="6168" w:type="dxa"/>
            <w:tcBorders>
              <w:top w:val="single" w:color="auto" w:sz="4" w:space="0"/>
              <w:left w:val="single" w:color="auto" w:sz="4" w:space="0"/>
              <w:bottom w:val="single" w:color="auto" w:sz="4" w:space="0"/>
              <w:right w:val="double" w:color="auto" w:sz="4" w:space="0"/>
            </w:tcBorders>
            <w:vAlign w:val="top"/>
          </w:tcPr>
          <w:p>
            <w:pPr>
              <w:spacing w:line="44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4</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snapToGrid w:val="0"/>
                <w:color w:val="000000"/>
                <w:kern w:val="0"/>
              </w:rPr>
              <w:t>协助当地公安机关进行物业公共秩序管理服务工作</w:t>
            </w:r>
            <w:r>
              <w:rPr>
                <w:rFonts w:hint="eastAsia"/>
                <w:color w:val="000000"/>
                <w:szCs w:val="21"/>
              </w:rPr>
              <w:t>。</w:t>
            </w:r>
          </w:p>
        </w:tc>
        <w:tc>
          <w:tcPr>
            <w:tcW w:w="6168" w:type="dxa"/>
            <w:tcBorders>
              <w:top w:val="single" w:color="auto" w:sz="4" w:space="0"/>
              <w:left w:val="single" w:color="auto" w:sz="4" w:space="0"/>
              <w:bottom w:val="single" w:color="auto" w:sz="4" w:space="0"/>
              <w:right w:val="double" w:color="auto" w:sz="4" w:space="0"/>
            </w:tcBorders>
            <w:vAlign w:val="top"/>
          </w:tcPr>
          <w:p>
            <w:pPr>
              <w:spacing w:line="44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5</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snapToGrid w:val="0"/>
                <w:color w:val="000000"/>
                <w:kern w:val="0"/>
              </w:rPr>
              <w:t>物业及物业管理档案、资料的管理</w:t>
            </w:r>
            <w:r>
              <w:rPr>
                <w:rFonts w:hint="eastAsia"/>
                <w:color w:val="000000"/>
                <w:szCs w:val="21"/>
              </w:rPr>
              <w:t>。</w:t>
            </w:r>
          </w:p>
        </w:tc>
        <w:tc>
          <w:tcPr>
            <w:tcW w:w="6168" w:type="dxa"/>
            <w:tcBorders>
              <w:top w:val="single" w:color="auto" w:sz="4" w:space="0"/>
              <w:left w:val="single" w:color="auto" w:sz="4" w:space="0"/>
              <w:bottom w:val="single" w:color="auto" w:sz="4" w:space="0"/>
              <w:right w:val="double" w:color="auto" w:sz="4" w:space="0"/>
            </w:tcBorders>
            <w:vAlign w:val="top"/>
          </w:tcPr>
          <w:p>
            <w:pPr>
              <w:spacing w:line="44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rPr>
            </w:pPr>
            <w:r>
              <w:rPr>
                <w:color w:val="000000"/>
              </w:rPr>
              <w:t>6</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rPr>
            </w:pPr>
            <w:r>
              <w:rPr>
                <w:rFonts w:hint="eastAsia"/>
                <w:color w:val="000000"/>
              </w:rPr>
              <w:t>其他物业管理事项</w:t>
            </w:r>
          </w:p>
        </w:tc>
        <w:tc>
          <w:tcPr>
            <w:tcW w:w="6168" w:type="dxa"/>
            <w:tcBorders>
              <w:top w:val="single" w:color="auto" w:sz="4" w:space="0"/>
              <w:left w:val="single" w:color="auto" w:sz="4" w:space="0"/>
              <w:bottom w:val="single" w:color="auto" w:sz="4" w:space="0"/>
              <w:right w:val="double" w:color="auto" w:sz="4" w:space="0"/>
            </w:tcBorders>
            <w:vAlign w:val="center"/>
          </w:tcPr>
          <w:p>
            <w:pPr>
              <w:spacing w:line="440" w:lineRule="exact"/>
              <w:rPr>
                <w:color w:val="000000"/>
              </w:rPr>
            </w:pPr>
          </w:p>
        </w:tc>
      </w:tr>
    </w:tbl>
    <w:p>
      <w:pPr>
        <w:spacing w:line="360" w:lineRule="auto"/>
        <w:jc w:val="center"/>
        <w:rPr>
          <w:rFonts w:ascii="宋体" w:hAnsi="宋体" w:cs="宋体"/>
          <w:b/>
          <w:color w:val="000000"/>
          <w:szCs w:val="21"/>
        </w:rPr>
      </w:pPr>
      <w:r>
        <w:rPr>
          <w:rFonts w:hint="eastAsia" w:ascii="宋体" w:hAnsi="宋体" w:cs="宋体"/>
          <w:b/>
          <w:snapToGrid w:val="0"/>
          <w:color w:val="000000"/>
          <w:kern w:val="0"/>
          <w:szCs w:val="21"/>
        </w:rPr>
        <w:t>招标人根据物业项目具体情况明确物业服务标准</w:t>
      </w:r>
    </w:p>
    <w:p>
      <w:pPr>
        <w:spacing w:line="360" w:lineRule="auto"/>
        <w:rPr>
          <w:b/>
          <w:color w:val="000000"/>
          <w:sz w:val="24"/>
        </w:rPr>
      </w:pPr>
      <w:r>
        <w:rPr>
          <w:rFonts w:ascii="宋体" w:hAnsi="宋体" w:cs="宋体"/>
          <w:b/>
          <w:color w:val="000000"/>
          <w:sz w:val="24"/>
        </w:rPr>
        <w:t>5．建筑物功能简介</w:t>
      </w:r>
    </w:p>
    <w:p>
      <w:pPr>
        <w:spacing w:line="360" w:lineRule="auto"/>
        <w:ind w:firstLine="480" w:firstLineChars="200"/>
        <w:rPr>
          <w:color w:val="000000"/>
          <w:sz w:val="24"/>
        </w:rPr>
      </w:pPr>
      <w:r>
        <w:rPr>
          <w:rFonts w:hint="eastAsia"/>
          <w:color w:val="000000"/>
          <w:sz w:val="24"/>
        </w:rPr>
        <w:t>本项目各栋建筑物的功能如下：</w:t>
      </w:r>
    </w:p>
    <w:p>
      <w:pPr>
        <w:spacing w:line="360" w:lineRule="auto"/>
        <w:ind w:firstLine="480" w:firstLineChars="200"/>
        <w:rPr>
          <w:color w:val="000000"/>
          <w:sz w:val="24"/>
        </w:rPr>
      </w:pPr>
      <w:r>
        <w:rPr>
          <w:rFonts w:hint="eastAsia"/>
          <w:color w:val="000000"/>
          <w:sz w:val="24"/>
        </w:rPr>
        <w:t>本项目共建有</w:t>
      </w:r>
      <w:r>
        <w:rPr>
          <w:color w:val="000000"/>
          <w:sz w:val="24"/>
          <w:u w:val="single"/>
        </w:rPr>
        <w:t xml:space="preserve">    </w:t>
      </w:r>
      <w:r>
        <w:rPr>
          <w:rFonts w:hint="eastAsia"/>
          <w:color w:val="000000"/>
          <w:sz w:val="24"/>
        </w:rPr>
        <w:t>栋建筑物，其中</w:t>
      </w:r>
      <w:r>
        <w:rPr>
          <w:color w:val="000000"/>
          <w:sz w:val="24"/>
          <w:u w:val="single"/>
        </w:rPr>
        <w:t xml:space="preserve">   </w:t>
      </w:r>
      <w:r>
        <w:rPr>
          <w:rFonts w:hint="eastAsia"/>
          <w:color w:val="000000"/>
          <w:sz w:val="24"/>
        </w:rPr>
        <w:t>栋至</w:t>
      </w:r>
      <w:r>
        <w:rPr>
          <w:color w:val="000000"/>
          <w:sz w:val="24"/>
          <w:u w:val="single"/>
        </w:rPr>
        <w:t xml:space="preserve">    </w:t>
      </w:r>
      <w:r>
        <w:rPr>
          <w:rFonts w:hint="eastAsia"/>
          <w:color w:val="000000"/>
          <w:sz w:val="24"/>
        </w:rPr>
        <w:t>栋为住宅（商业用房或者其他物业），层数为</w:t>
      </w:r>
      <w:r>
        <w:rPr>
          <w:color w:val="000000"/>
          <w:sz w:val="24"/>
          <w:u w:val="single"/>
        </w:rPr>
        <w:t xml:space="preserve">     </w:t>
      </w:r>
      <w:r>
        <w:rPr>
          <w:rFonts w:hint="eastAsia"/>
          <w:color w:val="000000"/>
          <w:sz w:val="24"/>
        </w:rPr>
        <w:t>层。各类物业的具体功能为：</w:t>
      </w:r>
    </w:p>
    <w:p>
      <w:pPr>
        <w:spacing w:line="360" w:lineRule="auto"/>
        <w:rPr>
          <w:color w:val="000000"/>
          <w:sz w:val="24"/>
        </w:rPr>
      </w:pPr>
      <w:r>
        <w:rPr>
          <w:rFonts w:hint="eastAsia"/>
          <w:color w:val="000000"/>
          <w:sz w:val="24"/>
        </w:rPr>
        <w:t>（一）住宅：</w:t>
      </w:r>
    </w:p>
    <w:p>
      <w:pPr>
        <w:spacing w:line="360" w:lineRule="auto"/>
        <w:rPr>
          <w:color w:val="000000"/>
          <w:sz w:val="24"/>
        </w:rPr>
      </w:pPr>
      <w:r>
        <w:rPr>
          <w:rFonts w:hint="eastAsia"/>
          <w:color w:val="000000"/>
          <w:sz w:val="24"/>
        </w:rPr>
        <w:t>（二）商业：</w:t>
      </w:r>
    </w:p>
    <w:p>
      <w:pPr>
        <w:spacing w:line="360" w:lineRule="auto"/>
        <w:rPr>
          <w:color w:val="000000"/>
          <w:sz w:val="24"/>
        </w:rPr>
      </w:pPr>
      <w:r>
        <w:rPr>
          <w:rFonts w:hint="eastAsia"/>
          <w:color w:val="000000"/>
          <w:sz w:val="24"/>
        </w:rPr>
        <w:t>（三）其他物业：</w:t>
      </w:r>
    </w:p>
    <w:p>
      <w:pPr>
        <w:spacing w:line="360" w:lineRule="auto"/>
        <w:rPr>
          <w:rFonts w:ascii="宋体" w:hAnsi="宋体" w:cs="宋体"/>
          <w:b/>
          <w:color w:val="000000"/>
          <w:sz w:val="24"/>
        </w:rPr>
      </w:pPr>
      <w:r>
        <w:rPr>
          <w:rFonts w:ascii="宋体" w:hAnsi="宋体" w:cs="宋体"/>
          <w:b/>
          <w:color w:val="000000"/>
          <w:sz w:val="24"/>
        </w:rPr>
        <w:t>6．主要设备、设施介绍</w:t>
      </w:r>
    </w:p>
    <w:p>
      <w:pPr>
        <w:spacing w:line="360" w:lineRule="auto"/>
        <w:ind w:firstLine="481" w:firstLineChars="200"/>
        <w:rPr>
          <w:b/>
          <w:color w:val="000000"/>
          <w:sz w:val="24"/>
        </w:rPr>
      </w:pPr>
      <w:r>
        <w:rPr>
          <w:rFonts w:hint="eastAsia"/>
          <w:b/>
          <w:color w:val="000000"/>
          <w:sz w:val="24"/>
        </w:rPr>
        <w:t>以下内容，请根据物业项目工程技术资料编写。</w:t>
      </w:r>
    </w:p>
    <w:tbl>
      <w:tblPr>
        <w:tblStyle w:val="20"/>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物业管理区域内房屋建筑本体之外的共有设备设施情况</w:t>
            </w:r>
            <w:r>
              <w:rPr>
                <w:b/>
                <w:bCs/>
                <w:color w:val="000000"/>
                <w:szCs w:val="21"/>
              </w:rPr>
              <w:t xml:space="preserve">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小区车辆出入口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485"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32"/>
                <w:szCs w:val="32"/>
              </w:rPr>
            </w:pPr>
            <w:r>
              <w:rPr>
                <w:rFonts w:hint="eastAsia"/>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32"/>
                <w:szCs w:val="32"/>
              </w:rPr>
            </w:pPr>
            <w:r>
              <w:rPr>
                <w:rFonts w:hint="eastAsia"/>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113" w:right="113"/>
              <w:jc w:val="center"/>
              <w:rPr>
                <w:b/>
                <w:bCs/>
                <w:color w:val="000000"/>
                <w:szCs w:val="21"/>
              </w:rPr>
            </w:pPr>
            <w:r>
              <w:rPr>
                <w:rFonts w:hint="eastAsia"/>
                <w:b/>
                <w:bCs/>
                <w:color w:val="000000"/>
                <w:szCs w:val="21"/>
              </w:rPr>
              <w:t>房屋建筑本体共有部位及本体共有设备设施</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其他设备设施情况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right="420"/>
              <w:rPr>
                <w:color w:val="000000"/>
                <w:szCs w:val="21"/>
                <w:u w:val="single"/>
              </w:rPr>
            </w:pPr>
            <w:r>
              <w:rPr>
                <w:rFonts w:hint="eastAsia"/>
                <w:color w:val="000000"/>
                <w:szCs w:val="21"/>
              </w:rPr>
              <w:t>坐落位置</w:t>
            </w:r>
            <w:r>
              <w:rPr>
                <w:color w:val="000000"/>
                <w:szCs w:val="21"/>
                <w:u w:val="single"/>
              </w:rPr>
              <w:t xml:space="preserve">                                        </w:t>
            </w:r>
            <w:r>
              <w:rPr>
                <w:rFonts w:hint="eastAsia"/>
                <w:color w:val="000000"/>
                <w:szCs w:val="21"/>
                <w:u w:val="singl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highlight w:val="yellow"/>
              </w:rPr>
            </w:pPr>
            <w:r>
              <w:rPr>
                <w:rFonts w:hint="eastAsia"/>
                <w:color w:val="000000"/>
                <w:szCs w:val="21"/>
              </w:rPr>
              <w:t>物业管理用房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right="420"/>
              <w:rPr>
                <w:color w:val="000000"/>
                <w:szCs w:val="21"/>
              </w:rPr>
            </w:pPr>
            <w:r>
              <w:rPr>
                <w:rFonts w:hint="eastAsia"/>
                <w:color w:val="000000"/>
                <w:szCs w:val="21"/>
              </w:rPr>
              <w:t>坐落位置</w:t>
            </w:r>
            <w:r>
              <w:rPr>
                <w:color w:val="000000"/>
                <w:szCs w:val="21"/>
                <w:u w:val="single"/>
              </w:rPr>
              <w:t xml:space="preserve">                                        </w:t>
            </w:r>
            <w:r>
              <w:rPr>
                <w:rFonts w:hint="eastAsia"/>
                <w:color w:val="000000"/>
                <w:szCs w:val="21"/>
                <w:u w:val="single"/>
              </w:rPr>
              <w:t>。</w:t>
            </w:r>
          </w:p>
        </w:tc>
      </w:tr>
    </w:tbl>
    <w:p>
      <w:pPr>
        <w:pStyle w:val="5"/>
        <w:ind w:firstLine="422"/>
        <w:rPr>
          <w:b/>
          <w:bCs/>
          <w:color w:val="000000"/>
        </w:rPr>
      </w:pPr>
      <w:r>
        <w:rPr>
          <w:rFonts w:hint="eastAsia"/>
          <w:b/>
          <w:bCs/>
          <w:color w:val="000000"/>
          <w:szCs w:val="21"/>
        </w:rPr>
        <w:t>注：请根据物业项目具体情况填写上表，没有数据的指标可空白；可按照表格格式扩展。</w:t>
      </w:r>
    </w:p>
    <w:p>
      <w:pPr>
        <w:spacing w:line="360" w:lineRule="auto"/>
        <w:rPr>
          <w:rFonts w:ascii="宋体" w:hAnsi="宋体" w:cs="宋体"/>
          <w:b/>
          <w:color w:val="000000"/>
          <w:sz w:val="24"/>
        </w:rPr>
      </w:pPr>
      <w:r>
        <w:rPr>
          <w:rFonts w:hint="eastAsia" w:ascii="宋体" w:hAnsi="宋体" w:cs="宋体"/>
          <w:b/>
          <w:color w:val="000000"/>
          <w:sz w:val="24"/>
        </w:rPr>
        <w:t>7．物业管理有关说明</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7.1物业管理用房提供</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本项目配建物业管理用房，其中物业服务办公用房</w:t>
      </w:r>
      <w:r>
        <w:rPr>
          <w:rFonts w:hint="eastAsia" w:ascii="宋体" w:hAnsi="宋体" w:cs="宋体"/>
          <w:color w:val="000000"/>
          <w:sz w:val="24"/>
          <w:u w:val="single"/>
        </w:rPr>
        <w:t xml:space="preserve">       </w:t>
      </w:r>
      <w:r>
        <w:rPr>
          <w:rFonts w:hint="eastAsia" w:ascii="宋体" w:hAnsi="宋体" w:cs="宋体"/>
          <w:color w:val="000000"/>
          <w:sz w:val="24"/>
        </w:rPr>
        <w:t>平方米，根据《深圳经济特区物业管理条例》，甲方应提供物业服务办公用房</w:t>
      </w:r>
      <w:r>
        <w:rPr>
          <w:rFonts w:hint="eastAsia" w:ascii="宋体" w:hAnsi="宋体" w:cs="宋体"/>
          <w:color w:val="000000"/>
          <w:sz w:val="24"/>
          <w:u w:val="single"/>
        </w:rPr>
        <w:t xml:space="preserve">       </w:t>
      </w:r>
      <w:r>
        <w:rPr>
          <w:rFonts w:hint="eastAsia" w:ascii="宋体" w:hAnsi="宋体" w:cs="宋体"/>
          <w:color w:val="000000"/>
          <w:sz w:val="24"/>
        </w:rPr>
        <w:t>平方米。</w:t>
      </w:r>
    </w:p>
    <w:p>
      <w:pPr>
        <w:tabs>
          <w:tab w:val="left" w:pos="1440"/>
        </w:tabs>
        <w:spacing w:line="360" w:lineRule="auto"/>
        <w:ind w:firstLine="480"/>
        <w:rPr>
          <w:rFonts w:ascii="宋体" w:hAnsi="宋体" w:cs="宋体"/>
          <w:color w:val="000000"/>
          <w:sz w:val="24"/>
        </w:rPr>
      </w:pPr>
      <w:r>
        <w:rPr>
          <w:rFonts w:hint="eastAsia" w:ascii="宋体" w:hAnsi="宋体" w:cs="宋体"/>
          <w:bCs/>
          <w:color w:val="000000"/>
          <w:sz w:val="24"/>
        </w:rPr>
        <w:t>7.2</w:t>
      </w:r>
      <w:r>
        <w:rPr>
          <w:rFonts w:hint="eastAsia" w:ascii="宋体" w:hAnsi="宋体" w:cs="宋体"/>
          <w:color w:val="000000"/>
          <w:sz w:val="24"/>
        </w:rPr>
        <w:t>乙方可聘请具有一定资质的专业机构承担机电设备维修养护、清洁卫生、园林绿化、工程施工等专项服务，但不得将物业管理区域全部物业服务一并委托或者转交给其他单位或者个人。</w:t>
      </w:r>
    </w:p>
    <w:p>
      <w:pPr>
        <w:tabs>
          <w:tab w:val="left" w:pos="1440"/>
        </w:tabs>
        <w:spacing w:line="360" w:lineRule="auto"/>
        <w:ind w:firstLine="480"/>
        <w:rPr>
          <w:rFonts w:ascii="宋体" w:hAnsi="宋体" w:cs="宋体"/>
          <w:bCs/>
          <w:color w:val="000000"/>
          <w:sz w:val="24"/>
        </w:rPr>
      </w:pPr>
      <w:r>
        <w:rPr>
          <w:rFonts w:hint="eastAsia" w:ascii="宋体" w:hAnsi="宋体" w:cs="宋体"/>
          <w:bCs/>
          <w:color w:val="000000"/>
          <w:sz w:val="24"/>
        </w:rPr>
        <w:t>7.3有关物业管理事项的说明</w:t>
      </w:r>
    </w:p>
    <w:p>
      <w:pPr>
        <w:spacing w:line="360" w:lineRule="auto"/>
        <w:ind w:left="210" w:leftChars="100" w:firstLine="240" w:firstLineChars="100"/>
        <w:rPr>
          <w:rFonts w:ascii="宋体" w:hAnsi="宋体" w:cs="宋体"/>
          <w:color w:val="000000"/>
          <w:sz w:val="24"/>
        </w:rPr>
      </w:pPr>
      <w:r>
        <w:rPr>
          <w:rFonts w:hint="eastAsia" w:ascii="宋体" w:hAnsi="宋体" w:cs="宋体"/>
          <w:color w:val="000000"/>
          <w:sz w:val="24"/>
        </w:rPr>
        <w:t>（1）乙方的报价，应包含上面第</w:t>
      </w:r>
      <w:r>
        <w:rPr>
          <w:rFonts w:hint="eastAsia" w:ascii="宋体" w:hAnsi="宋体" w:cs="宋体"/>
          <w:bCs/>
          <w:color w:val="000000"/>
          <w:sz w:val="24"/>
        </w:rPr>
        <w:t>6</w:t>
      </w:r>
      <w:r>
        <w:rPr>
          <w:rFonts w:hint="eastAsia" w:ascii="宋体" w:hAnsi="宋体" w:cs="宋体"/>
          <w:color w:val="000000"/>
          <w:sz w:val="24"/>
        </w:rPr>
        <w:t>点“主要设备”所列明的设备设施的维护费、材料费、配件费以及法规规定的其他费用。</w:t>
      </w:r>
    </w:p>
    <w:p>
      <w:pPr>
        <w:tabs>
          <w:tab w:val="left" w:pos="1440"/>
        </w:tabs>
        <w:spacing w:line="360" w:lineRule="auto"/>
        <w:ind w:firstLine="480" w:firstLineChars="200"/>
        <w:rPr>
          <w:rFonts w:ascii="宋体" w:hAnsi="宋体" w:cs="宋体"/>
          <w:color w:val="000000"/>
          <w:sz w:val="24"/>
        </w:rPr>
      </w:pPr>
      <w:r>
        <w:rPr>
          <w:rFonts w:hint="eastAsia" w:ascii="宋体" w:hAnsi="宋体" w:cs="宋体"/>
          <w:color w:val="000000"/>
          <w:sz w:val="24"/>
        </w:rPr>
        <w:t>（2）其他需说明事项：</w:t>
      </w:r>
      <w:r>
        <w:rPr>
          <w:rFonts w:hint="eastAsia" w:ascii="宋体" w:hAnsi="宋体" w:cs="宋体"/>
          <w:color w:val="000000"/>
          <w:sz w:val="24"/>
          <w:u w:val="single"/>
        </w:rPr>
        <w:t xml:space="preserve">                         </w:t>
      </w:r>
    </w:p>
    <w:p>
      <w:pPr>
        <w:spacing w:line="360" w:lineRule="auto"/>
        <w:rPr>
          <w:rFonts w:ascii="宋体" w:hAnsi="宋体" w:cs="宋体"/>
          <w:b/>
          <w:color w:val="000000"/>
          <w:sz w:val="24"/>
        </w:rPr>
      </w:pPr>
      <w:r>
        <w:rPr>
          <w:rFonts w:hint="eastAsia" w:ascii="宋体" w:hAnsi="宋体" w:cs="宋体"/>
          <w:b/>
          <w:color w:val="000000"/>
          <w:sz w:val="24"/>
        </w:rPr>
        <w:t>8．订立合同方式</w:t>
      </w:r>
    </w:p>
    <w:p>
      <w:pPr>
        <w:pStyle w:val="5"/>
        <w:spacing w:line="360" w:lineRule="auto"/>
        <w:ind w:firstLine="480"/>
        <w:rPr>
          <w:rFonts w:ascii="宋体" w:hAnsi="宋体" w:cs="宋体"/>
          <w:color w:val="000000"/>
          <w:sz w:val="24"/>
          <w:u w:val="single"/>
        </w:rPr>
      </w:pPr>
      <w:r>
        <w:rPr>
          <w:rFonts w:hint="eastAsia" w:ascii="宋体" w:hAnsi="宋体" w:cs="宋体"/>
          <w:color w:val="000000"/>
          <w:sz w:val="24"/>
        </w:rPr>
        <w:t>订立合同方式：</w:t>
      </w:r>
      <w:r>
        <w:rPr>
          <w:rFonts w:hint="eastAsia" w:ascii="宋体" w:hAnsi="宋体" w:cs="宋体"/>
          <w:color w:val="000000"/>
          <w:sz w:val="24"/>
          <w:u w:val="single"/>
        </w:rPr>
        <w:t xml:space="preserve">    (招标人名称)    </w:t>
      </w:r>
      <w:r>
        <w:rPr>
          <w:rFonts w:hint="eastAsia" w:ascii="宋体" w:hAnsi="宋体" w:cs="宋体"/>
          <w:color w:val="000000"/>
          <w:sz w:val="24"/>
        </w:rPr>
        <w:t>与中标物业服务企业依法定程序，协商谈判一致后，参照本招标文件第四部分《合同主要条款及格式》</w:t>
      </w:r>
      <w:r>
        <w:rPr>
          <w:rFonts w:hint="eastAsia" w:ascii="宋体" w:hAnsi="宋体" w:cs="宋体"/>
          <w:color w:val="000000"/>
          <w:sz w:val="24"/>
          <w:u w:val="single"/>
        </w:rPr>
        <w:t>《（物业项目名称）物业服务合同》。</w:t>
      </w:r>
    </w:p>
    <w:p>
      <w:pPr>
        <w:pStyle w:val="5"/>
        <w:spacing w:line="360" w:lineRule="auto"/>
        <w:ind w:firstLine="480"/>
        <w:rPr>
          <w:rFonts w:ascii="宋体" w:hAnsi="宋体" w:cs="宋体"/>
          <w:color w:val="000000"/>
          <w:sz w:val="24"/>
        </w:rPr>
      </w:pPr>
      <w:r>
        <w:rPr>
          <w:rFonts w:hint="eastAsia" w:ascii="宋体" w:hAnsi="宋体" w:cs="宋体"/>
          <w:color w:val="000000"/>
          <w:sz w:val="24"/>
        </w:rPr>
        <w:t>由街道办组织招投标的，根据《深圳经济特区物业管理条例》的相关规定，由物业项目所在居民委员会与中标物业服务企业签订《（物业项目名称）物业服务合同》。</w:t>
      </w:r>
    </w:p>
    <w:p>
      <w:pPr>
        <w:spacing w:line="360" w:lineRule="auto"/>
        <w:rPr>
          <w:rFonts w:ascii="宋体" w:hAnsi="宋体" w:cs="宋体"/>
          <w:b/>
          <w:color w:val="000000"/>
          <w:sz w:val="24"/>
        </w:rPr>
      </w:pPr>
      <w:r>
        <w:rPr>
          <w:rFonts w:hint="eastAsia" w:ascii="宋体" w:hAnsi="宋体" w:cs="宋体"/>
          <w:b/>
          <w:color w:val="000000"/>
          <w:sz w:val="24"/>
        </w:rPr>
        <w:t xml:space="preserve"> 9．付款方式</w:t>
      </w:r>
    </w:p>
    <w:p>
      <w:pPr>
        <w:pStyle w:val="5"/>
        <w:spacing w:line="360" w:lineRule="auto"/>
        <w:ind w:firstLine="448" w:firstLineChars="187"/>
        <w:rPr>
          <w:rFonts w:ascii="宋体" w:hAnsi="宋体" w:cs="宋体"/>
          <w:color w:val="000000"/>
          <w:sz w:val="24"/>
          <w:u w:val="single"/>
        </w:rPr>
      </w:pPr>
      <w:r>
        <w:rPr>
          <w:rFonts w:hint="eastAsia" w:ascii="宋体" w:hAnsi="宋体" w:cs="宋体"/>
          <w:color w:val="000000"/>
          <w:sz w:val="24"/>
          <w:u w:val="single"/>
        </w:rPr>
        <w:t>按照合同相关约定执行。</w:t>
      </w:r>
    </w:p>
    <w:p>
      <w:pPr>
        <w:spacing w:line="360" w:lineRule="auto"/>
        <w:rPr>
          <w:rFonts w:ascii="宋体" w:hAnsi="宋体" w:cs="宋体"/>
          <w:b/>
          <w:color w:val="000000"/>
          <w:sz w:val="24"/>
        </w:rPr>
      </w:pPr>
      <w:r>
        <w:rPr>
          <w:rFonts w:hint="eastAsia" w:ascii="宋体" w:hAnsi="宋体" w:cs="宋体"/>
          <w:b/>
          <w:color w:val="000000"/>
          <w:sz w:val="24"/>
        </w:rPr>
        <w:t>10．投标文件的组成</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所提交的投标文件至少应包含如下内容：</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(1)法定代表人证明书；</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(2)投标文件签署授权委托书；</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(3)投标函；</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(4)投标人情况介绍及相关资质材料；</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(5)物业服务企业相关项目业绩表；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(6)拟派本项目的负责人员简历表；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(7)投标保函（投标担保采用保函形式的提供）</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(8)物业管理投标承诺书</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(9)开标一览表；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(10)物业管理费构成明细报价表；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(11)物业管理方案及相关服务计划;</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(12)招标文件要求的其他资料或者投标人认为需要补充的资料。</w:t>
      </w:r>
    </w:p>
    <w:p>
      <w:pPr>
        <w:spacing w:line="360" w:lineRule="auto"/>
        <w:rPr>
          <w:rFonts w:ascii="宋体" w:hAnsi="宋体" w:cs="宋体"/>
          <w:b/>
          <w:color w:val="000000"/>
          <w:sz w:val="24"/>
        </w:rPr>
      </w:pPr>
      <w:r>
        <w:rPr>
          <w:rFonts w:hint="eastAsia" w:ascii="宋体" w:hAnsi="宋体" w:cs="宋体"/>
          <w:b/>
          <w:color w:val="000000"/>
          <w:sz w:val="24"/>
        </w:rPr>
        <w:t>11．投标价格及物业服务支出（成本）</w:t>
      </w:r>
    </w:p>
    <w:p>
      <w:pPr>
        <w:pStyle w:val="5"/>
        <w:spacing w:line="360" w:lineRule="auto"/>
        <w:ind w:firstLineChars="0"/>
        <w:rPr>
          <w:rFonts w:ascii="宋体" w:hAnsi="宋体" w:cs="宋体"/>
          <w:color w:val="000000"/>
          <w:sz w:val="24"/>
        </w:rPr>
      </w:pPr>
      <w:r>
        <w:rPr>
          <w:rFonts w:hint="eastAsia" w:ascii="宋体" w:hAnsi="宋体" w:cs="宋体"/>
          <w:color w:val="000000"/>
          <w:sz w:val="24"/>
        </w:rPr>
        <w:t>11.1本项目物业管理费具体如下：</w:t>
      </w:r>
    </w:p>
    <w:p>
      <w:pPr>
        <w:pStyle w:val="5"/>
        <w:spacing w:line="360" w:lineRule="auto"/>
        <w:ind w:firstLineChars="0"/>
        <w:rPr>
          <w:rFonts w:ascii="宋体" w:hAnsi="宋体" w:cs="宋体"/>
          <w:color w:val="000000"/>
          <w:sz w:val="24"/>
        </w:rPr>
      </w:pPr>
      <w:r>
        <w:rPr>
          <w:rFonts w:hint="eastAsia" w:ascii="宋体" w:hAnsi="宋体" w:cs="宋体"/>
          <w:color w:val="000000"/>
          <w:sz w:val="24"/>
        </w:rPr>
        <w:t>多层住宅为_______元/平方。</w:t>
      </w:r>
    </w:p>
    <w:p>
      <w:pPr>
        <w:pStyle w:val="5"/>
        <w:spacing w:line="360" w:lineRule="auto"/>
        <w:ind w:firstLineChars="0"/>
        <w:rPr>
          <w:rFonts w:ascii="宋体" w:hAnsi="宋体" w:cs="宋体"/>
          <w:color w:val="000000"/>
          <w:sz w:val="24"/>
        </w:rPr>
      </w:pPr>
      <w:r>
        <w:rPr>
          <w:rFonts w:hint="eastAsia" w:ascii="宋体" w:hAnsi="宋体" w:cs="宋体"/>
          <w:color w:val="000000"/>
          <w:sz w:val="24"/>
        </w:rPr>
        <w:t>高层住宅为_______元/平方。</w:t>
      </w:r>
    </w:p>
    <w:p>
      <w:pPr>
        <w:pStyle w:val="5"/>
        <w:spacing w:line="360" w:lineRule="auto"/>
        <w:ind w:firstLineChars="0"/>
        <w:rPr>
          <w:rFonts w:ascii="宋体" w:hAnsi="宋体" w:cs="宋体"/>
          <w:color w:val="000000"/>
          <w:sz w:val="24"/>
        </w:rPr>
      </w:pPr>
      <w:r>
        <w:rPr>
          <w:rFonts w:hint="eastAsia" w:ascii="宋体" w:hAnsi="宋体" w:cs="宋体"/>
          <w:color w:val="000000"/>
          <w:sz w:val="24"/>
        </w:rPr>
        <w:t>商业为_______元/平方。</w:t>
      </w:r>
    </w:p>
    <w:p>
      <w:pPr>
        <w:pStyle w:val="5"/>
        <w:spacing w:line="360" w:lineRule="auto"/>
        <w:ind w:firstLine="480"/>
        <w:rPr>
          <w:rFonts w:ascii="宋体" w:hAnsi="宋体" w:cs="宋体"/>
          <w:color w:val="000000"/>
          <w:sz w:val="24"/>
        </w:rPr>
      </w:pPr>
      <w:r>
        <w:rPr>
          <w:rFonts w:hint="eastAsia" w:ascii="宋体" w:hAnsi="宋体" w:cs="宋体"/>
          <w:color w:val="000000"/>
          <w:sz w:val="24"/>
        </w:rPr>
        <w:t>11.2 物业服务费为______元/月，或者每月物业管理费的_____%。</w:t>
      </w:r>
    </w:p>
    <w:p>
      <w:pPr>
        <w:pStyle w:val="5"/>
        <w:spacing w:line="360" w:lineRule="auto"/>
        <w:ind w:firstLineChars="0"/>
        <w:rPr>
          <w:rFonts w:ascii="宋体" w:hAnsi="宋体" w:cs="宋体"/>
          <w:color w:val="000000"/>
          <w:sz w:val="24"/>
        </w:rPr>
      </w:pPr>
      <w:r>
        <w:rPr>
          <w:rFonts w:hint="eastAsia" w:ascii="宋体" w:hAnsi="宋体" w:cs="宋体"/>
          <w:color w:val="000000"/>
          <w:sz w:val="24"/>
        </w:rPr>
        <w:t>11.3物业管理服务支出（成本）包括以下部分：</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 xml:space="preserve">(1)人工费用；  </w:t>
      </w:r>
    </w:p>
    <w:p>
      <w:pPr>
        <w:pStyle w:val="5"/>
        <w:spacing w:line="360" w:lineRule="auto"/>
        <w:ind w:firstLine="480"/>
        <w:rPr>
          <w:rFonts w:ascii="宋体" w:hAnsi="宋体" w:cs="宋体"/>
          <w:color w:val="000000"/>
          <w:sz w:val="24"/>
        </w:rPr>
      </w:pPr>
      <w:r>
        <w:rPr>
          <w:rFonts w:hint="eastAsia" w:ascii="宋体" w:hAnsi="宋体" w:cs="宋体"/>
          <w:color w:val="000000"/>
          <w:sz w:val="24"/>
        </w:rPr>
        <w:t xml:space="preserve">(2)行政管理费用； </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(3)物业共有部位、共有设备设施的日常运行、维护费用（含物业共有部位水、电费）；</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(4)环境清洁卫生费用；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(5)绿化养护费用；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(6)公共秩序维护费用；</w:t>
      </w:r>
    </w:p>
    <w:p>
      <w:pPr>
        <w:pStyle w:val="5"/>
        <w:spacing w:line="360" w:lineRule="auto"/>
        <w:ind w:firstLine="360" w:firstLineChars="150"/>
        <w:rPr>
          <w:rFonts w:ascii="宋体" w:hAnsi="宋体" w:cs="宋体"/>
          <w:color w:val="000000"/>
          <w:sz w:val="24"/>
        </w:rPr>
      </w:pPr>
      <w:r>
        <w:rPr>
          <w:rFonts w:hint="eastAsia" w:ascii="宋体" w:hAnsi="宋体" w:cs="宋体"/>
          <w:color w:val="000000"/>
          <w:sz w:val="24"/>
        </w:rPr>
        <w:t xml:space="preserve"> (7)管理设备分摊及固定资产折旧费；</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(8)物业共有部位、共有设备设施及公众责任保险费用；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(9)必要的社区文化、体育活动费用；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(10)安全生产投入费用;</w:t>
      </w:r>
    </w:p>
    <w:p>
      <w:pPr>
        <w:pStyle w:val="5"/>
        <w:spacing w:line="360" w:lineRule="auto"/>
        <w:ind w:firstLine="480"/>
        <w:rPr>
          <w:rFonts w:ascii="宋体" w:hAnsi="宋体" w:cs="宋体"/>
          <w:color w:val="000000"/>
          <w:sz w:val="24"/>
        </w:rPr>
      </w:pPr>
      <w:r>
        <w:rPr>
          <w:rFonts w:hint="eastAsia" w:ascii="宋体" w:hAnsi="宋体" w:cs="宋体"/>
          <w:color w:val="000000"/>
          <w:sz w:val="24"/>
        </w:rPr>
        <w:t>(11)经业主同意的其他费用。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11.4 按照我市物业专项维修资金管理的相关规定，属于物业专项维修资金使用范围的物业共有部位、共有设备设施的维修、更新和改造，其费用应当通过物业专项维修资金予以列支，不计入物业服务支出（成本）。</w:t>
      </w:r>
    </w:p>
    <w:p>
      <w:pPr>
        <w:rPr>
          <w:rFonts w:ascii="宋体" w:hAnsi="宋体" w:cs="宋体"/>
          <w:b/>
          <w:color w:val="000000"/>
          <w:sz w:val="24"/>
        </w:rPr>
      </w:pPr>
      <w:r>
        <w:rPr>
          <w:rFonts w:hint="eastAsia" w:ascii="宋体" w:hAnsi="宋体" w:cs="宋体"/>
          <w:b/>
          <w:color w:val="000000"/>
          <w:sz w:val="24"/>
        </w:rPr>
        <w:t>12．注意事项</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12.1中标人不得将本项目的全部物业服务整体分包或转包给任何单位和个人。否则，招标人有权即刻终止合同，并要求中标人赔偿相应损失。</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12.2投标人若认为招标文件的技术要求或其他要求有倾向性或不公正性，可在招标答疑阶段提出，以维护招标行为的公平、公正。</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12.3 投标人使用的标准必须是国际公认或国家、或地方政府颁布的同等或更高的标准，如投标人使用的标准低于上述标准,评标委员会将有权不予接受，投标人必须列表将明显的差异详细说明。</w:t>
      </w:r>
    </w:p>
    <w:p>
      <w:pPr>
        <w:pStyle w:val="28"/>
        <w:spacing w:line="480" w:lineRule="exact"/>
        <w:jc w:val="both"/>
        <w:rPr>
          <w:rFonts w:ascii="Times New Roman" w:hAnsi="Times New Roman" w:cs="Times New Roman"/>
          <w:color w:val="000000"/>
        </w:rPr>
      </w:pPr>
    </w:p>
    <w:p>
      <w:pPr>
        <w:pStyle w:val="28"/>
        <w:rPr>
          <w:rFonts w:ascii="仿宋_GB2312" w:hAnsi="仿宋_GB2312" w:eastAsia="仿宋_GB2312" w:cs="仿宋_GB2312"/>
          <w:b w:val="0"/>
          <w:color w:val="000000"/>
        </w:rPr>
      </w:pPr>
      <w:bookmarkStart w:id="42" w:name="_Toc6993"/>
      <w:bookmarkStart w:id="43" w:name="_Toc19310"/>
      <w:r>
        <w:rPr>
          <w:b w:val="0"/>
          <w:bCs w:val="0"/>
          <w:color w:val="000000"/>
        </w:rPr>
        <w:br w:type="column"/>
      </w:r>
      <w:bookmarkEnd w:id="42"/>
      <w:bookmarkEnd w:id="43"/>
      <w:bookmarkStart w:id="44" w:name="_Toc20699"/>
      <w:bookmarkStart w:id="45" w:name="_Toc20153572"/>
      <w:r>
        <w:rPr>
          <w:rFonts w:hint="eastAsia" w:ascii="仿宋_GB2312" w:hAnsi="仿宋_GB2312" w:eastAsia="仿宋_GB2312" w:cs="仿宋_GB2312"/>
          <w:color w:val="000000"/>
        </w:rPr>
        <w:t>第二节 投标文件格式</w:t>
      </w:r>
      <w:bookmarkEnd w:id="44"/>
      <w:r>
        <w:rPr>
          <w:rFonts w:hint="eastAsia" w:ascii="仿宋_GB2312" w:hAnsi="仿宋_GB2312" w:eastAsia="仿宋_GB2312" w:cs="仿宋_GB2312"/>
          <w:color w:val="000000"/>
        </w:rPr>
        <w:t>、主要内容</w:t>
      </w:r>
      <w:bookmarkEnd w:id="45"/>
    </w:p>
    <w:p>
      <w:pPr>
        <w:pStyle w:val="18"/>
        <w:spacing w:before="120" w:after="120" w:line="480" w:lineRule="exact"/>
        <w:jc w:val="both"/>
        <w:rPr>
          <w:rFonts w:ascii="Times New Roman" w:hAnsi="Times New Roman" w:eastAsia="黑体" w:cs="Times New Roman"/>
          <w:b w:val="0"/>
          <w:color w:val="000000"/>
          <w:sz w:val="30"/>
          <w:szCs w:val="30"/>
        </w:rPr>
      </w:pPr>
    </w:p>
    <w:p>
      <w:pPr>
        <w:pStyle w:val="18"/>
        <w:spacing w:before="120" w:after="120" w:line="480" w:lineRule="exact"/>
        <w:jc w:val="both"/>
        <w:rPr>
          <w:rFonts w:ascii="Times New Roman" w:hAnsi="Times New Roman" w:eastAsia="黑体" w:cs="Times New Roman"/>
          <w:b w:val="0"/>
          <w:color w:val="000000"/>
          <w:sz w:val="30"/>
          <w:szCs w:val="30"/>
        </w:rPr>
      </w:pPr>
    </w:p>
    <w:p>
      <w:pPr>
        <w:spacing w:line="360" w:lineRule="auto"/>
        <w:rPr>
          <w:b/>
          <w:color w:val="000000"/>
          <w:sz w:val="28"/>
          <w:szCs w:val="28"/>
        </w:rPr>
      </w:pPr>
    </w:p>
    <w:tbl>
      <w:tblPr>
        <w:tblStyle w:val="20"/>
        <w:tblpPr w:leftFromText="180" w:rightFromText="180" w:vertAnchor="text" w:horzAnchor="page" w:tblpX="1532" w:tblpY="55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30" w:type="dxa"/>
            <w:vAlign w:val="top"/>
          </w:tcPr>
          <w:p>
            <w:pPr>
              <w:pStyle w:val="7"/>
              <w:spacing w:line="360" w:lineRule="auto"/>
              <w:ind w:firstLine="481" w:firstLineChars="150"/>
              <w:rPr>
                <w:rFonts w:ascii="仿宋_GB2312"/>
                <w:b/>
                <w:sz w:val="32"/>
              </w:rPr>
            </w:pPr>
          </w:p>
          <w:p>
            <w:pPr>
              <w:pStyle w:val="7"/>
              <w:spacing w:line="360" w:lineRule="auto"/>
              <w:ind w:firstLine="481" w:firstLineChars="150"/>
              <w:rPr>
                <w:rFonts w:ascii="仿宋_GB2312"/>
                <w:b/>
                <w:sz w:val="32"/>
              </w:rPr>
            </w:pPr>
          </w:p>
          <w:p>
            <w:pPr>
              <w:pStyle w:val="7"/>
              <w:spacing w:line="360" w:lineRule="auto"/>
              <w:ind w:firstLine="481" w:firstLineChars="150"/>
              <w:jc w:val="center"/>
              <w:rPr>
                <w:rFonts w:ascii="仿宋_GB2312"/>
                <w:b/>
                <w:sz w:val="32"/>
              </w:rPr>
            </w:pPr>
          </w:p>
          <w:p>
            <w:pPr>
              <w:pStyle w:val="7"/>
              <w:spacing w:line="360" w:lineRule="auto"/>
              <w:ind w:firstLine="2891" w:firstLineChars="400"/>
              <w:jc w:val="both"/>
              <w:rPr>
                <w:rFonts w:ascii="黑体" w:eastAsia="黑体"/>
                <w:b/>
                <w:sz w:val="72"/>
                <w:szCs w:val="72"/>
              </w:rPr>
            </w:pPr>
            <w:r>
              <w:rPr>
                <w:rFonts w:hint="eastAsia" w:ascii="黑体" w:eastAsia="黑体"/>
                <w:b/>
                <w:sz w:val="72"/>
                <w:szCs w:val="72"/>
              </w:rPr>
              <w:t>投 标 文 件</w:t>
            </w:r>
          </w:p>
          <w:p>
            <w:pPr>
              <w:pStyle w:val="7"/>
              <w:spacing w:line="360" w:lineRule="auto"/>
              <w:jc w:val="both"/>
              <w:rPr>
                <w:rFonts w:ascii="黑体" w:eastAsia="黑体"/>
                <w:b/>
                <w:sz w:val="52"/>
                <w:szCs w:val="52"/>
              </w:rPr>
            </w:pPr>
          </w:p>
          <w:p>
            <w:pPr>
              <w:pStyle w:val="7"/>
              <w:spacing w:line="360" w:lineRule="auto"/>
              <w:ind w:firstLine="3398" w:firstLineChars="651"/>
              <w:jc w:val="both"/>
              <w:rPr>
                <w:rFonts w:ascii="黑体" w:eastAsia="黑体"/>
                <w:b/>
                <w:sz w:val="32"/>
              </w:rPr>
            </w:pPr>
            <w:r>
              <w:rPr>
                <w:rFonts w:hint="eastAsia" w:ascii="黑体" w:eastAsia="黑体"/>
                <w:b/>
                <w:sz w:val="52"/>
                <w:szCs w:val="52"/>
              </w:rPr>
              <w:t xml:space="preserve">口 </w:t>
            </w:r>
            <w:r>
              <w:rPr>
                <w:rFonts w:hint="eastAsia" w:ascii="黑体" w:eastAsia="黑体"/>
                <w:b/>
                <w:sz w:val="32"/>
              </w:rPr>
              <w:t>开标信封</w:t>
            </w:r>
          </w:p>
          <w:p>
            <w:pPr>
              <w:pStyle w:val="7"/>
              <w:spacing w:line="360" w:lineRule="auto"/>
              <w:ind w:firstLine="3398" w:firstLineChars="651"/>
              <w:jc w:val="both"/>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7"/>
              <w:spacing w:line="360" w:lineRule="auto"/>
              <w:ind w:firstLine="3398" w:firstLineChars="651"/>
              <w:jc w:val="both"/>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7"/>
              <w:spacing w:line="360" w:lineRule="auto"/>
              <w:ind w:firstLine="643"/>
              <w:jc w:val="both"/>
              <w:rPr>
                <w:rFonts w:ascii="仿宋_GB2312"/>
                <w:b/>
                <w:sz w:val="32"/>
              </w:rPr>
            </w:pPr>
          </w:p>
          <w:p>
            <w:pPr>
              <w:pStyle w:val="7"/>
              <w:spacing w:line="360" w:lineRule="auto"/>
              <w:ind w:firstLine="643"/>
              <w:rPr>
                <w:rFonts w:ascii="仿宋_GB2312"/>
                <w:b/>
                <w:sz w:val="32"/>
              </w:rPr>
            </w:pPr>
          </w:p>
          <w:p>
            <w:pPr>
              <w:pStyle w:val="7"/>
              <w:spacing w:line="360" w:lineRule="auto"/>
              <w:ind w:firstLine="643"/>
              <w:rPr>
                <w:rFonts w:ascii="仿宋_GB2312"/>
                <w:b/>
                <w:sz w:val="32"/>
              </w:rPr>
            </w:pPr>
          </w:p>
          <w:p>
            <w:pPr>
              <w:pStyle w:val="7"/>
              <w:spacing w:line="400" w:lineRule="exact"/>
              <w:ind w:firstLine="1405" w:firstLineChars="500"/>
              <w:rPr>
                <w:rFonts w:ascii="仿宋_GB2312"/>
                <w:b/>
                <w:szCs w:val="28"/>
              </w:rPr>
            </w:pPr>
            <w:r>
              <w:rPr>
                <w:rFonts w:hint="eastAsia" w:ascii="仿宋_GB2312"/>
                <w:b/>
                <w:szCs w:val="28"/>
              </w:rPr>
              <w:t>项目名称：</w:t>
            </w:r>
          </w:p>
          <w:p>
            <w:pPr>
              <w:pStyle w:val="7"/>
              <w:spacing w:line="400" w:lineRule="exact"/>
              <w:ind w:left="1988" w:leftChars="679" w:hanging="562" w:hangingChars="200"/>
              <w:rPr>
                <w:rFonts w:ascii="仿宋_GB2312"/>
                <w:szCs w:val="28"/>
              </w:rPr>
            </w:pPr>
            <w:r>
              <w:rPr>
                <w:rFonts w:hint="eastAsia" w:ascii="仿宋_GB2312"/>
                <w:b/>
                <w:szCs w:val="28"/>
              </w:rPr>
              <w:t>投标人名称：</w:t>
            </w:r>
          </w:p>
          <w:p>
            <w:pPr>
              <w:pStyle w:val="7"/>
              <w:spacing w:line="400" w:lineRule="exact"/>
              <w:ind w:left="548" w:leftChars="261" w:firstLine="899" w:firstLineChars="320"/>
              <w:rPr>
                <w:rFonts w:ascii="仿宋_GB2312"/>
                <w:b/>
                <w:szCs w:val="28"/>
              </w:rPr>
            </w:pPr>
            <w:r>
              <w:rPr>
                <w:rFonts w:hint="eastAsia" w:ascii="仿宋_GB2312"/>
                <w:b/>
                <w:szCs w:val="28"/>
              </w:rPr>
              <w:t>投标人地址：</w:t>
            </w:r>
          </w:p>
          <w:p>
            <w:pPr>
              <w:tabs>
                <w:tab w:val="left" w:pos="851"/>
              </w:tabs>
              <w:autoSpaceDE w:val="0"/>
              <w:autoSpaceDN w:val="0"/>
              <w:adjustRightInd w:val="0"/>
              <w:snapToGrid w:val="0"/>
              <w:spacing w:line="420" w:lineRule="auto"/>
              <w:ind w:firstLine="562"/>
              <w:rPr>
                <w:b/>
              </w:rPr>
            </w:pPr>
            <w:r>
              <w:rPr>
                <w:b/>
                <w:sz w:val="28"/>
                <w:szCs w:val="28"/>
              </w:rPr>
              <w:t xml:space="preserve"> </w:t>
            </w:r>
            <w:r>
              <w:rPr>
                <w:rFonts w:hint="eastAsia"/>
                <w:b/>
                <w:sz w:val="28"/>
                <w:szCs w:val="28"/>
              </w:rPr>
              <w:t xml:space="preserve">     </w:t>
            </w:r>
            <w:r>
              <w:rPr>
                <w:b/>
                <w:sz w:val="28"/>
                <w:szCs w:val="28"/>
              </w:rPr>
              <w:t>(</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 xml:space="preserve">年  </w:t>
            </w:r>
            <w:r>
              <w:rPr>
                <w:b/>
                <w:sz w:val="28"/>
                <w:szCs w:val="28"/>
                <w:u w:val="single"/>
              </w:rPr>
              <w:t xml:space="preserve"> </w:t>
            </w:r>
            <w:r>
              <w:rPr>
                <w:rFonts w:hint="eastAsia"/>
                <w:b/>
                <w:sz w:val="28"/>
                <w:szCs w:val="28"/>
                <w:u w:val="single"/>
              </w:rPr>
              <w:t xml:space="preserve">  </w:t>
            </w:r>
            <w:r>
              <w:rPr>
                <w:rFonts w:hint="eastAsia"/>
                <w:b/>
                <w:sz w:val="28"/>
                <w:szCs w:val="28"/>
              </w:rPr>
              <w:t>月</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日</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时</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分</w:t>
            </w:r>
            <w:r>
              <w:rPr>
                <w:b/>
                <w:sz w:val="28"/>
                <w:szCs w:val="28"/>
              </w:rPr>
              <w:t>)</w:t>
            </w:r>
            <w:r>
              <w:rPr>
                <w:rFonts w:hint="eastAsia"/>
                <w:b/>
                <w:sz w:val="28"/>
                <w:szCs w:val="28"/>
              </w:rPr>
              <w:t>之前不得启封</w:t>
            </w:r>
          </w:p>
        </w:tc>
      </w:tr>
    </w:tbl>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rFonts w:ascii="黑体" w:hAnsi="黑体" w:eastAsia="黑体"/>
          <w:b/>
          <w:color w:val="000000"/>
          <w:sz w:val="32"/>
          <w:szCs w:val="32"/>
        </w:rPr>
      </w:pPr>
      <w:bookmarkStart w:id="46" w:name="_Toc3811_WPSOffice_Level1"/>
      <w:r>
        <w:rPr>
          <w:rFonts w:hint="eastAsia" w:ascii="黑体" w:hAnsi="黑体" w:eastAsia="黑体"/>
          <w:b/>
          <w:color w:val="000000"/>
          <w:sz w:val="32"/>
          <w:szCs w:val="32"/>
        </w:rPr>
        <w:t>目</w:t>
      </w:r>
      <w:r>
        <w:rPr>
          <w:rFonts w:ascii="黑体" w:hAnsi="黑体" w:eastAsia="黑体"/>
          <w:b/>
          <w:color w:val="000000"/>
          <w:sz w:val="32"/>
          <w:szCs w:val="32"/>
        </w:rPr>
        <w:t xml:space="preserve"> </w:t>
      </w:r>
      <w:r>
        <w:rPr>
          <w:rFonts w:hint="eastAsia" w:ascii="黑体" w:hAnsi="黑体" w:eastAsia="黑体"/>
          <w:b/>
          <w:color w:val="000000"/>
          <w:sz w:val="32"/>
          <w:szCs w:val="32"/>
        </w:rPr>
        <w:t>录</w:t>
      </w:r>
      <w:bookmarkEnd w:id="46"/>
    </w:p>
    <w:p>
      <w:pPr>
        <w:spacing w:line="360" w:lineRule="auto"/>
        <w:rPr>
          <w:b/>
          <w:color w:val="000000"/>
          <w:sz w:val="24"/>
        </w:rPr>
      </w:pPr>
      <w:r>
        <w:rPr>
          <w:b/>
          <w:color w:val="000000"/>
          <w:sz w:val="28"/>
          <w:szCs w:val="28"/>
        </w:rPr>
        <w:br w:type="column"/>
      </w:r>
      <w:r>
        <w:rPr>
          <w:rFonts w:hint="eastAsia" w:ascii="宋体" w:hAnsi="宋体" w:cs="宋体"/>
          <w:b/>
          <w:color w:val="000000"/>
          <w:sz w:val="24"/>
        </w:rPr>
        <w:t>1. 法定代表人证明书</w:t>
      </w:r>
    </w:p>
    <w:p>
      <w:pPr>
        <w:pStyle w:val="18"/>
        <w:spacing w:before="120" w:after="120" w:line="480" w:lineRule="exact"/>
        <w:rPr>
          <w:rFonts w:ascii="Times New Roman" w:hAnsi="Times New Roman" w:eastAsia="黑体" w:cs="Times New Roman"/>
          <w:b w:val="0"/>
          <w:color w:val="000000"/>
          <w:sz w:val="30"/>
          <w:szCs w:val="30"/>
        </w:rPr>
      </w:pPr>
    </w:p>
    <w:p>
      <w:pPr>
        <w:spacing w:line="360" w:lineRule="auto"/>
        <w:jc w:val="center"/>
        <w:rPr>
          <w:b/>
          <w:color w:val="000000"/>
          <w:szCs w:val="21"/>
        </w:rPr>
      </w:pPr>
      <w:bookmarkStart w:id="47" w:name="_Toc22893_WPSOffice_Level1"/>
      <w:r>
        <w:rPr>
          <w:rFonts w:hint="eastAsia"/>
          <w:b/>
          <w:color w:val="000000"/>
          <w:szCs w:val="21"/>
        </w:rPr>
        <w:t>法定代表人证明书</w:t>
      </w:r>
      <w:bookmarkEnd w:id="47"/>
    </w:p>
    <w:p>
      <w:pPr>
        <w:pStyle w:val="18"/>
        <w:spacing w:before="120" w:after="120" w:line="480" w:lineRule="exact"/>
        <w:rPr>
          <w:rFonts w:ascii="Times New Roman" w:hAnsi="Times New Roman" w:eastAsia="黑体" w:cs="Times New Roman"/>
          <w:b w:val="0"/>
          <w:color w:val="000000"/>
          <w:sz w:val="30"/>
          <w:szCs w:val="30"/>
        </w:rPr>
      </w:pPr>
    </w:p>
    <w:p>
      <w:pPr>
        <w:spacing w:line="480" w:lineRule="exact"/>
        <w:rPr>
          <w:color w:val="000000"/>
          <w:szCs w:val="21"/>
        </w:rPr>
      </w:pPr>
      <w:r>
        <w:rPr>
          <w:color w:val="000000"/>
          <w:szCs w:val="21"/>
        </w:rPr>
        <w:t xml:space="preserve">    </w:t>
      </w:r>
      <w:r>
        <w:rPr>
          <w:color w:val="000000"/>
          <w:szCs w:val="21"/>
          <w:u w:val="single"/>
        </w:rPr>
        <w:t xml:space="preserve">         </w:t>
      </w:r>
      <w:r>
        <w:rPr>
          <w:rFonts w:hint="eastAsia"/>
          <w:color w:val="000000"/>
          <w:szCs w:val="21"/>
        </w:rPr>
        <w:t>同志，现任我单位</w:t>
      </w:r>
      <w:r>
        <w:rPr>
          <w:color w:val="000000"/>
          <w:szCs w:val="21"/>
          <w:u w:val="single"/>
        </w:rPr>
        <w:t xml:space="preserve">         </w:t>
      </w:r>
      <w:r>
        <w:rPr>
          <w:rFonts w:hint="eastAsia"/>
          <w:color w:val="000000"/>
          <w:szCs w:val="21"/>
        </w:rPr>
        <w:t>职务，为法定代表人，特此证明。</w:t>
      </w:r>
    </w:p>
    <w:p>
      <w:pPr>
        <w:spacing w:line="480" w:lineRule="exact"/>
        <w:rPr>
          <w:color w:val="000000"/>
          <w:szCs w:val="21"/>
        </w:rPr>
      </w:pPr>
      <w:r>
        <w:rPr>
          <w:rFonts w:hint="eastAsia"/>
          <w:color w:val="000000"/>
          <w:szCs w:val="21"/>
        </w:rPr>
        <w:t>有效日期：</w:t>
      </w:r>
      <w:r>
        <w:rPr>
          <w:color w:val="000000"/>
          <w:szCs w:val="21"/>
        </w:rPr>
        <w:t xml:space="preserve">         </w:t>
      </w:r>
      <w:r>
        <w:rPr>
          <w:rFonts w:hint="eastAsia"/>
          <w:color w:val="000000"/>
          <w:szCs w:val="21"/>
        </w:rPr>
        <w:t>签发日期：</w:t>
      </w:r>
      <w:r>
        <w:rPr>
          <w:color w:val="000000"/>
          <w:szCs w:val="21"/>
        </w:rPr>
        <w:t xml:space="preserve">         </w:t>
      </w:r>
      <w:r>
        <w:rPr>
          <w:rFonts w:hint="eastAsia"/>
          <w:color w:val="000000"/>
          <w:szCs w:val="21"/>
        </w:rPr>
        <w:t>单位：</w:t>
      </w:r>
      <w:r>
        <w:rPr>
          <w:color w:val="000000"/>
          <w:szCs w:val="21"/>
        </w:rPr>
        <w:t xml:space="preserve">           </w:t>
      </w:r>
      <w:r>
        <w:rPr>
          <w:rFonts w:hint="eastAsia"/>
          <w:color w:val="000000"/>
          <w:szCs w:val="21"/>
        </w:rPr>
        <w:t>（盖章）</w:t>
      </w:r>
    </w:p>
    <w:p>
      <w:pPr>
        <w:spacing w:line="480" w:lineRule="exact"/>
        <w:rPr>
          <w:color w:val="000000"/>
          <w:szCs w:val="21"/>
        </w:rPr>
      </w:pPr>
      <w:r>
        <w:rPr>
          <w:rFonts w:hint="eastAsia"/>
          <w:color w:val="000000"/>
          <w:szCs w:val="21"/>
        </w:rPr>
        <w:t>附：代表人性别：</w:t>
      </w:r>
      <w:r>
        <w:rPr>
          <w:color w:val="000000"/>
          <w:szCs w:val="21"/>
        </w:rPr>
        <w:t xml:space="preserve">   </w:t>
      </w:r>
      <w:r>
        <w:rPr>
          <w:rFonts w:hint="eastAsia"/>
          <w:color w:val="000000"/>
          <w:szCs w:val="21"/>
        </w:rPr>
        <w:t>年龄：</w:t>
      </w:r>
      <w:r>
        <w:rPr>
          <w:color w:val="000000"/>
          <w:szCs w:val="21"/>
        </w:rPr>
        <w:t xml:space="preserve">      </w:t>
      </w:r>
      <w:r>
        <w:rPr>
          <w:rFonts w:hint="eastAsia"/>
          <w:color w:val="000000"/>
          <w:szCs w:val="21"/>
        </w:rPr>
        <w:t>工作证号码：</w:t>
      </w:r>
    </w:p>
    <w:p>
      <w:pPr>
        <w:spacing w:line="480" w:lineRule="exact"/>
        <w:rPr>
          <w:color w:val="000000"/>
          <w:szCs w:val="21"/>
        </w:rPr>
      </w:pPr>
      <w:r>
        <w:rPr>
          <w:rFonts w:hint="eastAsia"/>
          <w:color w:val="000000"/>
          <w:szCs w:val="21"/>
        </w:rPr>
        <w:t>营业执照号码：</w:t>
      </w:r>
      <w:r>
        <w:rPr>
          <w:color w:val="000000"/>
          <w:szCs w:val="21"/>
        </w:rPr>
        <w:t xml:space="preserve">                 </w:t>
      </w:r>
      <w:r>
        <w:rPr>
          <w:rFonts w:hint="eastAsia"/>
          <w:color w:val="000000"/>
          <w:szCs w:val="21"/>
        </w:rPr>
        <w:t>经济性质：</w:t>
      </w:r>
    </w:p>
    <w:p>
      <w:pPr>
        <w:spacing w:line="480" w:lineRule="exact"/>
        <w:rPr>
          <w:color w:val="000000"/>
          <w:szCs w:val="21"/>
        </w:rPr>
      </w:pPr>
      <w:r>
        <w:rPr>
          <w:rFonts w:hint="eastAsia"/>
          <w:color w:val="000000"/>
          <w:szCs w:val="21"/>
        </w:rPr>
        <w:t>主营（产）：</w:t>
      </w:r>
    </w:p>
    <w:p>
      <w:pPr>
        <w:spacing w:line="480" w:lineRule="exact"/>
        <w:rPr>
          <w:color w:val="000000"/>
          <w:szCs w:val="21"/>
        </w:rPr>
      </w:pPr>
      <w:r>
        <w:rPr>
          <w:rFonts w:hint="eastAsia"/>
          <w:color w:val="000000"/>
          <w:szCs w:val="21"/>
        </w:rPr>
        <w:t>兼营（产）：</w:t>
      </w:r>
    </w:p>
    <w:p>
      <w:pPr>
        <w:spacing w:line="480" w:lineRule="exact"/>
        <w:rPr>
          <w:color w:val="000000"/>
          <w:szCs w:val="21"/>
        </w:rPr>
      </w:pPr>
      <w:r>
        <w:rPr>
          <w:rFonts w:hint="eastAsia"/>
          <w:color w:val="000000"/>
          <w:szCs w:val="21"/>
        </w:rPr>
        <w:t>进口物品经营许可证号码：</w:t>
      </w:r>
    </w:p>
    <w:p>
      <w:pPr>
        <w:spacing w:line="480" w:lineRule="exact"/>
        <w:rPr>
          <w:color w:val="000000"/>
          <w:szCs w:val="21"/>
        </w:rPr>
      </w:pPr>
      <w:r>
        <w:rPr>
          <w:rFonts w:hint="eastAsia"/>
          <w:color w:val="000000"/>
          <w:szCs w:val="21"/>
        </w:rPr>
        <w:t>主营：</w:t>
      </w:r>
    </w:p>
    <w:p>
      <w:pPr>
        <w:spacing w:line="480" w:lineRule="exact"/>
        <w:rPr>
          <w:color w:val="000000"/>
          <w:szCs w:val="21"/>
        </w:rPr>
      </w:pPr>
      <w:r>
        <w:rPr>
          <w:rFonts w:hint="eastAsia"/>
          <w:color w:val="000000"/>
          <w:szCs w:val="21"/>
        </w:rPr>
        <w:t>兼营：</w:t>
      </w:r>
    </w:p>
    <w:p>
      <w:pPr>
        <w:spacing w:line="480" w:lineRule="exact"/>
        <w:rPr>
          <w:color w:val="000000"/>
          <w:szCs w:val="21"/>
        </w:rPr>
      </w:pPr>
      <w:r>
        <w:rPr>
          <w:rFonts w:hint="eastAsia"/>
          <w:color w:val="000000"/>
          <w:szCs w:val="21"/>
        </w:rPr>
        <w:t>说明：</w:t>
      </w:r>
      <w:r>
        <w:rPr>
          <w:color w:val="000000"/>
          <w:szCs w:val="21"/>
        </w:rPr>
        <w:t>1</w:t>
      </w:r>
      <w:r>
        <w:rPr>
          <w:rFonts w:hint="eastAsia"/>
          <w:color w:val="000000"/>
          <w:szCs w:val="21"/>
        </w:rPr>
        <w:t>、法定代表人为企业事业单位、国家机关、社会团体的主要行政负责人。</w:t>
      </w:r>
    </w:p>
    <w:p>
      <w:pPr>
        <w:spacing w:line="480" w:lineRule="exact"/>
        <w:rPr>
          <w:color w:val="000000"/>
          <w:szCs w:val="21"/>
        </w:rPr>
      </w:pPr>
      <w:r>
        <w:rPr>
          <w:color w:val="000000"/>
          <w:szCs w:val="21"/>
        </w:rPr>
        <w:t xml:space="preserve">      </w:t>
      </w:r>
      <w:bookmarkStart w:id="48" w:name="_Toc18528_WPSOffice_Level1"/>
      <w:r>
        <w:rPr>
          <w:color w:val="000000"/>
          <w:szCs w:val="21"/>
        </w:rPr>
        <w:t>2</w:t>
      </w:r>
      <w:r>
        <w:rPr>
          <w:rFonts w:hint="eastAsia"/>
          <w:color w:val="000000"/>
          <w:szCs w:val="21"/>
        </w:rPr>
        <w:t>、内容必须填写真实、清楚，涂改无效，不得转让、买卖。</w:t>
      </w:r>
      <w:bookmarkEnd w:id="48"/>
    </w:p>
    <w:p>
      <w:pPr>
        <w:pStyle w:val="18"/>
        <w:spacing w:before="120" w:after="120" w:line="480" w:lineRule="exact"/>
        <w:jc w:val="both"/>
        <w:rPr>
          <w:rFonts w:ascii="Times New Roman" w:hAnsi="Times New Roman" w:eastAsia="黑体" w:cs="Times New Roman"/>
          <w:b w:val="0"/>
          <w:color w:val="000000"/>
          <w:sz w:val="30"/>
          <w:szCs w:val="30"/>
        </w:rPr>
      </w:pPr>
    </w:p>
    <w:p>
      <w:pPr>
        <w:spacing w:line="360" w:lineRule="auto"/>
        <w:rPr>
          <w:rFonts w:eastAsia="黑体"/>
          <w:b/>
          <w:color w:val="000000"/>
          <w:sz w:val="30"/>
          <w:szCs w:val="30"/>
        </w:rPr>
      </w:pPr>
    </w:p>
    <w:p>
      <w:pPr>
        <w:spacing w:line="480" w:lineRule="auto"/>
        <w:ind w:left="630" w:leftChars="300" w:right="630" w:rightChars="300" w:firstLine="2100" w:firstLineChars="1000"/>
        <w:rPr>
          <w:rFonts w:ascii="宋体" w:hAnsi="宋体"/>
          <w:color w:val="000000"/>
          <w:szCs w:val="21"/>
        </w:rPr>
      </w:pPr>
      <w:r>
        <w:rPr>
          <w:rFonts w:hint="eastAsia" w:ascii="宋体" w:hAnsi="宋体"/>
          <w:color w:val="000000"/>
          <w:szCs w:val="21"/>
        </w:rPr>
        <w:t>投标人名称（公章）：   　　　</w:t>
      </w:r>
    </w:p>
    <w:p>
      <w:pPr>
        <w:spacing w:line="480" w:lineRule="auto"/>
        <w:ind w:left="630" w:leftChars="300" w:right="630" w:rightChars="300" w:firstLine="2100" w:firstLineChars="1000"/>
        <w:rPr>
          <w:rFonts w:ascii="宋体" w:hAnsi="宋体"/>
          <w:color w:val="000000"/>
          <w:sz w:val="24"/>
        </w:rPr>
      </w:pPr>
      <w:r>
        <w:rPr>
          <w:rFonts w:hint="eastAsia" w:ascii="宋体" w:hAnsi="宋体"/>
          <w:color w:val="000000"/>
          <w:szCs w:val="21"/>
        </w:rPr>
        <w:t>日  期：</w:t>
      </w:r>
      <w:r>
        <w:rPr>
          <w:rFonts w:hint="eastAsia" w:ascii="宋体" w:hAnsi="宋体"/>
          <w:color w:val="000000"/>
          <w:szCs w:val="21"/>
          <w:u w:val="single"/>
        </w:rPr>
        <w:t>　 　　　</w:t>
      </w:r>
      <w:r>
        <w:rPr>
          <w:rFonts w:hint="eastAsia" w:ascii="宋体" w:hAnsi="宋体"/>
          <w:color w:val="000000"/>
          <w:szCs w:val="21"/>
        </w:rPr>
        <w:t>年</w:t>
      </w:r>
      <w:r>
        <w:rPr>
          <w:rFonts w:hint="eastAsia" w:ascii="宋体" w:hAnsi="宋体"/>
          <w:color w:val="000000"/>
          <w:szCs w:val="21"/>
          <w:u w:val="single"/>
        </w:rPr>
        <w:t>　　</w:t>
      </w:r>
      <w:r>
        <w:rPr>
          <w:rFonts w:hint="eastAsia" w:ascii="宋体" w:hAnsi="宋体"/>
          <w:color w:val="000000"/>
          <w:szCs w:val="21"/>
        </w:rPr>
        <w:t>月</w:t>
      </w:r>
      <w:r>
        <w:rPr>
          <w:rFonts w:hint="eastAsia" w:ascii="宋体" w:hAnsi="宋体"/>
          <w:color w:val="000000"/>
          <w:szCs w:val="21"/>
          <w:u w:val="single"/>
        </w:rPr>
        <w:t>　　</w:t>
      </w:r>
      <w:r>
        <w:rPr>
          <w:rFonts w:hint="eastAsia" w:ascii="宋体" w:hAnsi="宋体"/>
          <w:color w:val="000000"/>
          <w:szCs w:val="21"/>
        </w:rPr>
        <w:t>日</w:t>
      </w:r>
    </w:p>
    <w:p>
      <w:pPr>
        <w:spacing w:line="360" w:lineRule="auto"/>
        <w:rPr>
          <w:rFonts w:ascii="宋体" w:hAnsi="宋体" w:cs="宋体"/>
          <w:b/>
          <w:color w:val="000000"/>
          <w:sz w:val="24"/>
        </w:rPr>
      </w:pPr>
      <w:r>
        <w:rPr>
          <w:rFonts w:eastAsia="黑体"/>
          <w:b/>
          <w:color w:val="000000"/>
          <w:sz w:val="30"/>
          <w:szCs w:val="30"/>
        </w:rPr>
        <w:br w:type="column"/>
      </w:r>
      <w:r>
        <w:rPr>
          <w:rFonts w:hint="eastAsia" w:ascii="宋体" w:hAnsi="宋体" w:cs="宋体"/>
          <w:b/>
          <w:color w:val="000000"/>
          <w:sz w:val="24"/>
        </w:rPr>
        <w:t>2. 投标文件签署授权委托书</w:t>
      </w:r>
    </w:p>
    <w:p>
      <w:pPr>
        <w:pStyle w:val="18"/>
        <w:spacing w:before="120" w:after="120" w:line="480" w:lineRule="exact"/>
        <w:rPr>
          <w:rFonts w:ascii="宋体" w:hAnsi="宋体" w:eastAsia="宋体" w:cs="宋体"/>
          <w:b w:val="0"/>
          <w:color w:val="000000"/>
          <w:sz w:val="21"/>
          <w:szCs w:val="21"/>
        </w:rPr>
      </w:pPr>
    </w:p>
    <w:p>
      <w:pPr>
        <w:spacing w:line="360" w:lineRule="auto"/>
        <w:jc w:val="center"/>
        <w:rPr>
          <w:rFonts w:ascii="宋体" w:hAnsi="宋体" w:cs="宋体"/>
          <w:b/>
          <w:color w:val="000000"/>
          <w:szCs w:val="21"/>
        </w:rPr>
      </w:pPr>
      <w:bookmarkStart w:id="49" w:name="_Toc23168_WPSOffice_Level1"/>
      <w:r>
        <w:rPr>
          <w:rFonts w:hint="eastAsia" w:ascii="宋体" w:hAnsi="宋体" w:cs="宋体"/>
          <w:b/>
          <w:color w:val="000000"/>
          <w:szCs w:val="21"/>
        </w:rPr>
        <w:t>投标文件签署授权委托书</w:t>
      </w:r>
      <w:bookmarkEnd w:id="49"/>
    </w:p>
    <w:p>
      <w:pPr>
        <w:spacing w:line="480" w:lineRule="exact"/>
        <w:ind w:firstLine="420" w:firstLineChars="200"/>
        <w:rPr>
          <w:color w:val="000000"/>
          <w:szCs w:val="21"/>
        </w:rPr>
      </w:pPr>
    </w:p>
    <w:p>
      <w:pPr>
        <w:spacing w:line="480" w:lineRule="exact"/>
        <w:ind w:firstLine="420" w:firstLineChars="20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（姓名）为我公司签署本项目已递交投标文件的法定代表人的授权委托代理人，代理人全权代表我所签署的本项目已递交的投标文件内容我均承认。</w:t>
      </w:r>
    </w:p>
    <w:p>
      <w:pPr>
        <w:pStyle w:val="5"/>
        <w:spacing w:line="480" w:lineRule="exact"/>
        <w:rPr>
          <w:color w:val="000000"/>
          <w:szCs w:val="21"/>
        </w:rPr>
      </w:pPr>
      <w:r>
        <w:rPr>
          <w:rFonts w:hint="eastAsia"/>
          <w:color w:val="000000"/>
          <w:szCs w:val="21"/>
        </w:rPr>
        <w:t>代理人无转委托权，特此委托。</w:t>
      </w: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bookmarkStart w:id="62" w:name="_GoBack"/>
      <w:bookmarkEnd w:id="62"/>
    </w:p>
    <w:p>
      <w:pPr>
        <w:spacing w:line="480" w:lineRule="exact"/>
        <w:rPr>
          <w:color w:val="000000"/>
          <w:szCs w:val="21"/>
        </w:rPr>
      </w:pPr>
    </w:p>
    <w:p>
      <w:pPr>
        <w:spacing w:line="480" w:lineRule="exact"/>
        <w:rPr>
          <w:color w:val="000000"/>
          <w:szCs w:val="21"/>
        </w:rPr>
      </w:pPr>
    </w:p>
    <w:p>
      <w:pPr>
        <w:spacing w:line="480" w:lineRule="exact"/>
        <w:ind w:left="540" w:leftChars="257"/>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pPr>
        <w:spacing w:line="480" w:lineRule="exact"/>
        <w:ind w:left="540" w:leftChars="257"/>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pPr>
        <w:spacing w:line="480" w:lineRule="exact"/>
        <w:ind w:left="540" w:leftChars="257"/>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pPr>
        <w:spacing w:line="480" w:lineRule="exact"/>
        <w:ind w:left="540" w:leftChars="257"/>
        <w:rPr>
          <w:color w:val="000000"/>
          <w:szCs w:val="21"/>
        </w:rPr>
      </w:pPr>
      <w:r>
        <w:rPr>
          <w:rFonts w:hint="eastAsia"/>
          <w:color w:val="000000"/>
          <w:szCs w:val="21"/>
        </w:rPr>
        <w:t>投标人名称（公章）：</w:t>
      </w:r>
      <w:r>
        <w:rPr>
          <w:color w:val="000000"/>
          <w:szCs w:val="21"/>
          <w:u w:val="single"/>
        </w:rPr>
        <w:t xml:space="preserve">                               </w:t>
      </w:r>
    </w:p>
    <w:p>
      <w:pPr>
        <w:spacing w:line="480" w:lineRule="exact"/>
        <w:ind w:left="540" w:leftChars="257"/>
        <w:rPr>
          <w:color w:val="000000"/>
          <w:szCs w:val="21"/>
        </w:rPr>
      </w:pPr>
      <w:r>
        <w:rPr>
          <w:rFonts w:hint="eastAsia"/>
          <w:color w:val="000000"/>
          <w:szCs w:val="21"/>
        </w:rPr>
        <w:t>法定代表人：</w:t>
      </w:r>
      <w:r>
        <w:rPr>
          <w:color w:val="000000"/>
          <w:szCs w:val="21"/>
          <w:u w:val="single"/>
        </w:rPr>
        <w:t xml:space="preserve">                                     </w:t>
      </w:r>
    </w:p>
    <w:p>
      <w:pPr>
        <w:spacing w:line="480" w:lineRule="exact"/>
        <w:ind w:left="540" w:leftChars="257"/>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pPr>
        <w:pStyle w:val="18"/>
        <w:spacing w:before="120" w:after="120"/>
        <w:jc w:val="both"/>
        <w:rPr>
          <w:rFonts w:ascii="Times New Roman" w:hAnsi="Times New Roman" w:eastAsia="黑体" w:cs="Times New Roman"/>
          <w:b w:val="0"/>
          <w:color w:val="000000"/>
          <w:sz w:val="30"/>
          <w:szCs w:val="30"/>
        </w:rPr>
      </w:pPr>
    </w:p>
    <w:p>
      <w:pPr>
        <w:spacing w:line="360" w:lineRule="auto"/>
        <w:rPr>
          <w:rFonts w:eastAsia="黑体"/>
          <w:b/>
          <w:color w:val="000000"/>
          <w:sz w:val="24"/>
        </w:rPr>
      </w:pPr>
      <w:r>
        <w:rPr>
          <w:rFonts w:eastAsia="黑体"/>
          <w:b/>
          <w:color w:val="000000"/>
          <w:sz w:val="30"/>
          <w:szCs w:val="30"/>
        </w:rPr>
        <w:br w:type="column"/>
      </w:r>
      <w:r>
        <w:rPr>
          <w:rFonts w:hint="eastAsia" w:ascii="宋体" w:hAnsi="宋体" w:cs="宋体"/>
          <w:b/>
          <w:color w:val="000000"/>
          <w:sz w:val="24"/>
        </w:rPr>
        <w:t>3. 投标函</w:t>
      </w:r>
    </w:p>
    <w:p>
      <w:pPr>
        <w:spacing w:line="360" w:lineRule="auto"/>
        <w:jc w:val="center"/>
        <w:rPr>
          <w:b/>
          <w:color w:val="000000"/>
          <w:szCs w:val="21"/>
        </w:rPr>
      </w:pPr>
      <w:bookmarkStart w:id="50" w:name="_Toc26411_WPSOffice_Level1"/>
      <w:r>
        <w:rPr>
          <w:rFonts w:hint="eastAsia"/>
          <w:b/>
          <w:color w:val="000000"/>
          <w:szCs w:val="21"/>
        </w:rPr>
        <w:t>投标函</w:t>
      </w:r>
      <w:bookmarkEnd w:id="50"/>
    </w:p>
    <w:p>
      <w:pPr>
        <w:pStyle w:val="18"/>
        <w:spacing w:before="120" w:after="120"/>
        <w:rPr>
          <w:rFonts w:ascii="Times New Roman" w:hAnsi="Times New Roman" w:eastAsia="黑体" w:cs="Times New Roman"/>
          <w:b w:val="0"/>
          <w:color w:val="000000"/>
          <w:sz w:val="30"/>
          <w:szCs w:val="30"/>
        </w:rPr>
      </w:pPr>
    </w:p>
    <w:p>
      <w:pPr>
        <w:spacing w:line="360" w:lineRule="auto"/>
        <w:rPr>
          <w:color w:val="000000"/>
          <w:szCs w:val="21"/>
        </w:rPr>
      </w:pPr>
      <w:r>
        <w:rPr>
          <w:rFonts w:hint="eastAsia"/>
          <w:color w:val="000000"/>
          <w:szCs w:val="21"/>
        </w:rPr>
        <w:t>致：</w:t>
      </w:r>
      <w:r>
        <w:rPr>
          <w:color w:val="000000"/>
          <w:szCs w:val="21"/>
          <w:u w:val="single"/>
        </w:rPr>
        <w:t xml:space="preserve">      </w:t>
      </w:r>
      <w:r>
        <w:rPr>
          <w:rFonts w:hint="eastAsia"/>
          <w:color w:val="000000"/>
          <w:szCs w:val="21"/>
          <w:u w:val="single"/>
        </w:rPr>
        <w:t>（招标人）</w:t>
      </w:r>
      <w:r>
        <w:rPr>
          <w:color w:val="000000"/>
          <w:szCs w:val="21"/>
          <w:u w:val="single"/>
        </w:rPr>
        <w:t xml:space="preserve">        </w:t>
      </w:r>
    </w:p>
    <w:p>
      <w:pPr>
        <w:spacing w:line="400" w:lineRule="exact"/>
        <w:ind w:firstLine="420" w:firstLineChars="200"/>
        <w:rPr>
          <w:color w:val="000000"/>
          <w:szCs w:val="21"/>
        </w:rPr>
      </w:pPr>
      <w:r>
        <w:rPr>
          <w:rFonts w:hint="eastAsia"/>
          <w:color w:val="000000"/>
          <w:szCs w:val="21"/>
        </w:rPr>
        <w:t>根据已收到贵单位</w:t>
      </w:r>
      <w:r>
        <w:rPr>
          <w:rFonts w:hint="eastAsia"/>
          <w:color w:val="000000"/>
          <w:szCs w:val="21"/>
          <w:u w:val="single"/>
        </w:rPr>
        <w:t>《</w:t>
      </w:r>
      <w:r>
        <w:rPr>
          <w:color w:val="000000"/>
          <w:szCs w:val="21"/>
          <w:u w:val="single"/>
        </w:rPr>
        <w:t xml:space="preserve">  </w:t>
      </w:r>
      <w:r>
        <w:rPr>
          <w:rFonts w:hint="eastAsia"/>
          <w:color w:val="000000"/>
          <w:szCs w:val="21"/>
          <w:u w:val="single"/>
        </w:rPr>
        <w:t>（物业项目名称）物业管理招标文件</w:t>
      </w:r>
      <w:r>
        <w:rPr>
          <w:color w:val="000000"/>
          <w:szCs w:val="21"/>
          <w:u w:val="single"/>
        </w:rPr>
        <w:t xml:space="preserve"> </w:t>
      </w:r>
      <w:r>
        <w:rPr>
          <w:rFonts w:hint="eastAsia"/>
          <w:color w:val="000000"/>
          <w:szCs w:val="21"/>
          <w:u w:val="single"/>
        </w:rPr>
        <w:t>》</w:t>
      </w:r>
      <w:r>
        <w:rPr>
          <w:rFonts w:hint="eastAsia"/>
          <w:color w:val="000000"/>
          <w:szCs w:val="21"/>
        </w:rPr>
        <w:t>，遵照</w:t>
      </w:r>
      <w:r>
        <w:rPr>
          <w:rFonts w:hint="eastAsia"/>
          <w:color w:val="000000"/>
          <w:szCs w:val="21"/>
          <w:u w:val="single"/>
        </w:rPr>
        <w:t>《深圳经济特区物业管理条例》</w:t>
      </w:r>
      <w:r>
        <w:rPr>
          <w:color w:val="000000"/>
          <w:szCs w:val="21"/>
          <w:u w:val="single"/>
        </w:rPr>
        <w:t xml:space="preserve">  </w:t>
      </w:r>
      <w:r>
        <w:rPr>
          <w:rFonts w:hint="eastAsia"/>
          <w:color w:val="000000"/>
          <w:szCs w:val="21"/>
        </w:rPr>
        <w:t>等有关规定，我单位经考察现场和研究该项目招标文件的项目需求、投标须知、合同条款及其他有关文件后，作如下宣布：</w:t>
      </w:r>
    </w:p>
    <w:p>
      <w:pPr>
        <w:spacing w:line="400" w:lineRule="exact"/>
        <w:ind w:firstLine="420" w:firstLineChars="200"/>
        <w:rPr>
          <w:color w:val="000000"/>
          <w:szCs w:val="21"/>
        </w:rPr>
      </w:pPr>
      <w:r>
        <w:rPr>
          <w:color w:val="000000"/>
          <w:szCs w:val="21"/>
        </w:rPr>
        <w:t>1</w:t>
      </w:r>
      <w:r>
        <w:rPr>
          <w:rFonts w:hint="eastAsia"/>
          <w:color w:val="000000"/>
          <w:szCs w:val="21"/>
        </w:rPr>
        <w:t>、我单位决定参加此次投标活动，愿以开标一览表中的投标报价并按招标文件要求为上述项目提供</w:t>
      </w:r>
      <w:r>
        <w:rPr>
          <w:rFonts w:hint="eastAsia"/>
          <w:color w:val="000000"/>
          <w:szCs w:val="21"/>
          <w:u w:val="single"/>
        </w:rPr>
        <w:t>物业管理服务及相关服务</w:t>
      </w:r>
      <w:r>
        <w:rPr>
          <w:color w:val="000000"/>
          <w:szCs w:val="21"/>
          <w:u w:val="single"/>
        </w:rPr>
        <w:t xml:space="preserve">  </w:t>
      </w:r>
      <w:r>
        <w:rPr>
          <w:rFonts w:hint="eastAsia"/>
          <w:color w:val="000000"/>
          <w:szCs w:val="21"/>
        </w:rPr>
        <w:t>。</w:t>
      </w:r>
    </w:p>
    <w:p>
      <w:pPr>
        <w:spacing w:line="400" w:lineRule="exact"/>
        <w:ind w:firstLine="420" w:firstLineChars="200"/>
        <w:rPr>
          <w:color w:val="000000"/>
          <w:szCs w:val="21"/>
        </w:rPr>
      </w:pPr>
      <w:r>
        <w:rPr>
          <w:color w:val="000000"/>
          <w:szCs w:val="21"/>
        </w:rPr>
        <w:t>2</w:t>
      </w:r>
      <w:r>
        <w:rPr>
          <w:rFonts w:hint="eastAsia"/>
          <w:color w:val="000000"/>
          <w:szCs w:val="21"/>
        </w:rPr>
        <w:t>、我单位将按照该项目招标文件要求，承担相应的责任和义务，并严格遵守物业管理的相关法律法规和行业有关规定。</w:t>
      </w:r>
    </w:p>
    <w:p>
      <w:pPr>
        <w:spacing w:line="400" w:lineRule="exact"/>
        <w:ind w:firstLine="420" w:firstLineChars="200"/>
        <w:rPr>
          <w:color w:val="000000"/>
          <w:szCs w:val="21"/>
        </w:rPr>
      </w:pPr>
      <w:r>
        <w:rPr>
          <w:color w:val="000000"/>
          <w:szCs w:val="21"/>
        </w:rPr>
        <w:t>3</w:t>
      </w:r>
      <w:r>
        <w:rPr>
          <w:rFonts w:hint="eastAsia"/>
          <w:color w:val="000000"/>
          <w:szCs w:val="21"/>
        </w:rPr>
        <w:t>、我单位提供给贵单位的</w:t>
      </w:r>
      <w:r>
        <w:rPr>
          <w:color w:val="000000"/>
          <w:szCs w:val="21"/>
          <w:u w:val="single"/>
        </w:rPr>
        <w:t xml:space="preserve">                                         </w:t>
      </w:r>
      <w:r>
        <w:rPr>
          <w:rFonts w:hint="eastAsia"/>
          <w:color w:val="000000"/>
          <w:szCs w:val="21"/>
        </w:rPr>
        <w:t>资料全部真实有效，并承担因此而造成后果的责任。</w:t>
      </w:r>
    </w:p>
    <w:p>
      <w:pPr>
        <w:spacing w:line="400" w:lineRule="exact"/>
        <w:ind w:firstLine="420" w:firstLineChars="200"/>
        <w:rPr>
          <w:color w:val="000000"/>
          <w:szCs w:val="21"/>
        </w:rPr>
      </w:pPr>
      <w:r>
        <w:rPr>
          <w:color w:val="000000"/>
          <w:szCs w:val="21"/>
        </w:rPr>
        <w:t>4</w:t>
      </w:r>
      <w:r>
        <w:rPr>
          <w:rFonts w:hint="eastAsia"/>
          <w:color w:val="000000"/>
          <w:szCs w:val="21"/>
        </w:rPr>
        <w:t>、我单位将在严格评审和充分理解全部招标文件的基础上，按照招标书的有关规定编制投标书。我单位如果中标，将严格按照招标文件及物业管理相关法律法规规定，在中标通知书规定的时间内与贵单位（招标人）签署物业服务合同。</w:t>
      </w:r>
    </w:p>
    <w:p>
      <w:pPr>
        <w:spacing w:line="400" w:lineRule="exact"/>
        <w:ind w:firstLine="420" w:firstLineChars="200"/>
        <w:rPr>
          <w:color w:val="000000"/>
          <w:szCs w:val="21"/>
        </w:rPr>
      </w:pPr>
      <w:r>
        <w:rPr>
          <w:color w:val="000000"/>
          <w:szCs w:val="21"/>
        </w:rPr>
        <w:t>5</w:t>
      </w:r>
      <w:r>
        <w:rPr>
          <w:rFonts w:hint="eastAsia"/>
          <w:color w:val="000000"/>
          <w:szCs w:val="21"/>
        </w:rPr>
        <w:t>、我单位同意所递交的投标文件在</w:t>
      </w:r>
      <w:r>
        <w:rPr>
          <w:rFonts w:hint="eastAsia"/>
          <w:b/>
          <w:color w:val="000000"/>
          <w:szCs w:val="21"/>
        </w:rPr>
        <w:t>投标须知</w:t>
      </w:r>
      <w:r>
        <w:rPr>
          <w:rFonts w:hint="eastAsia"/>
          <w:color w:val="000000"/>
          <w:szCs w:val="21"/>
        </w:rPr>
        <w:t>规定的投标有效期内有效。我单位完全接受并同意招标文件中关于投标保证金（或投标保函）的处置方式。</w:t>
      </w:r>
    </w:p>
    <w:p>
      <w:pPr>
        <w:spacing w:line="360" w:lineRule="auto"/>
        <w:ind w:firstLine="411" w:firstLineChars="196"/>
        <w:rPr>
          <w:color w:val="000000"/>
          <w:szCs w:val="21"/>
        </w:rPr>
      </w:pPr>
    </w:p>
    <w:p>
      <w:pPr>
        <w:spacing w:line="360" w:lineRule="auto"/>
        <w:ind w:firstLine="411" w:firstLineChars="196"/>
        <w:rPr>
          <w:color w:val="000000"/>
          <w:szCs w:val="21"/>
        </w:rPr>
      </w:pPr>
    </w:p>
    <w:p>
      <w:pPr>
        <w:spacing w:line="360" w:lineRule="auto"/>
        <w:ind w:left="540" w:leftChars="257"/>
        <w:rPr>
          <w:color w:val="000000"/>
          <w:szCs w:val="21"/>
          <w:u w:val="single"/>
        </w:rPr>
      </w:pPr>
      <w:r>
        <w:rPr>
          <w:rFonts w:hint="eastAsia"/>
          <w:color w:val="000000"/>
          <w:szCs w:val="21"/>
        </w:rPr>
        <w:t>投标人：</w:t>
      </w:r>
      <w:r>
        <w:rPr>
          <w:color w:val="000000"/>
          <w:szCs w:val="21"/>
          <w:u w:val="single"/>
        </w:rPr>
        <w:t xml:space="preserve">     </w:t>
      </w:r>
      <w:r>
        <w:rPr>
          <w:rFonts w:hint="eastAsia"/>
          <w:color w:val="000000"/>
          <w:szCs w:val="21"/>
          <w:u w:val="single"/>
        </w:rPr>
        <w:t>（公章）</w:t>
      </w:r>
      <w:r>
        <w:rPr>
          <w:color w:val="000000"/>
          <w:szCs w:val="21"/>
          <w:u w:val="single"/>
        </w:rPr>
        <w:t xml:space="preserve">       </w:t>
      </w:r>
      <w:r>
        <w:rPr>
          <w:color w:val="000000"/>
          <w:szCs w:val="21"/>
        </w:rPr>
        <w:t xml:space="preserve">       </w:t>
      </w:r>
      <w:r>
        <w:rPr>
          <w:rFonts w:hint="eastAsia"/>
          <w:color w:val="000000"/>
          <w:szCs w:val="21"/>
        </w:rPr>
        <w:t>单位地址：</w:t>
      </w:r>
      <w:r>
        <w:rPr>
          <w:color w:val="000000"/>
          <w:szCs w:val="21"/>
          <w:u w:val="single"/>
        </w:rPr>
        <w:t xml:space="preserve">               </w:t>
      </w:r>
    </w:p>
    <w:p>
      <w:pPr>
        <w:spacing w:line="360" w:lineRule="auto"/>
        <w:ind w:left="540" w:leftChars="257"/>
        <w:rPr>
          <w:color w:val="000000"/>
          <w:szCs w:val="21"/>
          <w:u w:val="single"/>
        </w:rPr>
      </w:pPr>
      <w:r>
        <w:rPr>
          <w:rFonts w:hint="eastAsia"/>
          <w:color w:val="000000"/>
          <w:szCs w:val="21"/>
        </w:rPr>
        <w:t>法定代表人或其委托代理人：</w:t>
      </w:r>
      <w:r>
        <w:rPr>
          <w:color w:val="000000"/>
          <w:szCs w:val="21"/>
          <w:u w:val="single"/>
        </w:rPr>
        <w:t xml:space="preserve">                   </w:t>
      </w:r>
    </w:p>
    <w:p>
      <w:pPr>
        <w:spacing w:line="360" w:lineRule="auto"/>
        <w:ind w:left="540" w:leftChars="257"/>
        <w:rPr>
          <w:color w:val="000000"/>
          <w:szCs w:val="21"/>
          <w:u w:val="single"/>
        </w:rPr>
      </w:pPr>
      <w:r>
        <w:rPr>
          <w:rFonts w:hint="eastAsia"/>
          <w:color w:val="000000"/>
          <w:szCs w:val="21"/>
        </w:rPr>
        <w:t>邮政编码：</w:t>
      </w:r>
      <w:r>
        <w:rPr>
          <w:color w:val="000000"/>
          <w:szCs w:val="21"/>
          <w:u w:val="single"/>
        </w:rPr>
        <w:t xml:space="preserve">          </w:t>
      </w:r>
      <w:r>
        <w:rPr>
          <w:color w:val="000000"/>
          <w:szCs w:val="21"/>
        </w:rPr>
        <w:t xml:space="preserve">  </w:t>
      </w:r>
      <w:r>
        <w:rPr>
          <w:rFonts w:hint="eastAsia"/>
          <w:color w:val="000000"/>
          <w:szCs w:val="21"/>
        </w:rPr>
        <w:t>电话：</w:t>
      </w:r>
      <w:r>
        <w:rPr>
          <w:color w:val="000000"/>
          <w:szCs w:val="21"/>
          <w:u w:val="single"/>
        </w:rPr>
        <w:t xml:space="preserve">          </w:t>
      </w:r>
      <w:r>
        <w:rPr>
          <w:color w:val="000000"/>
          <w:szCs w:val="21"/>
        </w:rPr>
        <w:t xml:space="preserve">  </w:t>
      </w:r>
      <w:r>
        <w:rPr>
          <w:rFonts w:hint="eastAsia"/>
          <w:color w:val="000000"/>
          <w:szCs w:val="21"/>
        </w:rPr>
        <w:t>传真：</w:t>
      </w:r>
      <w:r>
        <w:rPr>
          <w:color w:val="000000"/>
          <w:szCs w:val="21"/>
          <w:u w:val="single"/>
        </w:rPr>
        <w:t xml:space="preserve">            </w:t>
      </w:r>
    </w:p>
    <w:p>
      <w:pPr>
        <w:spacing w:line="360" w:lineRule="auto"/>
        <w:ind w:left="540" w:leftChars="257"/>
        <w:rPr>
          <w:color w:val="000000"/>
          <w:szCs w:val="21"/>
        </w:rPr>
      </w:pPr>
      <w:r>
        <w:rPr>
          <w:rFonts w:hint="eastAsia"/>
          <w:color w:val="000000"/>
          <w:szCs w:val="21"/>
        </w:rPr>
        <w:t>开户银行名称：</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w:t>
      </w:r>
      <w:r>
        <w:rPr>
          <w:rFonts w:hint="eastAsia"/>
          <w:color w:val="000000"/>
          <w:szCs w:val="21"/>
          <w:lang w:eastAsia="zh-CN"/>
        </w:rPr>
        <w:t>账</w:t>
      </w:r>
      <w:r>
        <w:rPr>
          <w:rFonts w:hint="eastAsia"/>
          <w:color w:val="000000"/>
          <w:szCs w:val="21"/>
        </w:rPr>
        <w:t>号：</w:t>
      </w:r>
      <w:r>
        <w:rPr>
          <w:color w:val="000000"/>
          <w:szCs w:val="21"/>
          <w:u w:val="single"/>
        </w:rPr>
        <w:tab/>
      </w:r>
      <w:r>
        <w:rPr>
          <w:color w:val="000000"/>
          <w:szCs w:val="21"/>
          <w:u w:val="single"/>
        </w:rPr>
        <w:tab/>
      </w:r>
      <w:r>
        <w:rPr>
          <w:color w:val="000000"/>
          <w:szCs w:val="21"/>
          <w:u w:val="single"/>
        </w:rPr>
        <w:tab/>
      </w:r>
      <w:r>
        <w:rPr>
          <w:color w:val="000000"/>
          <w:szCs w:val="21"/>
          <w:u w:val="single"/>
        </w:rPr>
        <w:tab/>
      </w:r>
    </w:p>
    <w:p>
      <w:pPr>
        <w:spacing w:line="360" w:lineRule="auto"/>
        <w:ind w:left="540" w:leftChars="257"/>
        <w:rPr>
          <w:color w:val="000000"/>
          <w:szCs w:val="21"/>
        </w:rPr>
      </w:pPr>
      <w:r>
        <w:rPr>
          <w:rFonts w:hint="eastAsia"/>
          <w:color w:val="000000"/>
          <w:szCs w:val="21"/>
        </w:rPr>
        <w:t>开户银行地址：</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开户银行电话：</w:t>
      </w:r>
      <w:r>
        <w:rPr>
          <w:color w:val="000000"/>
          <w:szCs w:val="21"/>
          <w:u w:val="single"/>
        </w:rPr>
        <w:tab/>
      </w:r>
      <w:r>
        <w:rPr>
          <w:color w:val="000000"/>
          <w:szCs w:val="21"/>
          <w:u w:val="single"/>
        </w:rPr>
        <w:tab/>
      </w:r>
      <w:r>
        <w:rPr>
          <w:color w:val="000000"/>
          <w:szCs w:val="21"/>
          <w:u w:val="single"/>
        </w:rPr>
        <w:tab/>
      </w:r>
      <w:r>
        <w:rPr>
          <w:color w:val="000000"/>
          <w:szCs w:val="21"/>
          <w:u w:val="single"/>
        </w:rPr>
        <w:tab/>
      </w:r>
    </w:p>
    <w:p>
      <w:pPr>
        <w:spacing w:line="360" w:lineRule="auto"/>
        <w:ind w:left="256" w:leftChars="122" w:right="840" w:firstLine="3780" w:firstLineChars="1800"/>
        <w:rPr>
          <w:color w:val="000000"/>
          <w:szCs w:val="21"/>
        </w:rPr>
      </w:pPr>
    </w:p>
    <w:p>
      <w:pPr>
        <w:spacing w:line="360" w:lineRule="auto"/>
        <w:ind w:left="256" w:leftChars="122" w:right="840" w:firstLine="3780" w:firstLineChars="1800"/>
        <w:rPr>
          <w:color w:val="000000"/>
          <w:szCs w:val="21"/>
        </w:rPr>
      </w:pPr>
    </w:p>
    <w:p>
      <w:pPr>
        <w:spacing w:line="360" w:lineRule="auto"/>
        <w:ind w:left="257"/>
        <w:jc w:val="right"/>
        <w:rPr>
          <w:color w:val="000000"/>
          <w:szCs w:val="21"/>
        </w:rPr>
      </w:pPr>
      <w:r>
        <w:rPr>
          <w:rFonts w:hint="eastAsia"/>
          <w:color w:val="000000"/>
          <w:szCs w:val="21"/>
        </w:rPr>
        <w:t>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pacing w:line="360" w:lineRule="auto"/>
        <w:ind w:left="257"/>
        <w:jc w:val="right"/>
        <w:rPr>
          <w:color w:val="000000"/>
          <w:szCs w:val="21"/>
        </w:rPr>
      </w:pPr>
    </w:p>
    <w:p>
      <w:pPr>
        <w:spacing w:line="360" w:lineRule="auto"/>
        <w:ind w:left="257"/>
        <w:jc w:val="right"/>
        <w:rPr>
          <w:color w:val="000000"/>
          <w:szCs w:val="21"/>
        </w:rPr>
      </w:pPr>
    </w:p>
    <w:p>
      <w:pPr>
        <w:spacing w:line="360" w:lineRule="auto"/>
        <w:ind w:left="257"/>
        <w:jc w:val="right"/>
        <w:rPr>
          <w:color w:val="000000"/>
          <w:szCs w:val="21"/>
        </w:rPr>
      </w:pPr>
    </w:p>
    <w:p>
      <w:pPr>
        <w:spacing w:line="360" w:lineRule="auto"/>
        <w:jc w:val="left"/>
        <w:rPr>
          <w:rFonts w:ascii="宋体" w:hAnsi="宋体" w:cs="宋体"/>
          <w:b/>
          <w:color w:val="000000"/>
          <w:sz w:val="24"/>
        </w:rPr>
      </w:pPr>
      <w:bookmarkStart w:id="51" w:name="_Toc6203_WPSOffice_Level1"/>
      <w:r>
        <w:rPr>
          <w:rFonts w:hint="eastAsia" w:ascii="宋体" w:hAnsi="宋体" w:cs="宋体"/>
          <w:b/>
          <w:color w:val="000000"/>
          <w:sz w:val="24"/>
        </w:rPr>
        <w:t>4</w:t>
      </w:r>
      <w:r>
        <w:rPr>
          <w:rFonts w:ascii="宋体" w:hAnsi="宋体" w:cs="宋体"/>
          <w:b/>
          <w:color w:val="000000"/>
          <w:sz w:val="24"/>
        </w:rPr>
        <w:t>.</w:t>
      </w:r>
      <w:r>
        <w:rPr>
          <w:rFonts w:hint="eastAsia" w:ascii="宋体" w:hAnsi="宋体" w:cs="宋体"/>
          <w:b/>
          <w:color w:val="000000"/>
          <w:sz w:val="24"/>
        </w:rPr>
        <w:t>投标人情况介绍</w:t>
      </w:r>
      <w:bookmarkEnd w:id="51"/>
    </w:p>
    <w:p>
      <w:pPr>
        <w:spacing w:line="360" w:lineRule="auto"/>
        <w:jc w:val="center"/>
        <w:rPr>
          <w:b/>
          <w:color w:val="000000"/>
          <w:szCs w:val="21"/>
        </w:rPr>
      </w:pPr>
      <w:bookmarkStart w:id="52" w:name="_Toc24391_WPSOffice_Level1"/>
    </w:p>
    <w:p>
      <w:pPr>
        <w:spacing w:line="360" w:lineRule="auto"/>
        <w:jc w:val="center"/>
        <w:rPr>
          <w:b/>
          <w:color w:val="000000"/>
          <w:sz w:val="28"/>
          <w:szCs w:val="28"/>
        </w:rPr>
      </w:pPr>
      <w:r>
        <w:rPr>
          <w:rFonts w:hint="eastAsia"/>
          <w:b/>
          <w:color w:val="000000"/>
          <w:szCs w:val="21"/>
        </w:rPr>
        <w:t>投标人情况介绍</w:t>
      </w:r>
      <w:bookmarkEnd w:id="52"/>
    </w:p>
    <w:tbl>
      <w:tblPr>
        <w:tblStyle w:val="20"/>
        <w:tblW w:w="95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23"/>
        <w:gridCol w:w="4341"/>
        <w:gridCol w:w="20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序号</w:t>
            </w:r>
          </w:p>
        </w:tc>
        <w:tc>
          <w:tcPr>
            <w:tcW w:w="2423" w:type="dxa"/>
            <w:tcBorders>
              <w:top w:val="double" w:color="auto" w:sz="4" w:space="0"/>
              <w:left w:val="single" w:color="auto" w:sz="4" w:space="0"/>
              <w:bottom w:val="single" w:color="auto" w:sz="4" w:space="0"/>
              <w:right w:val="single" w:color="auto" w:sz="4" w:space="0"/>
            </w:tcBorders>
            <w:vAlign w:val="top"/>
          </w:tcPr>
          <w:p>
            <w:pPr>
              <w:spacing w:line="360" w:lineRule="auto"/>
              <w:jc w:val="center"/>
              <w:rPr>
                <w:b/>
                <w:color w:val="000000"/>
                <w:szCs w:val="21"/>
              </w:rPr>
            </w:pPr>
            <w:r>
              <w:rPr>
                <w:rFonts w:hint="eastAsia"/>
                <w:b/>
                <w:color w:val="000000"/>
                <w:szCs w:val="21"/>
              </w:rPr>
              <w:t>项</w:t>
            </w:r>
            <w:r>
              <w:rPr>
                <w:b/>
                <w:color w:val="000000"/>
                <w:szCs w:val="21"/>
              </w:rPr>
              <w:t xml:space="preserve">  </w:t>
            </w:r>
            <w:r>
              <w:rPr>
                <w:rFonts w:hint="eastAsia"/>
                <w:b/>
                <w:color w:val="000000"/>
                <w:szCs w:val="21"/>
              </w:rPr>
              <w:t>目</w:t>
            </w:r>
          </w:p>
        </w:tc>
        <w:tc>
          <w:tcPr>
            <w:tcW w:w="4341"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内容及说明</w:t>
            </w:r>
          </w:p>
        </w:tc>
        <w:tc>
          <w:tcPr>
            <w:tcW w:w="2097"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b/>
                <w:color w:val="000000"/>
                <w:szCs w:val="21"/>
              </w:rPr>
            </w:pPr>
            <w:r>
              <w:rPr>
                <w:rFonts w:hint="eastAsia"/>
                <w:b/>
                <w:color w:val="000000"/>
                <w:szCs w:val="21"/>
              </w:rPr>
              <w:t>备</w:t>
            </w:r>
            <w:r>
              <w:rPr>
                <w:b/>
                <w:color w:val="000000"/>
                <w:szCs w:val="21"/>
              </w:rPr>
              <w:t xml:space="preserve"> </w:t>
            </w:r>
            <w:r>
              <w:rPr>
                <w:rFonts w:hint="eastAsia"/>
                <w:b/>
                <w:color w:val="000000"/>
                <w:szCs w:val="21"/>
              </w:rPr>
              <w:t>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一</w:t>
            </w:r>
          </w:p>
        </w:tc>
        <w:tc>
          <w:tcPr>
            <w:tcW w:w="67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hint="eastAsia"/>
                <w:b/>
                <w:bCs/>
                <w:color w:val="000000"/>
                <w:szCs w:val="21"/>
              </w:rPr>
              <w:t>统一社会信用代码证</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r>
              <w:rPr>
                <w:rFonts w:hint="eastAsia"/>
                <w:color w:val="000000"/>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1</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编号</w:t>
            </w: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二</w:t>
            </w:r>
          </w:p>
        </w:tc>
        <w:tc>
          <w:tcPr>
            <w:tcW w:w="67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rFonts w:hint="eastAsia"/>
                <w:b/>
                <w:bCs/>
                <w:color w:val="000000"/>
                <w:szCs w:val="21"/>
              </w:rPr>
              <w:t>基本账户开户许可证</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r>
              <w:rPr>
                <w:rFonts w:hint="eastAsia"/>
                <w:color w:val="000000"/>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1</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开户许可证编号</w:t>
            </w: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vMerge w:val="restart"/>
            <w:tcBorders>
              <w:top w:val="sing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三</w:t>
            </w:r>
          </w:p>
        </w:tc>
        <w:tc>
          <w:tcPr>
            <w:tcW w:w="242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物业服务企业概况</w:t>
            </w:r>
          </w:p>
          <w:p>
            <w:pPr>
              <w:spacing w:line="360" w:lineRule="auto"/>
              <w:jc w:val="center"/>
              <w:rPr>
                <w:b/>
                <w:color w:val="000000"/>
                <w:szCs w:val="21"/>
              </w:rPr>
            </w:pPr>
            <w:r>
              <w:rPr>
                <w:rFonts w:hint="eastAsia"/>
                <w:bCs/>
                <w:color w:val="000000"/>
                <w:szCs w:val="21"/>
              </w:rPr>
              <w:t>（投标人应以其投标报名的时间为结点统计并填写相关数据）</w:t>
            </w: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总人数</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color w:val="000000"/>
                <w:szCs w:val="21"/>
              </w:rPr>
            </w:pPr>
            <w:r>
              <w:rPr>
                <w:rFonts w:hint="eastAsia"/>
                <w:color w:val="000000"/>
                <w:szCs w:val="21"/>
              </w:rPr>
              <w:t xml:space="preserve">          </w:t>
            </w:r>
            <w:r>
              <w:rPr>
                <w:color w:val="000000"/>
                <w:szCs w:val="21"/>
              </w:rPr>
              <w:t xml:space="preserve"> </w:t>
            </w:r>
            <w:r>
              <w:rPr>
                <w:rFonts w:hint="eastAsia"/>
                <w:color w:val="000000"/>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b/>
                <w:color w:val="000000"/>
                <w:szCs w:val="21"/>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管理人员</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color w:val="000000"/>
                <w:szCs w:val="21"/>
              </w:rPr>
            </w:pPr>
            <w:r>
              <w:rPr>
                <w:rFonts w:hint="eastAsia"/>
                <w:color w:val="000000"/>
                <w:szCs w:val="21"/>
              </w:rPr>
              <w:t xml:space="preserve">          </w:t>
            </w:r>
            <w:r>
              <w:rPr>
                <w:color w:val="000000"/>
                <w:szCs w:val="21"/>
              </w:rPr>
              <w:t xml:space="preserve"> </w:t>
            </w:r>
            <w:r>
              <w:rPr>
                <w:rFonts w:hint="eastAsia"/>
                <w:color w:val="000000"/>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36" w:hRule="atLeast"/>
          <w:jc w:val="center"/>
        </w:trPr>
        <w:tc>
          <w:tcPr>
            <w:tcW w:w="73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b/>
                <w:color w:val="000000"/>
                <w:szCs w:val="21"/>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固定资产</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color w:val="000000"/>
                <w:szCs w:val="21"/>
              </w:rPr>
            </w:pPr>
            <w:r>
              <w:rPr>
                <w:rFonts w:hint="eastAsia"/>
                <w:color w:val="000000"/>
                <w:szCs w:val="21"/>
              </w:rPr>
              <w:t xml:space="preserve">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b/>
                <w:color w:val="000000"/>
                <w:szCs w:val="21"/>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流动资金</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color w:val="000000"/>
                <w:szCs w:val="21"/>
              </w:rPr>
            </w:pPr>
            <w:r>
              <w:rPr>
                <w:rFonts w:hint="eastAsia"/>
                <w:color w:val="000000"/>
                <w:szCs w:val="21"/>
              </w:rPr>
              <w:t xml:space="preserve">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四</w:t>
            </w:r>
          </w:p>
        </w:tc>
        <w:tc>
          <w:tcPr>
            <w:tcW w:w="67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rFonts w:hint="eastAsia"/>
                <w:b/>
                <w:color w:val="000000"/>
                <w:szCs w:val="21"/>
              </w:rPr>
              <w:t>其他（招标人要求的其他资料或者投标人认为需补充的其他说明）</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r>
              <w:rPr>
                <w:rFonts w:hint="eastAsia"/>
                <w:color w:val="000000"/>
                <w:szCs w:val="21"/>
              </w:rPr>
              <w:t>提供扫描件</w:t>
            </w:r>
          </w:p>
        </w:tc>
      </w:tr>
    </w:tbl>
    <w:p>
      <w:pPr>
        <w:spacing w:line="360" w:lineRule="auto"/>
        <w:ind w:left="720" w:hanging="720" w:hangingChars="300"/>
        <w:rPr>
          <w:rFonts w:ascii="宋体" w:hAnsi="宋体" w:cs="宋体"/>
          <w:bCs/>
          <w:color w:val="000000"/>
          <w:sz w:val="24"/>
        </w:rPr>
      </w:pPr>
      <w:r>
        <w:rPr>
          <w:rFonts w:hint="eastAsia" w:ascii="宋体" w:hAnsi="宋体" w:cs="宋体"/>
          <w:bCs/>
          <w:color w:val="000000"/>
          <w:sz w:val="24"/>
        </w:rPr>
        <w:t>注：1、投标人须按要求填写好此表格，</w:t>
      </w:r>
      <w:r>
        <w:rPr>
          <w:rFonts w:hint="eastAsia" w:ascii="宋体" w:hAnsi="宋体" w:cs="宋体"/>
          <w:color w:val="000000"/>
          <w:sz w:val="24"/>
        </w:rPr>
        <w:t>可按表格格式扩展</w:t>
      </w:r>
      <w:r>
        <w:rPr>
          <w:rFonts w:hint="eastAsia" w:ascii="宋体" w:hAnsi="宋体" w:cs="宋体"/>
          <w:bCs/>
          <w:color w:val="000000"/>
          <w:sz w:val="24"/>
        </w:rPr>
        <w:t xml:space="preserve">。 </w:t>
      </w:r>
    </w:p>
    <w:p>
      <w:pPr>
        <w:spacing w:line="360" w:lineRule="auto"/>
        <w:rPr>
          <w:rFonts w:ascii="宋体" w:hAnsi="宋体" w:cs="宋体"/>
          <w:b/>
          <w:bCs/>
          <w:color w:val="000000"/>
          <w:sz w:val="24"/>
        </w:rPr>
      </w:pPr>
      <w:r>
        <w:rPr>
          <w:b/>
          <w:color w:val="000000"/>
        </w:rPr>
        <w:br w:type="column"/>
      </w:r>
      <w:r>
        <w:rPr>
          <w:rFonts w:hint="eastAsia" w:ascii="宋体" w:hAnsi="宋体" w:cs="宋体"/>
          <w:b/>
          <w:color w:val="000000"/>
          <w:sz w:val="24"/>
        </w:rPr>
        <w:t>5．物业服务企业相关项目业绩表</w:t>
      </w:r>
    </w:p>
    <w:p>
      <w:pPr>
        <w:jc w:val="left"/>
        <w:rPr>
          <w:color w:val="000000"/>
        </w:rPr>
      </w:pPr>
    </w:p>
    <w:p>
      <w:pPr>
        <w:tabs>
          <w:tab w:val="left" w:pos="1050"/>
        </w:tabs>
        <w:spacing w:before="156" w:beforeLines="50" w:after="156" w:afterLines="50"/>
        <w:ind w:left="114" w:right="114" w:firstLine="57"/>
        <w:jc w:val="left"/>
        <w:rPr>
          <w:color w:val="000000"/>
          <w:szCs w:val="21"/>
        </w:rPr>
      </w:pPr>
      <w:r>
        <w:rPr>
          <w:rFonts w:hint="eastAsia"/>
          <w:color w:val="000000"/>
          <w:szCs w:val="21"/>
        </w:rPr>
        <w:t>投标人：</w:t>
      </w:r>
      <w:r>
        <w:rPr>
          <w:color w:val="000000"/>
          <w:szCs w:val="21"/>
        </w:rPr>
        <w:t>____________</w:t>
      </w:r>
      <w:r>
        <w:rPr>
          <w:color w:val="000000"/>
          <w:szCs w:val="21"/>
          <w:u w:val="single"/>
        </w:rPr>
        <w:t xml:space="preserve">          </w:t>
      </w:r>
      <w:r>
        <w:rPr>
          <w:color w:val="000000"/>
          <w:szCs w:val="21"/>
        </w:rPr>
        <w:t>________</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01"/>
        <w:gridCol w:w="1227"/>
        <w:gridCol w:w="2133"/>
        <w:gridCol w:w="1651"/>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序号</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项目名称</w:t>
            </w:r>
          </w:p>
        </w:tc>
        <w:tc>
          <w:tcPr>
            <w:tcW w:w="1227"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地点</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物业项目总建筑面积</w:t>
            </w:r>
          </w:p>
          <w:p>
            <w:pPr>
              <w:jc w:val="center"/>
              <w:rPr>
                <w:b/>
                <w:color w:val="000000"/>
                <w:szCs w:val="21"/>
              </w:rPr>
            </w:pPr>
            <w:r>
              <w:rPr>
                <w:rFonts w:hint="eastAsia"/>
                <w:b/>
                <w:color w:val="000000"/>
                <w:szCs w:val="21"/>
              </w:rPr>
              <w:t>（平方米）</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合同年限</w:t>
            </w:r>
          </w:p>
        </w:tc>
        <w:tc>
          <w:tcPr>
            <w:tcW w:w="2504"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备注（获奖情况等）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2</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3</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4</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5</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6</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7</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8</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9</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10</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11</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12</w:t>
            </w:r>
          </w:p>
        </w:tc>
        <w:tc>
          <w:tcPr>
            <w:tcW w:w="1101"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vAlign w:val="top"/>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vAlign w:val="top"/>
          </w:tcPr>
          <w:p>
            <w:pPr>
              <w:spacing w:line="360" w:lineRule="auto"/>
              <w:jc w:val="left"/>
              <w:rPr>
                <w:color w:val="000000"/>
                <w:sz w:val="24"/>
              </w:rPr>
            </w:pPr>
          </w:p>
        </w:tc>
      </w:tr>
    </w:tbl>
    <w:p>
      <w:pPr>
        <w:spacing w:line="360" w:lineRule="auto"/>
        <w:ind w:firstLine="480" w:firstLineChars="200"/>
        <w:jc w:val="left"/>
        <w:rPr>
          <w:color w:val="000000"/>
          <w:sz w:val="24"/>
        </w:rPr>
      </w:pPr>
    </w:p>
    <w:p>
      <w:pPr>
        <w:spacing w:line="360" w:lineRule="auto"/>
        <w:ind w:firstLine="480" w:firstLineChars="200"/>
        <w:jc w:val="left"/>
        <w:rPr>
          <w:color w:val="000000"/>
          <w:sz w:val="24"/>
        </w:rPr>
      </w:pPr>
    </w:p>
    <w:p>
      <w:pPr>
        <w:spacing w:line="480" w:lineRule="auto"/>
        <w:jc w:val="left"/>
        <w:rPr>
          <w:rFonts w:eastAsia="仿宋_GB2312"/>
          <w:color w:val="000000"/>
          <w:szCs w:val="21"/>
        </w:rPr>
      </w:pPr>
      <w:r>
        <w:rPr>
          <w:rFonts w:hint="eastAsia" w:eastAsia="仿宋_GB2312"/>
          <w:color w:val="000000"/>
          <w:szCs w:val="21"/>
        </w:rPr>
        <w:t>投标人代表：</w:t>
      </w:r>
      <w:r>
        <w:rPr>
          <w:rFonts w:eastAsia="仿宋_GB2312"/>
          <w:color w:val="000000"/>
          <w:szCs w:val="21"/>
        </w:rPr>
        <w:t xml:space="preserve">____________________                           </w:t>
      </w:r>
      <w:r>
        <w:rPr>
          <w:rFonts w:hint="eastAsia" w:eastAsia="仿宋_GB2312"/>
          <w:color w:val="000000"/>
          <w:szCs w:val="21"/>
        </w:rPr>
        <w:t>日期：</w:t>
      </w:r>
      <w:r>
        <w:rPr>
          <w:rFonts w:eastAsia="仿宋_GB2312"/>
          <w:color w:val="000000"/>
          <w:szCs w:val="21"/>
        </w:rPr>
        <w:t xml:space="preserve">     </w:t>
      </w:r>
      <w:r>
        <w:rPr>
          <w:rFonts w:hint="eastAsia" w:eastAsia="仿宋_GB2312"/>
          <w:color w:val="000000"/>
          <w:szCs w:val="21"/>
        </w:rPr>
        <w:t>年</w:t>
      </w:r>
      <w:r>
        <w:rPr>
          <w:rFonts w:eastAsia="仿宋_GB2312"/>
          <w:color w:val="000000"/>
          <w:szCs w:val="21"/>
        </w:rPr>
        <w:t xml:space="preserve">  </w:t>
      </w:r>
      <w:r>
        <w:rPr>
          <w:rFonts w:hint="eastAsia" w:eastAsia="仿宋_GB2312"/>
          <w:color w:val="000000"/>
          <w:szCs w:val="21"/>
        </w:rPr>
        <w:t>月</w:t>
      </w:r>
      <w:r>
        <w:rPr>
          <w:rFonts w:eastAsia="仿宋_GB2312"/>
          <w:color w:val="000000"/>
          <w:szCs w:val="21"/>
        </w:rPr>
        <w:t xml:space="preserve">  </w:t>
      </w:r>
      <w:r>
        <w:rPr>
          <w:rFonts w:hint="eastAsia" w:eastAsia="仿宋_GB2312"/>
          <w:color w:val="000000"/>
          <w:szCs w:val="21"/>
        </w:rPr>
        <w:t>日</w:t>
      </w:r>
    </w:p>
    <w:p>
      <w:pPr>
        <w:spacing w:line="360" w:lineRule="auto"/>
        <w:jc w:val="left"/>
        <w:rPr>
          <w:rFonts w:eastAsia="黑体"/>
          <w:color w:val="000000"/>
          <w:szCs w:val="21"/>
        </w:rPr>
      </w:pPr>
    </w:p>
    <w:p>
      <w:pPr>
        <w:spacing w:line="360" w:lineRule="auto"/>
        <w:jc w:val="left"/>
        <w:rPr>
          <w:rFonts w:eastAsia="黑体"/>
          <w:color w:val="000000"/>
          <w:szCs w:val="21"/>
        </w:rPr>
      </w:pPr>
    </w:p>
    <w:p>
      <w:pPr>
        <w:spacing w:line="360" w:lineRule="auto"/>
        <w:jc w:val="left"/>
        <w:rPr>
          <w:color w:val="000000"/>
          <w:szCs w:val="21"/>
        </w:rPr>
      </w:pPr>
      <w:r>
        <w:rPr>
          <w:rFonts w:hint="eastAsia"/>
          <w:b/>
          <w:color w:val="000000"/>
          <w:szCs w:val="21"/>
        </w:rPr>
        <w:t>提示</w:t>
      </w:r>
      <w:r>
        <w:rPr>
          <w:rFonts w:hint="eastAsia"/>
          <w:color w:val="000000"/>
          <w:szCs w:val="21"/>
        </w:rPr>
        <w:t>：要求附项目证明材料扫描件（如合同扫描件、物业服务合同备案资料扫描件等）。</w:t>
      </w:r>
    </w:p>
    <w:p>
      <w:pPr>
        <w:jc w:val="center"/>
        <w:rPr>
          <w:rFonts w:eastAsia="仿宋_GB2312"/>
          <w:color w:val="000000"/>
          <w:sz w:val="24"/>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spacing w:line="360" w:lineRule="auto"/>
        <w:rPr>
          <w:rFonts w:ascii="宋体" w:hAnsi="宋体" w:cs="宋体"/>
          <w:b/>
          <w:color w:val="000000"/>
          <w:sz w:val="24"/>
        </w:rPr>
      </w:pPr>
      <w:r>
        <w:rPr>
          <w:rFonts w:hint="eastAsia" w:ascii="宋体" w:hAnsi="宋体" w:cs="宋体"/>
          <w:b/>
          <w:color w:val="000000"/>
          <w:sz w:val="24"/>
        </w:rPr>
        <w:t>6．拟派本项目的主要负责人简历表</w:t>
      </w:r>
    </w:p>
    <w:p>
      <w:pPr>
        <w:spacing w:line="297" w:lineRule="auto"/>
        <w:ind w:firstLine="420"/>
        <w:jc w:val="center"/>
        <w:rPr>
          <w:color w:val="000000"/>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
        <w:gridCol w:w="2340"/>
        <w:gridCol w:w="900"/>
        <w:gridCol w:w="1601"/>
        <w:gridCol w:w="1099"/>
        <w:gridCol w:w="1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姓名</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性别</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年龄</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职务</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职称</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学历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参加工作时间</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p>
        </w:tc>
        <w:tc>
          <w:tcPr>
            <w:tcW w:w="1601"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从事本职业年限</w:t>
            </w:r>
          </w:p>
        </w:tc>
        <w:tc>
          <w:tcPr>
            <w:tcW w:w="2899"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资格证书编号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p>
        </w:tc>
        <w:tc>
          <w:tcPr>
            <w:tcW w:w="1601"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在本项目拟任职务</w:t>
            </w:r>
          </w:p>
        </w:tc>
        <w:tc>
          <w:tcPr>
            <w:tcW w:w="2899"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在管和已完成物业管理工作情况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物业管理负责时间</w:t>
            </w:r>
          </w:p>
        </w:tc>
        <w:tc>
          <w:tcPr>
            <w:tcW w:w="4865"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物业项目名称</w:t>
            </w:r>
          </w:p>
        </w:tc>
        <w:tc>
          <w:tcPr>
            <w:tcW w:w="1099"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项目规模</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jc w:val="left"/>
              <w:rPr>
                <w:color w:val="000000"/>
                <w:sz w:val="22"/>
              </w:rPr>
            </w:pPr>
          </w:p>
        </w:tc>
      </w:tr>
    </w:tbl>
    <w:p>
      <w:pPr>
        <w:jc w:val="left"/>
        <w:rPr>
          <w:color w:val="000000"/>
          <w:sz w:val="24"/>
        </w:rPr>
      </w:pPr>
    </w:p>
    <w:p>
      <w:pPr>
        <w:jc w:val="left"/>
        <w:rPr>
          <w:color w:val="000000"/>
          <w:sz w:val="24"/>
        </w:rPr>
      </w:pPr>
    </w:p>
    <w:p>
      <w:pPr>
        <w:spacing w:line="480" w:lineRule="auto"/>
        <w:ind w:left="210" w:leftChars="100" w:right="-88" w:rightChars="-42"/>
        <w:jc w:val="left"/>
        <w:rPr>
          <w:rFonts w:ascii="宋体" w:hAnsi="宋体" w:cs="宋体"/>
          <w:color w:val="000000"/>
          <w:szCs w:val="21"/>
        </w:rPr>
      </w:pPr>
      <w:r>
        <w:rPr>
          <w:rFonts w:hint="eastAsia" w:ascii="宋体" w:hAnsi="宋体" w:cs="宋体"/>
          <w:color w:val="000000"/>
          <w:szCs w:val="21"/>
        </w:rPr>
        <w:t>投标人名称：________________________</w:t>
      </w:r>
    </w:p>
    <w:p>
      <w:pPr>
        <w:spacing w:line="480" w:lineRule="auto"/>
        <w:ind w:left="210" w:leftChars="100"/>
        <w:jc w:val="left"/>
        <w:rPr>
          <w:rFonts w:ascii="宋体" w:hAnsi="宋体" w:cs="宋体"/>
          <w:color w:val="000000"/>
          <w:szCs w:val="21"/>
        </w:rPr>
      </w:pPr>
      <w:r>
        <w:rPr>
          <w:rFonts w:hint="eastAsia" w:ascii="宋体" w:hAnsi="宋体" w:cs="宋体"/>
          <w:color w:val="000000"/>
          <w:szCs w:val="21"/>
        </w:rPr>
        <w:t>日  期：____________年_____月_____日</w:t>
      </w:r>
    </w:p>
    <w:p>
      <w:pPr>
        <w:spacing w:line="360" w:lineRule="auto"/>
        <w:jc w:val="left"/>
        <w:rPr>
          <w:rFonts w:eastAsia="仿宋_GB2312"/>
          <w:color w:val="000000"/>
        </w:rPr>
      </w:pPr>
    </w:p>
    <w:p>
      <w:pPr>
        <w:spacing w:line="400" w:lineRule="exact"/>
        <w:ind w:firstLine="210" w:firstLineChars="100"/>
        <w:jc w:val="left"/>
        <w:rPr>
          <w:rFonts w:ascii="宋体" w:hAnsi="宋体" w:cs="宋体"/>
        </w:rPr>
      </w:pPr>
      <w:r>
        <w:rPr>
          <w:rFonts w:hint="eastAsia" w:ascii="宋体" w:hAnsi="宋体" w:cs="宋体"/>
        </w:rPr>
        <w:t>重要提示：</w:t>
      </w:r>
    </w:p>
    <w:p>
      <w:pPr>
        <w:spacing w:line="400" w:lineRule="exact"/>
        <w:ind w:firstLine="630" w:firstLineChars="300"/>
        <w:jc w:val="left"/>
        <w:rPr>
          <w:rFonts w:ascii="宋体" w:hAnsi="宋体" w:cs="宋体"/>
        </w:rPr>
      </w:pPr>
      <w:r>
        <w:rPr>
          <w:rFonts w:hint="eastAsia" w:ascii="宋体" w:hAnsi="宋体" w:cs="宋体"/>
        </w:rPr>
        <w:t>1、投标人须随此表附上主要管理人员的职称证书、执业资格证书等相关资料原件扫描件；</w:t>
      </w:r>
    </w:p>
    <w:p>
      <w:pPr>
        <w:spacing w:line="400" w:lineRule="exact"/>
        <w:ind w:firstLine="630" w:firstLineChars="300"/>
        <w:jc w:val="left"/>
        <w:rPr>
          <w:rFonts w:ascii="宋体" w:hAnsi="宋体" w:cs="宋体"/>
        </w:rPr>
      </w:pPr>
      <w:r>
        <w:rPr>
          <w:rFonts w:hint="eastAsia" w:ascii="宋体" w:hAnsi="宋体" w:cs="宋体"/>
        </w:rPr>
        <w:t>2、主要管理服务人员介绍（若招标人设有，可自行约定）；</w:t>
      </w:r>
    </w:p>
    <w:p>
      <w:pPr>
        <w:spacing w:line="400" w:lineRule="exact"/>
        <w:ind w:firstLine="630" w:firstLineChars="300"/>
        <w:jc w:val="left"/>
        <w:rPr>
          <w:rFonts w:ascii="宋体" w:hAnsi="宋体" w:cs="宋体"/>
        </w:rPr>
      </w:pPr>
      <w:r>
        <w:rPr>
          <w:rFonts w:hint="eastAsia" w:ascii="宋体" w:hAnsi="宋体" w:cs="宋体"/>
        </w:rPr>
        <w:t>3、境外投标人应提供相应的中文译本。</w:t>
      </w:r>
    </w:p>
    <w:p>
      <w:pPr>
        <w:spacing w:line="360" w:lineRule="auto"/>
        <w:jc w:val="left"/>
        <w:rPr>
          <w:color w:val="000000"/>
        </w:rPr>
      </w:pPr>
      <w:r>
        <w:rPr>
          <w:rFonts w:hint="eastAsia"/>
          <w:color w:val="000000"/>
          <w:szCs w:val="21"/>
        </w:rPr>
        <w:t xml:space="preserve">                                       。</w:t>
      </w:r>
    </w:p>
    <w:p>
      <w:pPr>
        <w:spacing w:line="360" w:lineRule="auto"/>
        <w:rPr>
          <w:rFonts w:eastAsia="黑体"/>
          <w:b/>
          <w:color w:val="000000"/>
          <w:sz w:val="30"/>
          <w:szCs w:val="30"/>
        </w:rPr>
      </w:pPr>
    </w:p>
    <w:p>
      <w:pPr>
        <w:spacing w:line="360" w:lineRule="auto"/>
        <w:rPr>
          <w:rFonts w:ascii="宋体" w:hAnsi="宋体" w:cs="宋体"/>
          <w:b/>
          <w:color w:val="000000"/>
          <w:szCs w:val="21"/>
        </w:rPr>
      </w:pPr>
    </w:p>
    <w:p>
      <w:pPr>
        <w:spacing w:line="360" w:lineRule="auto"/>
        <w:rPr>
          <w:rFonts w:ascii="宋体" w:hAnsi="宋体" w:cs="宋体"/>
          <w:b/>
          <w:color w:val="000000"/>
          <w:szCs w:val="21"/>
        </w:rPr>
      </w:pPr>
    </w:p>
    <w:p>
      <w:pPr>
        <w:spacing w:line="360" w:lineRule="auto"/>
        <w:rPr>
          <w:rFonts w:ascii="宋体" w:hAnsi="宋体" w:cs="宋体"/>
          <w:b/>
          <w:color w:val="000000"/>
          <w:szCs w:val="21"/>
        </w:rPr>
      </w:pPr>
    </w:p>
    <w:p>
      <w:pPr>
        <w:spacing w:line="360" w:lineRule="auto"/>
        <w:rPr>
          <w:rFonts w:eastAsia="黑体"/>
          <w:b/>
          <w:color w:val="000000"/>
          <w:sz w:val="24"/>
        </w:rPr>
      </w:pPr>
      <w:r>
        <w:rPr>
          <w:rFonts w:hint="eastAsia" w:ascii="宋体" w:hAnsi="宋体" w:cs="宋体"/>
          <w:b/>
          <w:color w:val="000000"/>
          <w:sz w:val="24"/>
        </w:rPr>
        <w:t>7．投标保函（投标担保采用保函形式的提供）</w:t>
      </w:r>
    </w:p>
    <w:p>
      <w:pPr>
        <w:widowControl/>
        <w:spacing w:line="299" w:lineRule="atLeast"/>
        <w:jc w:val="left"/>
        <w:rPr>
          <w:rFonts w:eastAsia="仿宋_GB2312"/>
          <w:color w:val="000000"/>
          <w:kern w:val="0"/>
          <w:szCs w:val="21"/>
        </w:rPr>
      </w:pPr>
    </w:p>
    <w:p>
      <w:pPr>
        <w:widowControl/>
        <w:spacing w:line="299" w:lineRule="atLeast"/>
        <w:ind w:firstLine="5250" w:firstLineChars="2500"/>
        <w:jc w:val="left"/>
        <w:rPr>
          <w:rFonts w:eastAsia="仿宋_GB2312"/>
          <w:color w:val="000000"/>
          <w:kern w:val="0"/>
          <w:szCs w:val="21"/>
        </w:rPr>
      </w:pPr>
      <w:r>
        <w:rPr>
          <w:rFonts w:hint="eastAsia" w:eastAsia="仿宋_GB2312"/>
          <w:color w:val="000000"/>
          <w:kern w:val="0"/>
          <w:szCs w:val="21"/>
        </w:rPr>
        <w:t>保函编号：</w:t>
      </w:r>
      <w:r>
        <w:rPr>
          <w:rFonts w:eastAsia="仿宋_GB2312"/>
          <w:color w:val="000000"/>
          <w:kern w:val="0"/>
          <w:szCs w:val="21"/>
        </w:rPr>
        <w:t>________________</w:t>
      </w:r>
    </w:p>
    <w:p>
      <w:pPr>
        <w:widowControl/>
        <w:spacing w:line="360" w:lineRule="auto"/>
        <w:jc w:val="left"/>
        <w:rPr>
          <w:rFonts w:eastAsia="仿宋_GB2312"/>
          <w:color w:val="000000"/>
          <w:kern w:val="0"/>
          <w:sz w:val="22"/>
          <w:szCs w:val="22"/>
        </w:rPr>
      </w:pPr>
    </w:p>
    <w:p>
      <w:pPr>
        <w:widowControl/>
        <w:spacing w:line="360" w:lineRule="auto"/>
        <w:jc w:val="left"/>
        <w:rPr>
          <w:rFonts w:eastAsia="仿宋_GB2312"/>
          <w:color w:val="000000"/>
          <w:kern w:val="0"/>
          <w:sz w:val="22"/>
          <w:szCs w:val="22"/>
        </w:rPr>
      </w:pPr>
      <w:r>
        <w:rPr>
          <w:rFonts w:hint="eastAsia" w:eastAsia="仿宋_GB2312"/>
          <w:color w:val="000000"/>
          <w:kern w:val="0"/>
          <w:sz w:val="22"/>
          <w:szCs w:val="22"/>
        </w:rPr>
        <w:t>致：</w:t>
      </w:r>
      <w:r>
        <w:rPr>
          <w:rFonts w:eastAsia="仿宋_GB2312"/>
          <w:color w:val="000000"/>
          <w:kern w:val="0"/>
          <w:sz w:val="22"/>
          <w:szCs w:val="22"/>
        </w:rPr>
        <w:t>________________________</w:t>
      </w:r>
      <w:r>
        <w:rPr>
          <w:rFonts w:hint="eastAsia" w:eastAsia="仿宋_GB2312"/>
          <w:color w:val="000000"/>
          <w:kern w:val="0"/>
          <w:sz w:val="22"/>
          <w:szCs w:val="22"/>
        </w:rPr>
        <w:t>（下称受益人</w:t>
      </w:r>
      <w:r>
        <w:rPr>
          <w:rFonts w:eastAsia="仿宋_GB2312"/>
          <w:color w:val="000000"/>
          <w:kern w:val="0"/>
          <w:sz w:val="22"/>
          <w:szCs w:val="22"/>
        </w:rPr>
        <w:t>)</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鉴于</w:t>
      </w:r>
      <w:r>
        <w:rPr>
          <w:rFonts w:eastAsia="仿宋_GB2312"/>
          <w:color w:val="000000"/>
          <w:kern w:val="0"/>
          <w:sz w:val="22"/>
          <w:szCs w:val="22"/>
        </w:rPr>
        <w:t>______________________</w:t>
      </w:r>
      <w:r>
        <w:rPr>
          <w:rFonts w:hint="eastAsia" w:eastAsia="仿宋_GB2312"/>
          <w:color w:val="000000"/>
          <w:kern w:val="0"/>
          <w:sz w:val="22"/>
          <w:szCs w:val="22"/>
        </w:rPr>
        <w:t>（下称被保证人</w:t>
      </w:r>
      <w:r>
        <w:rPr>
          <w:rFonts w:eastAsia="仿宋_GB2312"/>
          <w:color w:val="000000"/>
          <w:kern w:val="0"/>
          <w:sz w:val="22"/>
          <w:szCs w:val="22"/>
        </w:rPr>
        <w:t>)</w:t>
      </w:r>
      <w:r>
        <w:rPr>
          <w:rFonts w:hint="eastAsia" w:eastAsia="仿宋_GB2312"/>
          <w:color w:val="000000"/>
          <w:kern w:val="0"/>
          <w:sz w:val="22"/>
          <w:szCs w:val="22"/>
        </w:rPr>
        <w:t>将于</w:t>
      </w:r>
      <w:r>
        <w:rPr>
          <w:rFonts w:eastAsia="仿宋_GB2312"/>
          <w:color w:val="000000"/>
          <w:kern w:val="0"/>
          <w:sz w:val="22"/>
          <w:szCs w:val="22"/>
        </w:rPr>
        <w:t>_____</w:t>
      </w:r>
      <w:r>
        <w:rPr>
          <w:rFonts w:hint="eastAsia" w:eastAsia="仿宋_GB2312"/>
          <w:color w:val="000000"/>
          <w:kern w:val="0"/>
          <w:sz w:val="22"/>
          <w:szCs w:val="22"/>
        </w:rPr>
        <w:t>年</w:t>
      </w:r>
      <w:r>
        <w:rPr>
          <w:rFonts w:eastAsia="仿宋_GB2312"/>
          <w:color w:val="000000"/>
          <w:kern w:val="0"/>
          <w:sz w:val="22"/>
          <w:szCs w:val="22"/>
        </w:rPr>
        <w:t>___</w:t>
      </w:r>
      <w:r>
        <w:rPr>
          <w:rFonts w:hint="eastAsia" w:eastAsia="仿宋_GB2312"/>
          <w:color w:val="000000"/>
          <w:kern w:val="0"/>
          <w:sz w:val="22"/>
          <w:szCs w:val="22"/>
        </w:rPr>
        <w:t>月</w:t>
      </w:r>
      <w:r>
        <w:rPr>
          <w:rFonts w:eastAsia="仿宋_GB2312"/>
          <w:color w:val="000000"/>
          <w:kern w:val="0"/>
          <w:sz w:val="22"/>
          <w:szCs w:val="22"/>
        </w:rPr>
        <w:t>___</w:t>
      </w:r>
      <w:r>
        <w:rPr>
          <w:rFonts w:hint="eastAsia" w:eastAsia="仿宋_GB2312"/>
          <w:color w:val="000000"/>
          <w:kern w:val="0"/>
          <w:sz w:val="22"/>
          <w:szCs w:val="22"/>
        </w:rPr>
        <w:t>日参加贵方项目编号为</w:t>
      </w:r>
      <w:r>
        <w:rPr>
          <w:rFonts w:eastAsia="仿宋_GB2312"/>
          <w:color w:val="000000"/>
          <w:kern w:val="0"/>
          <w:sz w:val="22"/>
          <w:szCs w:val="22"/>
        </w:rPr>
        <w:t>__________________</w:t>
      </w:r>
      <w:r>
        <w:rPr>
          <w:rFonts w:hint="eastAsia" w:eastAsia="仿宋_GB2312"/>
          <w:color w:val="000000"/>
          <w:kern w:val="0"/>
          <w:sz w:val="22"/>
          <w:szCs w:val="22"/>
        </w:rPr>
        <w:t>的</w:t>
      </w:r>
      <w:r>
        <w:rPr>
          <w:rFonts w:eastAsia="仿宋_GB2312"/>
          <w:color w:val="000000"/>
          <w:kern w:val="0"/>
          <w:sz w:val="22"/>
          <w:szCs w:val="22"/>
        </w:rPr>
        <w:t>______________________</w:t>
      </w:r>
      <w:r>
        <w:rPr>
          <w:rFonts w:hint="eastAsia" w:eastAsia="仿宋_GB2312"/>
          <w:color w:val="000000"/>
          <w:kern w:val="0"/>
          <w:sz w:val="22"/>
          <w:szCs w:val="22"/>
        </w:rPr>
        <w:t>项目的投标，我方接受被保证人的委托，在此向受益人提供不可撤销的投标保证：</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一、本保证担保的担保金额为人民币</w:t>
      </w:r>
      <w:r>
        <w:rPr>
          <w:rFonts w:eastAsia="仿宋_GB2312"/>
          <w:color w:val="000000"/>
          <w:kern w:val="0"/>
          <w:sz w:val="22"/>
          <w:szCs w:val="22"/>
        </w:rPr>
        <w:t>_____________</w:t>
      </w:r>
      <w:r>
        <w:rPr>
          <w:rFonts w:hint="eastAsia" w:eastAsia="仿宋_GB2312"/>
          <w:color w:val="000000"/>
          <w:kern w:val="0"/>
          <w:sz w:val="22"/>
          <w:szCs w:val="22"/>
        </w:rPr>
        <w:t>元。</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二、本保证但保的保证期间为该项目的投标有效期或延长的投标有效期后三十日（含三十日</w:t>
      </w:r>
      <w:r>
        <w:rPr>
          <w:rFonts w:eastAsia="仿宋_GB2312"/>
          <w:color w:val="000000"/>
          <w:kern w:val="0"/>
          <w:sz w:val="22"/>
          <w:szCs w:val="22"/>
        </w:rPr>
        <w:t>)</w:t>
      </w:r>
      <w:r>
        <w:rPr>
          <w:rFonts w:hint="eastAsia" w:eastAsia="仿宋_GB2312"/>
          <w:color w:val="000000"/>
          <w:kern w:val="0"/>
          <w:sz w:val="22"/>
          <w:szCs w:val="22"/>
        </w:rPr>
        <w:t>，延长投标有效期无须通知我方。</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三、在本保证担保的保证期间内，如果被保证人出现下列情形之一，受益人可以向我方提起索赔：</w:t>
      </w:r>
    </w:p>
    <w:p>
      <w:pPr>
        <w:widowControl/>
        <w:spacing w:line="300" w:lineRule="auto"/>
        <w:ind w:firstLine="440" w:firstLineChars="200"/>
        <w:jc w:val="left"/>
        <w:rPr>
          <w:rFonts w:eastAsia="仿宋_GB2312"/>
          <w:color w:val="000000"/>
          <w:kern w:val="0"/>
          <w:sz w:val="22"/>
          <w:szCs w:val="22"/>
        </w:rPr>
      </w:pPr>
      <w:r>
        <w:rPr>
          <w:rFonts w:eastAsia="仿宋_GB2312"/>
          <w:color w:val="000000"/>
          <w:kern w:val="0"/>
          <w:sz w:val="22"/>
          <w:szCs w:val="22"/>
        </w:rPr>
        <w:t>1</w:t>
      </w:r>
      <w:r>
        <w:rPr>
          <w:rFonts w:hint="eastAsia" w:eastAsia="仿宋_GB2312"/>
          <w:color w:val="000000"/>
          <w:kern w:val="0"/>
          <w:sz w:val="22"/>
          <w:szCs w:val="22"/>
        </w:rPr>
        <w:t>、被保证人在招标文件规定的投标有效期内撤回其投标；</w:t>
      </w:r>
    </w:p>
    <w:p>
      <w:pPr>
        <w:widowControl/>
        <w:spacing w:line="300" w:lineRule="auto"/>
        <w:ind w:firstLine="440" w:firstLineChars="200"/>
        <w:jc w:val="left"/>
        <w:rPr>
          <w:rFonts w:eastAsia="仿宋_GB2312"/>
          <w:color w:val="000000"/>
          <w:kern w:val="0"/>
          <w:sz w:val="22"/>
          <w:szCs w:val="22"/>
        </w:rPr>
      </w:pPr>
      <w:r>
        <w:rPr>
          <w:rFonts w:eastAsia="仿宋_GB2312"/>
          <w:color w:val="000000"/>
          <w:kern w:val="0"/>
          <w:sz w:val="22"/>
          <w:szCs w:val="22"/>
        </w:rPr>
        <w:t>2</w:t>
      </w:r>
      <w:r>
        <w:rPr>
          <w:rFonts w:hint="eastAsia" w:eastAsia="仿宋_GB2312"/>
          <w:color w:val="000000"/>
          <w:kern w:val="0"/>
          <w:sz w:val="22"/>
          <w:szCs w:val="22"/>
        </w:rPr>
        <w:t>、被保证人在投标有效期内收到受益人发出的中标通知后，不能或拒绝按招标文件的规定签署供货合同；</w:t>
      </w:r>
    </w:p>
    <w:p>
      <w:pPr>
        <w:widowControl/>
        <w:spacing w:line="300" w:lineRule="auto"/>
        <w:ind w:firstLine="440" w:firstLineChars="200"/>
        <w:jc w:val="left"/>
        <w:rPr>
          <w:rFonts w:eastAsia="仿宋_GB2312"/>
          <w:color w:val="000000"/>
          <w:kern w:val="0"/>
          <w:sz w:val="22"/>
          <w:szCs w:val="22"/>
        </w:rPr>
      </w:pPr>
      <w:r>
        <w:rPr>
          <w:rFonts w:eastAsia="仿宋_GB2312"/>
          <w:color w:val="000000"/>
          <w:kern w:val="0"/>
          <w:sz w:val="22"/>
          <w:szCs w:val="22"/>
        </w:rPr>
        <w:t>3</w:t>
      </w:r>
      <w:r>
        <w:rPr>
          <w:rFonts w:hint="eastAsia" w:eastAsia="仿宋_GB2312"/>
          <w:color w:val="000000"/>
          <w:kern w:val="0"/>
          <w:sz w:val="22"/>
          <w:szCs w:val="22"/>
        </w:rPr>
        <w:t>、被保证人在投标有效期内收到受益人发出的中标通知后，不能或拒绝按招标文件的规定提交履约担保。</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四、在本保证担保的保证期内，我方收到受益人经法定代表人或其授权委托代理人签字并加盖公章的书面索赔通知后，将不争辩、不挑剔、不可撤销地立即向受益人支付本保证担保的担保金额。</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五、受益人的索赔通知应当说明索赔理由，并必须在本保证担保的保证期间内送达我方。</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六、本保证担保项下的权利不得转让。</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七、本保证担保的保证期间届满，或我方已向受益人支付本保证担保的担保金额，我方的保证责任免除。</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八、本保证担保适用中华人民共和国法律。</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九、本保证担保以中文文本为准，涂改无效。</w:t>
      </w:r>
    </w:p>
    <w:p>
      <w:pPr>
        <w:widowControl/>
        <w:spacing w:line="360" w:lineRule="auto"/>
        <w:ind w:firstLine="420" w:firstLineChars="200"/>
        <w:jc w:val="left"/>
        <w:rPr>
          <w:rFonts w:eastAsia="仿宋_GB2312"/>
          <w:color w:val="000000"/>
          <w:kern w:val="0"/>
          <w:szCs w:val="21"/>
        </w:rPr>
      </w:pPr>
      <w:r>
        <w:rPr>
          <w:rFonts w:hint="eastAsia" w:eastAsia="仿宋_GB2312"/>
          <w:color w:val="000000"/>
          <w:kern w:val="0"/>
          <w:szCs w:val="21"/>
        </w:rPr>
        <w:t>（本保函失效后，请将原件退回我方注销</w:t>
      </w:r>
      <w:r>
        <w:rPr>
          <w:rFonts w:eastAsia="仿宋_GB2312"/>
          <w:color w:val="000000"/>
          <w:kern w:val="0"/>
          <w:szCs w:val="21"/>
        </w:rPr>
        <w:t>)</w:t>
      </w:r>
    </w:p>
    <w:p>
      <w:pPr>
        <w:widowControl/>
        <w:spacing w:line="360" w:lineRule="auto"/>
        <w:ind w:left="420" w:leftChars="200"/>
        <w:jc w:val="left"/>
        <w:rPr>
          <w:rFonts w:eastAsia="仿宋_GB2312"/>
          <w:color w:val="000000"/>
          <w:kern w:val="0"/>
          <w:sz w:val="22"/>
          <w:szCs w:val="22"/>
        </w:rPr>
      </w:pP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保证人：</w:t>
      </w:r>
      <w:r>
        <w:rPr>
          <w:rFonts w:eastAsia="仿宋_GB2312"/>
          <w:color w:val="000000"/>
          <w:kern w:val="0"/>
          <w:sz w:val="22"/>
          <w:szCs w:val="22"/>
        </w:rPr>
        <w:t>_____________________________________</w:t>
      </w: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法定代表人或授权委托人：</w:t>
      </w:r>
      <w:r>
        <w:rPr>
          <w:rFonts w:eastAsia="仿宋_GB2312"/>
          <w:color w:val="000000"/>
          <w:kern w:val="0"/>
          <w:sz w:val="22"/>
          <w:szCs w:val="22"/>
        </w:rPr>
        <w:t>_____________________</w:t>
      </w: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单位地址：</w:t>
      </w:r>
      <w:r>
        <w:rPr>
          <w:rFonts w:eastAsia="仿宋_GB2312"/>
          <w:color w:val="000000"/>
          <w:kern w:val="0"/>
          <w:sz w:val="22"/>
          <w:szCs w:val="22"/>
        </w:rPr>
        <w:t>__________________________________________</w:t>
      </w: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邮政编码：</w:t>
      </w:r>
      <w:r>
        <w:rPr>
          <w:rFonts w:eastAsia="仿宋_GB2312"/>
          <w:color w:val="000000"/>
          <w:kern w:val="0"/>
          <w:sz w:val="22"/>
          <w:szCs w:val="22"/>
        </w:rPr>
        <w:t>_______________</w:t>
      </w:r>
      <w:r>
        <w:rPr>
          <w:rFonts w:hint="eastAsia" w:eastAsia="仿宋_GB2312"/>
          <w:color w:val="000000"/>
          <w:kern w:val="0"/>
          <w:sz w:val="22"/>
          <w:szCs w:val="22"/>
        </w:rPr>
        <w:t>电话：</w:t>
      </w:r>
      <w:r>
        <w:rPr>
          <w:rFonts w:eastAsia="仿宋_GB2312"/>
          <w:color w:val="000000"/>
          <w:kern w:val="0"/>
          <w:sz w:val="22"/>
          <w:szCs w:val="22"/>
        </w:rPr>
        <w:t>____________________</w:t>
      </w:r>
    </w:p>
    <w:p>
      <w:pPr>
        <w:widowControl/>
        <w:spacing w:line="360" w:lineRule="auto"/>
        <w:jc w:val="left"/>
        <w:rPr>
          <w:rFonts w:ascii="宋体" w:hAnsi="宋体" w:cs="宋体"/>
          <w:b/>
          <w:color w:val="000000"/>
          <w:sz w:val="24"/>
        </w:rPr>
      </w:pPr>
      <w:r>
        <w:rPr>
          <w:rFonts w:hint="eastAsia" w:ascii="宋体" w:hAnsi="宋体" w:cs="宋体"/>
          <w:b/>
          <w:color w:val="000000"/>
          <w:sz w:val="24"/>
        </w:rPr>
        <w:t>8.物业管理投标承诺书</w:t>
      </w:r>
    </w:p>
    <w:p>
      <w:pPr>
        <w:jc w:val="center"/>
        <w:rPr>
          <w:color w:val="000000"/>
          <w:sz w:val="32"/>
        </w:rPr>
      </w:pPr>
    </w:p>
    <w:p>
      <w:pPr>
        <w:spacing w:line="360" w:lineRule="auto"/>
        <w:jc w:val="left"/>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jc w:val="left"/>
        <w:rPr>
          <w:rFonts w:ascii="宋体" w:hAnsi="宋体" w:cs="宋体"/>
          <w:color w:val="000000"/>
          <w:szCs w:val="21"/>
        </w:rPr>
      </w:pPr>
      <w:r>
        <w:rPr>
          <w:rFonts w:hint="eastAsia" w:ascii="宋体" w:hAnsi="宋体" w:cs="宋体"/>
          <w:color w:val="000000"/>
          <w:szCs w:val="21"/>
        </w:rPr>
        <w:t>本投标人已详细阅读了</w:t>
      </w:r>
      <w:r>
        <w:rPr>
          <w:rFonts w:hint="eastAsia" w:ascii="宋体" w:hAnsi="宋体" w:cs="宋体"/>
          <w:color w:val="000000"/>
          <w:szCs w:val="21"/>
          <w:u w:val="single"/>
        </w:rPr>
        <w:t xml:space="preserve">                         </w:t>
      </w:r>
      <w:r>
        <w:rPr>
          <w:rFonts w:hint="eastAsia" w:ascii="宋体" w:hAnsi="宋体" w:cs="宋体"/>
          <w:color w:val="000000"/>
          <w:szCs w:val="21"/>
        </w:rPr>
        <w:t>物业管理项目的招标文件，自愿参加上述项目投标，现就有关事项向招标人郑重承诺如下：</w:t>
      </w:r>
    </w:p>
    <w:p>
      <w:pPr>
        <w:spacing w:line="360" w:lineRule="auto"/>
        <w:ind w:firstLine="420"/>
        <w:jc w:val="left"/>
        <w:rPr>
          <w:rFonts w:ascii="宋体" w:hAnsi="宋体" w:cs="宋体"/>
          <w:color w:val="000000"/>
          <w:szCs w:val="21"/>
        </w:rPr>
      </w:pPr>
      <w:r>
        <w:rPr>
          <w:rFonts w:hint="eastAsia" w:ascii="宋体" w:hAnsi="宋体" w:cs="宋体"/>
          <w:color w:val="000000"/>
          <w:szCs w:val="21"/>
        </w:rPr>
        <w:t>1、遵守中华人民共和国、深圳市有关招标投标的法律法规规定，自觉维护物业管理市场秩序。若有违反，同意被废除投标资格。</w:t>
      </w:r>
    </w:p>
    <w:p>
      <w:pPr>
        <w:spacing w:line="360" w:lineRule="auto"/>
        <w:ind w:firstLine="420"/>
        <w:jc w:val="left"/>
        <w:rPr>
          <w:rFonts w:ascii="宋体" w:hAnsi="宋体" w:cs="宋体"/>
          <w:color w:val="000000"/>
          <w:szCs w:val="21"/>
        </w:rPr>
      </w:pPr>
      <w:r>
        <w:rPr>
          <w:rFonts w:hint="eastAsia" w:ascii="宋体" w:hAnsi="宋体" w:cs="宋体"/>
          <w:color w:val="000000"/>
          <w:szCs w:val="21"/>
        </w:rPr>
        <w:t>2、服从《招标工作议程》安排，遵守招标有关会议现场纪律。若有违反，同意被废除投标资格并接受处罚。</w:t>
      </w:r>
    </w:p>
    <w:p>
      <w:pPr>
        <w:spacing w:line="360" w:lineRule="auto"/>
        <w:ind w:firstLine="420"/>
        <w:jc w:val="left"/>
        <w:rPr>
          <w:rFonts w:ascii="宋体" w:hAnsi="宋体" w:cs="宋体"/>
          <w:color w:val="000000"/>
          <w:szCs w:val="21"/>
        </w:rPr>
      </w:pPr>
      <w:r>
        <w:rPr>
          <w:rFonts w:hint="eastAsia" w:ascii="宋体" w:hAnsi="宋体" w:cs="宋体"/>
          <w:color w:val="000000"/>
          <w:szCs w:val="21"/>
        </w:rPr>
        <w:t>3、接受招标文件全部内容，若有违反，同意被废除投标资格。</w:t>
      </w:r>
    </w:p>
    <w:p>
      <w:pPr>
        <w:spacing w:line="360" w:lineRule="auto"/>
        <w:ind w:firstLine="420"/>
        <w:jc w:val="left"/>
        <w:rPr>
          <w:rFonts w:ascii="宋体" w:hAnsi="宋体" w:cs="宋体"/>
          <w:color w:val="000000"/>
          <w:szCs w:val="21"/>
        </w:rPr>
      </w:pPr>
      <w:r>
        <w:rPr>
          <w:rFonts w:hint="eastAsia" w:ascii="宋体" w:hAnsi="宋体" w:cs="宋体"/>
          <w:color w:val="000000"/>
          <w:szCs w:val="21"/>
        </w:rPr>
        <w:t>4、保证投标文件内容无任何虚假、未侵犯他人知识产权。若评标过程中查出有虚假，同意作无效投标文件处理并被没收投标担保。若中标之后查出有虚假，同意废除中标资格并被没收投标担保，承担因侵犯他人知识产权而</w:t>
      </w:r>
      <w:r>
        <w:rPr>
          <w:rStyle w:val="23"/>
          <w:rFonts w:hint="eastAsia" w:ascii="宋体" w:hAnsi="宋体" w:cs="宋体"/>
          <w:bCs w:val="0"/>
          <w:color w:val="000000"/>
          <w:szCs w:val="21"/>
        </w:rPr>
        <w:t>由此引起的全部法律责任和经济责任</w:t>
      </w:r>
      <w:r>
        <w:rPr>
          <w:rFonts w:hint="eastAsia" w:ascii="宋体" w:hAnsi="宋体" w:cs="宋体"/>
          <w:color w:val="000000"/>
          <w:szCs w:val="21"/>
        </w:rPr>
        <w:t>。</w:t>
      </w:r>
    </w:p>
    <w:p>
      <w:pPr>
        <w:spacing w:line="360" w:lineRule="auto"/>
        <w:ind w:firstLine="420"/>
        <w:jc w:val="left"/>
        <w:rPr>
          <w:rFonts w:ascii="宋体" w:hAnsi="宋体" w:cs="宋体"/>
          <w:color w:val="000000"/>
          <w:szCs w:val="21"/>
        </w:rPr>
      </w:pPr>
      <w:r>
        <w:rPr>
          <w:rFonts w:hint="eastAsia" w:ascii="宋体" w:hAnsi="宋体" w:cs="宋体"/>
          <w:color w:val="000000"/>
          <w:szCs w:val="21"/>
        </w:rPr>
        <w:t>5、保证按照招标文件及中标通知书规定签订此项目物业管理合同，并按照要求准时进驻物业项目提供物业服务。如有违反，同意接受招标人违约处罚并被没收投标保证，承担相应法律责任。</w:t>
      </w:r>
    </w:p>
    <w:p>
      <w:pPr>
        <w:spacing w:line="360" w:lineRule="auto"/>
        <w:ind w:firstLine="420"/>
        <w:jc w:val="left"/>
        <w:rPr>
          <w:rFonts w:ascii="宋体" w:hAnsi="宋体" w:cs="宋体"/>
          <w:color w:val="000000"/>
          <w:szCs w:val="21"/>
        </w:rPr>
      </w:pPr>
      <w:r>
        <w:rPr>
          <w:rFonts w:hint="eastAsia" w:ascii="宋体" w:hAnsi="宋体" w:cs="宋体"/>
          <w:color w:val="000000"/>
          <w:szCs w:val="21"/>
        </w:rPr>
        <w:t>6、保证中标之后不将以任何方式将物业管理的整体项目转让与第三方。</w:t>
      </w:r>
    </w:p>
    <w:p>
      <w:pPr>
        <w:spacing w:line="360" w:lineRule="auto"/>
        <w:ind w:firstLine="420"/>
        <w:jc w:val="left"/>
        <w:rPr>
          <w:rFonts w:ascii="宋体" w:hAnsi="宋体" w:cs="宋体"/>
          <w:color w:val="000000"/>
          <w:szCs w:val="21"/>
        </w:rPr>
      </w:pPr>
      <w:r>
        <w:rPr>
          <w:rFonts w:hint="eastAsia" w:ascii="宋体" w:hAnsi="宋体" w:cs="宋体"/>
          <w:color w:val="000000"/>
          <w:szCs w:val="21"/>
        </w:rPr>
        <w:t>7、保证按招标文件及合同约定原则处理因招标人原因增加或调整的工作量及其他事宜。</w:t>
      </w:r>
    </w:p>
    <w:p>
      <w:pPr>
        <w:ind w:right="-89" w:firstLine="2879"/>
        <w:jc w:val="left"/>
        <w:rPr>
          <w:rFonts w:ascii="宋体" w:hAnsi="宋体" w:cs="宋体"/>
          <w:color w:val="000000"/>
          <w:szCs w:val="21"/>
        </w:rPr>
      </w:pPr>
    </w:p>
    <w:p>
      <w:pPr>
        <w:spacing w:line="480" w:lineRule="auto"/>
        <w:ind w:right="-89" w:firstLine="2940"/>
        <w:jc w:val="left"/>
        <w:rPr>
          <w:rFonts w:ascii="宋体" w:hAnsi="宋体" w:cs="宋体"/>
          <w:color w:val="000000"/>
          <w:szCs w:val="21"/>
        </w:rPr>
      </w:pPr>
    </w:p>
    <w:p>
      <w:pPr>
        <w:spacing w:line="480" w:lineRule="auto"/>
        <w:ind w:right="-89" w:firstLine="2940"/>
        <w:jc w:val="left"/>
        <w:rPr>
          <w:rFonts w:ascii="宋体" w:hAnsi="宋体" w:cs="宋体"/>
          <w:color w:val="000000"/>
          <w:szCs w:val="21"/>
          <w:u w:val="single"/>
        </w:rPr>
      </w:pPr>
      <w:r>
        <w:rPr>
          <w:rFonts w:hint="eastAsia" w:ascii="宋体" w:hAnsi="宋体" w:cs="宋体"/>
          <w:color w:val="000000"/>
          <w:szCs w:val="21"/>
        </w:rPr>
        <w:t>投标人名称（公章）：</w:t>
      </w:r>
      <w:r>
        <w:rPr>
          <w:rFonts w:hint="eastAsia" w:ascii="宋体" w:hAnsi="宋体" w:cs="宋体"/>
          <w:color w:val="000000"/>
          <w:szCs w:val="21"/>
          <w:u w:val="single"/>
        </w:rPr>
        <w:t xml:space="preserve">                    </w:t>
      </w:r>
    </w:p>
    <w:p>
      <w:pPr>
        <w:spacing w:line="480" w:lineRule="auto"/>
        <w:ind w:firstLine="2940"/>
        <w:jc w:val="left"/>
        <w:rPr>
          <w:rFonts w:ascii="宋体" w:hAnsi="宋体" w:cs="宋体"/>
          <w:color w:val="00000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360" w:lineRule="auto"/>
        <w:ind w:left="630" w:hanging="630" w:hangingChars="300"/>
        <w:rPr>
          <w:bCs/>
          <w:color w:val="000000"/>
          <w:szCs w:val="21"/>
        </w:rPr>
      </w:pPr>
    </w:p>
    <w:p>
      <w:pPr>
        <w:spacing w:line="360" w:lineRule="auto"/>
        <w:rPr>
          <w:rFonts w:ascii="宋体" w:hAnsi="宋体" w:cs="宋体"/>
          <w:b/>
          <w:color w:val="000000"/>
          <w:sz w:val="24"/>
        </w:rPr>
      </w:pPr>
      <w:r>
        <w:rPr>
          <w:rFonts w:eastAsia="黑体"/>
          <w:b/>
          <w:color w:val="000000"/>
          <w:sz w:val="30"/>
          <w:szCs w:val="30"/>
        </w:rPr>
        <w:br w:type="column"/>
      </w:r>
      <w:r>
        <w:rPr>
          <w:rFonts w:hint="eastAsia" w:ascii="宋体" w:hAnsi="宋体" w:cs="宋体"/>
          <w:b/>
          <w:color w:val="000000"/>
          <w:sz w:val="24"/>
        </w:rPr>
        <w:t>9. 开标一览表</w:t>
      </w:r>
    </w:p>
    <w:p>
      <w:pPr>
        <w:spacing w:line="360" w:lineRule="auto"/>
        <w:ind w:firstLine="474" w:firstLineChars="225"/>
        <w:jc w:val="center"/>
        <w:rPr>
          <w:rFonts w:ascii="宋体" w:hAnsi="宋体" w:cs="宋体"/>
          <w:b/>
          <w:color w:val="000000"/>
          <w:szCs w:val="21"/>
        </w:rPr>
      </w:pPr>
    </w:p>
    <w:p>
      <w:pPr>
        <w:spacing w:line="360" w:lineRule="auto"/>
        <w:ind w:firstLine="474" w:firstLineChars="225"/>
        <w:jc w:val="center"/>
        <w:rPr>
          <w:rFonts w:ascii="宋体" w:hAnsi="宋体" w:cs="宋体"/>
          <w:b/>
          <w:bCs/>
          <w:color w:val="000000"/>
          <w:szCs w:val="21"/>
        </w:rPr>
      </w:pPr>
      <w:bookmarkStart w:id="53" w:name="_Toc7453_WPSOffice_Level2"/>
      <w:r>
        <w:rPr>
          <w:rFonts w:hint="eastAsia" w:ascii="宋体" w:hAnsi="宋体" w:cs="宋体"/>
          <w:b/>
          <w:bCs/>
          <w:color w:val="000000"/>
          <w:szCs w:val="21"/>
        </w:rPr>
        <w:t>开标一览表</w:t>
      </w:r>
      <w:bookmarkEnd w:id="53"/>
    </w:p>
    <w:p>
      <w:pPr>
        <w:spacing w:line="360" w:lineRule="auto"/>
        <w:rPr>
          <w:color w:val="000000"/>
          <w:szCs w:val="21"/>
        </w:rPr>
      </w:pPr>
      <w:r>
        <w:rPr>
          <w:rFonts w:hint="eastAsia"/>
          <w:color w:val="000000"/>
          <w:szCs w:val="21"/>
        </w:rPr>
        <w:t>招标项目名称：</w:t>
      </w:r>
    </w:p>
    <w:tbl>
      <w:tblPr>
        <w:tblStyle w:val="20"/>
        <w:tblW w:w="8726"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96"/>
        <w:gridCol w:w="2085"/>
        <w:gridCol w:w="261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double" w:color="000000" w:sz="4" w:space="0"/>
              <w:left w:val="double" w:color="000000" w:sz="4" w:space="0"/>
              <w:bottom w:val="single" w:color="auto" w:sz="4" w:space="0"/>
              <w:right w:val="single" w:color="auto" w:sz="4" w:space="0"/>
            </w:tcBorders>
            <w:vAlign w:val="center"/>
          </w:tcPr>
          <w:p>
            <w:pPr>
              <w:spacing w:line="360" w:lineRule="exact"/>
              <w:jc w:val="center"/>
              <w:rPr>
                <w:b/>
                <w:snapToGrid w:val="0"/>
                <w:kern w:val="0"/>
              </w:rPr>
            </w:pPr>
            <w:r>
              <w:rPr>
                <w:rFonts w:hint="eastAsia"/>
                <w:b/>
                <w:snapToGrid w:val="0"/>
                <w:kern w:val="0"/>
              </w:rPr>
              <w:t>物业类型</w:t>
            </w:r>
          </w:p>
        </w:tc>
        <w:tc>
          <w:tcPr>
            <w:tcW w:w="1796" w:type="dxa"/>
            <w:tcBorders>
              <w:top w:val="doub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napToGrid w:val="0"/>
                <w:kern w:val="0"/>
              </w:rPr>
            </w:pPr>
            <w:r>
              <w:rPr>
                <w:rFonts w:hint="eastAsia"/>
                <w:b/>
                <w:snapToGrid w:val="0"/>
                <w:kern w:val="0"/>
              </w:rPr>
              <w:t>物业建筑面积</w:t>
            </w:r>
            <w:r>
              <w:rPr>
                <w:rFonts w:hint="eastAsia" w:ascii="宋体" w:hAnsi="宋体" w:cs="宋体"/>
                <w:b/>
                <w:snapToGrid w:val="0"/>
                <w:kern w:val="0"/>
              </w:rPr>
              <w:t>A</w:t>
            </w:r>
          </w:p>
          <w:p>
            <w:pPr>
              <w:spacing w:line="360" w:lineRule="exact"/>
              <w:jc w:val="center"/>
              <w:rPr>
                <w:b/>
                <w:snapToGrid w:val="0"/>
                <w:kern w:val="0"/>
              </w:rPr>
            </w:pPr>
            <w:r>
              <w:rPr>
                <w:rFonts w:hint="eastAsia"/>
                <w:b/>
                <w:snapToGrid w:val="0"/>
                <w:kern w:val="0"/>
              </w:rPr>
              <w:t>（</w:t>
            </w:r>
            <w:r>
              <w:rPr>
                <w:rFonts w:hint="eastAsia" w:ascii="宋体" w:hAnsi="宋体" w:cs="宋体"/>
                <w:b/>
                <w:snapToGrid w:val="0"/>
                <w:kern w:val="0"/>
              </w:rPr>
              <w:t>㎡）</w:t>
            </w:r>
          </w:p>
        </w:tc>
        <w:tc>
          <w:tcPr>
            <w:tcW w:w="2085" w:type="dxa"/>
            <w:tcBorders>
              <w:top w:val="double" w:color="000000" w:sz="4" w:space="0"/>
              <w:left w:val="single" w:color="auto" w:sz="4" w:space="0"/>
              <w:bottom w:val="single" w:color="auto" w:sz="4" w:space="0"/>
              <w:right w:val="single" w:color="auto" w:sz="4" w:space="0"/>
            </w:tcBorders>
            <w:vAlign w:val="center"/>
          </w:tcPr>
          <w:p>
            <w:pPr>
              <w:spacing w:line="360" w:lineRule="exact"/>
              <w:jc w:val="center"/>
              <w:rPr>
                <w:b/>
                <w:snapToGrid w:val="0"/>
                <w:kern w:val="0"/>
              </w:rPr>
            </w:pPr>
            <w:r>
              <w:rPr>
                <w:rFonts w:hint="eastAsia"/>
                <w:b/>
                <w:snapToGrid w:val="0"/>
                <w:kern w:val="0"/>
              </w:rPr>
              <w:t>投标单价B</w:t>
            </w:r>
          </w:p>
          <w:p>
            <w:pPr>
              <w:spacing w:line="360" w:lineRule="exact"/>
              <w:jc w:val="center"/>
              <w:rPr>
                <w:b/>
                <w:snapToGrid w:val="0"/>
                <w:kern w:val="0"/>
              </w:rPr>
            </w:pPr>
            <w:r>
              <w:rPr>
                <w:rFonts w:hint="eastAsia"/>
                <w:b/>
                <w:snapToGrid w:val="0"/>
                <w:kern w:val="0"/>
              </w:rPr>
              <w:t>（元/</w:t>
            </w:r>
            <w:r>
              <w:rPr>
                <w:rFonts w:hint="eastAsia" w:ascii="宋体" w:hAnsi="宋体" w:cs="宋体"/>
                <w:b/>
                <w:snapToGrid w:val="0"/>
                <w:kern w:val="0"/>
              </w:rPr>
              <w:t>㎡</w:t>
            </w:r>
            <w:r>
              <w:rPr>
                <w:rFonts w:hint="eastAsia"/>
                <w:b/>
                <w:snapToGrid w:val="0"/>
                <w:kern w:val="0"/>
              </w:rPr>
              <w:t>•月）</w:t>
            </w:r>
          </w:p>
        </w:tc>
        <w:tc>
          <w:tcPr>
            <w:tcW w:w="2610" w:type="dxa"/>
            <w:tcBorders>
              <w:top w:val="double" w:color="000000" w:sz="4" w:space="0"/>
              <w:left w:val="single" w:color="auto" w:sz="4" w:space="0"/>
              <w:bottom w:val="single" w:color="auto" w:sz="4" w:space="0"/>
              <w:right w:val="double" w:color="000000" w:sz="4" w:space="0"/>
            </w:tcBorders>
            <w:vAlign w:val="center"/>
          </w:tcPr>
          <w:p>
            <w:pPr>
              <w:spacing w:line="360" w:lineRule="exact"/>
              <w:jc w:val="center"/>
              <w:rPr>
                <w:b/>
                <w:snapToGrid w:val="0"/>
                <w:kern w:val="0"/>
              </w:rPr>
            </w:pPr>
            <w:r>
              <w:rPr>
                <w:rFonts w:hint="eastAsia"/>
                <w:b/>
                <w:snapToGrid w:val="0"/>
                <w:kern w:val="0"/>
              </w:rPr>
              <w:t>物业管理费C</w:t>
            </w:r>
          </w:p>
          <w:p>
            <w:pPr>
              <w:spacing w:line="360" w:lineRule="exact"/>
              <w:jc w:val="center"/>
              <w:rPr>
                <w:b/>
                <w:snapToGrid w:val="0"/>
                <w:kern w:val="0"/>
              </w:rPr>
            </w:pPr>
            <w:r>
              <w:rPr>
                <w:rFonts w:hint="eastAsia"/>
                <w:b/>
                <w:snapToGrid w:val="0"/>
                <w:kern w:val="0"/>
              </w:rPr>
              <w:t>（C=A</w:t>
            </w:r>
            <w:r>
              <w:rPr>
                <w:rFonts w:ascii="Arial" w:hAnsi="Arial" w:cs="Arial"/>
                <w:b/>
                <w:snapToGrid w:val="0"/>
                <w:kern w:val="0"/>
              </w:rPr>
              <w:t>×</w:t>
            </w:r>
            <w:r>
              <w:rPr>
                <w:rFonts w:hint="eastAsia" w:ascii="Arial" w:hAnsi="Arial" w:cs="Arial"/>
                <w:b/>
                <w:snapToGrid w:val="0"/>
                <w:kern w:val="0"/>
              </w:rPr>
              <w:t>B）</w:t>
            </w:r>
            <w:r>
              <w:rPr>
                <w:rFonts w:hint="eastAsia"/>
                <w:b/>
                <w:snapToGrid w:val="0"/>
                <w:kern w:val="0"/>
              </w:rPr>
              <w:t>（元/月)</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b/>
                <w:snapToGrid w:val="0"/>
                <w:kern w:val="0"/>
              </w:rPr>
            </w:pPr>
            <w:r>
              <w:rPr>
                <w:rFonts w:hint="eastAsia"/>
                <w:snapToGrid w:val="0"/>
                <w:kern w:val="0"/>
              </w:rPr>
              <w:t>多层住宅(1）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r>
              <w:rPr>
                <w:rFonts w:hint="eastAsia"/>
                <w:snapToGrid w:val="0"/>
                <w:kern w:val="0"/>
              </w:rPr>
              <w:t>高层住宅(2）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r>
              <w:rPr>
                <w:rFonts w:hint="eastAsia"/>
                <w:snapToGrid w:val="0"/>
                <w:kern w:val="0"/>
              </w:rPr>
              <w:t>商   业(3）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r>
              <w:rPr>
                <w:rFonts w:hint="eastAsia"/>
                <w:snapToGrid w:val="0"/>
                <w:kern w:val="0"/>
              </w:rPr>
              <w:t>其   他(4）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r>
              <w:rPr>
                <w:rFonts w:hint="eastAsia"/>
                <w:snapToGrid w:val="0"/>
                <w:kern w:val="0"/>
              </w:rPr>
              <w:t>小计</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r>
              <w:rPr>
                <w:rFonts w:hint="eastAsia"/>
                <w:b/>
                <w:snapToGrid w:val="0"/>
                <w:kern w:val="0"/>
              </w:rPr>
              <w:t>/</w:t>
            </w: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r>
              <w:rPr>
                <w:rFonts w:hint="eastAsia"/>
                <w:b/>
                <w:snapToGrid w:val="0"/>
                <w:kern w:val="0"/>
              </w:rPr>
              <w:t>/</w:t>
            </w: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6116" w:type="dxa"/>
            <w:gridSpan w:val="3"/>
            <w:tcBorders>
              <w:top w:val="single" w:color="auto" w:sz="4" w:space="0"/>
              <w:left w:val="double" w:color="000000" w:sz="4" w:space="0"/>
              <w:bottom w:val="single" w:color="auto" w:sz="4" w:space="0"/>
              <w:right w:val="single" w:color="auto" w:sz="4" w:space="0"/>
            </w:tcBorders>
            <w:vAlign w:val="center"/>
          </w:tcPr>
          <w:p>
            <w:pPr>
              <w:widowControl/>
              <w:jc w:val="center"/>
              <w:rPr>
                <w:snapToGrid w:val="0"/>
                <w:kern w:val="0"/>
              </w:rPr>
            </w:pPr>
            <w:r>
              <w:rPr>
                <w:rFonts w:hint="eastAsia"/>
                <w:b/>
                <w:snapToGrid w:val="0"/>
                <w:kern w:val="0"/>
              </w:rPr>
              <w:t xml:space="preserve">全年物业管理费D（D = C </w:t>
            </w:r>
            <w:r>
              <w:rPr>
                <w:b/>
                <w:snapToGrid w:val="0"/>
                <w:kern w:val="0"/>
              </w:rPr>
              <w:t>×</w:t>
            </w:r>
            <w:r>
              <w:rPr>
                <w:rFonts w:hint="eastAsia"/>
                <w:b/>
                <w:snapToGrid w:val="0"/>
                <w:kern w:val="0"/>
              </w:rPr>
              <w:t xml:space="preserve"> 12 ）（元）</w:t>
            </w:r>
          </w:p>
        </w:tc>
        <w:tc>
          <w:tcPr>
            <w:tcW w:w="2610" w:type="dxa"/>
            <w:tcBorders>
              <w:top w:val="single" w:color="auto" w:sz="4" w:space="0"/>
              <w:left w:val="single" w:color="auto" w:sz="4" w:space="0"/>
              <w:bottom w:val="single" w:color="auto" w:sz="4" w:space="0"/>
              <w:right w:val="double" w:color="000000" w:sz="4" w:space="0"/>
            </w:tcBorders>
            <w:vAlign w:val="center"/>
          </w:tcPr>
          <w:p>
            <w:pPr>
              <w:widowControl/>
              <w:jc w:val="left"/>
              <w:rPr>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6116" w:type="dxa"/>
            <w:gridSpan w:val="3"/>
            <w:tcBorders>
              <w:top w:val="single" w:color="auto" w:sz="4" w:space="0"/>
              <w:left w:val="double" w:color="000000" w:sz="4" w:space="0"/>
              <w:bottom w:val="double" w:color="000000" w:sz="4" w:space="0"/>
              <w:right w:val="single" w:color="auto" w:sz="4" w:space="0"/>
            </w:tcBorders>
            <w:vAlign w:val="center"/>
          </w:tcPr>
          <w:p>
            <w:pPr>
              <w:widowControl/>
              <w:jc w:val="center"/>
              <w:rPr>
                <w:snapToGrid w:val="0"/>
                <w:kern w:val="0"/>
              </w:rPr>
            </w:pPr>
            <w:r>
              <w:rPr>
                <w:rFonts w:hint="eastAsia"/>
                <w:b/>
                <w:snapToGrid w:val="0"/>
                <w:kern w:val="0"/>
              </w:rPr>
              <w:t>全年物业服务总费E</w:t>
            </w:r>
          </w:p>
        </w:tc>
        <w:tc>
          <w:tcPr>
            <w:tcW w:w="2610" w:type="dxa"/>
            <w:tcBorders>
              <w:top w:val="single" w:color="auto" w:sz="4" w:space="0"/>
              <w:left w:val="single" w:color="auto" w:sz="4" w:space="0"/>
              <w:bottom w:val="double" w:color="000000" w:sz="4" w:space="0"/>
              <w:right w:val="double" w:color="000000" w:sz="4" w:space="0"/>
            </w:tcBorders>
            <w:vAlign w:val="center"/>
          </w:tcPr>
          <w:p>
            <w:pPr>
              <w:widowControl/>
              <w:jc w:val="left"/>
              <w:rPr>
                <w:snapToGrid w:val="0"/>
                <w:kern w:val="0"/>
              </w:rPr>
            </w:pPr>
          </w:p>
        </w:tc>
      </w:tr>
    </w:tbl>
    <w:p>
      <w:pPr>
        <w:spacing w:line="360" w:lineRule="auto"/>
        <w:rPr>
          <w:color w:val="000000"/>
          <w:szCs w:val="21"/>
        </w:rPr>
      </w:pPr>
    </w:p>
    <w:p>
      <w:pPr>
        <w:spacing w:line="360" w:lineRule="auto"/>
        <w:ind w:left="630" w:hanging="630" w:hangingChars="300"/>
        <w:rPr>
          <w:bCs/>
          <w:color w:val="000000"/>
          <w:szCs w:val="21"/>
        </w:rPr>
      </w:pPr>
      <w:r>
        <w:rPr>
          <w:rFonts w:hint="eastAsia"/>
          <w:snapToGrid w:val="0"/>
          <w:color w:val="000000"/>
          <w:kern w:val="0"/>
        </w:rPr>
        <w:t>注：</w:t>
      </w:r>
      <w:r>
        <w:rPr>
          <w:bCs/>
          <w:color w:val="000000"/>
          <w:szCs w:val="21"/>
        </w:rPr>
        <w:t>1</w:t>
      </w:r>
      <w:r>
        <w:rPr>
          <w:rFonts w:hint="eastAsia"/>
          <w:bCs/>
          <w:color w:val="000000"/>
          <w:szCs w:val="21"/>
        </w:rPr>
        <w:t>、价格应按</w:t>
      </w:r>
      <w:r>
        <w:rPr>
          <w:bCs/>
          <w:color w:val="000000"/>
          <w:szCs w:val="21"/>
        </w:rPr>
        <w:t>“</w:t>
      </w:r>
      <w:r>
        <w:rPr>
          <w:rFonts w:hint="eastAsia"/>
          <w:bCs/>
          <w:color w:val="000000"/>
          <w:szCs w:val="21"/>
        </w:rPr>
        <w:t>招标文件</w:t>
      </w:r>
      <w:r>
        <w:rPr>
          <w:bCs/>
          <w:color w:val="000000"/>
          <w:szCs w:val="21"/>
        </w:rPr>
        <w:t>”</w:t>
      </w:r>
      <w:r>
        <w:rPr>
          <w:rFonts w:hint="eastAsia"/>
          <w:bCs/>
          <w:color w:val="000000"/>
          <w:szCs w:val="21"/>
        </w:rPr>
        <w:t>中规定的货币单位填写。</w:t>
      </w:r>
    </w:p>
    <w:p>
      <w:pPr>
        <w:spacing w:line="360" w:lineRule="auto"/>
        <w:ind w:left="630" w:hanging="630" w:hangingChars="300"/>
        <w:rPr>
          <w:bCs/>
          <w:color w:val="000000"/>
          <w:szCs w:val="21"/>
        </w:rPr>
      </w:pPr>
      <w:r>
        <w:rPr>
          <w:bCs/>
          <w:color w:val="000000"/>
          <w:szCs w:val="21"/>
        </w:rPr>
        <w:t xml:space="preserve">    2</w:t>
      </w:r>
      <w:r>
        <w:rPr>
          <w:rFonts w:hint="eastAsia"/>
          <w:bCs/>
          <w:color w:val="000000"/>
          <w:szCs w:val="21"/>
        </w:rPr>
        <w:t>、投标人如果需要对报价或其他内容加以说明，可在备注栏填写。</w:t>
      </w:r>
      <w:r>
        <w:rPr>
          <w:bCs/>
          <w:color w:val="000000"/>
          <w:szCs w:val="21"/>
        </w:rPr>
        <w:t xml:space="preserve"> </w:t>
      </w:r>
    </w:p>
    <w:p>
      <w:pPr>
        <w:spacing w:line="360" w:lineRule="auto"/>
        <w:ind w:left="630" w:hanging="630" w:hangingChars="300"/>
        <w:rPr>
          <w:bCs/>
          <w:color w:val="000000"/>
          <w:szCs w:val="21"/>
        </w:rPr>
      </w:pPr>
      <w:r>
        <w:rPr>
          <w:rFonts w:hint="eastAsia"/>
          <w:bCs/>
          <w:color w:val="000000"/>
          <w:szCs w:val="21"/>
        </w:rPr>
        <w:t xml:space="preserve"> </w:t>
      </w:r>
      <w:r>
        <w:rPr>
          <w:bCs/>
          <w:color w:val="000000"/>
          <w:szCs w:val="21"/>
        </w:rPr>
        <w:t xml:space="preserve">   3</w:t>
      </w:r>
      <w:r>
        <w:rPr>
          <w:rFonts w:hint="eastAsia"/>
          <w:bCs/>
          <w:color w:val="000000"/>
          <w:szCs w:val="21"/>
        </w:rPr>
        <w:t>、投标价格种类可按实际情况扩展。</w:t>
      </w:r>
    </w:p>
    <w:p>
      <w:pPr>
        <w:pStyle w:val="18"/>
        <w:spacing w:before="120" w:after="120" w:line="360" w:lineRule="auto"/>
        <w:jc w:val="both"/>
        <w:rPr>
          <w:rFonts w:ascii="Times New Roman" w:hAnsi="Times New Roman" w:eastAsia="黑体" w:cs="Times New Roman"/>
          <w:b w:val="0"/>
          <w:color w:val="000000"/>
          <w:sz w:val="30"/>
          <w:szCs w:val="30"/>
        </w:rPr>
      </w:pPr>
    </w:p>
    <w:p>
      <w:pPr>
        <w:pStyle w:val="18"/>
        <w:spacing w:before="120" w:after="120" w:line="360" w:lineRule="auto"/>
        <w:jc w:val="both"/>
        <w:rPr>
          <w:rFonts w:ascii="Times New Roman" w:hAnsi="Times New Roman" w:eastAsia="黑体" w:cs="Times New Roman"/>
          <w:b w:val="0"/>
          <w:color w:val="000000"/>
          <w:sz w:val="30"/>
          <w:szCs w:val="30"/>
        </w:rPr>
      </w:pPr>
    </w:p>
    <w:p>
      <w:pPr>
        <w:spacing w:line="360" w:lineRule="auto"/>
        <w:ind w:firstLine="4725" w:firstLineChars="2250"/>
        <w:rPr>
          <w:bCs/>
          <w:szCs w:val="21"/>
        </w:rPr>
      </w:pPr>
      <w:r>
        <w:rPr>
          <w:rFonts w:hint="eastAsia"/>
          <w:bCs/>
          <w:szCs w:val="21"/>
        </w:rPr>
        <w:t>投标人（公章）：</w:t>
      </w:r>
    </w:p>
    <w:p>
      <w:pPr>
        <w:spacing w:line="360" w:lineRule="auto"/>
        <w:ind w:firstLine="3360" w:firstLineChars="1600"/>
        <w:rPr>
          <w:bCs/>
          <w:szCs w:val="21"/>
        </w:rPr>
      </w:pPr>
    </w:p>
    <w:p>
      <w:pPr>
        <w:spacing w:line="360" w:lineRule="auto"/>
        <w:ind w:firstLine="4725" w:firstLineChars="2250"/>
        <w:rPr>
          <w:bCs/>
          <w:szCs w:val="21"/>
        </w:rPr>
      </w:pPr>
      <w:r>
        <w:rPr>
          <w:rFonts w:hint="eastAsia"/>
          <w:bCs/>
          <w:szCs w:val="21"/>
        </w:rPr>
        <w:t>法定代表人或授权委托人（签字）：</w:t>
      </w:r>
    </w:p>
    <w:p>
      <w:pPr>
        <w:spacing w:line="360" w:lineRule="auto"/>
        <w:ind w:firstLine="3360" w:firstLineChars="1600"/>
        <w:rPr>
          <w:bCs/>
          <w:szCs w:val="21"/>
        </w:rPr>
      </w:pPr>
    </w:p>
    <w:p>
      <w:pPr>
        <w:spacing w:line="360" w:lineRule="auto"/>
        <w:ind w:firstLine="4830" w:firstLineChars="2300"/>
        <w:rPr>
          <w:bCs/>
          <w:szCs w:val="21"/>
        </w:rPr>
      </w:pPr>
      <w:r>
        <w:rPr>
          <w:rFonts w:hint="eastAsia"/>
          <w:bCs/>
          <w:szCs w:val="21"/>
        </w:rPr>
        <w:t xml:space="preserve">二〇 </w:t>
      </w: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pPr>
        <w:pStyle w:val="18"/>
        <w:spacing w:before="120" w:after="120" w:line="360" w:lineRule="auto"/>
        <w:jc w:val="both"/>
        <w:rPr>
          <w:rFonts w:ascii="Times New Roman" w:hAnsi="Times New Roman" w:eastAsia="黑体" w:cs="Times New Roman"/>
          <w:b w:val="0"/>
          <w:color w:val="000000"/>
          <w:sz w:val="30"/>
          <w:szCs w:val="30"/>
        </w:rPr>
      </w:pPr>
    </w:p>
    <w:p>
      <w:pPr>
        <w:spacing w:line="360" w:lineRule="auto"/>
        <w:rPr>
          <w:rFonts w:ascii="宋体" w:hAnsi="宋体" w:cs="宋体"/>
          <w:b/>
          <w:color w:val="000000"/>
          <w:sz w:val="24"/>
        </w:rPr>
      </w:pPr>
      <w:r>
        <w:rPr>
          <w:rFonts w:eastAsia="黑体"/>
          <w:b/>
          <w:color w:val="000000"/>
          <w:sz w:val="30"/>
          <w:szCs w:val="30"/>
        </w:rPr>
        <w:br w:type="column"/>
      </w:r>
      <w:r>
        <w:rPr>
          <w:rFonts w:hint="eastAsia" w:ascii="宋体" w:hAnsi="宋体" w:cs="宋体"/>
          <w:b/>
          <w:color w:val="000000"/>
          <w:sz w:val="24"/>
        </w:rPr>
        <w:t>10. 物业管理支出（成本）构成明细报价表</w:t>
      </w:r>
    </w:p>
    <w:p>
      <w:pPr>
        <w:pStyle w:val="5"/>
        <w:spacing w:line="360" w:lineRule="auto"/>
        <w:ind w:firstLine="392" w:firstLineChars="187"/>
        <w:rPr>
          <w:color w:val="000000"/>
        </w:rPr>
      </w:pPr>
    </w:p>
    <w:p>
      <w:pPr>
        <w:pStyle w:val="5"/>
        <w:spacing w:line="360" w:lineRule="auto"/>
        <w:ind w:firstLine="392" w:firstLineChars="187"/>
        <w:rPr>
          <w:color w:val="000000"/>
        </w:rPr>
      </w:pPr>
      <w:r>
        <w:rPr>
          <w:rFonts w:hint="eastAsia"/>
          <w:color w:val="000000"/>
        </w:rPr>
        <w:t>本项目物业管理服务支出（成本）的构成明细报价表（参考文本）如下表所示：</w:t>
      </w:r>
    </w:p>
    <w:p>
      <w:pPr>
        <w:spacing w:line="360" w:lineRule="auto"/>
        <w:ind w:firstLine="474" w:firstLineChars="225"/>
        <w:jc w:val="center"/>
        <w:rPr>
          <w:rFonts w:eastAsia="黑体"/>
          <w:b/>
          <w:bCs/>
          <w:color w:val="000000"/>
          <w:sz w:val="30"/>
          <w:szCs w:val="30"/>
        </w:rPr>
      </w:pPr>
      <w:bookmarkStart w:id="54" w:name="_Toc7453_WPSOffice_Level1"/>
      <w:r>
        <w:rPr>
          <w:rFonts w:hint="eastAsia" w:ascii="宋体" w:hAnsi="宋体" w:cs="宋体"/>
          <w:b/>
          <w:bCs/>
          <w:color w:val="000000"/>
          <w:szCs w:val="21"/>
        </w:rPr>
        <w:t>物业管理支出构成明细报价表</w:t>
      </w:r>
      <w:bookmarkEnd w:id="54"/>
    </w:p>
    <w:tbl>
      <w:tblPr>
        <w:tblStyle w:val="20"/>
        <w:tblW w:w="6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771"/>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物业管理支出构成测算（参考文本，单位：元</w:t>
            </w:r>
            <w:r>
              <w:rPr>
                <w:color w:val="000000"/>
                <w:szCs w:val="21"/>
              </w:rPr>
              <w:t>/</w:t>
            </w:r>
            <w:r>
              <w:rPr>
                <w:rFonts w:hint="eastAsia"/>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序</w:t>
            </w:r>
            <w:r>
              <w:rPr>
                <w:color w:val="000000"/>
                <w:szCs w:val="21"/>
              </w:rPr>
              <w:t xml:space="preserve"> </w:t>
            </w:r>
            <w:r>
              <w:rPr>
                <w:rFonts w:hint="eastAsia"/>
                <w:color w:val="000000"/>
                <w:szCs w:val="21"/>
              </w:rPr>
              <w:t>号</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项</w:t>
            </w:r>
            <w:r>
              <w:rPr>
                <w:color w:val="000000"/>
                <w:szCs w:val="21"/>
              </w:rPr>
              <w:t xml:space="preserve"> </w:t>
            </w:r>
            <w:r>
              <w:rPr>
                <w:rFonts w:hint="eastAsia"/>
                <w:color w:val="000000"/>
                <w:szCs w:val="21"/>
              </w:rPr>
              <w:t>目</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费</w:t>
            </w:r>
            <w:r>
              <w:rPr>
                <w:color w:val="000000"/>
                <w:szCs w:val="21"/>
              </w:rPr>
              <w:t xml:space="preserve"> </w:t>
            </w:r>
            <w:r>
              <w:rPr>
                <w:rFonts w:hint="eastAsia"/>
                <w:color w:val="000000"/>
                <w:szCs w:val="21"/>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1</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人工费用（包括社保）</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2</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行政管理费用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3</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物业共有部位、共有设备设施的日常运行、维护费用（含物业共有部位水、电费）</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4</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环境清洁卫生费用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5</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绿化养护费用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6</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公共秩序维护费用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7</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管理设备分摊及固定资产折旧费</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8</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物业共有部位、共有设备设施及公众责任保险费用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9</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必要的社区文化、体育活动费用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10</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安全生产投入</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1</w:t>
            </w:r>
            <w:r>
              <w:rPr>
                <w:rFonts w:hint="eastAsia"/>
                <w:color w:val="000000"/>
                <w:szCs w:val="21"/>
              </w:rPr>
              <w:t>1</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其他</w:t>
            </w:r>
            <w:r>
              <w:rPr>
                <w:rFonts w:hint="eastAsia"/>
                <w:bCs/>
                <w:color w:val="000000"/>
                <w:szCs w:val="21"/>
              </w:rPr>
              <w:t>（经业主大会同意的其他费用等）</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每月合计</w:t>
            </w:r>
          </w:p>
        </w:tc>
        <w:tc>
          <w:tcPr>
            <w:tcW w:w="57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 xml:space="preserve">                                </w:t>
            </w:r>
            <w:r>
              <w:rPr>
                <w:rFonts w:hint="eastAsia"/>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全年合计</w:t>
            </w:r>
          </w:p>
        </w:tc>
        <w:tc>
          <w:tcPr>
            <w:tcW w:w="57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410" w:firstLineChars="2100"/>
              <w:rPr>
                <w:color w:val="000000"/>
                <w:szCs w:val="21"/>
              </w:rPr>
            </w:pPr>
            <w:r>
              <w:rPr>
                <w:rFonts w:hint="eastAsia"/>
                <w:color w:val="000000"/>
                <w:szCs w:val="21"/>
              </w:rPr>
              <w:t>元</w:t>
            </w:r>
          </w:p>
        </w:tc>
      </w:tr>
    </w:tbl>
    <w:p>
      <w:pPr>
        <w:spacing w:line="360" w:lineRule="auto"/>
        <w:ind w:left="420"/>
        <w:rPr>
          <w:color w:val="000000"/>
          <w:szCs w:val="21"/>
        </w:rPr>
      </w:pPr>
      <w:r>
        <w:rPr>
          <w:rFonts w:hint="eastAsia"/>
          <w:b/>
          <w:color w:val="000000"/>
          <w:szCs w:val="21"/>
        </w:rPr>
        <w:t>注：</w:t>
      </w:r>
      <w:r>
        <w:rPr>
          <w:rFonts w:hint="eastAsia"/>
          <w:color w:val="000000"/>
          <w:szCs w:val="21"/>
        </w:rPr>
        <w:t>（</w:t>
      </w:r>
      <w:r>
        <w:rPr>
          <w:color w:val="000000"/>
          <w:szCs w:val="21"/>
        </w:rPr>
        <w:t>1</w:t>
      </w:r>
      <w:r>
        <w:rPr>
          <w:rFonts w:hint="eastAsia"/>
          <w:color w:val="000000"/>
          <w:szCs w:val="21"/>
        </w:rPr>
        <w:t>）以上所列费用不含房屋及设备中、大修支出。</w:t>
      </w:r>
    </w:p>
    <w:p>
      <w:pPr>
        <w:spacing w:line="360" w:lineRule="auto"/>
        <w:ind w:firstLine="735" w:firstLineChars="350"/>
        <w:rPr>
          <w:color w:val="000000"/>
          <w:szCs w:val="21"/>
        </w:rPr>
      </w:pPr>
      <w:bookmarkStart w:id="55" w:name="_Toc1438_WPSOffice_Level1"/>
      <w:r>
        <w:rPr>
          <w:rFonts w:hint="eastAsia"/>
          <w:color w:val="000000"/>
          <w:szCs w:val="21"/>
        </w:rPr>
        <w:t>（</w:t>
      </w:r>
      <w:r>
        <w:rPr>
          <w:color w:val="000000"/>
          <w:szCs w:val="21"/>
        </w:rPr>
        <w:t>2</w:t>
      </w:r>
      <w:r>
        <w:rPr>
          <w:rFonts w:hint="eastAsia"/>
          <w:color w:val="000000"/>
          <w:szCs w:val="21"/>
        </w:rPr>
        <w:t>）投标人应简要说明物业服务费的测算依据，附在报价表后。（格式自定）</w:t>
      </w:r>
      <w:bookmarkEnd w:id="55"/>
    </w:p>
    <w:p>
      <w:pPr>
        <w:spacing w:line="360" w:lineRule="auto"/>
        <w:rPr>
          <w:b/>
          <w:color w:val="000000"/>
          <w:sz w:val="28"/>
          <w:szCs w:val="28"/>
        </w:rPr>
      </w:pPr>
    </w:p>
    <w:p>
      <w:pPr>
        <w:spacing w:line="360" w:lineRule="auto"/>
        <w:rPr>
          <w:rFonts w:ascii="宋体" w:hAnsi="宋体" w:cs="宋体"/>
          <w:b/>
          <w:color w:val="000000"/>
          <w:sz w:val="24"/>
        </w:rPr>
      </w:pPr>
      <w:bookmarkStart w:id="56" w:name="_Toc5444_WPSOffice_Level1"/>
      <w:r>
        <w:rPr>
          <w:rFonts w:hint="eastAsia" w:ascii="宋体" w:hAnsi="宋体" w:cs="宋体"/>
          <w:b/>
          <w:color w:val="000000"/>
          <w:sz w:val="24"/>
        </w:rPr>
        <w:t>11.物业管理方案及相关服务计划（格式自定）。</w:t>
      </w:r>
      <w:bookmarkEnd w:id="56"/>
    </w:p>
    <w:p>
      <w:pPr>
        <w:spacing w:line="360" w:lineRule="auto"/>
        <w:rPr>
          <w:rFonts w:ascii="宋体" w:hAnsi="宋体" w:cs="宋体"/>
          <w:b/>
          <w:color w:val="000000"/>
          <w:sz w:val="24"/>
        </w:rPr>
      </w:pPr>
    </w:p>
    <w:p>
      <w:pPr>
        <w:spacing w:line="360" w:lineRule="auto"/>
        <w:rPr>
          <w:rFonts w:ascii="宋体" w:hAnsi="宋体" w:cs="宋体"/>
          <w:color w:val="000000"/>
          <w:sz w:val="24"/>
        </w:rPr>
      </w:pPr>
      <w:bookmarkStart w:id="57" w:name="_Toc15683_WPSOffice_Level1"/>
      <w:r>
        <w:rPr>
          <w:rFonts w:hint="eastAsia" w:ascii="宋体" w:hAnsi="宋体" w:cs="宋体"/>
          <w:b/>
          <w:color w:val="000000"/>
          <w:sz w:val="24"/>
        </w:rPr>
        <w:t>12.招标文件要求的其他资料或者投标人认为需要补充的资料。</w:t>
      </w:r>
      <w:bookmarkEnd w:id="57"/>
    </w:p>
    <w:p>
      <w:pPr>
        <w:pStyle w:val="2"/>
        <w:numPr>
          <w:ilvl w:val="0"/>
          <w:numId w:val="2"/>
        </w:numPr>
        <w:spacing w:line="360" w:lineRule="auto"/>
        <w:rPr>
          <w:rFonts w:eastAsia="黑体"/>
          <w:color w:val="000000"/>
          <w:szCs w:val="32"/>
        </w:rPr>
      </w:pPr>
      <w:bookmarkStart w:id="58" w:name="_Toc20907"/>
      <w:r>
        <w:rPr>
          <w:rFonts w:eastAsia="黑体"/>
          <w:b w:val="0"/>
          <w:color w:val="000000"/>
          <w:szCs w:val="32"/>
        </w:rPr>
        <w:br w:type="column"/>
      </w:r>
      <w:bookmarkStart w:id="59" w:name="_Toc20153573"/>
      <w:bookmarkStart w:id="60" w:name="_Toc12738"/>
      <w:bookmarkStart w:id="61" w:name="_Toc10331"/>
      <w:r>
        <w:rPr>
          <w:rFonts w:hint="eastAsia" w:eastAsia="黑体"/>
          <w:color w:val="000000"/>
          <w:szCs w:val="32"/>
        </w:rPr>
        <w:t>合同主要条款及格式</w:t>
      </w:r>
      <w:bookmarkEnd w:id="58"/>
      <w:bookmarkEnd w:id="59"/>
      <w:bookmarkEnd w:id="60"/>
      <w:bookmarkEnd w:id="61"/>
    </w:p>
    <w:p>
      <w:pPr>
        <w:numPr>
          <w:ilvl w:val="0"/>
          <w:numId w:val="0"/>
        </w:numPr>
      </w:pPr>
    </w:p>
    <w:p>
      <w:pPr>
        <w:numPr>
          <w:ilvl w:val="0"/>
          <w:numId w:val="0"/>
        </w:numPr>
        <w:rPr>
          <w:rFonts w:ascii="仿宋_GB2312" w:eastAsia="仿宋_GB2312"/>
          <w:b/>
        </w:rPr>
      </w:pPr>
      <w:r>
        <w:rPr>
          <w:rFonts w:hint="eastAsia"/>
        </w:rPr>
        <w:t>（一）物业服务合同示范文本</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fldChar w:fldCharType="end"/>
    </w:r>
  </w:p>
  <w:p>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6BB8B"/>
    <w:multiLevelType w:val="singleLevel"/>
    <w:tmpl w:val="5BD6BB8B"/>
    <w:lvl w:ilvl="0" w:tentative="0">
      <w:start w:val="1"/>
      <w:numFmt w:val="decimal"/>
      <w:suff w:val="nothing"/>
      <w:lvlText w:val="（%1）"/>
      <w:lvlJc w:val="left"/>
    </w:lvl>
  </w:abstractNum>
  <w:abstractNum w:abstractNumId="1">
    <w:nsid w:val="7986D805"/>
    <w:multiLevelType w:val="singleLevel"/>
    <w:tmpl w:val="7986D805"/>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5068B"/>
    <w:rsid w:val="00003DAA"/>
    <w:rsid w:val="00032170"/>
    <w:rsid w:val="000401C8"/>
    <w:rsid w:val="00050861"/>
    <w:rsid w:val="00053C34"/>
    <w:rsid w:val="000604AB"/>
    <w:rsid w:val="00065E8C"/>
    <w:rsid w:val="000B46C8"/>
    <w:rsid w:val="000C0FB9"/>
    <w:rsid w:val="000C2B4B"/>
    <w:rsid w:val="000C3EE9"/>
    <w:rsid w:val="000D33CB"/>
    <w:rsid w:val="00100698"/>
    <w:rsid w:val="00101686"/>
    <w:rsid w:val="001063EC"/>
    <w:rsid w:val="001155C5"/>
    <w:rsid w:val="001265A8"/>
    <w:rsid w:val="00134CD0"/>
    <w:rsid w:val="00140550"/>
    <w:rsid w:val="00146332"/>
    <w:rsid w:val="00161634"/>
    <w:rsid w:val="00174745"/>
    <w:rsid w:val="00186061"/>
    <w:rsid w:val="001872F0"/>
    <w:rsid w:val="00196DAF"/>
    <w:rsid w:val="00196EBE"/>
    <w:rsid w:val="001A0403"/>
    <w:rsid w:val="001A3BE2"/>
    <w:rsid w:val="001C19A8"/>
    <w:rsid w:val="001D6A50"/>
    <w:rsid w:val="001F2AEC"/>
    <w:rsid w:val="001F2FAD"/>
    <w:rsid w:val="0020364C"/>
    <w:rsid w:val="00207EDC"/>
    <w:rsid w:val="0024534E"/>
    <w:rsid w:val="00250EC1"/>
    <w:rsid w:val="00250F31"/>
    <w:rsid w:val="002545B6"/>
    <w:rsid w:val="00281F1F"/>
    <w:rsid w:val="002929A9"/>
    <w:rsid w:val="002934D1"/>
    <w:rsid w:val="002A3C7E"/>
    <w:rsid w:val="002B07BB"/>
    <w:rsid w:val="002B1345"/>
    <w:rsid w:val="002C17B4"/>
    <w:rsid w:val="002D0463"/>
    <w:rsid w:val="002D1704"/>
    <w:rsid w:val="002D4C1F"/>
    <w:rsid w:val="002E55E4"/>
    <w:rsid w:val="002F1B11"/>
    <w:rsid w:val="002F6637"/>
    <w:rsid w:val="002F72C4"/>
    <w:rsid w:val="003044D7"/>
    <w:rsid w:val="003130FE"/>
    <w:rsid w:val="0032004B"/>
    <w:rsid w:val="0033507D"/>
    <w:rsid w:val="00336A8E"/>
    <w:rsid w:val="003442C3"/>
    <w:rsid w:val="0035251A"/>
    <w:rsid w:val="00362A61"/>
    <w:rsid w:val="00363859"/>
    <w:rsid w:val="00363CBF"/>
    <w:rsid w:val="00373C1D"/>
    <w:rsid w:val="00377535"/>
    <w:rsid w:val="00381A0A"/>
    <w:rsid w:val="00397529"/>
    <w:rsid w:val="003D35F6"/>
    <w:rsid w:val="003E1130"/>
    <w:rsid w:val="003E3391"/>
    <w:rsid w:val="003F196F"/>
    <w:rsid w:val="003F6D7F"/>
    <w:rsid w:val="00405EF1"/>
    <w:rsid w:val="0040629C"/>
    <w:rsid w:val="00406FD4"/>
    <w:rsid w:val="00417662"/>
    <w:rsid w:val="004211AC"/>
    <w:rsid w:val="00436587"/>
    <w:rsid w:val="00455A50"/>
    <w:rsid w:val="00466EC8"/>
    <w:rsid w:val="00467D2F"/>
    <w:rsid w:val="0047736E"/>
    <w:rsid w:val="00490BCD"/>
    <w:rsid w:val="004B3D91"/>
    <w:rsid w:val="004B71E1"/>
    <w:rsid w:val="004D4A6F"/>
    <w:rsid w:val="004D6EA6"/>
    <w:rsid w:val="004E5A34"/>
    <w:rsid w:val="004F3AD7"/>
    <w:rsid w:val="004F52FF"/>
    <w:rsid w:val="00501A99"/>
    <w:rsid w:val="0050216B"/>
    <w:rsid w:val="005029CF"/>
    <w:rsid w:val="00505AC3"/>
    <w:rsid w:val="005130E4"/>
    <w:rsid w:val="0051353D"/>
    <w:rsid w:val="00520095"/>
    <w:rsid w:val="00523618"/>
    <w:rsid w:val="00523A63"/>
    <w:rsid w:val="00524790"/>
    <w:rsid w:val="00540588"/>
    <w:rsid w:val="00540AA6"/>
    <w:rsid w:val="00547160"/>
    <w:rsid w:val="005651CF"/>
    <w:rsid w:val="00565A95"/>
    <w:rsid w:val="005674BC"/>
    <w:rsid w:val="00574987"/>
    <w:rsid w:val="00581D84"/>
    <w:rsid w:val="00585750"/>
    <w:rsid w:val="00597FCD"/>
    <w:rsid w:val="005A6D9B"/>
    <w:rsid w:val="005B1CD3"/>
    <w:rsid w:val="005B4A04"/>
    <w:rsid w:val="005B66B5"/>
    <w:rsid w:val="005C5C64"/>
    <w:rsid w:val="005D39AF"/>
    <w:rsid w:val="005E05B8"/>
    <w:rsid w:val="005E78B8"/>
    <w:rsid w:val="005F0CB1"/>
    <w:rsid w:val="005F1095"/>
    <w:rsid w:val="005F156F"/>
    <w:rsid w:val="006007AD"/>
    <w:rsid w:val="00603060"/>
    <w:rsid w:val="00630C25"/>
    <w:rsid w:val="00650851"/>
    <w:rsid w:val="00664A28"/>
    <w:rsid w:val="0066795E"/>
    <w:rsid w:val="00685FB1"/>
    <w:rsid w:val="00691787"/>
    <w:rsid w:val="00696B93"/>
    <w:rsid w:val="006970E1"/>
    <w:rsid w:val="006A51F0"/>
    <w:rsid w:val="006B036C"/>
    <w:rsid w:val="006B4706"/>
    <w:rsid w:val="006B5B4B"/>
    <w:rsid w:val="006C4D14"/>
    <w:rsid w:val="006E2741"/>
    <w:rsid w:val="006F1E66"/>
    <w:rsid w:val="00722D80"/>
    <w:rsid w:val="007242A1"/>
    <w:rsid w:val="0073168C"/>
    <w:rsid w:val="0073335E"/>
    <w:rsid w:val="0076173D"/>
    <w:rsid w:val="0076283E"/>
    <w:rsid w:val="00771CBD"/>
    <w:rsid w:val="007720AC"/>
    <w:rsid w:val="0077418B"/>
    <w:rsid w:val="007845EF"/>
    <w:rsid w:val="007856D1"/>
    <w:rsid w:val="007A3E08"/>
    <w:rsid w:val="007A58A5"/>
    <w:rsid w:val="007A6119"/>
    <w:rsid w:val="007B3B36"/>
    <w:rsid w:val="007C06A3"/>
    <w:rsid w:val="007C1336"/>
    <w:rsid w:val="007C7FDA"/>
    <w:rsid w:val="007D0A2D"/>
    <w:rsid w:val="007D4D1D"/>
    <w:rsid w:val="007D64D1"/>
    <w:rsid w:val="007E73BA"/>
    <w:rsid w:val="007F1E92"/>
    <w:rsid w:val="007F5CD5"/>
    <w:rsid w:val="008020DF"/>
    <w:rsid w:val="008048D7"/>
    <w:rsid w:val="00810BBC"/>
    <w:rsid w:val="00813599"/>
    <w:rsid w:val="0081532B"/>
    <w:rsid w:val="008211E3"/>
    <w:rsid w:val="00821C83"/>
    <w:rsid w:val="00827F3E"/>
    <w:rsid w:val="008302CB"/>
    <w:rsid w:val="0083402B"/>
    <w:rsid w:val="00835494"/>
    <w:rsid w:val="00842349"/>
    <w:rsid w:val="00843271"/>
    <w:rsid w:val="00850410"/>
    <w:rsid w:val="008625BD"/>
    <w:rsid w:val="00862C59"/>
    <w:rsid w:val="00886FA1"/>
    <w:rsid w:val="0089032B"/>
    <w:rsid w:val="008922FE"/>
    <w:rsid w:val="00892BD1"/>
    <w:rsid w:val="00897DA9"/>
    <w:rsid w:val="008A7235"/>
    <w:rsid w:val="008B0E84"/>
    <w:rsid w:val="008B1B79"/>
    <w:rsid w:val="008B3BED"/>
    <w:rsid w:val="008B64DC"/>
    <w:rsid w:val="008C70AB"/>
    <w:rsid w:val="008E5C9F"/>
    <w:rsid w:val="00900A4E"/>
    <w:rsid w:val="009128DE"/>
    <w:rsid w:val="00915C91"/>
    <w:rsid w:val="0092752C"/>
    <w:rsid w:val="00943420"/>
    <w:rsid w:val="00943E25"/>
    <w:rsid w:val="00947770"/>
    <w:rsid w:val="009543B8"/>
    <w:rsid w:val="00960B84"/>
    <w:rsid w:val="009B4CD9"/>
    <w:rsid w:val="009C6288"/>
    <w:rsid w:val="009D7DB1"/>
    <w:rsid w:val="009E2DE4"/>
    <w:rsid w:val="009E6CB9"/>
    <w:rsid w:val="009F3249"/>
    <w:rsid w:val="00A07F87"/>
    <w:rsid w:val="00A16CF4"/>
    <w:rsid w:val="00A24B97"/>
    <w:rsid w:val="00A266CB"/>
    <w:rsid w:val="00A327C4"/>
    <w:rsid w:val="00A454EC"/>
    <w:rsid w:val="00A477CF"/>
    <w:rsid w:val="00A47E2A"/>
    <w:rsid w:val="00A5081C"/>
    <w:rsid w:val="00A50986"/>
    <w:rsid w:val="00A52E02"/>
    <w:rsid w:val="00A65DBF"/>
    <w:rsid w:val="00A77130"/>
    <w:rsid w:val="00A833C2"/>
    <w:rsid w:val="00A923D0"/>
    <w:rsid w:val="00A943EE"/>
    <w:rsid w:val="00AA0998"/>
    <w:rsid w:val="00AA3E29"/>
    <w:rsid w:val="00AC237E"/>
    <w:rsid w:val="00AD529B"/>
    <w:rsid w:val="00AE0F4E"/>
    <w:rsid w:val="00AE1E47"/>
    <w:rsid w:val="00B01FC6"/>
    <w:rsid w:val="00B12716"/>
    <w:rsid w:val="00B13D6B"/>
    <w:rsid w:val="00B2309F"/>
    <w:rsid w:val="00B3248F"/>
    <w:rsid w:val="00B47280"/>
    <w:rsid w:val="00B5068B"/>
    <w:rsid w:val="00B52664"/>
    <w:rsid w:val="00B540C0"/>
    <w:rsid w:val="00B61AA4"/>
    <w:rsid w:val="00B71909"/>
    <w:rsid w:val="00B76F48"/>
    <w:rsid w:val="00BA4452"/>
    <w:rsid w:val="00BB381F"/>
    <w:rsid w:val="00BC3C23"/>
    <w:rsid w:val="00BC6B58"/>
    <w:rsid w:val="00BF3C65"/>
    <w:rsid w:val="00BF5111"/>
    <w:rsid w:val="00C07389"/>
    <w:rsid w:val="00C1320A"/>
    <w:rsid w:val="00C2123B"/>
    <w:rsid w:val="00C34709"/>
    <w:rsid w:val="00C569B0"/>
    <w:rsid w:val="00C63DF6"/>
    <w:rsid w:val="00C660B0"/>
    <w:rsid w:val="00C70A21"/>
    <w:rsid w:val="00C70FD0"/>
    <w:rsid w:val="00C84D96"/>
    <w:rsid w:val="00C90053"/>
    <w:rsid w:val="00C901DE"/>
    <w:rsid w:val="00C95295"/>
    <w:rsid w:val="00C95C63"/>
    <w:rsid w:val="00CA07F5"/>
    <w:rsid w:val="00CB2619"/>
    <w:rsid w:val="00CC4C06"/>
    <w:rsid w:val="00CC5715"/>
    <w:rsid w:val="00CC5D53"/>
    <w:rsid w:val="00CD6D70"/>
    <w:rsid w:val="00D02390"/>
    <w:rsid w:val="00D05523"/>
    <w:rsid w:val="00D15B35"/>
    <w:rsid w:val="00D20A4C"/>
    <w:rsid w:val="00D372D5"/>
    <w:rsid w:val="00D47E49"/>
    <w:rsid w:val="00D54880"/>
    <w:rsid w:val="00D67F36"/>
    <w:rsid w:val="00D71871"/>
    <w:rsid w:val="00D725E8"/>
    <w:rsid w:val="00D731DC"/>
    <w:rsid w:val="00DA567B"/>
    <w:rsid w:val="00DC338E"/>
    <w:rsid w:val="00DD55C8"/>
    <w:rsid w:val="00DE169B"/>
    <w:rsid w:val="00DF2DCB"/>
    <w:rsid w:val="00E145BF"/>
    <w:rsid w:val="00E15C7C"/>
    <w:rsid w:val="00E429B8"/>
    <w:rsid w:val="00E561A5"/>
    <w:rsid w:val="00E65764"/>
    <w:rsid w:val="00E816B3"/>
    <w:rsid w:val="00E912EA"/>
    <w:rsid w:val="00EA2D84"/>
    <w:rsid w:val="00EB2486"/>
    <w:rsid w:val="00EC1611"/>
    <w:rsid w:val="00EC3189"/>
    <w:rsid w:val="00EC63E6"/>
    <w:rsid w:val="00ED75A6"/>
    <w:rsid w:val="00EE1285"/>
    <w:rsid w:val="00EE65E9"/>
    <w:rsid w:val="00EF1142"/>
    <w:rsid w:val="00F025EB"/>
    <w:rsid w:val="00F24B15"/>
    <w:rsid w:val="00F31DD2"/>
    <w:rsid w:val="00F40835"/>
    <w:rsid w:val="00F47638"/>
    <w:rsid w:val="00F50DB2"/>
    <w:rsid w:val="00F56763"/>
    <w:rsid w:val="00F70F92"/>
    <w:rsid w:val="00F76DB0"/>
    <w:rsid w:val="00F81688"/>
    <w:rsid w:val="00F85839"/>
    <w:rsid w:val="00F90116"/>
    <w:rsid w:val="00F92EA3"/>
    <w:rsid w:val="00FA1293"/>
    <w:rsid w:val="00FA2942"/>
    <w:rsid w:val="00FA2A52"/>
    <w:rsid w:val="00FA4FD6"/>
    <w:rsid w:val="00FB0EAC"/>
    <w:rsid w:val="00FB4C4F"/>
    <w:rsid w:val="00FC0381"/>
    <w:rsid w:val="00FD5029"/>
    <w:rsid w:val="00FD6F8A"/>
    <w:rsid w:val="00FE1ECB"/>
    <w:rsid w:val="00FE4C37"/>
    <w:rsid w:val="00FF3D13"/>
    <w:rsid w:val="01536EA3"/>
    <w:rsid w:val="02EB107D"/>
    <w:rsid w:val="03A44AEC"/>
    <w:rsid w:val="03E10E36"/>
    <w:rsid w:val="04CA5D49"/>
    <w:rsid w:val="05261802"/>
    <w:rsid w:val="05D225B9"/>
    <w:rsid w:val="076C684F"/>
    <w:rsid w:val="08D72BE6"/>
    <w:rsid w:val="093B2A43"/>
    <w:rsid w:val="09A515AC"/>
    <w:rsid w:val="0BFB5B8B"/>
    <w:rsid w:val="0C585806"/>
    <w:rsid w:val="0CF912DA"/>
    <w:rsid w:val="0D090712"/>
    <w:rsid w:val="0D406101"/>
    <w:rsid w:val="0E673993"/>
    <w:rsid w:val="0EB62DC1"/>
    <w:rsid w:val="0F2C4027"/>
    <w:rsid w:val="0F4645DB"/>
    <w:rsid w:val="0F5B61E6"/>
    <w:rsid w:val="126B143F"/>
    <w:rsid w:val="130E4027"/>
    <w:rsid w:val="131D0D7E"/>
    <w:rsid w:val="13555DC8"/>
    <w:rsid w:val="13A468CD"/>
    <w:rsid w:val="14112748"/>
    <w:rsid w:val="1544059E"/>
    <w:rsid w:val="159D179C"/>
    <w:rsid w:val="15F72A1B"/>
    <w:rsid w:val="16262AB5"/>
    <w:rsid w:val="173D5227"/>
    <w:rsid w:val="175C48D7"/>
    <w:rsid w:val="182D1EB1"/>
    <w:rsid w:val="182F6630"/>
    <w:rsid w:val="18AB48D6"/>
    <w:rsid w:val="191C6CD4"/>
    <w:rsid w:val="19522592"/>
    <w:rsid w:val="195A4182"/>
    <w:rsid w:val="1A510FD5"/>
    <w:rsid w:val="1A551C06"/>
    <w:rsid w:val="1B297161"/>
    <w:rsid w:val="1BD32DB1"/>
    <w:rsid w:val="1C7F1FFE"/>
    <w:rsid w:val="1D557990"/>
    <w:rsid w:val="1E102A7B"/>
    <w:rsid w:val="1EC31E1F"/>
    <w:rsid w:val="1F320DB5"/>
    <w:rsid w:val="20181F28"/>
    <w:rsid w:val="20A3141C"/>
    <w:rsid w:val="20D3672A"/>
    <w:rsid w:val="2175266E"/>
    <w:rsid w:val="21AF7382"/>
    <w:rsid w:val="21F42CC5"/>
    <w:rsid w:val="22396C1B"/>
    <w:rsid w:val="223D6D6A"/>
    <w:rsid w:val="22BC655D"/>
    <w:rsid w:val="242B1701"/>
    <w:rsid w:val="26381463"/>
    <w:rsid w:val="268477C3"/>
    <w:rsid w:val="26924BC5"/>
    <w:rsid w:val="279A7993"/>
    <w:rsid w:val="27EC007D"/>
    <w:rsid w:val="2807081A"/>
    <w:rsid w:val="28B61E65"/>
    <w:rsid w:val="29767D81"/>
    <w:rsid w:val="2A7A1A45"/>
    <w:rsid w:val="2AA016CF"/>
    <w:rsid w:val="2B5F5611"/>
    <w:rsid w:val="2BE31C5C"/>
    <w:rsid w:val="2C422236"/>
    <w:rsid w:val="2C5933D7"/>
    <w:rsid w:val="2D1C24A6"/>
    <w:rsid w:val="2D4F6E5D"/>
    <w:rsid w:val="2FE770FF"/>
    <w:rsid w:val="30F91F27"/>
    <w:rsid w:val="3179335B"/>
    <w:rsid w:val="31AE08FD"/>
    <w:rsid w:val="31D60E19"/>
    <w:rsid w:val="31E913F6"/>
    <w:rsid w:val="32136D24"/>
    <w:rsid w:val="32611D46"/>
    <w:rsid w:val="3329409A"/>
    <w:rsid w:val="339A2D0A"/>
    <w:rsid w:val="339C0982"/>
    <w:rsid w:val="34DA4E73"/>
    <w:rsid w:val="3721098F"/>
    <w:rsid w:val="37364375"/>
    <w:rsid w:val="37E3326E"/>
    <w:rsid w:val="38461223"/>
    <w:rsid w:val="39255011"/>
    <w:rsid w:val="39932691"/>
    <w:rsid w:val="39BD4382"/>
    <w:rsid w:val="39F403C8"/>
    <w:rsid w:val="39F81272"/>
    <w:rsid w:val="39F97B2A"/>
    <w:rsid w:val="3A230CF7"/>
    <w:rsid w:val="3A52587A"/>
    <w:rsid w:val="3A9B0597"/>
    <w:rsid w:val="3AA857E9"/>
    <w:rsid w:val="3B2478B9"/>
    <w:rsid w:val="3B6A3799"/>
    <w:rsid w:val="3B6B17E5"/>
    <w:rsid w:val="3B7F1979"/>
    <w:rsid w:val="3BB707C0"/>
    <w:rsid w:val="3BF91D16"/>
    <w:rsid w:val="3C0040E1"/>
    <w:rsid w:val="3C114815"/>
    <w:rsid w:val="3D984DED"/>
    <w:rsid w:val="3E5172F9"/>
    <w:rsid w:val="3E7726F5"/>
    <w:rsid w:val="3EA93D09"/>
    <w:rsid w:val="402D717B"/>
    <w:rsid w:val="404674AB"/>
    <w:rsid w:val="40FC4EAD"/>
    <w:rsid w:val="41263D6B"/>
    <w:rsid w:val="42145EE8"/>
    <w:rsid w:val="4242130D"/>
    <w:rsid w:val="42717568"/>
    <w:rsid w:val="428C04A6"/>
    <w:rsid w:val="433775C2"/>
    <w:rsid w:val="442D7F86"/>
    <w:rsid w:val="447424CE"/>
    <w:rsid w:val="448C4191"/>
    <w:rsid w:val="44C67294"/>
    <w:rsid w:val="45246AE3"/>
    <w:rsid w:val="4723196D"/>
    <w:rsid w:val="47952581"/>
    <w:rsid w:val="47B4048F"/>
    <w:rsid w:val="47BB6B96"/>
    <w:rsid w:val="47FD2A92"/>
    <w:rsid w:val="481D27A2"/>
    <w:rsid w:val="485920B7"/>
    <w:rsid w:val="4A483CEE"/>
    <w:rsid w:val="4A5B76EA"/>
    <w:rsid w:val="4B344C58"/>
    <w:rsid w:val="4B494658"/>
    <w:rsid w:val="4B9132B0"/>
    <w:rsid w:val="4CB361AC"/>
    <w:rsid w:val="4D0F48E2"/>
    <w:rsid w:val="4D5331D3"/>
    <w:rsid w:val="4E420E4F"/>
    <w:rsid w:val="4F566E15"/>
    <w:rsid w:val="4F9C60C2"/>
    <w:rsid w:val="512F510A"/>
    <w:rsid w:val="514D7A9E"/>
    <w:rsid w:val="51647253"/>
    <w:rsid w:val="518F7B46"/>
    <w:rsid w:val="51AA5805"/>
    <w:rsid w:val="523A73FA"/>
    <w:rsid w:val="523E4376"/>
    <w:rsid w:val="527375C4"/>
    <w:rsid w:val="52D715D8"/>
    <w:rsid w:val="52DA550B"/>
    <w:rsid w:val="53301C0F"/>
    <w:rsid w:val="53457619"/>
    <w:rsid w:val="53A0645D"/>
    <w:rsid w:val="55325174"/>
    <w:rsid w:val="554E3518"/>
    <w:rsid w:val="55CF5070"/>
    <w:rsid w:val="55F844BF"/>
    <w:rsid w:val="56486CF4"/>
    <w:rsid w:val="56684778"/>
    <w:rsid w:val="56C71076"/>
    <w:rsid w:val="56E70C13"/>
    <w:rsid w:val="57CA506F"/>
    <w:rsid w:val="58564124"/>
    <w:rsid w:val="58786E2C"/>
    <w:rsid w:val="59597C66"/>
    <w:rsid w:val="5A4B6262"/>
    <w:rsid w:val="5A591AA5"/>
    <w:rsid w:val="5B652738"/>
    <w:rsid w:val="5C8428CA"/>
    <w:rsid w:val="5CAF5326"/>
    <w:rsid w:val="5CF2755E"/>
    <w:rsid w:val="5E604C1A"/>
    <w:rsid w:val="5E9C5FF8"/>
    <w:rsid w:val="5EA70D55"/>
    <w:rsid w:val="5EE06CB5"/>
    <w:rsid w:val="5FBF5F25"/>
    <w:rsid w:val="615A4DA6"/>
    <w:rsid w:val="61AA13F8"/>
    <w:rsid w:val="62EE4862"/>
    <w:rsid w:val="63481218"/>
    <w:rsid w:val="638529B5"/>
    <w:rsid w:val="64277F5A"/>
    <w:rsid w:val="653E17D6"/>
    <w:rsid w:val="65590240"/>
    <w:rsid w:val="65744577"/>
    <w:rsid w:val="662445C3"/>
    <w:rsid w:val="673017C1"/>
    <w:rsid w:val="694F77B0"/>
    <w:rsid w:val="6A4055A3"/>
    <w:rsid w:val="6B0E57D0"/>
    <w:rsid w:val="6B704E05"/>
    <w:rsid w:val="6B8D27EF"/>
    <w:rsid w:val="6BA652B3"/>
    <w:rsid w:val="6BE02BCC"/>
    <w:rsid w:val="6D4F2BDA"/>
    <w:rsid w:val="6E1E661D"/>
    <w:rsid w:val="6E516202"/>
    <w:rsid w:val="6FF70000"/>
    <w:rsid w:val="70953064"/>
    <w:rsid w:val="70BB2A2C"/>
    <w:rsid w:val="71ED7CB5"/>
    <w:rsid w:val="723637AE"/>
    <w:rsid w:val="731214F6"/>
    <w:rsid w:val="742127F8"/>
    <w:rsid w:val="74D207F1"/>
    <w:rsid w:val="74D345B9"/>
    <w:rsid w:val="764D5FEC"/>
    <w:rsid w:val="775944E3"/>
    <w:rsid w:val="777C494F"/>
    <w:rsid w:val="77C6414E"/>
    <w:rsid w:val="780B5896"/>
    <w:rsid w:val="7A5316F9"/>
    <w:rsid w:val="7AD03FA4"/>
    <w:rsid w:val="7B085EFA"/>
    <w:rsid w:val="7B28138F"/>
    <w:rsid w:val="7B6A6162"/>
    <w:rsid w:val="7BB31616"/>
    <w:rsid w:val="7C1C4782"/>
    <w:rsid w:val="7D3C0337"/>
    <w:rsid w:val="7D3D5F94"/>
    <w:rsid w:val="7E1A79EE"/>
    <w:rsid w:val="7E255776"/>
    <w:rsid w:val="7E9C2868"/>
    <w:rsid w:val="7E9D3D12"/>
    <w:rsid w:val="7F015572"/>
    <w:rsid w:val="7FC06CC0"/>
    <w:rsid w:val="7FDF4D1B"/>
    <w:rsid w:val="FFFF23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center"/>
      <w:outlineLvl w:val="0"/>
    </w:pPr>
    <w:rPr>
      <w:b/>
      <w:sz w:val="32"/>
      <w:szCs w:val="20"/>
    </w:rPr>
  </w:style>
  <w:style w:type="paragraph" w:styleId="3">
    <w:name w:val="heading 2"/>
    <w:basedOn w:val="1"/>
    <w:next w:val="1"/>
    <w:link w:val="4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49"/>
    <w:qFormat/>
    <w:uiPriority w:val="0"/>
    <w:pPr>
      <w:jc w:val="left"/>
    </w:pPr>
  </w:style>
  <w:style w:type="paragraph" w:styleId="7">
    <w:name w:val="Body Text"/>
    <w:basedOn w:val="1"/>
    <w:link w:val="50"/>
    <w:qFormat/>
    <w:uiPriority w:val="0"/>
    <w:pPr>
      <w:autoSpaceDE w:val="0"/>
      <w:autoSpaceDN w:val="0"/>
      <w:adjustRightInd w:val="0"/>
      <w:jc w:val="left"/>
    </w:pPr>
    <w:rPr>
      <w:rFonts w:ascii="宋体" w:eastAsia="宋体" w:cs="黑体"/>
      <w:sz w:val="28"/>
    </w:rPr>
  </w:style>
  <w:style w:type="paragraph" w:styleId="8">
    <w:name w:val="Body Text Indent"/>
    <w:basedOn w:val="1"/>
    <w:link w:val="45"/>
    <w:qFormat/>
    <w:uiPriority w:val="0"/>
    <w:pPr>
      <w:spacing w:after="120"/>
      <w:ind w:left="420" w:leftChars="200"/>
    </w:pPr>
  </w:style>
  <w:style w:type="paragraph" w:styleId="9">
    <w:name w:val="toc 3"/>
    <w:basedOn w:val="1"/>
    <w:next w:val="1"/>
    <w:qFormat/>
    <w:uiPriority w:val="39"/>
    <w:pPr>
      <w:ind w:left="420"/>
      <w:jc w:val="left"/>
    </w:pPr>
    <w:rPr>
      <w:sz w:val="20"/>
      <w:szCs w:val="20"/>
    </w:rPr>
  </w:style>
  <w:style w:type="paragraph" w:styleId="10">
    <w:name w:val="Plain Text"/>
    <w:basedOn w:val="1"/>
    <w:link w:val="38"/>
    <w:qFormat/>
    <w:uiPriority w:val="0"/>
    <w:rPr>
      <w:rFonts w:ascii="宋体" w:hAnsi="Courier New" w:cs="Courier New"/>
      <w:szCs w:val="21"/>
    </w:rPr>
  </w:style>
  <w:style w:type="paragraph" w:styleId="11">
    <w:name w:val="Date"/>
    <w:basedOn w:val="1"/>
    <w:next w:val="1"/>
    <w:link w:val="51"/>
    <w:qFormat/>
    <w:uiPriority w:val="0"/>
    <w:pPr>
      <w:ind w:left="100" w:leftChars="2500"/>
    </w:pPr>
  </w:style>
  <w:style w:type="paragraph" w:styleId="12">
    <w:name w:val="Balloon Text"/>
    <w:basedOn w:val="1"/>
    <w:qFormat/>
    <w:uiPriority w:val="0"/>
    <w:rPr>
      <w:sz w:val="18"/>
      <w:szCs w:val="18"/>
    </w:rPr>
  </w:style>
  <w:style w:type="paragraph" w:styleId="13">
    <w:name w:val="footer"/>
    <w:basedOn w:val="1"/>
    <w:link w:val="48"/>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ind w:firstLine="128"/>
      <w:jc w:val="left"/>
    </w:pPr>
    <w:rPr>
      <w:bCs/>
      <w:iCs/>
      <w:sz w:val="24"/>
    </w:rPr>
  </w:style>
  <w:style w:type="paragraph" w:styleId="16">
    <w:name w:val="toc 2"/>
    <w:basedOn w:val="1"/>
    <w:next w:val="1"/>
    <w:qFormat/>
    <w:uiPriority w:val="0"/>
    <w:pPr>
      <w:ind w:left="420" w:leftChars="200"/>
    </w:pPr>
  </w:style>
  <w:style w:type="paragraph" w:styleId="17">
    <w:name w:val="Normal (Web)"/>
    <w:basedOn w:val="1"/>
    <w:link w:val="43"/>
    <w:qFormat/>
    <w:uiPriority w:val="0"/>
    <w:pPr>
      <w:widowControl/>
      <w:spacing w:before="100" w:beforeAutospacing="1" w:after="100" w:afterAutospacing="1"/>
      <w:jc w:val="left"/>
    </w:pPr>
    <w:rPr>
      <w:rFonts w:ascii="宋体" w:hAnsi="宋体"/>
      <w:kern w:val="0"/>
      <w:sz w:val="24"/>
    </w:rPr>
  </w:style>
  <w:style w:type="paragraph" w:styleId="18">
    <w:name w:val="Title"/>
    <w:basedOn w:val="1"/>
    <w:qFormat/>
    <w:uiPriority w:val="0"/>
    <w:pPr>
      <w:spacing w:before="240" w:after="60"/>
      <w:jc w:val="center"/>
      <w:outlineLvl w:val="0"/>
    </w:pPr>
    <w:rPr>
      <w:rFonts w:ascii="Arial" w:hAnsi="Arial" w:eastAsia="隶书" w:cs="Arial"/>
      <w:b/>
      <w:bCs/>
      <w:sz w:val="32"/>
      <w:szCs w:val="32"/>
    </w:rPr>
  </w:style>
  <w:style w:type="paragraph" w:styleId="19">
    <w:name w:val="annotation subject"/>
    <w:basedOn w:val="6"/>
    <w:next w:val="6"/>
    <w:link w:val="52"/>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Hyperlink"/>
    <w:qFormat/>
    <w:uiPriority w:val="99"/>
    <w:rPr>
      <w:color w:val="0000FF"/>
      <w:u w:val="single"/>
    </w:rPr>
  </w:style>
  <w:style w:type="character" w:styleId="27">
    <w:name w:val="annotation reference"/>
    <w:basedOn w:val="22"/>
    <w:qFormat/>
    <w:uiPriority w:val="0"/>
    <w:rPr>
      <w:sz w:val="21"/>
      <w:szCs w:val="21"/>
    </w:rPr>
  </w:style>
  <w:style w:type="paragraph" w:customStyle="1" w:styleId="28">
    <w:name w:val="标题 2 + 黑体"/>
    <w:basedOn w:val="1"/>
    <w:qFormat/>
    <w:uiPriority w:val="0"/>
    <w:pPr>
      <w:spacing w:before="240" w:after="60"/>
      <w:jc w:val="center"/>
      <w:outlineLvl w:val="0"/>
    </w:pPr>
    <w:rPr>
      <w:rFonts w:ascii="黑体" w:hAnsi="黑体" w:eastAsia="黑体" w:cs="Arial"/>
      <w:b/>
      <w:bCs/>
      <w:sz w:val="32"/>
      <w:szCs w:val="32"/>
    </w:rPr>
  </w:style>
  <w:style w:type="paragraph" w:customStyle="1" w:styleId="29">
    <w:name w:val="Char"/>
    <w:basedOn w:val="1"/>
    <w:link w:val="39"/>
    <w:qFormat/>
    <w:uiPriority w:val="0"/>
    <w:rPr>
      <w:rFonts w:ascii="仿宋_GB2312" w:eastAsia="仿宋_GB2312"/>
      <w:b/>
      <w:sz w:val="32"/>
      <w:szCs w:val="32"/>
    </w:rPr>
  </w:style>
  <w:style w:type="paragraph" w:customStyle="1" w:styleId="30">
    <w:name w:val="Char1"/>
    <w:basedOn w:val="1"/>
    <w:link w:val="44"/>
    <w:qFormat/>
    <w:uiPriority w:val="0"/>
    <w:rPr>
      <w:rFonts w:ascii="仿宋_GB2312" w:eastAsia="仿宋_GB2312"/>
      <w:b/>
      <w:sz w:val="32"/>
      <w:szCs w:val="32"/>
    </w:rPr>
  </w:style>
  <w:style w:type="paragraph" w:customStyle="1" w:styleId="31">
    <w:name w:val="表格文字"/>
    <w:basedOn w:val="1"/>
    <w:qFormat/>
    <w:uiPriority w:val="0"/>
    <w:pPr>
      <w:jc w:val="center"/>
    </w:pPr>
    <w:rPr>
      <w:rFonts w:ascii="宋体"/>
      <w:sz w:val="24"/>
    </w:rPr>
  </w:style>
  <w:style w:type="paragraph" w:customStyle="1" w:styleId="32">
    <w:name w:val="Char Char Char Char"/>
    <w:basedOn w:val="1"/>
    <w:qFormat/>
    <w:uiPriority w:val="0"/>
    <w:pPr>
      <w:tabs>
        <w:tab w:val="left" w:pos="360"/>
      </w:tabs>
    </w:p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TOC 标题1"/>
    <w:basedOn w:val="2"/>
    <w:next w:val="1"/>
    <w:unhideWhenUsed/>
    <w:qFormat/>
    <w:uiPriority w:val="39"/>
    <w:pPr>
      <w:keepNext/>
      <w:keepLines/>
      <w:widowControl/>
      <w:spacing w:before="240" w:line="259" w:lineRule="auto"/>
      <w:jc w:val="left"/>
      <w:outlineLvl w:val="9"/>
    </w:pPr>
    <w:rPr>
      <w:rFonts w:ascii="Cambria" w:hAnsi="Cambria" w:eastAsia="宋体" w:cs="黑体"/>
      <w:b w:val="0"/>
      <w:color w:val="365F90"/>
      <w:kern w:val="0"/>
      <w:szCs w:val="32"/>
    </w:rPr>
  </w:style>
  <w:style w:type="character" w:customStyle="1" w:styleId="38">
    <w:name w:val="纯文本 字符"/>
    <w:link w:val="10"/>
    <w:qFormat/>
    <w:uiPriority w:val="0"/>
    <w:rPr>
      <w:rFonts w:ascii="宋体" w:hAnsi="Courier New" w:eastAsia="宋体" w:cs="Courier New"/>
      <w:kern w:val="2"/>
      <w:sz w:val="21"/>
      <w:szCs w:val="21"/>
      <w:lang w:val="en-US" w:eastAsia="zh-CN" w:bidi="ar-SA"/>
    </w:rPr>
  </w:style>
  <w:style w:type="character" w:customStyle="1" w:styleId="39">
    <w:name w:val="Char Char1"/>
    <w:link w:val="29"/>
    <w:qFormat/>
    <w:uiPriority w:val="0"/>
    <w:rPr>
      <w:rFonts w:ascii="仿宋_GB2312" w:eastAsia="仿宋_GB2312"/>
      <w:b/>
      <w:kern w:val="2"/>
      <w:sz w:val="32"/>
      <w:szCs w:val="32"/>
      <w:lang w:val="en-US" w:eastAsia="zh-CN" w:bidi="ar-SA"/>
    </w:rPr>
  </w:style>
  <w:style w:type="character" w:customStyle="1" w:styleId="40">
    <w:name w:val="lablecss"/>
    <w:basedOn w:val="22"/>
    <w:qFormat/>
    <w:uiPriority w:val="0"/>
  </w:style>
  <w:style w:type="character" w:customStyle="1" w:styleId="41">
    <w:name w:val="标题 2 字符"/>
    <w:link w:val="3"/>
    <w:qFormat/>
    <w:uiPriority w:val="0"/>
    <w:rPr>
      <w:rFonts w:ascii="Arial" w:hAnsi="Arial" w:eastAsia="黑体"/>
      <w:b/>
      <w:bCs/>
      <w:kern w:val="2"/>
      <w:sz w:val="32"/>
      <w:szCs w:val="32"/>
      <w:lang w:val="en-US" w:eastAsia="zh-CN" w:bidi="ar-SA"/>
    </w:rPr>
  </w:style>
  <w:style w:type="character" w:customStyle="1" w:styleId="42">
    <w:name w:val="Char Char4"/>
    <w:qFormat/>
    <w:locked/>
    <w:uiPriority w:val="0"/>
    <w:rPr>
      <w:rFonts w:ascii="Arial" w:hAnsi="Arial" w:eastAsia="黑体"/>
      <w:b/>
      <w:bCs/>
      <w:kern w:val="2"/>
      <w:sz w:val="32"/>
      <w:szCs w:val="32"/>
      <w:lang w:val="en-US" w:eastAsia="zh-CN" w:bidi="ar-SA"/>
    </w:rPr>
  </w:style>
  <w:style w:type="character" w:customStyle="1" w:styleId="43">
    <w:name w:val="普通(网站) 字符"/>
    <w:link w:val="17"/>
    <w:qFormat/>
    <w:uiPriority w:val="0"/>
    <w:rPr>
      <w:rFonts w:ascii="宋体" w:hAnsi="宋体" w:eastAsia="宋体"/>
      <w:sz w:val="24"/>
      <w:szCs w:val="24"/>
      <w:lang w:val="en-US" w:eastAsia="zh-CN" w:bidi="ar-SA"/>
    </w:rPr>
  </w:style>
  <w:style w:type="character" w:customStyle="1" w:styleId="44">
    <w:name w:val="Char Char11"/>
    <w:link w:val="30"/>
    <w:qFormat/>
    <w:locked/>
    <w:uiPriority w:val="0"/>
    <w:rPr>
      <w:rFonts w:ascii="仿宋_GB2312" w:eastAsia="仿宋_GB2312"/>
      <w:b/>
      <w:kern w:val="2"/>
      <w:sz w:val="32"/>
      <w:szCs w:val="32"/>
      <w:lang w:val="en-US" w:eastAsia="zh-CN" w:bidi="ar-SA"/>
    </w:rPr>
  </w:style>
  <w:style w:type="character" w:customStyle="1" w:styleId="45">
    <w:name w:val="正文文本缩进 字符"/>
    <w:basedOn w:val="22"/>
    <w:link w:val="8"/>
    <w:qFormat/>
    <w:uiPriority w:val="0"/>
    <w:rPr>
      <w:rFonts w:eastAsia="宋体"/>
      <w:kern w:val="2"/>
      <w:sz w:val="21"/>
      <w:szCs w:val="24"/>
      <w:lang w:val="en-US" w:eastAsia="zh-CN" w:bidi="ar-SA"/>
    </w:rPr>
  </w:style>
  <w:style w:type="character" w:customStyle="1" w:styleId="46">
    <w:name w:val="正文1"/>
    <w:basedOn w:val="22"/>
    <w:qFormat/>
    <w:uiPriority w:val="0"/>
    <w:rPr>
      <w:color w:val="FFFFFF"/>
      <w:shd w:val="clear" w:color="auto" w:fill="000000"/>
    </w:rPr>
  </w:style>
  <w:style w:type="character" w:customStyle="1" w:styleId="47">
    <w:name w:val="cur"/>
    <w:basedOn w:val="22"/>
    <w:qFormat/>
    <w:uiPriority w:val="0"/>
    <w:rPr>
      <w:color w:val="FFFFFF"/>
      <w:shd w:val="clear" w:color="auto" w:fill="AF1F38"/>
    </w:rPr>
  </w:style>
  <w:style w:type="character" w:customStyle="1" w:styleId="48">
    <w:name w:val="页脚 字符"/>
    <w:basedOn w:val="22"/>
    <w:link w:val="13"/>
    <w:qFormat/>
    <w:uiPriority w:val="99"/>
    <w:rPr>
      <w:kern w:val="2"/>
      <w:sz w:val="18"/>
      <w:szCs w:val="18"/>
    </w:rPr>
  </w:style>
  <w:style w:type="character" w:customStyle="1" w:styleId="49">
    <w:name w:val="批注文字 字符"/>
    <w:basedOn w:val="22"/>
    <w:link w:val="6"/>
    <w:qFormat/>
    <w:uiPriority w:val="0"/>
    <w:rPr>
      <w:kern w:val="2"/>
      <w:sz w:val="21"/>
      <w:szCs w:val="24"/>
    </w:rPr>
  </w:style>
  <w:style w:type="character" w:customStyle="1" w:styleId="50">
    <w:name w:val="正文文本 字符"/>
    <w:basedOn w:val="22"/>
    <w:link w:val="7"/>
    <w:qFormat/>
    <w:uiPriority w:val="0"/>
    <w:rPr>
      <w:rFonts w:ascii="宋体" w:eastAsia="宋体" w:cs="黑体"/>
      <w:kern w:val="2"/>
      <w:sz w:val="28"/>
      <w:szCs w:val="24"/>
    </w:rPr>
  </w:style>
  <w:style w:type="character" w:customStyle="1" w:styleId="51">
    <w:name w:val="日期 字符"/>
    <w:basedOn w:val="22"/>
    <w:link w:val="11"/>
    <w:qFormat/>
    <w:uiPriority w:val="0"/>
    <w:rPr>
      <w:kern w:val="2"/>
      <w:sz w:val="21"/>
      <w:szCs w:val="24"/>
    </w:rPr>
  </w:style>
  <w:style w:type="character" w:customStyle="1" w:styleId="52">
    <w:name w:val="批注主题 字符"/>
    <w:basedOn w:val="49"/>
    <w:link w:val="1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shra</Company>
  <Pages>44</Pages>
  <Words>3344</Words>
  <Characters>19062</Characters>
  <Lines>158</Lines>
  <Paragraphs>44</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2012-07-26T18:06:00Z</dcterms:created>
  <dc:creator>l</dc:creator>
  <cp:lastModifiedBy>zst</cp:lastModifiedBy>
  <cp:lastPrinted>2012-07-26T15:00:00Z</cp:lastPrinted>
  <dcterms:modified xsi:type="dcterms:W3CDTF">2023-11-28T15:33:05Z</dcterms:modified>
  <dc:title>关于进一步规范我市物业管理招标投标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