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56" w:beforeLines="50" w:after="156" w:afterLines="50" w:line="578" w:lineRule="exact"/>
        <w:jc w:val="center"/>
        <w:rPr>
          <w:rFonts w:ascii="方正小标宋简体" w:hAnsi="方正小标宋简体" w:eastAsia="方正小标宋简体" w:cs="方正小标宋简体"/>
          <w:kern w:val="2"/>
          <w:sz w:val="44"/>
          <w:szCs w:val="52"/>
        </w:rPr>
      </w:pPr>
      <w:r>
        <w:rPr>
          <w:rFonts w:hint="eastAsia" w:ascii="方正小标宋简体" w:hAnsi="方正小标宋简体" w:eastAsia="方正小标宋简体" w:cs="方正小标宋简体"/>
          <w:kern w:val="2"/>
          <w:sz w:val="44"/>
          <w:szCs w:val="52"/>
        </w:rPr>
        <w:t>《关于积极稳步推进城中村改造实现高质量发展的实施意见》起草说明</w:t>
      </w:r>
    </w:p>
    <w:p>
      <w:pPr>
        <w:widowControl w:val="0"/>
        <w:spacing w:line="578" w:lineRule="exact"/>
        <w:jc w:val="center"/>
        <w:rPr>
          <w:rFonts w:ascii="仿宋_GB2312" w:hAnsi="仿宋_GB2312" w:eastAsia="仿宋_GB2312" w:cs="仿宋_GB2312"/>
          <w:sz w:val="32"/>
          <w:szCs w:val="40"/>
        </w:rPr>
      </w:pPr>
    </w:p>
    <w:p>
      <w:pPr>
        <w:widowControl w:val="0"/>
        <w:spacing w:line="578"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为积极落实党中央、国务院关于城中村改造的工作要求，加快转变超大特大城市发展方式，打造宜居、韧性、智慧城市，稳中求进、稳妥有序推进我市城中村改造项目，我局联合市住房建设局起草了《关于积极稳步推进城中村改造实现高质量发展的实施意见》，现将有关情况说明如下。</w:t>
      </w:r>
    </w:p>
    <w:p>
      <w:pPr>
        <w:widowControl w:val="0"/>
        <w:numPr>
          <w:ilvl w:val="0"/>
          <w:numId w:val="1"/>
        </w:numPr>
        <w:spacing w:line="578" w:lineRule="exact"/>
        <w:ind w:firstLine="640" w:firstLineChars="200"/>
        <w:outlineLvl w:val="0"/>
        <w:rPr>
          <w:rFonts w:ascii="黑体" w:hAnsi="黑体" w:eastAsia="黑体" w:cs="黑体"/>
          <w:sz w:val="32"/>
          <w:szCs w:val="40"/>
        </w:rPr>
      </w:pPr>
      <w:r>
        <w:rPr>
          <w:rFonts w:hint="eastAsia" w:ascii="黑体" w:hAnsi="黑体" w:eastAsia="黑体" w:cs="黑体"/>
          <w:sz w:val="32"/>
          <w:szCs w:val="40"/>
        </w:rPr>
        <w:t>起草背景</w:t>
      </w:r>
    </w:p>
    <w:p>
      <w:pPr>
        <w:widowControl w:val="0"/>
        <w:spacing w:line="578" w:lineRule="exact"/>
        <w:ind w:firstLine="640" w:firstLineChars="200"/>
        <w:rPr>
          <w:rFonts w:ascii="楷体" w:hAnsi="楷体" w:eastAsia="楷体" w:cs="楷体"/>
          <w:sz w:val="32"/>
          <w:szCs w:val="40"/>
        </w:rPr>
      </w:pPr>
      <w:r>
        <w:rPr>
          <w:rFonts w:hint="eastAsia" w:ascii="仿宋_GB2312" w:hAnsi="仿宋_GB2312" w:eastAsia="仿宋_GB2312" w:cs="仿宋_GB2312"/>
          <w:sz w:val="32"/>
          <w:szCs w:val="40"/>
        </w:rPr>
        <w:t>2023年4月28日，中央政治局会议指出在超大特大城市积极稳步推进城中村改造。7月21日，李强总理主持召开国务院常务会议，审议通过《关于在超大特大城市积极稳步推进城中村改造的指导意见》（以下简称《指导意见》），并于7月24日印发。7月28日，国务院召开电视电话会议，对城中村改造工作进行了总体部署。《指导意见》强调，相关城市人民政府要切实履行主体责任，加强领导力量，建立系统性、可持续的长效工作机制，系统全面平稳解决城中村历史遗留问题，合理利用国土空间资源，推动城中村改造工作取得实效。</w:t>
      </w:r>
    </w:p>
    <w:p>
      <w:pPr>
        <w:widowControl w:val="0"/>
        <w:numPr>
          <w:ilvl w:val="0"/>
          <w:numId w:val="1"/>
        </w:numPr>
        <w:spacing w:line="578" w:lineRule="exact"/>
        <w:ind w:firstLine="640" w:firstLineChars="200"/>
        <w:outlineLvl w:val="0"/>
        <w:rPr>
          <w:rFonts w:ascii="黑体" w:hAnsi="黑体" w:eastAsia="黑体" w:cs="黑体"/>
          <w:sz w:val="32"/>
          <w:szCs w:val="40"/>
        </w:rPr>
      </w:pPr>
      <w:r>
        <w:rPr>
          <w:rFonts w:hint="eastAsia" w:ascii="黑体" w:hAnsi="黑体" w:eastAsia="黑体" w:cs="黑体"/>
          <w:sz w:val="32"/>
          <w:szCs w:val="40"/>
        </w:rPr>
        <w:t>工作意义</w:t>
      </w:r>
    </w:p>
    <w:p>
      <w:pPr>
        <w:widowControl w:val="0"/>
        <w:spacing w:line="578" w:lineRule="exact"/>
        <w:ind w:firstLine="640" w:firstLineChars="200"/>
        <w:outlineLvl w:val="1"/>
        <w:rPr>
          <w:rFonts w:ascii="楷体_GB2312" w:hAnsi="楷体_GB2312" w:eastAsia="楷体_GB2312" w:cs="楷体_GB2312"/>
          <w:sz w:val="32"/>
          <w:szCs w:val="40"/>
        </w:rPr>
      </w:pPr>
      <w:r>
        <w:rPr>
          <w:rFonts w:hint="eastAsia" w:ascii="楷体_GB2312" w:hAnsi="楷体_GB2312" w:eastAsia="楷体_GB2312" w:cs="楷体_GB2312"/>
          <w:sz w:val="32"/>
          <w:szCs w:val="40"/>
        </w:rPr>
        <w:t>（一）</w:t>
      </w:r>
      <w:bookmarkStart w:id="0" w:name="_Hlk154503482"/>
      <w:bookmarkStart w:id="1" w:name="_Hlk154495637"/>
      <w:r>
        <w:rPr>
          <w:rFonts w:hint="eastAsia" w:ascii="楷体_GB2312" w:hAnsi="楷体_GB2312" w:eastAsia="楷体_GB2312" w:cs="楷体_GB2312"/>
          <w:sz w:val="32"/>
          <w:szCs w:val="40"/>
        </w:rPr>
        <w:t>积极稳步推进城中村改造是落实党中央国务院决策部署、明确超大特大城市建设治理发展方向的重要举措</w:t>
      </w:r>
      <w:bookmarkEnd w:id="0"/>
    </w:p>
    <w:p>
      <w:pPr>
        <w:widowControl w:val="0"/>
        <w:spacing w:line="578"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党的十八大以来，以习近平</w:t>
      </w:r>
      <w:r>
        <w:rPr>
          <w:rFonts w:hint="default" w:ascii="仿宋_GB2312" w:hAnsi="仿宋_GB2312" w:eastAsia="仿宋_GB2312" w:cs="仿宋_GB2312"/>
          <w:sz w:val="32"/>
          <w:szCs w:val="40"/>
        </w:rPr>
        <w:t>同志</w:t>
      </w:r>
      <w:r>
        <w:rPr>
          <w:rFonts w:hint="eastAsia" w:ascii="仿宋_GB2312" w:hAnsi="仿宋_GB2312" w:eastAsia="仿宋_GB2312" w:cs="仿宋_GB2312"/>
          <w:sz w:val="32"/>
          <w:szCs w:val="40"/>
        </w:rPr>
        <w:t>为核心的党中央高度重视、长期关心城市治理现代化问题，围绕城中村改造、城市</w:t>
      </w:r>
      <w:bookmarkStart w:id="9" w:name="_GoBack"/>
      <w:bookmarkEnd w:id="9"/>
      <w:r>
        <w:rPr>
          <w:rFonts w:hint="eastAsia" w:ascii="仿宋_GB2312" w:hAnsi="仿宋_GB2312" w:eastAsia="仿宋_GB2312" w:cs="仿宋_GB2312"/>
          <w:sz w:val="32"/>
          <w:szCs w:val="40"/>
        </w:rPr>
        <w:t>发展和社会治理做出一系列重大部署。积极稳步推进城中村改造是为落实党中央国务院重要指示精神，践行以人民为中心的发展理念和提升城市建设管理精细化水平的具体实践，也是转变超大特大城市发展方式、构建超大特大城市治理新模式的重要举措。</w:t>
      </w:r>
    </w:p>
    <w:bookmarkEnd w:id="1"/>
    <w:p>
      <w:pPr>
        <w:keepNext/>
        <w:widowControl w:val="0"/>
        <w:spacing w:line="578" w:lineRule="exact"/>
        <w:ind w:firstLine="640" w:firstLineChars="200"/>
        <w:outlineLvl w:val="1"/>
        <w:rPr>
          <w:rFonts w:ascii="楷体_GB2312" w:hAnsi="楷体_GB2312" w:eastAsia="楷体_GB2312" w:cs="楷体_GB2312"/>
          <w:sz w:val="32"/>
          <w:szCs w:val="40"/>
        </w:rPr>
      </w:pPr>
      <w:r>
        <w:rPr>
          <w:rFonts w:hint="eastAsia" w:ascii="楷体_GB2312" w:hAnsi="楷体_GB2312" w:eastAsia="楷体_GB2312" w:cs="楷体_GB2312"/>
          <w:sz w:val="32"/>
          <w:szCs w:val="40"/>
        </w:rPr>
        <w:t>（二）</w:t>
      </w:r>
      <w:bookmarkStart w:id="2" w:name="_Hlk154503493"/>
      <w:bookmarkStart w:id="3" w:name="_Hlk154495661"/>
      <w:r>
        <w:rPr>
          <w:rFonts w:hint="eastAsia" w:ascii="楷体_GB2312" w:hAnsi="楷体_GB2312" w:eastAsia="楷体_GB2312" w:cs="楷体_GB2312"/>
          <w:sz w:val="32"/>
          <w:szCs w:val="40"/>
        </w:rPr>
        <w:t>积极稳步推进城中村改造是切实改善城中村居住环境、推动城市高质量发展的重要抓手</w:t>
      </w:r>
    </w:p>
    <w:bookmarkEnd w:id="2"/>
    <w:p>
      <w:pPr>
        <w:widowControl w:val="0"/>
        <w:spacing w:line="578"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城中村普遍存在公共卫生安全风险大、房屋安全和消防安全隐患多、配套设施落后、环境脏乱差、社会治理难等突出问题，是城市建设规划与城市扩张速度脱节的产物，是城市发展不平衡不充分的体现。抓住时机解决城中村问题，顺应人民群众的强烈期盼，消除城市建设和社会治理短板，可带来经济社会的多重效应，对加快转变超大特大城市发展方式、加快建设中国特色社会主义现代化城市具有重大深远的意义。</w:t>
      </w:r>
    </w:p>
    <w:bookmarkEnd w:id="3"/>
    <w:p>
      <w:pPr>
        <w:keepNext/>
        <w:widowControl w:val="0"/>
        <w:spacing w:line="578" w:lineRule="exact"/>
        <w:ind w:firstLine="640" w:firstLineChars="200"/>
        <w:outlineLvl w:val="1"/>
        <w:rPr>
          <w:rFonts w:ascii="楷体_GB2312" w:hAnsi="楷体_GB2312" w:eastAsia="楷体_GB2312" w:cs="楷体_GB2312"/>
          <w:sz w:val="32"/>
          <w:szCs w:val="40"/>
        </w:rPr>
      </w:pPr>
      <w:r>
        <w:rPr>
          <w:rFonts w:hint="eastAsia" w:ascii="楷体_GB2312" w:hAnsi="楷体_GB2312" w:eastAsia="楷体_GB2312" w:cs="楷体_GB2312"/>
          <w:kern w:val="2"/>
          <w:sz w:val="32"/>
          <w:szCs w:val="40"/>
        </w:rPr>
        <w:t>（三）</w:t>
      </w:r>
      <w:bookmarkStart w:id="4" w:name="_Hlk154503504"/>
      <w:bookmarkStart w:id="5" w:name="_Hlk154495725"/>
      <w:r>
        <w:rPr>
          <w:rFonts w:hint="eastAsia" w:ascii="楷体_GB2312" w:hAnsi="楷体_GB2312" w:eastAsia="楷体_GB2312" w:cs="楷体_GB2312"/>
          <w:kern w:val="2"/>
          <w:sz w:val="32"/>
          <w:szCs w:val="40"/>
        </w:rPr>
        <w:t>积极稳步推进城中村改造是</w:t>
      </w:r>
      <w:r>
        <w:rPr>
          <w:rFonts w:hint="eastAsia" w:ascii="楷体_GB2312" w:hAnsi="楷体_GB2312" w:eastAsia="楷体_GB2312" w:cs="楷体_GB2312"/>
          <w:sz w:val="32"/>
          <w:szCs w:val="40"/>
        </w:rPr>
        <w:t>破解我市城中村改造工作瓶颈、构建空间治理新模式的系统方案</w:t>
      </w:r>
    </w:p>
    <w:bookmarkEnd w:id="4"/>
    <w:p>
      <w:pPr>
        <w:widowControl w:val="0"/>
        <w:spacing w:line="578"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深圳市</w:t>
      </w:r>
      <w:r>
        <w:rPr>
          <w:rFonts w:ascii="仿宋_GB2312" w:hAnsi="仿宋_GB2312" w:eastAsia="仿宋_GB2312" w:cs="仿宋_GB2312"/>
          <w:sz w:val="32"/>
          <w:szCs w:val="40"/>
        </w:rPr>
        <w:t>先后通过《深圳经济特区城市更新条例》</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《深圳市城市更新办法》、《深圳市城市更新办法实施细则》等系列配套文件，确立了</w:t>
      </w:r>
      <w:r>
        <w:rPr>
          <w:rFonts w:hint="eastAsia" w:ascii="仿宋_GB2312" w:hAnsi="仿宋_GB2312" w:eastAsia="仿宋_GB2312" w:cs="仿宋_GB2312"/>
          <w:sz w:val="32"/>
          <w:szCs w:val="40"/>
        </w:rPr>
        <w:t>“政府统筹、市场运作”的城中村改造实施模式</w:t>
      </w:r>
      <w:r>
        <w:rPr>
          <w:rFonts w:ascii="仿宋_GB2312" w:hAnsi="仿宋_GB2312" w:eastAsia="仿宋_GB2312" w:cs="仿宋_GB2312"/>
          <w:sz w:val="32"/>
          <w:szCs w:val="40"/>
        </w:rPr>
        <w:t>，推动</w:t>
      </w:r>
      <w:r>
        <w:rPr>
          <w:rFonts w:hint="eastAsia" w:ascii="仿宋_GB2312" w:hAnsi="仿宋_GB2312" w:eastAsia="仿宋_GB2312" w:cs="仿宋_GB2312"/>
          <w:sz w:val="32"/>
          <w:szCs w:val="40"/>
        </w:rPr>
        <w:t>城中村改造</w:t>
      </w:r>
      <w:r>
        <w:rPr>
          <w:rFonts w:ascii="仿宋_GB2312" w:hAnsi="仿宋_GB2312" w:eastAsia="仿宋_GB2312" w:cs="仿宋_GB2312"/>
          <w:sz w:val="32"/>
          <w:szCs w:val="40"/>
        </w:rPr>
        <w:t>工作有序开展。然而，在房地产市场下行、企业资金压力增加等背景下，部分</w:t>
      </w:r>
      <w:r>
        <w:rPr>
          <w:rFonts w:hint="eastAsia" w:ascii="仿宋_GB2312" w:hAnsi="仿宋_GB2312" w:eastAsia="仿宋_GB2312" w:cs="仿宋_GB2312"/>
          <w:sz w:val="32"/>
          <w:szCs w:val="40"/>
        </w:rPr>
        <w:t>城中村改造</w:t>
      </w:r>
      <w:r>
        <w:rPr>
          <w:rFonts w:ascii="仿宋_GB2312" w:hAnsi="仿宋_GB2312" w:eastAsia="仿宋_GB2312" w:cs="仿宋_GB2312"/>
          <w:sz w:val="32"/>
          <w:szCs w:val="40"/>
        </w:rPr>
        <w:t>项目</w:t>
      </w:r>
      <w:r>
        <w:rPr>
          <w:rFonts w:hint="eastAsia" w:ascii="仿宋_GB2312" w:hAnsi="仿宋_GB2312" w:eastAsia="仿宋_GB2312" w:cs="仿宋_GB2312"/>
          <w:sz w:val="32"/>
          <w:szCs w:val="40"/>
        </w:rPr>
        <w:t>难以</w:t>
      </w:r>
      <w:r>
        <w:rPr>
          <w:rFonts w:ascii="仿宋_GB2312" w:hAnsi="仿宋_GB2312" w:eastAsia="仿宋_GB2312" w:cs="仿宋_GB2312"/>
          <w:sz w:val="32"/>
          <w:szCs w:val="40"/>
        </w:rPr>
        <w:t>推进实施，直接影响</w:t>
      </w:r>
      <w:r>
        <w:rPr>
          <w:rFonts w:hint="eastAsia" w:ascii="仿宋_GB2312" w:hAnsi="仿宋_GB2312" w:eastAsia="仿宋_GB2312" w:cs="仿宋_GB2312"/>
          <w:sz w:val="32"/>
          <w:szCs w:val="40"/>
        </w:rPr>
        <w:t>改造</w:t>
      </w:r>
      <w:r>
        <w:rPr>
          <w:rFonts w:ascii="仿宋_GB2312" w:hAnsi="仿宋_GB2312" w:eastAsia="仿宋_GB2312" w:cs="仿宋_GB2312"/>
          <w:sz w:val="32"/>
          <w:szCs w:val="40"/>
        </w:rPr>
        <w:t>项目的实施</w:t>
      </w:r>
      <w:r>
        <w:rPr>
          <w:rFonts w:hint="eastAsia" w:ascii="仿宋_GB2312" w:hAnsi="仿宋_GB2312" w:eastAsia="仿宋_GB2312" w:cs="仿宋_GB2312"/>
          <w:sz w:val="32"/>
          <w:szCs w:val="40"/>
        </w:rPr>
        <w:t>效果</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面对未来城市发展需求，亟需以城中村改造为抓手，构建有效市场与有为政府相结合的存量用地开发和城市空间治理新模式，打造宜居、韧性、智慧的现代化城市。</w:t>
      </w:r>
    </w:p>
    <w:bookmarkEnd w:id="5"/>
    <w:p>
      <w:pPr>
        <w:widowControl w:val="0"/>
        <w:spacing w:line="578" w:lineRule="exact"/>
        <w:ind w:firstLine="640" w:firstLineChars="200"/>
        <w:outlineLvl w:val="0"/>
        <w:rPr>
          <w:rFonts w:ascii="黑体" w:hAnsi="宋体" w:eastAsia="黑体"/>
          <w:kern w:val="2"/>
          <w:sz w:val="32"/>
          <w:szCs w:val="32"/>
        </w:rPr>
      </w:pPr>
      <w:r>
        <w:rPr>
          <w:rFonts w:hint="eastAsia" w:ascii="黑体" w:hAnsi="宋体" w:eastAsia="黑体"/>
          <w:kern w:val="2"/>
          <w:sz w:val="32"/>
          <w:szCs w:val="32"/>
        </w:rPr>
        <w:t>三、主要内容说明</w:t>
      </w:r>
    </w:p>
    <w:p>
      <w:pPr>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实施意见以“建立系统性、可持续的长效工作机制，系统全面平稳解决城中村历史遗留问题，合理利用国土空间资源，推动城市可持续高质量发展”为目标，提出城中村改造工作需遵循的基本原则和工作流程，明确政策衔接规则。本实施意见主要内容说明如下：</w:t>
      </w:r>
    </w:p>
    <w:p>
      <w:pPr>
        <w:keepNext/>
        <w:widowControl w:val="0"/>
        <w:spacing w:line="578" w:lineRule="exact"/>
        <w:ind w:firstLine="640" w:firstLineChars="200"/>
        <w:outlineLvl w:val="1"/>
        <w:rPr>
          <w:rFonts w:ascii="楷体_GB2312" w:hAnsi="楷体_GB2312" w:eastAsia="楷体_GB2312" w:cs="楷体_GB2312"/>
          <w:sz w:val="32"/>
          <w:szCs w:val="40"/>
        </w:rPr>
      </w:pPr>
      <w:r>
        <w:rPr>
          <w:rFonts w:hint="eastAsia" w:ascii="楷体_GB2312" w:hAnsi="楷体_GB2312" w:eastAsia="楷体_GB2312" w:cs="楷体_GB2312"/>
          <w:sz w:val="32"/>
          <w:szCs w:val="40"/>
        </w:rPr>
        <w:t>（一）关于城中村改造的对象及空间范围</w:t>
      </w:r>
    </w:p>
    <w:p>
      <w:pPr>
        <w:spacing w:line="578" w:lineRule="exact"/>
        <w:ind w:firstLine="640" w:firstLineChars="200"/>
        <w:rPr>
          <w:rFonts w:ascii="仿宋_GB2312" w:hAnsi="仿宋" w:eastAsia="仿宋_GB2312"/>
          <w:color w:val="000000"/>
          <w:sz w:val="32"/>
          <w:szCs w:val="32"/>
        </w:rPr>
      </w:pPr>
      <w:bookmarkStart w:id="6" w:name="_Hlk154496636"/>
      <w:r>
        <w:rPr>
          <w:rFonts w:hint="eastAsia" w:ascii="仿宋_GB2312" w:hAnsi="仿宋" w:eastAsia="仿宋_GB2312"/>
          <w:color w:val="000000"/>
          <w:sz w:val="32"/>
          <w:szCs w:val="32"/>
        </w:rPr>
        <w:t>城中村改造的对象是以深圳市域内原农村集体经济组织继受单位及原村民实际占有使用的现状居住用地为主的区域。具体来说，城中村改造分为拆除新建、整治提升、拆整结合三类，具备条件的城中村实施拆除新建，不具备条件的城中村实施整治提升，介于两者之间的实施拆整结合。三类空间的引导范围在专项规划中予以明确。</w:t>
      </w:r>
    </w:p>
    <w:bookmarkEnd w:id="6"/>
    <w:p>
      <w:pPr>
        <w:keepNext/>
        <w:widowControl w:val="0"/>
        <w:spacing w:line="578" w:lineRule="exact"/>
        <w:ind w:firstLine="640" w:firstLineChars="200"/>
        <w:outlineLvl w:val="1"/>
        <w:rPr>
          <w:rFonts w:ascii="楷体_GB2312" w:hAnsi="楷体_GB2312" w:eastAsia="楷体_GB2312" w:cs="楷体_GB2312"/>
          <w:sz w:val="32"/>
          <w:szCs w:val="40"/>
        </w:rPr>
      </w:pPr>
      <w:r>
        <w:rPr>
          <w:rFonts w:hint="eastAsia" w:ascii="楷体_GB2312" w:hAnsi="楷体_GB2312" w:eastAsia="楷体_GB2312" w:cs="楷体_GB2312"/>
          <w:sz w:val="32"/>
          <w:szCs w:val="40"/>
        </w:rPr>
        <w:t>（二）关于拆除新建类城中村改造项目工作流程</w:t>
      </w:r>
    </w:p>
    <w:p>
      <w:pPr>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拆除新建类城中村改造项目，应按照《指导意见》要求，坚持人民政府负主体责任，由区政府组织实施拆除新建类城中村改造工作。拆除新建类城中村改造工作流程包括意愿征集和项目可行性研究、纳入拆除新建类城中村改造年度计划、基础信息核查、项目实施方案和改造单元规划编制、搬迁补偿和安置、土地清理与收储、用地出让及开发建设等。</w:t>
      </w:r>
    </w:p>
    <w:p>
      <w:pPr>
        <w:pStyle w:val="21"/>
        <w:spacing w:line="578" w:lineRule="exact"/>
        <w:ind w:firstLine="643"/>
        <w:rPr>
          <w:rFonts w:ascii="仿宋" w:hAnsi="仿宋"/>
        </w:rPr>
      </w:pPr>
      <w:r>
        <w:rPr>
          <w:rFonts w:hint="eastAsia" w:ascii="仿宋_GB2312" w:hAnsi="仿宋_GB2312" w:cs="仿宋_GB2312"/>
          <w:b/>
          <w:bCs/>
          <w:szCs w:val="40"/>
        </w:rPr>
        <w:t>一是关于意愿征集。</w:t>
      </w:r>
      <w:r>
        <w:rPr>
          <w:rFonts w:hint="eastAsia" w:ascii="仿宋_GB2312" w:hAnsi="仿宋"/>
          <w:color w:val="000000"/>
          <w:szCs w:val="32"/>
        </w:rPr>
        <w:t>参照《土地征收成片开发标准》（自然资规〔202</w:t>
      </w:r>
      <w:r>
        <w:rPr>
          <w:rFonts w:ascii="仿宋_GB2312" w:hAnsi="仿宋"/>
          <w:color w:val="000000"/>
          <w:szCs w:val="32"/>
        </w:rPr>
        <w:t>3</w:t>
      </w:r>
      <w:r>
        <w:rPr>
          <w:rFonts w:hint="eastAsia" w:ascii="仿宋_GB2312" w:hAnsi="仿宋"/>
          <w:color w:val="000000"/>
          <w:szCs w:val="32"/>
        </w:rPr>
        <w:t>〕</w:t>
      </w:r>
      <w:r>
        <w:rPr>
          <w:rFonts w:ascii="仿宋_GB2312" w:hAnsi="仿宋"/>
          <w:color w:val="000000"/>
          <w:szCs w:val="32"/>
        </w:rPr>
        <w:t>7</w:t>
      </w:r>
      <w:r>
        <w:rPr>
          <w:rFonts w:hint="eastAsia" w:ascii="仿宋_GB2312" w:hAnsi="仿宋"/>
          <w:color w:val="000000"/>
          <w:szCs w:val="32"/>
        </w:rPr>
        <w:t>号）中“土地征收成片开发方案应当充分征求成片开发范围内农村集体经济组织和农民的意见，并经</w:t>
      </w:r>
      <w:r>
        <w:rPr>
          <w:rFonts w:hint="eastAsia" w:ascii="仿宋_GB2312" w:hAnsi="仿宋"/>
          <w:bCs/>
          <w:color w:val="000000"/>
          <w:szCs w:val="32"/>
        </w:rPr>
        <w:t>集体经济组织成员的村民会议三分之二以上成员</w:t>
      </w:r>
      <w:r>
        <w:rPr>
          <w:rFonts w:hint="eastAsia" w:ascii="仿宋_GB2312" w:hAnsi="仿宋"/>
          <w:color w:val="000000"/>
          <w:szCs w:val="32"/>
        </w:rPr>
        <w:t>或者</w:t>
      </w:r>
      <w:r>
        <w:rPr>
          <w:rFonts w:hint="eastAsia" w:ascii="仿宋_GB2312" w:hAnsi="仿宋"/>
          <w:bCs/>
          <w:color w:val="000000"/>
          <w:szCs w:val="32"/>
        </w:rPr>
        <w:t>三分之二以上村民代表同意</w:t>
      </w:r>
      <w:r>
        <w:rPr>
          <w:rFonts w:hint="eastAsia" w:ascii="仿宋_GB2312" w:hAnsi="仿宋"/>
          <w:color w:val="000000"/>
          <w:szCs w:val="32"/>
        </w:rPr>
        <w:t>”，以及《深圳市拆除新建类城市更新单元计划管理规定》（深规划资源规〔20</w:t>
      </w:r>
      <w:r>
        <w:rPr>
          <w:rFonts w:ascii="仿宋_GB2312" w:hAnsi="仿宋"/>
          <w:color w:val="000000"/>
          <w:szCs w:val="32"/>
        </w:rPr>
        <w:t>19</w:t>
      </w:r>
      <w:r>
        <w:rPr>
          <w:rFonts w:hint="eastAsia" w:ascii="仿宋_GB2312" w:hAnsi="仿宋"/>
          <w:color w:val="000000"/>
          <w:szCs w:val="32"/>
        </w:rPr>
        <w:t>〕</w:t>
      </w:r>
      <w:r>
        <w:rPr>
          <w:rFonts w:ascii="仿宋_GB2312" w:hAnsi="仿宋"/>
          <w:color w:val="000000"/>
          <w:szCs w:val="32"/>
        </w:rPr>
        <w:t>4</w:t>
      </w:r>
      <w:r>
        <w:rPr>
          <w:rFonts w:hint="eastAsia" w:ascii="仿宋_GB2312" w:hAnsi="仿宋"/>
          <w:color w:val="000000"/>
          <w:szCs w:val="32"/>
        </w:rPr>
        <w:t>号）中“建筑物区分所有的，专有部分占建筑物总面积三分之二以上的权利主体且占总人数三分之二以上的权利主体同意进行城市更新”等意愿比例相关规定，结合我市城中村改造工作实际需求，提出拆除新建类城中村改造项目改造意愿征集的要求为：拆除新建类城中村改造项目需经物业权利人三分之二以上同意，并经原农村集体经济组织继受单位同意后方可实施。</w:t>
      </w:r>
    </w:p>
    <w:p>
      <w:pPr>
        <w:widowControl w:val="0"/>
        <w:spacing w:line="578" w:lineRule="exact"/>
        <w:ind w:firstLine="642" w:firstLineChars="200"/>
        <w:rPr>
          <w:rFonts w:ascii="仿宋_GB2312" w:hAnsi="仿宋" w:eastAsia="仿宋_GB2312"/>
          <w:color w:val="000000"/>
          <w:sz w:val="32"/>
          <w:szCs w:val="32"/>
        </w:rPr>
      </w:pPr>
      <w:r>
        <w:rPr>
          <w:rFonts w:hint="eastAsia" w:ascii="仿宋_GB2312" w:hAnsi="仿宋_GB2312" w:eastAsia="仿宋_GB2312" w:cs="仿宋_GB2312"/>
          <w:b/>
          <w:bCs/>
          <w:sz w:val="32"/>
          <w:szCs w:val="40"/>
        </w:rPr>
        <w:t>二是关于引入前期服务商。</w:t>
      </w:r>
      <w:r>
        <w:rPr>
          <w:rFonts w:hint="eastAsia" w:ascii="仿宋_GB2312" w:hAnsi="仿宋" w:eastAsia="仿宋_GB2312"/>
          <w:b/>
          <w:color w:val="000000"/>
          <w:sz w:val="32"/>
          <w:szCs w:val="32"/>
        </w:rPr>
        <w:t>对于引入时点，</w:t>
      </w:r>
      <w:r>
        <w:rPr>
          <w:rFonts w:hint="eastAsia" w:ascii="仿宋_GB2312" w:hAnsi="仿宋" w:eastAsia="仿宋_GB2312"/>
          <w:color w:val="000000"/>
          <w:sz w:val="32"/>
          <w:szCs w:val="32"/>
        </w:rPr>
        <w:t>区政府组织指定部门编制拆除新建类城中村改造项目实施方案时，需明确前期服务商公开选择方案，并在项目实施方案及改造单元规划审批通过后，按照公开择优原则选取前期服务商。区政府与被选定的前期服务商签订项目实施协议。</w:t>
      </w:r>
      <w:r>
        <w:rPr>
          <w:rFonts w:hint="eastAsia" w:ascii="仿宋_GB2312" w:hAnsi="仿宋" w:eastAsia="仿宋_GB2312"/>
          <w:b/>
          <w:color w:val="000000"/>
          <w:sz w:val="32"/>
          <w:szCs w:val="32"/>
        </w:rPr>
        <w:t>对于工作内容，</w:t>
      </w:r>
      <w:r>
        <w:rPr>
          <w:rFonts w:hint="eastAsia" w:ascii="仿宋_GB2312" w:hAnsi="仿宋" w:eastAsia="仿宋_GB2312"/>
          <w:bCs/>
          <w:color w:val="000000"/>
          <w:sz w:val="32"/>
          <w:szCs w:val="32"/>
        </w:rPr>
        <w:t>根据项目实施协议的约定，</w:t>
      </w:r>
      <w:r>
        <w:rPr>
          <w:rFonts w:hint="eastAsia" w:ascii="仿宋_GB2312" w:hAnsi="仿宋" w:eastAsia="仿宋_GB2312"/>
          <w:color w:val="000000"/>
          <w:sz w:val="32"/>
          <w:szCs w:val="32"/>
        </w:rPr>
        <w:t>前期服务商可协助区政府开展搬迁补偿、安置房建设、土地清理等工作，并可提前垫付拆除新建类城中村改造项目实施过程中产生的费用</w:t>
      </w:r>
      <w:r>
        <w:rPr>
          <w:rFonts w:hint="eastAsia" w:ascii="仿宋_GB2312" w:hAnsi="仿宋" w:eastAsia="仿宋_GB2312"/>
          <w:sz w:val="32"/>
          <w:szCs w:val="32"/>
        </w:rPr>
        <w:t>。</w:t>
      </w:r>
      <w:r>
        <w:rPr>
          <w:rFonts w:hint="eastAsia" w:ascii="仿宋_GB2312" w:hAnsi="仿宋" w:eastAsia="仿宋_GB2312"/>
          <w:b/>
          <w:bCs/>
          <w:color w:val="000000"/>
          <w:sz w:val="32"/>
          <w:szCs w:val="32"/>
        </w:rPr>
        <w:t>对于收储补偿金支付，</w:t>
      </w:r>
      <w:r>
        <w:rPr>
          <w:rFonts w:hint="eastAsia" w:ascii="仿宋_GB2312" w:hAnsi="仿宋" w:eastAsia="仿宋_GB2312"/>
          <w:sz w:val="32"/>
          <w:szCs w:val="32"/>
        </w:rPr>
        <w:t>按照“总成本+微利”的原则，区政府根据项目实施协议对前期服务成本进行核算并上浮一定比例后，向前期服务商支付收储补偿金。</w:t>
      </w:r>
    </w:p>
    <w:p>
      <w:pPr>
        <w:widowControl w:val="0"/>
        <w:spacing w:line="578" w:lineRule="exact"/>
        <w:ind w:firstLine="642" w:firstLineChars="200"/>
        <w:rPr>
          <w:rFonts w:ascii="仿宋_GB2312" w:hAnsi="仿宋" w:eastAsia="仿宋_GB2312"/>
          <w:color w:val="000000"/>
          <w:sz w:val="32"/>
          <w:szCs w:val="32"/>
        </w:rPr>
      </w:pPr>
      <w:r>
        <w:rPr>
          <w:rFonts w:hint="eastAsia" w:ascii="仿宋_GB2312" w:hAnsi="仿宋_GB2312" w:eastAsia="仿宋_GB2312" w:cs="仿宋_GB2312"/>
          <w:b/>
          <w:bCs/>
          <w:sz w:val="32"/>
          <w:szCs w:val="40"/>
        </w:rPr>
        <w:t>三是关于搬迁补偿与支付时点。</w:t>
      </w:r>
      <w:r>
        <w:rPr>
          <w:rFonts w:hint="eastAsia" w:ascii="仿宋_GB2312" w:hAnsi="仿宋" w:eastAsia="仿宋_GB2312"/>
          <w:color w:val="000000"/>
          <w:sz w:val="32"/>
          <w:szCs w:val="32"/>
        </w:rPr>
        <w:t>由政府统一制定拆除新建类城中村改造项目搬迁补偿指引。区政府与被搬迁人签订搬迁补偿协议，并约定物业权利人搬离时点。区政府于物业权利人搬离并交付房屋之日起开始支付搬迁补偿费。</w:t>
      </w:r>
    </w:p>
    <w:p>
      <w:pPr>
        <w:widowControl w:val="0"/>
        <w:spacing w:line="578" w:lineRule="exact"/>
        <w:ind w:firstLine="642" w:firstLineChars="200"/>
        <w:rPr>
          <w:rFonts w:ascii="仿宋_GB2312" w:hAnsi="仿宋" w:eastAsia="仿宋_GB2312"/>
          <w:color w:val="000000"/>
          <w:sz w:val="32"/>
          <w:szCs w:val="32"/>
        </w:rPr>
      </w:pPr>
      <w:r>
        <w:rPr>
          <w:rFonts w:hint="eastAsia" w:ascii="仿宋_GB2312" w:hAnsi="仿宋_GB2312" w:eastAsia="仿宋_GB2312" w:cs="仿宋_GB2312"/>
          <w:b/>
          <w:bCs/>
          <w:sz w:val="32"/>
          <w:szCs w:val="40"/>
        </w:rPr>
        <w:t>四是关于安置房建设及回迁安置责任。</w:t>
      </w:r>
      <w:r>
        <w:rPr>
          <w:rFonts w:hint="eastAsia" w:ascii="仿宋_GB2312" w:hAnsi="仿宋" w:eastAsia="仿宋_GB2312"/>
          <w:color w:val="000000"/>
          <w:sz w:val="32"/>
          <w:szCs w:val="32"/>
        </w:rPr>
        <w:t>有条件安排安置房用地的，安置房用地通过协议方式出让给区政府，由区政府负责安置房建设。引入前期服务商的，区政府也可依据项目实施协议由前期服务商开展安置房建设，并由区政府实施回迁安置。无法安排安置房用地的，可将回迁安置要求作为土地出让条件纳入土地供应方案，土地受让方完成土地开发后将安置房移交区政府，由区政府实施回迁安置。</w:t>
      </w:r>
    </w:p>
    <w:p>
      <w:pPr>
        <w:widowControl w:val="0"/>
        <w:spacing w:line="578" w:lineRule="exact"/>
        <w:ind w:firstLine="642" w:firstLineChars="200"/>
        <w:rPr>
          <w:rFonts w:ascii="仿宋_GB2312" w:hAnsi="仿宋" w:eastAsia="仿宋_GB2312"/>
          <w:color w:val="000000"/>
          <w:sz w:val="32"/>
          <w:szCs w:val="32"/>
        </w:rPr>
      </w:pPr>
      <w:r>
        <w:rPr>
          <w:rFonts w:hint="eastAsia" w:ascii="仿宋_GB2312" w:hAnsi="仿宋_GB2312" w:eastAsia="仿宋_GB2312" w:cs="仿宋_GB2312"/>
          <w:b/>
          <w:bCs/>
          <w:sz w:val="32"/>
          <w:szCs w:val="40"/>
        </w:rPr>
        <w:t>五是关于用地出让与开发建设。</w:t>
      </w:r>
      <w:bookmarkStart w:id="7" w:name="_Hlk154499926"/>
      <w:r>
        <w:rPr>
          <w:rFonts w:hint="eastAsia" w:ascii="仿宋_GB2312" w:hAnsi="仿宋" w:eastAsia="仿宋_GB2312"/>
          <w:color w:val="000000"/>
          <w:sz w:val="32"/>
          <w:szCs w:val="32"/>
        </w:rPr>
        <w:t>为落实《指导意见》要求，强化土地市场管理，本实施意见明确拆除新建类城中村改造项目内土地完成净地入库后，可依法采用综合评价出让或带设计方案出让等公开出让方式确定土地受让方，由土地受让方实施开发建设。此外，将城中村改造与保障性住房筹集建设相结合，对于具备经济可行、规划条件能够支撑的城中村改造项目，应按要求配置一定比例配售型保障性住房。</w:t>
      </w:r>
    </w:p>
    <w:bookmarkEnd w:id="7"/>
    <w:p>
      <w:pPr>
        <w:widowControl w:val="0"/>
        <w:numPr>
          <w:ilvl w:val="0"/>
          <w:numId w:val="2"/>
        </w:numPr>
        <w:spacing w:line="578" w:lineRule="exact"/>
        <w:ind w:firstLine="640" w:firstLineChars="200"/>
        <w:outlineLvl w:val="1"/>
        <w:rPr>
          <w:rFonts w:ascii="楷体_GB2312" w:hAnsi="楷体_GB2312" w:eastAsia="楷体_GB2312" w:cs="楷体_GB2312"/>
          <w:sz w:val="32"/>
          <w:szCs w:val="40"/>
        </w:rPr>
      </w:pPr>
      <w:r>
        <w:rPr>
          <w:rFonts w:hint="eastAsia" w:ascii="楷体_GB2312" w:hAnsi="楷体_GB2312" w:eastAsia="楷体_GB2312" w:cs="楷体_GB2312"/>
          <w:sz w:val="32"/>
          <w:szCs w:val="40"/>
        </w:rPr>
        <w:t>关于整治提升（含拆整结合）类城中村改造项目工作流程</w:t>
      </w:r>
    </w:p>
    <w:p>
      <w:pPr>
        <w:widowControl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整治提升（拆整结合）类城中村改造工作流程包括信息核查、纳入整治提升（拆整结合）类城中村改造年度计划、规划设计方案编制、建设实施方案编制、实施主体选择、建管一体长效治理等。</w:t>
      </w:r>
    </w:p>
    <w:p>
      <w:pPr>
        <w:widowControl w:val="0"/>
        <w:spacing w:line="578" w:lineRule="exact"/>
        <w:ind w:firstLine="642" w:firstLineChars="200"/>
        <w:rPr>
          <w:rFonts w:ascii="仿宋_GB2312" w:hAnsi="仿宋" w:eastAsia="仿宋_GB2312"/>
          <w:color w:val="000000"/>
          <w:sz w:val="32"/>
          <w:szCs w:val="32"/>
        </w:rPr>
      </w:pPr>
      <w:bookmarkStart w:id="8" w:name="_Hlk154500212"/>
      <w:r>
        <w:rPr>
          <w:rFonts w:hint="eastAsia" w:ascii="仿宋_GB2312" w:hAnsi="仿宋" w:eastAsia="仿宋_GB2312"/>
          <w:b/>
          <w:bCs/>
          <w:color w:val="000000"/>
          <w:sz w:val="32"/>
          <w:szCs w:val="32"/>
        </w:rPr>
        <w:t>一是关于信息核查。</w:t>
      </w:r>
      <w:r>
        <w:rPr>
          <w:rFonts w:hint="eastAsia" w:ascii="仿宋_GB2312" w:hAnsi="仿宋" w:eastAsia="仿宋_GB2312"/>
          <w:color w:val="000000"/>
          <w:sz w:val="32"/>
          <w:szCs w:val="32"/>
        </w:rPr>
        <w:t>按照《指导意见》提出的“坚持先谋后动”要求，区政府组织对辖区纳入整治提升（含拆整结合）类改造空间范围的城中村开展现状调查评估，重点排房屋结构、消防、供用电、燃气等各类安全风险隐患，梳理城中村综合治理既有工作成果及存在问题，建立基础信息台账。</w:t>
      </w:r>
    </w:p>
    <w:p>
      <w:pPr>
        <w:keepNext/>
        <w:widowControl w:val="0"/>
        <w:spacing w:line="578" w:lineRule="exact"/>
        <w:ind w:firstLine="642"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二是关于年度计划。</w:t>
      </w:r>
      <w:r>
        <w:rPr>
          <w:rFonts w:hint="eastAsia" w:ascii="仿宋_GB2312" w:hAnsi="仿宋" w:eastAsia="仿宋_GB2312"/>
          <w:color w:val="000000"/>
          <w:sz w:val="32"/>
          <w:szCs w:val="32"/>
        </w:rPr>
        <w:t>按照《指导意见》提出的“开展经常性整治提升”要求，建立城中村整治提升（含拆整结合）年度计划管理制度。年度计划需明确下年度整治提升（含拆整结合）项目库、各区经常性整治提升工作任务、年度资金安排、实施进度要求等。</w:t>
      </w:r>
    </w:p>
    <w:p>
      <w:pPr>
        <w:keepNext/>
        <w:widowControl w:val="0"/>
        <w:spacing w:line="578" w:lineRule="exact"/>
        <w:ind w:firstLine="642"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三是关于改造方案。</w:t>
      </w:r>
      <w:r>
        <w:rPr>
          <w:rFonts w:hint="eastAsia" w:ascii="仿宋_GB2312" w:hAnsi="仿宋" w:eastAsia="仿宋_GB2312"/>
          <w:color w:val="000000"/>
          <w:sz w:val="32"/>
          <w:szCs w:val="32"/>
        </w:rPr>
        <w:t>由区政府组织编制城中村整治提升（含拆整结合）类城中村改造项目规划设计方案，按照《指导意见》提出的“守住安全底线”要求，规划方案中需重点确定安全风险隐患治理内容，明确公共配套、道路交通、历史文化保护等方面需完善或提升的内容。根据城中村整治提升（含拆整结合）类城中村改造项目规划设计方案，区政府组织编制整治提升（含拆整结合）类城中村改造项目建设实施方案，做好项目预算、资金平衡方案和时间进度安排，细化责任分工。</w:t>
      </w:r>
    </w:p>
    <w:p>
      <w:pPr>
        <w:keepNext/>
        <w:widowControl w:val="0"/>
        <w:spacing w:line="578" w:lineRule="exact"/>
        <w:ind w:firstLine="642"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四是关于实施主体。</w:t>
      </w:r>
      <w:r>
        <w:rPr>
          <w:rFonts w:hint="eastAsia" w:ascii="仿宋_GB2312" w:hAnsi="仿宋" w:eastAsia="仿宋_GB2312"/>
          <w:color w:val="000000"/>
          <w:sz w:val="32"/>
          <w:szCs w:val="32"/>
        </w:rPr>
        <w:t>区政府依据相关法律法规确定实施主体，可由街道办事处组织实施，或视情况选择具有一定规模、信誉良好、具备整治提升类城中村改造经验的企业作为项目实施主体。</w:t>
      </w:r>
    </w:p>
    <w:p>
      <w:pPr>
        <w:keepNext/>
        <w:widowControl w:val="0"/>
        <w:spacing w:line="578" w:lineRule="exact"/>
        <w:ind w:firstLine="642"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五是关于长效治理。</w:t>
      </w:r>
      <w:r>
        <w:rPr>
          <w:rFonts w:hint="eastAsia" w:ascii="仿宋_GB2312" w:hAnsi="仿宋" w:eastAsia="仿宋_GB2312"/>
          <w:color w:val="000000"/>
          <w:sz w:val="32"/>
          <w:szCs w:val="32"/>
        </w:rPr>
        <w:t>探索建立建管一体长效治理机制，通过引导村股份公司引进或自行成立物业服务企业，采用菜单式物业管理、村股份公司兜底等多种方式推进物业进村全覆盖，探索由实施城中村整治提升的企业承接日常物业管理，统筹运营和管理等多路径，加强整治提升成果后续管理运营及维护更新。</w:t>
      </w:r>
    </w:p>
    <w:bookmarkEnd w:id="8"/>
    <w:p>
      <w:pPr>
        <w:keepNext/>
        <w:widowControl w:val="0"/>
        <w:spacing w:line="578" w:lineRule="exact"/>
        <w:ind w:firstLine="640" w:firstLineChars="200"/>
        <w:outlineLvl w:val="1"/>
        <w:rPr>
          <w:rFonts w:ascii="楷体_GB2312" w:hAnsi="楷体_GB2312" w:eastAsia="楷体_GB2312" w:cs="楷体_GB2312"/>
        </w:rPr>
      </w:pPr>
      <w:r>
        <w:rPr>
          <w:rFonts w:hint="eastAsia" w:ascii="楷体_GB2312" w:hAnsi="楷体_GB2312" w:eastAsia="楷体_GB2312" w:cs="楷体_GB2312"/>
          <w:sz w:val="32"/>
          <w:szCs w:val="40"/>
        </w:rPr>
        <w:t>（四）关于政策衔接</w:t>
      </w:r>
    </w:p>
    <w:p>
      <w:pPr>
        <w:pStyle w:val="21"/>
        <w:spacing w:line="578" w:lineRule="exact"/>
        <w:ind w:firstLine="640"/>
        <w:rPr>
          <w:rFonts w:ascii="仿宋" w:hAnsi="仿宋"/>
        </w:rPr>
      </w:pPr>
      <w:r>
        <w:rPr>
          <w:rFonts w:hint="eastAsia" w:ascii="仿宋" w:hAnsi="仿宋"/>
        </w:rPr>
        <w:t>为做好新旧政策衔接，妥善有序推动我市城中村改造工作向新模式平稳过渡，对既有城中村改造项目进行分类处理。</w:t>
      </w:r>
    </w:p>
    <w:p>
      <w:pPr>
        <w:pStyle w:val="21"/>
        <w:spacing w:line="578" w:lineRule="exact"/>
        <w:ind w:firstLine="640"/>
        <w:rPr>
          <w:rFonts w:ascii="仿宋" w:hAnsi="仿宋"/>
        </w:rPr>
      </w:pPr>
      <w:r>
        <w:rPr>
          <w:rFonts w:hint="eastAsia" w:ascii="仿宋" w:hAnsi="仿宋"/>
        </w:rPr>
        <w:t>（一）针对《指导意见》印发之前已公告城市更新单元计划和已批准土地整备利益统筹计划的项目，按既有更新整备政策限期推进；若项目在计划有效期内无法完成规划审批（无计划有效期的城市更新项目按《指导意见》印发之日起统一设定三年有效期），将按规定予以清出更新整备计划。</w:t>
      </w:r>
    </w:p>
    <w:p>
      <w:pPr>
        <w:pStyle w:val="21"/>
        <w:spacing w:line="578" w:lineRule="exact"/>
        <w:ind w:firstLine="640"/>
        <w:rPr>
          <w:rFonts w:ascii="仿宋" w:hAnsi="仿宋"/>
        </w:rPr>
      </w:pPr>
      <w:r>
        <w:rPr>
          <w:rFonts w:hint="eastAsia" w:ascii="仿宋" w:hAnsi="仿宋"/>
        </w:rPr>
        <w:t>（二）其他未列入计划但已开展实质性工作或前期工作的城中村改造项目，原则上按照《指导意见》和本实施意见实施，符合以下特殊情形之一的，可向区政府申请按照既有更新整备政策限期推进：</w:t>
      </w:r>
    </w:p>
    <w:p>
      <w:pPr>
        <w:pStyle w:val="21"/>
        <w:spacing w:line="578" w:lineRule="exact"/>
        <w:ind w:firstLine="640"/>
        <w:rPr>
          <w:rFonts w:ascii="仿宋" w:hAnsi="仿宋"/>
        </w:rPr>
      </w:pPr>
      <w:r>
        <w:rPr>
          <w:rFonts w:ascii="仿宋" w:hAnsi="仿宋"/>
        </w:rPr>
        <w:t>1.2023年7月24日前</w:t>
      </w:r>
      <w:r>
        <w:rPr>
          <w:rFonts w:hint="eastAsia" w:ascii="仿宋" w:hAnsi="仿宋"/>
        </w:rPr>
        <w:t>因落实</w:t>
      </w:r>
      <w:r>
        <w:rPr>
          <w:rFonts w:ascii="仿宋" w:hAnsi="仿宋"/>
        </w:rPr>
        <w:t>法定规划公共利益用地</w:t>
      </w:r>
      <w:r>
        <w:rPr>
          <w:rFonts w:hint="eastAsia" w:ascii="仿宋" w:hAnsi="仿宋"/>
        </w:rPr>
        <w:t>需要，</w:t>
      </w:r>
      <w:r>
        <w:rPr>
          <w:rFonts w:ascii="仿宋" w:hAnsi="仿宋"/>
        </w:rPr>
        <w:t>经区政府同意提前拆除，且现状已实际拆除或虽未拆除但已签拆赔协议并支付拆赔款的城中村改造项目。</w:t>
      </w:r>
    </w:p>
    <w:p>
      <w:pPr>
        <w:pStyle w:val="21"/>
        <w:spacing w:line="578" w:lineRule="exact"/>
        <w:ind w:firstLine="640"/>
        <w:rPr>
          <w:rFonts w:ascii="仿宋" w:hAnsi="仿宋"/>
        </w:rPr>
      </w:pPr>
      <w:r>
        <w:rPr>
          <w:rFonts w:ascii="仿宋" w:hAnsi="仿宋"/>
        </w:rPr>
        <w:t>2.2023年7月24日前已完成更新单元计划公告前所有程序的城中村改造项目。</w:t>
      </w:r>
    </w:p>
    <w:p>
      <w:pPr>
        <w:pStyle w:val="21"/>
        <w:spacing w:line="578" w:lineRule="exact"/>
        <w:ind w:firstLine="640"/>
        <w:rPr>
          <w:rFonts w:ascii="仿宋" w:hAnsi="仿宋"/>
        </w:rPr>
      </w:pPr>
      <w:r>
        <w:rPr>
          <w:rFonts w:hint="eastAsia" w:ascii="仿宋" w:hAnsi="仿宋"/>
        </w:rPr>
        <w:t>符合上述两类特殊情形之一且经区政府同意的，应在本实施意见印发之日起两年内完成计划公告；无法完成的，市场主体应自行理清经济关系且不得继续开展其他相关工作。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DEC18"/>
    <w:multiLevelType w:val="singleLevel"/>
    <w:tmpl w:val="425DEC18"/>
    <w:lvl w:ilvl="0" w:tentative="0">
      <w:start w:val="1"/>
      <w:numFmt w:val="chineseCounting"/>
      <w:suff w:val="nothing"/>
      <w:lvlText w:val="%1、"/>
      <w:lvlJc w:val="left"/>
      <w:rPr>
        <w:rFonts w:hint="eastAsia"/>
        <w:lang w:val="en-US"/>
      </w:rPr>
    </w:lvl>
  </w:abstractNum>
  <w:abstractNum w:abstractNumId="1">
    <w:nsid w:val="77D65761"/>
    <w:multiLevelType w:val="singleLevel"/>
    <w:tmpl w:val="77D6576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xMDliNGQ4NzA4Mjg5OWQzYmMwNjFlY2NhYzYwNzEifQ=="/>
  </w:docVars>
  <w:rsids>
    <w:rsidRoot w:val="00772B57"/>
    <w:rsid w:val="00004C6B"/>
    <w:rsid w:val="000055B4"/>
    <w:rsid w:val="0000617E"/>
    <w:rsid w:val="00006FCB"/>
    <w:rsid w:val="00007401"/>
    <w:rsid w:val="000124FE"/>
    <w:rsid w:val="00012A41"/>
    <w:rsid w:val="00013BC9"/>
    <w:rsid w:val="00014348"/>
    <w:rsid w:val="00016531"/>
    <w:rsid w:val="0001695D"/>
    <w:rsid w:val="0001713F"/>
    <w:rsid w:val="00024026"/>
    <w:rsid w:val="00025C04"/>
    <w:rsid w:val="00026447"/>
    <w:rsid w:val="0002685C"/>
    <w:rsid w:val="00031C89"/>
    <w:rsid w:val="00032B91"/>
    <w:rsid w:val="000339A5"/>
    <w:rsid w:val="000358AA"/>
    <w:rsid w:val="0004123B"/>
    <w:rsid w:val="000419C4"/>
    <w:rsid w:val="00041BFF"/>
    <w:rsid w:val="0004222F"/>
    <w:rsid w:val="00042AC9"/>
    <w:rsid w:val="00042DA0"/>
    <w:rsid w:val="000430A8"/>
    <w:rsid w:val="0004390C"/>
    <w:rsid w:val="00043FE6"/>
    <w:rsid w:val="0004583D"/>
    <w:rsid w:val="000476CD"/>
    <w:rsid w:val="00054945"/>
    <w:rsid w:val="00054AE9"/>
    <w:rsid w:val="000564B1"/>
    <w:rsid w:val="00060F63"/>
    <w:rsid w:val="00061861"/>
    <w:rsid w:val="00062E4C"/>
    <w:rsid w:val="00064918"/>
    <w:rsid w:val="000702DB"/>
    <w:rsid w:val="000708FC"/>
    <w:rsid w:val="00072EA7"/>
    <w:rsid w:val="000737D6"/>
    <w:rsid w:val="00074455"/>
    <w:rsid w:val="00075D80"/>
    <w:rsid w:val="0007794D"/>
    <w:rsid w:val="00077ACB"/>
    <w:rsid w:val="0008047A"/>
    <w:rsid w:val="00080809"/>
    <w:rsid w:val="000825B7"/>
    <w:rsid w:val="00082713"/>
    <w:rsid w:val="000829E1"/>
    <w:rsid w:val="000830FB"/>
    <w:rsid w:val="00084EC5"/>
    <w:rsid w:val="00085E4C"/>
    <w:rsid w:val="00086036"/>
    <w:rsid w:val="00086C07"/>
    <w:rsid w:val="00087F1F"/>
    <w:rsid w:val="00090418"/>
    <w:rsid w:val="00090A4B"/>
    <w:rsid w:val="000944C8"/>
    <w:rsid w:val="00095297"/>
    <w:rsid w:val="000975B1"/>
    <w:rsid w:val="000A0410"/>
    <w:rsid w:val="000A14B9"/>
    <w:rsid w:val="000A20C1"/>
    <w:rsid w:val="000A2ED4"/>
    <w:rsid w:val="000A4DA6"/>
    <w:rsid w:val="000A5DB1"/>
    <w:rsid w:val="000B2A5B"/>
    <w:rsid w:val="000B337B"/>
    <w:rsid w:val="000B524E"/>
    <w:rsid w:val="000B7316"/>
    <w:rsid w:val="000C0221"/>
    <w:rsid w:val="000C0559"/>
    <w:rsid w:val="000C093C"/>
    <w:rsid w:val="000C1B10"/>
    <w:rsid w:val="000C2C09"/>
    <w:rsid w:val="000C31A5"/>
    <w:rsid w:val="000C3B9B"/>
    <w:rsid w:val="000C6122"/>
    <w:rsid w:val="000C6EA8"/>
    <w:rsid w:val="000D19A9"/>
    <w:rsid w:val="000D1FA3"/>
    <w:rsid w:val="000D5304"/>
    <w:rsid w:val="000D53C7"/>
    <w:rsid w:val="000D60FB"/>
    <w:rsid w:val="000D6B70"/>
    <w:rsid w:val="000D75BC"/>
    <w:rsid w:val="000E007E"/>
    <w:rsid w:val="000E09EF"/>
    <w:rsid w:val="000E2DDD"/>
    <w:rsid w:val="000E3C4B"/>
    <w:rsid w:val="000E5B52"/>
    <w:rsid w:val="000E5FF4"/>
    <w:rsid w:val="000E7AA8"/>
    <w:rsid w:val="000F424B"/>
    <w:rsid w:val="000F5C9D"/>
    <w:rsid w:val="000F7ADF"/>
    <w:rsid w:val="00100B55"/>
    <w:rsid w:val="00104850"/>
    <w:rsid w:val="00104B0D"/>
    <w:rsid w:val="001051E8"/>
    <w:rsid w:val="00105343"/>
    <w:rsid w:val="001056D1"/>
    <w:rsid w:val="00105F27"/>
    <w:rsid w:val="00106DF5"/>
    <w:rsid w:val="00107081"/>
    <w:rsid w:val="00110D61"/>
    <w:rsid w:val="0011187E"/>
    <w:rsid w:val="001135AC"/>
    <w:rsid w:val="0011409D"/>
    <w:rsid w:val="00114B04"/>
    <w:rsid w:val="00115908"/>
    <w:rsid w:val="001210A4"/>
    <w:rsid w:val="00121B2E"/>
    <w:rsid w:val="0012230B"/>
    <w:rsid w:val="00122EF5"/>
    <w:rsid w:val="00130FA4"/>
    <w:rsid w:val="00132BB0"/>
    <w:rsid w:val="001337E2"/>
    <w:rsid w:val="00135B2B"/>
    <w:rsid w:val="001379EA"/>
    <w:rsid w:val="00142E26"/>
    <w:rsid w:val="00144D64"/>
    <w:rsid w:val="00144DAE"/>
    <w:rsid w:val="00146CAB"/>
    <w:rsid w:val="00147560"/>
    <w:rsid w:val="0015064A"/>
    <w:rsid w:val="00150CB5"/>
    <w:rsid w:val="0015365E"/>
    <w:rsid w:val="001536AB"/>
    <w:rsid w:val="001539C0"/>
    <w:rsid w:val="00153FDB"/>
    <w:rsid w:val="00155C5C"/>
    <w:rsid w:val="00155D2A"/>
    <w:rsid w:val="0015694E"/>
    <w:rsid w:val="0015724B"/>
    <w:rsid w:val="00163C00"/>
    <w:rsid w:val="00167537"/>
    <w:rsid w:val="001676A1"/>
    <w:rsid w:val="00172238"/>
    <w:rsid w:val="00172C67"/>
    <w:rsid w:val="00175BA1"/>
    <w:rsid w:val="001774A6"/>
    <w:rsid w:val="00177EBB"/>
    <w:rsid w:val="00183E79"/>
    <w:rsid w:val="001872D0"/>
    <w:rsid w:val="001903AB"/>
    <w:rsid w:val="0019217C"/>
    <w:rsid w:val="001943DF"/>
    <w:rsid w:val="00196D11"/>
    <w:rsid w:val="00197073"/>
    <w:rsid w:val="001A1377"/>
    <w:rsid w:val="001A2791"/>
    <w:rsid w:val="001A4EAC"/>
    <w:rsid w:val="001B01E0"/>
    <w:rsid w:val="001B0900"/>
    <w:rsid w:val="001B0AFA"/>
    <w:rsid w:val="001B42BF"/>
    <w:rsid w:val="001B54C7"/>
    <w:rsid w:val="001B6241"/>
    <w:rsid w:val="001B7D6A"/>
    <w:rsid w:val="001C0AD2"/>
    <w:rsid w:val="001C0B99"/>
    <w:rsid w:val="001C32F4"/>
    <w:rsid w:val="001C38B7"/>
    <w:rsid w:val="001C460D"/>
    <w:rsid w:val="001C4CD3"/>
    <w:rsid w:val="001C5C91"/>
    <w:rsid w:val="001C6CF5"/>
    <w:rsid w:val="001C7A26"/>
    <w:rsid w:val="001D1567"/>
    <w:rsid w:val="001D36B7"/>
    <w:rsid w:val="001D3960"/>
    <w:rsid w:val="001D45AF"/>
    <w:rsid w:val="001D474D"/>
    <w:rsid w:val="001D4DB9"/>
    <w:rsid w:val="001E26FA"/>
    <w:rsid w:val="001E3084"/>
    <w:rsid w:val="001E3C6E"/>
    <w:rsid w:val="001E472A"/>
    <w:rsid w:val="001E5958"/>
    <w:rsid w:val="001E5B70"/>
    <w:rsid w:val="001E61EC"/>
    <w:rsid w:val="001E7738"/>
    <w:rsid w:val="001F0B9B"/>
    <w:rsid w:val="001F15F3"/>
    <w:rsid w:val="001F2026"/>
    <w:rsid w:val="001F2FF7"/>
    <w:rsid w:val="001F4379"/>
    <w:rsid w:val="001F5029"/>
    <w:rsid w:val="001F5486"/>
    <w:rsid w:val="002009AA"/>
    <w:rsid w:val="00201969"/>
    <w:rsid w:val="002022D1"/>
    <w:rsid w:val="00204886"/>
    <w:rsid w:val="00205ADA"/>
    <w:rsid w:val="00206D71"/>
    <w:rsid w:val="00207F4B"/>
    <w:rsid w:val="002137FF"/>
    <w:rsid w:val="002143AF"/>
    <w:rsid w:val="0021547E"/>
    <w:rsid w:val="00216082"/>
    <w:rsid w:val="00216E8A"/>
    <w:rsid w:val="002172A3"/>
    <w:rsid w:val="00217336"/>
    <w:rsid w:val="0021753D"/>
    <w:rsid w:val="0022026C"/>
    <w:rsid w:val="00222913"/>
    <w:rsid w:val="00223000"/>
    <w:rsid w:val="00225CCE"/>
    <w:rsid w:val="0022604D"/>
    <w:rsid w:val="00226721"/>
    <w:rsid w:val="0022677B"/>
    <w:rsid w:val="00226A69"/>
    <w:rsid w:val="00230F32"/>
    <w:rsid w:val="0023120B"/>
    <w:rsid w:val="002312C2"/>
    <w:rsid w:val="00232070"/>
    <w:rsid w:val="00232B32"/>
    <w:rsid w:val="002335B2"/>
    <w:rsid w:val="0023370A"/>
    <w:rsid w:val="00233C7D"/>
    <w:rsid w:val="00234287"/>
    <w:rsid w:val="00235EE2"/>
    <w:rsid w:val="00236DB2"/>
    <w:rsid w:val="002415EC"/>
    <w:rsid w:val="002445C1"/>
    <w:rsid w:val="00244948"/>
    <w:rsid w:val="00244C64"/>
    <w:rsid w:val="00246256"/>
    <w:rsid w:val="0025190B"/>
    <w:rsid w:val="00251EF3"/>
    <w:rsid w:val="002524D1"/>
    <w:rsid w:val="00252CE9"/>
    <w:rsid w:val="00252E22"/>
    <w:rsid w:val="00253611"/>
    <w:rsid w:val="00253A08"/>
    <w:rsid w:val="00254777"/>
    <w:rsid w:val="0025528D"/>
    <w:rsid w:val="0025579F"/>
    <w:rsid w:val="00256024"/>
    <w:rsid w:val="00256B01"/>
    <w:rsid w:val="00260426"/>
    <w:rsid w:val="0026057A"/>
    <w:rsid w:val="002612EF"/>
    <w:rsid w:val="002615B3"/>
    <w:rsid w:val="00261738"/>
    <w:rsid w:val="00262546"/>
    <w:rsid w:val="00262F3C"/>
    <w:rsid w:val="00263D2E"/>
    <w:rsid w:val="00265DCA"/>
    <w:rsid w:val="00271209"/>
    <w:rsid w:val="00272401"/>
    <w:rsid w:val="00272DB3"/>
    <w:rsid w:val="00274D07"/>
    <w:rsid w:val="00275BEC"/>
    <w:rsid w:val="00275EC6"/>
    <w:rsid w:val="002800AB"/>
    <w:rsid w:val="0028257E"/>
    <w:rsid w:val="00283A91"/>
    <w:rsid w:val="00283F4A"/>
    <w:rsid w:val="00285950"/>
    <w:rsid w:val="00286ABC"/>
    <w:rsid w:val="002908B0"/>
    <w:rsid w:val="002926B1"/>
    <w:rsid w:val="002954C7"/>
    <w:rsid w:val="00296415"/>
    <w:rsid w:val="00296527"/>
    <w:rsid w:val="00297163"/>
    <w:rsid w:val="00297238"/>
    <w:rsid w:val="002A42AD"/>
    <w:rsid w:val="002A4606"/>
    <w:rsid w:val="002A4E2E"/>
    <w:rsid w:val="002A4F8C"/>
    <w:rsid w:val="002A5FF2"/>
    <w:rsid w:val="002A7AE2"/>
    <w:rsid w:val="002B0EB1"/>
    <w:rsid w:val="002B4C60"/>
    <w:rsid w:val="002B7F14"/>
    <w:rsid w:val="002C3891"/>
    <w:rsid w:val="002C6415"/>
    <w:rsid w:val="002C70B1"/>
    <w:rsid w:val="002C7CDA"/>
    <w:rsid w:val="002D058B"/>
    <w:rsid w:val="002D09D6"/>
    <w:rsid w:val="002D0AF2"/>
    <w:rsid w:val="002D1AA6"/>
    <w:rsid w:val="002D1CE0"/>
    <w:rsid w:val="002D3D41"/>
    <w:rsid w:val="002D5615"/>
    <w:rsid w:val="002E0D42"/>
    <w:rsid w:val="002E2CD0"/>
    <w:rsid w:val="002E3D29"/>
    <w:rsid w:val="002E441A"/>
    <w:rsid w:val="002E60A7"/>
    <w:rsid w:val="002E61AF"/>
    <w:rsid w:val="002E672A"/>
    <w:rsid w:val="002E7616"/>
    <w:rsid w:val="002F0B18"/>
    <w:rsid w:val="002F0BDF"/>
    <w:rsid w:val="002F1F9E"/>
    <w:rsid w:val="002F3530"/>
    <w:rsid w:val="002F752C"/>
    <w:rsid w:val="00301C23"/>
    <w:rsid w:val="00301E4D"/>
    <w:rsid w:val="00302296"/>
    <w:rsid w:val="00305788"/>
    <w:rsid w:val="003068CA"/>
    <w:rsid w:val="0031544D"/>
    <w:rsid w:val="0031554F"/>
    <w:rsid w:val="00316A37"/>
    <w:rsid w:val="0032016E"/>
    <w:rsid w:val="003202CB"/>
    <w:rsid w:val="00321911"/>
    <w:rsid w:val="00327913"/>
    <w:rsid w:val="00332A4F"/>
    <w:rsid w:val="0033305B"/>
    <w:rsid w:val="0033456F"/>
    <w:rsid w:val="00335FCD"/>
    <w:rsid w:val="003364C4"/>
    <w:rsid w:val="00337E3E"/>
    <w:rsid w:val="0034088B"/>
    <w:rsid w:val="003411B3"/>
    <w:rsid w:val="003419F1"/>
    <w:rsid w:val="00341CB2"/>
    <w:rsid w:val="00343405"/>
    <w:rsid w:val="00343A06"/>
    <w:rsid w:val="00344003"/>
    <w:rsid w:val="00344381"/>
    <w:rsid w:val="00344A0E"/>
    <w:rsid w:val="0034530B"/>
    <w:rsid w:val="00345349"/>
    <w:rsid w:val="00346272"/>
    <w:rsid w:val="0034735B"/>
    <w:rsid w:val="003501F8"/>
    <w:rsid w:val="00351D1D"/>
    <w:rsid w:val="0035217E"/>
    <w:rsid w:val="00352421"/>
    <w:rsid w:val="00352FD5"/>
    <w:rsid w:val="00353694"/>
    <w:rsid w:val="00355468"/>
    <w:rsid w:val="003558EE"/>
    <w:rsid w:val="00355C0C"/>
    <w:rsid w:val="00356F63"/>
    <w:rsid w:val="003571B5"/>
    <w:rsid w:val="00360EAC"/>
    <w:rsid w:val="00362E0A"/>
    <w:rsid w:val="003630D6"/>
    <w:rsid w:val="003638AA"/>
    <w:rsid w:val="00366469"/>
    <w:rsid w:val="00367079"/>
    <w:rsid w:val="0037030A"/>
    <w:rsid w:val="003706D2"/>
    <w:rsid w:val="00370CF4"/>
    <w:rsid w:val="003713D2"/>
    <w:rsid w:val="0037151D"/>
    <w:rsid w:val="003716FB"/>
    <w:rsid w:val="003721D1"/>
    <w:rsid w:val="00373E39"/>
    <w:rsid w:val="00374513"/>
    <w:rsid w:val="00374EA0"/>
    <w:rsid w:val="00375F6D"/>
    <w:rsid w:val="003771CF"/>
    <w:rsid w:val="003773C6"/>
    <w:rsid w:val="00382256"/>
    <w:rsid w:val="00383D9C"/>
    <w:rsid w:val="003869DC"/>
    <w:rsid w:val="00387130"/>
    <w:rsid w:val="0039087A"/>
    <w:rsid w:val="003914C5"/>
    <w:rsid w:val="00391F84"/>
    <w:rsid w:val="00393631"/>
    <w:rsid w:val="003936B9"/>
    <w:rsid w:val="0039636F"/>
    <w:rsid w:val="003A1A89"/>
    <w:rsid w:val="003A21A8"/>
    <w:rsid w:val="003A2351"/>
    <w:rsid w:val="003B1577"/>
    <w:rsid w:val="003B3D2E"/>
    <w:rsid w:val="003B69A0"/>
    <w:rsid w:val="003B7181"/>
    <w:rsid w:val="003C1ACB"/>
    <w:rsid w:val="003C2088"/>
    <w:rsid w:val="003C225B"/>
    <w:rsid w:val="003C4AC3"/>
    <w:rsid w:val="003C4E8B"/>
    <w:rsid w:val="003C5A13"/>
    <w:rsid w:val="003C75DC"/>
    <w:rsid w:val="003D133F"/>
    <w:rsid w:val="003D283C"/>
    <w:rsid w:val="003D74CF"/>
    <w:rsid w:val="003D79A2"/>
    <w:rsid w:val="003E078F"/>
    <w:rsid w:val="003E0C7B"/>
    <w:rsid w:val="003E1783"/>
    <w:rsid w:val="003E2B30"/>
    <w:rsid w:val="003E417B"/>
    <w:rsid w:val="003E6298"/>
    <w:rsid w:val="003F008D"/>
    <w:rsid w:val="003F07C1"/>
    <w:rsid w:val="003F242C"/>
    <w:rsid w:val="003F4F3B"/>
    <w:rsid w:val="004029A5"/>
    <w:rsid w:val="004033EB"/>
    <w:rsid w:val="004041CA"/>
    <w:rsid w:val="00404DD6"/>
    <w:rsid w:val="00406A4F"/>
    <w:rsid w:val="00411946"/>
    <w:rsid w:val="00412D46"/>
    <w:rsid w:val="0041322E"/>
    <w:rsid w:val="004148A0"/>
    <w:rsid w:val="00415B25"/>
    <w:rsid w:val="004214EB"/>
    <w:rsid w:val="00421D07"/>
    <w:rsid w:val="00421E0B"/>
    <w:rsid w:val="0042283C"/>
    <w:rsid w:val="00422D78"/>
    <w:rsid w:val="004256CB"/>
    <w:rsid w:val="00427A67"/>
    <w:rsid w:val="00432C18"/>
    <w:rsid w:val="00434C71"/>
    <w:rsid w:val="00435D18"/>
    <w:rsid w:val="004361CF"/>
    <w:rsid w:val="004369AE"/>
    <w:rsid w:val="00436ABC"/>
    <w:rsid w:val="00436E2B"/>
    <w:rsid w:val="00437639"/>
    <w:rsid w:val="004415AA"/>
    <w:rsid w:val="00444DE1"/>
    <w:rsid w:val="00445931"/>
    <w:rsid w:val="004464AB"/>
    <w:rsid w:val="00450C8F"/>
    <w:rsid w:val="00450DB1"/>
    <w:rsid w:val="00452DC3"/>
    <w:rsid w:val="00452EF2"/>
    <w:rsid w:val="00453DC6"/>
    <w:rsid w:val="004547A2"/>
    <w:rsid w:val="004550EF"/>
    <w:rsid w:val="0045533A"/>
    <w:rsid w:val="00456544"/>
    <w:rsid w:val="00460EE8"/>
    <w:rsid w:val="00461A8D"/>
    <w:rsid w:val="00461E5E"/>
    <w:rsid w:val="00466832"/>
    <w:rsid w:val="0047575A"/>
    <w:rsid w:val="00476045"/>
    <w:rsid w:val="00480A81"/>
    <w:rsid w:val="004824C2"/>
    <w:rsid w:val="00486322"/>
    <w:rsid w:val="0049043D"/>
    <w:rsid w:val="0049098E"/>
    <w:rsid w:val="00491977"/>
    <w:rsid w:val="004944E1"/>
    <w:rsid w:val="004A1380"/>
    <w:rsid w:val="004A2BC6"/>
    <w:rsid w:val="004A4C7A"/>
    <w:rsid w:val="004A5035"/>
    <w:rsid w:val="004A525B"/>
    <w:rsid w:val="004B1E67"/>
    <w:rsid w:val="004B2589"/>
    <w:rsid w:val="004B3E90"/>
    <w:rsid w:val="004B4D9A"/>
    <w:rsid w:val="004B6136"/>
    <w:rsid w:val="004B6AF3"/>
    <w:rsid w:val="004C1863"/>
    <w:rsid w:val="004C1C19"/>
    <w:rsid w:val="004C28DF"/>
    <w:rsid w:val="004C2B90"/>
    <w:rsid w:val="004C41AD"/>
    <w:rsid w:val="004C45A4"/>
    <w:rsid w:val="004C5041"/>
    <w:rsid w:val="004C5480"/>
    <w:rsid w:val="004C5A30"/>
    <w:rsid w:val="004C6280"/>
    <w:rsid w:val="004D0A19"/>
    <w:rsid w:val="004E2016"/>
    <w:rsid w:val="004E2400"/>
    <w:rsid w:val="004E2F19"/>
    <w:rsid w:val="004E400A"/>
    <w:rsid w:val="004E487F"/>
    <w:rsid w:val="004E5FDA"/>
    <w:rsid w:val="004E6DEB"/>
    <w:rsid w:val="004E72D2"/>
    <w:rsid w:val="004F01FD"/>
    <w:rsid w:val="004F0968"/>
    <w:rsid w:val="004F112C"/>
    <w:rsid w:val="004F135F"/>
    <w:rsid w:val="004F6112"/>
    <w:rsid w:val="00501627"/>
    <w:rsid w:val="00502701"/>
    <w:rsid w:val="00503A0D"/>
    <w:rsid w:val="00506A8F"/>
    <w:rsid w:val="00507770"/>
    <w:rsid w:val="00514347"/>
    <w:rsid w:val="00515DDA"/>
    <w:rsid w:val="00517036"/>
    <w:rsid w:val="005212F6"/>
    <w:rsid w:val="0052150A"/>
    <w:rsid w:val="00521B70"/>
    <w:rsid w:val="00524E8A"/>
    <w:rsid w:val="00525955"/>
    <w:rsid w:val="00527ECE"/>
    <w:rsid w:val="005315AA"/>
    <w:rsid w:val="00531749"/>
    <w:rsid w:val="00532753"/>
    <w:rsid w:val="005331D8"/>
    <w:rsid w:val="0053381A"/>
    <w:rsid w:val="00533907"/>
    <w:rsid w:val="00533F26"/>
    <w:rsid w:val="0053503F"/>
    <w:rsid w:val="005416FB"/>
    <w:rsid w:val="0054291B"/>
    <w:rsid w:val="00543078"/>
    <w:rsid w:val="00544CF8"/>
    <w:rsid w:val="0054620E"/>
    <w:rsid w:val="005468D0"/>
    <w:rsid w:val="0054757B"/>
    <w:rsid w:val="00547EF4"/>
    <w:rsid w:val="00550B5A"/>
    <w:rsid w:val="00550BC8"/>
    <w:rsid w:val="0055170C"/>
    <w:rsid w:val="005534B8"/>
    <w:rsid w:val="005545DF"/>
    <w:rsid w:val="00555975"/>
    <w:rsid w:val="00555BD5"/>
    <w:rsid w:val="00561AF6"/>
    <w:rsid w:val="00562E0F"/>
    <w:rsid w:val="00563180"/>
    <w:rsid w:val="005633FC"/>
    <w:rsid w:val="0056393F"/>
    <w:rsid w:val="005648C3"/>
    <w:rsid w:val="00566ABC"/>
    <w:rsid w:val="00567E1E"/>
    <w:rsid w:val="00570A1C"/>
    <w:rsid w:val="00571295"/>
    <w:rsid w:val="00571431"/>
    <w:rsid w:val="005733FA"/>
    <w:rsid w:val="005752E3"/>
    <w:rsid w:val="005776EF"/>
    <w:rsid w:val="00577CD9"/>
    <w:rsid w:val="00577D61"/>
    <w:rsid w:val="00581135"/>
    <w:rsid w:val="00582339"/>
    <w:rsid w:val="00583B59"/>
    <w:rsid w:val="005845D1"/>
    <w:rsid w:val="00585A94"/>
    <w:rsid w:val="005870DD"/>
    <w:rsid w:val="00587933"/>
    <w:rsid w:val="00590406"/>
    <w:rsid w:val="0059308A"/>
    <w:rsid w:val="00595340"/>
    <w:rsid w:val="0059774C"/>
    <w:rsid w:val="00597DD3"/>
    <w:rsid w:val="005A22E4"/>
    <w:rsid w:val="005A2AA1"/>
    <w:rsid w:val="005A3BA8"/>
    <w:rsid w:val="005B0D23"/>
    <w:rsid w:val="005B0D97"/>
    <w:rsid w:val="005B12C3"/>
    <w:rsid w:val="005B24C0"/>
    <w:rsid w:val="005B3815"/>
    <w:rsid w:val="005B460C"/>
    <w:rsid w:val="005B5416"/>
    <w:rsid w:val="005B59FF"/>
    <w:rsid w:val="005B600E"/>
    <w:rsid w:val="005B6768"/>
    <w:rsid w:val="005B67C3"/>
    <w:rsid w:val="005C0185"/>
    <w:rsid w:val="005C187E"/>
    <w:rsid w:val="005C4AD6"/>
    <w:rsid w:val="005C4BDB"/>
    <w:rsid w:val="005C7AC1"/>
    <w:rsid w:val="005D4171"/>
    <w:rsid w:val="005D4224"/>
    <w:rsid w:val="005D64A8"/>
    <w:rsid w:val="005D712A"/>
    <w:rsid w:val="005E0695"/>
    <w:rsid w:val="005E1EE6"/>
    <w:rsid w:val="005E2977"/>
    <w:rsid w:val="005E2B23"/>
    <w:rsid w:val="005E3451"/>
    <w:rsid w:val="005E3ADB"/>
    <w:rsid w:val="005E4EA8"/>
    <w:rsid w:val="005E58E7"/>
    <w:rsid w:val="005E7FB2"/>
    <w:rsid w:val="005F04E6"/>
    <w:rsid w:val="005F0D49"/>
    <w:rsid w:val="005F2804"/>
    <w:rsid w:val="005F2C8D"/>
    <w:rsid w:val="005F2CA6"/>
    <w:rsid w:val="005F2CE4"/>
    <w:rsid w:val="005F311A"/>
    <w:rsid w:val="005F4210"/>
    <w:rsid w:val="005F72C9"/>
    <w:rsid w:val="005F7E70"/>
    <w:rsid w:val="00600483"/>
    <w:rsid w:val="00601B84"/>
    <w:rsid w:val="00601C2E"/>
    <w:rsid w:val="0060239B"/>
    <w:rsid w:val="00602B8B"/>
    <w:rsid w:val="00604E84"/>
    <w:rsid w:val="00610934"/>
    <w:rsid w:val="006127B2"/>
    <w:rsid w:val="00614B0E"/>
    <w:rsid w:val="00617657"/>
    <w:rsid w:val="00622179"/>
    <w:rsid w:val="006226A0"/>
    <w:rsid w:val="006255F6"/>
    <w:rsid w:val="00627E97"/>
    <w:rsid w:val="006308E3"/>
    <w:rsid w:val="006318CF"/>
    <w:rsid w:val="00632FC7"/>
    <w:rsid w:val="00635D37"/>
    <w:rsid w:val="00636423"/>
    <w:rsid w:val="0063791A"/>
    <w:rsid w:val="00643B99"/>
    <w:rsid w:val="0064445B"/>
    <w:rsid w:val="0064767E"/>
    <w:rsid w:val="00647A00"/>
    <w:rsid w:val="006503FD"/>
    <w:rsid w:val="006504F6"/>
    <w:rsid w:val="00652ABA"/>
    <w:rsid w:val="00654A21"/>
    <w:rsid w:val="00655A2A"/>
    <w:rsid w:val="0065603C"/>
    <w:rsid w:val="00662681"/>
    <w:rsid w:val="006635FC"/>
    <w:rsid w:val="006641F8"/>
    <w:rsid w:val="006648FB"/>
    <w:rsid w:val="006677B2"/>
    <w:rsid w:val="00667DA3"/>
    <w:rsid w:val="00670B85"/>
    <w:rsid w:val="00671343"/>
    <w:rsid w:val="00673273"/>
    <w:rsid w:val="00673C20"/>
    <w:rsid w:val="00674352"/>
    <w:rsid w:val="00674932"/>
    <w:rsid w:val="00674F84"/>
    <w:rsid w:val="006775A9"/>
    <w:rsid w:val="00680922"/>
    <w:rsid w:val="0068457A"/>
    <w:rsid w:val="00684AC8"/>
    <w:rsid w:val="00684CB9"/>
    <w:rsid w:val="00685232"/>
    <w:rsid w:val="0068596D"/>
    <w:rsid w:val="0069186F"/>
    <w:rsid w:val="00691D18"/>
    <w:rsid w:val="00692B79"/>
    <w:rsid w:val="006932A4"/>
    <w:rsid w:val="00693891"/>
    <w:rsid w:val="006944AF"/>
    <w:rsid w:val="00695905"/>
    <w:rsid w:val="00696225"/>
    <w:rsid w:val="006975E2"/>
    <w:rsid w:val="006A0131"/>
    <w:rsid w:val="006A1252"/>
    <w:rsid w:val="006A4B67"/>
    <w:rsid w:val="006A4BEC"/>
    <w:rsid w:val="006A783E"/>
    <w:rsid w:val="006B02CC"/>
    <w:rsid w:val="006B1929"/>
    <w:rsid w:val="006B2494"/>
    <w:rsid w:val="006B4025"/>
    <w:rsid w:val="006C2C0C"/>
    <w:rsid w:val="006C6626"/>
    <w:rsid w:val="006D0D99"/>
    <w:rsid w:val="006D2272"/>
    <w:rsid w:val="006D46C3"/>
    <w:rsid w:val="006D541D"/>
    <w:rsid w:val="006E12E9"/>
    <w:rsid w:val="006E1C13"/>
    <w:rsid w:val="006E2B0D"/>
    <w:rsid w:val="006E2BDD"/>
    <w:rsid w:val="006E582C"/>
    <w:rsid w:val="006E5BF1"/>
    <w:rsid w:val="006E70FF"/>
    <w:rsid w:val="006F1FF2"/>
    <w:rsid w:val="006F24D6"/>
    <w:rsid w:val="006F25CD"/>
    <w:rsid w:val="006F2774"/>
    <w:rsid w:val="006F2CF4"/>
    <w:rsid w:val="006F2ECA"/>
    <w:rsid w:val="006F3437"/>
    <w:rsid w:val="006F3AB4"/>
    <w:rsid w:val="006F3DE3"/>
    <w:rsid w:val="006F4F43"/>
    <w:rsid w:val="006F6D12"/>
    <w:rsid w:val="006F7707"/>
    <w:rsid w:val="006F7C72"/>
    <w:rsid w:val="007039C4"/>
    <w:rsid w:val="007044A2"/>
    <w:rsid w:val="007053C5"/>
    <w:rsid w:val="007059C0"/>
    <w:rsid w:val="0070795E"/>
    <w:rsid w:val="00710D72"/>
    <w:rsid w:val="00710D8B"/>
    <w:rsid w:val="00710E58"/>
    <w:rsid w:val="00713BDF"/>
    <w:rsid w:val="00716573"/>
    <w:rsid w:val="007224C6"/>
    <w:rsid w:val="00727ECC"/>
    <w:rsid w:val="007305F9"/>
    <w:rsid w:val="00730EDA"/>
    <w:rsid w:val="00732A8F"/>
    <w:rsid w:val="00733377"/>
    <w:rsid w:val="007334CD"/>
    <w:rsid w:val="00733FAD"/>
    <w:rsid w:val="007340A0"/>
    <w:rsid w:val="00736F59"/>
    <w:rsid w:val="00741678"/>
    <w:rsid w:val="0074171B"/>
    <w:rsid w:val="0074397B"/>
    <w:rsid w:val="00743A19"/>
    <w:rsid w:val="00746720"/>
    <w:rsid w:val="007468CA"/>
    <w:rsid w:val="00746CF2"/>
    <w:rsid w:val="00750383"/>
    <w:rsid w:val="0075127A"/>
    <w:rsid w:val="007562FD"/>
    <w:rsid w:val="00757612"/>
    <w:rsid w:val="00760E0F"/>
    <w:rsid w:val="00762FA1"/>
    <w:rsid w:val="007675A9"/>
    <w:rsid w:val="00772B57"/>
    <w:rsid w:val="00774DD2"/>
    <w:rsid w:val="00777659"/>
    <w:rsid w:val="00777D40"/>
    <w:rsid w:val="00780C7D"/>
    <w:rsid w:val="00781CE7"/>
    <w:rsid w:val="00782EEA"/>
    <w:rsid w:val="007842FC"/>
    <w:rsid w:val="00785CE5"/>
    <w:rsid w:val="00786E17"/>
    <w:rsid w:val="00787FD4"/>
    <w:rsid w:val="007920D9"/>
    <w:rsid w:val="00793151"/>
    <w:rsid w:val="007931BF"/>
    <w:rsid w:val="00794CA8"/>
    <w:rsid w:val="00795A04"/>
    <w:rsid w:val="007A08BA"/>
    <w:rsid w:val="007A0EAC"/>
    <w:rsid w:val="007A2321"/>
    <w:rsid w:val="007A4D83"/>
    <w:rsid w:val="007A5AD3"/>
    <w:rsid w:val="007B08FA"/>
    <w:rsid w:val="007B0AE0"/>
    <w:rsid w:val="007B3ED2"/>
    <w:rsid w:val="007B6B55"/>
    <w:rsid w:val="007B78D1"/>
    <w:rsid w:val="007C0E8C"/>
    <w:rsid w:val="007C1A14"/>
    <w:rsid w:val="007C3E4F"/>
    <w:rsid w:val="007C5544"/>
    <w:rsid w:val="007C6AD0"/>
    <w:rsid w:val="007C74D2"/>
    <w:rsid w:val="007C7710"/>
    <w:rsid w:val="007C7AA0"/>
    <w:rsid w:val="007D0B90"/>
    <w:rsid w:val="007D2857"/>
    <w:rsid w:val="007D2C40"/>
    <w:rsid w:val="007D3234"/>
    <w:rsid w:val="007D39B4"/>
    <w:rsid w:val="007D3CD4"/>
    <w:rsid w:val="007D4AAD"/>
    <w:rsid w:val="007D4B00"/>
    <w:rsid w:val="007D4F46"/>
    <w:rsid w:val="007D6933"/>
    <w:rsid w:val="007D6A2B"/>
    <w:rsid w:val="007E118A"/>
    <w:rsid w:val="007E5019"/>
    <w:rsid w:val="007E68E4"/>
    <w:rsid w:val="007E6C26"/>
    <w:rsid w:val="007E78C5"/>
    <w:rsid w:val="007F0B4E"/>
    <w:rsid w:val="007F3C19"/>
    <w:rsid w:val="007F3E09"/>
    <w:rsid w:val="007F4E62"/>
    <w:rsid w:val="007F55DE"/>
    <w:rsid w:val="007F5874"/>
    <w:rsid w:val="007F59AC"/>
    <w:rsid w:val="007F6EA0"/>
    <w:rsid w:val="00803896"/>
    <w:rsid w:val="00803FD9"/>
    <w:rsid w:val="008062EF"/>
    <w:rsid w:val="00811383"/>
    <w:rsid w:val="00811CBE"/>
    <w:rsid w:val="008126F5"/>
    <w:rsid w:val="008145BE"/>
    <w:rsid w:val="008147A6"/>
    <w:rsid w:val="00814A94"/>
    <w:rsid w:val="00815131"/>
    <w:rsid w:val="00816748"/>
    <w:rsid w:val="00820583"/>
    <w:rsid w:val="00821034"/>
    <w:rsid w:val="008328D9"/>
    <w:rsid w:val="00832C92"/>
    <w:rsid w:val="008341FE"/>
    <w:rsid w:val="008361FC"/>
    <w:rsid w:val="00836F83"/>
    <w:rsid w:val="008404E2"/>
    <w:rsid w:val="00840C18"/>
    <w:rsid w:val="008413A6"/>
    <w:rsid w:val="008457E6"/>
    <w:rsid w:val="00850081"/>
    <w:rsid w:val="0085054F"/>
    <w:rsid w:val="00850955"/>
    <w:rsid w:val="008579B7"/>
    <w:rsid w:val="00860607"/>
    <w:rsid w:val="00860BBD"/>
    <w:rsid w:val="0086300E"/>
    <w:rsid w:val="00863BFA"/>
    <w:rsid w:val="00863D74"/>
    <w:rsid w:val="00864B8F"/>
    <w:rsid w:val="00864ECE"/>
    <w:rsid w:val="0086590A"/>
    <w:rsid w:val="00866297"/>
    <w:rsid w:val="00866A7F"/>
    <w:rsid w:val="00867382"/>
    <w:rsid w:val="00867767"/>
    <w:rsid w:val="00870038"/>
    <w:rsid w:val="008708F1"/>
    <w:rsid w:val="00871C8B"/>
    <w:rsid w:val="00873ECD"/>
    <w:rsid w:val="00874E7C"/>
    <w:rsid w:val="00884BC7"/>
    <w:rsid w:val="008857BF"/>
    <w:rsid w:val="00887C4D"/>
    <w:rsid w:val="0089294D"/>
    <w:rsid w:val="008951F1"/>
    <w:rsid w:val="00895A9E"/>
    <w:rsid w:val="008A0269"/>
    <w:rsid w:val="008A0557"/>
    <w:rsid w:val="008A2984"/>
    <w:rsid w:val="008A2BF4"/>
    <w:rsid w:val="008A315A"/>
    <w:rsid w:val="008A3F00"/>
    <w:rsid w:val="008A42BF"/>
    <w:rsid w:val="008A47B4"/>
    <w:rsid w:val="008A5E99"/>
    <w:rsid w:val="008A6115"/>
    <w:rsid w:val="008A626F"/>
    <w:rsid w:val="008A655F"/>
    <w:rsid w:val="008A6AC4"/>
    <w:rsid w:val="008B0061"/>
    <w:rsid w:val="008B03C3"/>
    <w:rsid w:val="008B1316"/>
    <w:rsid w:val="008B49FB"/>
    <w:rsid w:val="008B5F5B"/>
    <w:rsid w:val="008C1112"/>
    <w:rsid w:val="008C1402"/>
    <w:rsid w:val="008C18CC"/>
    <w:rsid w:val="008C4D6C"/>
    <w:rsid w:val="008C5B65"/>
    <w:rsid w:val="008C693C"/>
    <w:rsid w:val="008D0226"/>
    <w:rsid w:val="008D06FB"/>
    <w:rsid w:val="008D0807"/>
    <w:rsid w:val="008D11EE"/>
    <w:rsid w:val="008D1C25"/>
    <w:rsid w:val="008D2896"/>
    <w:rsid w:val="008D3D16"/>
    <w:rsid w:val="008D411A"/>
    <w:rsid w:val="008D4730"/>
    <w:rsid w:val="008D4B31"/>
    <w:rsid w:val="008D557D"/>
    <w:rsid w:val="008D5A08"/>
    <w:rsid w:val="008D683C"/>
    <w:rsid w:val="008D744C"/>
    <w:rsid w:val="008D77AD"/>
    <w:rsid w:val="008D7CC5"/>
    <w:rsid w:val="008E0B7B"/>
    <w:rsid w:val="008E0C4A"/>
    <w:rsid w:val="008E44A5"/>
    <w:rsid w:val="008E564E"/>
    <w:rsid w:val="008E724B"/>
    <w:rsid w:val="008F0B85"/>
    <w:rsid w:val="008F1024"/>
    <w:rsid w:val="008F11C6"/>
    <w:rsid w:val="008F2CE1"/>
    <w:rsid w:val="008F31EB"/>
    <w:rsid w:val="008F43C1"/>
    <w:rsid w:val="008F5322"/>
    <w:rsid w:val="008F548E"/>
    <w:rsid w:val="0090015D"/>
    <w:rsid w:val="009010CB"/>
    <w:rsid w:val="00902A2A"/>
    <w:rsid w:val="009037BF"/>
    <w:rsid w:val="0090466F"/>
    <w:rsid w:val="00904967"/>
    <w:rsid w:val="00905DEE"/>
    <w:rsid w:val="0090690D"/>
    <w:rsid w:val="00906C60"/>
    <w:rsid w:val="0091026F"/>
    <w:rsid w:val="00910FB4"/>
    <w:rsid w:val="00911640"/>
    <w:rsid w:val="00911647"/>
    <w:rsid w:val="00916BC3"/>
    <w:rsid w:val="00917B76"/>
    <w:rsid w:val="00920815"/>
    <w:rsid w:val="00923DA6"/>
    <w:rsid w:val="009244C5"/>
    <w:rsid w:val="00924601"/>
    <w:rsid w:val="00924EE5"/>
    <w:rsid w:val="00926EAF"/>
    <w:rsid w:val="0093043F"/>
    <w:rsid w:val="00930B94"/>
    <w:rsid w:val="00932498"/>
    <w:rsid w:val="009331B2"/>
    <w:rsid w:val="009333D5"/>
    <w:rsid w:val="00934530"/>
    <w:rsid w:val="00934666"/>
    <w:rsid w:val="009350E7"/>
    <w:rsid w:val="00935548"/>
    <w:rsid w:val="00937E31"/>
    <w:rsid w:val="00947DA3"/>
    <w:rsid w:val="00954CEA"/>
    <w:rsid w:val="00962C10"/>
    <w:rsid w:val="00964854"/>
    <w:rsid w:val="00964D5C"/>
    <w:rsid w:val="009651A1"/>
    <w:rsid w:val="009667EE"/>
    <w:rsid w:val="00967377"/>
    <w:rsid w:val="00967D43"/>
    <w:rsid w:val="00970006"/>
    <w:rsid w:val="00970D45"/>
    <w:rsid w:val="009736B4"/>
    <w:rsid w:val="00973732"/>
    <w:rsid w:val="00974177"/>
    <w:rsid w:val="00974AFF"/>
    <w:rsid w:val="0097582C"/>
    <w:rsid w:val="00975EEB"/>
    <w:rsid w:val="009765A7"/>
    <w:rsid w:val="009774B6"/>
    <w:rsid w:val="00980822"/>
    <w:rsid w:val="009833ED"/>
    <w:rsid w:val="009851BB"/>
    <w:rsid w:val="00986394"/>
    <w:rsid w:val="009870A0"/>
    <w:rsid w:val="0099095A"/>
    <w:rsid w:val="009932B0"/>
    <w:rsid w:val="0099399A"/>
    <w:rsid w:val="00996227"/>
    <w:rsid w:val="009973F0"/>
    <w:rsid w:val="00997944"/>
    <w:rsid w:val="00997EB1"/>
    <w:rsid w:val="009A18E0"/>
    <w:rsid w:val="009A24F8"/>
    <w:rsid w:val="009A261E"/>
    <w:rsid w:val="009A2B57"/>
    <w:rsid w:val="009A3955"/>
    <w:rsid w:val="009A4014"/>
    <w:rsid w:val="009A4AA1"/>
    <w:rsid w:val="009A5256"/>
    <w:rsid w:val="009A654E"/>
    <w:rsid w:val="009A7175"/>
    <w:rsid w:val="009B041E"/>
    <w:rsid w:val="009B2A2D"/>
    <w:rsid w:val="009B2AAC"/>
    <w:rsid w:val="009B4081"/>
    <w:rsid w:val="009B4BEB"/>
    <w:rsid w:val="009B6422"/>
    <w:rsid w:val="009C1B11"/>
    <w:rsid w:val="009C1D14"/>
    <w:rsid w:val="009C2CAA"/>
    <w:rsid w:val="009C2DB8"/>
    <w:rsid w:val="009C307A"/>
    <w:rsid w:val="009C506D"/>
    <w:rsid w:val="009C7A5B"/>
    <w:rsid w:val="009D20B1"/>
    <w:rsid w:val="009D358F"/>
    <w:rsid w:val="009D400D"/>
    <w:rsid w:val="009D4980"/>
    <w:rsid w:val="009D5A04"/>
    <w:rsid w:val="009D5ABC"/>
    <w:rsid w:val="009D6008"/>
    <w:rsid w:val="009D706B"/>
    <w:rsid w:val="009D7E9A"/>
    <w:rsid w:val="009E0681"/>
    <w:rsid w:val="009E24A3"/>
    <w:rsid w:val="009E3769"/>
    <w:rsid w:val="009E7D15"/>
    <w:rsid w:val="009F16CC"/>
    <w:rsid w:val="009F171C"/>
    <w:rsid w:val="009F216C"/>
    <w:rsid w:val="009F2208"/>
    <w:rsid w:val="009F3442"/>
    <w:rsid w:val="009F4A2E"/>
    <w:rsid w:val="009F6295"/>
    <w:rsid w:val="009F65F7"/>
    <w:rsid w:val="009F7233"/>
    <w:rsid w:val="009F76B5"/>
    <w:rsid w:val="00A00DD4"/>
    <w:rsid w:val="00A0178D"/>
    <w:rsid w:val="00A017E2"/>
    <w:rsid w:val="00A04F25"/>
    <w:rsid w:val="00A05332"/>
    <w:rsid w:val="00A07FB2"/>
    <w:rsid w:val="00A10B96"/>
    <w:rsid w:val="00A15E4C"/>
    <w:rsid w:val="00A207D5"/>
    <w:rsid w:val="00A27728"/>
    <w:rsid w:val="00A30503"/>
    <w:rsid w:val="00A3143F"/>
    <w:rsid w:val="00A31579"/>
    <w:rsid w:val="00A31FE0"/>
    <w:rsid w:val="00A3200D"/>
    <w:rsid w:val="00A3253E"/>
    <w:rsid w:val="00A32DC1"/>
    <w:rsid w:val="00A3694B"/>
    <w:rsid w:val="00A41922"/>
    <w:rsid w:val="00A43D5E"/>
    <w:rsid w:val="00A464CF"/>
    <w:rsid w:val="00A52E0D"/>
    <w:rsid w:val="00A54841"/>
    <w:rsid w:val="00A56F31"/>
    <w:rsid w:val="00A571C4"/>
    <w:rsid w:val="00A57D98"/>
    <w:rsid w:val="00A604F3"/>
    <w:rsid w:val="00A60E43"/>
    <w:rsid w:val="00A617D4"/>
    <w:rsid w:val="00A617E6"/>
    <w:rsid w:val="00A62142"/>
    <w:rsid w:val="00A62245"/>
    <w:rsid w:val="00A62F85"/>
    <w:rsid w:val="00A64810"/>
    <w:rsid w:val="00A65848"/>
    <w:rsid w:val="00A67314"/>
    <w:rsid w:val="00A70429"/>
    <w:rsid w:val="00A7326D"/>
    <w:rsid w:val="00A744A6"/>
    <w:rsid w:val="00A75E40"/>
    <w:rsid w:val="00A76D1A"/>
    <w:rsid w:val="00A80A7E"/>
    <w:rsid w:val="00A80D2D"/>
    <w:rsid w:val="00A812F1"/>
    <w:rsid w:val="00A83CA3"/>
    <w:rsid w:val="00A83FC7"/>
    <w:rsid w:val="00A84B0B"/>
    <w:rsid w:val="00A84D75"/>
    <w:rsid w:val="00A84E6E"/>
    <w:rsid w:val="00A87F10"/>
    <w:rsid w:val="00A906F3"/>
    <w:rsid w:val="00A93148"/>
    <w:rsid w:val="00A95746"/>
    <w:rsid w:val="00A96382"/>
    <w:rsid w:val="00A96B0E"/>
    <w:rsid w:val="00AA0231"/>
    <w:rsid w:val="00AA3D79"/>
    <w:rsid w:val="00AA57E7"/>
    <w:rsid w:val="00AA608D"/>
    <w:rsid w:val="00AA6840"/>
    <w:rsid w:val="00AA761F"/>
    <w:rsid w:val="00AB119D"/>
    <w:rsid w:val="00AB18C1"/>
    <w:rsid w:val="00AB1C39"/>
    <w:rsid w:val="00AB26B4"/>
    <w:rsid w:val="00AB33BF"/>
    <w:rsid w:val="00AB480C"/>
    <w:rsid w:val="00AB5357"/>
    <w:rsid w:val="00AB55C4"/>
    <w:rsid w:val="00AB7A23"/>
    <w:rsid w:val="00AB7A96"/>
    <w:rsid w:val="00AC4C69"/>
    <w:rsid w:val="00AC51A6"/>
    <w:rsid w:val="00AC78C3"/>
    <w:rsid w:val="00AD0934"/>
    <w:rsid w:val="00AD157B"/>
    <w:rsid w:val="00AD2068"/>
    <w:rsid w:val="00AD5E1B"/>
    <w:rsid w:val="00AD7D58"/>
    <w:rsid w:val="00AE1000"/>
    <w:rsid w:val="00AE214A"/>
    <w:rsid w:val="00AE3549"/>
    <w:rsid w:val="00AE451E"/>
    <w:rsid w:val="00AE4F21"/>
    <w:rsid w:val="00AE5297"/>
    <w:rsid w:val="00AE5587"/>
    <w:rsid w:val="00AE7578"/>
    <w:rsid w:val="00AF0133"/>
    <w:rsid w:val="00AF06B8"/>
    <w:rsid w:val="00AF0B04"/>
    <w:rsid w:val="00AF3002"/>
    <w:rsid w:val="00AF55BB"/>
    <w:rsid w:val="00AF5A86"/>
    <w:rsid w:val="00AF7D7D"/>
    <w:rsid w:val="00B005B1"/>
    <w:rsid w:val="00B00A87"/>
    <w:rsid w:val="00B01336"/>
    <w:rsid w:val="00B02A54"/>
    <w:rsid w:val="00B04E44"/>
    <w:rsid w:val="00B068DA"/>
    <w:rsid w:val="00B07CB0"/>
    <w:rsid w:val="00B129C3"/>
    <w:rsid w:val="00B137AE"/>
    <w:rsid w:val="00B1409A"/>
    <w:rsid w:val="00B14341"/>
    <w:rsid w:val="00B16212"/>
    <w:rsid w:val="00B166C2"/>
    <w:rsid w:val="00B16B52"/>
    <w:rsid w:val="00B25341"/>
    <w:rsid w:val="00B27A8F"/>
    <w:rsid w:val="00B32319"/>
    <w:rsid w:val="00B344CB"/>
    <w:rsid w:val="00B35229"/>
    <w:rsid w:val="00B3636D"/>
    <w:rsid w:val="00B36ACC"/>
    <w:rsid w:val="00B36E67"/>
    <w:rsid w:val="00B4042C"/>
    <w:rsid w:val="00B410AF"/>
    <w:rsid w:val="00B4193A"/>
    <w:rsid w:val="00B42B49"/>
    <w:rsid w:val="00B47760"/>
    <w:rsid w:val="00B5340E"/>
    <w:rsid w:val="00B53598"/>
    <w:rsid w:val="00B538AD"/>
    <w:rsid w:val="00B57BE8"/>
    <w:rsid w:val="00B61CCC"/>
    <w:rsid w:val="00B626FA"/>
    <w:rsid w:val="00B62D6A"/>
    <w:rsid w:val="00B6368F"/>
    <w:rsid w:val="00B65677"/>
    <w:rsid w:val="00B669C7"/>
    <w:rsid w:val="00B66F9D"/>
    <w:rsid w:val="00B67A43"/>
    <w:rsid w:val="00B716B6"/>
    <w:rsid w:val="00B7751F"/>
    <w:rsid w:val="00B77D15"/>
    <w:rsid w:val="00B80529"/>
    <w:rsid w:val="00B80545"/>
    <w:rsid w:val="00B80582"/>
    <w:rsid w:val="00B812AF"/>
    <w:rsid w:val="00B82274"/>
    <w:rsid w:val="00B8255A"/>
    <w:rsid w:val="00B830E2"/>
    <w:rsid w:val="00B8497B"/>
    <w:rsid w:val="00B9116A"/>
    <w:rsid w:val="00B91525"/>
    <w:rsid w:val="00B92251"/>
    <w:rsid w:val="00B92EC1"/>
    <w:rsid w:val="00B93984"/>
    <w:rsid w:val="00B945FF"/>
    <w:rsid w:val="00B973E6"/>
    <w:rsid w:val="00BA027C"/>
    <w:rsid w:val="00BA072C"/>
    <w:rsid w:val="00BA0B40"/>
    <w:rsid w:val="00BA13DE"/>
    <w:rsid w:val="00BA485B"/>
    <w:rsid w:val="00BA5922"/>
    <w:rsid w:val="00BB08B2"/>
    <w:rsid w:val="00BB64C1"/>
    <w:rsid w:val="00BC18E2"/>
    <w:rsid w:val="00BC39A1"/>
    <w:rsid w:val="00BC4593"/>
    <w:rsid w:val="00BC47AD"/>
    <w:rsid w:val="00BC4F29"/>
    <w:rsid w:val="00BC4F5D"/>
    <w:rsid w:val="00BC608D"/>
    <w:rsid w:val="00BC7814"/>
    <w:rsid w:val="00BD305C"/>
    <w:rsid w:val="00BD5439"/>
    <w:rsid w:val="00BD5584"/>
    <w:rsid w:val="00BD643A"/>
    <w:rsid w:val="00BD75DE"/>
    <w:rsid w:val="00BD7AB6"/>
    <w:rsid w:val="00BD7F3F"/>
    <w:rsid w:val="00BE13E4"/>
    <w:rsid w:val="00BE1772"/>
    <w:rsid w:val="00BE19FE"/>
    <w:rsid w:val="00BE1EE9"/>
    <w:rsid w:val="00BE2B98"/>
    <w:rsid w:val="00BF0D0A"/>
    <w:rsid w:val="00BF1750"/>
    <w:rsid w:val="00BF20F8"/>
    <w:rsid w:val="00BF553E"/>
    <w:rsid w:val="00BF6232"/>
    <w:rsid w:val="00BF62DA"/>
    <w:rsid w:val="00C00446"/>
    <w:rsid w:val="00C016F5"/>
    <w:rsid w:val="00C02E8B"/>
    <w:rsid w:val="00C03118"/>
    <w:rsid w:val="00C03EAB"/>
    <w:rsid w:val="00C04DB3"/>
    <w:rsid w:val="00C0656F"/>
    <w:rsid w:val="00C14529"/>
    <w:rsid w:val="00C14C65"/>
    <w:rsid w:val="00C15B59"/>
    <w:rsid w:val="00C17566"/>
    <w:rsid w:val="00C20B2E"/>
    <w:rsid w:val="00C20F0D"/>
    <w:rsid w:val="00C2162E"/>
    <w:rsid w:val="00C21AC9"/>
    <w:rsid w:val="00C2418A"/>
    <w:rsid w:val="00C24311"/>
    <w:rsid w:val="00C25ECE"/>
    <w:rsid w:val="00C27497"/>
    <w:rsid w:val="00C27CA7"/>
    <w:rsid w:val="00C3465F"/>
    <w:rsid w:val="00C34B12"/>
    <w:rsid w:val="00C3510B"/>
    <w:rsid w:val="00C360F8"/>
    <w:rsid w:val="00C40420"/>
    <w:rsid w:val="00C42590"/>
    <w:rsid w:val="00C425CD"/>
    <w:rsid w:val="00C42E0B"/>
    <w:rsid w:val="00C43E2B"/>
    <w:rsid w:val="00C44534"/>
    <w:rsid w:val="00C45521"/>
    <w:rsid w:val="00C46F94"/>
    <w:rsid w:val="00C475B0"/>
    <w:rsid w:val="00C47721"/>
    <w:rsid w:val="00C47CD4"/>
    <w:rsid w:val="00C50547"/>
    <w:rsid w:val="00C50D1B"/>
    <w:rsid w:val="00C54897"/>
    <w:rsid w:val="00C54995"/>
    <w:rsid w:val="00C54B7B"/>
    <w:rsid w:val="00C55A7E"/>
    <w:rsid w:val="00C56684"/>
    <w:rsid w:val="00C57468"/>
    <w:rsid w:val="00C5796D"/>
    <w:rsid w:val="00C57AB1"/>
    <w:rsid w:val="00C57E34"/>
    <w:rsid w:val="00C6117D"/>
    <w:rsid w:val="00C62990"/>
    <w:rsid w:val="00C647EB"/>
    <w:rsid w:val="00C65946"/>
    <w:rsid w:val="00C70243"/>
    <w:rsid w:val="00C71839"/>
    <w:rsid w:val="00C741AF"/>
    <w:rsid w:val="00C7486C"/>
    <w:rsid w:val="00C74BFE"/>
    <w:rsid w:val="00C74D00"/>
    <w:rsid w:val="00C74DAE"/>
    <w:rsid w:val="00C7656E"/>
    <w:rsid w:val="00C778C5"/>
    <w:rsid w:val="00C77EC8"/>
    <w:rsid w:val="00C806EC"/>
    <w:rsid w:val="00C83B70"/>
    <w:rsid w:val="00C8411C"/>
    <w:rsid w:val="00C85073"/>
    <w:rsid w:val="00C863BD"/>
    <w:rsid w:val="00C91214"/>
    <w:rsid w:val="00C93BED"/>
    <w:rsid w:val="00C9437B"/>
    <w:rsid w:val="00C95106"/>
    <w:rsid w:val="00C96003"/>
    <w:rsid w:val="00C96FB0"/>
    <w:rsid w:val="00C97C2F"/>
    <w:rsid w:val="00CA0C8D"/>
    <w:rsid w:val="00CA1ED2"/>
    <w:rsid w:val="00CA1FC2"/>
    <w:rsid w:val="00CA305E"/>
    <w:rsid w:val="00CA342E"/>
    <w:rsid w:val="00CA5453"/>
    <w:rsid w:val="00CA60C1"/>
    <w:rsid w:val="00CB3665"/>
    <w:rsid w:val="00CB4D24"/>
    <w:rsid w:val="00CB53F6"/>
    <w:rsid w:val="00CB67F9"/>
    <w:rsid w:val="00CC219D"/>
    <w:rsid w:val="00CC3390"/>
    <w:rsid w:val="00CC64AA"/>
    <w:rsid w:val="00CD0F68"/>
    <w:rsid w:val="00CE0508"/>
    <w:rsid w:val="00CE25C3"/>
    <w:rsid w:val="00CE4581"/>
    <w:rsid w:val="00CE59E6"/>
    <w:rsid w:val="00CE729F"/>
    <w:rsid w:val="00CE765B"/>
    <w:rsid w:val="00CF0CE9"/>
    <w:rsid w:val="00CF179B"/>
    <w:rsid w:val="00CF479F"/>
    <w:rsid w:val="00CF6F51"/>
    <w:rsid w:val="00D00B06"/>
    <w:rsid w:val="00D00DEC"/>
    <w:rsid w:val="00D00E6A"/>
    <w:rsid w:val="00D01F97"/>
    <w:rsid w:val="00D03C50"/>
    <w:rsid w:val="00D06580"/>
    <w:rsid w:val="00D06999"/>
    <w:rsid w:val="00D069EC"/>
    <w:rsid w:val="00D07833"/>
    <w:rsid w:val="00D10839"/>
    <w:rsid w:val="00D10B90"/>
    <w:rsid w:val="00D11630"/>
    <w:rsid w:val="00D11C7A"/>
    <w:rsid w:val="00D12123"/>
    <w:rsid w:val="00D123F7"/>
    <w:rsid w:val="00D1757B"/>
    <w:rsid w:val="00D201AD"/>
    <w:rsid w:val="00D23360"/>
    <w:rsid w:val="00D26DAF"/>
    <w:rsid w:val="00D301DA"/>
    <w:rsid w:val="00D320BB"/>
    <w:rsid w:val="00D36A10"/>
    <w:rsid w:val="00D37034"/>
    <w:rsid w:val="00D37B67"/>
    <w:rsid w:val="00D43C18"/>
    <w:rsid w:val="00D43EC6"/>
    <w:rsid w:val="00D47A3F"/>
    <w:rsid w:val="00D50245"/>
    <w:rsid w:val="00D5037B"/>
    <w:rsid w:val="00D504B8"/>
    <w:rsid w:val="00D5085F"/>
    <w:rsid w:val="00D50AC8"/>
    <w:rsid w:val="00D50F64"/>
    <w:rsid w:val="00D535AE"/>
    <w:rsid w:val="00D54AEF"/>
    <w:rsid w:val="00D56BA8"/>
    <w:rsid w:val="00D61EF9"/>
    <w:rsid w:val="00D62599"/>
    <w:rsid w:val="00D62DCD"/>
    <w:rsid w:val="00D647E2"/>
    <w:rsid w:val="00D65AA6"/>
    <w:rsid w:val="00D702D8"/>
    <w:rsid w:val="00D70314"/>
    <w:rsid w:val="00D7251E"/>
    <w:rsid w:val="00D75075"/>
    <w:rsid w:val="00D761E8"/>
    <w:rsid w:val="00D80EC6"/>
    <w:rsid w:val="00D82EFB"/>
    <w:rsid w:val="00D8342D"/>
    <w:rsid w:val="00D8631C"/>
    <w:rsid w:val="00D86742"/>
    <w:rsid w:val="00D86B2F"/>
    <w:rsid w:val="00D870E1"/>
    <w:rsid w:val="00D878AC"/>
    <w:rsid w:val="00D909E9"/>
    <w:rsid w:val="00D90B2A"/>
    <w:rsid w:val="00D9394A"/>
    <w:rsid w:val="00DA2F8F"/>
    <w:rsid w:val="00DA33F9"/>
    <w:rsid w:val="00DA3C5B"/>
    <w:rsid w:val="00DA4055"/>
    <w:rsid w:val="00DA502B"/>
    <w:rsid w:val="00DA6208"/>
    <w:rsid w:val="00DB1918"/>
    <w:rsid w:val="00DB4106"/>
    <w:rsid w:val="00DB5B75"/>
    <w:rsid w:val="00DB5FD3"/>
    <w:rsid w:val="00DB6F17"/>
    <w:rsid w:val="00DC29C6"/>
    <w:rsid w:val="00DC4C8E"/>
    <w:rsid w:val="00DE037B"/>
    <w:rsid w:val="00DE0F73"/>
    <w:rsid w:val="00DE2624"/>
    <w:rsid w:val="00DE2817"/>
    <w:rsid w:val="00DE4BEF"/>
    <w:rsid w:val="00DE56D8"/>
    <w:rsid w:val="00DE5AD3"/>
    <w:rsid w:val="00DE756B"/>
    <w:rsid w:val="00DF04DB"/>
    <w:rsid w:val="00DF1017"/>
    <w:rsid w:val="00DF2C20"/>
    <w:rsid w:val="00DF3B14"/>
    <w:rsid w:val="00DF3F39"/>
    <w:rsid w:val="00DF4D4B"/>
    <w:rsid w:val="00E00121"/>
    <w:rsid w:val="00E006F5"/>
    <w:rsid w:val="00E048DC"/>
    <w:rsid w:val="00E07403"/>
    <w:rsid w:val="00E14A56"/>
    <w:rsid w:val="00E16B7B"/>
    <w:rsid w:val="00E16BD3"/>
    <w:rsid w:val="00E17966"/>
    <w:rsid w:val="00E2161D"/>
    <w:rsid w:val="00E24EDC"/>
    <w:rsid w:val="00E25F5C"/>
    <w:rsid w:val="00E3082C"/>
    <w:rsid w:val="00E317B9"/>
    <w:rsid w:val="00E33420"/>
    <w:rsid w:val="00E3558F"/>
    <w:rsid w:val="00E3727E"/>
    <w:rsid w:val="00E37B7C"/>
    <w:rsid w:val="00E42093"/>
    <w:rsid w:val="00E4388E"/>
    <w:rsid w:val="00E442BB"/>
    <w:rsid w:val="00E44426"/>
    <w:rsid w:val="00E44D11"/>
    <w:rsid w:val="00E4601B"/>
    <w:rsid w:val="00E46514"/>
    <w:rsid w:val="00E50A6E"/>
    <w:rsid w:val="00E53B8C"/>
    <w:rsid w:val="00E53CB0"/>
    <w:rsid w:val="00E54E07"/>
    <w:rsid w:val="00E55081"/>
    <w:rsid w:val="00E5567F"/>
    <w:rsid w:val="00E60B30"/>
    <w:rsid w:val="00E61763"/>
    <w:rsid w:val="00E62740"/>
    <w:rsid w:val="00E6491D"/>
    <w:rsid w:val="00E65CF4"/>
    <w:rsid w:val="00E65F27"/>
    <w:rsid w:val="00E67FD3"/>
    <w:rsid w:val="00E70438"/>
    <w:rsid w:val="00E707E0"/>
    <w:rsid w:val="00E70BBE"/>
    <w:rsid w:val="00E730E4"/>
    <w:rsid w:val="00E737A0"/>
    <w:rsid w:val="00E7682A"/>
    <w:rsid w:val="00E823E1"/>
    <w:rsid w:val="00E8374A"/>
    <w:rsid w:val="00E844AA"/>
    <w:rsid w:val="00E848AF"/>
    <w:rsid w:val="00E85C33"/>
    <w:rsid w:val="00E87ED1"/>
    <w:rsid w:val="00E913FC"/>
    <w:rsid w:val="00E93B83"/>
    <w:rsid w:val="00E94822"/>
    <w:rsid w:val="00E952B3"/>
    <w:rsid w:val="00E95E00"/>
    <w:rsid w:val="00E95E0C"/>
    <w:rsid w:val="00E95FAA"/>
    <w:rsid w:val="00E97624"/>
    <w:rsid w:val="00E97699"/>
    <w:rsid w:val="00EA04A9"/>
    <w:rsid w:val="00EA1044"/>
    <w:rsid w:val="00EA53D5"/>
    <w:rsid w:val="00EB025C"/>
    <w:rsid w:val="00EB0D56"/>
    <w:rsid w:val="00EB4474"/>
    <w:rsid w:val="00EB6A0D"/>
    <w:rsid w:val="00EB6A54"/>
    <w:rsid w:val="00EB72A3"/>
    <w:rsid w:val="00EC5669"/>
    <w:rsid w:val="00EC5A37"/>
    <w:rsid w:val="00EC6B45"/>
    <w:rsid w:val="00EC7BEB"/>
    <w:rsid w:val="00ED0882"/>
    <w:rsid w:val="00ED1681"/>
    <w:rsid w:val="00ED2656"/>
    <w:rsid w:val="00ED3D57"/>
    <w:rsid w:val="00EE03D1"/>
    <w:rsid w:val="00EE1592"/>
    <w:rsid w:val="00EE1B25"/>
    <w:rsid w:val="00EE583F"/>
    <w:rsid w:val="00EE6D4C"/>
    <w:rsid w:val="00EF257A"/>
    <w:rsid w:val="00EF3048"/>
    <w:rsid w:val="00EF38E4"/>
    <w:rsid w:val="00EF5C43"/>
    <w:rsid w:val="00EF7193"/>
    <w:rsid w:val="00EF7FA0"/>
    <w:rsid w:val="00F01EFB"/>
    <w:rsid w:val="00F021F4"/>
    <w:rsid w:val="00F03469"/>
    <w:rsid w:val="00F03FC5"/>
    <w:rsid w:val="00F0481A"/>
    <w:rsid w:val="00F05E4D"/>
    <w:rsid w:val="00F074A3"/>
    <w:rsid w:val="00F11EAE"/>
    <w:rsid w:val="00F15AB7"/>
    <w:rsid w:val="00F16F42"/>
    <w:rsid w:val="00F17ED6"/>
    <w:rsid w:val="00F17F5C"/>
    <w:rsid w:val="00F21E38"/>
    <w:rsid w:val="00F224FE"/>
    <w:rsid w:val="00F253A5"/>
    <w:rsid w:val="00F31444"/>
    <w:rsid w:val="00F31B37"/>
    <w:rsid w:val="00F32BBA"/>
    <w:rsid w:val="00F3331F"/>
    <w:rsid w:val="00F34EE1"/>
    <w:rsid w:val="00F35C25"/>
    <w:rsid w:val="00F4207A"/>
    <w:rsid w:val="00F4264D"/>
    <w:rsid w:val="00F43F65"/>
    <w:rsid w:val="00F45454"/>
    <w:rsid w:val="00F525A0"/>
    <w:rsid w:val="00F53DE4"/>
    <w:rsid w:val="00F54C1E"/>
    <w:rsid w:val="00F54FD5"/>
    <w:rsid w:val="00F56630"/>
    <w:rsid w:val="00F60035"/>
    <w:rsid w:val="00F62555"/>
    <w:rsid w:val="00F64F00"/>
    <w:rsid w:val="00F64F02"/>
    <w:rsid w:val="00F655C9"/>
    <w:rsid w:val="00F668B1"/>
    <w:rsid w:val="00F72E0C"/>
    <w:rsid w:val="00F751BA"/>
    <w:rsid w:val="00F76029"/>
    <w:rsid w:val="00F8004B"/>
    <w:rsid w:val="00F81BC0"/>
    <w:rsid w:val="00F82444"/>
    <w:rsid w:val="00F8715D"/>
    <w:rsid w:val="00F87DE1"/>
    <w:rsid w:val="00F9297B"/>
    <w:rsid w:val="00F93928"/>
    <w:rsid w:val="00F94052"/>
    <w:rsid w:val="00F9467F"/>
    <w:rsid w:val="00F94717"/>
    <w:rsid w:val="00F9485D"/>
    <w:rsid w:val="00FA194F"/>
    <w:rsid w:val="00FA4064"/>
    <w:rsid w:val="00FA57BE"/>
    <w:rsid w:val="00FA65E7"/>
    <w:rsid w:val="00FA77FF"/>
    <w:rsid w:val="00FA7854"/>
    <w:rsid w:val="00FA7ADC"/>
    <w:rsid w:val="00FB0C9C"/>
    <w:rsid w:val="00FB0E89"/>
    <w:rsid w:val="00FB12E8"/>
    <w:rsid w:val="00FB2510"/>
    <w:rsid w:val="00FB6996"/>
    <w:rsid w:val="00FB6CB7"/>
    <w:rsid w:val="00FB70B1"/>
    <w:rsid w:val="00FC1B6A"/>
    <w:rsid w:val="00FC1D5F"/>
    <w:rsid w:val="00FC3C96"/>
    <w:rsid w:val="00FC5B80"/>
    <w:rsid w:val="00FC6FD5"/>
    <w:rsid w:val="00FC762C"/>
    <w:rsid w:val="00FD04DC"/>
    <w:rsid w:val="00FD2AA4"/>
    <w:rsid w:val="00FD2FA2"/>
    <w:rsid w:val="00FD3EC7"/>
    <w:rsid w:val="00FD5CFD"/>
    <w:rsid w:val="00FD7511"/>
    <w:rsid w:val="00FE0C0A"/>
    <w:rsid w:val="00FE1239"/>
    <w:rsid w:val="00FE3F4F"/>
    <w:rsid w:val="00FE59A3"/>
    <w:rsid w:val="00FE675C"/>
    <w:rsid w:val="00FE74C2"/>
    <w:rsid w:val="00FF00A3"/>
    <w:rsid w:val="00FF0190"/>
    <w:rsid w:val="00FF0B0C"/>
    <w:rsid w:val="00FF18D0"/>
    <w:rsid w:val="00FF44C5"/>
    <w:rsid w:val="00FF4655"/>
    <w:rsid w:val="00FF794C"/>
    <w:rsid w:val="01B666C0"/>
    <w:rsid w:val="040D1714"/>
    <w:rsid w:val="048B7208"/>
    <w:rsid w:val="096636AB"/>
    <w:rsid w:val="0F593A63"/>
    <w:rsid w:val="111F178B"/>
    <w:rsid w:val="12DE466C"/>
    <w:rsid w:val="1BE83D67"/>
    <w:rsid w:val="1C393D1E"/>
    <w:rsid w:val="1DAE4F2B"/>
    <w:rsid w:val="1EC626AA"/>
    <w:rsid w:val="1FA140B4"/>
    <w:rsid w:val="22012C15"/>
    <w:rsid w:val="22421B7E"/>
    <w:rsid w:val="235F1ED6"/>
    <w:rsid w:val="242C61E4"/>
    <w:rsid w:val="26F80B2F"/>
    <w:rsid w:val="2ACE6CC8"/>
    <w:rsid w:val="2FF7387C"/>
    <w:rsid w:val="3203259E"/>
    <w:rsid w:val="32A517B7"/>
    <w:rsid w:val="3844614A"/>
    <w:rsid w:val="393E18EA"/>
    <w:rsid w:val="3BFF1FB5"/>
    <w:rsid w:val="3D105E22"/>
    <w:rsid w:val="40DF387B"/>
    <w:rsid w:val="425B7C9B"/>
    <w:rsid w:val="43A85162"/>
    <w:rsid w:val="457B1C57"/>
    <w:rsid w:val="45C3640F"/>
    <w:rsid w:val="48444E76"/>
    <w:rsid w:val="4F9667B6"/>
    <w:rsid w:val="54992FD0"/>
    <w:rsid w:val="54D91F0D"/>
    <w:rsid w:val="55280668"/>
    <w:rsid w:val="590E698E"/>
    <w:rsid w:val="5E62399A"/>
    <w:rsid w:val="5EBF6E13"/>
    <w:rsid w:val="60B708A1"/>
    <w:rsid w:val="64985F53"/>
    <w:rsid w:val="66E25D94"/>
    <w:rsid w:val="670872DA"/>
    <w:rsid w:val="67757589"/>
    <w:rsid w:val="696E3E25"/>
    <w:rsid w:val="6D6F7124"/>
    <w:rsid w:val="76C16771"/>
    <w:rsid w:val="7BFB001B"/>
    <w:rsid w:val="7E611BB9"/>
    <w:rsid w:val="7FD12D6F"/>
    <w:rsid w:val="CAFB29D6"/>
    <w:rsid w:val="EB71F029"/>
    <w:rsid w:val="FBFF4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sz w:val="18"/>
      <w:szCs w:val="18"/>
    </w:rPr>
  </w:style>
  <w:style w:type="paragraph" w:styleId="3">
    <w:name w:val="annotation text"/>
    <w:basedOn w:val="1"/>
    <w:link w:val="17"/>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widowControl w:val="0"/>
      <w:tabs>
        <w:tab w:val="center" w:pos="4153"/>
        <w:tab w:val="right" w:pos="8306"/>
      </w:tabs>
      <w:snapToGrid w:val="0"/>
      <w:jc w:val="left"/>
    </w:pPr>
    <w:rPr>
      <w:rFonts w:ascii="Calibri" w:hAnsi="Calibri"/>
      <w:kern w:val="2"/>
      <w:sz w:val="18"/>
      <w:szCs w:val="18"/>
    </w:rPr>
  </w:style>
  <w:style w:type="paragraph" w:styleId="6">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Calibri" w:hAnsi="Calibri"/>
      <w:kern w:val="2"/>
      <w:sz w:val="18"/>
      <w:szCs w:val="18"/>
    </w:rPr>
  </w:style>
  <w:style w:type="paragraph" w:styleId="7">
    <w:name w:val="Normal (Web)"/>
    <w:basedOn w:val="1"/>
    <w:semiHidden/>
    <w:unhideWhenUsed/>
    <w:qFormat/>
    <w:uiPriority w:val="99"/>
    <w:pPr>
      <w:spacing w:before="100" w:beforeAutospacing="1" w:after="100" w:afterAutospacing="1"/>
      <w:jc w:val="left"/>
    </w:pPr>
    <w:rPr>
      <w:rFonts w:ascii="宋体" w:hAnsi="宋体" w:cs="宋体"/>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unhideWhenUsed/>
    <w:qFormat/>
    <w:uiPriority w:val="99"/>
    <w:rPr>
      <w:sz w:val="21"/>
      <w:szCs w:val="21"/>
    </w:rPr>
  </w:style>
  <w:style w:type="character" w:customStyle="1" w:styleId="13">
    <w:name w:val="页眉 字符"/>
    <w:link w:val="6"/>
    <w:qFormat/>
    <w:uiPriority w:val="99"/>
    <w:rPr>
      <w:sz w:val="18"/>
      <w:szCs w:val="18"/>
    </w:rPr>
  </w:style>
  <w:style w:type="character" w:customStyle="1" w:styleId="14">
    <w:name w:val="页脚 字符"/>
    <w:link w:val="5"/>
    <w:qFormat/>
    <w:uiPriority w:val="99"/>
    <w:rPr>
      <w:sz w:val="18"/>
      <w:szCs w:val="18"/>
    </w:rPr>
  </w:style>
  <w:style w:type="character" w:customStyle="1" w:styleId="15">
    <w:name w:val="批注框文本 字符"/>
    <w:link w:val="4"/>
    <w:semiHidden/>
    <w:qFormat/>
    <w:uiPriority w:val="99"/>
    <w:rPr>
      <w:rFonts w:ascii="Times New Roman" w:hAnsi="Times New Roman" w:eastAsia="宋体" w:cs="Times New Roman"/>
      <w:kern w:val="0"/>
      <w:sz w:val="18"/>
      <w:szCs w:val="18"/>
    </w:rPr>
  </w:style>
  <w:style w:type="character" w:customStyle="1" w:styleId="16">
    <w:name w:val="文档结构图 字符"/>
    <w:link w:val="2"/>
    <w:semiHidden/>
    <w:qFormat/>
    <w:uiPriority w:val="99"/>
    <w:rPr>
      <w:rFonts w:ascii="宋体" w:hAnsi="Times New Roman" w:eastAsia="宋体" w:cs="Times New Roman"/>
      <w:kern w:val="0"/>
      <w:sz w:val="18"/>
      <w:szCs w:val="18"/>
    </w:rPr>
  </w:style>
  <w:style w:type="character" w:customStyle="1" w:styleId="17">
    <w:name w:val="批注文字 字符"/>
    <w:link w:val="3"/>
    <w:semiHidden/>
    <w:qFormat/>
    <w:uiPriority w:val="99"/>
    <w:rPr>
      <w:rFonts w:ascii="Times New Roman" w:hAnsi="Times New Roman"/>
      <w:sz w:val="21"/>
      <w:szCs w:val="21"/>
    </w:rPr>
  </w:style>
  <w:style w:type="character" w:customStyle="1" w:styleId="18">
    <w:name w:val="批注主题 字符"/>
    <w:link w:val="8"/>
    <w:semiHidden/>
    <w:qFormat/>
    <w:uiPriority w:val="99"/>
    <w:rPr>
      <w:rFonts w:ascii="Times New Roman" w:hAnsi="Times New Roman"/>
      <w:b/>
      <w:bCs/>
      <w:sz w:val="21"/>
      <w:szCs w:val="21"/>
    </w:rPr>
  </w:style>
  <w:style w:type="paragraph" w:customStyle="1" w:styleId="19">
    <w:name w:val="修订1"/>
    <w:hidden/>
    <w:semiHidden/>
    <w:qFormat/>
    <w:uiPriority w:val="99"/>
    <w:rPr>
      <w:rFonts w:ascii="Times New Roman" w:hAnsi="Times New Roman" w:eastAsia="宋体" w:cs="Times New Roman"/>
      <w:sz w:val="21"/>
      <w:szCs w:val="21"/>
      <w:lang w:val="en-US" w:eastAsia="zh-CN" w:bidi="ar-SA"/>
    </w:rPr>
  </w:style>
  <w:style w:type="paragraph" w:styleId="20">
    <w:name w:val="List Paragraph"/>
    <w:basedOn w:val="1"/>
    <w:qFormat/>
    <w:uiPriority w:val="34"/>
    <w:pPr>
      <w:ind w:firstLine="420" w:firstLineChars="200"/>
    </w:pPr>
  </w:style>
  <w:style w:type="paragraph" w:customStyle="1" w:styleId="21">
    <w:name w:val="0-正文"/>
    <w:basedOn w:val="1"/>
    <w:qFormat/>
    <w:uiPriority w:val="0"/>
    <w:pPr>
      <w:widowControl w:val="0"/>
      <w:spacing w:line="560" w:lineRule="exact"/>
      <w:ind w:firstLine="200" w:firstLineChars="200"/>
    </w:pPr>
    <w:rPr>
      <w:rFonts w:ascii="宋体" w:hAnsi="宋体" w:eastAsia="仿宋_GB2312"/>
      <w:kern w:val="24"/>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SZGHGTW</Company>
  <Pages>7</Pages>
  <Words>581</Words>
  <Characters>3316</Characters>
  <Lines>27</Lines>
  <Paragraphs>7</Paragraphs>
  <TotalTime>25</TotalTime>
  <ScaleCrop>false</ScaleCrop>
  <LinksUpToDate>false</LinksUpToDate>
  <CharactersWithSpaces>3890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2023-12-07T21:48:00Z</dcterms:created>
  <dc:creator>赵秋月</dc:creator>
  <cp:lastModifiedBy>qilin</cp:lastModifiedBy>
  <cp:lastPrinted>2023-11-14T10:16:00Z</cp:lastPrinted>
  <dcterms:modified xsi:type="dcterms:W3CDTF">2024-01-09T10:21:44Z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7F0C7F36B6334B67AAF39EE4A6B11A38_13</vt:lpwstr>
  </property>
</Properties>
</file>