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732790"/>
                <wp:effectExtent l="4445" t="4445" r="23495" b="5715"/>
                <wp:wrapNone/>
                <wp:docPr id="1837627591" name="文本框 299"/>
                <wp:cNvGraphicFramePr/>
                <a:graphic xmlns:a="http://schemas.openxmlformats.org/drawingml/2006/main">
                  <a:graphicData uri="http://schemas.microsoft.com/office/word/2010/wordprocessingShape">
                    <wps:wsp>
                      <wps:cNvSpPr txBox="true">
                        <a:spLocks noChangeArrowheads="true"/>
                      </wps:cNvSpPr>
                      <wps:spPr bwMode="auto">
                        <a:xfrm>
                          <a:off x="0" y="0"/>
                          <a:ext cx="3743960" cy="732790"/>
                        </a:xfrm>
                        <a:prstGeom prst="rect">
                          <a:avLst/>
                        </a:prstGeom>
                        <a:solidFill>
                          <a:srgbClr val="FFFFFF"/>
                        </a:solidFill>
                        <a:ln w="9525">
                          <a:solidFill>
                            <a:srgbClr val="FFFFFF"/>
                          </a:solidFill>
                          <a:miter lim="800000"/>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rot="0" vert="horz" wrap="square" lIns="91440" tIns="45720" rIns="91440" bIns="45720" anchor="t" anchorCtr="false" upright="true">
                        <a:noAutofit/>
                      </wps:bodyPr>
                    </wps:wsp>
                  </a:graphicData>
                </a:graphic>
              </wp:anchor>
            </w:drawing>
          </mc:Choice>
          <mc:Fallback>
            <w:pict>
              <v:shape id="文本框 299" o:spid="_x0000_s1026" o:spt="202" type="#_x0000_t202" style="position:absolute;left:0pt;margin-left:45.7pt;margin-top:-3.3pt;height:57.7pt;width:294.8pt;z-index:251659264;mso-width-relative:page;mso-height-relative:page;" fillcolor="#FFFFFF" filled="t" stroked="t" coordsize="21600,21600" o:gfxdata="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A072VrXAAAACQEAAA8AAAAA&#10;AAAAAQAgAAAAOAAAAGRycy9kb3ducmV2LnhtbFBLAQIUABQAAAAIAIdO4kAx/VHaOAIAAFEEAAAO&#10;AAAAAAAAAAEAIAAAADwBAABkcnMvZTJvRG9jLnhtbFBLBQYAAAAABgAGAFkBAADmBQAAAAA=&#10;">
                <v:fill on="t" focussize="0,0"/>
                <v:stroke color="#FFFFFF" miterlimit="8"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noChangeArrowheads="true"/>
                    </pic:cNvPicPr>
                  </pic:nvPicPr>
                  <pic:blipFill>
                    <a:blip r:embed="rId8"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2"/>
          <w:szCs w:val="72"/>
        </w:rPr>
      </w:pPr>
      <w:r>
        <w:rPr>
          <w:rFonts w:hint="eastAsia" w:asciiTheme="minorEastAsia" w:hAnsiTheme="minorEastAsia" w:eastAsiaTheme="minorEastAsia"/>
          <w:b/>
          <w:bCs/>
          <w:snapToGrid w:val="0"/>
          <w:kern w:val="0"/>
          <w:sz w:val="72"/>
          <w:szCs w:val="72"/>
        </w:rPr>
        <w:t>深圳市地下综合管廊工程建设技术服务</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项目编号：SZZZ2024-QC0222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Pr>
        <w:pStyle w:val="28"/>
        <w:adjustRightInd w:val="0"/>
        <w:snapToGrid w:val="0"/>
        <w:spacing w:line="300" w:lineRule="auto"/>
        <w:ind w:hanging="835"/>
        <w:jc w:val="center"/>
        <w:rPr>
          <w:b/>
          <w:kern w:val="0"/>
          <w:sz w:val="28"/>
          <w:szCs w:val="28"/>
        </w:rPr>
      </w:pPr>
      <w:r>
        <w:rPr>
          <w:rFonts w:hint="eastAsia"/>
          <w:b/>
          <w:snapToGrid w:val="0"/>
          <w:sz w:val="30"/>
        </w:rPr>
        <w:t>二〇二四年</w:t>
      </w:r>
      <w:r>
        <w:rPr>
          <w:rFonts w:hint="eastAsia"/>
          <w:b/>
          <w:snapToGrid w:val="0"/>
          <w:sz w:val="30"/>
          <w:lang w:val="en-US" w:eastAsia="zh-CN"/>
        </w:rPr>
        <w:t>六</w:t>
      </w:r>
      <w:r>
        <w:rPr>
          <w:rFonts w:hint="eastAsia"/>
          <w:b/>
          <w:snapToGrid w:val="0"/>
          <w:sz w:val="30"/>
        </w:rPr>
        <w:t>月</w:t>
      </w:r>
    </w:p>
    <w:p/>
    <w:p>
      <w:pP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1"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10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42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45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45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47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48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51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86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86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91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94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98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100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
    <w:p/>
    <w:p/>
    <w:p/>
    <w:p/>
    <w:p/>
    <w:p/>
    <w:p/>
    <w:p/>
    <w:p/>
    <w:p/>
    <w:p>
      <w:pPr>
        <w:pStyle w:val="2"/>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深圳市地下综合管廊工程建设技术服务</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7</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SZZZ2024-QC0222</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2、项目名称：深圳市地下综合管廊工程建设技术服务</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4、预算金额：人民币780,000.00元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5、最高限价：人民币780,000.00元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深圳市地下综合管廊工程建设技术服务</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0000FF"/>
          <w:sz w:val="21"/>
        </w:rPr>
      </w:pPr>
      <w:r>
        <w:rPr>
          <w:rFonts w:hint="eastAsia" w:asciiTheme="minorEastAsia" w:hAnsiTheme="minorEastAsia" w:eastAsiaTheme="minorEastAsia"/>
          <w:snapToGrid w:val="0"/>
          <w:color w:val="0000FF"/>
          <w:sz w:val="21"/>
        </w:rPr>
        <w:t>（7）投标人必须具备建筑甲级资质、工程设计综合甲级资质、</w:t>
      </w:r>
      <w:r>
        <w:rPr>
          <w:rFonts w:hint="eastAsia" w:asciiTheme="minorEastAsia" w:hAnsiTheme="minorEastAsia" w:eastAsiaTheme="minorEastAsia"/>
          <w:snapToGrid w:val="0"/>
          <w:color w:val="0000FF"/>
          <w:sz w:val="21"/>
          <w:highlight w:val="none"/>
        </w:rPr>
        <w:t>工程咨询甲级资质或城乡规划编制甲级资质之一</w:t>
      </w:r>
      <w:r>
        <w:rPr>
          <w:rFonts w:hint="eastAsia" w:asciiTheme="minorEastAsia" w:hAnsiTheme="minorEastAsia" w:eastAsiaTheme="minorEastAsia"/>
          <w:snapToGrid w:val="0"/>
          <w:color w:val="0000FF"/>
          <w:sz w:val="21"/>
        </w:rPr>
        <w:t>（①提供在有效期内的证书，如证书上未体现有效期的，需同时提供发证机构官方网站显示的有效期的截图作为证明材料；②如国家另有规定，则适用其规定，投标人提供相关证明材料，如有效的资质证书及相关政府部门的规定），上述资料均要求提供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18</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25</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5"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cs="宋体"/>
          <w:color w:val="auto"/>
          <w:sz w:val="21"/>
          <w:szCs w:val="21"/>
          <w:shd w:val="clear" w:color="auto" w:fill="FFFFFF"/>
        </w:rPr>
        <w:t>深圳市住房和建设局</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hint="eastAsia" w:ascii="宋体" w:hAnsi="宋体" w:eastAsia="宋体" w:cs="宋体"/>
          <w:color w:val="auto"/>
          <w:sz w:val="21"/>
          <w:szCs w:val="21"/>
          <w:shd w:val="clear" w:color="auto" w:fill="FFFFFF"/>
        </w:rPr>
        <w:t>深圳市福田区振华路8号设计大厦</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lang w:val="en"/>
        </w:rPr>
      </w:pPr>
      <w:r>
        <w:rPr>
          <w:rFonts w:hint="eastAsia" w:ascii="宋体" w:hAnsi="宋体" w:eastAsia="宋体"/>
          <w:snapToGrid w:val="0"/>
          <w:color w:val="auto"/>
          <w:sz w:val="21"/>
          <w:szCs w:val="21"/>
        </w:rPr>
        <w:t>联系方式：李工，</w:t>
      </w:r>
      <w:r>
        <w:rPr>
          <w:rFonts w:hint="eastAsia" w:ascii="宋体" w:hAnsi="宋体" w:eastAsia="宋体" w:cs="宋体"/>
          <w:color w:val="333333"/>
          <w:sz w:val="21"/>
          <w:szCs w:val="21"/>
          <w:shd w:val="clear" w:color="auto" w:fill="FFFFFF"/>
          <w:lang w:val="en"/>
        </w:rPr>
        <w:t>0755-83788579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lang w:val="en-US" w:eastAsia="zh-CN"/>
        </w:rPr>
        <w:t>6</w:t>
      </w:r>
      <w:r>
        <w:rPr>
          <w:rFonts w:ascii="宋体" w:hAnsi="宋体"/>
          <w:snapToGrid w:val="0"/>
          <w:kern w:val="0"/>
          <w:sz w:val="24"/>
        </w:rPr>
        <w:t>月</w:t>
      </w:r>
      <w:r>
        <w:rPr>
          <w:rFonts w:hint="eastAsia" w:ascii="宋体" w:hAnsi="宋体"/>
          <w:snapToGrid w:val="0"/>
          <w:kern w:val="0"/>
          <w:sz w:val="24"/>
          <w:lang w:val="en-US" w:eastAsia="zh-CN"/>
        </w:rPr>
        <w:t>18</w:t>
      </w:r>
      <w:r>
        <w:rPr>
          <w:rFonts w:hint="eastAsia" w:ascii="宋体" w:hAnsi="宋体"/>
          <w:snapToGrid w:val="0"/>
          <w:kern w:val="0"/>
          <w:sz w:val="24"/>
        </w:rPr>
        <w:t>日</w:t>
      </w:r>
    </w:p>
    <w:p/>
    <w:p/>
    <w:p/>
    <w:p/>
    <w:p/>
    <w:p/>
    <w:p/>
    <w:p/>
    <w:p/>
    <w:p/>
    <w:p/>
    <w:p/>
    <w:p/>
    <w:p/>
    <w:p/>
    <w:p/>
    <w:p/>
    <w:p/>
    <w:p>
      <w:pPr>
        <w:pStyle w:val="2"/>
      </w:pPr>
      <w:bookmarkStart w:id="1" w:name="_Toc135293160"/>
      <w:r>
        <w:rPr>
          <w:rFonts w:hint="eastAsia"/>
        </w:rPr>
        <w:t>第二章  项目需求</w:t>
      </w:r>
      <w:bookmarkEnd w:id="1"/>
    </w:p>
    <w:p>
      <w:pPr>
        <w:spacing w:after="156"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1"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rPr>
          <w:trHeight w:val="510"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深圳市地下综合管廊工程建设技术服务</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color w:val="000000" w:themeColor="text1"/>
                <w:szCs w:val="21"/>
                <w14:textFill>
                  <w14:solidFill>
                    <w14:schemeClr w14:val="tx1"/>
                  </w14:solidFill>
                </w14:textFill>
              </w:rPr>
              <w:t>780,000.00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45"/>
        <w:adjustRightInd w:val="0"/>
        <w:snapToGrid w:val="0"/>
        <w:spacing w:after="0" w:line="360" w:lineRule="auto"/>
        <w:ind w:firstLine="420" w:firstLineChars="200"/>
        <w:rPr>
          <w:sz w:val="21"/>
          <w:szCs w:val="21"/>
        </w:rPr>
      </w:pPr>
      <w:r>
        <w:rPr>
          <w:rFonts w:hint="eastAsia" w:ascii="宋体" w:hAnsi="宋体" w:cs="宋体"/>
          <w:color w:val="000000" w:themeColor="text1"/>
          <w:sz w:val="21"/>
          <w:szCs w:val="21"/>
          <w14:textFill>
            <w14:solidFill>
              <w14:schemeClr w14:val="tx1"/>
            </w14:solidFill>
          </w14:textFill>
        </w:rPr>
        <w:t>截至2023年12月底，全市在建及拟建综合管廊项目约80余项，总里程约291公里。2024年深圳市14个综合管廊项目列入《深圳市2024年重大项目计划》。在规划、建设、运维管理、投融资等综合管廊全生命周期中，地下综合管廊往往涉及建设主体多，部门多，事务庞杂，问题错综复杂。比如在综合管廊规划阶段，要统筹地下空间规划、城市土地利用规划、市政管线规划等，需要从宏观、系统的角度，研判综合管廊规划的合理性及协调性；在综合管廊建设实施阶段，经常需要面临规划和建设协调事项，工程规划征求意见时，需要从技术角度考虑管廊工程规划的协调，并对管廊工程方案提出技术核查意见。在综合管廊运维管理过程中，涉及管廊移交、安全管理等方面的内容，需要对管廊运维管理要点进行熟悉；综合管廊工程涉及规划、给排水、电力、燃气等市政专业，系统性强且涉及部门多，导致综合管廊技术统筹协调事项繁多且技术难度高，技术专业难度较高。因此，有必要通过引入第三方技术服务单位来承担综合管廊技术性审查工作，提高办事效率，保证综合管廊建设质量。</w:t>
      </w:r>
    </w:p>
    <w:p>
      <w:pPr>
        <w:pStyle w:val="321"/>
        <w:ind w:firstLine="0" w:firstLineChars="0"/>
        <w:rPr>
          <w:b/>
        </w:rPr>
      </w:pPr>
      <w:r>
        <w:rPr>
          <w:rFonts w:hint="eastAsia"/>
          <w:b/>
        </w:rPr>
        <w:t>二、项目服务要求</w:t>
      </w:r>
    </w:p>
    <w:p>
      <w:pPr>
        <w:adjustRightInd w:val="0"/>
        <w:snapToGrid w:val="0"/>
        <w:spacing w:line="360" w:lineRule="auto"/>
        <w:ind w:firstLine="421" w:firstLineChars="200"/>
        <w:rPr>
          <w:rFonts w:ascii="宋体" w:hAnsi="宋体" w:cs="宋体"/>
          <w:b/>
          <w:bCs/>
          <w:szCs w:val="21"/>
        </w:rPr>
      </w:pPr>
      <w:r>
        <w:rPr>
          <w:rFonts w:hint="eastAsia" w:ascii="宋体" w:hAnsi="宋体" w:cs="宋体"/>
          <w:b/>
          <w:bCs/>
          <w:szCs w:val="21"/>
        </w:rPr>
        <w:t>（一）工作内容</w:t>
      </w:r>
    </w:p>
    <w:p>
      <w:pPr>
        <w:adjustRightInd w:val="0"/>
        <w:snapToGrid w:val="0"/>
        <w:spacing w:line="360" w:lineRule="auto"/>
        <w:ind w:firstLine="420" w:firstLineChars="200"/>
        <w:rPr>
          <w:rStyle w:val="510"/>
          <w:rFonts w:ascii="宋体" w:hAnsi="宋体" w:cs="宋体"/>
          <w:szCs w:val="21"/>
        </w:rPr>
      </w:pPr>
      <w:r>
        <w:rPr>
          <w:rStyle w:val="510"/>
          <w:rFonts w:hint="eastAsia" w:ascii="宋体" w:hAnsi="宋体" w:cs="宋体"/>
          <w:szCs w:val="21"/>
        </w:rPr>
        <w:t>根据《深圳市加强城市地下市政基础设施建设工作方案》要求，统筹推进市政基础设施体系化建设，提升设施运行效率和服务水平。本项目主要对综合管廊工程建设过程中的规划、建设、运维及统筹等方面提供技术咨询服务，主要包括规划层面、实施层面、运维层面、统筹层面4个方面的服务内容。</w:t>
      </w:r>
    </w:p>
    <w:p>
      <w:pPr>
        <w:adjustRightInd w:val="0"/>
        <w:snapToGrid w:val="0"/>
        <w:spacing w:line="360" w:lineRule="auto"/>
        <w:ind w:firstLine="409" w:firstLineChars="195"/>
        <w:rPr>
          <w:rStyle w:val="510"/>
          <w:rFonts w:ascii="宋体" w:hAnsi="宋体" w:cs="宋体"/>
          <w:szCs w:val="21"/>
        </w:rPr>
      </w:pPr>
      <w:r>
        <w:rPr>
          <w:rStyle w:val="510"/>
          <w:rFonts w:hint="eastAsia" w:ascii="宋体" w:hAnsi="宋体" w:cs="宋体"/>
          <w:szCs w:val="21"/>
        </w:rPr>
        <w:t>（1）规划层面：根据科学合理，因地制宜原则，对涉及综合管廊的市级规划、区级规划等提出技术审查意见以及相关的技术咨询事项。</w:t>
      </w:r>
    </w:p>
    <w:p>
      <w:pPr>
        <w:adjustRightInd w:val="0"/>
        <w:snapToGrid w:val="0"/>
        <w:spacing w:line="360" w:lineRule="auto"/>
        <w:ind w:firstLine="409" w:firstLineChars="195"/>
        <w:rPr>
          <w:rStyle w:val="510"/>
          <w:rFonts w:ascii="宋体" w:hAnsi="宋体" w:cs="宋体"/>
          <w:szCs w:val="21"/>
        </w:rPr>
      </w:pPr>
      <w:r>
        <w:rPr>
          <w:rStyle w:val="510"/>
          <w:rFonts w:hint="eastAsia" w:ascii="宋体" w:hAnsi="宋体" w:cs="宋体"/>
          <w:szCs w:val="21"/>
        </w:rPr>
        <w:t>（2）实施层面：为有序推进综合管廊规划建设工作，针对综合管廊建设工程可研（方案）、初步设计、施工图等各阶段设计成果，提供技术咨询事项。</w:t>
      </w:r>
    </w:p>
    <w:p>
      <w:pPr>
        <w:adjustRightInd w:val="0"/>
        <w:snapToGrid w:val="0"/>
        <w:spacing w:line="360" w:lineRule="auto"/>
        <w:ind w:firstLine="409" w:firstLineChars="195"/>
        <w:rPr>
          <w:rStyle w:val="510"/>
          <w:rFonts w:ascii="宋体" w:hAnsi="宋体" w:cs="宋体"/>
          <w:szCs w:val="21"/>
        </w:rPr>
      </w:pPr>
      <w:r>
        <w:rPr>
          <w:rStyle w:val="510"/>
          <w:rFonts w:hint="eastAsia" w:ascii="宋体" w:hAnsi="宋体" w:cs="宋体"/>
          <w:szCs w:val="21"/>
        </w:rPr>
        <w:t>（3）运维层面：为保障综合管廊安全运维及管理需要，针对综合管廊安全运维管理等内容，提供技术支撑。</w:t>
      </w:r>
    </w:p>
    <w:p>
      <w:pPr>
        <w:tabs>
          <w:tab w:val="left" w:pos="720"/>
        </w:tabs>
        <w:adjustRightInd w:val="0"/>
        <w:snapToGrid w:val="0"/>
        <w:spacing w:line="360" w:lineRule="auto"/>
        <w:ind w:firstLine="420" w:firstLineChars="200"/>
        <w:rPr>
          <w:rFonts w:ascii="宋体" w:hAnsi="宋体" w:cs="宋体"/>
          <w:szCs w:val="21"/>
        </w:rPr>
      </w:pPr>
      <w:r>
        <w:rPr>
          <w:rStyle w:val="510"/>
          <w:rFonts w:hint="eastAsia" w:ascii="宋体" w:hAnsi="宋体" w:cs="宋体"/>
          <w:szCs w:val="21"/>
        </w:rPr>
        <w:t>（4）统筹层面：统筹推进综合管廊及其它市政设施体系化建设，梳理综合管廊相关技术材料，配合准备综合管廊建设过程中涉及的重大技术问题组织专题研究和专家论证会技术材料等事项。</w:t>
      </w:r>
    </w:p>
    <w:p>
      <w:pPr>
        <w:adjustRightInd w:val="0"/>
        <w:snapToGrid w:val="0"/>
        <w:spacing w:line="360" w:lineRule="auto"/>
        <w:ind w:firstLine="421" w:firstLineChars="200"/>
        <w:jc w:val="left"/>
        <w:rPr>
          <w:rFonts w:ascii="宋体" w:hAnsi="宋体" w:cs="宋体"/>
          <w:b/>
          <w:bCs/>
          <w:szCs w:val="21"/>
        </w:rPr>
      </w:pPr>
      <w:r>
        <w:rPr>
          <w:rFonts w:hint="eastAsia" w:ascii="宋体" w:hAnsi="宋体" w:cs="宋体"/>
          <w:b/>
          <w:bCs/>
          <w:szCs w:val="21"/>
        </w:rPr>
        <w:t>（二）工作范围</w:t>
      </w:r>
    </w:p>
    <w:p>
      <w:pPr>
        <w:tabs>
          <w:tab w:val="left" w:pos="720"/>
        </w:tabs>
        <w:adjustRightInd w:val="0"/>
        <w:snapToGrid w:val="0"/>
        <w:spacing w:line="360" w:lineRule="auto"/>
        <w:ind w:firstLine="420" w:firstLineChars="200"/>
        <w:rPr>
          <w:rFonts w:ascii="宋体" w:hAnsi="宋体" w:cs="宋体"/>
          <w:szCs w:val="21"/>
        </w:rPr>
      </w:pPr>
      <w:r>
        <w:rPr>
          <w:rFonts w:hint="eastAsia" w:ascii="宋体" w:hAnsi="宋体" w:cs="宋体"/>
          <w:szCs w:val="21"/>
        </w:rPr>
        <w:t>工作范围为深圳市行政辖区（包含深汕特别合作区）。</w:t>
      </w:r>
      <w:bookmarkStart w:id="2" w:name="_Toc63081037"/>
      <w:bookmarkEnd w:id="2"/>
      <w:bookmarkStart w:id="3" w:name="_Toc63081039"/>
      <w:bookmarkStart w:id="4" w:name="_Toc508008371"/>
    </w:p>
    <w:p>
      <w:pPr>
        <w:adjustRightInd w:val="0"/>
        <w:snapToGrid w:val="0"/>
        <w:spacing w:line="360" w:lineRule="auto"/>
        <w:ind w:firstLine="421" w:firstLineChars="200"/>
        <w:rPr>
          <w:rFonts w:ascii="宋体" w:hAnsi="宋体" w:cs="宋体"/>
          <w:b/>
          <w:bCs/>
          <w:szCs w:val="21"/>
        </w:rPr>
      </w:pPr>
      <w:r>
        <w:rPr>
          <w:rFonts w:hint="eastAsia" w:ascii="宋体" w:hAnsi="宋体" w:cs="宋体"/>
          <w:b/>
          <w:bCs/>
          <w:szCs w:val="21"/>
        </w:rPr>
        <w:t>（三）最终成果要求</w:t>
      </w:r>
      <w:bookmarkEnd w:id="3"/>
    </w:p>
    <w:bookmarkEnd w:id="4"/>
    <w:p>
      <w:pPr>
        <w:adjustRightInd w:val="0"/>
        <w:snapToGrid w:val="0"/>
        <w:spacing w:line="360" w:lineRule="auto"/>
        <w:ind w:firstLine="420" w:firstLineChars="200"/>
        <w:rPr>
          <w:rFonts w:ascii="宋体" w:hAnsi="宋体" w:cs="宋体"/>
          <w:szCs w:val="21"/>
        </w:rPr>
      </w:pPr>
      <w:r>
        <w:rPr>
          <w:rFonts w:hint="eastAsia" w:ascii="宋体" w:hAnsi="宋体" w:cs="宋体"/>
          <w:szCs w:val="21"/>
        </w:rPr>
        <w:t>（1）预期成果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本项目预期成果为</w:t>
      </w:r>
      <w:bookmarkStart w:id="5" w:name="_Hlk163050495"/>
      <w:r>
        <w:rPr>
          <w:rFonts w:hint="eastAsia" w:ascii="宋体" w:hAnsi="宋体" w:cs="宋体"/>
          <w:szCs w:val="21"/>
        </w:rPr>
        <w:t>《深圳市综合管廊建设技术服务年度工作成果汇编》</w:t>
      </w:r>
      <w:bookmarkEnd w:id="5"/>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（2）成果形式</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成果形式和内容将严格按照采购方要求进行编制，要求如下：</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①技术报告：A4彩色本，word及PDF格式。</w:t>
      </w:r>
    </w:p>
    <w:p>
      <w:pPr>
        <w:pStyle w:val="506"/>
        <w:wordWrap/>
        <w:spacing w:afterLines="0" w:line="360" w:lineRule="auto"/>
        <w:ind w:firstLine="436"/>
        <w:rPr>
          <w:sz w:val="21"/>
          <w:szCs w:val="21"/>
        </w:rPr>
      </w:pPr>
      <w:r>
        <w:rPr>
          <w:rFonts w:hint="eastAsia"/>
          <w:sz w:val="21"/>
          <w:szCs w:val="21"/>
        </w:rPr>
        <w:t>②电子光盘；按照有关规定要求编录的所有成果内容的电子文件，用于管理部门归档和日常管理。</w:t>
      </w:r>
    </w:p>
    <w:p>
      <w:pPr>
        <w:pStyle w:val="506"/>
        <w:wordWrap/>
        <w:spacing w:afterLines="0" w:line="360" w:lineRule="auto"/>
        <w:ind w:firstLine="498"/>
        <w:rPr>
          <w:b/>
        </w:rPr>
      </w:pPr>
    </w:p>
    <w:p>
      <w:pPr>
        <w:pStyle w:val="321"/>
        <w:ind w:firstLine="0" w:firstLineChars="0"/>
        <w:rPr>
          <w:b/>
        </w:rPr>
      </w:pPr>
      <w:r>
        <w:rPr>
          <w:rFonts w:hint="eastAsia"/>
          <w:b/>
        </w:rPr>
        <w:t>三、项目商务要求</w:t>
      </w:r>
    </w:p>
    <w:p>
      <w:pPr>
        <w:pStyle w:val="511"/>
        <w:adjustRightInd w:val="0"/>
        <w:snapToGrid w:val="0"/>
        <w:spacing w:line="360" w:lineRule="auto"/>
        <w:ind w:left="0" w:leftChars="0" w:firstLine="421" w:firstLineChars="200"/>
        <w:rPr>
          <w:rFonts w:ascii="宋体" w:hAnsi="宋体" w:cs="宋体"/>
          <w:b/>
          <w:bCs/>
          <w:szCs w:val="21"/>
        </w:rPr>
      </w:pPr>
      <w:r>
        <w:rPr>
          <w:rFonts w:hint="eastAsia" w:ascii="宋体" w:hAnsi="宋体" w:cs="宋体"/>
          <w:b/>
          <w:bCs/>
          <w:szCs w:val="21"/>
        </w:rPr>
        <w:t>（一）项目管理及进度要求</w:t>
      </w:r>
    </w:p>
    <w:p>
      <w:pPr>
        <w:pStyle w:val="511"/>
        <w:adjustRightInd w:val="0"/>
        <w:snapToGrid w:val="0"/>
        <w:spacing w:line="360" w:lineRule="auto"/>
        <w:ind w:left="0" w:leftChars="0" w:firstLine="420" w:firstLineChars="200"/>
        <w:rPr>
          <w:rFonts w:ascii="宋体" w:hAnsi="宋体" w:cs="宋体"/>
          <w:bCs/>
          <w:szCs w:val="21"/>
        </w:rPr>
      </w:pPr>
      <w:r>
        <w:rPr>
          <w:rFonts w:hint="eastAsia" w:ascii="宋体" w:hAnsi="宋体" w:cs="宋体"/>
          <w:bCs/>
          <w:szCs w:val="21"/>
        </w:rPr>
        <w:t>1</w:t>
      </w:r>
      <w:r>
        <w:rPr>
          <w:rFonts w:hint="eastAsia" w:ascii="宋体" w:hAnsi="宋体" w:cs="宋体"/>
          <w:bCs/>
          <w:color w:val="000000"/>
          <w:szCs w:val="21"/>
        </w:rPr>
        <w:t>.</w:t>
      </w:r>
      <w:r>
        <w:rPr>
          <w:rFonts w:hint="eastAsia" w:ascii="宋体" w:hAnsi="宋体" w:cs="宋体"/>
          <w:bCs/>
          <w:szCs w:val="21"/>
        </w:rPr>
        <w:t>组织实施要求</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（1）中标方应按合同要求按时、按质、按量推进项目工作；</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（2）中标方项目组成员应按采购方要求参加项目审查和讨论的全部工作会议。</w:t>
      </w:r>
    </w:p>
    <w:p>
      <w:pPr>
        <w:pStyle w:val="511"/>
        <w:adjustRightInd w:val="0"/>
        <w:snapToGrid w:val="0"/>
        <w:spacing w:line="360" w:lineRule="auto"/>
        <w:ind w:left="0" w:leftChars="0" w:firstLine="420" w:firstLineChars="200"/>
        <w:rPr>
          <w:rFonts w:ascii="宋体" w:hAnsi="宋体" w:cs="宋体"/>
          <w:bCs/>
          <w:szCs w:val="21"/>
        </w:rPr>
      </w:pPr>
      <w:r>
        <w:rPr>
          <w:rFonts w:hint="eastAsia" w:ascii="宋体" w:hAnsi="宋体" w:cs="宋体"/>
          <w:bCs/>
          <w:szCs w:val="21"/>
        </w:rPr>
        <w:t>2</w:t>
      </w:r>
      <w:r>
        <w:rPr>
          <w:rFonts w:hint="eastAsia" w:ascii="宋体" w:hAnsi="宋体" w:cs="宋体"/>
          <w:bCs/>
          <w:color w:val="000000"/>
          <w:szCs w:val="21"/>
        </w:rPr>
        <w:t>.</w:t>
      </w:r>
      <w:r>
        <w:rPr>
          <w:rFonts w:hint="eastAsia" w:ascii="宋体" w:hAnsi="宋体" w:cs="宋体"/>
          <w:bCs/>
          <w:szCs w:val="21"/>
        </w:rPr>
        <w:t>项目服务期限要求</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本项目合同服务期限为自合同签订之日起至</w:t>
      </w:r>
      <w:r>
        <w:rPr>
          <w:rFonts w:hint="eastAsia" w:ascii="宋体" w:hAnsi="宋体" w:cs="宋体"/>
          <w:color w:val="auto"/>
          <w:szCs w:val="21"/>
        </w:rPr>
        <w:t>2024年12月31日完成</w:t>
      </w:r>
      <w:r>
        <w:rPr>
          <w:rFonts w:hint="eastAsia" w:ascii="宋体" w:hAnsi="宋体" w:cs="宋体"/>
          <w:szCs w:val="21"/>
        </w:rPr>
        <w:t>。具体以合同签订为准。</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3.售后服务要求</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本项目售后服务期为自项目验收合格之日起6个月内。</w:t>
      </w:r>
    </w:p>
    <w:p>
      <w:pPr>
        <w:pStyle w:val="511"/>
        <w:adjustRightInd w:val="0"/>
        <w:snapToGrid w:val="0"/>
        <w:spacing w:line="360" w:lineRule="auto"/>
        <w:ind w:left="0" w:leftChars="0" w:firstLine="421" w:firstLineChars="200"/>
        <w:rPr>
          <w:rFonts w:ascii="宋体" w:hAnsi="宋体" w:cs="宋体"/>
          <w:b/>
          <w:bCs/>
          <w:szCs w:val="21"/>
        </w:rPr>
      </w:pPr>
      <w:r>
        <w:rPr>
          <w:rFonts w:hint="eastAsia" w:ascii="宋体" w:hAnsi="宋体" w:cs="宋体"/>
          <w:b/>
          <w:bCs/>
          <w:szCs w:val="21"/>
        </w:rPr>
        <w:t>（二）项目付款要求</w:t>
      </w:r>
    </w:p>
    <w:p>
      <w:pPr>
        <w:pStyle w:val="511"/>
        <w:adjustRightInd w:val="0"/>
        <w:snapToGrid w:val="0"/>
        <w:spacing w:line="360" w:lineRule="auto"/>
        <w:ind w:left="0" w:leftChars="0" w:firstLine="420" w:firstLineChars="200"/>
        <w:rPr>
          <w:rFonts w:ascii="宋体" w:hAnsi="宋体" w:cs="宋体"/>
          <w:b/>
          <w:bCs/>
          <w:szCs w:val="21"/>
        </w:rPr>
      </w:pPr>
      <w:r>
        <w:rPr>
          <w:rFonts w:hint="eastAsia" w:ascii="宋体" w:hAnsi="宋体" w:cs="宋体"/>
          <w:szCs w:val="21"/>
        </w:rPr>
        <w:t>项目按合同相关规定进行分三期付款。第一期：合同生效后15个工作日内向中标方支付合同总费用的50%;第二期：合同生效后，根据甲方付款进度要求，向中标方支付第二期费用，占合同总费用的30%。第三期：在中标方提交通过采购方审查的最终成果后，并经专家评审验收通过后，向中标方支付合同总费用的 20%。</w:t>
      </w:r>
    </w:p>
    <w:p>
      <w:pPr>
        <w:pStyle w:val="511"/>
        <w:adjustRightInd w:val="0"/>
        <w:snapToGrid w:val="0"/>
        <w:spacing w:line="360" w:lineRule="auto"/>
        <w:ind w:left="0" w:leftChars="0" w:firstLine="421" w:firstLineChars="200"/>
        <w:rPr>
          <w:rFonts w:ascii="宋体" w:hAnsi="宋体" w:cs="宋体"/>
          <w:b/>
          <w:bCs/>
          <w:szCs w:val="21"/>
        </w:rPr>
      </w:pPr>
      <w:r>
        <w:rPr>
          <w:rFonts w:hint="eastAsia" w:ascii="宋体" w:hAnsi="宋体" w:cs="宋体"/>
          <w:b/>
          <w:bCs/>
          <w:szCs w:val="21"/>
        </w:rPr>
        <w:t>（三）项目验收要求</w:t>
      </w:r>
    </w:p>
    <w:p>
      <w:pPr>
        <w:pStyle w:val="511"/>
        <w:adjustRightInd w:val="0"/>
        <w:snapToGrid w:val="0"/>
        <w:spacing w:line="360" w:lineRule="auto"/>
        <w:ind w:left="0" w:leftChars="0" w:firstLine="420" w:firstLineChars="200"/>
        <w:rPr>
          <w:rFonts w:ascii="宋体" w:hAnsi="宋体" w:cs="宋体"/>
          <w:color w:val="FF0000"/>
          <w:szCs w:val="21"/>
        </w:rPr>
      </w:pPr>
      <w:bookmarkStart w:id="6" w:name="_Hlk163050518"/>
      <w:r>
        <w:rPr>
          <w:rFonts w:hint="eastAsia" w:ascii="宋体" w:hAnsi="宋体" w:cs="宋体"/>
          <w:szCs w:val="21"/>
        </w:rPr>
        <w:t>中标方需按采购方的招标技术及时间要求，完成相应工作成果并全部提交后，采购方组织专家评审会对项目进行验收。</w:t>
      </w:r>
      <w:bookmarkEnd w:id="6"/>
    </w:p>
    <w:p>
      <w:pPr>
        <w:pStyle w:val="511"/>
        <w:adjustRightInd w:val="0"/>
        <w:snapToGrid w:val="0"/>
        <w:spacing w:line="360" w:lineRule="auto"/>
        <w:ind w:left="0" w:leftChars="0" w:firstLine="421" w:firstLineChars="200"/>
        <w:rPr>
          <w:rFonts w:ascii="宋体" w:hAnsi="宋体" w:cs="宋体"/>
          <w:b/>
          <w:bCs/>
          <w:szCs w:val="21"/>
        </w:rPr>
      </w:pPr>
      <w:r>
        <w:rPr>
          <w:rFonts w:hint="eastAsia" w:ascii="宋体" w:hAnsi="宋体" w:cs="宋体"/>
          <w:b/>
          <w:bCs/>
          <w:szCs w:val="21"/>
        </w:rPr>
        <w:t>（四）投标报价要求</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1</w:t>
      </w:r>
      <w:r>
        <w:rPr>
          <w:rFonts w:hint="eastAsia" w:ascii="宋体" w:hAnsi="宋体" w:cs="宋体"/>
          <w:color w:val="000000"/>
          <w:szCs w:val="21"/>
          <w:lang w:val="zh-CN"/>
        </w:rPr>
        <w:t>.</w:t>
      </w:r>
      <w:r>
        <w:rPr>
          <w:rFonts w:hint="eastAsia" w:ascii="宋体" w:hAnsi="宋体" w:cs="宋体"/>
          <w:szCs w:val="21"/>
        </w:rPr>
        <w:t>本项目实行总价包干制，投标总价应包括成本、法定税费和管理企业的利润。如出现任何遗漏内容需产生额外费用，均由中标人自行承担，采购人将不再另行支付任何费用。</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2</w:t>
      </w:r>
      <w:r>
        <w:rPr>
          <w:rFonts w:hint="eastAsia" w:ascii="宋体" w:hAnsi="宋体" w:cs="宋体"/>
          <w:color w:val="000000"/>
          <w:szCs w:val="21"/>
          <w:lang w:val="zh-CN"/>
        </w:rPr>
        <w:t>.</w:t>
      </w:r>
      <w:r>
        <w:rPr>
          <w:rFonts w:hint="eastAsia" w:ascii="宋体" w:hAnsi="宋体" w:cs="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3、若评标委员会成员对是否须由投标人作出报价合理性说明，以及书面说明是否采纳等判断不一致的，按照“少数服从多数”的原则确定评标委员会的意见。</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4、投标供应商投标报价总额一经中标后，中标价即为该项目的合同总价。</w:t>
      </w:r>
    </w:p>
    <w:p>
      <w:pPr>
        <w:pStyle w:val="511"/>
        <w:adjustRightInd w:val="0"/>
        <w:snapToGrid w:val="0"/>
        <w:spacing w:line="360" w:lineRule="auto"/>
        <w:ind w:left="0" w:leftChars="0" w:firstLine="421" w:firstLineChars="200"/>
        <w:rPr>
          <w:rFonts w:ascii="宋体" w:hAnsi="宋体" w:cs="宋体"/>
          <w:b/>
          <w:bCs/>
          <w:szCs w:val="21"/>
        </w:rPr>
      </w:pPr>
      <w:r>
        <w:rPr>
          <w:rFonts w:hint="eastAsia" w:ascii="宋体" w:hAnsi="宋体" w:cs="宋体"/>
          <w:b/>
          <w:bCs/>
          <w:szCs w:val="21"/>
        </w:rPr>
        <w:t>（五）项目人员安排要求：</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1.投标方拟投入本项目的项目负责人及项目团队成员应具有相关工作经验，其项目经验的相关情况将作为评分的重要因素。</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2.中标方不得随意更换项目负责人和项目组成员，如不经采购单位同意擅自更换，则采购单位有权解除合同。</w:t>
      </w:r>
    </w:p>
    <w:p>
      <w:pPr>
        <w:pStyle w:val="511"/>
        <w:adjustRightInd w:val="0"/>
        <w:snapToGrid w:val="0"/>
        <w:spacing w:line="360" w:lineRule="auto"/>
        <w:ind w:left="0" w:leftChars="0" w:firstLine="421" w:firstLineChars="200"/>
        <w:rPr>
          <w:rFonts w:ascii="宋体" w:hAnsi="宋体" w:cs="宋体"/>
          <w:b/>
          <w:bCs/>
          <w:szCs w:val="21"/>
        </w:rPr>
      </w:pPr>
      <w:r>
        <w:rPr>
          <w:rFonts w:hint="eastAsia" w:ascii="宋体" w:hAnsi="宋体" w:cs="宋体"/>
          <w:b/>
          <w:bCs/>
          <w:szCs w:val="21"/>
        </w:rPr>
        <w:t>（六）项目其他要求</w:t>
      </w:r>
    </w:p>
    <w:p>
      <w:pPr>
        <w:pStyle w:val="511"/>
        <w:adjustRightInd w:val="0"/>
        <w:snapToGrid w:val="0"/>
        <w:spacing w:line="360" w:lineRule="auto"/>
        <w:ind w:left="0" w:leftChars="0" w:firstLine="420" w:firstLineChars="200"/>
        <w:rPr>
          <w:rFonts w:ascii="宋体" w:hAnsi="宋体" w:cs="宋体"/>
          <w:szCs w:val="21"/>
        </w:rPr>
      </w:pPr>
      <w:r>
        <w:rPr>
          <w:rFonts w:hint="eastAsia" w:ascii="宋体" w:hAnsi="宋体" w:cs="宋体"/>
          <w:szCs w:val="21"/>
        </w:rPr>
        <w:t>1.投标方应确保投标文件中的人员信息真实、有效。</w:t>
      </w:r>
    </w:p>
    <w:p>
      <w:pPr>
        <w:spacing w:line="360" w:lineRule="auto"/>
        <w:ind w:firstLine="420" w:firstLineChars="200"/>
        <w:jc w:val="left"/>
        <w:rPr>
          <w:rFonts w:ascii="宋体" w:hAnsi="宋体"/>
          <w:szCs w:val="21"/>
        </w:rPr>
      </w:pPr>
      <w:r>
        <w:rPr>
          <w:rFonts w:hint="eastAsia" w:ascii="宋体" w:hAnsi="宋体" w:cs="宋体"/>
          <w:szCs w:val="21"/>
        </w:rPr>
        <w:t>2.投标方必须保守国家机密，不得泄漏采购方所提供的属国家秘密的信息和数据；未经采购方允许，不得使用或者以其它方式向任何第三方提供本项目的相关信息或数据。</w:t>
      </w: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2"/>
      </w:pPr>
      <w:bookmarkStart w:id="7" w:name="_Toc135293161"/>
      <w:r>
        <w:rPr>
          <w:rFonts w:hint="eastAsia"/>
        </w:rPr>
        <w:t>第三章  投标文件初审</w:t>
      </w:r>
      <w:bookmarkEnd w:id="7"/>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3"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6、对招标文件规定的货物或服务采购清单或工程量清单的项目或数量进行修改，评标委员会判定投标响应不满足采购需求的。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Pr>
        <w:pStyle w:val="2"/>
        <w:spacing w:after="0"/>
      </w:pPr>
      <w:bookmarkStart w:id="8" w:name="_Toc135293162"/>
      <w:r>
        <w:rPr>
          <w:rFonts w:hint="eastAsia"/>
        </w:rPr>
        <w:t>第四章  评标方法和标准</w:t>
      </w:r>
      <w:bookmarkEnd w:id="8"/>
    </w:p>
    <w:p/>
    <w:p>
      <w:pPr>
        <w:pStyle w:val="4"/>
        <w:spacing w:before="0" w:after="0"/>
      </w:pPr>
      <w:bookmarkStart w:id="9" w:name="_Toc44691161"/>
      <w:bookmarkStart w:id="10" w:name="_Toc44691393"/>
      <w:bookmarkStart w:id="11" w:name="_Toc135293163"/>
      <w:bookmarkStart w:id="12" w:name="_Toc44690702"/>
      <w:bookmarkStart w:id="13" w:name="_Toc44690429"/>
      <w:r>
        <w:rPr>
          <w:rFonts w:hint="eastAsia"/>
        </w:rPr>
        <w:t>一、</w:t>
      </w:r>
      <w:r>
        <w:t>评标方法</w:t>
      </w:r>
      <w:bookmarkEnd w:id="9"/>
      <w:bookmarkEnd w:id="10"/>
      <w:bookmarkEnd w:id="11"/>
      <w:bookmarkEnd w:id="12"/>
      <w:bookmarkEnd w:id="13"/>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中标供应商数量：1名，候选中标供应商数量：3名。</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评标排名前三的投标人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5"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4" w:name="_Toc135293164"/>
      <w:r>
        <w:rPr>
          <w:rFonts w:hint="eastAsia"/>
        </w:rPr>
        <w:t>二、评标标准</w:t>
      </w:r>
      <w:bookmarkEnd w:id="14"/>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11" w:hRule="atLeast"/>
          <w:jc w:val="center"/>
        </w:trPr>
        <w:tc>
          <w:tcPr>
            <w:tcW w:w="8559" w:type="dxa"/>
            <w:gridSpan w:val="4"/>
            <w:vAlign w:val="center"/>
          </w:tcPr>
          <w:p>
            <w:pPr>
              <w:widowControl/>
              <w:spacing w:line="360" w:lineRule="exact"/>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exact"/>
              <w:rPr>
                <w:rFonts w:ascii="宋体" w:hAnsi="宋体"/>
                <w:snapToGrid w:val="0"/>
                <w:kern w:val="0"/>
                <w:szCs w:val="21"/>
              </w:rPr>
            </w:pPr>
            <w:r>
              <w:rPr>
                <w:rFonts w:hint="eastAsia" w:ascii="宋体" w:hAnsi="宋体"/>
                <w:snapToGrid w:val="0"/>
                <w:kern w:val="0"/>
                <w:szCs w:val="21"/>
              </w:rPr>
              <w:t>备注：</w:t>
            </w:r>
          </w:p>
          <w:p>
            <w:pPr>
              <w:adjustRightInd w:val="0"/>
              <w:snapToGrid w:val="0"/>
              <w:spacing w:line="360" w:lineRule="exact"/>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autoSpaceDE w:val="0"/>
              <w:autoSpaceDN w:val="0"/>
              <w:adjustRightInd w:val="0"/>
              <w:spacing w:line="360" w:lineRule="exact"/>
              <w:jc w:val="left"/>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94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kern w:val="0"/>
                <w:szCs w:val="21"/>
              </w:rPr>
              <w:t>项目背景及现状分析</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10</w:t>
            </w:r>
          </w:p>
        </w:tc>
        <w:tc>
          <w:tcPr>
            <w:tcW w:w="5953" w:type="dxa"/>
            <w:vAlign w:val="center"/>
          </w:tcPr>
          <w:p>
            <w:pPr>
              <w:adjustRightInd w:val="0"/>
              <w:snapToGrid w:val="0"/>
              <w:spacing w:line="360" w:lineRule="exact"/>
              <w:rPr>
                <w:rFonts w:ascii="宋体" w:hAnsi="宋体" w:cs="宋体"/>
                <w:szCs w:val="21"/>
              </w:rPr>
            </w:pPr>
            <w:r>
              <w:rPr>
                <w:rFonts w:hint="eastAsia" w:ascii="宋体" w:hAnsi="宋体" w:cs="宋体"/>
                <w:b/>
                <w:bCs/>
                <w:szCs w:val="21"/>
              </w:rPr>
              <w:t>（一）评分内容：</w:t>
            </w:r>
          </w:p>
          <w:p>
            <w:pPr>
              <w:widowControl/>
              <w:wordWrap w:val="0"/>
              <w:adjustRightInd w:val="0"/>
              <w:snapToGrid w:val="0"/>
              <w:spacing w:line="360" w:lineRule="exact"/>
              <w:textAlignment w:val="top"/>
              <w:rPr>
                <w:rFonts w:ascii="宋体" w:hAnsi="宋体" w:cs="宋体"/>
                <w:kern w:val="0"/>
                <w:szCs w:val="21"/>
              </w:rPr>
            </w:pPr>
            <w:r>
              <w:rPr>
                <w:rFonts w:hint="eastAsia" w:ascii="宋体" w:hAnsi="宋体" w:cs="宋体"/>
                <w:kern w:val="0"/>
                <w:szCs w:val="21"/>
              </w:rPr>
              <w:t>投标人需按本项目要求提供项目背景及现状分析，包括但不限于以下内容：</w:t>
            </w:r>
          </w:p>
          <w:p>
            <w:pPr>
              <w:widowControl/>
              <w:wordWrap w:val="0"/>
              <w:adjustRightInd w:val="0"/>
              <w:snapToGrid w:val="0"/>
              <w:spacing w:line="360" w:lineRule="exact"/>
              <w:textAlignment w:val="top"/>
              <w:rPr>
                <w:rFonts w:ascii="宋体" w:hAnsi="宋体" w:cs="宋体"/>
                <w:kern w:val="0"/>
                <w:szCs w:val="21"/>
              </w:rPr>
            </w:pPr>
            <w:r>
              <w:rPr>
                <w:rFonts w:hint="eastAsia" w:ascii="宋体" w:hAnsi="宋体" w:cs="宋体"/>
                <w:kern w:val="0"/>
                <w:szCs w:val="21"/>
              </w:rPr>
              <w:t>1.对项目编制背景及必要性的进行阐述；</w:t>
            </w:r>
          </w:p>
          <w:p>
            <w:pPr>
              <w:widowControl/>
              <w:wordWrap w:val="0"/>
              <w:adjustRightInd w:val="0"/>
              <w:snapToGrid w:val="0"/>
              <w:spacing w:line="360" w:lineRule="exact"/>
              <w:textAlignment w:val="top"/>
              <w:rPr>
                <w:rFonts w:ascii="宋体" w:hAnsi="宋体" w:cs="宋体"/>
                <w:kern w:val="0"/>
                <w:szCs w:val="21"/>
              </w:rPr>
            </w:pPr>
            <w:r>
              <w:rPr>
                <w:rFonts w:hint="eastAsia" w:ascii="宋体" w:hAnsi="宋体" w:cs="宋体"/>
                <w:kern w:val="0"/>
                <w:szCs w:val="21"/>
              </w:rPr>
              <w:t>2.对深圳市综合管廊规划建设现状情况进行阐述；</w:t>
            </w:r>
          </w:p>
          <w:p>
            <w:pPr>
              <w:widowControl/>
              <w:wordWrap w:val="0"/>
              <w:adjustRightInd w:val="0"/>
              <w:snapToGrid w:val="0"/>
              <w:spacing w:line="360" w:lineRule="exact"/>
              <w:textAlignment w:val="top"/>
              <w:rPr>
                <w:rFonts w:ascii="宋体" w:hAnsi="宋体" w:cs="宋体"/>
                <w:kern w:val="0"/>
                <w:szCs w:val="21"/>
              </w:rPr>
            </w:pPr>
            <w:r>
              <w:rPr>
                <w:rFonts w:hint="eastAsia" w:ascii="宋体" w:hAnsi="宋体" w:cs="宋体"/>
                <w:kern w:val="0"/>
                <w:szCs w:val="21"/>
              </w:rPr>
              <w:t>3.对深圳市综合管廊规划建设过程中存在问题进行分析。</w:t>
            </w:r>
          </w:p>
          <w:p>
            <w:pPr>
              <w:widowControl/>
              <w:wordWrap w:val="0"/>
              <w:adjustRightInd w:val="0"/>
              <w:snapToGrid w:val="0"/>
              <w:spacing w:line="360" w:lineRule="exact"/>
              <w:textAlignment w:val="top"/>
              <w:rPr>
                <w:rFonts w:ascii="宋体" w:hAnsi="宋体" w:cs="宋体"/>
                <w:b/>
                <w:bCs/>
                <w:kern w:val="0"/>
                <w:szCs w:val="21"/>
              </w:rPr>
            </w:pPr>
            <w:r>
              <w:rPr>
                <w:rFonts w:hint="eastAsia" w:ascii="宋体" w:hAnsi="宋体" w:cs="宋体"/>
                <w:b/>
                <w:bCs/>
                <w:kern w:val="0"/>
                <w:szCs w:val="21"/>
              </w:rPr>
              <w:t>（二）评分标准：</w:t>
            </w:r>
          </w:p>
          <w:p>
            <w:pPr>
              <w:widowControl/>
              <w:wordWrap w:val="0"/>
              <w:adjustRightInd w:val="0"/>
              <w:snapToGrid w:val="0"/>
              <w:spacing w:line="360" w:lineRule="exact"/>
              <w:textAlignment w:val="top"/>
              <w:rPr>
                <w:rFonts w:ascii="宋体" w:hAnsi="宋体" w:cs="宋体"/>
                <w:kern w:val="0"/>
                <w:szCs w:val="21"/>
              </w:rPr>
            </w:pPr>
            <w:r>
              <w:rPr>
                <w:rFonts w:hint="eastAsia" w:ascii="宋体" w:hAnsi="宋体" w:cs="宋体"/>
                <w:kern w:val="0"/>
                <w:szCs w:val="21"/>
              </w:rPr>
              <w:t>方案包含以上三项内容得3分；包含以上二项内容得2分；包含以上一项内容得1分；其他情况不得分。</w:t>
            </w:r>
          </w:p>
          <w:p>
            <w:pPr>
              <w:widowControl/>
              <w:wordWrap w:val="0"/>
              <w:adjustRightInd w:val="0"/>
              <w:snapToGrid w:val="0"/>
              <w:spacing w:line="360" w:lineRule="exact"/>
              <w:textAlignment w:val="top"/>
              <w:rPr>
                <w:rFonts w:ascii="宋体" w:hAnsi="宋体" w:cs="宋体"/>
                <w:kern w:val="0"/>
                <w:szCs w:val="21"/>
              </w:rPr>
            </w:pPr>
            <w:r>
              <w:rPr>
                <w:rFonts w:hint="eastAsia" w:ascii="宋体" w:hAnsi="宋体" w:cs="宋体"/>
                <w:kern w:val="0"/>
                <w:szCs w:val="21"/>
              </w:rPr>
              <w:t>在此基础上，根据方案响应情况进一步评审：</w:t>
            </w:r>
          </w:p>
          <w:p>
            <w:pPr>
              <w:widowControl/>
              <w:wordWrap w:val="0"/>
              <w:adjustRightInd w:val="0"/>
              <w:snapToGrid w:val="0"/>
              <w:spacing w:line="360" w:lineRule="exact"/>
              <w:textAlignment w:val="top"/>
              <w:rPr>
                <w:rFonts w:ascii="宋体" w:hAnsi="宋体" w:cs="宋体"/>
                <w:kern w:val="0"/>
                <w:szCs w:val="21"/>
              </w:rPr>
            </w:pPr>
            <w:r>
              <w:rPr>
                <w:rFonts w:hint="eastAsia" w:ascii="宋体" w:hAnsi="宋体" w:cs="宋体"/>
                <w:kern w:val="0"/>
                <w:szCs w:val="21"/>
              </w:rPr>
              <w:t>1.项目背景完整、具体，现状分析全面的，加7分；</w:t>
            </w:r>
          </w:p>
          <w:p>
            <w:pPr>
              <w:widowControl/>
              <w:wordWrap w:val="0"/>
              <w:adjustRightInd w:val="0"/>
              <w:snapToGrid w:val="0"/>
              <w:spacing w:line="360" w:lineRule="exact"/>
              <w:textAlignment w:val="top"/>
              <w:rPr>
                <w:rFonts w:ascii="宋体" w:hAnsi="宋体" w:cs="宋体"/>
                <w:kern w:val="0"/>
                <w:szCs w:val="21"/>
              </w:rPr>
            </w:pPr>
            <w:r>
              <w:rPr>
                <w:rFonts w:hint="eastAsia" w:ascii="宋体" w:hAnsi="宋体" w:cs="宋体"/>
                <w:kern w:val="0"/>
                <w:szCs w:val="21"/>
              </w:rPr>
              <w:t>2.项目背景比较完整、具体，现状分析比较全面的，加4分；</w:t>
            </w:r>
          </w:p>
          <w:p>
            <w:pPr>
              <w:widowControl/>
              <w:wordWrap w:val="0"/>
              <w:adjustRightInd w:val="0"/>
              <w:snapToGrid w:val="0"/>
              <w:spacing w:line="360" w:lineRule="exact"/>
              <w:textAlignment w:val="top"/>
              <w:rPr>
                <w:rFonts w:ascii="宋体" w:hAnsi="宋体" w:cs="宋体"/>
                <w:kern w:val="0"/>
                <w:szCs w:val="21"/>
              </w:rPr>
            </w:pPr>
            <w:r>
              <w:rPr>
                <w:rFonts w:hint="eastAsia" w:ascii="宋体" w:hAnsi="宋体" w:cs="宋体"/>
                <w:kern w:val="0"/>
                <w:szCs w:val="21"/>
              </w:rPr>
              <w:t>3.项目背景不够完整、具体，现状分析不够全面的，加1分；</w:t>
            </w:r>
          </w:p>
          <w:p>
            <w:pPr>
              <w:widowControl/>
              <w:snapToGrid w:val="0"/>
              <w:spacing w:line="360" w:lineRule="exact"/>
              <w:jc w:val="left"/>
              <w:rPr>
                <w:rFonts w:ascii="宋体" w:hAnsi="宋体"/>
                <w:kern w:val="0"/>
                <w:szCs w:val="21"/>
              </w:rPr>
            </w:pPr>
            <w:r>
              <w:rPr>
                <w:rFonts w:hint="eastAsia" w:ascii="宋体" w:hAnsi="宋体" w:cs="宋体"/>
                <w:kern w:val="0"/>
                <w:szCs w:val="21"/>
              </w:rPr>
              <w:t>4.项目背景不完整、具体，现状分析不全面的，不加分。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384"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color w:val="000000"/>
                <w:szCs w:val="21"/>
              </w:rPr>
              <w:t>相关规划解读</w:t>
            </w:r>
          </w:p>
        </w:tc>
        <w:tc>
          <w:tcPr>
            <w:tcW w:w="709" w:type="dxa"/>
            <w:vAlign w:val="center"/>
          </w:tcPr>
          <w:p>
            <w:pPr>
              <w:widowControl/>
              <w:spacing w:line="360" w:lineRule="exact"/>
              <w:jc w:val="center"/>
              <w:rPr>
                <w:rFonts w:ascii="宋体" w:hAnsi="宋体"/>
                <w:kern w:val="0"/>
                <w:szCs w:val="21"/>
              </w:rPr>
            </w:pPr>
            <w:r>
              <w:rPr>
                <w:rFonts w:hint="eastAsia" w:ascii="宋体" w:hAnsi="宋体"/>
                <w:szCs w:val="21"/>
              </w:rPr>
              <w:t>12</w:t>
            </w:r>
          </w:p>
        </w:tc>
        <w:tc>
          <w:tcPr>
            <w:tcW w:w="5953" w:type="dxa"/>
            <w:vAlign w:val="center"/>
          </w:tcPr>
          <w:p>
            <w:pPr>
              <w:adjustRightInd w:val="0"/>
              <w:snapToGrid w:val="0"/>
              <w:spacing w:line="360" w:lineRule="exact"/>
              <w:rPr>
                <w:rFonts w:ascii="宋体" w:hAnsi="宋体" w:cs="宋体"/>
                <w:b/>
                <w:bCs/>
                <w:szCs w:val="21"/>
              </w:rPr>
            </w:pPr>
            <w:r>
              <w:rPr>
                <w:rFonts w:hint="eastAsia" w:ascii="宋体" w:hAnsi="宋体" w:cs="宋体"/>
                <w:b/>
                <w:bCs/>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投标人需按本项目要求提供相关规划解读，包括但不限于以下规划：</w:t>
            </w:r>
          </w:p>
          <w:p>
            <w:pPr>
              <w:adjustRightInd w:val="0"/>
              <w:snapToGrid w:val="0"/>
              <w:spacing w:line="360" w:lineRule="exact"/>
              <w:rPr>
                <w:rFonts w:ascii="宋体" w:hAnsi="宋体" w:cs="宋体"/>
                <w:szCs w:val="21"/>
              </w:rPr>
            </w:pPr>
            <w:r>
              <w:rPr>
                <w:rFonts w:hint="eastAsia" w:ascii="宋体" w:hAnsi="宋体" w:cs="宋体"/>
                <w:szCs w:val="21"/>
              </w:rPr>
              <w:t>1）《深圳市地下综合管廊工程规划（2016-2030）》；</w:t>
            </w:r>
          </w:p>
          <w:p>
            <w:pPr>
              <w:adjustRightInd w:val="0"/>
              <w:snapToGrid w:val="0"/>
              <w:spacing w:line="360" w:lineRule="exact"/>
              <w:rPr>
                <w:rFonts w:ascii="宋体" w:hAnsi="宋体" w:cs="宋体"/>
                <w:szCs w:val="21"/>
              </w:rPr>
            </w:pPr>
            <w:r>
              <w:rPr>
                <w:rFonts w:hint="eastAsia" w:ascii="宋体" w:hAnsi="宋体" w:cs="宋体"/>
                <w:szCs w:val="21"/>
              </w:rPr>
              <w:t>2）《宝安区综合管廊详细规划》；</w:t>
            </w:r>
          </w:p>
          <w:p>
            <w:pPr>
              <w:adjustRightInd w:val="0"/>
              <w:snapToGrid w:val="0"/>
              <w:spacing w:line="360" w:lineRule="exact"/>
              <w:rPr>
                <w:rFonts w:ascii="宋体" w:hAnsi="宋体" w:cs="宋体"/>
                <w:szCs w:val="21"/>
              </w:rPr>
            </w:pPr>
            <w:r>
              <w:rPr>
                <w:rFonts w:hint="eastAsia" w:ascii="宋体" w:hAnsi="宋体" w:cs="宋体"/>
                <w:szCs w:val="21"/>
              </w:rPr>
              <w:t>3）《南山区综合管廊详细规划》；</w:t>
            </w:r>
          </w:p>
          <w:p>
            <w:pPr>
              <w:adjustRightInd w:val="0"/>
              <w:snapToGrid w:val="0"/>
              <w:spacing w:line="360" w:lineRule="exact"/>
              <w:rPr>
                <w:rFonts w:ascii="宋体" w:hAnsi="宋体" w:cs="宋体"/>
                <w:szCs w:val="21"/>
              </w:rPr>
            </w:pPr>
            <w:r>
              <w:rPr>
                <w:rFonts w:hint="eastAsia" w:ascii="宋体" w:hAnsi="宋体" w:cs="宋体"/>
                <w:szCs w:val="21"/>
              </w:rPr>
              <w:t>4）《福田区综合管廊详细规划》；</w:t>
            </w:r>
          </w:p>
          <w:p>
            <w:pPr>
              <w:adjustRightInd w:val="0"/>
              <w:snapToGrid w:val="0"/>
              <w:spacing w:line="360" w:lineRule="exact"/>
              <w:rPr>
                <w:rFonts w:ascii="宋体" w:hAnsi="宋体" w:cs="宋体"/>
                <w:szCs w:val="21"/>
              </w:rPr>
            </w:pPr>
            <w:r>
              <w:rPr>
                <w:rFonts w:hint="eastAsia" w:ascii="宋体" w:hAnsi="宋体" w:cs="宋体"/>
                <w:szCs w:val="21"/>
              </w:rPr>
              <w:t>5）《罗湖区综合管廊详细规划》；</w:t>
            </w:r>
          </w:p>
          <w:p>
            <w:pPr>
              <w:adjustRightInd w:val="0"/>
              <w:snapToGrid w:val="0"/>
              <w:spacing w:line="360" w:lineRule="exact"/>
              <w:rPr>
                <w:rFonts w:ascii="宋体" w:hAnsi="宋体" w:cs="宋体"/>
                <w:szCs w:val="21"/>
              </w:rPr>
            </w:pPr>
            <w:r>
              <w:rPr>
                <w:rFonts w:hint="eastAsia" w:ascii="宋体" w:hAnsi="宋体" w:cs="宋体"/>
                <w:szCs w:val="21"/>
              </w:rPr>
              <w:t>6）《盐田区综合管廊详细规划》；</w:t>
            </w:r>
          </w:p>
          <w:p>
            <w:pPr>
              <w:adjustRightInd w:val="0"/>
              <w:snapToGrid w:val="0"/>
              <w:spacing w:line="360" w:lineRule="exact"/>
              <w:rPr>
                <w:rFonts w:ascii="宋体" w:hAnsi="宋体" w:cs="宋体"/>
                <w:szCs w:val="21"/>
              </w:rPr>
            </w:pPr>
            <w:r>
              <w:rPr>
                <w:rFonts w:hint="eastAsia" w:ascii="宋体" w:hAnsi="宋体" w:cs="宋体"/>
                <w:szCs w:val="21"/>
              </w:rPr>
              <w:t>7）《光明区综合管廊详细规划》；</w:t>
            </w:r>
          </w:p>
          <w:p>
            <w:pPr>
              <w:adjustRightInd w:val="0"/>
              <w:snapToGrid w:val="0"/>
              <w:spacing w:line="360" w:lineRule="exact"/>
              <w:rPr>
                <w:rFonts w:ascii="宋体" w:hAnsi="宋体" w:cs="宋体"/>
                <w:szCs w:val="21"/>
              </w:rPr>
            </w:pPr>
            <w:r>
              <w:rPr>
                <w:rFonts w:hint="eastAsia" w:ascii="宋体" w:hAnsi="宋体" w:cs="宋体"/>
                <w:szCs w:val="21"/>
              </w:rPr>
              <w:t>8）《龙华区综合管廊详细规划》；</w:t>
            </w:r>
          </w:p>
          <w:p>
            <w:pPr>
              <w:adjustRightInd w:val="0"/>
              <w:snapToGrid w:val="0"/>
              <w:spacing w:line="360" w:lineRule="exact"/>
              <w:rPr>
                <w:rFonts w:ascii="宋体" w:hAnsi="宋体" w:cs="宋体"/>
                <w:szCs w:val="21"/>
              </w:rPr>
            </w:pPr>
            <w:r>
              <w:rPr>
                <w:rFonts w:hint="eastAsia" w:ascii="宋体" w:hAnsi="宋体" w:cs="宋体"/>
                <w:szCs w:val="21"/>
              </w:rPr>
              <w:t>9）《龙岗区综合管廊详细规划》；</w:t>
            </w:r>
          </w:p>
          <w:p>
            <w:pPr>
              <w:adjustRightInd w:val="0"/>
              <w:snapToGrid w:val="0"/>
              <w:spacing w:line="360" w:lineRule="exact"/>
              <w:rPr>
                <w:rFonts w:ascii="宋体" w:hAnsi="宋体" w:cs="宋体"/>
                <w:szCs w:val="21"/>
              </w:rPr>
            </w:pPr>
            <w:r>
              <w:rPr>
                <w:rFonts w:hint="eastAsia" w:ascii="宋体" w:hAnsi="宋体" w:cs="宋体"/>
                <w:szCs w:val="21"/>
              </w:rPr>
              <w:t>10）《坪山区综合管廊详细规划》；</w:t>
            </w:r>
          </w:p>
          <w:p>
            <w:pPr>
              <w:adjustRightInd w:val="0"/>
              <w:snapToGrid w:val="0"/>
              <w:spacing w:line="360" w:lineRule="exact"/>
              <w:rPr>
                <w:rFonts w:ascii="宋体" w:hAnsi="宋体" w:cs="宋体"/>
                <w:szCs w:val="21"/>
              </w:rPr>
            </w:pPr>
            <w:r>
              <w:rPr>
                <w:rFonts w:hint="eastAsia" w:ascii="宋体" w:hAnsi="宋体" w:cs="宋体"/>
                <w:szCs w:val="21"/>
              </w:rPr>
              <w:t>11）《大鹏新区综合管廊详细规划》；</w:t>
            </w:r>
          </w:p>
          <w:p>
            <w:pPr>
              <w:adjustRightInd w:val="0"/>
              <w:snapToGrid w:val="0"/>
              <w:spacing w:line="360" w:lineRule="exact"/>
            </w:pPr>
            <w:r>
              <w:rPr>
                <w:rFonts w:hint="eastAsia" w:ascii="宋体" w:hAnsi="宋体" w:cs="宋体"/>
                <w:szCs w:val="21"/>
              </w:rPr>
              <w:t>12）《深汕合作区综合管廊详细规》；</w:t>
            </w:r>
          </w:p>
          <w:p>
            <w:pPr>
              <w:adjustRightInd w:val="0"/>
              <w:snapToGrid w:val="0"/>
              <w:spacing w:line="360" w:lineRule="exact"/>
              <w:rPr>
                <w:rFonts w:ascii="宋体" w:hAnsi="宋体" w:cs="宋体"/>
                <w:b/>
                <w:bCs/>
                <w:szCs w:val="21"/>
              </w:rPr>
            </w:pPr>
            <w:r>
              <w:rPr>
                <w:rFonts w:hint="eastAsia" w:ascii="宋体" w:hAnsi="宋体" w:cs="宋体"/>
                <w:b/>
                <w:bCs/>
                <w:szCs w:val="21"/>
              </w:rPr>
              <w:t>（二）评分标准：</w:t>
            </w:r>
          </w:p>
          <w:p>
            <w:pPr>
              <w:adjustRightInd w:val="0"/>
              <w:snapToGrid w:val="0"/>
              <w:spacing w:line="360" w:lineRule="exact"/>
              <w:rPr>
                <w:rFonts w:ascii="宋体" w:hAnsi="宋体" w:cs="宋体"/>
                <w:color w:val="auto"/>
                <w:szCs w:val="21"/>
              </w:rPr>
            </w:pPr>
            <w:r>
              <w:rPr>
                <w:rFonts w:hint="eastAsia" w:ascii="宋体" w:hAnsi="宋体" w:cs="宋体"/>
                <w:color w:val="auto"/>
                <w:szCs w:val="21"/>
              </w:rPr>
              <w:t>1、相关解读规划包含上述任意9项或以上的得5分，包含上述任意5项（含）~8项（含）的得3分，包含上述任意1项（含）~4项（含）的得1分。</w:t>
            </w:r>
          </w:p>
          <w:p>
            <w:pPr>
              <w:adjustRightInd w:val="0"/>
              <w:snapToGrid w:val="0"/>
              <w:spacing w:line="360" w:lineRule="exact"/>
              <w:rPr>
                <w:rFonts w:ascii="宋体" w:hAnsi="宋体" w:cs="宋体"/>
                <w:szCs w:val="21"/>
              </w:rPr>
            </w:pPr>
            <w:r>
              <w:rPr>
                <w:rFonts w:hint="eastAsia" w:ascii="宋体" w:hAnsi="宋体" w:cs="宋体"/>
                <w:szCs w:val="21"/>
              </w:rPr>
              <w:t>2、在以上评审内容的基础上，专家根据各投标人的具体响应内容进一步评审加分：</w:t>
            </w:r>
          </w:p>
          <w:p>
            <w:pPr>
              <w:adjustRightInd w:val="0"/>
              <w:snapToGrid w:val="0"/>
              <w:spacing w:line="360" w:lineRule="exact"/>
              <w:rPr>
                <w:rFonts w:ascii="宋体" w:hAnsi="宋体" w:cs="宋体"/>
                <w:szCs w:val="21"/>
              </w:rPr>
            </w:pPr>
            <w:r>
              <w:rPr>
                <w:rFonts w:hint="eastAsia" w:ascii="宋体" w:hAnsi="宋体" w:cs="宋体"/>
                <w:szCs w:val="21"/>
              </w:rPr>
              <w:t>优：以上相关规划解读全面具体、针对性强、可操作性强，加</w:t>
            </w:r>
            <w:r>
              <w:rPr>
                <w:rFonts w:ascii="宋体" w:hAnsi="宋体" w:cs="宋体"/>
                <w:szCs w:val="21"/>
              </w:rPr>
              <w:t>7</w:t>
            </w:r>
            <w:r>
              <w:rPr>
                <w:rFonts w:hint="eastAsia" w:ascii="宋体" w:hAnsi="宋体" w:cs="宋体"/>
                <w:szCs w:val="21"/>
              </w:rPr>
              <w:t>分；</w:t>
            </w:r>
          </w:p>
          <w:p>
            <w:pPr>
              <w:adjustRightInd w:val="0"/>
              <w:snapToGrid w:val="0"/>
              <w:spacing w:line="360" w:lineRule="exact"/>
              <w:rPr>
                <w:rFonts w:ascii="宋体" w:hAnsi="宋体" w:cs="宋体"/>
                <w:szCs w:val="21"/>
              </w:rPr>
            </w:pPr>
            <w:r>
              <w:rPr>
                <w:rFonts w:hint="eastAsia" w:ascii="宋体" w:hAnsi="宋体" w:cs="宋体"/>
                <w:szCs w:val="21"/>
              </w:rPr>
              <w:t>良：以上相关规划解读较全面、针对性较强、可操作性较强，加</w:t>
            </w:r>
            <w:r>
              <w:rPr>
                <w:rFonts w:ascii="宋体" w:hAnsi="宋体" w:cs="宋体"/>
                <w:szCs w:val="21"/>
              </w:rPr>
              <w:t>5</w:t>
            </w:r>
            <w:r>
              <w:rPr>
                <w:rFonts w:hint="eastAsia" w:ascii="宋体" w:hAnsi="宋体" w:cs="宋体"/>
                <w:szCs w:val="21"/>
              </w:rPr>
              <w:t>分；</w:t>
            </w:r>
          </w:p>
          <w:p>
            <w:pPr>
              <w:adjustRightInd w:val="0"/>
              <w:snapToGrid w:val="0"/>
              <w:spacing w:line="360" w:lineRule="exact"/>
              <w:rPr>
                <w:rFonts w:ascii="宋体" w:hAnsi="宋体" w:cs="宋体"/>
                <w:szCs w:val="21"/>
              </w:rPr>
            </w:pPr>
            <w:r>
              <w:rPr>
                <w:rFonts w:hint="eastAsia" w:ascii="宋体" w:hAnsi="宋体" w:cs="宋体"/>
                <w:szCs w:val="21"/>
              </w:rPr>
              <w:t>中：以上相关规划解读完整性、针对性、可操作性均一般，加</w:t>
            </w:r>
            <w:r>
              <w:rPr>
                <w:rFonts w:ascii="宋体" w:hAnsi="宋体" w:cs="宋体"/>
                <w:szCs w:val="21"/>
              </w:rPr>
              <w:t>3</w:t>
            </w:r>
            <w:r>
              <w:rPr>
                <w:rFonts w:hint="eastAsia" w:ascii="宋体" w:hAnsi="宋体" w:cs="宋体"/>
                <w:szCs w:val="21"/>
              </w:rPr>
              <w:t>分；</w:t>
            </w:r>
          </w:p>
          <w:p>
            <w:pPr>
              <w:adjustRightInd w:val="0"/>
              <w:snapToGrid w:val="0"/>
              <w:spacing w:line="360" w:lineRule="exact"/>
              <w:rPr>
                <w:rFonts w:ascii="宋体" w:hAnsi="宋体" w:cs="宋体"/>
                <w:szCs w:val="21"/>
              </w:rPr>
            </w:pPr>
            <w:r>
              <w:rPr>
                <w:rFonts w:hint="eastAsia" w:ascii="宋体" w:hAnsi="宋体" w:cs="宋体"/>
                <w:szCs w:val="21"/>
              </w:rPr>
              <w:t>差：相关规划解读内容不科学、不完整、针对性较弱，不加分；如果评审为差，请书面说明理由，并记录存档。</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4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kern w:val="0"/>
                <w:szCs w:val="21"/>
              </w:rPr>
              <w:t>项目重点难点分析及应对措施建议</w:t>
            </w:r>
          </w:p>
        </w:tc>
        <w:tc>
          <w:tcPr>
            <w:tcW w:w="709" w:type="dxa"/>
            <w:vAlign w:val="center"/>
          </w:tcPr>
          <w:p>
            <w:pPr>
              <w:widowControl/>
              <w:spacing w:line="360" w:lineRule="exact"/>
              <w:jc w:val="center"/>
              <w:rPr>
                <w:rFonts w:ascii="宋体" w:hAnsi="宋体"/>
                <w:kern w:val="0"/>
                <w:szCs w:val="21"/>
              </w:rPr>
            </w:pPr>
            <w:r>
              <w:rPr>
                <w:rFonts w:hint="eastAsia" w:ascii="宋体" w:hAnsi="宋体"/>
                <w:kern w:val="0"/>
                <w:szCs w:val="21"/>
              </w:rPr>
              <w:t>10</w:t>
            </w:r>
          </w:p>
        </w:tc>
        <w:tc>
          <w:tcPr>
            <w:tcW w:w="5953" w:type="dxa"/>
            <w:vAlign w:val="center"/>
          </w:tcPr>
          <w:p>
            <w:pPr>
              <w:adjustRightInd w:val="0"/>
              <w:snapToGrid w:val="0"/>
              <w:spacing w:line="360" w:lineRule="exact"/>
              <w:rPr>
                <w:rFonts w:ascii="宋体" w:hAnsi="宋体" w:cs="宋体"/>
                <w:b/>
                <w:bCs/>
                <w:szCs w:val="21"/>
              </w:rPr>
            </w:pPr>
            <w:r>
              <w:rPr>
                <w:rFonts w:hint="eastAsia" w:ascii="宋体" w:hAnsi="宋体" w:cs="宋体"/>
                <w:b/>
                <w:bCs/>
                <w:szCs w:val="21"/>
              </w:rPr>
              <w:t>（一）评分内容：</w:t>
            </w:r>
          </w:p>
          <w:p>
            <w:pPr>
              <w:autoSpaceDE w:val="0"/>
              <w:autoSpaceDN w:val="0"/>
              <w:adjustRightInd w:val="0"/>
              <w:spacing w:line="360" w:lineRule="exact"/>
              <w:rPr>
                <w:rFonts w:asciiTheme="minorEastAsia" w:hAnsiTheme="minorEastAsia" w:eastAsiaTheme="minorEastAsia"/>
                <w:kern w:val="0"/>
                <w:szCs w:val="21"/>
              </w:rPr>
            </w:pPr>
            <w:r>
              <w:rPr>
                <w:rFonts w:hint="eastAsia" w:ascii="宋体" w:hAnsi="宋体" w:cs="宋体"/>
                <w:kern w:val="0"/>
                <w:szCs w:val="21"/>
              </w:rPr>
              <w:t>投标人需按本项目要求</w:t>
            </w:r>
            <w:r>
              <w:rPr>
                <w:rFonts w:hint="eastAsia" w:asciiTheme="minorEastAsia" w:hAnsiTheme="minorEastAsia" w:eastAsiaTheme="minorEastAsia"/>
                <w:kern w:val="0"/>
                <w:szCs w:val="21"/>
              </w:rPr>
              <w:t>提供的</w:t>
            </w:r>
            <w:r>
              <w:rPr>
                <w:rFonts w:hint="eastAsia" w:ascii="宋体" w:hAnsi="宋体"/>
                <w:szCs w:val="21"/>
              </w:rPr>
              <w:t>项目重点难点分析、应对措施及相关的合理化建议</w:t>
            </w:r>
            <w:r>
              <w:rPr>
                <w:rFonts w:hint="eastAsia" w:asciiTheme="minorEastAsia" w:hAnsiTheme="minorEastAsia" w:eastAsiaTheme="minorEastAsia"/>
                <w:kern w:val="0"/>
                <w:szCs w:val="21"/>
              </w:rPr>
              <w:t>，包含以下内容：</w:t>
            </w:r>
          </w:p>
          <w:p>
            <w:pPr>
              <w:widowControl/>
              <w:spacing w:line="360" w:lineRule="exact"/>
              <w:jc w:val="left"/>
              <w:textAlignment w:val="top"/>
              <w:rPr>
                <w:rFonts w:ascii="宋体" w:hAnsi="宋体" w:cs="宋体"/>
                <w:kern w:val="0"/>
                <w:szCs w:val="21"/>
              </w:rPr>
            </w:pPr>
            <w:r>
              <w:rPr>
                <w:rFonts w:hint="eastAsia" w:ascii="宋体" w:hAnsi="宋体" w:cs="宋体"/>
                <w:kern w:val="0"/>
                <w:szCs w:val="21"/>
              </w:rPr>
              <w:t>1.结合深圳市已建在建综合管廊项目遇到的问题，提炼分析深圳市综合管廊规划建设及运营全周期重难点；</w:t>
            </w:r>
          </w:p>
          <w:p>
            <w:pPr>
              <w:widowControl/>
              <w:spacing w:line="360" w:lineRule="exact"/>
              <w:jc w:val="left"/>
              <w:textAlignment w:val="top"/>
              <w:rPr>
                <w:rFonts w:ascii="宋体" w:hAnsi="宋体" w:cs="宋体"/>
                <w:kern w:val="0"/>
                <w:szCs w:val="21"/>
              </w:rPr>
            </w:pPr>
            <w:r>
              <w:rPr>
                <w:rFonts w:hint="eastAsia" w:ascii="宋体" w:hAnsi="宋体" w:cs="宋体"/>
                <w:kern w:val="0"/>
                <w:szCs w:val="21"/>
              </w:rPr>
              <w:t>2.结合相应重难点提出解决措施。</w:t>
            </w:r>
          </w:p>
          <w:p>
            <w:pPr>
              <w:widowControl/>
              <w:snapToGrid w:val="0"/>
              <w:spacing w:line="360" w:lineRule="exact"/>
              <w:jc w:val="left"/>
              <w:rPr>
                <w:rFonts w:ascii="宋体" w:hAnsi="宋体" w:cs="宋体"/>
                <w:szCs w:val="21"/>
              </w:rPr>
            </w:pPr>
            <w:r>
              <w:rPr>
                <w:rFonts w:ascii="宋体" w:hAnsi="宋体" w:cs="宋体"/>
                <w:kern w:val="0"/>
                <w:szCs w:val="21"/>
              </w:rPr>
              <w:t>3.相关的合理化建议。</w:t>
            </w:r>
          </w:p>
          <w:p>
            <w:pPr>
              <w:widowControl/>
              <w:snapToGrid w:val="0"/>
              <w:spacing w:line="360" w:lineRule="exact"/>
              <w:jc w:val="left"/>
              <w:rPr>
                <w:rFonts w:ascii="宋体" w:hAnsi="宋体"/>
                <w:b/>
                <w:bCs/>
                <w:kern w:val="0"/>
                <w:szCs w:val="21"/>
              </w:rPr>
            </w:pPr>
            <w:r>
              <w:rPr>
                <w:rFonts w:hint="eastAsia" w:ascii="宋体" w:hAnsi="宋体"/>
                <w:b/>
                <w:bCs/>
                <w:kern w:val="0"/>
                <w:szCs w:val="21"/>
              </w:rPr>
              <w:t>（二）评分标准：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方案包含以上三项内容得3分；包含以上两项内容得2分</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包含以上一项内容得1分；其他情况不得分。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在此基础上，根据方案响应情况进一步评审：</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宋体" w:hAnsi="宋体"/>
                <w:kern w:val="0"/>
                <w:szCs w:val="21"/>
              </w:rPr>
              <w:t>重点难点分析全面，应对措施可行性高，相关建议科学合理的</w:t>
            </w:r>
            <w:r>
              <w:rPr>
                <w:rFonts w:hint="eastAsia" w:asciiTheme="minorEastAsia" w:hAnsiTheme="minorEastAsia" w:eastAsiaTheme="minorEastAsia"/>
                <w:szCs w:val="21"/>
              </w:rPr>
              <w:t>，加7分；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宋体" w:hAnsi="宋体"/>
                <w:kern w:val="0"/>
                <w:szCs w:val="21"/>
              </w:rPr>
              <w:t>重点难点分析比较全面，应对措施可行性较高，相关建议比较合理的</w:t>
            </w:r>
            <w:r>
              <w:rPr>
                <w:rFonts w:hint="eastAsia" w:asciiTheme="minorEastAsia" w:hAnsiTheme="minorEastAsia" w:eastAsiaTheme="minorEastAsia"/>
                <w:szCs w:val="21"/>
              </w:rPr>
              <w:t>，加4分；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ascii="宋体" w:hAnsi="宋体"/>
                <w:kern w:val="0"/>
                <w:szCs w:val="21"/>
              </w:rPr>
              <w:t>重点难点分析不够全面，应对措施可行性一般，相关建议不够合理的</w:t>
            </w:r>
            <w:r>
              <w:rPr>
                <w:rFonts w:hint="eastAsia" w:asciiTheme="minorEastAsia" w:hAnsiTheme="minorEastAsia" w:eastAsiaTheme="minorEastAsia"/>
                <w:szCs w:val="21"/>
              </w:rPr>
              <w:t>，加1分；</w:t>
            </w:r>
          </w:p>
          <w:p>
            <w:pPr>
              <w:widowControl/>
              <w:snapToGrid w:val="0"/>
              <w:spacing w:line="360" w:lineRule="exact"/>
              <w:jc w:val="left"/>
              <w:rPr>
                <w:rFonts w:ascii="宋体" w:hAnsi="宋体" w:cs="宋体"/>
                <w:szCs w:val="21"/>
              </w:rPr>
            </w:pPr>
            <w:r>
              <w:rPr>
                <w:rFonts w:hint="eastAsia" w:asciiTheme="minorEastAsia" w:hAnsiTheme="minorEastAsia" w:eastAsiaTheme="minorEastAsia"/>
                <w:szCs w:val="21"/>
              </w:rPr>
              <w:t>4.</w:t>
            </w:r>
            <w:r>
              <w:rPr>
                <w:rFonts w:hint="eastAsia" w:ascii="宋体" w:hAnsi="宋体"/>
                <w:kern w:val="0"/>
                <w:szCs w:val="21"/>
              </w:rPr>
              <w:t>重点难点分析不全面，应对措施可行性低，相关建议不合理的</w:t>
            </w:r>
            <w:r>
              <w:rPr>
                <w:rFonts w:hint="eastAsia" w:asciiTheme="minorEastAsia" w:hAnsiTheme="minorEastAsia" w:eastAsiaTheme="minorEastAsia"/>
                <w:szCs w:val="21"/>
              </w:rPr>
              <w:t>，不加分。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813"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质量（完成时间、安全、环保）保障措施及方案</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5953" w:type="dxa"/>
            <w:vAlign w:val="center"/>
          </w:tcPr>
          <w:p>
            <w:pPr>
              <w:autoSpaceDE w:val="0"/>
              <w:autoSpaceDN w:val="0"/>
              <w:adjustRightInd w:val="0"/>
              <w:spacing w:line="360" w:lineRule="exact"/>
              <w:rPr>
                <w:rFonts w:ascii="宋体" w:hAnsi="宋体" w:cs="宋体"/>
                <w:b/>
                <w:bCs/>
                <w:szCs w:val="21"/>
              </w:rPr>
            </w:pPr>
            <w:r>
              <w:rPr>
                <w:rFonts w:hint="eastAsia" w:ascii="宋体" w:hAnsi="宋体" w:cs="宋体"/>
                <w:b/>
                <w:bCs/>
                <w:szCs w:val="21"/>
              </w:rPr>
              <w:t>（一）评分内容：</w:t>
            </w:r>
            <w:r>
              <w:rPr>
                <w:rFonts w:hint="eastAsia" w:ascii="宋体" w:hAnsi="宋体" w:cs="宋体"/>
                <w:b/>
                <w:bCs/>
                <w:szCs w:val="21"/>
              </w:rPr>
              <w:br w:type="textWrapping"/>
            </w:r>
            <w:r>
              <w:rPr>
                <w:rFonts w:hint="eastAsia" w:ascii="宋体" w:hAnsi="宋体" w:cs="宋体"/>
                <w:kern w:val="0"/>
                <w:szCs w:val="21"/>
              </w:rPr>
              <w:t>投标人需按本项目要求</w:t>
            </w:r>
            <w:r>
              <w:rPr>
                <w:rFonts w:hint="eastAsia" w:asciiTheme="minorEastAsia" w:hAnsiTheme="minorEastAsia" w:eastAsiaTheme="minorEastAsia"/>
                <w:kern w:val="0"/>
                <w:szCs w:val="21"/>
              </w:rPr>
              <w:t>提供的</w:t>
            </w:r>
            <w:r>
              <w:rPr>
                <w:rFonts w:hint="eastAsia" w:ascii="宋体" w:hAnsi="宋体"/>
                <w:szCs w:val="21"/>
              </w:rPr>
              <w:t>质量保障措施及方案</w:t>
            </w:r>
            <w:r>
              <w:rPr>
                <w:rFonts w:hint="eastAsia" w:asciiTheme="minorEastAsia" w:hAnsiTheme="minorEastAsia" w:eastAsiaTheme="minorEastAsia"/>
                <w:kern w:val="0"/>
                <w:szCs w:val="21"/>
              </w:rPr>
              <w:t>，包含以下内容：</w:t>
            </w:r>
          </w:p>
          <w:p>
            <w:pPr>
              <w:widowControl/>
              <w:spacing w:line="360" w:lineRule="exact"/>
              <w:textAlignment w:val="top"/>
              <w:rPr>
                <w:rFonts w:ascii="宋体" w:hAnsi="宋体" w:cs="宋体"/>
                <w:szCs w:val="21"/>
              </w:rPr>
            </w:pPr>
            <w:r>
              <w:rPr>
                <w:rFonts w:hint="eastAsia" w:ascii="宋体" w:hAnsi="宋体" w:cs="宋体"/>
                <w:szCs w:val="21"/>
              </w:rPr>
              <w:t>1.</w:t>
            </w:r>
            <w:r>
              <w:rPr>
                <w:rFonts w:hint="eastAsia" w:ascii="宋体" w:hAnsi="宋体" w:cs="宋体"/>
                <w:kern w:val="0"/>
                <w:szCs w:val="21"/>
              </w:rPr>
              <w:t>项目时间进度安排；</w:t>
            </w:r>
          </w:p>
          <w:p>
            <w:pPr>
              <w:widowControl/>
              <w:spacing w:line="360" w:lineRule="exact"/>
              <w:textAlignment w:val="top"/>
              <w:rPr>
                <w:rFonts w:ascii="宋体" w:hAnsi="宋体" w:cs="宋体"/>
                <w:szCs w:val="21"/>
              </w:rPr>
            </w:pPr>
            <w:r>
              <w:rPr>
                <w:rFonts w:hint="eastAsia" w:ascii="宋体" w:hAnsi="宋体" w:cs="宋体"/>
                <w:szCs w:val="21"/>
              </w:rPr>
              <w:t>2.项目组织管理安排；</w:t>
            </w:r>
          </w:p>
          <w:p>
            <w:pPr>
              <w:autoSpaceDE w:val="0"/>
              <w:autoSpaceDN w:val="0"/>
              <w:adjustRightInd w:val="0"/>
              <w:spacing w:line="360" w:lineRule="exact"/>
              <w:rPr>
                <w:rFonts w:ascii="宋体" w:hAnsi="宋体" w:cs="宋体"/>
                <w:szCs w:val="21"/>
              </w:rPr>
            </w:pPr>
            <w:r>
              <w:rPr>
                <w:rFonts w:hint="eastAsia" w:ascii="宋体" w:hAnsi="宋体" w:cs="宋体"/>
                <w:szCs w:val="21"/>
              </w:rPr>
              <w:t>3.项目风险防控安排；</w:t>
            </w:r>
          </w:p>
          <w:p>
            <w:pPr>
              <w:pStyle w:val="94"/>
              <w:spacing w:line="360" w:lineRule="exact"/>
              <w:ind w:firstLine="0" w:firstLineChars="0"/>
              <w:rPr>
                <w:rFonts w:asciiTheme="minorEastAsia" w:hAnsiTheme="minorEastAsia" w:eastAsiaTheme="minorEastAsia"/>
                <w:b/>
                <w:bCs/>
                <w:szCs w:val="21"/>
              </w:rPr>
            </w:pPr>
            <w:r>
              <w:rPr>
                <w:rFonts w:hint="eastAsia" w:asciiTheme="minorEastAsia" w:hAnsiTheme="minorEastAsia" w:eastAsiaTheme="minorEastAsia"/>
                <w:b/>
                <w:bCs/>
                <w:szCs w:val="21"/>
              </w:rPr>
              <w:t>（二）评分标准：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方案包含以上三项内容得3分；包含以上二项内容得2分；包含以上一项内容得1分；其他情况不得分。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在此基础上，根据方案响应情况进一步评审：</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cstheme="minorEastAsia"/>
                <w:szCs w:val="21"/>
              </w:rPr>
              <w:t>方案内容全面、具体，合理性高</w:t>
            </w:r>
            <w:r>
              <w:rPr>
                <w:rFonts w:hint="eastAsia" w:ascii="宋体" w:hAnsi="宋体"/>
                <w:kern w:val="0"/>
                <w:szCs w:val="21"/>
              </w:rPr>
              <w:t>的</w:t>
            </w:r>
            <w:r>
              <w:rPr>
                <w:rFonts w:hint="eastAsia" w:asciiTheme="minorEastAsia" w:hAnsiTheme="minorEastAsia" w:eastAsiaTheme="minorEastAsia"/>
                <w:szCs w:val="21"/>
              </w:rPr>
              <w:t>，加7分；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cstheme="minorEastAsia"/>
                <w:szCs w:val="21"/>
              </w:rPr>
              <w:t>方案内容较全面、具体，合理性较高</w:t>
            </w:r>
            <w:r>
              <w:rPr>
                <w:rFonts w:hint="eastAsia" w:ascii="宋体" w:hAnsi="宋体"/>
                <w:kern w:val="0"/>
                <w:szCs w:val="21"/>
              </w:rPr>
              <w:t>的</w:t>
            </w:r>
            <w:r>
              <w:rPr>
                <w:rFonts w:hint="eastAsia" w:asciiTheme="minorEastAsia" w:hAnsiTheme="minorEastAsia" w:eastAsiaTheme="minorEastAsia"/>
                <w:szCs w:val="21"/>
              </w:rPr>
              <w:t>，加4分；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cstheme="minorEastAsia"/>
                <w:szCs w:val="21"/>
              </w:rPr>
              <w:t>方案内容全面性、合理性一般</w:t>
            </w:r>
            <w:r>
              <w:rPr>
                <w:rFonts w:hint="eastAsia" w:ascii="宋体" w:hAnsi="宋体"/>
                <w:kern w:val="0"/>
                <w:szCs w:val="21"/>
              </w:rPr>
              <w:t>的</w:t>
            </w:r>
            <w:r>
              <w:rPr>
                <w:rFonts w:hint="eastAsia" w:asciiTheme="minorEastAsia" w:hAnsiTheme="minorEastAsia" w:eastAsiaTheme="minorEastAsia"/>
                <w:szCs w:val="21"/>
              </w:rPr>
              <w:t>，加1分；</w:t>
            </w:r>
          </w:p>
          <w:p>
            <w:pPr>
              <w:pStyle w:val="18"/>
              <w:spacing w:line="360" w:lineRule="exact"/>
              <w:rPr>
                <w:rFonts w:ascii="宋体" w:hAnsi="宋体" w:cs="宋体"/>
                <w:szCs w:val="21"/>
              </w:rPr>
            </w:pPr>
            <w:r>
              <w:rPr>
                <w:rFonts w:hint="eastAsia" w:asciiTheme="minorEastAsia" w:hAnsiTheme="minorEastAsia" w:eastAsiaTheme="minorEastAsia"/>
                <w:szCs w:val="21"/>
              </w:rPr>
              <w:t>4.</w:t>
            </w:r>
            <w:r>
              <w:rPr>
                <w:rFonts w:hint="eastAsia" w:asciiTheme="minorEastAsia" w:hAnsiTheme="minorEastAsia" w:eastAsiaTheme="minorEastAsia" w:cstheme="minorEastAsia"/>
                <w:szCs w:val="21"/>
              </w:rPr>
              <w:t>方案内容不全、合理性低</w:t>
            </w:r>
            <w:r>
              <w:rPr>
                <w:rFonts w:hint="eastAsia" w:ascii="宋体" w:hAnsi="宋体"/>
                <w:kern w:val="0"/>
                <w:szCs w:val="21"/>
              </w:rPr>
              <w:t>的</w:t>
            </w:r>
            <w:r>
              <w:rPr>
                <w:rFonts w:hint="eastAsia" w:asciiTheme="minorEastAsia" w:hAnsiTheme="minorEastAsia" w:eastAsiaTheme="minorEastAsia"/>
                <w:szCs w:val="21"/>
              </w:rPr>
              <w:t>，不加分。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adjustRightInd w:val="0"/>
              <w:snapToGrid w:val="0"/>
              <w:spacing w:line="360" w:lineRule="exact"/>
              <w:jc w:val="center"/>
              <w:textAlignment w:val="top"/>
              <w:rPr>
                <w:rFonts w:ascii="宋体" w:hAnsi="宋体"/>
                <w:kern w:val="0"/>
                <w:szCs w:val="21"/>
              </w:rPr>
            </w:pPr>
            <w:r>
              <w:rPr>
                <w:rFonts w:hint="eastAsia" w:ascii="宋体" w:hAnsi="宋体" w:cs="宋体"/>
                <w:kern w:val="0"/>
                <w:szCs w:val="21"/>
              </w:rPr>
              <w:t>同类业绩情况</w:t>
            </w:r>
          </w:p>
        </w:tc>
        <w:tc>
          <w:tcPr>
            <w:tcW w:w="709" w:type="dxa"/>
            <w:vAlign w:val="center"/>
          </w:tcPr>
          <w:p>
            <w:pPr>
              <w:widowControl/>
              <w:adjustRightInd w:val="0"/>
              <w:snapToGrid w:val="0"/>
              <w:spacing w:line="360" w:lineRule="exact"/>
              <w:jc w:val="center"/>
              <w:textAlignment w:val="top"/>
              <w:rPr>
                <w:rFonts w:ascii="宋体" w:hAnsi="宋体"/>
                <w:kern w:val="0"/>
                <w:szCs w:val="21"/>
              </w:rPr>
            </w:pPr>
            <w:r>
              <w:rPr>
                <w:rFonts w:hint="eastAsia" w:ascii="宋体" w:hAnsi="宋体" w:cs="宋体"/>
                <w:kern w:val="0"/>
                <w:szCs w:val="21"/>
              </w:rPr>
              <w:t>10</w:t>
            </w:r>
          </w:p>
        </w:tc>
        <w:tc>
          <w:tcPr>
            <w:tcW w:w="5953" w:type="dxa"/>
            <w:vAlign w:val="center"/>
          </w:tcPr>
          <w:p>
            <w:pPr>
              <w:pStyle w:val="30"/>
              <w:adjustRightInd w:val="0"/>
              <w:snapToGrid w:val="0"/>
              <w:spacing w:line="360" w:lineRule="exact"/>
              <w:rPr>
                <w:rFonts w:ascii="宋体" w:hAnsi="宋体" w:cs="宋体"/>
                <w:b/>
                <w:bCs/>
                <w:kern w:val="0"/>
                <w:sz w:val="21"/>
                <w:szCs w:val="21"/>
              </w:rPr>
            </w:pPr>
            <w:r>
              <w:rPr>
                <w:rFonts w:hint="eastAsia" w:ascii="宋体" w:hAnsi="宋体" w:cs="宋体"/>
                <w:b/>
                <w:bCs/>
                <w:kern w:val="0"/>
                <w:sz w:val="21"/>
                <w:szCs w:val="21"/>
              </w:rPr>
              <w:t>（一）评分内容：</w:t>
            </w:r>
          </w:p>
          <w:p>
            <w:pPr>
              <w:pStyle w:val="30"/>
              <w:adjustRightInd w:val="0"/>
              <w:snapToGrid w:val="0"/>
              <w:spacing w:line="360" w:lineRule="exact"/>
              <w:rPr>
                <w:rFonts w:ascii="宋体" w:hAnsi="宋体" w:cs="宋体"/>
                <w:kern w:val="0"/>
                <w:szCs w:val="21"/>
              </w:rPr>
            </w:pPr>
            <w:r>
              <w:rPr>
                <w:rFonts w:hint="eastAsia" w:ascii="宋体" w:hAnsi="宋体" w:cs="宋体"/>
                <w:kern w:val="0"/>
                <w:szCs w:val="21"/>
              </w:rPr>
              <w:t>1.</w:t>
            </w:r>
            <w:r>
              <w:rPr>
                <w:rFonts w:hint="eastAsia" w:ascii="宋体" w:hAnsi="宋体" w:cs="宋体"/>
                <w:kern w:val="0"/>
                <w:sz w:val="21"/>
                <w:szCs w:val="21"/>
              </w:rPr>
              <w:t>2019年1月1日至本项目投标截止日（以合同签订日期或中标通知书发出日期为准），投标人具有城市规划类、工程类或市政类相关技术服务业绩的，每有一项业绩得2.5分，最多得10分，同一项目续签合同的不可重复得分；</w:t>
            </w:r>
          </w:p>
          <w:p>
            <w:pPr>
              <w:pStyle w:val="30"/>
              <w:adjustRightInd w:val="0"/>
              <w:snapToGrid w:val="0"/>
              <w:spacing w:line="360" w:lineRule="exact"/>
              <w:rPr>
                <w:rFonts w:ascii="宋体" w:hAnsi="宋体"/>
                <w:kern w:val="0"/>
                <w:szCs w:val="21"/>
              </w:rPr>
            </w:pPr>
            <w:r>
              <w:rPr>
                <w:rFonts w:hint="eastAsia" w:ascii="宋体" w:hAnsi="宋体" w:cs="宋体"/>
                <w:b/>
                <w:bCs/>
                <w:kern w:val="0"/>
                <w:sz w:val="21"/>
                <w:szCs w:val="21"/>
              </w:rPr>
              <w:t>（二）评分依据：</w:t>
            </w:r>
            <w:r>
              <w:rPr>
                <w:rFonts w:hint="eastAsia" w:ascii="宋体" w:hAnsi="宋体" w:cs="宋体"/>
                <w:kern w:val="0"/>
                <w:sz w:val="21"/>
                <w:szCs w:val="21"/>
              </w:rPr>
              <w:br w:type="textWrapping"/>
            </w:r>
            <w:r>
              <w:rPr>
                <w:rFonts w:hint="eastAsia" w:cs="宋体" w:asciiTheme="minorEastAsia" w:hAnsiTheme="minorEastAsia" w:eastAsiaTheme="minorEastAsia"/>
                <w:kern w:val="0"/>
                <w:sz w:val="21"/>
                <w:szCs w:val="21"/>
              </w:rPr>
              <w:t>1.提供项目合同关键页或中标通知书且提供的材料各项信息不得有任何遮挡。</w:t>
            </w:r>
            <w:r>
              <w:rPr>
                <w:rFonts w:hint="eastAsia" w:cs="宋体" w:asciiTheme="minorEastAsia" w:hAnsiTheme="minorEastAsia" w:eastAsiaTheme="minorEastAsia"/>
                <w:kern w:val="0"/>
                <w:sz w:val="21"/>
                <w:szCs w:val="21"/>
              </w:rPr>
              <w:br w:type="textWrapping"/>
            </w:r>
            <w:r>
              <w:rPr>
                <w:rFonts w:hint="eastAsia" w:cs="宋体" w:asciiTheme="minorEastAsia" w:hAnsiTheme="minorEastAsia" w:eastAsiaTheme="minorEastAsia"/>
                <w:kern w:val="0"/>
                <w:sz w:val="21"/>
                <w:szCs w:val="21"/>
              </w:rPr>
              <w:t>2.城市规划类、工程类或市政类包含：城市规划、道路工程、土木工程、轨道工程、市政/市政基础设施、给水/水资源、雨水/排涝/内涝防治、污水/雨水径流污染治理、非常规水资源/再生水/海水、海绵城市/低影响、能源/电力/燃气、通信、综合管廊/共同沟等类别。</w:t>
            </w:r>
            <w:r>
              <w:rPr>
                <w:rFonts w:hint="eastAsia" w:cs="宋体" w:asciiTheme="minorEastAsia" w:hAnsiTheme="minorEastAsia" w:eastAsiaTheme="minorEastAsia"/>
                <w:kern w:val="0"/>
                <w:sz w:val="21"/>
                <w:szCs w:val="21"/>
              </w:rPr>
              <w:br w:type="textWrapping"/>
            </w:r>
            <w:r>
              <w:rPr>
                <w:rFonts w:hint="eastAsia" w:cs="宋体" w:asciiTheme="minorEastAsia" w:hAnsiTheme="minorEastAsia" w:eastAsiaTheme="minorEastAsia"/>
                <w:kern w:val="0"/>
                <w:sz w:val="21"/>
                <w:szCs w:val="21"/>
              </w:rPr>
              <w:t>3.提供以上证明文件复印件或扫描件，如涉及网站截图或照片等证明材料,需提供清晰图片, 原件备查。未按要求提供有效证明材料或提供不清晰导致评委无法识别的不计得分。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adjustRightInd w:val="0"/>
              <w:snapToGrid w:val="0"/>
              <w:spacing w:line="360" w:lineRule="exact"/>
              <w:jc w:val="center"/>
              <w:textAlignment w:val="top"/>
              <w:rPr>
                <w:rFonts w:ascii="宋体" w:hAnsi="宋体"/>
                <w:snapToGrid w:val="0"/>
                <w:kern w:val="0"/>
                <w:szCs w:val="21"/>
              </w:rPr>
            </w:pPr>
            <w:r>
              <w:rPr>
                <w:rFonts w:hint="eastAsia" w:ascii="宋体" w:hAnsi="宋体" w:cs="宋体"/>
                <w:kern w:val="0"/>
                <w:szCs w:val="21"/>
              </w:rPr>
              <w:t>投标人获奖情况</w:t>
            </w:r>
          </w:p>
        </w:tc>
        <w:tc>
          <w:tcPr>
            <w:tcW w:w="709" w:type="dxa"/>
            <w:vAlign w:val="center"/>
          </w:tcPr>
          <w:p>
            <w:pPr>
              <w:widowControl/>
              <w:adjustRightInd w:val="0"/>
              <w:snapToGrid w:val="0"/>
              <w:spacing w:line="360" w:lineRule="exact"/>
              <w:jc w:val="center"/>
              <w:textAlignment w:val="top"/>
              <w:rPr>
                <w:rFonts w:ascii="宋体" w:hAnsi="宋体"/>
                <w:snapToGrid w:val="0"/>
                <w:kern w:val="0"/>
                <w:szCs w:val="21"/>
              </w:rPr>
            </w:pPr>
            <w:r>
              <w:rPr>
                <w:rFonts w:hint="eastAsia" w:ascii="宋体" w:hAnsi="宋体" w:cs="宋体"/>
                <w:kern w:val="0"/>
                <w:szCs w:val="21"/>
              </w:rPr>
              <w:t>5</w:t>
            </w:r>
          </w:p>
        </w:tc>
        <w:tc>
          <w:tcPr>
            <w:tcW w:w="5953" w:type="dxa"/>
            <w:vAlign w:val="center"/>
          </w:tcPr>
          <w:p>
            <w:pPr>
              <w:widowControl/>
              <w:adjustRightInd w:val="0"/>
              <w:snapToGrid w:val="0"/>
              <w:spacing w:line="360" w:lineRule="exact"/>
              <w:textAlignment w:val="top"/>
              <w:rPr>
                <w:rFonts w:ascii="宋体" w:hAnsi="宋体" w:cs="宋体"/>
                <w:b/>
                <w:bCs/>
                <w:kern w:val="0"/>
                <w:szCs w:val="21"/>
              </w:rPr>
            </w:pPr>
            <w:r>
              <w:rPr>
                <w:rFonts w:hint="eastAsia" w:ascii="宋体" w:hAnsi="宋体" w:cs="宋体"/>
                <w:b/>
                <w:bCs/>
                <w:kern w:val="0"/>
                <w:szCs w:val="21"/>
              </w:rPr>
              <w:t>（一）评分内容：</w:t>
            </w:r>
          </w:p>
          <w:p>
            <w:pPr>
              <w:widowControl/>
              <w:adjustRightInd w:val="0"/>
              <w:snapToGrid w:val="0"/>
              <w:spacing w:line="360" w:lineRule="exact"/>
              <w:textAlignment w:val="top"/>
              <w:rPr>
                <w:rFonts w:ascii="宋体" w:hAnsi="宋体" w:cs="宋体"/>
                <w:kern w:val="0"/>
                <w:szCs w:val="21"/>
              </w:rPr>
            </w:pPr>
            <w:r>
              <w:rPr>
                <w:rFonts w:hint="eastAsia" w:ascii="宋体" w:hAnsi="宋体" w:cs="宋体"/>
                <w:kern w:val="0"/>
                <w:szCs w:val="21"/>
              </w:rPr>
              <w:t>自2019年1月1日至本项目投标截止日期，投标人承担城市规划类、工程类或市政类专项规划、研究或技术服务类项目的，获得省/部级及以上奖项得2分，获得市级奖项每项得1分，本项累计得分不超过5分。</w:t>
            </w:r>
          </w:p>
          <w:p>
            <w:pPr>
              <w:widowControl/>
              <w:adjustRightInd w:val="0"/>
              <w:snapToGrid w:val="0"/>
              <w:spacing w:line="360" w:lineRule="exact"/>
              <w:textAlignment w:val="top"/>
              <w:rPr>
                <w:rFonts w:ascii="宋体" w:hAnsi="宋体" w:cs="宋体"/>
                <w:b/>
                <w:bCs/>
                <w:kern w:val="0"/>
                <w:szCs w:val="21"/>
              </w:rPr>
            </w:pPr>
            <w:r>
              <w:rPr>
                <w:rFonts w:hint="eastAsia" w:ascii="宋体" w:hAnsi="宋体" w:cs="宋体"/>
                <w:b/>
                <w:bCs/>
                <w:kern w:val="0"/>
                <w:szCs w:val="21"/>
              </w:rPr>
              <w:t>（二）评分依据：</w:t>
            </w:r>
          </w:p>
          <w:p>
            <w:pPr>
              <w:widowControl/>
              <w:adjustRightInd w:val="0"/>
              <w:snapToGrid w:val="0"/>
              <w:spacing w:line="360" w:lineRule="exact"/>
              <w:textAlignment w:val="top"/>
              <w:rPr>
                <w:rFonts w:ascii="宋体" w:hAnsi="宋体" w:cs="宋体"/>
                <w:kern w:val="0"/>
                <w:szCs w:val="21"/>
              </w:rPr>
            </w:pPr>
            <w:r>
              <w:rPr>
                <w:rFonts w:hint="eastAsia" w:ascii="宋体" w:hAnsi="宋体" w:cs="宋体"/>
                <w:kern w:val="0"/>
                <w:szCs w:val="21"/>
              </w:rPr>
              <w:t>1.获奖时间以证书颁发日期为准，若同一个项目同时获得多个奖项，只计获得的最高奖励（荣誉、表彰），不可重复计分。</w:t>
            </w:r>
          </w:p>
          <w:p>
            <w:pPr>
              <w:widowControl/>
              <w:adjustRightInd w:val="0"/>
              <w:snapToGrid w:val="0"/>
              <w:spacing w:line="360" w:lineRule="exact"/>
              <w:textAlignment w:val="top"/>
              <w:rPr>
                <w:rFonts w:hint="eastAsia" w:ascii="宋体" w:hAnsi="宋体" w:cs="宋体"/>
                <w:kern w:val="0"/>
                <w:szCs w:val="21"/>
              </w:rPr>
            </w:pPr>
            <w:r>
              <w:rPr>
                <w:rFonts w:hint="eastAsia" w:ascii="宋体" w:hAnsi="宋体" w:cs="宋体"/>
                <w:kern w:val="0"/>
                <w:szCs w:val="21"/>
              </w:rPr>
              <w:t>2.城市规划类、工程类或市政类包含：城市规划、道路工程、土木工程、轨道工程、市政/市政基础设施、给水/水资源、雨水/排涝/内涝防治、污水/雨水径流污染治理、非常规水资源/再生水/海水、海绵城市/低影响、能源/电力/燃气、通信、综合管廊/共同沟等类别。</w:t>
            </w:r>
          </w:p>
          <w:p>
            <w:pPr>
              <w:widowControl/>
              <w:adjustRightInd w:val="0"/>
              <w:snapToGrid w:val="0"/>
              <w:spacing w:line="360" w:lineRule="exact"/>
              <w:textAlignment w:val="top"/>
              <w:rPr>
                <w:rFonts w:ascii="宋体" w:hAnsi="宋体" w:cs="宋体"/>
                <w:kern w:val="0"/>
                <w:szCs w:val="21"/>
              </w:rPr>
            </w:pPr>
            <w:r>
              <w:rPr>
                <w:rFonts w:hint="eastAsia" w:ascii="宋体" w:hAnsi="宋体" w:cs="宋体"/>
                <w:kern w:val="0"/>
                <w:szCs w:val="21"/>
              </w:rPr>
              <w:t>3.要求提供奖项照片或获奖（荣誉）证书等证明材料作为得分依据。</w:t>
            </w:r>
            <w:r>
              <w:rPr>
                <w:rFonts w:hint="eastAsia" w:ascii="宋体" w:hAnsi="宋体" w:cs="宋体"/>
                <w:kern w:val="0"/>
                <w:szCs w:val="21"/>
              </w:rPr>
              <w:br w:type="textWrapping"/>
            </w:r>
            <w:r>
              <w:rPr>
                <w:rFonts w:hint="eastAsia" w:ascii="宋体" w:hAnsi="宋体" w:cs="宋体"/>
                <w:kern w:val="0"/>
                <w:szCs w:val="21"/>
              </w:rPr>
              <w:t>4.</w:t>
            </w:r>
            <w:r>
              <w:rPr>
                <w:rFonts w:hint="eastAsia" w:ascii="宋体" w:hAnsi="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p>
          <w:p>
            <w:pPr>
              <w:adjustRightInd w:val="0"/>
              <w:snapToGrid w:val="0"/>
              <w:spacing w:line="360" w:lineRule="exact"/>
              <w:rPr>
                <w:rFonts w:ascii="宋体" w:hAnsi="宋体"/>
                <w:b/>
                <w:bCs/>
                <w:kern w:val="0"/>
                <w:szCs w:val="21"/>
              </w:rPr>
            </w:pPr>
            <w:r>
              <w:rPr>
                <w:rFonts w:hint="eastAsia" w:ascii="宋体" w:hAnsi="宋体" w:cs="宋体"/>
                <w:kern w:val="0"/>
                <w:szCs w:val="21"/>
              </w:rPr>
              <w:t>5.</w:t>
            </w:r>
            <w:r>
              <w:rPr>
                <w:rFonts w:hint="eastAsia"/>
              </w:rPr>
              <w:t xml:space="preserve"> </w:t>
            </w:r>
            <w:r>
              <w:rPr>
                <w:rFonts w:hint="eastAsia" w:ascii="宋体" w:hAnsi="宋体" w:cs="宋体"/>
                <w:kern w:val="0"/>
                <w:szCs w:val="21"/>
              </w:rPr>
              <w:t>国家级奖项要求颁发单位为国务院或国家部委；省级奖项要求颁发单位为省级（含自治区、直辖市）人民政府（或行业主管行政机关），不含副省级；市级奖项要求颁发单位为市级人民政府（或行业主管行政机关）。或协会颁发的受行政机关委托开展的有关资质/奖项或能力认定的证书。</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381"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3</w:t>
            </w:r>
          </w:p>
        </w:tc>
        <w:tc>
          <w:tcPr>
            <w:tcW w:w="1143" w:type="dxa"/>
            <w:vAlign w:val="center"/>
          </w:tcPr>
          <w:p>
            <w:pPr>
              <w:widowControl/>
              <w:adjustRightInd w:val="0"/>
              <w:snapToGrid w:val="0"/>
              <w:spacing w:line="360" w:lineRule="exact"/>
              <w:jc w:val="center"/>
              <w:textAlignment w:val="top"/>
              <w:rPr>
                <w:rFonts w:ascii="宋体" w:hAnsi="宋体" w:cs="仿宋"/>
                <w:szCs w:val="21"/>
              </w:rPr>
            </w:pPr>
            <w:r>
              <w:rPr>
                <w:rFonts w:hint="eastAsia" w:ascii="宋体" w:hAnsi="宋体" w:cs="宋体"/>
                <w:kern w:val="0"/>
                <w:szCs w:val="21"/>
              </w:rPr>
              <w:t>拟安排的项目负责人情况</w:t>
            </w:r>
          </w:p>
        </w:tc>
        <w:tc>
          <w:tcPr>
            <w:tcW w:w="709" w:type="dxa"/>
            <w:vAlign w:val="center"/>
          </w:tcPr>
          <w:p>
            <w:pPr>
              <w:widowControl/>
              <w:adjustRightInd w:val="0"/>
              <w:snapToGrid w:val="0"/>
              <w:spacing w:line="360" w:lineRule="exact"/>
              <w:jc w:val="center"/>
              <w:textAlignment w:val="top"/>
              <w:rPr>
                <w:rFonts w:ascii="宋体" w:hAnsi="宋体" w:cs="仿宋"/>
                <w:szCs w:val="21"/>
              </w:rPr>
            </w:pPr>
            <w:r>
              <w:rPr>
                <w:rFonts w:hint="eastAsia" w:ascii="宋体" w:hAnsi="宋体" w:cs="宋体"/>
                <w:kern w:val="0"/>
                <w:szCs w:val="21"/>
              </w:rPr>
              <w:t>10</w:t>
            </w:r>
          </w:p>
        </w:tc>
        <w:tc>
          <w:tcPr>
            <w:tcW w:w="5953" w:type="dxa"/>
            <w:vAlign w:val="center"/>
          </w:tcPr>
          <w:p>
            <w:pPr>
              <w:adjustRightInd w:val="0"/>
              <w:snapToGrid w:val="0"/>
              <w:spacing w:line="360" w:lineRule="exact"/>
              <w:rPr>
                <w:rFonts w:ascii="宋体" w:hAnsi="宋体" w:cs="宋体"/>
                <w:b/>
                <w:bCs/>
                <w:szCs w:val="21"/>
              </w:rPr>
            </w:pPr>
            <w:r>
              <w:rPr>
                <w:rFonts w:hint="eastAsia" w:ascii="宋体" w:hAnsi="宋体" w:cs="宋体"/>
                <w:b/>
                <w:bCs/>
                <w:szCs w:val="21"/>
              </w:rPr>
              <w:t>（一）评分内容：</w:t>
            </w:r>
          </w:p>
          <w:p>
            <w:pPr>
              <w:adjustRightInd w:val="0"/>
              <w:snapToGrid w:val="0"/>
              <w:spacing w:line="360" w:lineRule="exact"/>
              <w:rPr>
                <w:rFonts w:hint="eastAsia" w:ascii="宋体" w:hAnsi="宋体" w:cs="宋体"/>
                <w:b w:val="0"/>
                <w:bCs w:val="0"/>
                <w:szCs w:val="21"/>
              </w:rPr>
            </w:pPr>
            <w:r>
              <w:rPr>
                <w:rFonts w:hint="eastAsia" w:ascii="宋体" w:hAnsi="宋体" w:cs="宋体"/>
                <w:b w:val="0"/>
                <w:bCs w:val="0"/>
                <w:szCs w:val="21"/>
              </w:rPr>
              <w:t>拟安排的项目负责人(仅限1人）需为投标人正式聘任员工，否则本项不得分。在此基础上，按以下标准评分：</w:t>
            </w:r>
          </w:p>
          <w:p>
            <w:pPr>
              <w:adjustRightInd w:val="0"/>
              <w:snapToGrid w:val="0"/>
              <w:spacing w:line="360" w:lineRule="exact"/>
              <w:rPr>
                <w:rFonts w:ascii="宋体" w:hAnsi="宋体" w:cs="宋体"/>
                <w:szCs w:val="21"/>
              </w:rPr>
            </w:pPr>
            <w:r>
              <w:rPr>
                <w:rFonts w:hint="eastAsia" w:ascii="宋体" w:hAnsi="宋体" w:cs="宋体"/>
                <w:szCs w:val="21"/>
              </w:rPr>
              <w:t>1. 项目负责人具有城市规划类或工程类或市政类专业教授级高级工程师职称，得6分；具有城市规划或工程类或市政类专业副高级</w:t>
            </w:r>
            <w:bookmarkStart w:id="119" w:name="_GoBack"/>
            <w:bookmarkEnd w:id="119"/>
            <w:r>
              <w:rPr>
                <w:rFonts w:hint="eastAsia" w:ascii="宋体" w:hAnsi="宋体" w:cs="宋体"/>
                <w:szCs w:val="21"/>
              </w:rPr>
              <w:t>工程师职称的，得3分；其它不得分。</w:t>
            </w:r>
          </w:p>
          <w:p>
            <w:pPr>
              <w:adjustRightInd w:val="0"/>
              <w:snapToGrid w:val="0"/>
              <w:spacing w:line="360" w:lineRule="exact"/>
              <w:rPr>
                <w:rFonts w:ascii="宋体" w:hAnsi="宋体" w:cs="宋体"/>
                <w:szCs w:val="21"/>
              </w:rPr>
            </w:pPr>
            <w:r>
              <w:rPr>
                <w:rFonts w:hint="eastAsia" w:ascii="宋体" w:hAnsi="宋体" w:cs="宋体"/>
                <w:szCs w:val="21"/>
              </w:rPr>
              <w:t>2.自2019年1月1日至本项目投标截止日期（以发证日期为准），以项目负责人身份承担过城市规划类、工程类或市政类专项规划、研究或技术服务项目的，获得省/部级及以上奖项得2分，获得地/市级奖项得1分，该项满分得4分。</w:t>
            </w:r>
          </w:p>
          <w:p>
            <w:pPr>
              <w:adjustRightInd w:val="0"/>
              <w:snapToGrid w:val="0"/>
              <w:spacing w:line="360" w:lineRule="exact"/>
              <w:rPr>
                <w:rFonts w:ascii="宋体" w:hAnsi="宋体" w:cs="宋体"/>
                <w:b/>
                <w:bCs/>
                <w:szCs w:val="21"/>
              </w:rPr>
            </w:pPr>
            <w:r>
              <w:rPr>
                <w:rFonts w:hint="eastAsia" w:ascii="宋体" w:hAnsi="宋体" w:cs="宋体"/>
                <w:b/>
                <w:bCs/>
                <w:szCs w:val="21"/>
              </w:rPr>
              <w:t>（二）评分依据：</w:t>
            </w:r>
          </w:p>
          <w:p>
            <w:pPr>
              <w:adjustRightInd w:val="0"/>
              <w:snapToGrid w:val="0"/>
              <w:spacing w:line="360" w:lineRule="exact"/>
              <w:rPr>
                <w:rFonts w:ascii="宋体" w:hAnsi="宋体" w:cs="宋体"/>
                <w:szCs w:val="21"/>
              </w:rPr>
            </w:pPr>
            <w:r>
              <w:rPr>
                <w:rFonts w:hint="eastAsia" w:ascii="宋体" w:hAnsi="宋体" w:cs="宋体"/>
                <w:szCs w:val="21"/>
              </w:rPr>
              <w:t>1.要求提供通过投标人购买的项目负责人近三个月的个人社保证明（由于社保部门或税务部门原因最近一个月的社保证明无法提供的可往前顺延一个月；如供应商为新成立企业且成立时间不足三个月可提供加盖公章的情况说明或者证明材料亦视为符合；退休人员需提供返聘合同）；社保证明可以是社保部门或税务部门资料或网页资料或窗口打印资料均可。</w:t>
            </w:r>
          </w:p>
          <w:p>
            <w:pPr>
              <w:adjustRightInd w:val="0"/>
              <w:snapToGrid w:val="0"/>
              <w:spacing w:line="360" w:lineRule="exact"/>
              <w:rPr>
                <w:rFonts w:ascii="宋体" w:hAnsi="宋体" w:cs="宋体"/>
                <w:szCs w:val="21"/>
              </w:rPr>
            </w:pPr>
            <w:r>
              <w:rPr>
                <w:rFonts w:hint="eastAsia" w:ascii="宋体" w:hAnsi="宋体" w:cs="宋体"/>
                <w:szCs w:val="21"/>
              </w:rPr>
              <w:t>2.提供项目负责人职称证书、荣誉（奖项）证书或</w:t>
            </w:r>
            <w:r>
              <w:rPr>
                <w:rFonts w:hint="eastAsia" w:ascii="宋体" w:hAnsi="宋体" w:cs="宋体"/>
                <w:kern w:val="0"/>
                <w:szCs w:val="21"/>
              </w:rPr>
              <w:t>奖项照片</w:t>
            </w:r>
            <w:r>
              <w:rPr>
                <w:rFonts w:hint="eastAsia" w:ascii="宋体" w:hAnsi="宋体" w:cs="宋体"/>
                <w:szCs w:val="21"/>
              </w:rPr>
              <w:t>。</w:t>
            </w:r>
          </w:p>
          <w:p>
            <w:pPr>
              <w:spacing w:line="360" w:lineRule="exact"/>
              <w:rPr>
                <w:rFonts w:ascii="宋体" w:hAnsi="宋体"/>
                <w:szCs w:val="21"/>
              </w:rPr>
            </w:pPr>
            <w:r>
              <w:rPr>
                <w:rFonts w:hint="eastAsia" w:ascii="宋体" w:hAnsi="宋体" w:cs="宋体"/>
                <w:bCs/>
                <w:szCs w:val="21"/>
              </w:rPr>
              <w:t>3.</w:t>
            </w:r>
            <w:r>
              <w:rPr>
                <w:rFonts w:hint="eastAsia" w:ascii="宋体" w:hAnsi="宋体"/>
                <w:szCs w:val="21"/>
              </w:rPr>
              <w:t>提供以上证明文件复印件或扫描件，如涉及网站截图或照片等证明材料，需提供清晰图片，原件备查。未按要求提供有效证明材料或提供不清晰导致评委无法识别的不计得分。</w:t>
            </w:r>
            <w:r>
              <w:rPr>
                <w:rFonts w:hint="eastAsia" w:ascii="宋体" w:hAnsi="宋体"/>
                <w:szCs w:val="21"/>
              </w:rPr>
              <w:br w:type="textWrapping"/>
            </w:r>
            <w:r>
              <w:rPr>
                <w:rFonts w:hint="eastAsia" w:ascii="宋体" w:hAnsi="宋体"/>
                <w:szCs w:val="21"/>
              </w:rPr>
              <w:t>4.</w:t>
            </w:r>
            <w:r>
              <w:rPr>
                <w:rFonts w:hint="eastAsia" w:ascii="宋体" w:hAnsi="宋体" w:cs="宋体"/>
                <w:bCs/>
                <w:kern w:val="0"/>
                <w:szCs w:val="21"/>
              </w:rPr>
              <w:t>国家级奖项要求颁发单位为国务院或国家部委；省级奖项要求颁发单位为省级（含自治区、直辖市）人民政府（或行业主管行政机关），不含副省级；市级奖项要求颁发单位为市级人民政府（或行业主管行政机关）。</w:t>
            </w:r>
            <w:r>
              <w:rPr>
                <w:rFonts w:hint="eastAsia" w:ascii="宋体" w:hAnsi="宋体" w:cs="宋体"/>
                <w:bCs/>
                <w:kern w:val="0"/>
                <w:szCs w:val="21"/>
              </w:rPr>
              <w:br w:type="textWrapping"/>
            </w:r>
            <w:r>
              <w:rPr>
                <w:rFonts w:hint="eastAsia" w:ascii="宋体" w:hAnsi="宋体" w:cs="宋体"/>
                <w:bCs/>
                <w:kern w:val="0"/>
                <w:szCs w:val="21"/>
              </w:rPr>
              <w:t>5. 城市规划类、工程类或市政类包含：城市规划、道路工程、土木工程、轨道工程、市政/市政基础设施、给水/水资源、雨水/排涝/内涝防治、污水/雨水径流污染治理、非常规水资源/再生水/海水、海绵城市/低影响、能源/电力/燃气、通信、综合管廊/共同沟等类别。</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528"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4</w:t>
            </w:r>
          </w:p>
        </w:tc>
        <w:tc>
          <w:tcPr>
            <w:tcW w:w="1143" w:type="dxa"/>
            <w:vAlign w:val="center"/>
          </w:tcPr>
          <w:p>
            <w:pPr>
              <w:widowControl/>
              <w:adjustRightInd w:val="0"/>
              <w:snapToGrid w:val="0"/>
              <w:spacing w:line="360" w:lineRule="exact"/>
              <w:jc w:val="center"/>
              <w:textAlignment w:val="top"/>
              <w:rPr>
                <w:rFonts w:ascii="宋体" w:hAnsi="宋体" w:cs="仿宋"/>
                <w:szCs w:val="21"/>
              </w:rPr>
            </w:pPr>
            <w:r>
              <w:rPr>
                <w:rFonts w:hint="eastAsia" w:ascii="宋体" w:hAnsi="宋体" w:cs="宋体"/>
                <w:kern w:val="0"/>
                <w:szCs w:val="21"/>
              </w:rPr>
              <w:t>拟安排的项目技术团队成员（项目负责人除外）情况</w:t>
            </w:r>
          </w:p>
        </w:tc>
        <w:tc>
          <w:tcPr>
            <w:tcW w:w="709" w:type="dxa"/>
            <w:vAlign w:val="center"/>
          </w:tcPr>
          <w:p>
            <w:pPr>
              <w:adjustRightInd w:val="0"/>
              <w:snapToGrid w:val="0"/>
              <w:spacing w:line="360" w:lineRule="exact"/>
              <w:jc w:val="center"/>
              <w:rPr>
                <w:rFonts w:ascii="宋体" w:hAnsi="宋体" w:cs="仿宋"/>
                <w:szCs w:val="21"/>
              </w:rPr>
            </w:pPr>
            <w:r>
              <w:rPr>
                <w:rFonts w:hint="eastAsia" w:ascii="宋体" w:hAnsi="宋体" w:cs="宋体"/>
                <w:szCs w:val="21"/>
              </w:rPr>
              <w:t>6</w:t>
            </w:r>
          </w:p>
        </w:tc>
        <w:tc>
          <w:tcPr>
            <w:tcW w:w="5953" w:type="dxa"/>
          </w:tcPr>
          <w:p>
            <w:pPr>
              <w:adjustRightInd w:val="0"/>
              <w:snapToGrid w:val="0"/>
              <w:spacing w:line="360" w:lineRule="exact"/>
              <w:rPr>
                <w:rFonts w:ascii="宋体" w:hAnsi="宋体" w:cs="宋体"/>
                <w:szCs w:val="21"/>
              </w:rPr>
            </w:pPr>
            <w:r>
              <w:rPr>
                <w:rFonts w:hint="eastAsia" w:ascii="宋体" w:hAnsi="宋体" w:cs="宋体"/>
                <w:szCs w:val="21"/>
              </w:rPr>
              <w:t>（一）评分内容：</w:t>
            </w:r>
          </w:p>
          <w:p>
            <w:pPr>
              <w:adjustRightInd w:val="0"/>
              <w:snapToGrid w:val="0"/>
              <w:spacing w:line="360" w:lineRule="exact"/>
              <w:rPr>
                <w:ins w:id="0" w:author="2321" w:date="2024-05-26T16:11:00Z"/>
                <w:rFonts w:ascii="宋体" w:hAnsi="宋体" w:cs="宋体"/>
                <w:szCs w:val="21"/>
              </w:rPr>
            </w:pPr>
            <w:r>
              <w:rPr>
                <w:rFonts w:hint="eastAsia" w:ascii="宋体" w:hAnsi="宋体" w:cs="宋体"/>
                <w:szCs w:val="21"/>
              </w:rPr>
              <w:t>拟安排的项目技术团队成员须为投标人自有员工，项目技术团队（项目负责人除外），配备的人员需为城市规划类、</w:t>
            </w:r>
            <w:r>
              <w:rPr>
                <w:rFonts w:hint="eastAsia" w:ascii="宋体" w:hAnsi="宋体" w:cs="宋体"/>
                <w:kern w:val="0"/>
                <w:szCs w:val="21"/>
              </w:rPr>
              <w:t>道路工程、土木工程、轨道工程、</w:t>
            </w:r>
            <w:r>
              <w:rPr>
                <w:rFonts w:hint="eastAsia" w:ascii="宋体" w:hAnsi="宋体" w:cs="宋体"/>
                <w:szCs w:val="21"/>
              </w:rPr>
              <w:t>给排水/市政工程类，环境类，电气/电力类，通信/电信类，燃气/暖通/供热类</w:t>
            </w:r>
            <w:r>
              <w:rPr>
                <w:rFonts w:hint="eastAsia" w:ascii="宋体" w:hAnsi="宋体" w:cs="宋体"/>
                <w:kern w:val="0"/>
                <w:szCs w:val="21"/>
              </w:rPr>
              <w:t>等</w:t>
            </w:r>
            <w:r>
              <w:rPr>
                <w:rFonts w:hint="eastAsia" w:ascii="宋体" w:hAnsi="宋体" w:cs="宋体"/>
                <w:szCs w:val="21"/>
              </w:rPr>
              <w:t>9类专业（专业以毕业证书为准）专业内的人员；在此基础上，按以下标准评分。</w:t>
            </w:r>
          </w:p>
          <w:p>
            <w:pPr>
              <w:adjustRightInd w:val="0"/>
              <w:snapToGrid w:val="0"/>
              <w:spacing w:line="360" w:lineRule="exact"/>
              <w:rPr>
                <w:rFonts w:ascii="宋体" w:hAnsi="宋体" w:cs="宋体"/>
                <w:szCs w:val="21"/>
              </w:rPr>
            </w:pPr>
            <w:r>
              <w:rPr>
                <w:rFonts w:hint="eastAsia" w:ascii="宋体" w:hAnsi="宋体" w:cs="宋体"/>
                <w:szCs w:val="21"/>
              </w:rPr>
              <w:t>1.团队成员中，配备具有工程师职称的，每人次得0.5分；具有副高级</w:t>
            </w:r>
            <w:r>
              <w:rPr>
                <w:rFonts w:hint="eastAsia" w:ascii="宋体" w:hAnsi="宋体" w:cs="宋体"/>
                <w:szCs w:val="21"/>
                <w:lang w:val="en-US" w:eastAsia="zh-CN"/>
              </w:rPr>
              <w:t>或以上</w:t>
            </w:r>
            <w:r>
              <w:rPr>
                <w:rFonts w:hint="eastAsia" w:ascii="宋体" w:hAnsi="宋体" w:cs="宋体"/>
                <w:szCs w:val="21"/>
              </w:rPr>
              <w:t>工程师职称的，每人次得1分。该小项满分得6分。</w:t>
            </w:r>
          </w:p>
          <w:p>
            <w:pPr>
              <w:adjustRightInd w:val="0"/>
              <w:snapToGrid w:val="0"/>
              <w:spacing w:line="360" w:lineRule="exact"/>
              <w:rPr>
                <w:rFonts w:ascii="宋体" w:hAnsi="宋体" w:cs="宋体"/>
                <w:szCs w:val="21"/>
              </w:rPr>
            </w:pPr>
            <w:r>
              <w:rPr>
                <w:rFonts w:hint="eastAsia" w:ascii="宋体" w:hAnsi="宋体" w:cs="宋体"/>
                <w:szCs w:val="21"/>
              </w:rPr>
              <w:t>（二）评分依据：</w:t>
            </w:r>
          </w:p>
          <w:p>
            <w:pPr>
              <w:adjustRightInd w:val="0"/>
              <w:snapToGrid w:val="0"/>
              <w:spacing w:line="360" w:lineRule="exact"/>
              <w:rPr>
                <w:rFonts w:ascii="宋体" w:hAnsi="宋体" w:cs="宋体"/>
                <w:szCs w:val="21"/>
              </w:rPr>
            </w:pPr>
            <w:r>
              <w:rPr>
                <w:rFonts w:hint="eastAsia" w:ascii="宋体" w:hAnsi="宋体" w:cs="宋体"/>
                <w:szCs w:val="21"/>
              </w:rPr>
              <w:t>1.要求提供项目团队成员职称证书、</w:t>
            </w:r>
            <w:r>
              <w:rPr>
                <w:rFonts w:hint="eastAsia" w:ascii="宋体" w:hAnsi="宋体"/>
                <w:szCs w:val="21"/>
              </w:rPr>
              <w:t>毕业证书以及学信网查询记录（对于学信网无法查询的，还需提供毕业院校或人社部门或教育部门等颁发机构或监管机构出具的证明，否则无效）。2.</w:t>
            </w:r>
            <w:r>
              <w:rPr>
                <w:rFonts w:hint="eastAsia" w:ascii="宋体" w:hAnsi="宋体"/>
                <w:szCs w:val="21"/>
                <w:lang w:val="en-US" w:eastAsia="zh-CN"/>
              </w:rPr>
              <w:t>要求</w:t>
            </w:r>
            <w:r>
              <w:rPr>
                <w:rFonts w:hint="eastAsia" w:ascii="宋体" w:hAnsi="宋体"/>
                <w:szCs w:val="21"/>
              </w:rPr>
              <w:t>提供</w:t>
            </w:r>
            <w:r>
              <w:rPr>
                <w:rFonts w:hint="eastAsia" w:ascii="宋体" w:hAnsi="宋体" w:cs="宋体"/>
                <w:szCs w:val="21"/>
              </w:rPr>
              <w:t>通过投标人购买的项目</w:t>
            </w:r>
            <w:r>
              <w:rPr>
                <w:rFonts w:hint="eastAsia" w:ascii="宋体" w:hAnsi="宋体" w:cs="宋体"/>
                <w:szCs w:val="21"/>
                <w:lang w:val="en-US" w:eastAsia="zh-CN"/>
              </w:rPr>
              <w:t>技术</w:t>
            </w:r>
            <w:r>
              <w:rPr>
                <w:rFonts w:hint="eastAsia" w:ascii="宋体" w:hAnsi="宋体" w:cs="宋体"/>
                <w:szCs w:val="21"/>
              </w:rPr>
              <w:t>团队成员近三个月的社保证明（由于社保部门或税务部门原因最近一个月的社保证明无法提供的可往前顺延一个月；如供应商为新成立企业且成立时间不足三个月可提供加盖公章的情况说明或者证明材料亦视为符合；退休人员需提供返聘合同）；社保证明可以是社保部门或税务部门资料或网页资料或窗口打印资料均可。</w:t>
            </w:r>
            <w:r>
              <w:rPr>
                <w:rFonts w:hint="eastAsia" w:ascii="宋体" w:hAnsi="宋体" w:cs="宋体"/>
                <w:szCs w:val="21"/>
              </w:rPr>
              <w:br w:type="textWrapping"/>
            </w:r>
            <w:r>
              <w:rPr>
                <w:rFonts w:hint="eastAsia" w:ascii="宋体" w:hAnsi="宋体" w:cs="宋体"/>
                <w:szCs w:val="21"/>
              </w:rPr>
              <w:t>3.</w:t>
            </w:r>
            <w:r>
              <w:rPr>
                <w:rFonts w:hint="eastAsia" w:ascii="宋体" w:hAnsi="宋体"/>
                <w:szCs w:val="21"/>
              </w:rPr>
              <w:t>提供以上证明文件复印件或扫描件，如涉及网站截图或照片等证明材料，需提供清晰图片，原件备查。未按要求提供有效证明材料或提供不清晰导致评委无法识别的不计得分。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212"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5</w:t>
            </w:r>
          </w:p>
        </w:tc>
        <w:tc>
          <w:tcPr>
            <w:tcW w:w="1143" w:type="dxa"/>
            <w:vAlign w:val="center"/>
          </w:tcPr>
          <w:p>
            <w:pPr>
              <w:widowControl/>
              <w:adjustRightInd w:val="0"/>
              <w:snapToGrid w:val="0"/>
              <w:spacing w:line="360" w:lineRule="exact"/>
              <w:jc w:val="center"/>
              <w:textAlignment w:val="top"/>
              <w:rPr>
                <w:rFonts w:ascii="宋体" w:hAnsi="宋体" w:cs="宋体"/>
                <w:kern w:val="0"/>
                <w:szCs w:val="21"/>
              </w:rPr>
            </w:pPr>
            <w:r>
              <w:rPr>
                <w:rFonts w:hint="eastAsia" w:ascii="宋体" w:hAnsi="宋体" w:cs="宋体"/>
                <w:szCs w:val="21"/>
              </w:rPr>
              <w:t>投标人自主知识产权产品（创新、设计）情况</w:t>
            </w:r>
          </w:p>
        </w:tc>
        <w:tc>
          <w:tcPr>
            <w:tcW w:w="709" w:type="dxa"/>
            <w:vAlign w:val="center"/>
          </w:tcPr>
          <w:p>
            <w:pPr>
              <w:widowControl/>
              <w:adjustRightInd w:val="0"/>
              <w:snapToGrid w:val="0"/>
              <w:spacing w:line="360" w:lineRule="exact"/>
              <w:jc w:val="center"/>
              <w:textAlignment w:val="top"/>
              <w:rPr>
                <w:rFonts w:ascii="宋体" w:hAnsi="宋体" w:cs="宋体"/>
                <w:kern w:val="0"/>
                <w:szCs w:val="21"/>
              </w:rPr>
            </w:pPr>
            <w:r>
              <w:rPr>
                <w:rFonts w:hint="eastAsia" w:ascii="宋体" w:hAnsi="宋体" w:cs="宋体"/>
                <w:kern w:val="0"/>
                <w:szCs w:val="21"/>
              </w:rPr>
              <w:t>12</w:t>
            </w:r>
          </w:p>
        </w:tc>
        <w:tc>
          <w:tcPr>
            <w:tcW w:w="5953" w:type="dxa"/>
            <w:vAlign w:val="center"/>
          </w:tcPr>
          <w:p>
            <w:pPr>
              <w:widowControl/>
              <w:adjustRightInd w:val="0"/>
              <w:snapToGrid w:val="0"/>
              <w:spacing w:line="360" w:lineRule="exact"/>
              <w:jc w:val="left"/>
              <w:textAlignment w:val="top"/>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（一）评分内容：</w:t>
            </w:r>
          </w:p>
          <w:p>
            <w:pPr>
              <w:widowControl/>
              <w:adjustRightInd w:val="0"/>
              <w:snapToGrid w:val="0"/>
              <w:spacing w:line="360" w:lineRule="exact"/>
              <w:jc w:val="left"/>
              <w:textAlignment w:val="top"/>
              <w:rPr>
                <w:rFonts w:cs="宋体" w:asciiTheme="minorEastAsia" w:hAnsiTheme="minorEastAsia" w:eastAsiaTheme="minorEastAsia"/>
                <w:szCs w:val="21"/>
              </w:rPr>
            </w:pPr>
            <w:r>
              <w:rPr>
                <w:rFonts w:hint="eastAsia" w:cs="宋体" w:asciiTheme="minorEastAsia" w:hAnsiTheme="minorEastAsia" w:eastAsiaTheme="minorEastAsia"/>
                <w:szCs w:val="21"/>
              </w:rPr>
              <w:t>1.自2019年1月1日至本项目投标截止日期，投标人具有正式出版的</w:t>
            </w:r>
            <w:r>
              <w:rPr>
                <w:rFonts w:hint="eastAsia" w:ascii="宋体" w:hAnsi="宋体" w:cs="宋体"/>
                <w:bCs/>
                <w:kern w:val="0"/>
                <w:szCs w:val="21"/>
              </w:rPr>
              <w:t>城市规划类、</w:t>
            </w:r>
            <w:r>
              <w:rPr>
                <w:rFonts w:hint="eastAsia" w:cs="宋体" w:asciiTheme="minorEastAsia" w:hAnsiTheme="minorEastAsia" w:eastAsiaTheme="minorEastAsia"/>
                <w:kern w:val="0"/>
                <w:szCs w:val="21"/>
              </w:rPr>
              <w:t>工程类或市政类</w:t>
            </w:r>
            <w:r>
              <w:rPr>
                <w:rFonts w:hint="eastAsia" w:cs="宋体" w:asciiTheme="minorEastAsia" w:hAnsiTheme="minorEastAsia" w:eastAsiaTheme="minorEastAsia"/>
                <w:szCs w:val="21"/>
              </w:rPr>
              <w:t>学术专著，每出版一本得1分，本项累计得分最高6分。</w:t>
            </w:r>
          </w:p>
          <w:p>
            <w:pPr>
              <w:widowControl/>
              <w:adjustRightInd w:val="0"/>
              <w:snapToGrid w:val="0"/>
              <w:spacing w:line="360" w:lineRule="exact"/>
              <w:textAlignment w:val="top"/>
              <w:rPr>
                <w:rFonts w:asciiTheme="minorEastAsia" w:hAnsiTheme="minorEastAsia" w:eastAsiaTheme="minorEastAsia"/>
              </w:rPr>
            </w:pPr>
            <w:r>
              <w:rPr>
                <w:rFonts w:hint="eastAsia" w:asciiTheme="minorEastAsia" w:hAnsiTheme="minorEastAsia" w:eastAsiaTheme="minorEastAsia"/>
              </w:rPr>
              <w:t>2.</w:t>
            </w:r>
            <w:r>
              <w:rPr>
                <w:rFonts w:hint="eastAsia" w:cs="宋体" w:asciiTheme="minorEastAsia" w:hAnsiTheme="minorEastAsia" w:eastAsiaTheme="minorEastAsia"/>
                <w:szCs w:val="21"/>
              </w:rPr>
              <w:t>投标人具备自主知识产权且尚在有效期内的工程类、市政类或城市规划类相关《专利证书》，每提供一项得1分，最高得4分。</w:t>
            </w:r>
          </w:p>
          <w:p>
            <w:pPr>
              <w:widowControl/>
              <w:adjustRightInd w:val="0"/>
              <w:snapToGrid w:val="0"/>
              <w:spacing w:line="360" w:lineRule="exact"/>
              <w:jc w:val="left"/>
              <w:textAlignment w:val="top"/>
              <w:rPr>
                <w:rFonts w:cs="宋体" w:asciiTheme="minorEastAsia" w:hAnsiTheme="minorEastAsia" w:eastAsiaTheme="minorEastAsia"/>
                <w:szCs w:val="21"/>
              </w:rPr>
            </w:pPr>
            <w:r>
              <w:rPr>
                <w:rFonts w:hint="eastAsia" w:cs="宋体" w:asciiTheme="minorEastAsia" w:hAnsiTheme="minorEastAsia" w:eastAsiaTheme="minorEastAsia"/>
                <w:szCs w:val="21"/>
              </w:rPr>
              <w:t>3.投标人主编或参与编制且已正式发布的综合管廊相关标准/规范/规程/导则/指引，每提供一项得1分，本项累积得分最高2分。</w:t>
            </w:r>
          </w:p>
          <w:p>
            <w:pPr>
              <w:widowControl/>
              <w:adjustRightInd w:val="0"/>
              <w:snapToGrid w:val="0"/>
              <w:spacing w:line="360" w:lineRule="exact"/>
              <w:jc w:val="left"/>
              <w:textAlignment w:val="top"/>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（二）评分依据：</w:t>
            </w:r>
          </w:p>
          <w:p>
            <w:pPr>
              <w:widowControl/>
              <w:adjustRightInd w:val="0"/>
              <w:snapToGrid w:val="0"/>
              <w:spacing w:line="360" w:lineRule="exact"/>
              <w:jc w:val="left"/>
              <w:textAlignment w:val="top"/>
              <w:rPr>
                <w:rFonts w:cs="宋体" w:asciiTheme="minorEastAsia" w:hAnsiTheme="minorEastAsia" w:eastAsiaTheme="minorEastAsia"/>
                <w:szCs w:val="21"/>
              </w:rPr>
            </w:pPr>
            <w:r>
              <w:rPr>
                <w:rFonts w:hint="eastAsia" w:cs="宋体" w:asciiTheme="minorEastAsia" w:hAnsiTheme="minorEastAsia" w:eastAsiaTheme="minorEastAsia"/>
                <w:szCs w:val="21"/>
              </w:rPr>
              <w:t>1.学术专著出版要求提供出版物关键页（包含书名、封面编著人、ISBN等信息）。</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2.提供上述专利证书。</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3.标准/规范/规程/导则</w:t>
            </w:r>
            <w:r>
              <w:rPr>
                <w:rFonts w:hint="eastAsia" w:cs="宋体" w:asciiTheme="minorEastAsia" w:hAnsiTheme="minorEastAsia" w:eastAsiaTheme="minorEastAsia"/>
                <w:szCs w:val="21"/>
                <w:lang w:val="en-US" w:eastAsia="zh-CN"/>
              </w:rPr>
              <w:t>/指引</w:t>
            </w:r>
            <w:r>
              <w:rPr>
                <w:rFonts w:hint="eastAsia" w:cs="宋体" w:asciiTheme="minorEastAsia" w:hAnsiTheme="minorEastAsia" w:eastAsiaTheme="minorEastAsia"/>
                <w:szCs w:val="21"/>
              </w:rPr>
              <w:t>要求提供参编或主编单位、发布时间等关键信息。</w:t>
            </w:r>
          </w:p>
          <w:p>
            <w:pPr>
              <w:widowControl/>
              <w:adjustRightInd w:val="0"/>
              <w:snapToGrid w:val="0"/>
              <w:spacing w:line="360" w:lineRule="exact"/>
              <w:jc w:val="left"/>
              <w:textAlignment w:val="top"/>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4.</w:t>
            </w:r>
            <w:r>
              <w:rPr>
                <w:rFonts w:hint="eastAsia" w:asciiTheme="minorEastAsia" w:hAnsiTheme="minorEastAsia" w:eastAsiaTheme="minorEastAsia"/>
                <w:szCs w:val="21"/>
              </w:rPr>
              <w:t>城市规划类、工程类或市政类包含：城市规划、道路工程、土木工程、轨道工程、市政/市政基础设施、给水/水资源、雨水/排涝/内涝防治、污水/雨水径流污染治理、非常规水资源/再生水/海水、海绵城市/低影响、能源/电力/燃气、通信、综合管廊/共同沟等类别</w:t>
            </w:r>
            <w:r>
              <w:rPr>
                <w:rFonts w:hint="eastAsia" w:asciiTheme="minorEastAsia" w:hAnsiTheme="minorEastAsia" w:eastAsiaTheme="minorEastAsia"/>
                <w:szCs w:val="21"/>
                <w:lang w:eastAsia="zh-CN"/>
              </w:rPr>
              <w:t>。</w:t>
            </w:r>
          </w:p>
          <w:p>
            <w:pPr>
              <w:widowControl/>
              <w:adjustRightInd w:val="0"/>
              <w:snapToGrid w:val="0"/>
              <w:spacing w:line="360" w:lineRule="exact"/>
              <w:textAlignment w:val="top"/>
              <w:rPr>
                <w:rFonts w:asciiTheme="minorEastAsia" w:hAnsiTheme="minorEastAsia" w:eastAsiaTheme="minorEastAsia"/>
              </w:rPr>
            </w:pPr>
            <w:r>
              <w:rPr>
                <w:rFonts w:hint="eastAsia" w:cs="宋体" w:asciiTheme="minorEastAsia" w:hAnsiTheme="minorEastAsia" w:eastAsiaTheme="minorEastAsia"/>
                <w:szCs w:val="21"/>
              </w:rPr>
              <w:t>5.</w:t>
            </w:r>
            <w:r>
              <w:rPr>
                <w:rFonts w:hint="eastAsia" w:asciiTheme="minorEastAsia" w:hAnsiTheme="minorEastAsia" w:eastAsiaTheme="minorEastAsia"/>
                <w:szCs w:val="21"/>
              </w:rPr>
              <w:t>提供以上证明文件复印件或扫描件，如涉及网站截图或照片等证明材料,需提供清晰图片,原件备查。</w:t>
            </w:r>
            <w:r>
              <w:rPr>
                <w:rFonts w:hint="eastAsia" w:cs="宋体" w:asciiTheme="minorEastAsia" w:hAnsiTheme="minorEastAsia" w:eastAsiaTheme="minorEastAsia"/>
                <w:szCs w:val="21"/>
              </w:rPr>
              <w:t>评分中出现无证明资料或专家无法凭所提供资料判断是否得分的情况，一律作不得分处理。</w:t>
            </w:r>
          </w:p>
        </w:tc>
        <w:tc>
          <w:tcPr>
            <w:tcW w:w="1187" w:type="dxa"/>
            <w:vAlign w:val="center"/>
          </w:tcPr>
          <w:p>
            <w:pPr>
              <w:spacing w:line="360" w:lineRule="exact"/>
              <w:jc w:val="center"/>
              <w:rPr>
                <w:rFonts w:ascii="宋体" w:hAnsi="宋体"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88"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6</w:t>
            </w:r>
          </w:p>
        </w:tc>
        <w:tc>
          <w:tcPr>
            <w:tcW w:w="1143" w:type="dxa"/>
            <w:vAlign w:val="center"/>
          </w:tcPr>
          <w:p>
            <w:pPr>
              <w:pStyle w:val="30"/>
              <w:spacing w:line="360" w:lineRule="exact"/>
            </w:pPr>
            <w:r>
              <w:rPr>
                <w:rFonts w:hint="eastAsia" w:ascii="宋体" w:hAnsi="宋体" w:cs="宋体"/>
                <w:kern w:val="0"/>
                <w:sz w:val="21"/>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left="34" w:leftChars="16" w:firstLine="0" w:firstLineChars="0"/>
              <w:rPr>
                <w:rFonts w:asciiTheme="minorEastAsia" w:hAnsiTheme="minorEastAsia" w:eastAsiaTheme="minorEastAsia"/>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exact"/>
              <w:ind w:left="33"/>
              <w:jc w:val="left"/>
              <w:rPr>
                <w:rFonts w:ascii="宋体" w:hAnsi="宋体" w:cs="仿宋"/>
                <w:szCs w:val="21"/>
              </w:rPr>
            </w:pPr>
            <w:r>
              <w:rPr>
                <w:rFonts w:hint="eastAsia" w:asciiTheme="minorEastAsia" w:hAnsiTheme="minorEastAsia" w:eastAsiaTheme="minorEastAsia"/>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bl>
    <w:p>
      <w:pPr>
        <w:pStyle w:val="4"/>
        <w:spacing w:before="0" w:after="0"/>
        <w:jc w:val="left"/>
        <w:rPr>
          <w:rFonts w:asciiTheme="minorEastAsia" w:hAnsiTheme="minorEastAsia"/>
          <w:bCs w:val="0"/>
          <w:sz w:val="21"/>
          <w:szCs w:val="21"/>
        </w:rPr>
      </w:pPr>
      <w:bookmarkStart w:id="15" w:name="_Toc44690430"/>
      <w:bookmarkStart w:id="16" w:name="_Toc44690703"/>
      <w:bookmarkStart w:id="17" w:name="_Toc135293165"/>
      <w:bookmarkStart w:id="18" w:name="_Toc44691394"/>
      <w:bookmarkStart w:id="19" w:name="_Toc44691162"/>
      <w:r>
        <w:rPr>
          <w:rFonts w:hint="eastAsia" w:asciiTheme="minorEastAsia" w:hAnsiTheme="minorEastAsia"/>
          <w:bCs w:val="0"/>
          <w:sz w:val="21"/>
          <w:szCs w:val="21"/>
        </w:rPr>
        <w:t>备注：</w:t>
      </w:r>
      <w:bookmarkEnd w:id="15"/>
      <w:bookmarkEnd w:id="16"/>
      <w:bookmarkEnd w:id="17"/>
      <w:bookmarkEnd w:id="18"/>
      <w:bookmarkEnd w:id="19"/>
    </w:p>
    <w:p>
      <w:pPr>
        <w:pStyle w:val="3"/>
        <w:spacing w:before="0" w:after="0"/>
      </w:pPr>
      <w:bookmarkStart w:id="20" w:name="_Toc135293166"/>
      <w:r>
        <w:rPr>
          <w:rFonts w:hint="eastAsia"/>
        </w:rPr>
        <w:t>1、资质证书有效期</w:t>
      </w:r>
      <w:bookmarkEnd w:id="20"/>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21" w:name="_Toc135293167"/>
      <w:r>
        <w:rPr>
          <w:rFonts w:hint="eastAsia" w:asciiTheme="minorEastAsia" w:hAnsiTheme="minorEastAsia" w:eastAsiaTheme="minorEastAsia"/>
        </w:rPr>
        <w:t>2、政府采购扶持政策</w:t>
      </w:r>
      <w:bookmarkEnd w:id="21"/>
    </w:p>
    <w:p>
      <w:pPr>
        <w:spacing w:after="60" w:line="360" w:lineRule="auto"/>
        <w:ind w:firstLine="425"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1"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1"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1"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widowControl/>
        <w:jc w:val="left"/>
      </w:pPr>
    </w:p>
    <w:p>
      <w:pPr>
        <w:pStyle w:val="2"/>
      </w:pPr>
      <w:bookmarkStart w:id="22" w:name="_Toc135293168"/>
      <w:r>
        <w:rPr>
          <w:rFonts w:hint="eastAsia"/>
        </w:rPr>
        <w:t>第五章  投标人须知前附表</w:t>
      </w:r>
      <w:bookmarkEnd w:id="22"/>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深圳市地下综合管廊工程建设技术服务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cs="宋体"/>
                <w:color w:val="000000" w:themeColor="text1"/>
                <w:szCs w:val="21"/>
                <w14:textFill>
                  <w14:solidFill>
                    <w14:schemeClr w14:val="tx1"/>
                  </w14:solidFill>
                </w14:textFill>
              </w:rPr>
              <w:t>深圳市住房和建设局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Pr>
        <w:pStyle w:val="2"/>
      </w:pPr>
      <w:bookmarkStart w:id="23" w:name="_Toc135293169"/>
      <w:r>
        <w:rPr>
          <w:rFonts w:hint="eastAsia"/>
        </w:rPr>
        <w:t>第六章  投标人须知</w:t>
      </w:r>
      <w:bookmarkEnd w:id="23"/>
    </w:p>
    <w:p>
      <w:pPr>
        <w:pStyle w:val="4"/>
        <w:spacing w:before="0" w:after="0"/>
      </w:pPr>
      <w:bookmarkStart w:id="24" w:name="_Toc135293170"/>
      <w:r>
        <w:rPr>
          <w:rFonts w:hint="eastAsia"/>
        </w:rPr>
        <w:t>一、说</w:t>
      </w:r>
      <w:r>
        <w:t xml:space="preserve">  </w:t>
      </w:r>
      <w:r>
        <w:rPr>
          <w:rFonts w:hint="eastAsia"/>
        </w:rPr>
        <w:t>明</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5" w:name="q5"/>
      <w:bookmarkEnd w:id="25"/>
    </w:p>
    <w:p>
      <w:pPr>
        <w:pStyle w:val="4"/>
        <w:spacing w:before="0" w:after="0"/>
      </w:pPr>
      <w:bookmarkStart w:id="26" w:name="_Toc135293171"/>
      <w:r>
        <w:rPr>
          <w:rFonts w:hint="eastAsia"/>
        </w:rPr>
        <w:t>二、招标文件说明</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7" w:name="q6"/>
      <w:bookmarkEnd w:id="27"/>
      <w:bookmarkStart w:id="28" w:name="_Toc135293172"/>
      <w:r>
        <w:rPr>
          <w:rFonts w:hint="eastAsia"/>
        </w:rPr>
        <w:t>三、投标文件的编写</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9" w:name="q7"/>
      <w:bookmarkEnd w:id="29"/>
      <w:bookmarkStart w:id="30" w:name="_Toc135293173"/>
      <w:r>
        <w:rPr>
          <w:rFonts w:hint="eastAsia"/>
        </w:rPr>
        <w:t>四、投标文件的递交</w:t>
      </w:r>
      <w:bookmarkEnd w:id="3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31" w:name="_Hlt35050056"/>
      <w:bookmarkEnd w:id="31"/>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2" w:name="q8"/>
      <w:bookmarkEnd w:id="32"/>
      <w:bookmarkStart w:id="33" w:name="_Toc135293174"/>
      <w:r>
        <w:rPr>
          <w:rFonts w:hint="eastAsia"/>
        </w:rPr>
        <w:t>五、开标和评标</w:t>
      </w:r>
      <w:bookmarkEnd w:id="3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4" w:name="q9"/>
      <w:bookmarkEnd w:id="34"/>
    </w:p>
    <w:p>
      <w:pPr>
        <w:pStyle w:val="4"/>
        <w:spacing w:before="0" w:after="0"/>
      </w:pPr>
      <w:bookmarkStart w:id="35" w:name="_Toc135293175"/>
      <w:r>
        <w:rPr>
          <w:rFonts w:hint="eastAsia"/>
        </w:rPr>
        <w:t>六、授予合同</w:t>
      </w:r>
      <w:bookmarkEnd w:id="35"/>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jc w:val="center"/>
        </w:trPr>
        <w:tc>
          <w:tcPr>
            <w:tcW w:w="3166" w:type="dxa"/>
          </w:tcPr>
          <w:p>
            <w:pPr>
              <w:ind w:firstLine="1218"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0" t="0" r="0" b="10795"/>
                      <wp:wrapNone/>
                      <wp:docPr id="1674647775" name="直线 6"/>
                      <wp:cNvGraphicFramePr/>
                      <a:graphic xmlns:a="http://schemas.openxmlformats.org/drawingml/2006/main">
                        <a:graphicData uri="http://schemas.microsoft.com/office/word/2010/wordprocessingShape">
                          <wps:wsp>
                            <wps:cNvCnPr/>
                            <wps:spPr>
                              <a:xfrm flipH="true" flipV="true">
                                <a:off x="0" y="0"/>
                                <a:ext cx="1451610" cy="7321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KOtYT3RAAAACAEAAA8AAAAAAAAAAQAgAAAAOAAAAGRycy9kb3ducmV2LnhtbFBLAQIUABQAAAAI&#10;AIdO4kDADgk63gEAAKkDAAAOAAAAAAAAAAEAIAAAADYBAABkcnMvZTJvRG9jLnhtbFBLBQYAAAAA&#10;BgAGAFkBAACG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0" t="0" r="0" b="16510"/>
                      <wp:wrapNone/>
                      <wp:docPr id="3" name="直线 7"/>
                      <wp:cNvGraphicFramePr/>
                      <a:graphic xmlns:a="http://schemas.openxmlformats.org/drawingml/2006/main">
                        <a:graphicData uri="http://schemas.microsoft.com/office/word/2010/wordprocessingShape">
                          <wps:wsp>
                            <wps:cNvCnPr/>
                            <wps:spPr>
                              <a:xfrm flipH="true" flipV="true">
                                <a:off x="0" y="0"/>
                                <a:ext cx="1981200" cy="4216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BWj&#10;/7LTAAAACQEAAA8AAAAAAAAAAQAgAAAAOAAAAGRycy9kb3ducmV2LnhtbFBLAQIUABQAAAAIAIdO&#10;4kAzL7sZ2QEAAKADAAAOAAAAAAAAAAEAIAAAADgBAABkcnMvZTJvRG9jLnhtbFBLBQYAAAAABgAG&#10;AFkBAACD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3665" distR="113665"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1" name="直线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a5HTftUAAAAJAQAADwAAAAAAAAABACAA&#10;AAA4AAAAZHJzL2Rvd25yZXYueG1sUEsBAhQAFAAAAAgAh07iQP3oVvDBAQAAfQMAAA4AAAAAAAAA&#10;AQAgAAAAOgEAAGRycy9lMm9Eb2MueG1sUEsFBgAAAAAGAAYAWQEAAG0F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4"/>
        <w:spacing w:before="0" w:after="0"/>
      </w:pPr>
      <w:bookmarkStart w:id="36" w:name="_Toc135293176"/>
      <w:r>
        <w:rPr>
          <w:rFonts w:hint="eastAsia"/>
        </w:rPr>
        <w:t>七、质疑处理</w:t>
      </w:r>
      <w:bookmarkEnd w:id="36"/>
    </w:p>
    <w:p>
      <w:pPr>
        <w:spacing w:line="360" w:lineRule="auto"/>
        <w:rPr>
          <w:rFonts w:asciiTheme="majorEastAsia" w:hAnsiTheme="majorEastAsia" w:eastAsiaTheme="majorEastAsia"/>
          <w:b/>
          <w:bCs/>
          <w:szCs w:val="21"/>
        </w:rPr>
      </w:pPr>
      <w:bookmarkStart w:id="37"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8" w:name="_Hlk75374941"/>
      <w:r>
        <w:rPr>
          <w:rFonts w:hint="eastAsia" w:asciiTheme="majorEastAsia" w:hAnsiTheme="majorEastAsia" w:eastAsiaTheme="majorEastAsia"/>
          <w:szCs w:val="21"/>
        </w:rPr>
        <w:t>以联合体形式参与的，质疑应当由组成联合体的所有成员共同提出</w:t>
      </w:r>
      <w:bookmarkEnd w:id="38"/>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7"/>
    </w:p>
    <w:p/>
    <w:p/>
    <w:p/>
    <w:p/>
    <w:p/>
    <w:p/>
    <w:p/>
    <w:p/>
    <w:p/>
    <w:p/>
    <w:p/>
    <w:p/>
    <w:p/>
    <w:p/>
    <w:p/>
    <w:p/>
    <w:p/>
    <w:p>
      <w:pPr>
        <w:pStyle w:val="2"/>
      </w:pPr>
      <w:bookmarkStart w:id="39" w:name="_Toc135293177"/>
      <w:r>
        <w:rPr>
          <w:rFonts w:hint="eastAsia"/>
        </w:rPr>
        <w:t>第七章  投标文件格式</w:t>
      </w:r>
      <w:bookmarkEnd w:id="39"/>
    </w:p>
    <w:p>
      <w:pPr>
        <w:jc w:val="center"/>
        <w:rPr>
          <w:b/>
          <w:sz w:val="52"/>
          <w:szCs w:val="52"/>
        </w:rPr>
      </w:pPr>
    </w:p>
    <w:p>
      <w:pPr>
        <w:pStyle w:val="4"/>
        <w:spacing w:line="400" w:lineRule="exact"/>
        <w:rPr>
          <w:rFonts w:ascii="仿宋" w:hAnsi="仿宋" w:eastAsia="仿宋"/>
        </w:rPr>
      </w:pPr>
      <w:bookmarkStart w:id="40" w:name="_Toc44691395"/>
      <w:bookmarkStart w:id="41" w:name="_Toc135293178"/>
      <w:bookmarkStart w:id="42" w:name="_Toc31468"/>
      <w:bookmarkStart w:id="43" w:name="_Toc11772"/>
      <w:bookmarkStart w:id="44" w:name="_Toc14934"/>
      <w:bookmarkStart w:id="45" w:name="_Toc25194"/>
      <w:bookmarkStart w:id="46" w:name="_Toc44691163"/>
      <w:bookmarkStart w:id="47" w:name="_Toc44690431"/>
      <w:bookmarkStart w:id="48" w:name="_Toc44690704"/>
      <w:r>
        <w:rPr>
          <w:rFonts w:hint="eastAsia" w:ascii="仿宋" w:hAnsi="仿宋" w:eastAsia="仿宋"/>
        </w:rPr>
        <w:t>投标文件编制说明</w:t>
      </w:r>
      <w:bookmarkEnd w:id="40"/>
      <w:bookmarkEnd w:id="41"/>
      <w:bookmarkEnd w:id="42"/>
      <w:bookmarkEnd w:id="43"/>
      <w:bookmarkEnd w:id="44"/>
      <w:bookmarkEnd w:id="45"/>
      <w:bookmarkEnd w:id="46"/>
      <w:bookmarkEnd w:id="47"/>
      <w:bookmarkEnd w:id="48"/>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rPr>
          <w:b/>
          <w:bCs/>
        </w:rPr>
      </w:pPr>
    </w:p>
    <w:p>
      <w:pPr>
        <w:jc w:val="center"/>
        <w:rPr>
          <w:b/>
          <w:bCs/>
        </w:rPr>
      </w:pPr>
    </w:p>
    <w:p>
      <w:pPr>
        <w:jc w:val="center"/>
        <w:rPr>
          <w:b/>
          <w:bCs/>
        </w:rPr>
      </w:pPr>
    </w:p>
    <w:p>
      <w:pPr>
        <w:spacing w:line="480" w:lineRule="auto"/>
        <w:ind w:firstLine="1274"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4"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4" w:firstLineChars="529"/>
        <w:rPr>
          <w:b/>
          <w:bCs/>
          <w:sz w:val="24"/>
        </w:rPr>
      </w:pPr>
      <w:r>
        <w:rPr>
          <w:rFonts w:hint="eastAsia"/>
          <w:b/>
          <w:bCs/>
          <w:sz w:val="24"/>
        </w:rPr>
        <w:t>法定代表人或</w:t>
      </w:r>
    </w:p>
    <w:p>
      <w:pPr>
        <w:spacing w:line="480" w:lineRule="auto"/>
        <w:ind w:firstLine="1274"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4"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4"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9" w:name="_投标文件格式（第一册）"/>
      <w:bookmarkEnd w:id="49"/>
      <w:bookmarkStart w:id="50" w:name="q0"/>
    </w:p>
    <w:p>
      <w:pPr>
        <w:spacing w:line="400" w:lineRule="exact"/>
        <w:rPr>
          <w:rFonts w:ascii="仿宋" w:hAnsi="仿宋" w:eastAsia="仿宋"/>
        </w:rPr>
      </w:pPr>
    </w:p>
    <w:p>
      <w:pPr>
        <w:spacing w:line="400" w:lineRule="exact"/>
        <w:rPr>
          <w:rFonts w:ascii="仿宋" w:hAnsi="仿宋" w:eastAsia="仿宋"/>
        </w:rPr>
      </w:pPr>
    </w:p>
    <w:p>
      <w:pPr>
        <w:pStyle w:val="4"/>
        <w:spacing w:line="400" w:lineRule="exact"/>
        <w:rPr>
          <w:rFonts w:ascii="仿宋" w:hAnsi="仿宋" w:eastAsia="仿宋"/>
        </w:rPr>
      </w:pPr>
      <w:bookmarkStart w:id="51" w:name="_Toc135293179"/>
      <w:r>
        <w:rPr>
          <w:rFonts w:hint="eastAsia" w:ascii="仿宋" w:hAnsi="仿宋" w:eastAsia="仿宋"/>
        </w:rPr>
        <w:t>投标文件格式</w:t>
      </w:r>
      <w:bookmarkEnd w:id="51"/>
    </w:p>
    <w:bookmarkEnd w:id="50"/>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1"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52" w:name="_格式1__投标人资格证明文件"/>
      <w:bookmarkEnd w:id="52"/>
    </w:p>
    <w:p>
      <w:pPr>
        <w:adjustRightInd w:val="0"/>
        <w:snapToGrid w:val="0"/>
        <w:spacing w:line="300" w:lineRule="auto"/>
        <w:jc w:val="center"/>
      </w:pPr>
    </w:p>
    <w:p>
      <w:pPr>
        <w:adjustRightInd w:val="0"/>
        <w:snapToGrid w:val="0"/>
        <w:spacing w:line="300" w:lineRule="auto"/>
      </w:pPr>
    </w:p>
    <w:p>
      <w:pPr>
        <w:pStyle w:val="4"/>
        <w:spacing w:line="400" w:lineRule="exact"/>
        <w:rPr>
          <w:rFonts w:ascii="仿宋" w:hAnsi="仿宋" w:eastAsia="仿宋"/>
        </w:rPr>
      </w:pPr>
      <w:bookmarkStart w:id="53" w:name="_Toc135293180"/>
      <w:bookmarkStart w:id="54" w:name="_Toc73613640"/>
      <w:r>
        <w:rPr>
          <w:rFonts w:hint="eastAsia" w:ascii="仿宋" w:hAnsi="仿宋" w:eastAsia="仿宋"/>
        </w:rPr>
        <w:t>政府采购违法行为风险知悉确认书</w:t>
      </w:r>
      <w:bookmarkEnd w:id="53"/>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1"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1"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1"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1"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1"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
    <w:p/>
    <w:p/>
    <w:p/>
    <w:p/>
    <w:p/>
    <w:p>
      <w:pPr>
        <w:pStyle w:val="4"/>
        <w:spacing w:line="400" w:lineRule="exact"/>
        <w:rPr>
          <w:rFonts w:ascii="仿宋" w:hAnsi="仿宋" w:eastAsia="仿宋"/>
        </w:rPr>
      </w:pPr>
      <w:bookmarkStart w:id="55" w:name="_Toc135293181"/>
      <w:r>
        <w:rPr>
          <w:rFonts w:hint="eastAsia" w:ascii="仿宋" w:hAnsi="仿宋" w:eastAsia="仿宋"/>
        </w:rPr>
        <w:t>评标指引表</w:t>
      </w:r>
      <w:bookmarkEnd w:id="54"/>
      <w:bookmarkEnd w:id="55"/>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3"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6" w:name="_Toc44691164"/>
      <w:bookmarkStart w:id="57" w:name="_Toc44691396"/>
      <w:bookmarkStart w:id="58" w:name="_Toc44690705"/>
      <w:bookmarkStart w:id="59" w:name="_Toc135293182"/>
      <w:bookmarkStart w:id="60" w:name="_Toc44690432"/>
      <w:r>
        <w:rPr>
          <w:rFonts w:hint="eastAsia" w:asciiTheme="minorEastAsia" w:hAnsiTheme="minorEastAsia" w:eastAsiaTheme="minorEastAsia"/>
        </w:rPr>
        <w:t>格式1  投标人资格证明文件</w:t>
      </w:r>
      <w:bookmarkEnd w:id="56"/>
      <w:bookmarkEnd w:id="57"/>
      <w:bookmarkEnd w:id="58"/>
      <w:bookmarkEnd w:id="59"/>
      <w:bookmarkEnd w:id="60"/>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5"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pPr>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61" w:name="_Toc135293183"/>
      <w:r>
        <w:rPr>
          <w:rFonts w:hint="eastAsia" w:asciiTheme="minorEastAsia" w:hAnsiTheme="minorEastAsia" w:eastAsiaTheme="minorEastAsia"/>
        </w:rPr>
        <w:t>格式2  法定代表人（负责人）证明书及授权委托书</w:t>
      </w:r>
      <w:bookmarkEnd w:id="61"/>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7620" t="10160" r="11430" b="8890"/>
                <wp:wrapNone/>
                <wp:docPr id="1996377966" name="Rectangle 5"/>
                <wp:cNvGraphicFramePr/>
                <a:graphic xmlns:a="http://schemas.openxmlformats.org/drawingml/2006/main">
                  <a:graphicData uri="http://schemas.microsoft.com/office/word/2010/wordprocessingShape">
                    <wps:wsp>
                      <wps:cNvSpPr>
                        <a:spLocks noChangeArrowheads="true"/>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rot="0" vert="horz" wrap="square" lIns="91440" tIns="45720" rIns="91440" bIns="45720" anchor="t" anchorCtr="false" upright="true">
                        <a:noAutofit/>
                      </wps:bodyPr>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Oy27ZfYAAAACgEAAA8AAAAAAAAAAQAgAAAAOAAAAGRycy9kb3ducmV2&#10;LnhtbFBLAQIUABQAAAAIAIdO4kDGgCLeHwIAAEMEAAAOAAAAAAAAAAEAIAAAAD0BAABkcnMvZTJv&#10;RG9jLnhtbFBLBQYAAAAABgAGAFkBAADOBQAAAAA=&#10;">
                <v:fill on="t" focussize="0,0"/>
                <v:stroke color="#000000" miterlimit="8" joinstyle="miter"/>
                <v:imagedata o:title=""/>
                <o:lock v:ext="edit" aspectratio="f"/>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7620" t="10160" r="11430" b="8890"/>
                <wp:wrapNone/>
                <wp:docPr id="522146938" name="Rectangle 4"/>
                <wp:cNvGraphicFramePr/>
                <a:graphic xmlns:a="http://schemas.openxmlformats.org/drawingml/2006/main">
                  <a:graphicData uri="http://schemas.microsoft.com/office/word/2010/wordprocessingShape">
                    <wps:wsp>
                      <wps:cNvSpPr>
                        <a:spLocks noChangeArrowheads="true"/>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rot="0" vert="horz" wrap="square" lIns="91440" tIns="45720" rIns="91440" bIns="45720" anchor="t" anchorCtr="false" upright="true">
                        <a:noAutofit/>
                      </wps:bodyPr>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Jf1/F2QAAAAoBAAAPAAAAAAAAAAEAIAAAADgAAABkcnMvZG93bnJl&#10;di54bWxQSwECFAAUAAAACACHTuJAQ8oShB8CAABCBAAADgAAAAAAAAABACAAAAA+AQAAZHJzL2Uy&#10;b0RvYy54bWxQSwUGAAAAAAYABgBZAQAAzwUAAAAA&#10;">
                <v:fill on="t" focussize="0,0"/>
                <v:stroke color="#000000" miterlimit="8" joinstyle="miter"/>
                <v:imagedata o:title=""/>
                <o:lock v:ext="edit" aspectratio="f"/>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8" w:firstLineChars="800"/>
        <w:rPr>
          <w:b/>
          <w:bCs/>
          <w:sz w:val="28"/>
        </w:rPr>
      </w:pPr>
    </w:p>
    <w:p>
      <w:pPr>
        <w:ind w:firstLine="2248" w:firstLineChars="800"/>
        <w:rPr>
          <w:b/>
          <w:bCs/>
          <w:sz w:val="28"/>
        </w:rPr>
      </w:pPr>
    </w:p>
    <w:p>
      <w:pPr>
        <w:ind w:firstLine="2248" w:firstLineChars="800"/>
        <w:rPr>
          <w:b/>
          <w:bCs/>
          <w:sz w:val="28"/>
        </w:rPr>
      </w:pPr>
    </w:p>
    <w:p>
      <w:pPr>
        <w:ind w:firstLine="2248" w:firstLineChars="800"/>
        <w:rPr>
          <w:b/>
          <w:bCs/>
          <w:sz w:val="28"/>
        </w:rPr>
      </w:pPr>
    </w:p>
    <w:p>
      <w:pPr>
        <w:ind w:firstLine="2248" w:firstLineChars="800"/>
        <w:rPr>
          <w:b/>
          <w:bCs/>
          <w:sz w:val="28"/>
        </w:rPr>
      </w:pPr>
    </w:p>
    <w:p>
      <w:pPr>
        <w:ind w:firstLine="2248" w:firstLineChars="800"/>
        <w:rPr>
          <w:b/>
          <w:bCs/>
          <w:sz w:val="28"/>
        </w:rPr>
      </w:pPr>
    </w:p>
    <w:p>
      <w:pPr>
        <w:ind w:firstLine="2248" w:firstLineChars="800"/>
        <w:rPr>
          <w:b/>
          <w:bCs/>
          <w:sz w:val="28"/>
        </w:rPr>
      </w:pPr>
    </w:p>
    <w:p>
      <w:pPr>
        <w:ind w:firstLine="2248" w:firstLineChars="800"/>
        <w:rPr>
          <w:b/>
          <w:bCs/>
          <w:sz w:val="28"/>
        </w:rPr>
      </w:pPr>
    </w:p>
    <w:p>
      <w:pPr>
        <w:ind w:firstLine="2248" w:firstLineChars="800"/>
        <w:rPr>
          <w:b/>
          <w:bCs/>
          <w:sz w:val="28"/>
        </w:rPr>
      </w:pPr>
    </w:p>
    <w:p>
      <w:pPr>
        <w:ind w:firstLine="2248" w:firstLineChars="800"/>
        <w:rPr>
          <w:b/>
          <w:bCs/>
          <w:sz w:val="28"/>
        </w:rPr>
      </w:pPr>
    </w:p>
    <w:p>
      <w:pPr>
        <w:ind w:firstLine="2248" w:firstLineChars="800"/>
        <w:rPr>
          <w:b/>
          <w:bCs/>
          <w:sz w:val="28"/>
        </w:rPr>
      </w:pPr>
    </w:p>
    <w:p>
      <w:pPr>
        <w:ind w:firstLine="2248" w:firstLineChars="800"/>
        <w:rPr>
          <w:b/>
          <w:bCs/>
          <w:sz w:val="28"/>
        </w:rPr>
      </w:pPr>
    </w:p>
    <w:p>
      <w:pPr>
        <w:ind w:firstLine="2248" w:firstLineChars="800"/>
        <w:rPr>
          <w:b/>
          <w:bCs/>
          <w:sz w:val="28"/>
        </w:rPr>
      </w:pPr>
    </w:p>
    <w:p>
      <w:pPr>
        <w:ind w:firstLine="2248"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 xml:space="preserve">电话：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62"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7620" t="6350" r="11430" b="12700"/>
                <wp:wrapNone/>
                <wp:docPr id="1281201154" name="Rectangle 2"/>
                <wp:cNvGraphicFramePr/>
                <a:graphic xmlns:a="http://schemas.openxmlformats.org/drawingml/2006/main">
                  <a:graphicData uri="http://schemas.microsoft.com/office/word/2010/wordprocessingShape">
                    <wps:wsp>
                      <wps:cNvSpPr>
                        <a:spLocks noChangeArrowheads="true"/>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rot="0" vert="horz" wrap="square" lIns="91440" tIns="45720" rIns="91440" bIns="45720" anchor="t" anchorCtr="false" upright="true">
                        <a:noAutofit/>
                      </wps:bodyPr>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MKcuhdgAAAAKAQAADwAAAAAAAAABACAAAAA4AAAAZHJzL2Rvd25yZXYu&#10;eG1sUEsBAhQAFAAAAAgAh07iQDSiikYeAgAAQwQAAA4AAAAAAAAAAQAgAAAAPQEAAGRycy9lMm9E&#10;b2MueG1sUEsFBgAAAAAGAAYAWQEAAM0FAAAAAA==&#10;">
                <v:fill on="t" focussize="0,0"/>
                <v:stroke color="#000000" miterlimit="8"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7620" t="6350" r="11430" b="12700"/>
                <wp:wrapNone/>
                <wp:docPr id="1060103786" name="Rectangle 3"/>
                <wp:cNvGraphicFramePr/>
                <a:graphic xmlns:a="http://schemas.openxmlformats.org/drawingml/2006/main">
                  <a:graphicData uri="http://schemas.microsoft.com/office/word/2010/wordprocessingShape">
                    <wps:wsp>
                      <wps:cNvSpPr>
                        <a:spLocks noChangeArrowheads="true"/>
                      </wps:cNvSpPr>
                      <wps:spPr bwMode="auto">
                        <a:xfrm>
                          <a:off x="0" y="0"/>
                          <a:ext cx="3086100" cy="1981200"/>
                        </a:xfrm>
                        <a:prstGeom prst="rect">
                          <a:avLst/>
                        </a:prstGeom>
                        <a:solidFill>
                          <a:srgbClr val="FFFFFF"/>
                        </a:solidFill>
                        <a:ln w="9525">
                          <a:solidFill>
                            <a:srgbClr val="000000"/>
                          </a:solidFill>
                          <a:miter lim="800000"/>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rot="0" vert="horz" wrap="square" lIns="91440" tIns="45720" rIns="91440" bIns="45720" anchor="t" anchorCtr="false" upright="true">
                        <a:noAutofit/>
                      </wps:bodyPr>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KHZv67YAAAACgEAAA8AAAAAAAAAAQAgAAAAOAAAAGRycy9kb3ducmV2&#10;LnhtbFBLAQIUABQAAAAIAIdO4kB0ObSuHwIAAEMEAAAOAAAAAAAAAAEAIAAAAD0BAABkcnMvZTJv&#10;RG9jLnhtbFBLBQYAAAAABgAGAFkBAADOBQAAAAA=&#10;">
                <v:fill on="t" focussize="0,0"/>
                <v:stroke color="#000000" miterlimit="8"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62"/>
    </w:p>
    <w:p>
      <w:pPr>
        <w:spacing w:line="440" w:lineRule="exact"/>
        <w:rPr>
          <w:rFonts w:ascii="黑体" w:eastAsia="黑体"/>
        </w:rPr>
      </w:pPr>
    </w:p>
    <w:p>
      <w:pPr>
        <w:spacing w:line="440" w:lineRule="exact"/>
        <w:rPr>
          <w:rFonts w:ascii="黑体" w:eastAsia="黑体"/>
        </w:rPr>
      </w:pPr>
    </w:p>
    <w:p>
      <w:pPr>
        <w:tabs>
          <w:tab w:val="left" w:pos="5115"/>
        </w:tabs>
        <w:spacing w:line="440" w:lineRule="exact"/>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tabs>
          <w:tab w:val="left" w:pos="720"/>
        </w:tabs>
        <w:adjustRightInd w:val="0"/>
        <w:snapToGrid w:val="0"/>
        <w:spacing w:line="300" w:lineRule="auto"/>
        <w:rPr>
          <w:b/>
          <w:snapToGrid w:val="0"/>
          <w:kern w:val="0"/>
          <w:sz w:val="28"/>
        </w:rPr>
      </w:pPr>
    </w:p>
    <w:p>
      <w:pPr>
        <w:pStyle w:val="3"/>
        <w:tabs>
          <w:tab w:val="left" w:pos="371"/>
        </w:tabs>
        <w:spacing w:before="120" w:after="120"/>
        <w:ind w:left="-1" w:leftChars="-1" w:hanging="1"/>
        <w:jc w:val="center"/>
        <w:rPr>
          <w:rFonts w:asciiTheme="minorEastAsia" w:hAnsiTheme="minorEastAsia" w:eastAsiaTheme="minorEastAsia"/>
        </w:rPr>
      </w:pPr>
      <w:bookmarkStart w:id="63"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63"/>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我单位承诺在收到代理服务费缴费通知后7个工作日内领取中标（成交）通知书，逾期将视为我单位放弃中标（成交）资格。</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pStyle w:val="3"/>
        <w:tabs>
          <w:tab w:val="left" w:pos="371"/>
        </w:tabs>
        <w:spacing w:before="120" w:after="120"/>
        <w:ind w:left="-1" w:leftChars="-1" w:hanging="1"/>
        <w:jc w:val="center"/>
        <w:rPr>
          <w:rFonts w:asciiTheme="minorEastAsia" w:hAnsiTheme="minorEastAsia" w:eastAsiaTheme="minorEastAsia"/>
        </w:rPr>
      </w:pPr>
      <w:bookmarkStart w:id="64" w:name="_Toc135293185"/>
      <w:r>
        <w:rPr>
          <w:rFonts w:hint="eastAsia" w:asciiTheme="minorEastAsia" w:hAnsiTheme="minorEastAsia" w:eastAsiaTheme="minorEastAsia"/>
        </w:rPr>
        <w:t>格式4  评分中涉及的承诺及声明函</w:t>
      </w:r>
      <w:bookmarkEnd w:id="64"/>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5" w:name="_Hlk71925120"/>
      <w:r>
        <w:rPr>
          <w:rFonts w:hint="eastAsia" w:asciiTheme="minorEastAsia" w:hAnsiTheme="minorEastAsia" w:eastAsiaTheme="minorEastAsia"/>
          <w:kern w:val="0"/>
          <w:szCs w:val="21"/>
        </w:rPr>
        <w:t>《关于印发中小企业划型标准规定的通知》（工信部联企业〔2011〕300 号</w:t>
      </w:r>
      <w:bookmarkEnd w:id="65"/>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宋体" w:hAnsi="宋体" w:eastAsiaTheme="minorEastAsia" w:cstheme="minorBidi"/>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r>
        <w:rPr>
          <w:rFonts w:hint="eastAsia" w:ascii="宋体" w:hAnsi="宋体" w:eastAsiaTheme="minorEastAsia" w:cstheme="minorBidi"/>
          <w:kern w:val="0"/>
          <w:szCs w:val="21"/>
        </w:rPr>
        <w:t>；</w:t>
      </w:r>
    </w:p>
    <w:p>
      <w:pPr>
        <w:widowControl/>
        <w:snapToGrid w:val="0"/>
        <w:spacing w:line="360" w:lineRule="auto"/>
        <w:ind w:firstLine="425"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（7）如为联合体投标或以分包形式投标的，需分别填写每家中小企业的企业名称、从业人员、营业收入、资产总额、企业类别（中型企业、小型企业、微型企业）等信息；</w:t>
      </w:r>
    </w:p>
    <w:p>
      <w:pPr>
        <w:widowControl/>
        <w:snapToGrid w:val="0"/>
        <w:spacing w:line="360" w:lineRule="auto"/>
        <w:ind w:firstLine="425"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（8）</w:t>
      </w:r>
      <w:r>
        <w:rPr>
          <w:rFonts w:hint="eastAsia" w:asciiTheme="minorHAnsi" w:hAnsiTheme="minorHAnsi" w:eastAsiaTheme="minorEastAsia" w:cstheme="minorBidi"/>
          <w:b/>
          <w:color w:val="FF0000"/>
          <w:szCs w:val="22"/>
        </w:rPr>
        <w:t>《中小企业声明函》中制造商、承接/承建企业所属行业应当与招标文件要求的行业相一致</w:t>
      </w:r>
      <w:r>
        <w:rPr>
          <w:rFonts w:hint="eastAsia" w:asciiTheme="minorHAnsi" w:hAnsiTheme="minorHAnsi" w:eastAsiaTheme="minorEastAsia" w:cstheme="minorBidi"/>
          <w:szCs w:val="22"/>
        </w:rPr>
        <w:t>，供应商如有疑问，可根据《国民经济行业分类》（GB/T4754-2002），结合《关于印发中小企业划型标准规定的通知》（工信部联企业〔2011〕300 号）进行判断。事业单位、社会组织等非企业主体不享受中小企业扶持政策，但事业单位、社会组织等非企业主体提供全部由中小企业制造的货物参加货物采购项目的除外。</w:t>
      </w:r>
    </w:p>
    <w:p>
      <w:pPr>
        <w:pStyle w:val="5"/>
        <w:tabs>
          <w:tab w:val="left" w:pos="0"/>
        </w:tabs>
        <w:jc w:val="center"/>
        <w:rPr>
          <w:rFonts w:ascii="宋体" w:hAnsi="宋体" w:eastAsia="宋体"/>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4" w:firstLineChars="202"/>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4" w:firstLineChars="202"/>
        <w:rPr>
          <w:rFonts w:asciiTheme="minorEastAsia" w:hAnsiTheme="minorEastAsia" w:eastAsiaTheme="minorEastAsia" w:cstheme="minorBidi"/>
          <w:szCs w:val="22"/>
        </w:rPr>
      </w:pPr>
      <w:r>
        <w:rPr>
          <w:rFonts w:hint="eastAsia" w:asciiTheme="minorEastAsia" w:hAnsiTheme="minorEastAsia" w:eastAsiaTheme="minorEastAsia" w:cstheme="minorBidi"/>
          <w:szCs w:val="22"/>
        </w:rPr>
        <w:t>3、中小企业参加政府采购活动，应当按照国务院批准的《中小企业划型标准规定》（工信部联企业〔2011〕300 号）、《金融业企业划型标准规定》（银发〔2015〕309 号）和《财政部工业和信息化部关于印发〈政府采购促进中小企业发展管理办法〉的通知》（财库〔2020〕46 号）的规定，出具《中小企业声明函》，</w:t>
      </w:r>
      <w:r>
        <w:rPr>
          <w:rFonts w:hint="eastAsia" w:asciiTheme="minorEastAsia" w:hAnsiTheme="minorEastAsia" w:eastAsiaTheme="minorEastAsia" w:cstheme="minorBidi"/>
          <w:b/>
          <w:szCs w:val="22"/>
        </w:rPr>
        <w:t>《中小企业声明函》中相关企业所属行业应当与采购标的所属行业相一致</w:t>
      </w:r>
      <w:r>
        <w:rPr>
          <w:rFonts w:hint="eastAsia" w:asciiTheme="minorEastAsia" w:hAnsiTheme="minorEastAsia" w:eastAsiaTheme="minorEastAsia" w:cstheme="minorBidi"/>
          <w:szCs w:val="22"/>
        </w:rPr>
        <w:t>。</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1"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2"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6" w:name="_Toc44690433"/>
      <w:bookmarkStart w:id="67" w:name="_Toc44691397"/>
      <w:bookmarkStart w:id="68" w:name="_Toc44691165"/>
      <w:bookmarkStart w:id="69" w:name="_Toc135293186"/>
      <w:bookmarkStart w:id="70" w:name="_Toc44690706"/>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Pr>
        <w:pStyle w:val="3"/>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6"/>
      <w:bookmarkEnd w:id="67"/>
      <w:bookmarkEnd w:id="68"/>
      <w:bookmarkEnd w:id="69"/>
      <w:bookmarkEnd w:id="7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1"/>
        <w:gridCol w:w="4034"/>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1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034"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1419" w:hRule="atLeast"/>
          <w:jc w:val="center"/>
        </w:trPr>
        <w:tc>
          <w:tcPr>
            <w:tcW w:w="3611"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深圳市地下综合管廊工程建设技术服务</w:t>
            </w:r>
          </w:p>
        </w:tc>
        <w:tc>
          <w:tcPr>
            <w:tcW w:w="4034"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r>
        <w:br w:type="page"/>
      </w:r>
    </w:p>
    <w:p>
      <w:pPr>
        <w:pStyle w:val="3"/>
        <w:tabs>
          <w:tab w:val="left" w:pos="371"/>
        </w:tabs>
        <w:spacing w:before="120" w:after="120"/>
        <w:ind w:left="-1" w:leftChars="-1" w:hanging="1"/>
        <w:jc w:val="center"/>
        <w:rPr>
          <w:rFonts w:asciiTheme="minorEastAsia" w:hAnsiTheme="minorEastAsia" w:eastAsiaTheme="minorEastAsia"/>
        </w:rPr>
      </w:pPr>
      <w:bookmarkStart w:id="71" w:name="_Toc44690434"/>
      <w:bookmarkStart w:id="72" w:name="_Toc44691166"/>
      <w:bookmarkStart w:id="73" w:name="_Toc44690707"/>
      <w:bookmarkStart w:id="74" w:name="_Toc44691398"/>
      <w:bookmarkStart w:id="75" w:name="_Toc135293187"/>
      <w:r>
        <w:rPr>
          <w:rFonts w:hint="eastAsia" w:asciiTheme="minorEastAsia" w:hAnsiTheme="minorEastAsia" w:eastAsiaTheme="minorEastAsia"/>
        </w:rPr>
        <w:t>格式6  报价表</w:t>
      </w:r>
      <w:bookmarkEnd w:id="71"/>
      <w:bookmarkEnd w:id="72"/>
      <w:bookmarkEnd w:id="73"/>
      <w:bookmarkEnd w:id="74"/>
      <w:bookmarkEnd w:id="75"/>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156" w:beforeLines="50" w:after="156"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156" w:beforeLines="50" w:after="156"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3"/>
        <w:tabs>
          <w:tab w:val="left" w:pos="371"/>
        </w:tabs>
        <w:spacing w:before="120" w:after="120"/>
        <w:ind w:left="-1" w:leftChars="-1" w:hanging="1"/>
        <w:jc w:val="center"/>
        <w:rPr>
          <w:rFonts w:asciiTheme="minorEastAsia" w:hAnsiTheme="minorEastAsia" w:eastAsiaTheme="minorEastAsia"/>
        </w:rPr>
      </w:pPr>
      <w:bookmarkStart w:id="76" w:name="_Toc135293188"/>
      <w:bookmarkStart w:id="77" w:name="_Toc44690708"/>
      <w:bookmarkStart w:id="78" w:name="_Toc44691399"/>
      <w:bookmarkStart w:id="79" w:name="_Toc44691167"/>
      <w:bookmarkStart w:id="80" w:name="_Toc44690435"/>
      <w:r>
        <w:rPr>
          <w:rFonts w:hint="eastAsia" w:asciiTheme="minorEastAsia" w:hAnsiTheme="minorEastAsia" w:eastAsiaTheme="minorEastAsia"/>
        </w:rPr>
        <w:t>格式7  服务方案</w:t>
      </w:r>
      <w:bookmarkEnd w:id="76"/>
      <w:bookmarkEnd w:id="77"/>
      <w:bookmarkEnd w:id="78"/>
      <w:bookmarkEnd w:id="79"/>
      <w:bookmarkEnd w:id="80"/>
    </w:p>
    <w:p>
      <w:pPr>
        <w:pStyle w:val="7"/>
      </w:pPr>
    </w:p>
    <w:p>
      <w:pPr>
        <w:spacing w:line="400" w:lineRule="exact"/>
        <w:ind w:firstLine="421"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color w:val="auto"/>
          <w:szCs w:val="21"/>
        </w:rPr>
      </w:pPr>
      <w:r>
        <w:rPr>
          <w:rFonts w:hint="eastAsia" w:ascii="宋体" w:hAnsi="宋体"/>
          <w:color w:val="auto"/>
          <w:szCs w:val="21"/>
        </w:rPr>
        <w:t>1、</w:t>
      </w:r>
      <w:r>
        <w:rPr>
          <w:rFonts w:hint="eastAsia" w:ascii="宋体" w:hAnsi="宋体" w:cs="宋体"/>
          <w:color w:val="auto"/>
          <w:kern w:val="0"/>
          <w:szCs w:val="21"/>
        </w:rPr>
        <w:t>项目背景及现状分析</w:t>
      </w:r>
    </w:p>
    <w:p>
      <w:pPr>
        <w:spacing w:line="360" w:lineRule="auto"/>
        <w:ind w:firstLine="420" w:firstLineChars="200"/>
        <w:rPr>
          <w:rFonts w:ascii="宋体" w:hAnsi="宋体" w:cs="宋体"/>
          <w:color w:val="auto"/>
          <w:szCs w:val="21"/>
        </w:rPr>
      </w:pPr>
      <w:r>
        <w:rPr>
          <w:rFonts w:hint="eastAsia" w:ascii="宋体" w:hAnsi="宋体"/>
          <w:color w:val="auto"/>
          <w:szCs w:val="21"/>
        </w:rPr>
        <w:t>2、</w:t>
      </w:r>
      <w:r>
        <w:rPr>
          <w:rFonts w:hint="eastAsia" w:ascii="宋体" w:hAnsi="宋体" w:cs="宋体"/>
          <w:color w:val="auto"/>
          <w:szCs w:val="21"/>
        </w:rPr>
        <w:t>相关规划解读</w:t>
      </w:r>
    </w:p>
    <w:p>
      <w:pPr>
        <w:spacing w:line="360" w:lineRule="auto"/>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kern w:val="0"/>
          <w:szCs w:val="21"/>
        </w:rPr>
        <w:t>项目重点难点分析及应对措施建议</w:t>
      </w:r>
    </w:p>
    <w:p>
      <w:pPr>
        <w:spacing w:line="360" w:lineRule="auto"/>
        <w:ind w:firstLine="420" w:firstLineChars="200"/>
        <w:rPr>
          <w:rFonts w:ascii="宋体" w:hAnsi="宋体" w:cs="宋体"/>
          <w:color w:val="auto"/>
          <w:szCs w:val="21"/>
        </w:rPr>
      </w:pPr>
      <w:r>
        <w:rPr>
          <w:rFonts w:hint="eastAsia" w:ascii="宋体" w:hAnsi="宋体" w:cs="宋体"/>
          <w:color w:val="auto"/>
          <w:szCs w:val="21"/>
        </w:rPr>
        <w:t>4、质量（完成时间、安全、环保）保障措施及方案</w:t>
      </w:r>
    </w:p>
    <w:p>
      <w:pPr>
        <w:spacing w:line="360" w:lineRule="auto"/>
        <w:ind w:firstLine="420" w:firstLineChars="200"/>
        <w:rPr>
          <w:rFonts w:ascii="宋体" w:hAnsi="宋体" w:cs="宋体"/>
          <w:color w:val="auto"/>
          <w:szCs w:val="21"/>
        </w:rPr>
      </w:pPr>
      <w:r>
        <w:rPr>
          <w:rFonts w:hint="eastAsia" w:ascii="宋体" w:hAnsi="宋体" w:cs="宋体"/>
          <w:color w:val="auto"/>
          <w:szCs w:val="21"/>
        </w:rPr>
        <w:t>5、</w:t>
      </w:r>
      <w:r>
        <w:rPr>
          <w:rFonts w:hint="eastAsia" w:ascii="宋体" w:hAnsi="宋体" w:cs="宋体"/>
          <w:color w:val="auto"/>
          <w:kern w:val="0"/>
          <w:szCs w:val="21"/>
        </w:rPr>
        <w:t>同类业绩情况</w:t>
      </w:r>
    </w:p>
    <w:p>
      <w:pPr>
        <w:spacing w:line="360" w:lineRule="auto"/>
        <w:ind w:left="420" w:leftChars="200"/>
        <w:rPr>
          <w:rFonts w:ascii="宋体" w:hAnsi="宋体" w:cs="宋体"/>
          <w:color w:val="auto"/>
          <w:kern w:val="0"/>
          <w:szCs w:val="21"/>
        </w:rPr>
      </w:pPr>
      <w:r>
        <w:rPr>
          <w:rFonts w:hint="eastAsia" w:ascii="宋体" w:hAnsi="宋体" w:cs="宋体"/>
          <w:color w:val="auto"/>
          <w:szCs w:val="21"/>
        </w:rPr>
        <w:t>6、</w:t>
      </w:r>
      <w:r>
        <w:rPr>
          <w:rFonts w:hint="eastAsia" w:ascii="宋体" w:hAnsi="宋体" w:cs="宋体"/>
          <w:color w:val="auto"/>
          <w:kern w:val="0"/>
          <w:szCs w:val="21"/>
        </w:rPr>
        <w:t>投标人获奖情况</w:t>
      </w:r>
      <w:r>
        <w:rPr>
          <w:rFonts w:hint="eastAsia" w:ascii="宋体" w:hAnsi="宋体" w:cs="宋体"/>
          <w:color w:val="auto"/>
          <w:kern w:val="0"/>
          <w:szCs w:val="21"/>
        </w:rPr>
        <w:br w:type="textWrapping"/>
      </w:r>
      <w:r>
        <w:rPr>
          <w:rFonts w:hint="eastAsia" w:ascii="宋体" w:hAnsi="宋体" w:cs="宋体"/>
          <w:color w:val="auto"/>
          <w:szCs w:val="21"/>
        </w:rPr>
        <w:t>7、投标人自主知识产权产品（创新、设计）情况</w:t>
      </w:r>
    </w:p>
    <w:p>
      <w:pPr>
        <w:spacing w:line="360" w:lineRule="auto"/>
        <w:ind w:left="420" w:leftChars="200"/>
        <w:rPr>
          <w:rFonts w:ascii="宋体" w:hAnsi="宋体"/>
          <w:color w:val="auto"/>
          <w:szCs w:val="21"/>
        </w:rPr>
      </w:pPr>
      <w:r>
        <w:rPr>
          <w:rFonts w:hint="eastAsia" w:ascii="宋体" w:hAnsi="宋体"/>
          <w:color w:val="auto"/>
          <w:szCs w:val="21"/>
        </w:rPr>
        <w:t>8、拟投入人员情况：包括</w:t>
      </w:r>
      <w:r>
        <w:rPr>
          <w:rFonts w:hint="eastAsia" w:ascii="宋体" w:hAnsi="宋体"/>
          <w:color w:val="auto"/>
          <w:kern w:val="0"/>
          <w:szCs w:val="21"/>
        </w:rPr>
        <w:t>项目负责人、</w:t>
      </w:r>
      <w:r>
        <w:rPr>
          <w:rFonts w:hint="eastAsia" w:ascii="宋体" w:hAnsi="宋体" w:cs="宋体"/>
          <w:color w:val="auto"/>
          <w:szCs w:val="21"/>
        </w:rPr>
        <w:t>项目团队成员</w:t>
      </w:r>
      <w:r>
        <w:rPr>
          <w:rFonts w:hint="eastAsia" w:ascii="宋体" w:hAnsi="宋体"/>
          <w:color w:val="auto"/>
          <w:szCs w:val="21"/>
        </w:rPr>
        <w:t>的数量、资质等（附《项目人员情况一览表》）</w:t>
      </w:r>
    </w:p>
    <w:p>
      <w:pPr>
        <w:spacing w:line="360" w:lineRule="auto"/>
        <w:ind w:left="420"/>
        <w:rPr>
          <w:rFonts w:ascii="宋体" w:hAnsi="宋体"/>
          <w:bCs/>
          <w:color w:val="auto"/>
        </w:rPr>
      </w:pPr>
      <w:r>
        <w:rPr>
          <w:rFonts w:hint="eastAsia" w:ascii="宋体" w:hAnsi="宋体"/>
          <w:bCs/>
          <w:color w:val="auto"/>
        </w:rPr>
        <w:t>9、投标人认为必要的其他方案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
      <w:pPr>
        <w:pStyle w:val="3"/>
        <w:tabs>
          <w:tab w:val="left" w:pos="371"/>
        </w:tabs>
        <w:spacing w:before="120" w:after="120"/>
        <w:ind w:left="-1" w:leftChars="-1" w:hanging="1"/>
        <w:jc w:val="center"/>
        <w:rPr>
          <w:rFonts w:asciiTheme="minorEastAsia" w:hAnsiTheme="minorEastAsia" w:eastAsiaTheme="minorEastAsia"/>
        </w:rPr>
      </w:pPr>
      <w:bookmarkStart w:id="81"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81"/>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Pr>
        <w:pStyle w:val="3"/>
        <w:tabs>
          <w:tab w:val="left" w:pos="371"/>
        </w:tabs>
        <w:spacing w:before="120" w:after="120"/>
        <w:ind w:left="-1" w:leftChars="-1" w:hanging="1"/>
        <w:jc w:val="center"/>
        <w:rPr>
          <w:rFonts w:asciiTheme="minorEastAsia" w:hAnsiTheme="minorEastAsia" w:eastAsiaTheme="minorEastAsia"/>
        </w:rPr>
      </w:pPr>
      <w:bookmarkStart w:id="82" w:name="_Toc44690436"/>
      <w:bookmarkStart w:id="83" w:name="_Toc44690709"/>
      <w:bookmarkStart w:id="84" w:name="_Toc135293190"/>
      <w:bookmarkStart w:id="85" w:name="_Toc44691400"/>
      <w:bookmarkStart w:id="86" w:name="_Toc44691168"/>
      <w:r>
        <w:rPr>
          <w:rFonts w:hint="eastAsia" w:asciiTheme="minorEastAsia" w:hAnsiTheme="minorEastAsia" w:eastAsiaTheme="minorEastAsia"/>
        </w:rPr>
        <w:t>格式9  偏离表</w:t>
      </w:r>
      <w:bookmarkEnd w:id="82"/>
      <w:bookmarkEnd w:id="83"/>
      <w:bookmarkEnd w:id="84"/>
      <w:bookmarkEnd w:id="85"/>
      <w:bookmarkEnd w:id="86"/>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10187" w:type="dxa"/>
            <w:gridSpan w:val="5"/>
          </w:tcPr>
          <w:p>
            <w:pPr>
              <w:ind w:left="136" w:leftChars="1" w:hanging="134"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adjustRightInd w:val="0"/>
        <w:snapToGrid w:val="0"/>
        <w:spacing w:line="300" w:lineRule="auto"/>
        <w:jc w:val="left"/>
        <w:rPr>
          <w:snapToGrid w:val="0"/>
          <w:kern w:val="0"/>
        </w:rPr>
      </w:pPr>
    </w:p>
    <w:p>
      <w:pPr>
        <w:pStyle w:val="3"/>
        <w:tabs>
          <w:tab w:val="left" w:pos="371"/>
        </w:tabs>
        <w:spacing w:before="120" w:after="120"/>
        <w:ind w:left="-1" w:leftChars="-1" w:hanging="1"/>
        <w:jc w:val="center"/>
        <w:rPr>
          <w:rFonts w:asciiTheme="minorEastAsia" w:hAnsiTheme="minorEastAsia" w:eastAsiaTheme="minorEastAsia"/>
        </w:rPr>
      </w:pPr>
      <w:bookmarkStart w:id="87" w:name="_格式3__"/>
      <w:bookmarkEnd w:id="87"/>
      <w:bookmarkStart w:id="88" w:name="q15"/>
      <w:bookmarkEnd w:id="88"/>
      <w:bookmarkStart w:id="89" w:name="_格式2__投标保证金凭证"/>
      <w:bookmarkEnd w:id="89"/>
      <w:bookmarkStart w:id="90" w:name="q17"/>
      <w:bookmarkEnd w:id="90"/>
      <w:bookmarkStart w:id="91" w:name="_格式5__"/>
      <w:bookmarkEnd w:id="91"/>
      <w:bookmarkStart w:id="92" w:name="q16"/>
      <w:bookmarkEnd w:id="92"/>
      <w:bookmarkStart w:id="93" w:name="_格式4__"/>
      <w:bookmarkEnd w:id="93"/>
      <w:r>
        <w:rPr>
          <w:rFonts w:asciiTheme="minorEastAsia" w:hAnsiTheme="minorEastAsia" w:eastAsiaTheme="minorEastAsia"/>
        </w:rPr>
        <w:tab/>
      </w:r>
      <w:bookmarkStart w:id="94" w:name="_Toc44691401"/>
      <w:bookmarkStart w:id="95" w:name="_Toc44690437"/>
      <w:bookmarkStart w:id="96" w:name="_Toc44691169"/>
      <w:bookmarkStart w:id="97" w:name="_Toc44690710"/>
      <w:bookmarkStart w:id="98" w:name="_Toc135293191"/>
      <w:r>
        <w:rPr>
          <w:rFonts w:hint="eastAsia" w:asciiTheme="minorEastAsia" w:hAnsiTheme="minorEastAsia" w:eastAsiaTheme="minorEastAsia"/>
        </w:rPr>
        <w:t xml:space="preserve">格式10  </w:t>
      </w:r>
      <w:bookmarkEnd w:id="94"/>
      <w:bookmarkEnd w:id="95"/>
      <w:bookmarkEnd w:id="96"/>
      <w:bookmarkEnd w:id="97"/>
      <w:r>
        <w:rPr>
          <w:rFonts w:hint="eastAsia" w:asciiTheme="minorEastAsia" w:hAnsiTheme="minorEastAsia" w:eastAsiaTheme="minorEastAsia"/>
        </w:rPr>
        <w:t>招标文件要求的其他资料或投标人认为需要补充的资料</w:t>
      </w:r>
      <w:bookmarkEnd w:id="98"/>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5"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Pr>
        <w:pStyle w:val="2"/>
      </w:pPr>
      <w:bookmarkStart w:id="99" w:name="_Toc135293192"/>
      <w:r>
        <w:rPr>
          <w:rFonts w:hint="eastAsia"/>
        </w:rPr>
        <w:t>第八章  合同条款</w:t>
      </w:r>
      <w:bookmarkEnd w:id="99"/>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1"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1" w:firstLineChars="200"/>
        <w:rPr>
          <w:rFonts w:ascii="Times New Roman" w:hAnsi="Times New Roman"/>
          <w:b/>
          <w:sz w:val="24"/>
        </w:rPr>
      </w:pPr>
    </w:p>
    <w:p>
      <w:pPr>
        <w:tabs>
          <w:tab w:val="left" w:pos="180"/>
        </w:tabs>
        <w:adjustRightInd w:val="0"/>
        <w:snapToGrid w:val="0"/>
        <w:spacing w:line="560" w:lineRule="exact"/>
        <w:ind w:right="420" w:firstLine="4830" w:firstLineChars="2300"/>
        <w:rPr>
          <w:rFonts w:ascii="宋体" w:hAnsi="宋体" w:cs="宋体"/>
          <w:szCs w:val="21"/>
          <w:u w:val="single"/>
        </w:rPr>
      </w:pPr>
      <w:r>
        <w:rPr>
          <w:rFonts w:hint="eastAsia" w:ascii="宋体" w:hAnsi="宋体" w:cs="宋体"/>
          <w:szCs w:val="21"/>
        </w:rPr>
        <w:t xml:space="preserve">合同编号： </w:t>
      </w:r>
      <w:r>
        <w:rPr>
          <w:rFonts w:hint="eastAsia" w:ascii="宋体" w:hAnsi="宋体" w:cs="宋体"/>
          <w:szCs w:val="21"/>
          <w:u w:val="single"/>
        </w:rPr>
        <w:t xml:space="preserve">                 </w:t>
      </w:r>
    </w:p>
    <w:p>
      <w:pPr>
        <w:adjustRightInd w:val="0"/>
        <w:snapToGrid w:val="0"/>
        <w:spacing w:line="360" w:lineRule="auto"/>
        <w:jc w:val="center"/>
        <w:rPr>
          <w:rFonts w:ascii="宋体" w:hAnsi="宋体" w:cs="宋体"/>
          <w:bCs/>
          <w:szCs w:val="21"/>
        </w:rPr>
      </w:pPr>
    </w:p>
    <w:p>
      <w:pPr>
        <w:adjustRightInd w:val="0"/>
        <w:snapToGrid w:val="0"/>
        <w:spacing w:after="156" w:afterLines="50" w:line="560" w:lineRule="exact"/>
        <w:jc w:val="center"/>
        <w:rPr>
          <w:rFonts w:ascii="宋体" w:hAnsi="宋体" w:cs="宋体"/>
          <w:sz w:val="28"/>
          <w:szCs w:val="28"/>
        </w:rPr>
      </w:pPr>
      <w:r>
        <w:rPr>
          <w:rFonts w:hint="eastAsia" w:ascii="宋体" w:hAnsi="宋体" w:cs="宋体"/>
          <w:bCs/>
          <w:sz w:val="28"/>
          <w:szCs w:val="28"/>
        </w:rPr>
        <w:t>服 务 采 购 合 同</w:t>
      </w:r>
    </w:p>
    <w:p>
      <w:pPr>
        <w:adjustRightInd w:val="0"/>
        <w:snapToGrid w:val="0"/>
        <w:spacing w:line="360" w:lineRule="auto"/>
        <w:jc w:val="center"/>
        <w:rPr>
          <w:rFonts w:ascii="宋体" w:hAnsi="宋体" w:cs="宋体"/>
          <w:b/>
          <w:bCs/>
          <w:szCs w:val="21"/>
        </w:rPr>
      </w:pPr>
    </w:p>
    <w:p>
      <w:pPr>
        <w:adjustRightInd w:val="0"/>
        <w:snapToGrid w:val="0"/>
        <w:spacing w:line="360" w:lineRule="auto"/>
        <w:jc w:val="center"/>
        <w:rPr>
          <w:rFonts w:ascii="宋体" w:hAnsi="宋体" w:cs="宋体"/>
          <w:b/>
          <w:bCs/>
          <w:szCs w:val="21"/>
        </w:rPr>
      </w:pPr>
    </w:p>
    <w:p>
      <w:pPr>
        <w:adjustRightInd w:val="0"/>
        <w:snapToGrid w:val="0"/>
        <w:spacing w:line="360" w:lineRule="auto"/>
        <w:jc w:val="center"/>
        <w:rPr>
          <w:rFonts w:ascii="宋体" w:hAnsi="宋体" w:cs="宋体"/>
          <w:b/>
          <w:bCs/>
          <w:szCs w:val="21"/>
        </w:rPr>
      </w:pPr>
    </w:p>
    <w:p>
      <w:pPr>
        <w:tabs>
          <w:tab w:val="left" w:pos="180"/>
          <w:tab w:val="left" w:pos="1980"/>
        </w:tabs>
        <w:spacing w:before="156" w:beforeLines="50" w:after="156" w:afterLines="50" w:line="300" w:lineRule="auto"/>
        <w:ind w:firstLine="421" w:firstLineChars="200"/>
        <w:rPr>
          <w:rFonts w:ascii="宋体" w:hAnsi="宋体" w:cs="宋体"/>
          <w:b/>
          <w:szCs w:val="21"/>
          <w:u w:val="single"/>
        </w:rPr>
      </w:pPr>
      <w:r>
        <w:rPr>
          <w:rFonts w:hint="eastAsia" w:ascii="宋体" w:hAnsi="宋体" w:cs="宋体"/>
          <w:b/>
          <w:szCs w:val="21"/>
        </w:rPr>
        <w:t>项目名称 ：</w:t>
      </w:r>
      <w:r>
        <w:rPr>
          <w:rFonts w:hint="eastAsia" w:ascii="宋体" w:hAnsi="宋体" w:cs="宋体"/>
          <w:b/>
          <w:szCs w:val="21"/>
          <w:u w:val="single"/>
        </w:rPr>
        <w:t xml:space="preserve">深圳市地下综合管廊工程建设技术服务 </w:t>
      </w:r>
    </w:p>
    <w:p>
      <w:pPr>
        <w:tabs>
          <w:tab w:val="left" w:leader="underscore" w:pos="180"/>
          <w:tab w:val="left" w:pos="2160"/>
          <w:tab w:val="left" w:pos="6480"/>
        </w:tabs>
        <w:spacing w:before="156" w:beforeLines="50" w:after="156" w:afterLines="50" w:line="300" w:lineRule="auto"/>
        <w:ind w:firstLine="421" w:firstLineChars="200"/>
        <w:rPr>
          <w:rFonts w:ascii="宋体" w:hAnsi="宋体" w:cs="宋体"/>
          <w:b/>
          <w:szCs w:val="21"/>
          <w:u w:val="single"/>
        </w:rPr>
      </w:pPr>
      <w:r>
        <w:rPr>
          <w:rFonts w:hint="eastAsia" w:ascii="宋体" w:hAnsi="宋体" w:cs="宋体"/>
          <w:b/>
          <w:szCs w:val="21"/>
        </w:rPr>
        <w:t>委托方（甲方）：</w:t>
      </w:r>
      <w:r>
        <w:rPr>
          <w:rFonts w:hint="eastAsia" w:ascii="宋体" w:hAnsi="宋体" w:cs="宋体"/>
          <w:b/>
          <w:szCs w:val="21"/>
          <w:u w:val="single"/>
        </w:rPr>
        <w:t xml:space="preserve"> 深圳市住房和建设局                                 </w:t>
      </w:r>
    </w:p>
    <w:p>
      <w:pPr>
        <w:tabs>
          <w:tab w:val="left" w:pos="180"/>
          <w:tab w:val="left" w:pos="7200"/>
        </w:tabs>
        <w:spacing w:before="156" w:beforeLines="50" w:after="156" w:afterLines="50" w:line="300" w:lineRule="auto"/>
        <w:ind w:firstLine="421" w:firstLineChars="200"/>
        <w:rPr>
          <w:rFonts w:ascii="宋体" w:hAnsi="宋体" w:cs="宋体"/>
          <w:b/>
          <w:szCs w:val="21"/>
          <w:u w:val="single"/>
        </w:rPr>
      </w:pPr>
      <w:r>
        <w:rPr>
          <w:rFonts w:hint="eastAsia" w:ascii="宋体" w:hAnsi="宋体" w:cs="宋体"/>
          <w:b/>
          <w:szCs w:val="21"/>
        </w:rPr>
        <w:t>受托方（乙方）：</w:t>
      </w:r>
      <w:r>
        <w:rPr>
          <w:rFonts w:hint="eastAsia" w:ascii="宋体" w:hAnsi="宋体" w:cs="宋体"/>
          <w:b/>
          <w:szCs w:val="21"/>
          <w:u w:val="single"/>
        </w:rPr>
        <w:t xml:space="preserve">                                                    </w:t>
      </w:r>
    </w:p>
    <w:p>
      <w:pPr>
        <w:adjustRightInd w:val="0"/>
        <w:snapToGrid w:val="0"/>
        <w:spacing w:line="360" w:lineRule="auto"/>
        <w:jc w:val="center"/>
        <w:rPr>
          <w:rFonts w:ascii="宋体" w:hAnsi="宋体" w:cs="宋体"/>
          <w:b/>
          <w:bCs/>
          <w:szCs w:val="21"/>
        </w:rPr>
      </w:pPr>
    </w:p>
    <w:p>
      <w:pPr>
        <w:adjustRightInd w:val="0"/>
        <w:snapToGrid w:val="0"/>
        <w:spacing w:line="360" w:lineRule="auto"/>
        <w:jc w:val="center"/>
        <w:rPr>
          <w:rFonts w:ascii="宋体" w:hAnsi="宋体" w:cs="宋体"/>
          <w:b/>
          <w:bCs/>
          <w:szCs w:val="21"/>
        </w:rPr>
      </w:pPr>
    </w:p>
    <w:p>
      <w:pPr>
        <w:adjustRightInd w:val="0"/>
        <w:snapToGrid w:val="0"/>
        <w:spacing w:line="360" w:lineRule="auto"/>
        <w:jc w:val="center"/>
        <w:rPr>
          <w:rFonts w:ascii="宋体" w:hAnsi="宋体" w:cs="宋体"/>
          <w:b/>
          <w:bCs/>
          <w:szCs w:val="21"/>
        </w:rPr>
      </w:pPr>
    </w:p>
    <w:p>
      <w:pPr>
        <w:tabs>
          <w:tab w:val="left" w:pos="180"/>
          <w:tab w:val="left" w:pos="3780"/>
        </w:tabs>
        <w:spacing w:after="156" w:afterLines="50" w:line="300" w:lineRule="auto"/>
        <w:rPr>
          <w:rFonts w:ascii="宋体" w:hAnsi="宋体" w:cs="宋体"/>
          <w:szCs w:val="21"/>
        </w:rPr>
      </w:pPr>
    </w:p>
    <w:p>
      <w:pPr>
        <w:tabs>
          <w:tab w:val="left" w:pos="180"/>
          <w:tab w:val="left" w:pos="3780"/>
        </w:tabs>
        <w:spacing w:after="156" w:afterLines="50" w:line="300" w:lineRule="auto"/>
        <w:jc w:val="center"/>
        <w:rPr>
          <w:rFonts w:ascii="宋体" w:hAnsi="宋体" w:cs="宋体"/>
          <w:szCs w:val="21"/>
        </w:rPr>
      </w:pPr>
    </w:p>
    <w:p>
      <w:pPr>
        <w:tabs>
          <w:tab w:val="left" w:pos="180"/>
          <w:tab w:val="left" w:pos="3780"/>
        </w:tabs>
        <w:spacing w:after="156" w:afterLines="50" w:line="300" w:lineRule="auto"/>
        <w:jc w:val="center"/>
        <w:rPr>
          <w:rFonts w:ascii="宋体" w:hAnsi="宋体" w:cs="宋体"/>
          <w:szCs w:val="21"/>
        </w:rPr>
      </w:pPr>
    </w:p>
    <w:p>
      <w:pPr>
        <w:tabs>
          <w:tab w:val="left" w:pos="180"/>
          <w:tab w:val="left" w:pos="3780"/>
        </w:tabs>
        <w:spacing w:after="156" w:afterLines="50" w:line="300" w:lineRule="auto"/>
        <w:jc w:val="center"/>
        <w:rPr>
          <w:rFonts w:ascii="宋体" w:hAnsi="宋体" w:cs="宋体"/>
          <w:szCs w:val="21"/>
        </w:rPr>
      </w:pPr>
      <w:r>
        <w:rPr>
          <w:rFonts w:hint="eastAsia" w:ascii="宋体" w:hAnsi="宋体" w:cs="宋体"/>
          <w:szCs w:val="21"/>
        </w:rPr>
        <w:t>本合同共</w:t>
      </w:r>
      <w:r>
        <w:rPr>
          <w:rFonts w:hint="eastAsia" w:ascii="宋体" w:hAnsi="宋体" w:cs="宋体"/>
          <w:szCs w:val="21"/>
          <w:u w:val="single"/>
        </w:rPr>
        <w:t xml:space="preserve">   </w:t>
      </w:r>
      <w:r>
        <w:rPr>
          <w:rFonts w:hint="eastAsia" w:ascii="宋体" w:hAnsi="宋体" w:cs="宋体"/>
          <w:szCs w:val="21"/>
        </w:rPr>
        <w:t>页（含封面）</w:t>
      </w:r>
    </w:p>
    <w:p>
      <w:pPr>
        <w:spacing w:before="156" w:beforeLines="50" w:after="156" w:afterLines="50" w:line="300" w:lineRule="auto"/>
        <w:rPr>
          <w:rFonts w:ascii="宋体" w:hAnsi="宋体" w:cs="宋体"/>
          <w:szCs w:val="21"/>
        </w:rPr>
      </w:pPr>
    </w:p>
    <w:p>
      <w:pPr>
        <w:spacing w:before="156" w:beforeLines="50" w:after="156" w:afterLines="50" w:line="300" w:lineRule="auto"/>
        <w:ind w:left="180"/>
        <w:jc w:val="center"/>
        <w:rPr>
          <w:rFonts w:ascii="宋体" w:hAnsi="宋体" w:cs="宋体"/>
          <w:szCs w:val="21"/>
        </w:rPr>
      </w:pPr>
    </w:p>
    <w:p>
      <w:pPr>
        <w:spacing w:before="156" w:beforeLines="50" w:after="156" w:afterLines="50" w:line="300" w:lineRule="auto"/>
        <w:ind w:left="180"/>
        <w:jc w:val="center"/>
        <w:rPr>
          <w:rFonts w:ascii="宋体" w:hAnsi="宋体" w:cs="宋体"/>
          <w:szCs w:val="21"/>
        </w:rPr>
      </w:pPr>
    </w:p>
    <w:p>
      <w:pPr>
        <w:spacing w:before="156" w:beforeLines="50" w:after="156" w:afterLines="50" w:line="300" w:lineRule="auto"/>
        <w:ind w:left="180"/>
        <w:jc w:val="center"/>
        <w:rPr>
          <w:rFonts w:ascii="宋体" w:hAnsi="宋体" w:cs="宋体"/>
          <w:szCs w:val="21"/>
        </w:rPr>
      </w:pPr>
      <w:r>
        <w:rPr>
          <w:rFonts w:hint="eastAsia" w:ascii="宋体" w:hAnsi="宋体" w:cs="宋体"/>
          <w:szCs w:val="21"/>
        </w:rPr>
        <w:t>特别提示</w:t>
      </w:r>
    </w:p>
    <w:p>
      <w:pPr>
        <w:spacing w:before="156" w:beforeLines="50" w:after="156" w:afterLines="50" w:line="300" w:lineRule="auto"/>
        <w:ind w:firstLine="420" w:firstLineChars="200"/>
        <w:jc w:val="left"/>
        <w:rPr>
          <w:rFonts w:ascii="宋体" w:hAnsi="宋体" w:cs="宋体"/>
          <w:szCs w:val="21"/>
        </w:rPr>
      </w:pPr>
      <w:r>
        <w:rPr>
          <w:rFonts w:hint="eastAsia" w:ascii="宋体" w:hAnsi="宋体" w:cs="宋体"/>
          <w:szCs w:val="21"/>
        </w:rPr>
        <w:t>一、本合同示范文本包括封面、合同正文、附件，其中封面、附件是合同的组成部分，与合同正文具有同等法律效力；合同未尽事项，可由当事人附页另行约定，作为本合同的组成部分。</w:t>
      </w:r>
    </w:p>
    <w:p>
      <w:pPr>
        <w:spacing w:before="156" w:beforeLines="50" w:after="156" w:afterLines="50" w:line="300" w:lineRule="auto"/>
        <w:ind w:firstLine="420" w:firstLineChars="200"/>
        <w:jc w:val="left"/>
        <w:rPr>
          <w:rFonts w:ascii="宋体" w:hAnsi="宋体" w:cs="宋体"/>
          <w:szCs w:val="21"/>
        </w:rPr>
      </w:pPr>
      <w:r>
        <w:rPr>
          <w:rFonts w:hint="eastAsia" w:ascii="宋体" w:hAnsi="宋体" w:cs="宋体"/>
          <w:szCs w:val="21"/>
        </w:rPr>
        <w:t>二、关于封面的填写。封面显示的是项目名称、双方当事人的名称、合同编号等，供当事人在归档时甄别使用，其内容请与合同正文内容保持一致。</w:t>
      </w:r>
    </w:p>
    <w:p>
      <w:pPr>
        <w:spacing w:before="156" w:beforeLines="50" w:after="156" w:afterLines="50" w:line="300" w:lineRule="auto"/>
        <w:ind w:firstLine="420" w:firstLineChars="200"/>
        <w:jc w:val="left"/>
        <w:rPr>
          <w:rFonts w:ascii="宋体" w:hAnsi="宋体" w:cs="宋体"/>
          <w:szCs w:val="21"/>
        </w:rPr>
      </w:pPr>
      <w:r>
        <w:rPr>
          <w:rFonts w:hint="eastAsia" w:ascii="宋体" w:hAnsi="宋体" w:cs="宋体"/>
          <w:szCs w:val="21"/>
        </w:rPr>
        <w:t>三、关于正文部分当事人基本情况的填写。当事人基本情况主要是供当事人在履行合同时通讯和付款使用，因此所填内容请确保信息准确。</w:t>
      </w:r>
    </w:p>
    <w:p>
      <w:pPr>
        <w:spacing w:before="156" w:beforeLines="50" w:after="156" w:afterLines="50" w:line="300" w:lineRule="auto"/>
        <w:ind w:firstLine="420" w:firstLineChars="200"/>
        <w:jc w:val="left"/>
        <w:rPr>
          <w:rFonts w:ascii="宋体" w:hAnsi="宋体" w:cs="宋体"/>
          <w:szCs w:val="21"/>
        </w:rPr>
      </w:pPr>
      <w:r>
        <w:rPr>
          <w:rFonts w:hint="eastAsia" w:ascii="宋体" w:hAnsi="宋体" w:cs="宋体"/>
          <w:szCs w:val="21"/>
        </w:rPr>
        <w:t>四、本合同示范文本内关于合同标的、价款支付、双方权利义务、违约责任、合同解除等方面的条款仅供当事人参考，当事人可根据项目需求、合同签订目的等，对具体条款进行增减或变更。</w:t>
      </w:r>
    </w:p>
    <w:p>
      <w:pPr>
        <w:spacing w:before="156" w:beforeLines="50" w:after="156" w:afterLines="50" w:line="300" w:lineRule="auto"/>
        <w:ind w:firstLine="420" w:firstLineChars="200"/>
        <w:jc w:val="left"/>
        <w:rPr>
          <w:rFonts w:ascii="宋体" w:hAnsi="宋体" w:cs="宋体"/>
          <w:szCs w:val="21"/>
        </w:rPr>
      </w:pPr>
      <w:r>
        <w:rPr>
          <w:rFonts w:hint="eastAsia" w:ascii="宋体" w:hAnsi="宋体" w:cs="宋体"/>
          <w:szCs w:val="21"/>
        </w:rPr>
        <w:t>五、本合同示范文本中的“□”为可选择项目，选择该项目的，请在“□”内划“√”，不选择的请在“□”内划“×”。未划“√”或“×”视为不选择。</w:t>
      </w:r>
    </w:p>
    <w:p>
      <w:pPr>
        <w:spacing w:before="156" w:beforeLines="50" w:after="156" w:afterLines="50" w:line="300" w:lineRule="auto"/>
        <w:ind w:firstLine="420" w:firstLineChars="200"/>
        <w:jc w:val="left"/>
        <w:rPr>
          <w:rFonts w:ascii="宋体" w:hAnsi="宋体" w:cs="宋体"/>
          <w:szCs w:val="21"/>
        </w:rPr>
      </w:pPr>
      <w:r>
        <w:rPr>
          <w:rFonts w:hint="eastAsia" w:ascii="宋体" w:hAnsi="宋体" w:cs="宋体"/>
          <w:szCs w:val="21"/>
        </w:rPr>
        <w:t>六、当事人使用本合同示范文本时，凡是当事人约定无需填写的条款，请在该条款填写的空白处划“/”表示，或者直接将无需填写的条款内容进行删除。</w:t>
      </w:r>
    </w:p>
    <w:p>
      <w:pPr>
        <w:spacing w:before="156" w:beforeLines="50" w:after="156" w:afterLines="50" w:line="300" w:lineRule="auto"/>
        <w:ind w:firstLine="420" w:firstLineChars="200"/>
        <w:jc w:val="left"/>
        <w:rPr>
          <w:rFonts w:ascii="宋体" w:hAnsi="宋体" w:cs="宋体"/>
          <w:szCs w:val="21"/>
        </w:rPr>
      </w:pPr>
    </w:p>
    <w:p>
      <w:pPr>
        <w:tabs>
          <w:tab w:val="left" w:pos="4140"/>
          <w:tab w:val="left" w:pos="8820"/>
        </w:tabs>
        <w:adjustRightInd w:val="0"/>
        <w:snapToGrid w:val="0"/>
        <w:spacing w:line="560" w:lineRule="exact"/>
        <w:ind w:firstLine="421" w:firstLineChars="200"/>
        <w:jc w:val="left"/>
        <w:rPr>
          <w:rFonts w:ascii="宋体" w:hAnsi="宋体" w:cs="宋体"/>
          <w:b/>
          <w:szCs w:val="21"/>
        </w:rPr>
      </w:pPr>
    </w:p>
    <w:p>
      <w:pPr>
        <w:spacing w:line="580" w:lineRule="exact"/>
        <w:ind w:firstLine="420" w:firstLineChars="200"/>
        <w:rPr>
          <w:rFonts w:ascii="宋体" w:hAnsi="宋体" w:cs="宋体"/>
          <w:color w:val="000000"/>
          <w:szCs w:val="21"/>
        </w:rPr>
      </w:pPr>
    </w:p>
    <w:p>
      <w:pPr>
        <w:tabs>
          <w:tab w:val="left" w:pos="4140"/>
          <w:tab w:val="left" w:pos="8820"/>
        </w:tabs>
        <w:adjustRightInd w:val="0"/>
        <w:snapToGrid w:val="0"/>
        <w:spacing w:line="560" w:lineRule="exact"/>
        <w:ind w:firstLine="210" w:firstLineChars="100"/>
        <w:rPr>
          <w:rFonts w:ascii="宋体" w:hAnsi="宋体" w:cs="宋体"/>
          <w:b/>
          <w:szCs w:val="21"/>
        </w:rPr>
      </w:pPr>
    </w:p>
    <w:p>
      <w:pPr>
        <w:tabs>
          <w:tab w:val="left" w:pos="4140"/>
          <w:tab w:val="left" w:pos="8820"/>
        </w:tabs>
        <w:adjustRightInd w:val="0"/>
        <w:snapToGrid w:val="0"/>
        <w:spacing w:line="560" w:lineRule="exact"/>
        <w:ind w:firstLine="210" w:firstLineChars="100"/>
        <w:rPr>
          <w:rFonts w:ascii="宋体" w:hAnsi="宋体" w:cs="宋体"/>
          <w:b/>
          <w:szCs w:val="21"/>
        </w:rPr>
      </w:pPr>
    </w:p>
    <w:p>
      <w:pPr>
        <w:tabs>
          <w:tab w:val="left" w:pos="4140"/>
          <w:tab w:val="left" w:pos="8820"/>
        </w:tabs>
        <w:adjustRightInd w:val="0"/>
        <w:snapToGrid w:val="0"/>
        <w:spacing w:line="560" w:lineRule="exact"/>
        <w:ind w:firstLine="210" w:firstLineChars="100"/>
        <w:rPr>
          <w:rFonts w:ascii="宋体" w:hAnsi="宋体" w:cs="宋体"/>
          <w:b/>
          <w:szCs w:val="21"/>
        </w:rPr>
      </w:pPr>
    </w:p>
    <w:p>
      <w:pPr>
        <w:tabs>
          <w:tab w:val="left" w:pos="4140"/>
          <w:tab w:val="left" w:pos="8820"/>
        </w:tabs>
        <w:adjustRightInd w:val="0"/>
        <w:snapToGrid w:val="0"/>
        <w:spacing w:line="560" w:lineRule="exact"/>
        <w:ind w:firstLine="210" w:firstLineChars="100"/>
        <w:rPr>
          <w:rFonts w:ascii="宋体" w:hAnsi="宋体" w:cs="宋体"/>
          <w:b/>
          <w:szCs w:val="21"/>
        </w:rPr>
      </w:pPr>
    </w:p>
    <w:p>
      <w:pPr>
        <w:tabs>
          <w:tab w:val="left" w:pos="4140"/>
          <w:tab w:val="left" w:pos="8820"/>
        </w:tabs>
        <w:adjustRightInd w:val="0"/>
        <w:snapToGrid w:val="0"/>
        <w:spacing w:line="560" w:lineRule="exact"/>
        <w:ind w:firstLine="210" w:firstLineChars="100"/>
        <w:rPr>
          <w:rFonts w:ascii="宋体" w:hAnsi="宋体" w:cs="宋体"/>
          <w:b/>
          <w:szCs w:val="21"/>
        </w:rPr>
      </w:pPr>
    </w:p>
    <w:p>
      <w:pPr>
        <w:tabs>
          <w:tab w:val="left" w:pos="4140"/>
          <w:tab w:val="left" w:pos="8820"/>
        </w:tabs>
        <w:adjustRightInd w:val="0"/>
        <w:snapToGrid w:val="0"/>
        <w:spacing w:line="560" w:lineRule="exact"/>
        <w:rPr>
          <w:rFonts w:ascii="宋体" w:hAnsi="宋体" w:cs="宋体"/>
          <w:b/>
          <w:szCs w:val="21"/>
        </w:rPr>
      </w:pPr>
    </w:p>
    <w:p>
      <w:pPr>
        <w:tabs>
          <w:tab w:val="left" w:pos="4140"/>
          <w:tab w:val="left" w:pos="8820"/>
        </w:tabs>
        <w:adjustRightInd w:val="0"/>
        <w:snapToGrid w:val="0"/>
        <w:spacing w:line="560" w:lineRule="exact"/>
        <w:ind w:firstLine="210" w:firstLineChars="100"/>
        <w:rPr>
          <w:rFonts w:ascii="宋体" w:hAnsi="宋体" w:cs="宋体"/>
          <w:szCs w:val="21"/>
        </w:rPr>
      </w:pPr>
      <w:r>
        <w:rPr>
          <w:rFonts w:hint="eastAsia" w:ascii="宋体" w:hAnsi="宋体" w:cs="宋体"/>
          <w:b/>
          <w:szCs w:val="21"/>
        </w:rPr>
        <w:t>甲方（委托方）</w:t>
      </w:r>
      <w:r>
        <w:rPr>
          <w:rFonts w:hint="eastAsia" w:ascii="宋体" w:hAnsi="宋体" w:cs="宋体"/>
          <w:szCs w:val="21"/>
        </w:rPr>
        <w:t>：</w:t>
      </w:r>
      <w:r>
        <w:rPr>
          <w:rFonts w:hint="eastAsia" w:ascii="宋体" w:hAnsi="宋体" w:cs="宋体"/>
          <w:szCs w:val="21"/>
          <w:u w:val="single"/>
        </w:rPr>
        <w:t xml:space="preserve"> 深圳市住房和建设局                                  </w:t>
      </w:r>
    </w:p>
    <w:p>
      <w:pPr>
        <w:tabs>
          <w:tab w:val="left" w:pos="7920"/>
          <w:tab w:val="left" w:pos="8820"/>
        </w:tabs>
        <w:adjustRightInd w:val="0"/>
        <w:snapToGrid w:val="0"/>
        <w:spacing w:line="560" w:lineRule="exact"/>
        <w:ind w:firstLine="210" w:firstLineChars="100"/>
        <w:rPr>
          <w:rFonts w:ascii="宋体" w:hAnsi="宋体" w:cs="宋体"/>
          <w:szCs w:val="21"/>
          <w:u w:val="single"/>
        </w:rPr>
      </w:pPr>
      <w:r>
        <w:rPr>
          <w:rFonts w:hint="eastAsia" w:ascii="宋体" w:hAnsi="宋体" w:cs="宋体"/>
          <w:b/>
          <w:szCs w:val="21"/>
        </w:rPr>
        <w:t>住所地：</w:t>
      </w:r>
      <w:r>
        <w:rPr>
          <w:rFonts w:hint="eastAsia" w:ascii="宋体" w:hAnsi="宋体" w:cs="宋体"/>
          <w:szCs w:val="21"/>
          <w:u w:val="single"/>
        </w:rPr>
        <w:t xml:space="preserve"> 深圳市福田区振华路 8 号设计大厦                            </w:t>
      </w:r>
    </w:p>
    <w:p>
      <w:pPr>
        <w:tabs>
          <w:tab w:val="left" w:pos="7920"/>
        </w:tabs>
        <w:adjustRightInd w:val="0"/>
        <w:snapToGrid w:val="0"/>
        <w:spacing w:line="560" w:lineRule="exact"/>
        <w:ind w:firstLine="210" w:firstLineChars="100"/>
        <w:rPr>
          <w:rFonts w:ascii="宋体" w:hAnsi="宋体" w:cs="宋体"/>
          <w:szCs w:val="21"/>
          <w:u w:val="single"/>
        </w:rPr>
      </w:pPr>
      <w:r>
        <w:rPr>
          <w:rFonts w:hint="eastAsia" w:ascii="宋体" w:hAnsi="宋体" w:cs="宋体"/>
          <w:b/>
          <w:szCs w:val="21"/>
        </w:rPr>
        <w:t>法定代表人：</w:t>
      </w:r>
      <w:r>
        <w:rPr>
          <w:rFonts w:hint="eastAsia" w:ascii="宋体" w:hAnsi="宋体" w:cs="宋体"/>
          <w:szCs w:val="21"/>
          <w:u w:val="single"/>
        </w:rPr>
        <w:t xml:space="preserve">                                              </w:t>
      </w:r>
    </w:p>
    <w:p>
      <w:pPr>
        <w:tabs>
          <w:tab w:val="left" w:pos="8220"/>
        </w:tabs>
        <w:adjustRightInd w:val="0"/>
        <w:snapToGrid w:val="0"/>
        <w:spacing w:line="560" w:lineRule="exact"/>
        <w:ind w:firstLine="210" w:firstLineChars="100"/>
        <w:rPr>
          <w:rFonts w:ascii="宋体" w:hAnsi="宋体" w:cs="宋体"/>
          <w:szCs w:val="21"/>
          <w:u w:val="single"/>
        </w:rPr>
      </w:pPr>
      <w:r>
        <w:rPr>
          <w:rFonts w:hint="eastAsia" w:ascii="宋体" w:hAnsi="宋体" w:cs="宋体"/>
          <w:b/>
          <w:szCs w:val="21"/>
        </w:rPr>
        <w:t>合同联系人：</w:t>
      </w:r>
      <w:r>
        <w:rPr>
          <w:rFonts w:hint="eastAsia" w:ascii="宋体" w:hAnsi="宋体" w:cs="宋体"/>
          <w:szCs w:val="21"/>
          <w:u w:val="single"/>
        </w:rPr>
        <w:t xml:space="preserve">                                               </w:t>
      </w:r>
    </w:p>
    <w:p>
      <w:pPr>
        <w:tabs>
          <w:tab w:val="left" w:pos="8220"/>
        </w:tabs>
        <w:adjustRightInd w:val="0"/>
        <w:snapToGrid w:val="0"/>
        <w:spacing w:line="560" w:lineRule="exact"/>
        <w:ind w:firstLine="210" w:firstLineChars="100"/>
        <w:rPr>
          <w:rFonts w:ascii="宋体" w:hAnsi="宋体" w:cs="宋体"/>
          <w:b/>
          <w:szCs w:val="21"/>
          <w:u w:val="single"/>
        </w:rPr>
      </w:pPr>
      <w:bookmarkStart w:id="100" w:name="OLE_LINK4"/>
      <w:bookmarkStart w:id="101" w:name="OLE_LINK3"/>
      <w:r>
        <w:rPr>
          <w:rFonts w:hint="eastAsia" w:ascii="宋体" w:hAnsi="宋体" w:cs="宋体"/>
          <w:b/>
          <w:szCs w:val="21"/>
        </w:rPr>
        <w:t>电子邮箱：</w:t>
      </w:r>
      <w:r>
        <w:rPr>
          <w:rFonts w:hint="eastAsia" w:ascii="宋体" w:hAnsi="宋体" w:cs="宋体"/>
          <w:szCs w:val="21"/>
          <w:u w:val="single"/>
        </w:rPr>
        <w:t xml:space="preserve">                                 </w:t>
      </w:r>
    </w:p>
    <w:bookmarkEnd w:id="100"/>
    <w:bookmarkEnd w:id="101"/>
    <w:p>
      <w:pPr>
        <w:tabs>
          <w:tab w:val="left" w:pos="8820"/>
        </w:tabs>
        <w:adjustRightInd w:val="0"/>
        <w:snapToGrid w:val="0"/>
        <w:spacing w:line="560" w:lineRule="exact"/>
        <w:ind w:firstLine="210" w:firstLineChars="100"/>
        <w:rPr>
          <w:rFonts w:ascii="宋体" w:hAnsi="宋体" w:cs="宋体"/>
          <w:szCs w:val="21"/>
          <w:u w:val="single"/>
        </w:rPr>
      </w:pPr>
      <w:r>
        <w:rPr>
          <w:rFonts w:hint="eastAsia" w:ascii="宋体" w:hAnsi="宋体" w:cs="宋体"/>
          <w:b/>
          <w:szCs w:val="21"/>
        </w:rPr>
        <w:t>通讯地址：</w:t>
      </w:r>
      <w:r>
        <w:rPr>
          <w:rFonts w:hint="eastAsia" w:ascii="宋体" w:hAnsi="宋体" w:cs="宋体"/>
          <w:szCs w:val="21"/>
          <w:u w:val="single"/>
        </w:rPr>
        <w:t xml:space="preserve">  深圳市福田区振华路8号设计大厦                    </w:t>
      </w:r>
    </w:p>
    <w:p>
      <w:pPr>
        <w:tabs>
          <w:tab w:val="left" w:pos="8820"/>
        </w:tabs>
        <w:adjustRightInd w:val="0"/>
        <w:snapToGrid w:val="0"/>
        <w:spacing w:line="560" w:lineRule="exact"/>
        <w:ind w:firstLine="210" w:firstLineChars="100"/>
        <w:rPr>
          <w:rFonts w:ascii="宋体" w:hAnsi="宋体" w:cs="宋体"/>
          <w:b/>
          <w:szCs w:val="21"/>
          <w:u w:val="single"/>
        </w:rPr>
      </w:pPr>
      <w:bookmarkStart w:id="102" w:name="OLE_LINK2"/>
      <w:bookmarkStart w:id="103" w:name="OLE_LINK1"/>
      <w:r>
        <w:rPr>
          <w:rFonts w:hint="eastAsia" w:ascii="宋体" w:hAnsi="宋体" w:cs="宋体"/>
          <w:b/>
          <w:szCs w:val="21"/>
        </w:rPr>
        <w:t>邮政编码：</w:t>
      </w:r>
      <w:r>
        <w:rPr>
          <w:rFonts w:hint="eastAsia" w:ascii="宋体" w:hAnsi="宋体" w:cs="宋体"/>
          <w:szCs w:val="21"/>
          <w:u w:val="single"/>
        </w:rPr>
        <w:t xml:space="preserve">518031                                                 </w:t>
      </w:r>
    </w:p>
    <w:bookmarkEnd w:id="102"/>
    <w:bookmarkEnd w:id="103"/>
    <w:p>
      <w:pPr>
        <w:tabs>
          <w:tab w:val="left" w:pos="4200"/>
          <w:tab w:val="left" w:pos="7320"/>
        </w:tabs>
        <w:adjustRightInd w:val="0"/>
        <w:snapToGrid w:val="0"/>
        <w:spacing w:line="560" w:lineRule="exact"/>
        <w:ind w:firstLine="210" w:firstLineChars="100"/>
        <w:rPr>
          <w:rFonts w:ascii="宋体" w:hAnsi="宋体" w:cs="宋体"/>
          <w:b/>
          <w:szCs w:val="21"/>
        </w:rPr>
      </w:pPr>
      <w:r>
        <w:rPr>
          <w:rFonts w:hint="eastAsia" w:ascii="宋体" w:hAnsi="宋体" w:cs="宋体"/>
          <w:b/>
          <w:szCs w:val="21"/>
        </w:rPr>
        <w:t>电话：</w:t>
      </w:r>
      <w:r>
        <w:rPr>
          <w:rFonts w:hint="eastAsia" w:ascii="宋体" w:hAnsi="宋体" w:cs="宋体"/>
          <w:szCs w:val="21"/>
          <w:u w:val="single"/>
        </w:rPr>
        <w:t xml:space="preserve">                       </w:t>
      </w:r>
      <w:r>
        <w:rPr>
          <w:rFonts w:hint="eastAsia" w:ascii="宋体" w:hAnsi="宋体" w:cs="宋体"/>
          <w:b/>
          <w:szCs w:val="21"/>
        </w:rPr>
        <w:t>传真：</w:t>
      </w:r>
      <w:r>
        <w:rPr>
          <w:rFonts w:hint="eastAsia" w:ascii="宋体" w:hAnsi="宋体" w:cs="宋体"/>
          <w:szCs w:val="21"/>
          <w:u w:val="single"/>
        </w:rPr>
        <w:t xml:space="preserve">                                 </w:t>
      </w:r>
    </w:p>
    <w:p>
      <w:pPr>
        <w:tabs>
          <w:tab w:val="left" w:pos="7920"/>
          <w:tab w:val="left" w:pos="8820"/>
        </w:tabs>
        <w:adjustRightInd w:val="0"/>
        <w:snapToGrid w:val="0"/>
        <w:spacing w:line="560" w:lineRule="exact"/>
        <w:ind w:firstLine="210" w:firstLineChars="100"/>
        <w:rPr>
          <w:rFonts w:ascii="宋体" w:hAnsi="宋体" w:cs="宋体"/>
          <w:b/>
          <w:szCs w:val="21"/>
        </w:rPr>
      </w:pPr>
      <w:r>
        <w:rPr>
          <w:rFonts w:hint="eastAsia" w:ascii="宋体" w:hAnsi="宋体" w:cs="宋体"/>
          <w:b/>
          <w:szCs w:val="21"/>
        </w:rPr>
        <w:t>开户银行：</w:t>
      </w:r>
      <w:r>
        <w:rPr>
          <w:rFonts w:hint="eastAsia" w:ascii="宋体" w:hAnsi="宋体" w:cs="宋体"/>
          <w:szCs w:val="21"/>
          <w:u w:val="single"/>
        </w:rPr>
        <w:t xml:space="preserve">                      /                                   </w:t>
      </w:r>
    </w:p>
    <w:p>
      <w:pPr>
        <w:tabs>
          <w:tab w:val="left" w:pos="2520"/>
          <w:tab w:val="left" w:pos="7920"/>
          <w:tab w:val="left" w:pos="8820"/>
        </w:tabs>
        <w:adjustRightInd w:val="0"/>
        <w:snapToGrid w:val="0"/>
        <w:spacing w:line="560" w:lineRule="exact"/>
        <w:ind w:firstLine="210" w:firstLineChars="100"/>
        <w:rPr>
          <w:rFonts w:ascii="宋体" w:hAnsi="宋体" w:cs="宋体"/>
          <w:b/>
          <w:szCs w:val="21"/>
        </w:rPr>
      </w:pPr>
      <w:r>
        <w:rPr>
          <w:rFonts w:hint="eastAsia" w:ascii="宋体" w:hAnsi="宋体" w:cs="宋体"/>
          <w:b/>
          <w:szCs w:val="21"/>
        </w:rPr>
        <w:t>银行账号：</w:t>
      </w:r>
      <w:r>
        <w:rPr>
          <w:rFonts w:hint="eastAsia" w:ascii="宋体" w:hAnsi="宋体" w:cs="宋体"/>
          <w:szCs w:val="21"/>
          <w:u w:val="single"/>
        </w:rPr>
        <w:t xml:space="preserve">                      /                                   </w:t>
      </w:r>
    </w:p>
    <w:p>
      <w:pPr>
        <w:tabs>
          <w:tab w:val="left" w:pos="8820"/>
        </w:tabs>
        <w:adjustRightInd w:val="0"/>
        <w:snapToGrid w:val="0"/>
        <w:spacing w:line="560" w:lineRule="exact"/>
        <w:rPr>
          <w:rFonts w:ascii="宋体" w:hAnsi="宋体" w:cs="宋体"/>
          <w:b/>
          <w:szCs w:val="21"/>
        </w:rPr>
      </w:pPr>
    </w:p>
    <w:p>
      <w:pPr>
        <w:tabs>
          <w:tab w:val="left" w:pos="8820"/>
        </w:tabs>
        <w:adjustRightInd w:val="0"/>
        <w:snapToGrid w:val="0"/>
        <w:spacing w:line="560" w:lineRule="exact"/>
        <w:rPr>
          <w:rFonts w:ascii="宋体" w:hAnsi="宋体" w:cs="宋体"/>
          <w:b/>
          <w:szCs w:val="21"/>
        </w:rPr>
      </w:pPr>
    </w:p>
    <w:p>
      <w:pPr>
        <w:tabs>
          <w:tab w:val="left" w:pos="4140"/>
          <w:tab w:val="left" w:pos="8820"/>
        </w:tabs>
        <w:adjustRightInd w:val="0"/>
        <w:snapToGrid w:val="0"/>
        <w:spacing w:line="560" w:lineRule="exact"/>
        <w:ind w:firstLine="210" w:firstLineChars="100"/>
        <w:rPr>
          <w:rFonts w:ascii="宋体" w:hAnsi="宋体" w:cs="宋体"/>
          <w:szCs w:val="21"/>
          <w:u w:val="single"/>
        </w:rPr>
      </w:pPr>
      <w:r>
        <w:rPr>
          <w:rFonts w:hint="eastAsia" w:ascii="宋体" w:hAnsi="宋体" w:cs="宋体"/>
          <w:b/>
          <w:szCs w:val="21"/>
        </w:rPr>
        <w:t>乙方（受托方）：</w:t>
      </w:r>
      <w:r>
        <w:rPr>
          <w:rFonts w:hint="eastAsia" w:ascii="宋体" w:hAnsi="宋体" w:cs="宋体"/>
          <w:szCs w:val="21"/>
          <w:u w:val="single"/>
        </w:rPr>
        <w:t xml:space="preserve">                                                     </w:t>
      </w:r>
    </w:p>
    <w:p>
      <w:pPr>
        <w:tabs>
          <w:tab w:val="left" w:pos="8820"/>
        </w:tabs>
        <w:adjustRightInd w:val="0"/>
        <w:snapToGrid w:val="0"/>
        <w:spacing w:line="560" w:lineRule="exact"/>
        <w:ind w:firstLine="210" w:firstLineChars="100"/>
        <w:rPr>
          <w:rFonts w:ascii="宋体" w:hAnsi="宋体" w:cs="宋体"/>
          <w:szCs w:val="21"/>
          <w:u w:val="single"/>
        </w:rPr>
      </w:pPr>
      <w:r>
        <w:rPr>
          <w:rFonts w:hint="eastAsia" w:ascii="宋体" w:hAnsi="宋体" w:cs="宋体"/>
          <w:b/>
          <w:szCs w:val="21"/>
        </w:rPr>
        <w:t>住所地：</w:t>
      </w:r>
      <w:r>
        <w:rPr>
          <w:rFonts w:hint="eastAsia" w:ascii="宋体" w:hAnsi="宋体" w:cs="宋体"/>
          <w:szCs w:val="21"/>
          <w:u w:val="single"/>
        </w:rPr>
        <w:t xml:space="preserve">                                                            </w:t>
      </w:r>
    </w:p>
    <w:p>
      <w:pPr>
        <w:tabs>
          <w:tab w:val="left" w:pos="7920"/>
        </w:tabs>
        <w:adjustRightInd w:val="0"/>
        <w:snapToGrid w:val="0"/>
        <w:spacing w:line="560" w:lineRule="exact"/>
        <w:ind w:firstLine="210" w:firstLineChars="100"/>
        <w:rPr>
          <w:rFonts w:ascii="宋体" w:hAnsi="宋体" w:cs="宋体"/>
          <w:szCs w:val="21"/>
          <w:u w:val="single"/>
        </w:rPr>
      </w:pPr>
      <w:r>
        <w:rPr>
          <w:rFonts w:hint="eastAsia" w:ascii="宋体" w:hAnsi="宋体" w:cs="宋体"/>
          <w:b/>
          <w:szCs w:val="21"/>
        </w:rPr>
        <w:t>法定代表人：</w:t>
      </w:r>
      <w:r>
        <w:rPr>
          <w:rFonts w:hint="eastAsia" w:ascii="宋体" w:hAnsi="宋体" w:cs="宋体"/>
          <w:szCs w:val="21"/>
          <w:u w:val="single"/>
        </w:rPr>
        <w:t xml:space="preserve">                                                        </w:t>
      </w:r>
    </w:p>
    <w:p>
      <w:pPr>
        <w:tabs>
          <w:tab w:val="left" w:pos="8220"/>
        </w:tabs>
        <w:adjustRightInd w:val="0"/>
        <w:snapToGrid w:val="0"/>
        <w:spacing w:line="560" w:lineRule="exact"/>
        <w:ind w:firstLine="210" w:firstLineChars="100"/>
        <w:rPr>
          <w:rFonts w:ascii="宋体" w:hAnsi="宋体" w:cs="宋体"/>
          <w:szCs w:val="21"/>
          <w:u w:val="single"/>
        </w:rPr>
      </w:pPr>
      <w:r>
        <w:rPr>
          <w:rFonts w:hint="eastAsia" w:ascii="宋体" w:hAnsi="宋体" w:cs="宋体"/>
          <w:b/>
          <w:szCs w:val="21"/>
        </w:rPr>
        <w:t>合同联系人：</w:t>
      </w:r>
      <w:r>
        <w:rPr>
          <w:rFonts w:hint="eastAsia" w:ascii="宋体" w:hAnsi="宋体" w:cs="宋体"/>
          <w:szCs w:val="21"/>
          <w:u w:val="single"/>
        </w:rPr>
        <w:t xml:space="preserve">                                                        </w:t>
      </w:r>
    </w:p>
    <w:p>
      <w:pPr>
        <w:tabs>
          <w:tab w:val="left" w:pos="8220"/>
        </w:tabs>
        <w:adjustRightInd w:val="0"/>
        <w:snapToGrid w:val="0"/>
        <w:spacing w:line="560" w:lineRule="exact"/>
        <w:ind w:firstLine="210" w:firstLineChars="100"/>
        <w:rPr>
          <w:rFonts w:ascii="宋体" w:hAnsi="宋体" w:cs="宋体"/>
          <w:b/>
          <w:szCs w:val="21"/>
          <w:u w:val="single"/>
        </w:rPr>
      </w:pPr>
      <w:r>
        <w:rPr>
          <w:rFonts w:hint="eastAsia" w:ascii="宋体" w:hAnsi="宋体" w:cs="宋体"/>
          <w:b/>
          <w:szCs w:val="21"/>
        </w:rPr>
        <w:t>电子邮箱：</w:t>
      </w:r>
      <w:r>
        <w:rPr>
          <w:rFonts w:hint="eastAsia" w:ascii="宋体" w:hAnsi="宋体" w:cs="宋体"/>
          <w:szCs w:val="21"/>
          <w:u w:val="single"/>
        </w:rPr>
        <w:t xml:space="preserve">                                                          </w:t>
      </w:r>
    </w:p>
    <w:p>
      <w:pPr>
        <w:tabs>
          <w:tab w:val="left" w:pos="8820"/>
        </w:tabs>
        <w:adjustRightInd w:val="0"/>
        <w:snapToGrid w:val="0"/>
        <w:spacing w:line="560" w:lineRule="exact"/>
        <w:ind w:firstLine="210" w:firstLineChars="100"/>
        <w:rPr>
          <w:rFonts w:ascii="宋体" w:hAnsi="宋体" w:cs="宋体"/>
          <w:szCs w:val="21"/>
          <w:u w:val="single"/>
        </w:rPr>
      </w:pPr>
      <w:r>
        <w:rPr>
          <w:rFonts w:hint="eastAsia" w:ascii="宋体" w:hAnsi="宋体" w:cs="宋体"/>
          <w:b/>
          <w:szCs w:val="21"/>
        </w:rPr>
        <w:t>通讯地址：</w:t>
      </w:r>
      <w:r>
        <w:rPr>
          <w:rFonts w:hint="eastAsia" w:ascii="宋体" w:hAnsi="宋体" w:cs="宋体"/>
          <w:szCs w:val="21"/>
          <w:u w:val="single"/>
        </w:rPr>
        <w:t xml:space="preserve">                                                          </w:t>
      </w:r>
    </w:p>
    <w:p>
      <w:pPr>
        <w:tabs>
          <w:tab w:val="left" w:pos="8820"/>
        </w:tabs>
        <w:adjustRightInd w:val="0"/>
        <w:snapToGrid w:val="0"/>
        <w:spacing w:line="560" w:lineRule="exact"/>
        <w:ind w:firstLine="210" w:firstLineChars="100"/>
        <w:rPr>
          <w:rFonts w:ascii="宋体" w:hAnsi="宋体" w:cs="宋体"/>
          <w:b/>
          <w:szCs w:val="21"/>
          <w:u w:val="single"/>
        </w:rPr>
      </w:pPr>
      <w:r>
        <w:rPr>
          <w:rFonts w:hint="eastAsia" w:ascii="宋体" w:hAnsi="宋体" w:cs="宋体"/>
          <w:b/>
          <w:szCs w:val="21"/>
        </w:rPr>
        <w:t>邮政编码：</w:t>
      </w:r>
      <w:r>
        <w:rPr>
          <w:rFonts w:hint="eastAsia" w:ascii="宋体" w:hAnsi="宋体" w:cs="宋体"/>
          <w:szCs w:val="21"/>
          <w:u w:val="single"/>
        </w:rPr>
        <w:t xml:space="preserve">                                                          </w:t>
      </w:r>
    </w:p>
    <w:p>
      <w:pPr>
        <w:tabs>
          <w:tab w:val="left" w:pos="4200"/>
          <w:tab w:val="left" w:pos="7320"/>
        </w:tabs>
        <w:adjustRightInd w:val="0"/>
        <w:snapToGrid w:val="0"/>
        <w:spacing w:line="560" w:lineRule="exact"/>
        <w:ind w:firstLine="210" w:firstLineChars="100"/>
        <w:rPr>
          <w:rFonts w:ascii="宋体" w:hAnsi="宋体" w:cs="宋体"/>
          <w:b/>
          <w:szCs w:val="21"/>
        </w:rPr>
      </w:pPr>
      <w:r>
        <w:rPr>
          <w:rFonts w:hint="eastAsia" w:ascii="宋体" w:hAnsi="宋体" w:cs="宋体"/>
          <w:b/>
          <w:szCs w:val="21"/>
        </w:rPr>
        <w:t>电话：</w:t>
      </w:r>
      <w:r>
        <w:rPr>
          <w:rFonts w:hint="eastAsia" w:ascii="宋体" w:hAnsi="宋体" w:cs="宋体"/>
          <w:szCs w:val="21"/>
          <w:u w:val="single"/>
        </w:rPr>
        <w:t xml:space="preserve">                         </w:t>
      </w:r>
      <w:r>
        <w:rPr>
          <w:rFonts w:hint="eastAsia" w:ascii="宋体" w:hAnsi="宋体" w:cs="宋体"/>
          <w:b/>
          <w:szCs w:val="21"/>
        </w:rPr>
        <w:t>传真：</w:t>
      </w:r>
      <w:r>
        <w:rPr>
          <w:rFonts w:hint="eastAsia" w:ascii="宋体" w:hAnsi="宋体" w:cs="宋体"/>
          <w:szCs w:val="21"/>
          <w:u w:val="single"/>
        </w:rPr>
        <w:t xml:space="preserve">                               </w:t>
      </w:r>
    </w:p>
    <w:p>
      <w:pPr>
        <w:tabs>
          <w:tab w:val="left" w:pos="7920"/>
          <w:tab w:val="left" w:pos="8820"/>
        </w:tabs>
        <w:adjustRightInd w:val="0"/>
        <w:snapToGrid w:val="0"/>
        <w:spacing w:line="560" w:lineRule="exact"/>
        <w:ind w:firstLine="210" w:firstLineChars="100"/>
        <w:rPr>
          <w:rFonts w:ascii="宋体" w:hAnsi="宋体" w:cs="宋体"/>
          <w:szCs w:val="21"/>
          <w:u w:val="single"/>
        </w:rPr>
      </w:pPr>
      <w:r>
        <w:rPr>
          <w:rFonts w:hint="eastAsia" w:ascii="宋体" w:hAnsi="宋体" w:cs="宋体"/>
          <w:b/>
          <w:szCs w:val="21"/>
        </w:rPr>
        <w:t>开户银行：</w:t>
      </w:r>
      <w:r>
        <w:rPr>
          <w:rFonts w:hint="eastAsia" w:ascii="宋体" w:hAnsi="宋体" w:cs="宋体"/>
          <w:szCs w:val="21"/>
          <w:u w:val="single"/>
        </w:rPr>
        <w:t xml:space="preserve">                                                          </w:t>
      </w:r>
    </w:p>
    <w:p>
      <w:pPr>
        <w:tabs>
          <w:tab w:val="left" w:pos="2520"/>
          <w:tab w:val="left" w:pos="7920"/>
          <w:tab w:val="left" w:pos="8820"/>
        </w:tabs>
        <w:adjustRightInd w:val="0"/>
        <w:snapToGrid w:val="0"/>
        <w:spacing w:line="560" w:lineRule="exact"/>
        <w:ind w:firstLine="210" w:firstLineChars="100"/>
        <w:rPr>
          <w:rFonts w:ascii="宋体" w:hAnsi="宋体" w:cs="宋体"/>
          <w:b/>
          <w:szCs w:val="21"/>
        </w:rPr>
      </w:pPr>
      <w:r>
        <w:rPr>
          <w:rFonts w:hint="eastAsia" w:ascii="宋体" w:hAnsi="宋体" w:cs="宋体"/>
          <w:b/>
          <w:szCs w:val="21"/>
        </w:rPr>
        <w:t>银行账号：</w:t>
      </w:r>
      <w:r>
        <w:rPr>
          <w:rFonts w:hint="eastAsia" w:ascii="宋体" w:hAnsi="宋体" w:cs="宋体"/>
          <w:szCs w:val="21"/>
          <w:u w:val="single"/>
        </w:rPr>
        <w:t xml:space="preserve">                                                          </w:t>
      </w:r>
    </w:p>
    <w:p>
      <w:pPr>
        <w:adjustRightInd w:val="0"/>
        <w:snapToGrid w:val="0"/>
        <w:spacing w:after="156" w:afterLines="50" w:line="560" w:lineRule="exact"/>
        <w:rPr>
          <w:rFonts w:ascii="宋体" w:hAnsi="宋体" w:cs="宋体"/>
          <w:szCs w:val="21"/>
        </w:rPr>
      </w:pPr>
    </w:p>
    <w:p>
      <w:pPr>
        <w:adjustRightInd w:val="0"/>
        <w:snapToGrid w:val="0"/>
        <w:spacing w:before="156" w:beforeLines="50" w:after="156" w:afterLines="50" w:line="360" w:lineRule="auto"/>
        <w:ind w:firstLine="315" w:firstLineChars="150"/>
        <w:rPr>
          <w:rFonts w:ascii="宋体" w:hAnsi="宋体" w:cs="宋体"/>
          <w:szCs w:val="21"/>
        </w:rPr>
      </w:pPr>
    </w:p>
    <w:p>
      <w:pPr>
        <w:adjustRightInd w:val="0"/>
        <w:snapToGrid w:val="0"/>
        <w:spacing w:before="156" w:beforeLines="50" w:after="156" w:afterLines="50" w:line="360" w:lineRule="auto"/>
        <w:rPr>
          <w:rFonts w:ascii="宋体" w:hAnsi="宋体" w:cs="宋体"/>
          <w:szCs w:val="21"/>
        </w:rPr>
      </w:pP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根据《中华人民共和国民法典》及相关法律、行政法规，并依据</w:t>
      </w:r>
    </w:p>
    <w:p>
      <w:pPr>
        <w:tabs>
          <w:tab w:val="left" w:pos="7920"/>
        </w:tabs>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 中标通知书（项目编号：</w:t>
      </w:r>
      <w:r>
        <w:rPr>
          <w:rFonts w:hint="eastAsia" w:ascii="宋体" w:hAnsi="宋体" w:cs="宋体"/>
          <w:szCs w:val="21"/>
          <w:u w:val="single"/>
        </w:rPr>
        <w:t xml:space="preserve">                                            </w:t>
      </w:r>
      <w:r>
        <w:rPr>
          <w:rFonts w:hint="eastAsia" w:ascii="宋体" w:hAnsi="宋体" w:cs="宋体"/>
          <w:szCs w:val="21"/>
        </w:rPr>
        <w:t>）</w:t>
      </w:r>
    </w:p>
    <w:p>
      <w:pPr>
        <w:tabs>
          <w:tab w:val="left" w:pos="7920"/>
        </w:tabs>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 其他批准文件</w:t>
      </w:r>
      <w:r>
        <w:rPr>
          <w:rFonts w:hint="eastAsia" w:ascii="宋体" w:hAnsi="宋体" w:cs="宋体"/>
          <w:szCs w:val="21"/>
          <w:u w:val="single"/>
        </w:rPr>
        <w:t xml:space="preserve">                                                      </w:t>
      </w:r>
    </w:p>
    <w:p>
      <w:pPr>
        <w:tabs>
          <w:tab w:val="left" w:pos="7920"/>
        </w:tabs>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甲、乙双方遵循平等、自愿和诚实信用的原则，就甲方委托乙方开展“</w:t>
      </w:r>
      <w:r>
        <w:rPr>
          <w:rFonts w:hint="eastAsia" w:ascii="宋体" w:hAnsi="宋体" w:cs="宋体"/>
          <w:szCs w:val="21"/>
          <w:u w:val="single"/>
        </w:rPr>
        <w:t xml:space="preserve">                                                         </w:t>
      </w:r>
      <w:r>
        <w:rPr>
          <w:rFonts w:hint="eastAsia" w:ascii="宋体" w:hAnsi="宋体" w:cs="宋体"/>
          <w:szCs w:val="21"/>
        </w:rPr>
        <w:t>”项目事宜协商一致，签订本合同，双方承诺遵守并切实履行下列条款：</w:t>
      </w:r>
    </w:p>
    <w:p>
      <w:pPr>
        <w:adjustRightInd w:val="0"/>
        <w:snapToGrid w:val="0"/>
        <w:spacing w:before="156" w:beforeLines="50" w:after="156" w:afterLines="50" w:line="360" w:lineRule="auto"/>
        <w:rPr>
          <w:rFonts w:ascii="宋体" w:hAnsi="宋体" w:cs="宋体"/>
          <w:szCs w:val="21"/>
        </w:rPr>
      </w:pPr>
    </w:p>
    <w:p>
      <w:pPr>
        <w:tabs>
          <w:tab w:val="left" w:pos="1080"/>
          <w:tab w:val="left" w:pos="1665"/>
        </w:tabs>
        <w:adjustRightInd w:val="0"/>
        <w:snapToGrid w:val="0"/>
        <w:spacing w:before="156" w:beforeLines="50" w:after="156" w:afterLines="50" w:line="360" w:lineRule="auto"/>
        <w:jc w:val="left"/>
        <w:rPr>
          <w:rFonts w:ascii="宋体" w:hAnsi="宋体" w:cs="宋体"/>
          <w:b/>
          <w:bCs/>
          <w:szCs w:val="21"/>
        </w:rPr>
      </w:pPr>
      <w:r>
        <w:rPr>
          <w:rFonts w:hint="eastAsia" w:ascii="宋体" w:hAnsi="宋体" w:cs="宋体"/>
          <w:b/>
          <w:bCs/>
          <w:szCs w:val="21"/>
        </w:rPr>
        <w:t>第一条  项目基本情况</w:t>
      </w:r>
    </w:p>
    <w:p>
      <w:pPr>
        <w:tabs>
          <w:tab w:val="left" w:pos="7920"/>
        </w:tabs>
        <w:adjustRightInd w:val="0"/>
        <w:snapToGrid w:val="0"/>
        <w:spacing w:before="156" w:beforeLines="50" w:after="156" w:afterLines="50" w:line="360" w:lineRule="auto"/>
        <w:rPr>
          <w:rFonts w:ascii="宋体" w:hAnsi="宋体" w:cs="宋体"/>
          <w:szCs w:val="21"/>
          <w:u w:val="single"/>
        </w:rPr>
      </w:pPr>
      <w:r>
        <w:rPr>
          <w:rFonts w:hint="eastAsia" w:ascii="宋体" w:hAnsi="宋体" w:cs="宋体"/>
          <w:szCs w:val="21"/>
        </w:rPr>
        <w:t>1.1项目名称：</w:t>
      </w:r>
      <w:r>
        <w:rPr>
          <w:rFonts w:hint="eastAsia" w:ascii="宋体" w:hAnsi="宋体" w:cs="宋体"/>
          <w:szCs w:val="21"/>
          <w:u w:val="single"/>
        </w:rPr>
        <w:t xml:space="preserve"> 深圳市地下综合管廊工程建设技术服务 </w:t>
      </w:r>
      <w:r>
        <w:rPr>
          <w:rFonts w:hint="eastAsia" w:ascii="宋体" w:hAnsi="宋体" w:cs="宋体"/>
          <w:szCs w:val="21"/>
        </w:rPr>
        <w:t>。</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1.2项目委托方式为</w:t>
      </w:r>
      <w:r>
        <w:rPr>
          <w:rFonts w:hint="eastAsia" w:ascii="宋体" w:hAnsi="宋体" w:cs="宋体"/>
          <w:szCs w:val="21"/>
          <w:u w:val="single"/>
        </w:rPr>
        <w:t xml:space="preserve"> （4）公开招标  </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 xml:space="preserve">（1）直接委托  （2）单一来源  （3）竞争性谈判 </w:t>
      </w:r>
    </w:p>
    <w:p>
      <w:pPr>
        <w:tabs>
          <w:tab w:val="left" w:pos="7920"/>
        </w:tabs>
        <w:adjustRightInd w:val="0"/>
        <w:snapToGrid w:val="0"/>
        <w:spacing w:before="156" w:beforeLines="50" w:after="156" w:afterLines="50" w:line="360" w:lineRule="auto"/>
        <w:rPr>
          <w:rFonts w:ascii="宋体" w:hAnsi="宋体" w:cs="宋体"/>
          <w:szCs w:val="21"/>
          <w:u w:val="single"/>
        </w:rPr>
      </w:pPr>
      <w:r>
        <w:rPr>
          <w:rFonts w:hint="eastAsia" w:ascii="宋体" w:hAnsi="宋体" w:cs="宋体"/>
          <w:szCs w:val="21"/>
        </w:rPr>
        <w:t>（4）公开招标  （5）其它</w:t>
      </w:r>
      <w:r>
        <w:rPr>
          <w:rFonts w:hint="eastAsia" w:ascii="宋体" w:hAnsi="宋体" w:cs="宋体"/>
          <w:szCs w:val="21"/>
          <w:u w:val="single"/>
        </w:rPr>
        <w:t xml:space="preserve">                                          </w:t>
      </w:r>
    </w:p>
    <w:p>
      <w:pPr>
        <w:tabs>
          <w:tab w:val="left" w:pos="1080"/>
          <w:tab w:val="left" w:pos="1665"/>
          <w:tab w:val="left" w:pos="1995"/>
        </w:tabs>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1.3 项目服务内容和要求</w:t>
      </w:r>
    </w:p>
    <w:p>
      <w:pPr>
        <w:adjustRightInd w:val="0"/>
        <w:snapToGrid w:val="0"/>
        <w:spacing w:line="360" w:lineRule="auto"/>
        <w:ind w:firstLine="420" w:firstLineChars="200"/>
        <w:rPr>
          <w:rStyle w:val="510"/>
          <w:rFonts w:ascii="宋体" w:hAnsi="宋体" w:cs="宋体"/>
          <w:szCs w:val="21"/>
        </w:rPr>
      </w:pPr>
      <w:r>
        <w:rPr>
          <w:rStyle w:val="510"/>
          <w:rFonts w:hint="eastAsia" w:ascii="宋体" w:hAnsi="宋体" w:cs="宋体"/>
          <w:szCs w:val="21"/>
        </w:rPr>
        <w:t>根据《深圳市加强城市地下市政基础设施建设工作方案》要求，统筹推进市政基础设施体系化建设，提升设施运行效率和服务水平。本项目主要对综合管廊工程建设过程中的规划、建设、运维及统筹等方面提供技术咨询服务，主要包括规划层面、实施层面、运维层面、统筹层面4个方面的服务内容。</w:t>
      </w:r>
    </w:p>
    <w:p>
      <w:pPr>
        <w:adjustRightInd w:val="0"/>
        <w:snapToGrid w:val="0"/>
        <w:spacing w:line="360" w:lineRule="auto"/>
        <w:ind w:firstLine="409" w:firstLineChars="195"/>
        <w:rPr>
          <w:rStyle w:val="510"/>
          <w:rFonts w:ascii="宋体" w:hAnsi="宋体" w:cs="宋体"/>
          <w:szCs w:val="21"/>
        </w:rPr>
      </w:pPr>
      <w:r>
        <w:rPr>
          <w:rStyle w:val="510"/>
          <w:rFonts w:hint="eastAsia" w:ascii="宋体" w:hAnsi="宋体" w:cs="宋体"/>
          <w:szCs w:val="21"/>
        </w:rPr>
        <w:t>（1）规划层面：根据科学合理，因地制宜原则，对涉及综合管廊的市级规划、区级规划等提出技术审查意见以及相关的技术咨询事项。</w:t>
      </w:r>
    </w:p>
    <w:p>
      <w:pPr>
        <w:adjustRightInd w:val="0"/>
        <w:snapToGrid w:val="0"/>
        <w:spacing w:line="360" w:lineRule="auto"/>
        <w:ind w:firstLine="409" w:firstLineChars="195"/>
        <w:rPr>
          <w:rStyle w:val="510"/>
          <w:rFonts w:ascii="宋体" w:hAnsi="宋体" w:cs="宋体"/>
          <w:szCs w:val="21"/>
        </w:rPr>
      </w:pPr>
      <w:r>
        <w:rPr>
          <w:rStyle w:val="510"/>
          <w:rFonts w:hint="eastAsia" w:ascii="宋体" w:hAnsi="宋体" w:cs="宋体"/>
          <w:szCs w:val="21"/>
        </w:rPr>
        <w:t>（2）实施层面：为有序推进综合管廊规划建设工作，针对综合管廊建设工程可研（方案）、初步设计、施工图等各阶段设计成果，提供技术咨询事项。</w:t>
      </w:r>
    </w:p>
    <w:p>
      <w:pPr>
        <w:adjustRightInd w:val="0"/>
        <w:snapToGrid w:val="0"/>
        <w:spacing w:line="360" w:lineRule="auto"/>
        <w:ind w:firstLine="409" w:firstLineChars="195"/>
        <w:rPr>
          <w:rStyle w:val="510"/>
          <w:rFonts w:ascii="宋体" w:hAnsi="宋体" w:cs="宋体"/>
          <w:szCs w:val="21"/>
        </w:rPr>
      </w:pPr>
      <w:r>
        <w:rPr>
          <w:rStyle w:val="510"/>
          <w:rFonts w:hint="eastAsia" w:ascii="宋体" w:hAnsi="宋体" w:cs="宋体"/>
          <w:szCs w:val="21"/>
        </w:rPr>
        <w:t>（3）运维层面：为保障综合管廊安全运维及管理需要，针对综合管廊安全运维管理等内容，提供技术支撑。</w:t>
      </w:r>
    </w:p>
    <w:p>
      <w:pPr>
        <w:tabs>
          <w:tab w:val="left" w:pos="720"/>
        </w:tabs>
        <w:adjustRightInd w:val="0"/>
        <w:snapToGrid w:val="0"/>
        <w:spacing w:after="0" w:line="360" w:lineRule="auto"/>
        <w:ind w:firstLine="420" w:firstLineChars="200"/>
        <w:rPr>
          <w:rFonts w:ascii="宋体" w:hAnsi="宋体" w:cs="宋体"/>
          <w:color w:val="FF0000"/>
          <w:szCs w:val="21"/>
        </w:rPr>
      </w:pPr>
      <w:r>
        <w:rPr>
          <w:rStyle w:val="510"/>
          <w:rFonts w:hint="eastAsia" w:ascii="宋体" w:hAnsi="宋体" w:cs="宋体"/>
          <w:szCs w:val="21"/>
        </w:rPr>
        <w:t>（4）统筹层面：统筹推进综合管廊及其它市政设施体系化建设，梳理综合管廊相关技术材料，配合准备综合管廊建设过程中涉及的重大技术问题组织专题研究和专家论证会技术材料等事项。</w:t>
      </w:r>
    </w:p>
    <w:p>
      <w:pPr>
        <w:pStyle w:val="512"/>
        <w:spacing w:beforeLines="50" w:line="360" w:lineRule="auto"/>
        <w:rPr>
          <w:rFonts w:ascii="宋体" w:hAnsi="宋体"/>
          <w:sz w:val="21"/>
          <w:szCs w:val="21"/>
        </w:rPr>
      </w:pPr>
    </w:p>
    <w:p>
      <w:pPr>
        <w:tabs>
          <w:tab w:val="left" w:pos="1080"/>
          <w:tab w:val="left" w:pos="1665"/>
        </w:tabs>
        <w:adjustRightInd w:val="0"/>
        <w:snapToGrid w:val="0"/>
        <w:spacing w:before="156" w:beforeLines="50" w:after="156" w:afterLines="50" w:line="360" w:lineRule="auto"/>
        <w:rPr>
          <w:rFonts w:ascii="宋体" w:hAnsi="宋体" w:cs="宋体"/>
          <w:b/>
          <w:bCs/>
          <w:szCs w:val="21"/>
          <w:highlight w:val="yellow"/>
        </w:rPr>
      </w:pPr>
      <w:r>
        <w:rPr>
          <w:rFonts w:hint="eastAsia" w:ascii="宋体" w:hAnsi="宋体" w:cs="宋体"/>
          <w:b/>
          <w:bCs/>
          <w:szCs w:val="21"/>
        </w:rPr>
        <w:t>第二条  合同履行期限</w:t>
      </w:r>
    </w:p>
    <w:p>
      <w:pPr>
        <w:tabs>
          <w:tab w:val="left" w:pos="1665"/>
        </w:tabs>
        <w:adjustRightInd w:val="0"/>
        <w:snapToGrid w:val="0"/>
        <w:spacing w:before="156" w:beforeLines="50" w:after="156" w:afterLines="50" w:line="360" w:lineRule="auto"/>
        <w:rPr>
          <w:rFonts w:ascii="宋体" w:hAnsi="宋体" w:cs="宋体"/>
          <w:bCs/>
          <w:szCs w:val="21"/>
        </w:rPr>
      </w:pPr>
      <w:r>
        <w:rPr>
          <w:rFonts w:hint="eastAsia" w:ascii="宋体" w:hAnsi="宋体" w:cs="宋体"/>
          <w:szCs w:val="21"/>
        </w:rPr>
        <w:t>2.1</w:t>
      </w:r>
      <w:r>
        <w:rPr>
          <w:rFonts w:hint="eastAsia" w:ascii="宋体" w:hAnsi="宋体" w:cs="宋体"/>
          <w:bCs/>
          <w:color w:val="FF0000"/>
          <w:szCs w:val="21"/>
        </w:rPr>
        <w:t>本合同</w:t>
      </w:r>
      <w:r>
        <w:rPr>
          <w:rFonts w:hint="eastAsia" w:ascii="宋体" w:hAnsi="宋体" w:cs="宋体"/>
          <w:color w:val="FF0000"/>
          <w:szCs w:val="21"/>
        </w:rPr>
        <w:t>自合同签订之日</w:t>
      </w:r>
      <w:r>
        <w:rPr>
          <w:rFonts w:hint="eastAsia" w:ascii="宋体" w:hAnsi="宋体" w:cs="宋体"/>
          <w:bCs/>
          <w:color w:val="FF0000"/>
          <w:szCs w:val="21"/>
        </w:rPr>
        <w:t>起至☑</w:t>
      </w:r>
      <w:r>
        <w:rPr>
          <w:rFonts w:hint="eastAsia" w:ascii="宋体" w:hAnsi="宋体" w:cs="宋体"/>
          <w:bCs/>
          <w:color w:val="FF0000"/>
          <w:szCs w:val="21"/>
          <w:u w:val="single"/>
        </w:rPr>
        <w:t>2024</w:t>
      </w:r>
      <w:r>
        <w:rPr>
          <w:rFonts w:hint="eastAsia" w:ascii="宋体" w:hAnsi="宋体" w:cs="宋体"/>
          <w:bCs/>
          <w:color w:val="FF0000"/>
          <w:szCs w:val="21"/>
        </w:rPr>
        <w:t>年</w:t>
      </w:r>
      <w:r>
        <w:rPr>
          <w:rFonts w:hint="eastAsia" w:ascii="宋体" w:hAnsi="宋体" w:cs="宋体"/>
          <w:bCs/>
          <w:color w:val="FF0000"/>
          <w:szCs w:val="21"/>
          <w:u w:val="single"/>
        </w:rPr>
        <w:t>12</w:t>
      </w:r>
      <w:r>
        <w:rPr>
          <w:rFonts w:hint="eastAsia" w:ascii="宋体" w:hAnsi="宋体" w:cs="宋体"/>
          <w:bCs/>
          <w:color w:val="FF0000"/>
          <w:szCs w:val="21"/>
        </w:rPr>
        <w:t>月</w:t>
      </w:r>
      <w:r>
        <w:rPr>
          <w:rFonts w:hint="eastAsia" w:ascii="宋体" w:hAnsi="宋体" w:cs="宋体"/>
          <w:bCs/>
          <w:color w:val="FF0000"/>
          <w:szCs w:val="21"/>
          <w:u w:val="single"/>
        </w:rPr>
        <w:t>31</w:t>
      </w:r>
      <w:r>
        <w:rPr>
          <w:rFonts w:hint="eastAsia" w:ascii="宋体" w:hAnsi="宋体" w:cs="宋体"/>
          <w:bCs/>
          <w:color w:val="FF0000"/>
          <w:szCs w:val="21"/>
        </w:rPr>
        <w:t>日止</w:t>
      </w:r>
    </w:p>
    <w:p>
      <w:pPr>
        <w:tabs>
          <w:tab w:val="left" w:pos="1665"/>
        </w:tabs>
        <w:adjustRightInd w:val="0"/>
        <w:snapToGrid w:val="0"/>
        <w:spacing w:before="156" w:beforeLines="50" w:after="156" w:afterLines="50" w:line="360" w:lineRule="auto"/>
        <w:ind w:firstLine="424" w:firstLineChars="202"/>
        <w:rPr>
          <w:rFonts w:ascii="宋体" w:hAnsi="宋体" w:cs="宋体"/>
          <w:bCs/>
          <w:szCs w:val="21"/>
        </w:rPr>
      </w:pPr>
      <w:r>
        <w:rPr>
          <w:rFonts w:hint="eastAsia" w:ascii="宋体" w:hAnsi="宋体" w:cs="宋体"/>
          <w:bCs/>
          <w:szCs w:val="21"/>
        </w:rPr>
        <w:t>□甲乙双方约定义务履行完毕之日止。</w:t>
      </w:r>
    </w:p>
    <w:p>
      <w:pPr>
        <w:tabs>
          <w:tab w:val="left" w:pos="1995"/>
        </w:tabs>
        <w:adjustRightInd w:val="0"/>
        <w:snapToGrid w:val="0"/>
        <w:spacing w:before="156" w:beforeLines="50" w:after="156" w:afterLines="50" w:line="360" w:lineRule="auto"/>
        <w:rPr>
          <w:rFonts w:ascii="宋体" w:hAnsi="宋体" w:cs="宋体"/>
          <w:bCs/>
          <w:szCs w:val="21"/>
        </w:rPr>
      </w:pPr>
      <w:r>
        <w:rPr>
          <w:rFonts w:hint="eastAsia" w:ascii="宋体" w:hAnsi="宋体" w:cs="宋体"/>
          <w:szCs w:val="21"/>
        </w:rPr>
        <w:t>2.2若</w:t>
      </w:r>
      <w:r>
        <w:rPr>
          <w:rFonts w:hint="eastAsia" w:ascii="宋体" w:hAnsi="宋体" w:cs="宋体"/>
          <w:bCs/>
          <w:szCs w:val="21"/>
        </w:rPr>
        <w:t>本合同履行期限届满，甲乙双方认为需要继续延长履行期限，应在合同履行期限届满前，签订补充协议。</w:t>
      </w:r>
    </w:p>
    <w:p>
      <w:pPr>
        <w:pStyle w:val="512"/>
        <w:spacing w:beforeLines="50" w:line="360" w:lineRule="auto"/>
        <w:rPr>
          <w:rFonts w:ascii="宋体" w:hAnsi="宋体"/>
          <w:sz w:val="21"/>
          <w:szCs w:val="21"/>
        </w:rPr>
      </w:pPr>
    </w:p>
    <w:p>
      <w:pPr>
        <w:tabs>
          <w:tab w:val="left" w:pos="1080"/>
          <w:tab w:val="left" w:pos="1665"/>
        </w:tabs>
        <w:adjustRightInd w:val="0"/>
        <w:snapToGrid w:val="0"/>
        <w:spacing w:before="156" w:beforeLines="50" w:after="156" w:afterLines="50" w:line="360" w:lineRule="auto"/>
        <w:rPr>
          <w:rFonts w:ascii="宋体" w:hAnsi="宋体" w:cs="宋体"/>
          <w:b/>
          <w:bCs/>
          <w:szCs w:val="21"/>
        </w:rPr>
      </w:pPr>
      <w:r>
        <w:rPr>
          <w:rFonts w:hint="eastAsia" w:ascii="宋体" w:hAnsi="宋体" w:cs="宋体"/>
          <w:b/>
          <w:bCs/>
          <w:szCs w:val="21"/>
        </w:rPr>
        <w:t>第三条   项目研究进度及阶段成果要求</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3.1甲乙双方组成项目组（项目组成员见附件</w:t>
      </w:r>
      <w:r>
        <w:rPr>
          <w:rFonts w:hint="eastAsia" w:ascii="宋体" w:hAnsi="宋体" w:cs="宋体"/>
          <w:szCs w:val="21"/>
          <w:u w:val="single"/>
        </w:rPr>
        <w:t xml:space="preserve">   </w:t>
      </w:r>
      <w:r>
        <w:rPr>
          <w:rFonts w:hint="eastAsia" w:ascii="宋体" w:hAnsi="宋体" w:cs="宋体"/>
          <w:szCs w:val="21"/>
        </w:rPr>
        <w:t>），从</w:t>
      </w:r>
      <w:r>
        <w:rPr>
          <w:rFonts w:hint="eastAsia" w:ascii="宋体" w:hAnsi="宋体" w:cs="宋体"/>
          <w:szCs w:val="21"/>
          <w:u w:val="single"/>
        </w:rPr>
        <w:t>2024</w:t>
      </w:r>
      <w:r>
        <w:rPr>
          <w:rFonts w:hint="eastAsia" w:ascii="宋体" w:hAnsi="宋体" w:cs="宋体"/>
          <w:szCs w:val="21"/>
        </w:rPr>
        <w:t>年</w:t>
      </w:r>
      <w:r>
        <w:rPr>
          <w:rFonts w:hint="eastAsia" w:ascii="宋体" w:hAnsi="宋体" w:cs="宋体"/>
          <w:szCs w:val="21"/>
          <w:highlight w:val="yellow"/>
          <w:u w:val="single"/>
        </w:rPr>
        <w:t xml:space="preserve">     </w:t>
      </w:r>
      <w:r>
        <w:rPr>
          <w:rFonts w:hint="eastAsia" w:ascii="宋体" w:hAnsi="宋体" w:cs="宋体"/>
          <w:szCs w:val="21"/>
          <w:highlight w:val="yellow"/>
        </w:rPr>
        <w:t>月</w:t>
      </w:r>
      <w:r>
        <w:rPr>
          <w:rFonts w:hint="eastAsia" w:ascii="宋体" w:hAnsi="宋体" w:cs="宋体"/>
          <w:szCs w:val="21"/>
          <w:highlight w:val="yellow"/>
          <w:u w:val="single"/>
        </w:rPr>
        <w:t xml:space="preserve">     </w:t>
      </w:r>
      <w:r>
        <w:rPr>
          <w:rFonts w:hint="eastAsia" w:ascii="宋体" w:hAnsi="宋体" w:cs="宋体"/>
          <w:szCs w:val="21"/>
          <w:highlight w:val="yellow"/>
        </w:rPr>
        <w:t>日</w:t>
      </w:r>
      <w:r>
        <w:rPr>
          <w:rFonts w:hint="eastAsia" w:ascii="宋体" w:hAnsi="宋体" w:cs="宋体"/>
          <w:szCs w:val="21"/>
        </w:rPr>
        <w:t>开始工作，于</w:t>
      </w:r>
      <w:r>
        <w:rPr>
          <w:rFonts w:hint="eastAsia" w:ascii="宋体" w:hAnsi="宋体" w:cs="宋体"/>
          <w:szCs w:val="21"/>
          <w:u w:val="single"/>
        </w:rPr>
        <w:t>2024</w:t>
      </w:r>
      <w:r>
        <w:rPr>
          <w:rFonts w:hint="eastAsia" w:ascii="宋体" w:hAnsi="宋体" w:cs="宋体"/>
          <w:szCs w:val="21"/>
        </w:rPr>
        <w:t>年</w:t>
      </w:r>
      <w:r>
        <w:rPr>
          <w:rFonts w:hint="eastAsia" w:ascii="宋体" w:hAnsi="宋体" w:cs="宋体"/>
          <w:szCs w:val="21"/>
          <w:u w:val="single"/>
        </w:rPr>
        <w:t>12</w:t>
      </w:r>
      <w:r>
        <w:rPr>
          <w:rFonts w:hint="eastAsia" w:ascii="宋体" w:hAnsi="宋体" w:cs="宋体"/>
          <w:szCs w:val="21"/>
        </w:rPr>
        <w:t>月</w:t>
      </w:r>
      <w:r>
        <w:rPr>
          <w:rFonts w:hint="eastAsia" w:ascii="宋体" w:hAnsi="宋体" w:cs="宋体"/>
          <w:szCs w:val="21"/>
          <w:u w:val="single"/>
        </w:rPr>
        <w:t>31</w:t>
      </w:r>
      <w:r>
        <w:rPr>
          <w:rFonts w:hint="eastAsia" w:ascii="宋体" w:hAnsi="宋体" w:cs="宋体"/>
          <w:szCs w:val="21"/>
        </w:rPr>
        <w:t>日前提交最终成果。各工作阶段具体工作时间和内容安排如下：</w:t>
      </w:r>
    </w:p>
    <w:tbl>
      <w:tblPr>
        <w:tblStyle w:val="5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2465"/>
        <w:gridCol w:w="2858"/>
        <w:gridCol w:w="201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8" w:hRule="atLeast"/>
        </w:trPr>
        <w:tc>
          <w:tcPr>
            <w:tcW w:w="46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序号</w:t>
            </w:r>
          </w:p>
        </w:tc>
        <w:tc>
          <w:tcPr>
            <w:tcW w:w="1251"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56" w:beforeLines="50" w:after="156" w:afterLines="50" w:line="360" w:lineRule="auto"/>
              <w:jc w:val="center"/>
              <w:rPr>
                <w:rFonts w:ascii="宋体" w:hAnsi="宋体" w:cs="宋体"/>
                <w:szCs w:val="21"/>
              </w:rPr>
            </w:pPr>
            <w:r>
              <w:rPr>
                <w:rFonts w:hint="eastAsia" w:ascii="宋体" w:hAnsi="宋体" w:cs="宋体"/>
                <w:szCs w:val="21"/>
              </w:rPr>
              <w:t>工作阶段</w:t>
            </w:r>
          </w:p>
        </w:tc>
        <w:tc>
          <w:tcPr>
            <w:tcW w:w="145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56" w:beforeLines="50" w:after="156" w:afterLines="50" w:line="360" w:lineRule="auto"/>
              <w:jc w:val="center"/>
              <w:rPr>
                <w:rFonts w:ascii="宋体" w:hAnsi="宋体" w:cs="宋体"/>
                <w:szCs w:val="21"/>
              </w:rPr>
            </w:pPr>
            <w:r>
              <w:rPr>
                <w:rFonts w:hint="eastAsia" w:ascii="宋体" w:hAnsi="宋体" w:cs="宋体"/>
                <w:szCs w:val="21"/>
              </w:rPr>
              <w:t>成果构成</w:t>
            </w:r>
          </w:p>
        </w:tc>
        <w:tc>
          <w:tcPr>
            <w:tcW w:w="102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56" w:beforeLines="50" w:after="156" w:afterLines="50" w:line="360" w:lineRule="auto"/>
              <w:jc w:val="center"/>
              <w:rPr>
                <w:rFonts w:ascii="宋体" w:hAnsi="宋体" w:cs="宋体"/>
                <w:szCs w:val="21"/>
              </w:rPr>
            </w:pPr>
            <w:r>
              <w:rPr>
                <w:rFonts w:hint="eastAsia" w:ascii="宋体" w:hAnsi="宋体" w:cs="宋体"/>
                <w:szCs w:val="21"/>
              </w:rPr>
              <w:t>提交时间</w:t>
            </w:r>
          </w:p>
        </w:tc>
        <w:tc>
          <w:tcPr>
            <w:tcW w:w="81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56" w:beforeLines="50" w:after="156" w:afterLines="50" w:line="360" w:lineRule="auto"/>
              <w:jc w:val="center"/>
              <w:rPr>
                <w:rFonts w:ascii="宋体" w:hAnsi="宋体" w:cs="宋体"/>
                <w:szCs w:val="21"/>
              </w:rPr>
            </w:pPr>
            <w:r>
              <w:rPr>
                <w:rFonts w:hint="eastAsia" w:ascii="宋体" w:hAnsi="宋体" w:cs="宋体"/>
                <w:szCs w:val="21"/>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trPr>
        <w:tc>
          <w:tcPr>
            <w:tcW w:w="46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1</w:t>
            </w:r>
          </w:p>
        </w:tc>
        <w:tc>
          <w:tcPr>
            <w:tcW w:w="1251"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56" w:beforeLines="50" w:after="156" w:afterLines="50" w:line="360" w:lineRule="auto"/>
              <w:rPr>
                <w:rFonts w:ascii="宋体" w:hAnsi="宋体" w:cs="宋体"/>
                <w:szCs w:val="21"/>
              </w:rPr>
            </w:pPr>
          </w:p>
        </w:tc>
        <w:tc>
          <w:tcPr>
            <w:tcW w:w="145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工作成果汇编</w:t>
            </w:r>
          </w:p>
        </w:tc>
        <w:tc>
          <w:tcPr>
            <w:tcW w:w="1022" w:type="pct"/>
            <w:tcBorders>
              <w:top w:val="single" w:color="auto" w:sz="4" w:space="0"/>
              <w:left w:val="single" w:color="auto" w:sz="4" w:space="0"/>
              <w:bottom w:val="single" w:color="auto" w:sz="4" w:space="0"/>
              <w:right w:val="single" w:color="auto" w:sz="4" w:space="0"/>
            </w:tcBorders>
            <w:noWrap/>
            <w:vAlign w:val="center"/>
          </w:tcPr>
          <w:p/>
        </w:tc>
        <w:tc>
          <w:tcPr>
            <w:tcW w:w="81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56" w:beforeLines="50" w:after="156" w:afterLines="50" w:line="360" w:lineRule="auto"/>
              <w:rPr>
                <w:rFonts w:ascii="宋体" w:hAnsi="宋体" w:cs="宋体"/>
                <w:szCs w:val="21"/>
              </w:rPr>
            </w:pPr>
          </w:p>
        </w:tc>
      </w:tr>
    </w:tbl>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3.2在合同履行过程中，在必要情况下，经双方协商一致，可对上述工作进度和阶段成果要求进行调整。</w:t>
      </w:r>
    </w:p>
    <w:p>
      <w:pPr>
        <w:pStyle w:val="512"/>
        <w:spacing w:beforeLines="50" w:line="360" w:lineRule="auto"/>
        <w:rPr>
          <w:rFonts w:ascii="宋体" w:hAnsi="宋体"/>
          <w:sz w:val="21"/>
          <w:szCs w:val="21"/>
        </w:rPr>
      </w:pPr>
    </w:p>
    <w:p>
      <w:pPr>
        <w:tabs>
          <w:tab w:val="left" w:pos="1080"/>
          <w:tab w:val="left" w:pos="1665"/>
        </w:tabs>
        <w:adjustRightInd w:val="0"/>
        <w:snapToGrid w:val="0"/>
        <w:spacing w:before="156" w:beforeLines="50" w:after="156" w:afterLines="50" w:line="360" w:lineRule="auto"/>
        <w:rPr>
          <w:rFonts w:ascii="宋体" w:hAnsi="宋体" w:cs="宋体"/>
          <w:b/>
          <w:bCs/>
          <w:szCs w:val="21"/>
        </w:rPr>
      </w:pPr>
      <w:r>
        <w:rPr>
          <w:rFonts w:hint="eastAsia" w:ascii="宋体" w:hAnsi="宋体" w:cs="宋体"/>
          <w:b/>
          <w:bCs/>
          <w:szCs w:val="21"/>
        </w:rPr>
        <w:t xml:space="preserve">第四条 </w:t>
      </w:r>
      <w:r>
        <w:rPr>
          <w:rFonts w:hint="eastAsia" w:ascii="宋体" w:hAnsi="宋体" w:cs="宋体"/>
          <w:szCs w:val="21"/>
        </w:rPr>
        <w:t xml:space="preserve"> </w:t>
      </w:r>
      <w:r>
        <w:rPr>
          <w:rFonts w:hint="eastAsia" w:ascii="宋体" w:hAnsi="宋体" w:cs="宋体"/>
          <w:b/>
          <w:bCs/>
          <w:szCs w:val="21"/>
        </w:rPr>
        <w:t>合同价款</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4.1 合同价款总计为大写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r>
        <w:rPr>
          <w:rFonts w:hint="eastAsia" w:ascii="宋体" w:hAnsi="宋体" w:cs="宋体"/>
          <w:szCs w:val="21"/>
        </w:rPr>
        <w:t>元。该合同价款包括完成本合同约定的服务事项全部费用，甲方不再为本合同项下服务支付任何其他费用。在合同履行过程中，确有必要增加本合同项下服务费用的，经需甲乙双方协商一致，签订补充协议。</w:t>
      </w:r>
    </w:p>
    <w:p>
      <w:pPr>
        <w:tabs>
          <w:tab w:val="left" w:pos="1080"/>
          <w:tab w:val="left" w:pos="1455"/>
          <w:tab w:val="left" w:pos="1665"/>
        </w:tabs>
        <w:adjustRightInd w:val="0"/>
        <w:snapToGrid w:val="0"/>
        <w:spacing w:before="156" w:beforeLines="50" w:after="156" w:afterLines="50" w:line="360" w:lineRule="auto"/>
        <w:rPr>
          <w:rFonts w:ascii="宋体" w:hAnsi="宋体" w:cs="宋体"/>
          <w:b/>
          <w:bCs/>
          <w:szCs w:val="21"/>
        </w:rPr>
      </w:pPr>
    </w:p>
    <w:p>
      <w:pPr>
        <w:tabs>
          <w:tab w:val="left" w:pos="1080"/>
          <w:tab w:val="left" w:pos="1455"/>
          <w:tab w:val="left" w:pos="1665"/>
        </w:tabs>
        <w:adjustRightInd w:val="0"/>
        <w:snapToGrid w:val="0"/>
        <w:spacing w:before="156" w:beforeLines="50" w:after="156" w:afterLines="50" w:line="360" w:lineRule="auto"/>
        <w:rPr>
          <w:rFonts w:ascii="宋体" w:hAnsi="宋体" w:cs="宋体"/>
          <w:b/>
          <w:bCs/>
          <w:szCs w:val="21"/>
        </w:rPr>
      </w:pPr>
      <w:r>
        <w:rPr>
          <w:rFonts w:hint="eastAsia" w:ascii="宋体" w:hAnsi="宋体" w:cs="宋体"/>
          <w:b/>
          <w:bCs/>
          <w:szCs w:val="21"/>
        </w:rPr>
        <w:t>第五条  合同价款支付</w:t>
      </w:r>
    </w:p>
    <w:p>
      <w:pPr>
        <w:tabs>
          <w:tab w:val="left" w:pos="1665"/>
        </w:tabs>
        <w:adjustRightInd w:val="0"/>
        <w:snapToGrid w:val="0"/>
        <w:spacing w:before="156" w:beforeLines="50" w:after="156" w:afterLines="50" w:line="360" w:lineRule="auto"/>
        <w:rPr>
          <w:rFonts w:ascii="宋体" w:hAnsi="宋体" w:cs="宋体"/>
          <w:bCs/>
          <w:szCs w:val="21"/>
        </w:rPr>
      </w:pPr>
      <w:r>
        <w:rPr>
          <w:rFonts w:hint="eastAsia" w:ascii="宋体" w:hAnsi="宋体" w:cs="宋体"/>
          <w:szCs w:val="21"/>
        </w:rPr>
        <w:t>5.1</w:t>
      </w:r>
      <w:r>
        <w:rPr>
          <w:rFonts w:hint="eastAsia" w:ascii="宋体" w:hAnsi="宋体" w:cs="宋体"/>
          <w:color w:val="000000"/>
          <w:szCs w:val="21"/>
        </w:rPr>
        <w:t xml:space="preserve"> </w:t>
      </w:r>
      <w:r>
        <w:rPr>
          <w:rFonts w:hint="eastAsia" w:ascii="宋体" w:hAnsi="宋体" w:cs="宋体"/>
          <w:bCs/>
          <w:szCs w:val="21"/>
        </w:rPr>
        <w:t>除双方重新达成协议外，本合同履行过程中的价款支付均通过本合同中指定的甲乙双方银行账号进行。</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5.2本合同采取以下第    种付款方式：</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付款方式一：分期付款方式。本合同总价款分</w:t>
      </w:r>
      <w:r>
        <w:rPr>
          <w:rFonts w:hint="eastAsia" w:ascii="宋体" w:hAnsi="宋体" w:cs="宋体"/>
          <w:szCs w:val="21"/>
          <w:u w:val="single"/>
        </w:rPr>
        <w:t>三</w:t>
      </w:r>
      <w:r>
        <w:rPr>
          <w:rFonts w:hint="eastAsia" w:ascii="宋体" w:hAnsi="宋体" w:cs="宋体"/>
          <w:szCs w:val="21"/>
        </w:rPr>
        <w:t>期付款：</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首期：合同生效后</w:t>
      </w:r>
      <w:r>
        <w:rPr>
          <w:rFonts w:hint="eastAsia" w:ascii="宋体" w:hAnsi="宋体" w:cs="宋体"/>
          <w:szCs w:val="21"/>
          <w:u w:val="single"/>
        </w:rPr>
        <w:t>15</w:t>
      </w:r>
      <w:r>
        <w:rPr>
          <w:rFonts w:hint="eastAsia" w:ascii="宋体" w:hAnsi="宋体" w:cs="宋体"/>
          <w:szCs w:val="21"/>
        </w:rPr>
        <w:t>个工作日内，根据乙方提出的付款申请，甲方支付乙方大写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r>
        <w:rPr>
          <w:rFonts w:hint="eastAsia" w:ascii="宋体" w:hAnsi="宋体" w:cs="宋体"/>
          <w:szCs w:val="21"/>
        </w:rPr>
        <w:t>元（占合同总价款的</w:t>
      </w:r>
      <w:r>
        <w:rPr>
          <w:rFonts w:hint="eastAsia" w:ascii="宋体" w:hAnsi="宋体" w:cs="宋体"/>
          <w:szCs w:val="21"/>
          <w:u w:val="single"/>
        </w:rPr>
        <w:t>50</w:t>
      </w:r>
      <w:r>
        <w:rPr>
          <w:rFonts w:hint="eastAsia" w:ascii="宋体" w:hAnsi="宋体" w:cs="宋体"/>
          <w:szCs w:val="21"/>
        </w:rPr>
        <w:t>%）。</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中期：合同生效后，根据甲方付款进度要求，甲方支付乙方大写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r>
        <w:rPr>
          <w:rFonts w:hint="eastAsia" w:ascii="宋体" w:hAnsi="宋体" w:cs="宋体"/>
          <w:szCs w:val="21"/>
        </w:rPr>
        <w:t>元（占合同总价款的3</w:t>
      </w:r>
      <w:r>
        <w:rPr>
          <w:rFonts w:hint="eastAsia" w:ascii="宋体" w:hAnsi="宋体" w:cs="宋体"/>
          <w:szCs w:val="21"/>
          <w:u w:val="single"/>
        </w:rPr>
        <w:t>0</w:t>
      </w:r>
      <w:r>
        <w:rPr>
          <w:rFonts w:hint="eastAsia" w:ascii="宋体" w:hAnsi="宋体" w:cs="宋体"/>
          <w:szCs w:val="21"/>
        </w:rPr>
        <w:t>%）。</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末期：在中标方提交通过采购方审查的最终成果后，并经专家评审验收通过后，根据乙方提出的付款申请，甲方支付乙方大写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r>
        <w:rPr>
          <w:rFonts w:hint="eastAsia" w:ascii="宋体" w:hAnsi="宋体" w:cs="宋体"/>
          <w:szCs w:val="21"/>
        </w:rPr>
        <w:t>元（合同总价款的2</w:t>
      </w:r>
      <w:r>
        <w:rPr>
          <w:rFonts w:hint="eastAsia" w:ascii="宋体" w:hAnsi="宋体" w:cs="宋体"/>
          <w:szCs w:val="21"/>
          <w:u w:val="single"/>
        </w:rPr>
        <w:t xml:space="preserve">0 </w:t>
      </w:r>
      <w:r>
        <w:rPr>
          <w:rFonts w:hint="eastAsia" w:ascii="宋体" w:hAnsi="宋体" w:cs="宋体"/>
          <w:szCs w:val="21"/>
        </w:rPr>
        <w:t>%）。</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付款方式二：一次性付款方式。乙方完成本合同约定的全部服务，通过甲方最终验收后</w:t>
      </w:r>
      <w:r>
        <w:rPr>
          <w:rFonts w:hint="eastAsia" w:ascii="宋体" w:hAnsi="宋体" w:cs="宋体"/>
          <w:szCs w:val="21"/>
          <w:u w:val="single"/>
        </w:rPr>
        <w:t xml:space="preserve">    </w:t>
      </w:r>
      <w:r>
        <w:rPr>
          <w:rFonts w:hint="eastAsia" w:ascii="宋体" w:hAnsi="宋体" w:cs="宋体"/>
          <w:szCs w:val="21"/>
        </w:rPr>
        <w:t>个工作日内，甲方一次性向乙方支付全部合同价款大写</w:t>
      </w:r>
      <w:r>
        <w:rPr>
          <w:rFonts w:hint="eastAsia" w:ascii="宋体" w:hAnsi="宋体" w:cs="宋体"/>
          <w:szCs w:val="21"/>
          <w:u w:val="single"/>
        </w:rPr>
        <w:t xml:space="preserve">                          </w:t>
      </w:r>
      <w:r>
        <w:rPr>
          <w:rFonts w:hint="eastAsia" w:ascii="宋体" w:hAnsi="宋体" w:cs="宋体"/>
          <w:szCs w:val="21"/>
        </w:rPr>
        <w:t>，小写¥__________元。</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5.3 本合同以人民币进行结算。</w:t>
      </w:r>
    </w:p>
    <w:p>
      <w:pPr>
        <w:tabs>
          <w:tab w:val="left" w:pos="1080"/>
          <w:tab w:val="left" w:pos="1665"/>
          <w:tab w:val="left" w:pos="1995"/>
        </w:tabs>
        <w:adjustRightInd w:val="0"/>
        <w:snapToGrid w:val="0"/>
        <w:spacing w:before="156" w:beforeLines="50" w:after="156" w:afterLines="50" w:line="360" w:lineRule="auto"/>
        <w:rPr>
          <w:rFonts w:ascii="宋体" w:hAnsi="宋体" w:cs="宋体"/>
          <w:b/>
          <w:bCs/>
          <w:szCs w:val="21"/>
        </w:rPr>
      </w:pPr>
    </w:p>
    <w:p>
      <w:pPr>
        <w:tabs>
          <w:tab w:val="left" w:pos="1080"/>
          <w:tab w:val="left" w:pos="1665"/>
          <w:tab w:val="left" w:pos="1995"/>
        </w:tabs>
        <w:adjustRightInd w:val="0"/>
        <w:snapToGrid w:val="0"/>
        <w:spacing w:before="156" w:beforeLines="50" w:after="156" w:afterLines="50" w:line="360" w:lineRule="auto"/>
        <w:rPr>
          <w:rFonts w:ascii="宋体" w:hAnsi="宋体" w:cs="宋体"/>
          <w:b/>
          <w:bCs/>
          <w:szCs w:val="21"/>
        </w:rPr>
      </w:pPr>
      <w:r>
        <w:rPr>
          <w:rFonts w:hint="eastAsia" w:ascii="宋体" w:hAnsi="宋体" w:cs="宋体"/>
          <w:b/>
          <w:bCs/>
          <w:szCs w:val="21"/>
        </w:rPr>
        <w:t>第六条  当事人的权利和义务</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6.1甲方的权利和义务</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（1）甲方应及时配合乙方，为乙方在服务项目研究过程中与相关部门的沟通提供必要支持。</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（2）甲方应按本合同第五条规定的时间足额向乙方支付各阶段合同价款。</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（3）甲方有权以合理方式检查、督促乙方开展本合同约定服务。</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（4）甲方可指派专人负责与乙方联系，以及接受乙方就本项目的咨询；甲方变更联系人，应及时告知乙方。</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（5）甲方要求乙方提前交付成果时，须征得乙方同意。对因此而增加的工作量，乙方可要求甲方支付必要的费用。</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（6）甲方有权要求乙方按照合同约定内容交付项目成果。</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6.2乙方的权利和义务</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（1）乙方应于合同生效之日起开始本合同项下的服务工作。</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（2）乙方应接受甲方合理的检查、督促，并在甲方的组织下，及时向甲方报告各阶段的工作进展，接受甲方审查。</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（3）乙方应按有关法律法规、技术规范，以及本合同约定的工作内容、技术标准、工作进度和成果要求进行工作，并按本合同第三条约定的工作进度向甲方交付成果。乙方应对其提交的成果质量负责。</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（4）乙方应配合甲方组织、举办本项目各工作阶段的汇报、审查、研讨、公开展示及公众咨询等工作，并负责解答相应的技术问题。</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（5）本合同项下成果通过本合同约定的最终成果验收程序后</w:t>
      </w:r>
      <w:r>
        <w:rPr>
          <w:rFonts w:ascii="宋体" w:hAnsi="宋体" w:cs="宋体"/>
          <w:szCs w:val="21"/>
          <w:u w:val="single"/>
          <w:lang w:val="en"/>
        </w:rPr>
        <w:t>6</w:t>
      </w:r>
      <w:r>
        <w:rPr>
          <w:rFonts w:hint="eastAsia" w:ascii="宋体" w:hAnsi="宋体" w:cs="宋体"/>
          <w:szCs w:val="21"/>
          <w:u w:val="single"/>
          <w:lang w:val="en"/>
        </w:rPr>
        <w:t>个月</w:t>
      </w:r>
      <w:r>
        <w:rPr>
          <w:rFonts w:hint="eastAsia" w:ascii="宋体" w:hAnsi="宋体" w:cs="宋体"/>
          <w:szCs w:val="21"/>
        </w:rPr>
        <w:t>以内，乙方仍应配合甲方就本项目提供必要的解释和咨询。</w:t>
      </w:r>
    </w:p>
    <w:p>
      <w:pPr>
        <w:tabs>
          <w:tab w:val="left" w:pos="180"/>
        </w:tabs>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6）对于已经提交成果验收的各阶段成果文件，乙方应按照甲方提供的书面成果审查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（7）乙方应依据合同规定的工作内容和技术要求，组织具有相应能力的各层次技术人员组成项目组。经双方约定的项目组主要成员名单见附件</w:t>
      </w:r>
      <w:r>
        <w:rPr>
          <w:rFonts w:hint="eastAsia" w:ascii="宋体" w:hAnsi="宋体" w:cs="宋体"/>
          <w:szCs w:val="21"/>
          <w:u w:val="single"/>
        </w:rPr>
        <w:t xml:space="preserve">    </w:t>
      </w:r>
      <w:r>
        <w:rPr>
          <w:rFonts w:hint="eastAsia" w:ascii="宋体" w:hAnsi="宋体" w:cs="宋体"/>
          <w:szCs w:val="21"/>
        </w:rPr>
        <w:t>。本合同履行期间，乙方替换项目组主要成员必须征得甲方同意。</w:t>
      </w:r>
    </w:p>
    <w:p>
      <w:pPr>
        <w:tabs>
          <w:tab w:val="left" w:pos="180"/>
        </w:tabs>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（8）合同履行期间，乙方承担第三方委托的本项目研究范围内的其他项目时，应书面告知甲方；对可能与甲方利益冲突的项目，甲方有权要求乙方回避。</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（9）未经甲方同意，乙方不得将委托项目分包给第三方。</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（10）未经甲方同意，乙方不得将委托项目与第三方合作。</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（11）若乙方当事人信息（如联系地址、联系方式、联系人、银行账号等）发生变更，乙方需以书面方式及时通知甲方。</w:t>
      </w:r>
    </w:p>
    <w:p>
      <w:pPr>
        <w:tabs>
          <w:tab w:val="left" w:pos="1080"/>
          <w:tab w:val="left" w:pos="1665"/>
        </w:tabs>
        <w:adjustRightInd w:val="0"/>
        <w:snapToGrid w:val="0"/>
        <w:spacing w:before="156" w:beforeLines="50" w:after="156" w:afterLines="50" w:line="360" w:lineRule="auto"/>
        <w:rPr>
          <w:rFonts w:ascii="宋体" w:hAnsi="宋体" w:cs="宋体"/>
          <w:b/>
          <w:bCs/>
          <w:szCs w:val="21"/>
        </w:rPr>
      </w:pPr>
    </w:p>
    <w:p>
      <w:pPr>
        <w:tabs>
          <w:tab w:val="left" w:pos="1080"/>
          <w:tab w:val="left" w:pos="1665"/>
        </w:tabs>
        <w:adjustRightInd w:val="0"/>
        <w:snapToGrid w:val="0"/>
        <w:spacing w:before="156" w:beforeLines="50" w:after="156" w:afterLines="50" w:line="360" w:lineRule="auto"/>
        <w:rPr>
          <w:rFonts w:ascii="宋体" w:hAnsi="宋体" w:cs="宋体"/>
          <w:b/>
          <w:bCs/>
          <w:szCs w:val="21"/>
        </w:rPr>
      </w:pPr>
      <w:r>
        <w:rPr>
          <w:rFonts w:hint="eastAsia" w:ascii="宋体" w:hAnsi="宋体" w:cs="宋体"/>
          <w:b/>
          <w:bCs/>
          <w:szCs w:val="21"/>
        </w:rPr>
        <w:t>第七条  项目最终成果</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7.1项目最终成果为：</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（1）</w:t>
      </w:r>
      <w:r>
        <w:rPr>
          <w:rFonts w:hint="eastAsia" w:ascii="宋体" w:hAnsi="宋体" w:cs="宋体"/>
          <w:szCs w:val="21"/>
          <w:u w:val="single"/>
        </w:rPr>
        <w:t>深圳市综合管廊建设技术服务年度工作成果汇编</w:t>
      </w:r>
      <w:r>
        <w:rPr>
          <w:rFonts w:hint="eastAsia" w:ascii="宋体" w:hAnsi="宋体" w:cs="宋体"/>
          <w:szCs w:val="21"/>
        </w:rPr>
        <w:t>。</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7.2乙方应以纸质材料并附电子数据的形式向甲方提供最终成果。</w:t>
      </w:r>
    </w:p>
    <w:p>
      <w:pPr>
        <w:adjustRightInd w:val="0"/>
        <w:snapToGrid w:val="0"/>
        <w:spacing w:before="156" w:beforeLines="50" w:after="156" w:afterLines="50" w:line="360" w:lineRule="auto"/>
        <w:rPr>
          <w:rFonts w:ascii="宋体" w:hAnsi="宋体" w:cs="宋体"/>
          <w:szCs w:val="21"/>
        </w:rPr>
      </w:pPr>
    </w:p>
    <w:p>
      <w:pPr>
        <w:tabs>
          <w:tab w:val="left" w:pos="1080"/>
          <w:tab w:val="left" w:pos="1665"/>
        </w:tabs>
        <w:adjustRightInd w:val="0"/>
        <w:snapToGrid w:val="0"/>
        <w:spacing w:before="156" w:beforeLines="50" w:after="156" w:afterLines="50" w:line="360" w:lineRule="auto"/>
        <w:rPr>
          <w:rFonts w:ascii="宋体" w:hAnsi="宋体" w:cs="宋体"/>
          <w:b/>
          <w:szCs w:val="21"/>
        </w:rPr>
      </w:pPr>
      <w:r>
        <w:rPr>
          <w:rFonts w:hint="eastAsia" w:ascii="宋体" w:hAnsi="宋体" w:cs="宋体"/>
          <w:b/>
          <w:szCs w:val="21"/>
        </w:rPr>
        <w:t>第八条  项目最终成果验收</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8.1甲方负责对乙方提交的最终成果组织评审。</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8.2在合同履行过程中，必要时，甲乙双方可以协商调整项目最终成果。甲方如因实际工作需要乙方增加交付成果的数量，应由双方协商一致，签订补充协议。</w:t>
      </w:r>
    </w:p>
    <w:p>
      <w:pPr>
        <w:tabs>
          <w:tab w:val="left" w:pos="180"/>
        </w:tabs>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8.3最终成果验收合格的标志为：</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 xml:space="preserve">□ </w:t>
      </w:r>
      <w:r>
        <w:rPr>
          <w:rFonts w:hint="eastAsia" w:ascii="宋体" w:hAnsi="宋体" w:cs="宋体"/>
          <w:szCs w:val="21"/>
        </w:rPr>
        <w:t>通过采购方审查批准</w:t>
      </w:r>
    </w:p>
    <w:p>
      <w:pPr>
        <w:tabs>
          <w:tab w:val="left" w:pos="180"/>
        </w:tabs>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w:t>
      </w:r>
      <w:r>
        <w:rPr>
          <w:rFonts w:hint="eastAsia" w:ascii="宋体" w:hAnsi="宋体" w:cs="宋体"/>
          <w:bCs/>
          <w:szCs w:val="21"/>
        </w:rPr>
        <w:t xml:space="preserve"> 其它：</w:t>
      </w:r>
      <w:r>
        <w:rPr>
          <w:rFonts w:hint="eastAsia" w:ascii="宋体" w:hAnsi="宋体" w:cs="宋体"/>
          <w:bCs/>
          <w:szCs w:val="21"/>
          <w:u w:val="single"/>
        </w:rPr>
        <w:t xml:space="preserve">    通过专家评审              </w:t>
      </w:r>
      <w:r>
        <w:rPr>
          <w:rFonts w:hint="eastAsia" w:ascii="宋体" w:hAnsi="宋体" w:cs="宋体"/>
          <w:szCs w:val="21"/>
          <w:u w:val="single"/>
        </w:rPr>
        <w:t xml:space="preserve">                               </w:t>
      </w:r>
      <w:r>
        <w:rPr>
          <w:rFonts w:hint="eastAsia" w:ascii="宋体" w:hAnsi="宋体" w:cs="宋体"/>
          <w:szCs w:val="21"/>
        </w:rPr>
        <w:t xml:space="preserve"> </w:t>
      </w:r>
    </w:p>
    <w:p>
      <w:pPr>
        <w:tabs>
          <w:tab w:val="left" w:pos="180"/>
        </w:tabs>
        <w:adjustRightInd w:val="0"/>
        <w:snapToGrid w:val="0"/>
        <w:spacing w:before="156" w:beforeLines="50" w:after="156" w:afterLines="50" w:line="360" w:lineRule="auto"/>
        <w:rPr>
          <w:rFonts w:ascii="宋体" w:hAnsi="宋体" w:cs="宋体"/>
          <w:szCs w:val="21"/>
        </w:rPr>
      </w:pPr>
    </w:p>
    <w:p>
      <w:pPr>
        <w:tabs>
          <w:tab w:val="left" w:pos="1080"/>
          <w:tab w:val="left" w:pos="1665"/>
        </w:tabs>
        <w:adjustRightInd w:val="0"/>
        <w:snapToGrid w:val="0"/>
        <w:spacing w:before="156" w:beforeLines="50" w:after="156" w:afterLines="50" w:line="360" w:lineRule="auto"/>
        <w:rPr>
          <w:rFonts w:ascii="宋体" w:hAnsi="宋体" w:cs="宋体"/>
          <w:b/>
          <w:bCs/>
          <w:szCs w:val="21"/>
        </w:rPr>
      </w:pPr>
      <w:r>
        <w:rPr>
          <w:rFonts w:hint="eastAsia" w:ascii="宋体" w:hAnsi="宋体" w:cs="宋体"/>
          <w:b/>
          <w:bCs/>
          <w:szCs w:val="21"/>
        </w:rPr>
        <w:t>第九条   成果权属</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 xml:space="preserve">9.1 </w:t>
      </w:r>
      <w:r>
        <w:rPr>
          <w:rFonts w:hint="eastAsia" w:ascii="宋体" w:hAnsi="宋体" w:cs="宋体"/>
          <w:szCs w:val="21"/>
        </w:rPr>
        <w:t>☑ 甲方拥有本合同项目的所有中间成果和最终成果，以及与之相关的所有权利。</w:t>
      </w:r>
    </w:p>
    <w:p>
      <w:pPr>
        <w:adjustRightInd w:val="0"/>
        <w:snapToGrid w:val="0"/>
        <w:spacing w:before="156" w:beforeLines="50" w:after="156" w:afterLines="50" w:line="360" w:lineRule="auto"/>
        <w:ind w:firstLine="420" w:firstLineChars="200"/>
        <w:rPr>
          <w:rFonts w:ascii="宋体" w:hAnsi="宋体" w:cs="宋体"/>
          <w:szCs w:val="21"/>
        </w:rPr>
      </w:pPr>
      <w:r>
        <w:rPr>
          <w:rFonts w:hint="eastAsia" w:ascii="宋体" w:hAnsi="宋体" w:cs="宋体"/>
          <w:szCs w:val="21"/>
        </w:rPr>
        <w:t>□ 本合同项下</w:t>
      </w:r>
      <w:r>
        <w:rPr>
          <w:rFonts w:hint="eastAsia" w:ascii="宋体" w:hAnsi="宋体" w:cs="宋体"/>
          <w:szCs w:val="21"/>
          <w:u w:val="single"/>
        </w:rPr>
        <w:t xml:space="preserve">                                       </w:t>
      </w:r>
      <w:r>
        <w:rPr>
          <w:rFonts w:hint="eastAsia" w:ascii="宋体" w:hAnsi="宋体" w:cs="宋体"/>
          <w:szCs w:val="21"/>
        </w:rPr>
        <w:t>成果的权属归甲方</w:t>
      </w:r>
      <w:r>
        <w:rPr>
          <w:rFonts w:hint="eastAsia" w:ascii="宋体" w:hAnsi="宋体" w:cs="宋体"/>
          <w:szCs w:val="21"/>
          <w:u w:val="single"/>
        </w:rPr>
        <w:t xml:space="preserve">                    </w:t>
      </w:r>
      <w:r>
        <w:rPr>
          <w:rFonts w:hint="eastAsia" w:ascii="宋体" w:hAnsi="宋体" w:cs="宋体"/>
          <w:szCs w:val="21"/>
        </w:rPr>
        <w:t>所有（①单独 ②非单独）；</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9.2经甲方同意，</w:t>
      </w:r>
      <w:r>
        <w:rPr>
          <w:rFonts w:hint="eastAsia" w:ascii="宋体" w:hAnsi="宋体" w:cs="宋体"/>
          <w:szCs w:val="21"/>
        </w:rPr>
        <w:t>乙方可以在公开成果时注明为本合同项目受托人，并可享有与甲方共同获得与本合同项目成果相关的荣誉证书和奖励的权利。</w:t>
      </w:r>
    </w:p>
    <w:p>
      <w:pPr>
        <w:tabs>
          <w:tab w:val="left" w:pos="1080"/>
          <w:tab w:val="left" w:pos="1665"/>
        </w:tabs>
        <w:adjustRightInd w:val="0"/>
        <w:snapToGrid w:val="0"/>
        <w:spacing w:before="156" w:beforeLines="50" w:after="156" w:afterLines="50" w:line="360" w:lineRule="auto"/>
        <w:rPr>
          <w:rFonts w:ascii="宋体" w:hAnsi="宋体" w:cs="宋体"/>
          <w:b/>
          <w:bCs/>
          <w:szCs w:val="21"/>
        </w:rPr>
      </w:pPr>
    </w:p>
    <w:p>
      <w:pPr>
        <w:tabs>
          <w:tab w:val="left" w:pos="1080"/>
          <w:tab w:val="left" w:pos="1665"/>
        </w:tabs>
        <w:adjustRightInd w:val="0"/>
        <w:snapToGrid w:val="0"/>
        <w:spacing w:before="156" w:beforeLines="50" w:after="156" w:afterLines="50" w:line="360" w:lineRule="auto"/>
        <w:rPr>
          <w:rFonts w:ascii="宋体" w:hAnsi="宋体" w:cs="宋体"/>
          <w:b/>
          <w:bCs/>
          <w:szCs w:val="21"/>
        </w:rPr>
      </w:pPr>
      <w:r>
        <w:rPr>
          <w:rFonts w:hint="eastAsia" w:ascii="宋体" w:hAnsi="宋体" w:cs="宋体"/>
          <w:b/>
          <w:bCs/>
          <w:szCs w:val="21"/>
        </w:rPr>
        <w:t xml:space="preserve">第十条 </w:t>
      </w:r>
      <w:r>
        <w:rPr>
          <w:rFonts w:hint="eastAsia" w:ascii="宋体" w:hAnsi="宋体" w:cs="宋体"/>
          <w:szCs w:val="21"/>
        </w:rPr>
        <w:t xml:space="preserve">   </w:t>
      </w:r>
      <w:r>
        <w:rPr>
          <w:rFonts w:hint="eastAsia" w:ascii="宋体" w:hAnsi="宋体" w:cs="宋体"/>
          <w:b/>
          <w:bCs/>
          <w:szCs w:val="21"/>
        </w:rPr>
        <w:t>保密条款</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10.1</w:t>
      </w:r>
      <w:r>
        <w:rPr>
          <w:rFonts w:hint="eastAsia" w:ascii="宋体" w:hAnsi="宋体" w:cs="宋体"/>
          <w:szCs w:val="21"/>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10.2</w:t>
      </w:r>
      <w:r>
        <w:rPr>
          <w:rFonts w:hint="eastAsia" w:ascii="宋体" w:hAnsi="宋体" w:cs="宋体"/>
          <w:szCs w:val="21"/>
        </w:rPr>
        <w:t>未经对方许可，任何一方均不得将对方的资料或成果向第三方转让或用于本合同项目外的其他项目。如发生以上情况，泄密方承担一切由此引起的后果，并支付对方合同总价款</w:t>
      </w:r>
      <w:r>
        <w:rPr>
          <w:rFonts w:hint="eastAsia" w:ascii="宋体" w:hAnsi="宋体" w:cs="宋体"/>
          <w:szCs w:val="21"/>
          <w:u w:val="single"/>
        </w:rPr>
        <w:t>10</w:t>
      </w:r>
      <w:r>
        <w:rPr>
          <w:rFonts w:hint="eastAsia" w:ascii="宋体" w:hAnsi="宋体" w:cs="宋体"/>
          <w:szCs w:val="21"/>
        </w:rPr>
        <w:t>%的违约金。</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10.3</w:t>
      </w:r>
      <w:r>
        <w:rPr>
          <w:rFonts w:hint="eastAsia" w:ascii="宋体" w:hAnsi="宋体" w:cs="宋体"/>
          <w:szCs w:val="21"/>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cs="宋体"/>
          <w:szCs w:val="21"/>
          <w:u w:val="single"/>
        </w:rPr>
        <w:t>50</w:t>
      </w:r>
      <w:r>
        <w:rPr>
          <w:rFonts w:hint="eastAsia" w:ascii="宋体" w:hAnsi="宋体" w:cs="宋体"/>
          <w:szCs w:val="21"/>
        </w:rPr>
        <w:t>%的违约金。</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 其它约定：</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before="156" w:beforeLines="50" w:after="156" w:afterLines="50" w:line="360" w:lineRule="auto"/>
        <w:rPr>
          <w:rFonts w:ascii="宋体" w:hAnsi="宋体" w:cs="宋体"/>
          <w:szCs w:val="21"/>
        </w:rPr>
      </w:pPr>
    </w:p>
    <w:p>
      <w:pPr>
        <w:tabs>
          <w:tab w:val="left" w:pos="1080"/>
          <w:tab w:val="left" w:pos="1665"/>
        </w:tabs>
        <w:adjustRightInd w:val="0"/>
        <w:snapToGrid w:val="0"/>
        <w:spacing w:before="156" w:beforeLines="50" w:after="156" w:afterLines="50" w:line="360" w:lineRule="auto"/>
        <w:rPr>
          <w:rFonts w:ascii="宋体" w:hAnsi="宋体" w:cs="宋体"/>
          <w:b/>
          <w:bCs/>
          <w:szCs w:val="21"/>
        </w:rPr>
      </w:pPr>
      <w:r>
        <w:rPr>
          <w:rFonts w:hint="eastAsia" w:ascii="宋体" w:hAnsi="宋体" w:cs="宋体"/>
          <w:b/>
          <w:bCs/>
          <w:szCs w:val="21"/>
        </w:rPr>
        <w:t>第十一条 合同违约责任</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11.1</w:t>
      </w:r>
      <w:r>
        <w:rPr>
          <w:rFonts w:hint="eastAsia" w:ascii="宋体" w:hAnsi="宋体" w:cs="宋体"/>
          <w:szCs w:val="21"/>
        </w:rPr>
        <w:t>甲方违约责任</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w:t>
      </w:r>
      <w:r>
        <w:rPr>
          <w:rFonts w:hint="eastAsia" w:ascii="宋体" w:hAnsi="宋体" w:cs="宋体"/>
          <w:bCs/>
          <w:szCs w:val="21"/>
        </w:rPr>
        <w:t>1</w:t>
      </w:r>
      <w:r>
        <w:rPr>
          <w:rFonts w:hint="eastAsia" w:ascii="宋体" w:hAnsi="宋体" w:cs="宋体"/>
          <w:szCs w:val="21"/>
        </w:rPr>
        <w:t>）确因工作实际需要，甲方变更委托项目内容、规模、条件，应于确定修改之日起</w:t>
      </w:r>
      <w:r>
        <w:rPr>
          <w:rFonts w:hint="eastAsia" w:ascii="宋体" w:hAnsi="宋体" w:cs="宋体"/>
          <w:szCs w:val="21"/>
          <w:u w:val="single"/>
        </w:rPr>
        <w:t>10</w:t>
      </w:r>
      <w:r>
        <w:rPr>
          <w:rFonts w:hint="eastAsia" w:ascii="宋体" w:hAnsi="宋体" w:cs="宋体"/>
          <w:szCs w:val="21"/>
        </w:rPr>
        <w:t xml:space="preserve">个工作日内书面告知乙方。因以上原因造成乙方返工，甲方应按乙方返工所耗工作量向乙方支付返工费，返工费用由双方应协商签订补充协议确定。 </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w:t>
      </w:r>
      <w:r>
        <w:rPr>
          <w:rFonts w:hint="eastAsia" w:ascii="宋体" w:hAnsi="宋体" w:cs="宋体"/>
          <w:bCs/>
          <w:szCs w:val="21"/>
        </w:rPr>
        <w:t>2</w:t>
      </w:r>
      <w:r>
        <w:rPr>
          <w:rFonts w:hint="eastAsia" w:ascii="宋体" w:hAnsi="宋体" w:cs="宋体"/>
          <w:szCs w:val="21"/>
        </w:rPr>
        <w:t>）甲方未按本合同约定，延迟支付合同价款的，乙方有权要求甲方支付该阶段合同价款每日</w:t>
      </w:r>
      <w:r>
        <w:rPr>
          <w:rFonts w:hint="eastAsia" w:ascii="宋体" w:hAnsi="宋体" w:cs="宋体"/>
          <w:szCs w:val="21"/>
          <w:u w:val="single"/>
        </w:rPr>
        <w:t>1</w:t>
      </w:r>
      <w:r>
        <w:rPr>
          <w:rFonts w:hint="eastAsia" w:ascii="宋体" w:hAnsi="宋体" w:cs="宋体"/>
          <w:szCs w:val="21"/>
        </w:rPr>
        <w:t>‰的逾期违约金，逾期违约金总额不超过合同总价款的</w:t>
      </w:r>
      <w:r>
        <w:rPr>
          <w:rFonts w:hint="eastAsia" w:ascii="宋体" w:hAnsi="宋体" w:cs="宋体"/>
          <w:szCs w:val="21"/>
          <w:u w:val="single"/>
        </w:rPr>
        <w:t>50</w:t>
      </w:r>
      <w:r>
        <w:rPr>
          <w:rFonts w:hint="eastAsia" w:ascii="宋体" w:hAnsi="宋体" w:cs="宋体"/>
          <w:szCs w:val="21"/>
        </w:rPr>
        <w:t>%，且乙方提交成果的时间顺延。逾期超过</w:t>
      </w:r>
      <w:r>
        <w:rPr>
          <w:rFonts w:hint="eastAsia" w:ascii="宋体" w:hAnsi="宋体" w:cs="宋体"/>
          <w:szCs w:val="21"/>
          <w:u w:val="single"/>
        </w:rPr>
        <w:t>30</w:t>
      </w:r>
      <w:r>
        <w:rPr>
          <w:rFonts w:hint="eastAsia" w:ascii="宋体" w:hAnsi="宋体" w:cs="宋体"/>
          <w:szCs w:val="21"/>
        </w:rPr>
        <w:t>个工作日以上时，乙方有权暂停履行下阶段工作，并书面通知甲方。因政府内部工作或财政拨付导致甲方迟延付款的，乙方应给予最大程度的谅解。</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11.2</w:t>
      </w:r>
      <w:r>
        <w:rPr>
          <w:rFonts w:hint="eastAsia" w:ascii="宋体" w:hAnsi="宋体" w:cs="宋体"/>
          <w:szCs w:val="21"/>
        </w:rPr>
        <w:t>乙方违约责任</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w:t>
      </w:r>
      <w:r>
        <w:rPr>
          <w:rFonts w:hint="eastAsia" w:ascii="宋体" w:hAnsi="宋体" w:cs="宋体"/>
          <w:bCs/>
          <w:szCs w:val="21"/>
        </w:rPr>
        <w:t>1）乙方提供的服务不符合合同约定的要求和质量的</w:t>
      </w:r>
      <w:r>
        <w:rPr>
          <w:rFonts w:hint="eastAsia" w:ascii="宋体" w:hAnsi="宋体" w:cs="宋体"/>
          <w:szCs w:val="21"/>
        </w:rPr>
        <w:t>，乙方需按甲方要求采取及时有效的补救措施，并支付合同总价款</w:t>
      </w:r>
      <w:r>
        <w:rPr>
          <w:rFonts w:hint="eastAsia" w:ascii="宋体" w:hAnsi="宋体" w:cs="宋体"/>
          <w:szCs w:val="21"/>
          <w:u w:val="single"/>
        </w:rPr>
        <w:t>20</w:t>
      </w:r>
      <w:r>
        <w:rPr>
          <w:rFonts w:hint="eastAsia" w:ascii="宋体" w:hAnsi="宋体" w:cs="宋体"/>
          <w:szCs w:val="21"/>
        </w:rPr>
        <w:t>%的违约金。</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（2）</w:t>
      </w:r>
      <w:r>
        <w:rPr>
          <w:rFonts w:hint="eastAsia" w:ascii="宋体" w:hAnsi="宋体" w:cs="宋体"/>
          <w:szCs w:val="21"/>
        </w:rPr>
        <w:t>乙方擅自修改已经提交验收的成果文件的，应承担因此产生的一切后果，并赔偿甲方合同总价款</w:t>
      </w:r>
      <w:r>
        <w:rPr>
          <w:rFonts w:hint="eastAsia" w:ascii="宋体" w:hAnsi="宋体" w:cs="宋体"/>
          <w:szCs w:val="21"/>
          <w:u w:val="single"/>
        </w:rPr>
        <w:t>20</w:t>
      </w:r>
      <w:r>
        <w:rPr>
          <w:rFonts w:hint="eastAsia" w:ascii="宋体" w:hAnsi="宋体" w:cs="宋体"/>
          <w:szCs w:val="21"/>
        </w:rPr>
        <w:t>%的违约金。</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（3）</w:t>
      </w:r>
      <w:r>
        <w:rPr>
          <w:rFonts w:hint="eastAsia" w:ascii="宋体" w:hAnsi="宋体" w:cs="宋体"/>
          <w:szCs w:val="21"/>
        </w:rPr>
        <w:t>本合同履行期间，乙方未能按合同约定的日期(含协商延缓的日期)提交成果的，甲方有权要求乙方支付该阶段合同价款每日</w:t>
      </w:r>
      <w:r>
        <w:rPr>
          <w:rFonts w:hint="eastAsia" w:ascii="宋体" w:hAnsi="宋体" w:cs="宋体"/>
          <w:szCs w:val="21"/>
          <w:u w:val="single"/>
        </w:rPr>
        <w:t>1</w:t>
      </w:r>
      <w:r>
        <w:rPr>
          <w:rFonts w:hint="eastAsia" w:ascii="宋体" w:hAnsi="宋体" w:cs="宋体"/>
          <w:szCs w:val="21"/>
        </w:rPr>
        <w:t>‰的逾期违约金，逾期违约金总额不超过合同总价款的</w:t>
      </w:r>
      <w:r>
        <w:rPr>
          <w:rFonts w:hint="eastAsia" w:ascii="宋体" w:hAnsi="宋体" w:cs="宋体"/>
          <w:szCs w:val="21"/>
          <w:u w:val="single"/>
        </w:rPr>
        <w:t>50</w:t>
      </w:r>
      <w:r>
        <w:rPr>
          <w:rFonts w:hint="eastAsia" w:ascii="宋体" w:hAnsi="宋体" w:cs="宋体"/>
          <w:szCs w:val="21"/>
        </w:rPr>
        <w:t>%。</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（4）</w:t>
      </w:r>
      <w:r>
        <w:rPr>
          <w:rFonts w:hint="eastAsia" w:ascii="宋体" w:hAnsi="宋体" w:cs="宋体"/>
          <w:szCs w:val="21"/>
        </w:rPr>
        <w:t>未经甲方同意，乙方擅自变更附件</w:t>
      </w:r>
      <w:r>
        <w:rPr>
          <w:rFonts w:hint="eastAsia" w:ascii="宋体" w:hAnsi="宋体" w:cs="宋体"/>
          <w:szCs w:val="21"/>
          <w:u w:val="single"/>
        </w:rPr>
        <w:t xml:space="preserve">   </w:t>
      </w:r>
      <w:r>
        <w:rPr>
          <w:rFonts w:hint="eastAsia" w:ascii="宋体" w:hAnsi="宋体" w:cs="宋体"/>
          <w:szCs w:val="21"/>
        </w:rPr>
        <w:t>约定的项目组主要成员，甲方有权要求乙方采取补救措施或调整项目组主要成员构成。</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（5）</w:t>
      </w:r>
      <w:r>
        <w:rPr>
          <w:rFonts w:hint="eastAsia" w:ascii="宋体" w:hAnsi="宋体" w:cs="宋体"/>
          <w:szCs w:val="21"/>
        </w:rPr>
        <w:t>本项目最终成果验收后</w:t>
      </w:r>
      <w:r>
        <w:rPr>
          <w:rFonts w:hint="eastAsia" w:ascii="宋体" w:hAnsi="宋体" w:cs="宋体"/>
          <w:szCs w:val="21"/>
          <w:u w:val="single"/>
        </w:rPr>
        <w:t>6个月</w:t>
      </w:r>
      <w:r>
        <w:rPr>
          <w:rFonts w:hint="eastAsia" w:ascii="宋体" w:hAnsi="宋体" w:cs="宋体"/>
          <w:szCs w:val="21"/>
        </w:rPr>
        <w:t>以内，乙方未按甲方要求就本项目提供必要解释和接受咨询的，甲方可要求乙方返还合同总价款</w:t>
      </w:r>
      <w:r>
        <w:rPr>
          <w:rFonts w:hint="eastAsia" w:ascii="宋体" w:hAnsi="宋体" w:cs="宋体"/>
          <w:szCs w:val="21"/>
          <w:u w:val="single"/>
        </w:rPr>
        <w:t>20</w:t>
      </w:r>
      <w:r>
        <w:rPr>
          <w:rFonts w:hint="eastAsia" w:ascii="宋体" w:hAnsi="宋体" w:cs="宋体"/>
          <w:szCs w:val="21"/>
        </w:rPr>
        <w:t>%的费用。</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（6）</w:t>
      </w:r>
      <w:r>
        <w:rPr>
          <w:rFonts w:hint="eastAsia" w:ascii="宋体" w:hAnsi="宋体" w:cs="宋体"/>
          <w:szCs w:val="21"/>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宋体" w:hAnsi="宋体" w:cs="宋体"/>
          <w:szCs w:val="21"/>
          <w:u w:val="single"/>
        </w:rPr>
        <w:t>50</w:t>
      </w:r>
      <w:r>
        <w:rPr>
          <w:rFonts w:hint="eastAsia" w:ascii="宋体" w:hAnsi="宋体" w:cs="宋体"/>
          <w:szCs w:val="21"/>
        </w:rPr>
        <w:t>%的违约金。</w:t>
      </w:r>
    </w:p>
    <w:p>
      <w:pPr>
        <w:adjustRightInd w:val="0"/>
        <w:snapToGrid w:val="0"/>
        <w:spacing w:before="156" w:beforeLines="50" w:after="156" w:afterLines="50" w:line="360" w:lineRule="auto"/>
        <w:rPr>
          <w:rFonts w:ascii="宋体" w:hAnsi="宋体" w:cs="宋体"/>
          <w:szCs w:val="21"/>
          <w:u w:val="single"/>
        </w:rPr>
      </w:pPr>
    </w:p>
    <w:p>
      <w:pPr>
        <w:tabs>
          <w:tab w:val="left" w:pos="1080"/>
          <w:tab w:val="left" w:pos="1665"/>
        </w:tabs>
        <w:adjustRightInd w:val="0"/>
        <w:snapToGrid w:val="0"/>
        <w:spacing w:before="156" w:beforeLines="50" w:after="156" w:afterLines="50" w:line="360" w:lineRule="auto"/>
        <w:rPr>
          <w:rFonts w:ascii="宋体" w:hAnsi="宋体" w:cs="宋体"/>
          <w:b/>
          <w:bCs/>
          <w:szCs w:val="21"/>
        </w:rPr>
      </w:pPr>
      <w:r>
        <w:rPr>
          <w:rFonts w:hint="eastAsia" w:ascii="宋体" w:hAnsi="宋体" w:cs="宋体"/>
          <w:b/>
          <w:bCs/>
          <w:szCs w:val="21"/>
        </w:rPr>
        <w:t>第十二条     合同解除</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12.1</w:t>
      </w:r>
      <w:r>
        <w:rPr>
          <w:rFonts w:hint="eastAsia" w:ascii="宋体" w:hAnsi="宋体" w:cs="宋体"/>
          <w:szCs w:val="21"/>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 非归责于合同双方的原因，项目取消的；</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 非归责于合同双方的原因，项目长期暂停，超过合同履行期限</w:t>
      </w:r>
      <w:r>
        <w:rPr>
          <w:rFonts w:hint="eastAsia" w:ascii="宋体" w:hAnsi="宋体" w:cs="宋体"/>
          <w:szCs w:val="21"/>
          <w:u w:val="single"/>
        </w:rPr>
        <w:t>30</w:t>
      </w:r>
      <w:r>
        <w:rPr>
          <w:rFonts w:hint="eastAsia" w:ascii="宋体" w:hAnsi="宋体" w:cs="宋体"/>
          <w:szCs w:val="21"/>
        </w:rPr>
        <w:t>工作日；</w:t>
      </w:r>
    </w:p>
    <w:p>
      <w:pPr>
        <w:tabs>
          <w:tab w:val="left" w:pos="8100"/>
        </w:tabs>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 其它情形：</w:t>
      </w:r>
      <w:r>
        <w:rPr>
          <w:rFonts w:hint="eastAsia" w:ascii="宋体" w:hAnsi="宋体" w:cs="宋体"/>
          <w:szCs w:val="21"/>
          <w:u w:val="single"/>
        </w:rPr>
        <w:t xml:space="preserve">                                                        </w:t>
      </w:r>
      <w:r>
        <w:rPr>
          <w:rFonts w:hint="eastAsia" w:ascii="宋体" w:hAnsi="宋体" w:cs="宋体"/>
          <w:szCs w:val="21"/>
        </w:rPr>
        <w:t>。</w:t>
      </w:r>
    </w:p>
    <w:p>
      <w:pPr>
        <w:tabs>
          <w:tab w:val="left" w:pos="8100"/>
        </w:tabs>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12.2</w:t>
      </w:r>
      <w:r>
        <w:rPr>
          <w:rFonts w:hint="eastAsia" w:ascii="宋体" w:hAnsi="宋体" w:cs="宋体"/>
          <w:szCs w:val="21"/>
        </w:rPr>
        <w:t>本合同履行过程中出现下列情形之一的，甲方有权解除合同：</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 xml:space="preserve">（1）乙方未能按合同约定的日期(含协商延缓的日期)提交成果，延误时间超过  </w:t>
      </w:r>
      <w:r>
        <w:rPr>
          <w:rFonts w:hint="eastAsia" w:ascii="宋体" w:hAnsi="宋体" w:cs="宋体"/>
          <w:szCs w:val="21"/>
          <w:u w:val="single"/>
        </w:rPr>
        <w:t>20</w:t>
      </w:r>
      <w:r>
        <w:rPr>
          <w:rFonts w:hint="eastAsia" w:ascii="宋体" w:hAnsi="宋体" w:cs="宋体"/>
          <w:szCs w:val="21"/>
        </w:rPr>
        <w:t>个工作日；</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（2）</w:t>
      </w:r>
      <w:r>
        <w:rPr>
          <w:rFonts w:hint="eastAsia" w:ascii="宋体" w:hAnsi="宋体" w:cs="宋体"/>
          <w:bCs/>
          <w:szCs w:val="21"/>
        </w:rPr>
        <w:t>乙方提供的服务不符合合同约定的要求和质量的</w:t>
      </w:r>
      <w:r>
        <w:rPr>
          <w:rFonts w:hint="eastAsia" w:ascii="宋体" w:hAnsi="宋体" w:cs="宋体"/>
          <w:szCs w:val="21"/>
        </w:rPr>
        <w:t xml:space="preserve">，且乙方未按甲方要求采取及时有效的补救措施的； </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（3）乙方虽如期提交中间成果和最终成果，但连续</w:t>
      </w:r>
      <w:r>
        <w:rPr>
          <w:rFonts w:hint="eastAsia" w:ascii="宋体" w:hAnsi="宋体" w:cs="宋体"/>
          <w:szCs w:val="21"/>
          <w:u w:val="single"/>
        </w:rPr>
        <w:t>3</w:t>
      </w:r>
      <w:r>
        <w:rPr>
          <w:rFonts w:hint="eastAsia" w:ascii="宋体" w:hAnsi="宋体" w:cs="宋体"/>
          <w:szCs w:val="21"/>
        </w:rPr>
        <w:t>次未能通过甲方验收的；</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（4）乙方未经甲方同意擅自更换附件____规定的项目组主要成员，且未按甲方要求进行调整；</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（5）乙方未经甲方同意，擅自将本合同项目与第三方合作，或将本合同标的的全部或部分擅自转包给第三方，且未按甲方的要求终止与第三方的合同的；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（6）乙方明确表示或者以自己的行为表明不履行本合同的；</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 其它情形：</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before="156" w:beforeLines="50" w:after="156" w:afterLines="50" w:line="360" w:lineRule="auto"/>
        <w:ind w:firstLine="420" w:firstLineChars="200"/>
        <w:rPr>
          <w:rFonts w:ascii="宋体" w:hAnsi="宋体" w:cs="宋体"/>
          <w:szCs w:val="21"/>
        </w:rPr>
      </w:pPr>
      <w:r>
        <w:rPr>
          <w:rFonts w:hint="eastAsia" w:ascii="宋体" w:hAnsi="宋体" w:cs="宋体"/>
          <w:szCs w:val="21"/>
        </w:rPr>
        <w:t>本合同履行期间，因上述情形造成合同终止的，甲方不再支付剩余合同价款，乙方应向甲方支付合同总价款</w:t>
      </w:r>
      <w:r>
        <w:rPr>
          <w:rFonts w:hint="eastAsia" w:ascii="宋体" w:hAnsi="宋体" w:cs="宋体"/>
          <w:szCs w:val="21"/>
          <w:u w:val="single"/>
        </w:rPr>
        <w:t>20</w:t>
      </w:r>
      <w:r>
        <w:rPr>
          <w:rFonts w:hint="eastAsia" w:ascii="宋体" w:hAnsi="宋体" w:cs="宋体"/>
          <w:szCs w:val="21"/>
        </w:rPr>
        <w:t>%的违约金，同时应将已完成的阶段成果移交给甲方，并退还甲方有关资料。</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12.3</w:t>
      </w:r>
      <w:r>
        <w:rPr>
          <w:rFonts w:hint="eastAsia" w:ascii="宋体" w:hAnsi="宋体" w:cs="宋体"/>
          <w:szCs w:val="21"/>
        </w:rPr>
        <w:t>本合同履行过程中出现下列情形之一的，乙方有权解除合同：</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（1）甲方不审查本项目成果或暂停本项目，延误时间超过</w:t>
      </w:r>
      <w:r>
        <w:rPr>
          <w:rFonts w:hint="eastAsia" w:ascii="宋体" w:hAnsi="宋体" w:cs="宋体"/>
          <w:szCs w:val="21"/>
          <w:u w:val="single"/>
        </w:rPr>
        <w:t>30</w:t>
      </w:r>
      <w:r>
        <w:rPr>
          <w:rFonts w:hint="eastAsia" w:ascii="宋体" w:hAnsi="宋体" w:cs="宋体"/>
          <w:szCs w:val="21"/>
        </w:rPr>
        <w:t>个工作日；</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（2）甲方未按本合同约定，逾期支付合同价款超过</w:t>
      </w:r>
      <w:r>
        <w:rPr>
          <w:rFonts w:hint="eastAsia" w:ascii="宋体" w:hAnsi="宋体" w:cs="宋体"/>
          <w:szCs w:val="21"/>
          <w:u w:val="single"/>
        </w:rPr>
        <w:t>30</w:t>
      </w:r>
      <w:r>
        <w:rPr>
          <w:rFonts w:hint="eastAsia" w:ascii="宋体" w:hAnsi="宋体" w:cs="宋体"/>
          <w:szCs w:val="21"/>
        </w:rPr>
        <w:t>个工作日；</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（3）甲方明确表示或者以自己的行为表明不履行本合同的；</w:t>
      </w:r>
    </w:p>
    <w:p>
      <w:pPr>
        <w:adjustRightInd w:val="0"/>
        <w:snapToGrid w:val="0"/>
        <w:spacing w:before="156" w:beforeLines="50" w:after="156" w:afterLines="50" w:line="360" w:lineRule="auto"/>
        <w:rPr>
          <w:rFonts w:ascii="宋体" w:hAnsi="宋体" w:cs="宋体"/>
          <w:szCs w:val="21"/>
        </w:rPr>
      </w:pPr>
      <w:r>
        <w:rPr>
          <w:rFonts w:hint="eastAsia" w:ascii="宋体" w:hAnsi="宋体" w:cs="宋体"/>
          <w:szCs w:val="21"/>
        </w:rPr>
        <w:t>□ 其它情形：</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before="156" w:beforeLines="50" w:after="156" w:afterLines="50" w:line="360" w:lineRule="auto"/>
        <w:ind w:firstLine="420" w:firstLineChars="200"/>
        <w:rPr>
          <w:rFonts w:ascii="宋体" w:hAnsi="宋体" w:cs="宋体"/>
          <w:szCs w:val="21"/>
        </w:rPr>
      </w:pPr>
      <w:r>
        <w:rPr>
          <w:rFonts w:hint="eastAsia" w:ascii="宋体" w:hAnsi="宋体" w:cs="宋体"/>
          <w:szCs w:val="21"/>
        </w:rPr>
        <w:t>本合同履行期间，因上述情形造成合同终止的，乙方未开始项目工作的，退还甲方已支付的款项；已开始项目工作的，不再退还甲方已支付的合同价款。同时，甲方需向乙方支付合同总价款</w:t>
      </w:r>
      <w:r>
        <w:rPr>
          <w:rFonts w:hint="eastAsia" w:ascii="宋体" w:hAnsi="宋体" w:cs="宋体"/>
          <w:szCs w:val="21"/>
          <w:u w:val="single"/>
        </w:rPr>
        <w:t>20</w:t>
      </w:r>
      <w:r>
        <w:rPr>
          <w:rFonts w:hint="eastAsia" w:ascii="宋体" w:hAnsi="宋体" w:cs="宋体"/>
          <w:szCs w:val="21"/>
        </w:rPr>
        <w:t>%的违约金。乙方应将已完成的阶段成果移交给甲方，并退还甲方有关资料。</w:t>
      </w:r>
    </w:p>
    <w:p>
      <w:pPr>
        <w:tabs>
          <w:tab w:val="left" w:pos="1080"/>
          <w:tab w:val="left" w:pos="1665"/>
        </w:tabs>
        <w:adjustRightInd w:val="0"/>
        <w:snapToGrid w:val="0"/>
        <w:spacing w:before="156" w:beforeLines="50" w:after="156" w:afterLines="50" w:line="360" w:lineRule="auto"/>
        <w:rPr>
          <w:rFonts w:ascii="宋体" w:hAnsi="宋体" w:cs="宋体"/>
          <w:b/>
          <w:bCs/>
          <w:szCs w:val="21"/>
        </w:rPr>
      </w:pPr>
    </w:p>
    <w:p>
      <w:pPr>
        <w:tabs>
          <w:tab w:val="left" w:pos="1080"/>
          <w:tab w:val="left" w:pos="1665"/>
        </w:tabs>
        <w:adjustRightInd w:val="0"/>
        <w:snapToGrid w:val="0"/>
        <w:spacing w:before="156" w:beforeLines="50" w:after="156" w:afterLines="50" w:line="360" w:lineRule="auto"/>
        <w:rPr>
          <w:rFonts w:ascii="宋体" w:hAnsi="宋体" w:cs="宋体"/>
          <w:b/>
          <w:bCs/>
          <w:szCs w:val="21"/>
        </w:rPr>
      </w:pPr>
      <w:r>
        <w:rPr>
          <w:rFonts w:hint="eastAsia" w:ascii="宋体" w:hAnsi="宋体" w:cs="宋体"/>
          <w:b/>
          <w:bCs/>
          <w:szCs w:val="21"/>
        </w:rPr>
        <w:t>第十三条    不可抗力</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13.1</w:t>
      </w:r>
      <w:r>
        <w:rPr>
          <w:rFonts w:hint="eastAsia" w:ascii="宋体" w:hAnsi="宋体" w:cs="宋体"/>
          <w:szCs w:val="21"/>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20" w:firstLineChars="200"/>
        <w:rPr>
          <w:rFonts w:ascii="宋体" w:hAnsi="宋体" w:cs="宋体"/>
          <w:szCs w:val="21"/>
        </w:rPr>
      </w:pPr>
      <w:r>
        <w:rPr>
          <w:rFonts w:hint="eastAsia" w:ascii="宋体" w:hAnsi="宋体" w:cs="宋体"/>
          <w:szCs w:val="21"/>
        </w:rPr>
        <w:t>如不可抗力持续</w:t>
      </w:r>
      <w:r>
        <w:rPr>
          <w:rFonts w:hint="eastAsia" w:ascii="宋体" w:hAnsi="宋体" w:cs="宋体"/>
          <w:szCs w:val="21"/>
          <w:u w:val="single"/>
        </w:rPr>
        <w:t>3</w:t>
      </w:r>
      <w:r>
        <w:rPr>
          <w:rFonts w:hint="eastAsia" w:ascii="宋体" w:hAnsi="宋体" w:cs="宋体"/>
          <w:szCs w:val="21"/>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20" w:firstLineChars="200"/>
        <w:rPr>
          <w:rFonts w:ascii="宋体" w:hAnsi="宋体" w:cs="宋体"/>
          <w:szCs w:val="21"/>
        </w:rPr>
      </w:pPr>
      <w:r>
        <w:rPr>
          <w:rFonts w:hint="eastAsia" w:ascii="宋体" w:hAnsi="宋体" w:cs="宋体"/>
          <w:szCs w:val="21"/>
        </w:rPr>
        <w:t>在本合同履约过程中，未受不可抗力影响的本合同条款，双方应继续努力执行。</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13.2</w:t>
      </w:r>
      <w:r>
        <w:rPr>
          <w:rFonts w:hint="eastAsia" w:ascii="宋体" w:hAnsi="宋体" w:cs="宋体"/>
          <w:szCs w:val="21"/>
        </w:rPr>
        <w:t>如合同因不可抗力或其它原因须提前终止的，提出终止的一方须在</w:t>
      </w:r>
      <w:r>
        <w:rPr>
          <w:rFonts w:hint="eastAsia" w:ascii="宋体" w:hAnsi="宋体" w:cs="宋体"/>
          <w:szCs w:val="21"/>
          <w:u w:val="single"/>
        </w:rPr>
        <w:t>10</w:t>
      </w:r>
      <w:r>
        <w:rPr>
          <w:rFonts w:hint="eastAsia" w:ascii="宋体" w:hAnsi="宋体" w:cs="宋体"/>
          <w:szCs w:val="21"/>
        </w:rPr>
        <w:t>天前以书面形式，向另一方提出提前终止要求。合同须提前终止的，双方须签署提前终止协议，规定终止日期。</w:t>
      </w:r>
    </w:p>
    <w:p>
      <w:pPr>
        <w:adjustRightInd w:val="0"/>
        <w:snapToGrid w:val="0"/>
        <w:spacing w:before="156" w:beforeLines="50" w:after="156" w:afterLines="50" w:line="360" w:lineRule="auto"/>
        <w:rPr>
          <w:rFonts w:ascii="宋体" w:hAnsi="宋体" w:cs="宋体"/>
          <w:szCs w:val="21"/>
        </w:rPr>
      </w:pPr>
    </w:p>
    <w:p>
      <w:pPr>
        <w:tabs>
          <w:tab w:val="left" w:pos="1080"/>
          <w:tab w:val="left" w:pos="1665"/>
        </w:tabs>
        <w:adjustRightInd w:val="0"/>
        <w:snapToGrid w:val="0"/>
        <w:spacing w:before="156" w:beforeLines="50" w:after="156" w:afterLines="50" w:line="360" w:lineRule="auto"/>
        <w:rPr>
          <w:rFonts w:ascii="宋体" w:hAnsi="宋体" w:cs="宋体"/>
          <w:b/>
          <w:bCs/>
          <w:szCs w:val="21"/>
        </w:rPr>
      </w:pPr>
      <w:r>
        <w:rPr>
          <w:rFonts w:hint="eastAsia" w:ascii="宋体" w:hAnsi="宋体" w:cs="宋体"/>
          <w:b/>
          <w:bCs/>
          <w:szCs w:val="21"/>
        </w:rPr>
        <w:t>第十四条   合同争议的解决方式</w:t>
      </w:r>
    </w:p>
    <w:p>
      <w:pPr>
        <w:adjustRightInd w:val="0"/>
        <w:snapToGrid w:val="0"/>
        <w:spacing w:before="156" w:beforeLines="50" w:after="156" w:afterLines="50" w:line="360" w:lineRule="auto"/>
        <w:ind w:firstLine="420" w:firstLineChars="200"/>
        <w:rPr>
          <w:rFonts w:ascii="宋体" w:hAnsi="宋体" w:cs="宋体"/>
          <w:szCs w:val="21"/>
        </w:rPr>
      </w:pPr>
      <w:r>
        <w:rPr>
          <w:rFonts w:hint="eastAsia" w:ascii="宋体" w:hAnsi="宋体" w:cs="宋体"/>
          <w:szCs w:val="21"/>
        </w:rPr>
        <w:t>本合同履行期间，双方发生的争议，由双方当事人协商解决。协商不成的，可依法向甲方所在地人民法院起诉。</w:t>
      </w:r>
    </w:p>
    <w:p>
      <w:pPr>
        <w:adjustRightInd w:val="0"/>
        <w:snapToGrid w:val="0"/>
        <w:spacing w:before="156" w:beforeLines="50" w:after="156" w:afterLines="50" w:line="360" w:lineRule="auto"/>
        <w:rPr>
          <w:rFonts w:ascii="宋体" w:hAnsi="宋体" w:cs="宋体"/>
          <w:szCs w:val="21"/>
        </w:rPr>
      </w:pPr>
    </w:p>
    <w:p>
      <w:pPr>
        <w:tabs>
          <w:tab w:val="left" w:pos="1080"/>
          <w:tab w:val="left" w:pos="1665"/>
        </w:tabs>
        <w:adjustRightInd w:val="0"/>
        <w:snapToGrid w:val="0"/>
        <w:spacing w:before="156" w:beforeLines="50" w:after="156" w:afterLines="50" w:line="360" w:lineRule="auto"/>
        <w:rPr>
          <w:rFonts w:ascii="宋体" w:hAnsi="宋体" w:cs="宋体"/>
          <w:b/>
          <w:szCs w:val="21"/>
        </w:rPr>
      </w:pPr>
      <w:r>
        <w:rPr>
          <w:rFonts w:hint="eastAsia" w:ascii="宋体" w:hAnsi="宋体" w:cs="宋体"/>
          <w:b/>
          <w:szCs w:val="21"/>
        </w:rPr>
        <w:t>第十五条    其他条款</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 xml:space="preserve">15.1 </w:t>
      </w:r>
      <w:r>
        <w:rPr>
          <w:rFonts w:hint="eastAsia" w:ascii="宋体" w:hAnsi="宋体" w:cs="宋体"/>
          <w:szCs w:val="21"/>
        </w:rPr>
        <w:t>本合同共</w:t>
      </w:r>
      <w:r>
        <w:rPr>
          <w:rFonts w:hint="eastAsia" w:ascii="宋体" w:hAnsi="宋体" w:cs="宋体"/>
          <w:szCs w:val="21"/>
          <w:u w:val="single"/>
        </w:rPr>
        <w:t xml:space="preserve">    </w:t>
      </w:r>
      <w:r>
        <w:rPr>
          <w:rFonts w:hint="eastAsia" w:ascii="宋体" w:hAnsi="宋体" w:cs="宋体"/>
          <w:szCs w:val="21"/>
        </w:rPr>
        <w:t>份附件，附件与本合同条款对双方具有同等效力。</w:t>
      </w:r>
    </w:p>
    <w:p>
      <w:pPr>
        <w:adjustRightInd w:val="0"/>
        <w:snapToGrid w:val="0"/>
        <w:spacing w:before="156" w:beforeLines="50" w:after="156" w:afterLines="50" w:line="360" w:lineRule="auto"/>
        <w:rPr>
          <w:rFonts w:ascii="宋体" w:hAnsi="宋体" w:cs="宋体"/>
          <w:szCs w:val="21"/>
        </w:rPr>
      </w:pPr>
      <w:r>
        <w:rPr>
          <w:rFonts w:hint="eastAsia" w:ascii="宋体" w:hAnsi="宋体" w:cs="宋体"/>
          <w:bCs/>
          <w:szCs w:val="21"/>
        </w:rPr>
        <w:t>15.2</w:t>
      </w:r>
      <w:r>
        <w:rPr>
          <w:rFonts w:hint="eastAsia" w:ascii="宋体" w:hAnsi="宋体" w:cs="宋体"/>
          <w:szCs w:val="21"/>
        </w:rPr>
        <w:t>本合同经双方法人代表或其授权代表签字，并加盖单位印章后，立即生效。</w:t>
      </w:r>
    </w:p>
    <w:p>
      <w:pPr>
        <w:adjustRightInd w:val="0"/>
        <w:snapToGrid w:val="0"/>
        <w:spacing w:before="156" w:beforeLines="50" w:after="156" w:afterLines="50" w:line="360" w:lineRule="auto"/>
        <w:rPr>
          <w:rFonts w:ascii="宋体" w:hAnsi="宋体" w:cs="宋体"/>
          <w:b/>
          <w:szCs w:val="21"/>
        </w:rPr>
      </w:pPr>
      <w:r>
        <w:rPr>
          <w:rFonts w:hint="eastAsia" w:ascii="宋体" w:hAnsi="宋体" w:cs="宋体"/>
          <w:bCs/>
          <w:szCs w:val="21"/>
        </w:rPr>
        <w:t>15.3</w:t>
      </w:r>
      <w:r>
        <w:rPr>
          <w:rFonts w:hint="eastAsia" w:ascii="宋体" w:hAnsi="宋体" w:cs="宋体"/>
          <w:szCs w:val="21"/>
        </w:rPr>
        <w:t>本合同一式</w:t>
      </w:r>
      <w:r>
        <w:rPr>
          <w:rFonts w:hint="eastAsia" w:ascii="宋体" w:hAnsi="宋体" w:cs="宋体"/>
          <w:szCs w:val="21"/>
          <w:u w:val="single"/>
        </w:rPr>
        <w:t>6</w:t>
      </w:r>
      <w:r>
        <w:rPr>
          <w:rFonts w:hint="eastAsia" w:ascii="宋体" w:hAnsi="宋体" w:cs="宋体"/>
          <w:szCs w:val="21"/>
        </w:rPr>
        <w:t>份，甲乙双方当事人各执</w:t>
      </w:r>
      <w:r>
        <w:rPr>
          <w:rFonts w:hint="eastAsia" w:ascii="宋体" w:hAnsi="宋体" w:cs="宋体"/>
          <w:szCs w:val="21"/>
          <w:u w:val="single"/>
        </w:rPr>
        <w:t>3</w:t>
      </w:r>
      <w:r>
        <w:rPr>
          <w:rFonts w:hint="eastAsia" w:ascii="宋体" w:hAnsi="宋体" w:cs="宋体"/>
          <w:szCs w:val="21"/>
        </w:rPr>
        <w:t>份。如合同履约过程中，因工作需要签订补充协议以变更或增减本合同约定的，补充协议均须经双方法人代表或授权代表签字后生效，成为本合同不可分割的一部分。</w:t>
      </w:r>
    </w:p>
    <w:p>
      <w:pPr>
        <w:adjustRightInd w:val="0"/>
        <w:snapToGrid w:val="0"/>
        <w:spacing w:before="312" w:beforeLines="100" w:after="312" w:afterLines="100" w:line="720" w:lineRule="auto"/>
        <w:rPr>
          <w:rFonts w:ascii="宋体" w:hAnsi="宋体" w:cs="宋体"/>
          <w:bCs/>
          <w:szCs w:val="21"/>
        </w:rPr>
      </w:pPr>
      <w:r>
        <w:rPr>
          <w:rFonts w:hint="eastAsia" w:ascii="宋体" w:hAnsi="宋体" w:cs="宋体"/>
          <w:b/>
          <w:szCs w:val="21"/>
        </w:rPr>
        <w:br w:type="page"/>
      </w:r>
      <w:r>
        <w:rPr>
          <w:rFonts w:hint="eastAsia" w:ascii="宋体" w:hAnsi="宋体" w:cs="宋体"/>
          <w:bCs/>
          <w:szCs w:val="21"/>
        </w:rPr>
        <w:t>委托方：</w:t>
      </w:r>
      <w:r>
        <w:rPr>
          <w:rFonts w:hint="eastAsia" w:ascii="宋体" w:hAnsi="宋体" w:cs="宋体"/>
          <w:bCs/>
          <w:szCs w:val="21"/>
          <w:u w:val="single"/>
        </w:rPr>
        <w:t xml:space="preserve">                   </w:t>
      </w:r>
      <w:r>
        <w:rPr>
          <w:rFonts w:hint="eastAsia" w:ascii="宋体" w:hAnsi="宋体" w:cs="宋体"/>
          <w:bCs/>
          <w:szCs w:val="21"/>
        </w:rPr>
        <w:t xml:space="preserve">  </w:t>
      </w:r>
    </w:p>
    <w:p>
      <w:pPr>
        <w:adjustRightInd w:val="0"/>
        <w:snapToGrid w:val="0"/>
        <w:spacing w:before="312" w:beforeLines="100" w:after="312" w:afterLines="100" w:line="720" w:lineRule="auto"/>
        <w:rPr>
          <w:rFonts w:ascii="宋体" w:hAnsi="宋体" w:cs="宋体"/>
          <w:bCs/>
          <w:szCs w:val="21"/>
        </w:rPr>
      </w:pPr>
      <w:r>
        <w:rPr>
          <w:rFonts w:hint="eastAsia" w:ascii="宋体" w:hAnsi="宋体" w:cs="宋体"/>
          <w:bCs/>
          <w:szCs w:val="21"/>
        </w:rPr>
        <w:t xml:space="preserve">（甲方）（盖章） </w:t>
      </w:r>
    </w:p>
    <w:p>
      <w:pPr>
        <w:adjustRightInd w:val="0"/>
        <w:snapToGrid w:val="0"/>
        <w:spacing w:before="312" w:beforeLines="100" w:after="312" w:afterLines="100" w:line="720" w:lineRule="auto"/>
        <w:rPr>
          <w:rFonts w:ascii="宋体" w:hAnsi="宋体" w:cs="宋体"/>
          <w:bCs/>
          <w:szCs w:val="21"/>
        </w:rPr>
      </w:pPr>
      <w:r>
        <w:rPr>
          <w:rFonts w:hint="eastAsia" w:ascii="宋体" w:hAnsi="宋体" w:cs="宋体"/>
          <w:bCs/>
          <w:szCs w:val="21"/>
        </w:rPr>
        <w:t xml:space="preserve">法定代表人（签名）： </w:t>
      </w:r>
    </w:p>
    <w:p>
      <w:pPr>
        <w:adjustRightInd w:val="0"/>
        <w:snapToGrid w:val="0"/>
        <w:spacing w:before="312" w:beforeLines="100" w:after="312" w:afterLines="100" w:line="720" w:lineRule="auto"/>
        <w:rPr>
          <w:rFonts w:ascii="宋体" w:hAnsi="宋体" w:cs="宋体"/>
          <w:bCs/>
          <w:szCs w:val="21"/>
        </w:rPr>
      </w:pPr>
      <w:r>
        <w:rPr>
          <w:rFonts w:hint="eastAsia" w:ascii="宋体" w:hAnsi="宋体" w:cs="宋体"/>
          <w:bCs/>
          <w:szCs w:val="21"/>
        </w:rPr>
        <w:t xml:space="preserve">委托代理人（签名）： </w:t>
      </w:r>
    </w:p>
    <w:p>
      <w:pPr>
        <w:adjustRightInd w:val="0"/>
        <w:snapToGrid w:val="0"/>
        <w:spacing w:before="312" w:beforeLines="100" w:after="312" w:afterLines="100" w:line="720" w:lineRule="auto"/>
        <w:rPr>
          <w:rFonts w:ascii="宋体" w:hAnsi="宋体" w:cs="宋体"/>
          <w:bCs/>
          <w:szCs w:val="21"/>
        </w:rPr>
      </w:pPr>
      <w:r>
        <w:rPr>
          <w:rFonts w:hint="eastAsia" w:ascii="宋体" w:hAnsi="宋体" w:cs="宋体"/>
          <w:bCs/>
          <w:szCs w:val="21"/>
        </w:rPr>
        <w:t xml:space="preserve">_________年____月____日 </w:t>
      </w:r>
    </w:p>
    <w:p>
      <w:pPr>
        <w:adjustRightInd w:val="0"/>
        <w:snapToGrid w:val="0"/>
        <w:spacing w:before="312" w:beforeLines="100" w:after="312" w:afterLines="100" w:line="720" w:lineRule="auto"/>
        <w:rPr>
          <w:rFonts w:ascii="宋体" w:hAnsi="宋体" w:cs="宋体"/>
          <w:bCs/>
          <w:szCs w:val="21"/>
          <w:u w:val="single"/>
        </w:rPr>
      </w:pPr>
      <w:r>
        <w:rPr>
          <w:rFonts w:hint="eastAsia" w:ascii="宋体" w:hAnsi="宋体" w:cs="宋体"/>
          <w:bCs/>
          <w:szCs w:val="21"/>
        </w:rPr>
        <w:t>受托方：</w:t>
      </w:r>
      <w:r>
        <w:rPr>
          <w:rFonts w:hint="eastAsia" w:ascii="宋体" w:hAnsi="宋体" w:cs="宋体"/>
          <w:bCs/>
          <w:szCs w:val="21"/>
          <w:u w:val="single"/>
        </w:rPr>
        <w:t xml:space="preserve">                    </w:t>
      </w:r>
    </w:p>
    <w:p>
      <w:pPr>
        <w:adjustRightInd w:val="0"/>
        <w:snapToGrid w:val="0"/>
        <w:spacing w:before="312" w:beforeLines="100" w:after="312" w:afterLines="100" w:line="720" w:lineRule="auto"/>
        <w:rPr>
          <w:rFonts w:ascii="宋体" w:hAnsi="宋体" w:cs="宋体"/>
          <w:bCs/>
          <w:szCs w:val="21"/>
        </w:rPr>
      </w:pPr>
      <w:r>
        <w:rPr>
          <w:rFonts w:hint="eastAsia" w:ascii="宋体" w:hAnsi="宋体" w:cs="宋体"/>
          <w:bCs/>
          <w:szCs w:val="21"/>
        </w:rPr>
        <w:t xml:space="preserve">（乙方）（盖章）   </w:t>
      </w:r>
    </w:p>
    <w:p>
      <w:pPr>
        <w:adjustRightInd w:val="0"/>
        <w:snapToGrid w:val="0"/>
        <w:spacing w:before="312" w:beforeLines="100" w:after="312" w:afterLines="100" w:line="720" w:lineRule="auto"/>
        <w:rPr>
          <w:rFonts w:ascii="宋体" w:hAnsi="宋体" w:cs="宋体"/>
          <w:bCs/>
          <w:szCs w:val="21"/>
        </w:rPr>
      </w:pPr>
      <w:r>
        <w:rPr>
          <w:rFonts w:hint="eastAsia" w:ascii="宋体" w:hAnsi="宋体" w:cs="宋体"/>
          <w:bCs/>
          <w:szCs w:val="21"/>
        </w:rPr>
        <w:t>法定代表人（签名）：</w:t>
      </w:r>
    </w:p>
    <w:p>
      <w:pPr>
        <w:adjustRightInd w:val="0"/>
        <w:snapToGrid w:val="0"/>
        <w:spacing w:before="312" w:beforeLines="100" w:after="312" w:afterLines="100" w:line="720" w:lineRule="auto"/>
        <w:rPr>
          <w:rFonts w:ascii="宋体" w:hAnsi="宋体" w:cs="宋体"/>
          <w:bCs/>
          <w:szCs w:val="21"/>
        </w:rPr>
      </w:pPr>
      <w:r>
        <w:rPr>
          <w:rFonts w:hint="eastAsia" w:ascii="宋体" w:hAnsi="宋体" w:cs="宋体"/>
          <w:bCs/>
          <w:szCs w:val="21"/>
        </w:rPr>
        <w:t>委托代理人（签名）：</w:t>
      </w:r>
    </w:p>
    <w:p>
      <w:pPr>
        <w:jc w:val="left"/>
        <w:rPr>
          <w:b/>
          <w:sz w:val="52"/>
          <w:szCs w:val="52"/>
        </w:rPr>
      </w:pPr>
      <w:r>
        <w:rPr>
          <w:rFonts w:hint="eastAsia" w:ascii="宋体" w:hAnsi="宋体" w:cs="宋体"/>
          <w:bCs/>
          <w:szCs w:val="21"/>
        </w:rPr>
        <w:t>_______年___月____日</w:t>
      </w: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104" w:name="_Toc73610161"/>
      <w:bookmarkStart w:id="105" w:name="_Toc135293193"/>
      <w:r>
        <w:rPr>
          <w:rFonts w:hint="eastAsia"/>
        </w:rPr>
        <w:t>第九章  附件</w:t>
      </w:r>
      <w:bookmarkEnd w:id="104"/>
      <w:bookmarkEnd w:id="105"/>
    </w:p>
    <w:p>
      <w:pPr>
        <w:pStyle w:val="4"/>
        <w:spacing w:before="0" w:after="0"/>
      </w:pPr>
      <w:bookmarkStart w:id="106" w:name="_Toc73610162"/>
      <w:bookmarkStart w:id="107" w:name="_Toc73613644"/>
      <w:bookmarkStart w:id="108" w:name="_Toc135293194"/>
      <w:r>
        <w:rPr>
          <w:rFonts w:hint="eastAsia"/>
        </w:rPr>
        <w:t>一、财政部 工业和信息化部关于印发《政府采购促进中小企业发展管理办法》的通知</w:t>
      </w:r>
      <w:bookmarkEnd w:id="106"/>
      <w:bookmarkEnd w:id="107"/>
      <w:bookmarkEnd w:id="108"/>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4"/>
        <w:spacing w:before="0" w:after="0"/>
      </w:pPr>
      <w:bookmarkStart w:id="109" w:name="_Toc135293195"/>
      <w:bookmarkStart w:id="110" w:name="_Toc73610163"/>
      <w:bookmarkStart w:id="111" w:name="_Toc73613645"/>
      <w:r>
        <w:rPr>
          <w:rFonts w:hint="eastAsia"/>
        </w:rPr>
        <w:t>二、关于印发中小企业划型标准规定的通知</w:t>
      </w:r>
      <w:bookmarkEnd w:id="109"/>
      <w:bookmarkEnd w:id="110"/>
      <w:bookmarkEnd w:id="111"/>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4"/>
        <w:spacing w:before="0" w:after="0"/>
      </w:pPr>
      <w:bookmarkStart w:id="112" w:name="_Toc73613646"/>
      <w:bookmarkStart w:id="113" w:name="_Toc135293196"/>
      <w:bookmarkStart w:id="114" w:name="_Toc73610164"/>
      <w:r>
        <w:rPr>
          <w:rFonts w:hint="eastAsia"/>
        </w:rPr>
        <w:t>三、</w:t>
      </w:r>
      <w:r>
        <w:t>国家统计局关于印发《统计上大中小微型企业划分办法 （2017）》的通知</w:t>
      </w:r>
      <w:bookmarkEnd w:id="112"/>
      <w:bookmarkEnd w:id="113"/>
      <w:bookmarkEnd w:id="114"/>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115" w:name="_Toc73613647"/>
      <w:bookmarkStart w:id="116" w:name="_Toc73610165"/>
      <w:bookmarkStart w:id="117" w:name="_Toc135293197"/>
      <w:r>
        <w:rPr>
          <w:rFonts w:hint="eastAsia"/>
        </w:rPr>
        <w:t>四、</w:t>
      </w:r>
      <w:r>
        <w:t>财政部 民政部 中国残疾人联合会关于促进残疾人就业 政府采购政策的通知</w:t>
      </w:r>
      <w:bookmarkEnd w:id="115"/>
      <w:bookmarkEnd w:id="116"/>
      <w:bookmarkEnd w:id="117"/>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4"/>
        <w:spacing w:before="0" w:after="0"/>
      </w:pPr>
      <w:bookmarkStart w:id="118" w:name="_Toc135293198"/>
      <w:r>
        <w:rPr>
          <w:rFonts w:hint="eastAsia"/>
        </w:rPr>
        <w:t>五、财政部 司法部关于政府采购支持监狱企业发展有关问题的通知</w:t>
      </w:r>
      <w:bookmarkEnd w:id="118"/>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5" w:type="default"/>
      <w:footerReference r:id="rId6" w:type="default"/>
      <w:pgSz w:w="11906" w:h="16838"/>
      <w:pgMar w:top="1134" w:right="1134" w:bottom="1134"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楷体_GB2312">
    <w:altName w:val="方正楷体_GBK"/>
    <w:panose1 w:val="02010609030101010101"/>
    <w:charset w:val="86"/>
    <w:family w:val="modern"/>
    <w:pitch w:val="default"/>
    <w:sig w:usb0="00000000" w:usb1="00000000" w:usb2="00000010" w:usb3="00000000" w:csb0="00040000" w:csb1="00000000"/>
  </w:font>
  <w:font w:name="隶书">
    <w:altName w:val="方正隶书_GBK"/>
    <w:panose1 w:val="02010509060101010101"/>
    <w:charset w:val="86"/>
    <w:family w:val="modern"/>
    <w:pitch w:val="default"/>
    <w:sig w:usb0="00000000" w:usb1="0000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H Yb 2gj">
    <w:altName w:val="华文仿宋"/>
    <w:panose1 w:val="00000000000000000000"/>
    <w:charset w:val="86"/>
    <w:family w:val="auto"/>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新宋体">
    <w:altName w:val="方正书宋_GBK"/>
    <w:panose1 w:val="02010609030101010101"/>
    <w:charset w:val="86"/>
    <w:family w:val="modern"/>
    <w:pitch w:val="default"/>
    <w:sig w:usb0="00000000" w:usb1="00000000" w:usb2="0000000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方正仿宋_GBK"/>
    <w:panose1 w:val="00000000000000000000"/>
    <w:charset w:val="86"/>
    <w:family w:val="roman"/>
    <w:pitch w:val="default"/>
    <w:sig w:usb0="00000000" w:usb1="00000000" w:usb2="00000000" w:usb3="00000000" w:csb0="00040001" w:csb1="00000000"/>
  </w:font>
  <w:font w:name="Arial Unicode MS">
    <w:altName w:val="DejaVu Sans"/>
    <w:panose1 w:val="020B0604020202020204"/>
    <w:charset w:val="86"/>
    <w:family w:val="swiss"/>
    <w:pitch w:val="default"/>
    <w:sig w:usb0="00000000" w:usb1="00000000" w:usb2="0000003F" w:usb3="00000000" w:csb0="603F01FF" w:csb1="FFFF0000"/>
  </w:font>
  <w:font w:name="ˎ̥">
    <w:altName w:val="华文仿宋"/>
    <w:panose1 w:val="00000000000000000000"/>
    <w:charset w:val="00"/>
    <w:family w:val="auto"/>
    <w:pitch w:val="default"/>
    <w:sig w:usb0="00000000" w:usb1="00000000" w:usb2="00000000" w:usb3="00000000" w:csb0="00040001" w:csb1="00000000"/>
  </w:font>
  <w:font w:name="??">
    <w:altName w:val="华文仿宋"/>
    <w:panose1 w:val="00000000000000000000"/>
    <w:charset w:val="00"/>
    <w:family w:val="auto"/>
    <w:pitch w:val="default"/>
    <w:sig w:usb0="00000000" w:usb1="00000000" w:usb2="00000000" w:usb3="00000000" w:csb0="00040001" w:csb1="00000000"/>
  </w:font>
  <w:font w:name="Microsoft YaHei UI">
    <w:altName w:val="Droid Sans Fallback"/>
    <w:panose1 w:val="020B0503020204020204"/>
    <w:charset w:val="86"/>
    <w:family w:val="swiss"/>
    <w:pitch w:val="default"/>
    <w:sig w:usb0="00000000" w:usb1="00000000" w:usb2="00000016" w:usb3="00000000" w:csb0="0004001F" w:csb1="00000000"/>
  </w:font>
  <w:font w:name="经典标宋简">
    <w:altName w:val="方正书宋_GBK"/>
    <w:panose1 w:val="00000000000000000000"/>
    <w:charset w:val="86"/>
    <w:family w:val="auto"/>
    <w:pitch w:val="default"/>
    <w:sig w:usb0="00000000" w:usb1="00000000" w:usb2="0000001E" w:usb3="00000000" w:csb0="00040000" w:csb1="00000000"/>
  </w:font>
  <w:font w:name="经典等线简">
    <w:altName w:val="华文仿宋"/>
    <w:panose1 w:val="00000000000000000000"/>
    <w:charset w:val="86"/>
    <w:family w:val="auto"/>
    <w:pitch w:val="default"/>
    <w:sig w:usb0="00000000" w:usb1="00000000" w:usb2="0000001E" w:usb3="00000000" w:csb0="00040000" w:csb1="00000000"/>
  </w:font>
  <w:font w:name="MS Mincho">
    <w:altName w:val="方正书宋_GBK"/>
    <w:panose1 w:val="02020609040205080304"/>
    <w:charset w:val="80"/>
    <w:family w:val="modern"/>
    <w:pitch w:val="default"/>
    <w:sig w:usb0="00000000" w:usb1="00000000" w:usb2="00000010" w:usb3="00000000" w:csb0="4002009F" w:csb1="DFD70000"/>
  </w:font>
  <w:font w:name="Segoe UI Symbol">
    <w:altName w:val="Noto Sans"/>
    <w:panose1 w:val="020B0502040204020203"/>
    <w:charset w:val="00"/>
    <w:family w:val="swiss"/>
    <w:pitch w:val="default"/>
    <w:sig w:usb0="00000000" w:usb1="00000000" w:usb2="00040000" w:usb3="04000000" w:csb0="00000001" w:csb1="4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63</w:t>
    </w:r>
    <w:r>
      <w:rPr>
        <w:rStyle w:val="54"/>
      </w:rPr>
      <w:fldChar w:fldCharType="end"/>
    </w:r>
  </w:p>
  <w:p>
    <w:pPr>
      <w:pStyle w:val="31"/>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rPr>
      <w:t xml:space="preserve">深圳市地下综合管廊工程建设技术服务       </w:t>
    </w:r>
    <w:r>
      <w:rPr>
        <w:rFonts w:hint="eastAsia"/>
      </w:rPr>
      <w:t xml:space="preserve">                             项目编号：</w:t>
    </w:r>
    <w:r>
      <w:rPr>
        <w:rFonts w:hint="eastAsia" w:asciiTheme="minorEastAsia" w:hAnsiTheme="minorEastAsia" w:eastAsiaTheme="minorEastAsia"/>
      </w:rPr>
      <w:t>SZZZ2024-QC0222</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2321">
    <w15:presenceInfo w15:providerId="None" w15:userId="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kZGVkYTNiOTU2NTQ1Nzc0OTI5NDMzOTUxZDg0ZWIifQ=="/>
    <w:docVar w:name="KSO_WPS_MARK_KEY" w:val="79bf3387-fe5b-4970-822c-50cd05f3103b"/>
  </w:docVars>
  <w:rsids>
    <w:rsidRoot w:val="00172A27"/>
    <w:rsid w:val="0000134D"/>
    <w:rsid w:val="00001626"/>
    <w:rsid w:val="00001F1C"/>
    <w:rsid w:val="00002F3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4BB"/>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4E1"/>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BB"/>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072E"/>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90"/>
    <w:rsid w:val="000855C1"/>
    <w:rsid w:val="00085908"/>
    <w:rsid w:val="0008596C"/>
    <w:rsid w:val="00085DE9"/>
    <w:rsid w:val="00085FFE"/>
    <w:rsid w:val="000861E5"/>
    <w:rsid w:val="000866A3"/>
    <w:rsid w:val="000867FB"/>
    <w:rsid w:val="00086F62"/>
    <w:rsid w:val="000878FF"/>
    <w:rsid w:val="0008796E"/>
    <w:rsid w:val="00090302"/>
    <w:rsid w:val="00090FE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476B"/>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169EA"/>
    <w:rsid w:val="0012030F"/>
    <w:rsid w:val="00120AB4"/>
    <w:rsid w:val="00120BE1"/>
    <w:rsid w:val="00120CAA"/>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150"/>
    <w:rsid w:val="00133E88"/>
    <w:rsid w:val="00133ECB"/>
    <w:rsid w:val="0013411A"/>
    <w:rsid w:val="001349F3"/>
    <w:rsid w:val="00135E87"/>
    <w:rsid w:val="00136615"/>
    <w:rsid w:val="00136BA5"/>
    <w:rsid w:val="00137077"/>
    <w:rsid w:val="00137241"/>
    <w:rsid w:val="00137452"/>
    <w:rsid w:val="00137B1E"/>
    <w:rsid w:val="00137BBA"/>
    <w:rsid w:val="001403D0"/>
    <w:rsid w:val="00140ABE"/>
    <w:rsid w:val="00141229"/>
    <w:rsid w:val="00141E96"/>
    <w:rsid w:val="00142135"/>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0B8"/>
    <w:rsid w:val="00155460"/>
    <w:rsid w:val="00156E27"/>
    <w:rsid w:val="001570A5"/>
    <w:rsid w:val="001571E8"/>
    <w:rsid w:val="0015749F"/>
    <w:rsid w:val="001579EF"/>
    <w:rsid w:val="00160375"/>
    <w:rsid w:val="00160D4E"/>
    <w:rsid w:val="00160F50"/>
    <w:rsid w:val="001613F8"/>
    <w:rsid w:val="00161522"/>
    <w:rsid w:val="001617AE"/>
    <w:rsid w:val="001618A8"/>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2F"/>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BA5"/>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8F5"/>
    <w:rsid w:val="00264D98"/>
    <w:rsid w:val="00265054"/>
    <w:rsid w:val="0026523F"/>
    <w:rsid w:val="002657D5"/>
    <w:rsid w:val="00265EBC"/>
    <w:rsid w:val="0026696D"/>
    <w:rsid w:val="00266BE6"/>
    <w:rsid w:val="00266EC1"/>
    <w:rsid w:val="00267127"/>
    <w:rsid w:val="00267325"/>
    <w:rsid w:val="002674F1"/>
    <w:rsid w:val="00267935"/>
    <w:rsid w:val="002704D6"/>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85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0F79"/>
    <w:rsid w:val="002A11FB"/>
    <w:rsid w:val="002A120C"/>
    <w:rsid w:val="002A1715"/>
    <w:rsid w:val="002A1996"/>
    <w:rsid w:val="002A1F00"/>
    <w:rsid w:val="002A1F34"/>
    <w:rsid w:val="002A2185"/>
    <w:rsid w:val="002A21D9"/>
    <w:rsid w:val="002A334F"/>
    <w:rsid w:val="002A3BB3"/>
    <w:rsid w:val="002A3C88"/>
    <w:rsid w:val="002A41C2"/>
    <w:rsid w:val="002A4C00"/>
    <w:rsid w:val="002A4EC4"/>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53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ADC"/>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537"/>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672"/>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742"/>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3D77"/>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67"/>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837"/>
    <w:rsid w:val="003B1B85"/>
    <w:rsid w:val="003B1BFF"/>
    <w:rsid w:val="003B20E9"/>
    <w:rsid w:val="003B2926"/>
    <w:rsid w:val="003B3713"/>
    <w:rsid w:val="003B3AA5"/>
    <w:rsid w:val="003B445F"/>
    <w:rsid w:val="003B4982"/>
    <w:rsid w:val="003B4B46"/>
    <w:rsid w:val="003B4DF0"/>
    <w:rsid w:val="003B5725"/>
    <w:rsid w:val="003B5C4E"/>
    <w:rsid w:val="003B65AB"/>
    <w:rsid w:val="003B6CFD"/>
    <w:rsid w:val="003B6FA8"/>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9B3"/>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0A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401"/>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033"/>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1DC"/>
    <w:rsid w:val="00445FD0"/>
    <w:rsid w:val="00446573"/>
    <w:rsid w:val="0044696A"/>
    <w:rsid w:val="004470D3"/>
    <w:rsid w:val="004503FD"/>
    <w:rsid w:val="00450BA1"/>
    <w:rsid w:val="00450E38"/>
    <w:rsid w:val="004515EC"/>
    <w:rsid w:val="0045181C"/>
    <w:rsid w:val="00451AE9"/>
    <w:rsid w:val="00451B7A"/>
    <w:rsid w:val="00451DFC"/>
    <w:rsid w:val="00452B13"/>
    <w:rsid w:val="00452F8E"/>
    <w:rsid w:val="00453895"/>
    <w:rsid w:val="004538F6"/>
    <w:rsid w:val="004548A5"/>
    <w:rsid w:val="00454B0F"/>
    <w:rsid w:val="004553EB"/>
    <w:rsid w:val="00455D28"/>
    <w:rsid w:val="00455D9A"/>
    <w:rsid w:val="00455E39"/>
    <w:rsid w:val="004562BC"/>
    <w:rsid w:val="004562F1"/>
    <w:rsid w:val="00456A9B"/>
    <w:rsid w:val="0045708B"/>
    <w:rsid w:val="00457269"/>
    <w:rsid w:val="00457B78"/>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BA5"/>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1C7"/>
    <w:rsid w:val="004E2F50"/>
    <w:rsid w:val="004E33EB"/>
    <w:rsid w:val="004E345A"/>
    <w:rsid w:val="004E3F06"/>
    <w:rsid w:val="004E433E"/>
    <w:rsid w:val="004E4394"/>
    <w:rsid w:val="004E44AF"/>
    <w:rsid w:val="004E499B"/>
    <w:rsid w:val="004E5120"/>
    <w:rsid w:val="004E52D5"/>
    <w:rsid w:val="004E59C7"/>
    <w:rsid w:val="004E67BD"/>
    <w:rsid w:val="004E67CC"/>
    <w:rsid w:val="004E6BED"/>
    <w:rsid w:val="004E7CFB"/>
    <w:rsid w:val="004F0094"/>
    <w:rsid w:val="004F091C"/>
    <w:rsid w:val="004F1279"/>
    <w:rsid w:val="004F1517"/>
    <w:rsid w:val="004F18C4"/>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1E9"/>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221"/>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575C"/>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873"/>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A16"/>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A5C"/>
    <w:rsid w:val="005F0DF2"/>
    <w:rsid w:val="005F1192"/>
    <w:rsid w:val="005F1223"/>
    <w:rsid w:val="005F1569"/>
    <w:rsid w:val="005F1684"/>
    <w:rsid w:val="005F186F"/>
    <w:rsid w:val="005F20E7"/>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214B"/>
    <w:rsid w:val="0060324A"/>
    <w:rsid w:val="0060397E"/>
    <w:rsid w:val="00603B00"/>
    <w:rsid w:val="00603DF2"/>
    <w:rsid w:val="00604586"/>
    <w:rsid w:val="00604A3E"/>
    <w:rsid w:val="00604E98"/>
    <w:rsid w:val="006052EB"/>
    <w:rsid w:val="00605593"/>
    <w:rsid w:val="0060706C"/>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3B1"/>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65"/>
    <w:rsid w:val="0067157C"/>
    <w:rsid w:val="00671AFA"/>
    <w:rsid w:val="006722F6"/>
    <w:rsid w:val="0067238B"/>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8BB"/>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4CBF"/>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5D86"/>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47C1"/>
    <w:rsid w:val="00716559"/>
    <w:rsid w:val="00716C9E"/>
    <w:rsid w:val="00717E16"/>
    <w:rsid w:val="007205F0"/>
    <w:rsid w:val="0072127E"/>
    <w:rsid w:val="007215B3"/>
    <w:rsid w:val="007217E1"/>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4FC"/>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4D94"/>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2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645F"/>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5AA"/>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B90"/>
    <w:rsid w:val="00803C2E"/>
    <w:rsid w:val="00803D71"/>
    <w:rsid w:val="00803DDC"/>
    <w:rsid w:val="00803EBA"/>
    <w:rsid w:val="0080498C"/>
    <w:rsid w:val="008049DB"/>
    <w:rsid w:val="008054B4"/>
    <w:rsid w:val="0080557B"/>
    <w:rsid w:val="00805B7B"/>
    <w:rsid w:val="00805D34"/>
    <w:rsid w:val="00806393"/>
    <w:rsid w:val="00806FF0"/>
    <w:rsid w:val="00810A80"/>
    <w:rsid w:val="00810DB6"/>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937"/>
    <w:rsid w:val="00831F24"/>
    <w:rsid w:val="00832458"/>
    <w:rsid w:val="00832573"/>
    <w:rsid w:val="00832601"/>
    <w:rsid w:val="00832DD9"/>
    <w:rsid w:val="00833045"/>
    <w:rsid w:val="0083478D"/>
    <w:rsid w:val="0083687A"/>
    <w:rsid w:val="008368D4"/>
    <w:rsid w:val="0083775C"/>
    <w:rsid w:val="00837831"/>
    <w:rsid w:val="008400CE"/>
    <w:rsid w:val="00841487"/>
    <w:rsid w:val="0084170D"/>
    <w:rsid w:val="008425E8"/>
    <w:rsid w:val="00842ACC"/>
    <w:rsid w:val="00842BD7"/>
    <w:rsid w:val="008430B9"/>
    <w:rsid w:val="008443F1"/>
    <w:rsid w:val="00844AC8"/>
    <w:rsid w:val="0084510F"/>
    <w:rsid w:val="0084544D"/>
    <w:rsid w:val="008454E1"/>
    <w:rsid w:val="008455B3"/>
    <w:rsid w:val="00845E68"/>
    <w:rsid w:val="008460C4"/>
    <w:rsid w:val="00846367"/>
    <w:rsid w:val="008469B2"/>
    <w:rsid w:val="00847032"/>
    <w:rsid w:val="008472DB"/>
    <w:rsid w:val="008476CA"/>
    <w:rsid w:val="00850E12"/>
    <w:rsid w:val="00850E57"/>
    <w:rsid w:val="0085101E"/>
    <w:rsid w:val="0085219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7F9"/>
    <w:rsid w:val="00884DE8"/>
    <w:rsid w:val="0088512A"/>
    <w:rsid w:val="0088512F"/>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3E5"/>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C7FF7"/>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241"/>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327"/>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0ED3"/>
    <w:rsid w:val="0092251C"/>
    <w:rsid w:val="009226C5"/>
    <w:rsid w:val="009229C9"/>
    <w:rsid w:val="0092357A"/>
    <w:rsid w:val="00923D27"/>
    <w:rsid w:val="0092402B"/>
    <w:rsid w:val="00924436"/>
    <w:rsid w:val="00924A9F"/>
    <w:rsid w:val="00925042"/>
    <w:rsid w:val="009251E0"/>
    <w:rsid w:val="009257E0"/>
    <w:rsid w:val="0092651E"/>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668"/>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3DE9"/>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0"/>
    <w:rsid w:val="009C1008"/>
    <w:rsid w:val="009C1809"/>
    <w:rsid w:val="009C1AFF"/>
    <w:rsid w:val="009C206C"/>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B39"/>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0932"/>
    <w:rsid w:val="009E1372"/>
    <w:rsid w:val="009E1E04"/>
    <w:rsid w:val="009E1FF9"/>
    <w:rsid w:val="009E31F4"/>
    <w:rsid w:val="009E38CE"/>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046"/>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420"/>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6C93"/>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3E3"/>
    <w:rsid w:val="00A92584"/>
    <w:rsid w:val="00A925A7"/>
    <w:rsid w:val="00A925DB"/>
    <w:rsid w:val="00A930BB"/>
    <w:rsid w:val="00A933F4"/>
    <w:rsid w:val="00A93DC6"/>
    <w:rsid w:val="00A94354"/>
    <w:rsid w:val="00A94796"/>
    <w:rsid w:val="00A94CEF"/>
    <w:rsid w:val="00A94F8F"/>
    <w:rsid w:val="00A9501F"/>
    <w:rsid w:val="00A951AC"/>
    <w:rsid w:val="00A951C2"/>
    <w:rsid w:val="00A95452"/>
    <w:rsid w:val="00A95DFD"/>
    <w:rsid w:val="00A95EE0"/>
    <w:rsid w:val="00A96EF6"/>
    <w:rsid w:val="00AA0925"/>
    <w:rsid w:val="00AA096E"/>
    <w:rsid w:val="00AA0D9E"/>
    <w:rsid w:val="00AA1293"/>
    <w:rsid w:val="00AA14C3"/>
    <w:rsid w:val="00AA188D"/>
    <w:rsid w:val="00AA3EDF"/>
    <w:rsid w:val="00AA411A"/>
    <w:rsid w:val="00AA4220"/>
    <w:rsid w:val="00AA4239"/>
    <w:rsid w:val="00AA4D46"/>
    <w:rsid w:val="00AA4E32"/>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049"/>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16E5"/>
    <w:rsid w:val="00B12191"/>
    <w:rsid w:val="00B12F04"/>
    <w:rsid w:val="00B13082"/>
    <w:rsid w:val="00B134E7"/>
    <w:rsid w:val="00B13A79"/>
    <w:rsid w:val="00B14075"/>
    <w:rsid w:val="00B14FC0"/>
    <w:rsid w:val="00B159F7"/>
    <w:rsid w:val="00B16524"/>
    <w:rsid w:val="00B165E7"/>
    <w:rsid w:val="00B16E86"/>
    <w:rsid w:val="00B170A8"/>
    <w:rsid w:val="00B17C0B"/>
    <w:rsid w:val="00B20364"/>
    <w:rsid w:val="00B20E6F"/>
    <w:rsid w:val="00B20EED"/>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4FC0"/>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8E5"/>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368"/>
    <w:rsid w:val="00BE64BF"/>
    <w:rsid w:val="00BE654A"/>
    <w:rsid w:val="00BE6653"/>
    <w:rsid w:val="00BE6D2F"/>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00F1"/>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20E"/>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4933"/>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5F4"/>
    <w:rsid w:val="00C40753"/>
    <w:rsid w:val="00C40815"/>
    <w:rsid w:val="00C40B89"/>
    <w:rsid w:val="00C40B90"/>
    <w:rsid w:val="00C41BEB"/>
    <w:rsid w:val="00C427A2"/>
    <w:rsid w:val="00C42D3D"/>
    <w:rsid w:val="00C42E64"/>
    <w:rsid w:val="00C42FF6"/>
    <w:rsid w:val="00C43C61"/>
    <w:rsid w:val="00C43F21"/>
    <w:rsid w:val="00C441C2"/>
    <w:rsid w:val="00C4421D"/>
    <w:rsid w:val="00C46397"/>
    <w:rsid w:val="00C47802"/>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B05"/>
    <w:rsid w:val="00C70E36"/>
    <w:rsid w:val="00C71279"/>
    <w:rsid w:val="00C71351"/>
    <w:rsid w:val="00C71A08"/>
    <w:rsid w:val="00C71B52"/>
    <w:rsid w:val="00C723C0"/>
    <w:rsid w:val="00C72625"/>
    <w:rsid w:val="00C7271D"/>
    <w:rsid w:val="00C72B6C"/>
    <w:rsid w:val="00C7375A"/>
    <w:rsid w:val="00C73FAB"/>
    <w:rsid w:val="00C74CF6"/>
    <w:rsid w:val="00C75954"/>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6C46"/>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4ED7"/>
    <w:rsid w:val="00CD55B1"/>
    <w:rsid w:val="00CD5680"/>
    <w:rsid w:val="00CD57E1"/>
    <w:rsid w:val="00CD59A3"/>
    <w:rsid w:val="00CD648D"/>
    <w:rsid w:val="00CD6B80"/>
    <w:rsid w:val="00CD7616"/>
    <w:rsid w:val="00CD775A"/>
    <w:rsid w:val="00CE01B5"/>
    <w:rsid w:val="00CE021F"/>
    <w:rsid w:val="00CE0B98"/>
    <w:rsid w:val="00CE10F8"/>
    <w:rsid w:val="00CE1CD1"/>
    <w:rsid w:val="00CE2312"/>
    <w:rsid w:val="00CE2620"/>
    <w:rsid w:val="00CE336E"/>
    <w:rsid w:val="00CE374F"/>
    <w:rsid w:val="00CE384F"/>
    <w:rsid w:val="00CE3CDF"/>
    <w:rsid w:val="00CE3D08"/>
    <w:rsid w:val="00CE3E07"/>
    <w:rsid w:val="00CE3FEE"/>
    <w:rsid w:val="00CE455E"/>
    <w:rsid w:val="00CE47B3"/>
    <w:rsid w:val="00CE4F0D"/>
    <w:rsid w:val="00CE5AC2"/>
    <w:rsid w:val="00CE6640"/>
    <w:rsid w:val="00CE6768"/>
    <w:rsid w:val="00CE68A3"/>
    <w:rsid w:val="00CE6E8C"/>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517"/>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47C07"/>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4D68"/>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54A"/>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521D"/>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4A1"/>
    <w:rsid w:val="00E37673"/>
    <w:rsid w:val="00E408E9"/>
    <w:rsid w:val="00E413F2"/>
    <w:rsid w:val="00E418F1"/>
    <w:rsid w:val="00E419DB"/>
    <w:rsid w:val="00E41C29"/>
    <w:rsid w:val="00E41D45"/>
    <w:rsid w:val="00E4238A"/>
    <w:rsid w:val="00E42C17"/>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57D2"/>
    <w:rsid w:val="00E5696B"/>
    <w:rsid w:val="00E60221"/>
    <w:rsid w:val="00E6098E"/>
    <w:rsid w:val="00E60A5A"/>
    <w:rsid w:val="00E61389"/>
    <w:rsid w:val="00E61780"/>
    <w:rsid w:val="00E62796"/>
    <w:rsid w:val="00E6301A"/>
    <w:rsid w:val="00E64577"/>
    <w:rsid w:val="00E65663"/>
    <w:rsid w:val="00E661DB"/>
    <w:rsid w:val="00E66781"/>
    <w:rsid w:val="00E66C88"/>
    <w:rsid w:val="00E67D73"/>
    <w:rsid w:val="00E67D7A"/>
    <w:rsid w:val="00E70710"/>
    <w:rsid w:val="00E71086"/>
    <w:rsid w:val="00E71B32"/>
    <w:rsid w:val="00E7391F"/>
    <w:rsid w:val="00E745BB"/>
    <w:rsid w:val="00E76596"/>
    <w:rsid w:val="00E77E32"/>
    <w:rsid w:val="00E80370"/>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E0B"/>
    <w:rsid w:val="00E94FD2"/>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4D8A"/>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0E9D"/>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6FE5"/>
    <w:rsid w:val="00F37037"/>
    <w:rsid w:val="00F3771F"/>
    <w:rsid w:val="00F37869"/>
    <w:rsid w:val="00F37A08"/>
    <w:rsid w:val="00F37BB9"/>
    <w:rsid w:val="00F40B80"/>
    <w:rsid w:val="00F41721"/>
    <w:rsid w:val="00F41B43"/>
    <w:rsid w:val="00F41B49"/>
    <w:rsid w:val="00F423F0"/>
    <w:rsid w:val="00F42726"/>
    <w:rsid w:val="00F42C78"/>
    <w:rsid w:val="00F43C32"/>
    <w:rsid w:val="00F44601"/>
    <w:rsid w:val="00F453B6"/>
    <w:rsid w:val="00F45496"/>
    <w:rsid w:val="00F45854"/>
    <w:rsid w:val="00F45897"/>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51C"/>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2F5"/>
    <w:rsid w:val="00FB6C8D"/>
    <w:rsid w:val="00FB6D76"/>
    <w:rsid w:val="00FB6F8F"/>
    <w:rsid w:val="00FB7450"/>
    <w:rsid w:val="00FB7968"/>
    <w:rsid w:val="00FC0562"/>
    <w:rsid w:val="00FC0EFA"/>
    <w:rsid w:val="00FC1079"/>
    <w:rsid w:val="00FC1327"/>
    <w:rsid w:val="00FC1533"/>
    <w:rsid w:val="00FC1D4B"/>
    <w:rsid w:val="00FC1F81"/>
    <w:rsid w:val="00FC201C"/>
    <w:rsid w:val="00FC2799"/>
    <w:rsid w:val="00FC2928"/>
    <w:rsid w:val="00FC2F98"/>
    <w:rsid w:val="00FC314B"/>
    <w:rsid w:val="00FC345D"/>
    <w:rsid w:val="00FC39CA"/>
    <w:rsid w:val="00FC3AE8"/>
    <w:rsid w:val="00FC4A41"/>
    <w:rsid w:val="00FC5608"/>
    <w:rsid w:val="00FC5E6F"/>
    <w:rsid w:val="00FC6408"/>
    <w:rsid w:val="00FC7615"/>
    <w:rsid w:val="00FC7F4D"/>
    <w:rsid w:val="00FD0356"/>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69A3"/>
    <w:rsid w:val="00FF7533"/>
    <w:rsid w:val="01483505"/>
    <w:rsid w:val="017B5688"/>
    <w:rsid w:val="01D37272"/>
    <w:rsid w:val="01F0299B"/>
    <w:rsid w:val="0204742C"/>
    <w:rsid w:val="021533E7"/>
    <w:rsid w:val="026E4F91"/>
    <w:rsid w:val="02785724"/>
    <w:rsid w:val="02CB619B"/>
    <w:rsid w:val="02EB05EB"/>
    <w:rsid w:val="035241C7"/>
    <w:rsid w:val="03764359"/>
    <w:rsid w:val="03B10EED"/>
    <w:rsid w:val="041D095D"/>
    <w:rsid w:val="048C667C"/>
    <w:rsid w:val="05C87DB9"/>
    <w:rsid w:val="05CC3D4E"/>
    <w:rsid w:val="07547E4B"/>
    <w:rsid w:val="0764271A"/>
    <w:rsid w:val="07750484"/>
    <w:rsid w:val="077A4B56"/>
    <w:rsid w:val="077E558A"/>
    <w:rsid w:val="07D16D6C"/>
    <w:rsid w:val="081E0B1B"/>
    <w:rsid w:val="083E4EF4"/>
    <w:rsid w:val="092C7268"/>
    <w:rsid w:val="09441E78"/>
    <w:rsid w:val="095E5869"/>
    <w:rsid w:val="0961739E"/>
    <w:rsid w:val="098E6083"/>
    <w:rsid w:val="09C94AB7"/>
    <w:rsid w:val="09F91840"/>
    <w:rsid w:val="0A6A0048"/>
    <w:rsid w:val="0A856C30"/>
    <w:rsid w:val="0A93759F"/>
    <w:rsid w:val="0ACC3F78"/>
    <w:rsid w:val="0AF911B5"/>
    <w:rsid w:val="0B205B2B"/>
    <w:rsid w:val="0B563C1E"/>
    <w:rsid w:val="0B782559"/>
    <w:rsid w:val="0BD240F7"/>
    <w:rsid w:val="0C0802FC"/>
    <w:rsid w:val="0C1479F8"/>
    <w:rsid w:val="0C171B3A"/>
    <w:rsid w:val="0C2A0FAA"/>
    <w:rsid w:val="0C684A5B"/>
    <w:rsid w:val="0CBB39C7"/>
    <w:rsid w:val="0CEF54B2"/>
    <w:rsid w:val="0D442DD2"/>
    <w:rsid w:val="0D566BC9"/>
    <w:rsid w:val="0D74453E"/>
    <w:rsid w:val="0D917CA3"/>
    <w:rsid w:val="0E12430A"/>
    <w:rsid w:val="0E180322"/>
    <w:rsid w:val="0E236E8B"/>
    <w:rsid w:val="0E4F5ED2"/>
    <w:rsid w:val="0E8C4995"/>
    <w:rsid w:val="0E8D07A9"/>
    <w:rsid w:val="0EF27BFB"/>
    <w:rsid w:val="0F433F23"/>
    <w:rsid w:val="0F784FB5"/>
    <w:rsid w:val="0FB87AA7"/>
    <w:rsid w:val="0FBC50EF"/>
    <w:rsid w:val="0FD83CA6"/>
    <w:rsid w:val="0FDC5180"/>
    <w:rsid w:val="10A435FE"/>
    <w:rsid w:val="10DE25DF"/>
    <w:rsid w:val="115F3FD7"/>
    <w:rsid w:val="11A259DD"/>
    <w:rsid w:val="11F9269A"/>
    <w:rsid w:val="120474A0"/>
    <w:rsid w:val="12062D4C"/>
    <w:rsid w:val="12821EFF"/>
    <w:rsid w:val="12DE7825"/>
    <w:rsid w:val="13102ABE"/>
    <w:rsid w:val="13F07810"/>
    <w:rsid w:val="14264FE0"/>
    <w:rsid w:val="143D0CB5"/>
    <w:rsid w:val="14713B1A"/>
    <w:rsid w:val="149E54BE"/>
    <w:rsid w:val="15347BD0"/>
    <w:rsid w:val="157F719A"/>
    <w:rsid w:val="1594066F"/>
    <w:rsid w:val="15A05265"/>
    <w:rsid w:val="15AD4F58"/>
    <w:rsid w:val="15D60C87"/>
    <w:rsid w:val="15DB44F0"/>
    <w:rsid w:val="16491459"/>
    <w:rsid w:val="167D280D"/>
    <w:rsid w:val="16FD55AB"/>
    <w:rsid w:val="17047766"/>
    <w:rsid w:val="170D6F08"/>
    <w:rsid w:val="178C3CF3"/>
    <w:rsid w:val="17935895"/>
    <w:rsid w:val="17F52C18"/>
    <w:rsid w:val="1824217E"/>
    <w:rsid w:val="182F4AD5"/>
    <w:rsid w:val="183B5783"/>
    <w:rsid w:val="184530EF"/>
    <w:rsid w:val="18FF4051"/>
    <w:rsid w:val="19227A4B"/>
    <w:rsid w:val="19323078"/>
    <w:rsid w:val="19F36C6A"/>
    <w:rsid w:val="1A2024D1"/>
    <w:rsid w:val="1A23025C"/>
    <w:rsid w:val="1A3D12D5"/>
    <w:rsid w:val="1A4C17DB"/>
    <w:rsid w:val="1A4E7B88"/>
    <w:rsid w:val="1ABA46D4"/>
    <w:rsid w:val="1ACE4623"/>
    <w:rsid w:val="1AD94C7F"/>
    <w:rsid w:val="1ADD03C2"/>
    <w:rsid w:val="1B09565B"/>
    <w:rsid w:val="1B2E6E70"/>
    <w:rsid w:val="1B3E182A"/>
    <w:rsid w:val="1B4B5195"/>
    <w:rsid w:val="1BEA2D97"/>
    <w:rsid w:val="1C174C6F"/>
    <w:rsid w:val="1C632B49"/>
    <w:rsid w:val="1C7C020D"/>
    <w:rsid w:val="1C8F78BA"/>
    <w:rsid w:val="1C9B0D84"/>
    <w:rsid w:val="1CDD3F3B"/>
    <w:rsid w:val="1CF55E97"/>
    <w:rsid w:val="1D4D6869"/>
    <w:rsid w:val="1D7A639C"/>
    <w:rsid w:val="1D8E2B76"/>
    <w:rsid w:val="1DCE277C"/>
    <w:rsid w:val="1DE073DE"/>
    <w:rsid w:val="1DE6019C"/>
    <w:rsid w:val="1DFFFF98"/>
    <w:rsid w:val="1E0F3BB0"/>
    <w:rsid w:val="1F191089"/>
    <w:rsid w:val="1F7A08D5"/>
    <w:rsid w:val="1F8F4381"/>
    <w:rsid w:val="1FA616CA"/>
    <w:rsid w:val="1FAA740D"/>
    <w:rsid w:val="1FBC4A4A"/>
    <w:rsid w:val="1FDE5400"/>
    <w:rsid w:val="20707345"/>
    <w:rsid w:val="20CC335C"/>
    <w:rsid w:val="21760101"/>
    <w:rsid w:val="224E4BB7"/>
    <w:rsid w:val="22B25284"/>
    <w:rsid w:val="22C07D9F"/>
    <w:rsid w:val="23056CBA"/>
    <w:rsid w:val="234C1E42"/>
    <w:rsid w:val="237A4936"/>
    <w:rsid w:val="237A6E78"/>
    <w:rsid w:val="23970A7A"/>
    <w:rsid w:val="23B4085A"/>
    <w:rsid w:val="23C6059E"/>
    <w:rsid w:val="23C95079"/>
    <w:rsid w:val="23CB5BA3"/>
    <w:rsid w:val="24031A53"/>
    <w:rsid w:val="24307C26"/>
    <w:rsid w:val="248E5D4C"/>
    <w:rsid w:val="24B61DA0"/>
    <w:rsid w:val="24C47897"/>
    <w:rsid w:val="24E337F8"/>
    <w:rsid w:val="25223420"/>
    <w:rsid w:val="258D3B57"/>
    <w:rsid w:val="262336EE"/>
    <w:rsid w:val="266F0655"/>
    <w:rsid w:val="268C786C"/>
    <w:rsid w:val="269E4C0C"/>
    <w:rsid w:val="26C31621"/>
    <w:rsid w:val="26CA3EF0"/>
    <w:rsid w:val="27024D1A"/>
    <w:rsid w:val="277C10A5"/>
    <w:rsid w:val="277D0F63"/>
    <w:rsid w:val="27AB0393"/>
    <w:rsid w:val="27AD5603"/>
    <w:rsid w:val="27D5779E"/>
    <w:rsid w:val="286345FC"/>
    <w:rsid w:val="28926C90"/>
    <w:rsid w:val="28CF1C92"/>
    <w:rsid w:val="292D0766"/>
    <w:rsid w:val="2959155B"/>
    <w:rsid w:val="2A636B36"/>
    <w:rsid w:val="2AD85037"/>
    <w:rsid w:val="2AD90BA6"/>
    <w:rsid w:val="2AF07C9E"/>
    <w:rsid w:val="2B381D70"/>
    <w:rsid w:val="2B57010A"/>
    <w:rsid w:val="2B717030"/>
    <w:rsid w:val="2BBD2276"/>
    <w:rsid w:val="2BD0253B"/>
    <w:rsid w:val="2BD836A1"/>
    <w:rsid w:val="2C444480"/>
    <w:rsid w:val="2C564DC3"/>
    <w:rsid w:val="2CA945A8"/>
    <w:rsid w:val="2CB371D5"/>
    <w:rsid w:val="2CC66F08"/>
    <w:rsid w:val="2CD5539D"/>
    <w:rsid w:val="2CE85695"/>
    <w:rsid w:val="2CEA52EC"/>
    <w:rsid w:val="2D33E8ED"/>
    <w:rsid w:val="2D6C141D"/>
    <w:rsid w:val="2D76092E"/>
    <w:rsid w:val="2D88240F"/>
    <w:rsid w:val="2E0F5B19"/>
    <w:rsid w:val="2E5F1202"/>
    <w:rsid w:val="2E980D64"/>
    <w:rsid w:val="2EB64B4B"/>
    <w:rsid w:val="2EBC05C2"/>
    <w:rsid w:val="2EDB590A"/>
    <w:rsid w:val="2EF7501B"/>
    <w:rsid w:val="2F0361F1"/>
    <w:rsid w:val="2F0A29E3"/>
    <w:rsid w:val="2F120B2A"/>
    <w:rsid w:val="2F1A1365"/>
    <w:rsid w:val="2F25085E"/>
    <w:rsid w:val="2F917CA1"/>
    <w:rsid w:val="2FD47B8E"/>
    <w:rsid w:val="30224D9D"/>
    <w:rsid w:val="30703D5A"/>
    <w:rsid w:val="30817D6A"/>
    <w:rsid w:val="30B66944"/>
    <w:rsid w:val="3157114E"/>
    <w:rsid w:val="31856400"/>
    <w:rsid w:val="31E16592"/>
    <w:rsid w:val="31F2037F"/>
    <w:rsid w:val="320740BB"/>
    <w:rsid w:val="329B11F6"/>
    <w:rsid w:val="336E087E"/>
    <w:rsid w:val="337F4EEF"/>
    <w:rsid w:val="33A85DA6"/>
    <w:rsid w:val="33C204A7"/>
    <w:rsid w:val="33C3087D"/>
    <w:rsid w:val="34337579"/>
    <w:rsid w:val="343B01DB"/>
    <w:rsid w:val="34F53053"/>
    <w:rsid w:val="350E3B42"/>
    <w:rsid w:val="35527ED3"/>
    <w:rsid w:val="356674DA"/>
    <w:rsid w:val="35961B12"/>
    <w:rsid w:val="359E4EC6"/>
    <w:rsid w:val="35E46651"/>
    <w:rsid w:val="364523AD"/>
    <w:rsid w:val="36700D38"/>
    <w:rsid w:val="3679323D"/>
    <w:rsid w:val="36883480"/>
    <w:rsid w:val="36935099"/>
    <w:rsid w:val="36987B67"/>
    <w:rsid w:val="36C4673D"/>
    <w:rsid w:val="36F64E5F"/>
    <w:rsid w:val="36FA5E1D"/>
    <w:rsid w:val="3757357E"/>
    <w:rsid w:val="37667C65"/>
    <w:rsid w:val="37AB3A63"/>
    <w:rsid w:val="37B10B63"/>
    <w:rsid w:val="37B844E9"/>
    <w:rsid w:val="37C14E9C"/>
    <w:rsid w:val="37D17C49"/>
    <w:rsid w:val="37D537E5"/>
    <w:rsid w:val="38170F5F"/>
    <w:rsid w:val="38950836"/>
    <w:rsid w:val="38D64977"/>
    <w:rsid w:val="390721D7"/>
    <w:rsid w:val="393B510C"/>
    <w:rsid w:val="393F4767"/>
    <w:rsid w:val="39616936"/>
    <w:rsid w:val="396E9881"/>
    <w:rsid w:val="397C0677"/>
    <w:rsid w:val="39A97E97"/>
    <w:rsid w:val="39EA66D4"/>
    <w:rsid w:val="39F2758E"/>
    <w:rsid w:val="3A260C29"/>
    <w:rsid w:val="3A661C94"/>
    <w:rsid w:val="3AAD7FA0"/>
    <w:rsid w:val="3AB962FE"/>
    <w:rsid w:val="3AD52B8D"/>
    <w:rsid w:val="3B57268D"/>
    <w:rsid w:val="3B6176CE"/>
    <w:rsid w:val="3B7364AD"/>
    <w:rsid w:val="3B927B81"/>
    <w:rsid w:val="3BF9504C"/>
    <w:rsid w:val="3C196FEF"/>
    <w:rsid w:val="3CA96CEB"/>
    <w:rsid w:val="3CCB40C7"/>
    <w:rsid w:val="3CDA2B78"/>
    <w:rsid w:val="3CF11603"/>
    <w:rsid w:val="3D36669F"/>
    <w:rsid w:val="3D3FF289"/>
    <w:rsid w:val="3D7507FB"/>
    <w:rsid w:val="3D791D75"/>
    <w:rsid w:val="3DC70D32"/>
    <w:rsid w:val="3DFA4C63"/>
    <w:rsid w:val="3E7054B4"/>
    <w:rsid w:val="3E7B697E"/>
    <w:rsid w:val="3EB5127A"/>
    <w:rsid w:val="3F4563B2"/>
    <w:rsid w:val="3F503E5E"/>
    <w:rsid w:val="3FC16214"/>
    <w:rsid w:val="3FD339BE"/>
    <w:rsid w:val="3FD432D2"/>
    <w:rsid w:val="3FD8958B"/>
    <w:rsid w:val="3FED1209"/>
    <w:rsid w:val="3FFF5362"/>
    <w:rsid w:val="40680088"/>
    <w:rsid w:val="406D5BC1"/>
    <w:rsid w:val="40864ED4"/>
    <w:rsid w:val="408C1B25"/>
    <w:rsid w:val="40B90F2A"/>
    <w:rsid w:val="40F57964"/>
    <w:rsid w:val="41126927"/>
    <w:rsid w:val="41140732"/>
    <w:rsid w:val="41576FF8"/>
    <w:rsid w:val="41597EF3"/>
    <w:rsid w:val="418C6131"/>
    <w:rsid w:val="41D9164E"/>
    <w:rsid w:val="41DD521D"/>
    <w:rsid w:val="41E974C9"/>
    <w:rsid w:val="420F2CA7"/>
    <w:rsid w:val="423B7022"/>
    <w:rsid w:val="42A87124"/>
    <w:rsid w:val="42AD6748"/>
    <w:rsid w:val="4389060E"/>
    <w:rsid w:val="4397166E"/>
    <w:rsid w:val="43C8028A"/>
    <w:rsid w:val="43D51667"/>
    <w:rsid w:val="443B2C25"/>
    <w:rsid w:val="445F3A72"/>
    <w:rsid w:val="448421F1"/>
    <w:rsid w:val="44D20525"/>
    <w:rsid w:val="451F3158"/>
    <w:rsid w:val="452627E2"/>
    <w:rsid w:val="454669E0"/>
    <w:rsid w:val="45CF6DDE"/>
    <w:rsid w:val="45D37D9B"/>
    <w:rsid w:val="46382886"/>
    <w:rsid w:val="468C2B19"/>
    <w:rsid w:val="46A55988"/>
    <w:rsid w:val="47841A42"/>
    <w:rsid w:val="47B5612D"/>
    <w:rsid w:val="47E61AD4"/>
    <w:rsid w:val="47FC5A7C"/>
    <w:rsid w:val="48194FD5"/>
    <w:rsid w:val="484514CB"/>
    <w:rsid w:val="487B4BF3"/>
    <w:rsid w:val="48C86EE1"/>
    <w:rsid w:val="49124A38"/>
    <w:rsid w:val="491C0184"/>
    <w:rsid w:val="49425710"/>
    <w:rsid w:val="49B977E0"/>
    <w:rsid w:val="49EF7646"/>
    <w:rsid w:val="49FA6EF8"/>
    <w:rsid w:val="4A01737A"/>
    <w:rsid w:val="4A784961"/>
    <w:rsid w:val="4ACF3A3C"/>
    <w:rsid w:val="4B1700DF"/>
    <w:rsid w:val="4B3D2633"/>
    <w:rsid w:val="4B8B7843"/>
    <w:rsid w:val="4B8E10E1"/>
    <w:rsid w:val="4BCF3BD3"/>
    <w:rsid w:val="4C23678F"/>
    <w:rsid w:val="4C8F3363"/>
    <w:rsid w:val="4CAA1F4A"/>
    <w:rsid w:val="4D5060B2"/>
    <w:rsid w:val="4D64034B"/>
    <w:rsid w:val="4DD21759"/>
    <w:rsid w:val="4DF43DDD"/>
    <w:rsid w:val="4E031912"/>
    <w:rsid w:val="4E504CD3"/>
    <w:rsid w:val="4E555EE6"/>
    <w:rsid w:val="4E834801"/>
    <w:rsid w:val="4EC56BC8"/>
    <w:rsid w:val="4EFE06FE"/>
    <w:rsid w:val="4F0F6A19"/>
    <w:rsid w:val="4FC86D64"/>
    <w:rsid w:val="505C355C"/>
    <w:rsid w:val="505D49AD"/>
    <w:rsid w:val="507408A5"/>
    <w:rsid w:val="507F724A"/>
    <w:rsid w:val="50B10EE2"/>
    <w:rsid w:val="50BF5B73"/>
    <w:rsid w:val="51581F75"/>
    <w:rsid w:val="519C4558"/>
    <w:rsid w:val="51D10A66"/>
    <w:rsid w:val="523A78CD"/>
    <w:rsid w:val="528A390F"/>
    <w:rsid w:val="528C6991"/>
    <w:rsid w:val="52A165D8"/>
    <w:rsid w:val="52AD62F0"/>
    <w:rsid w:val="52C3297B"/>
    <w:rsid w:val="532C190B"/>
    <w:rsid w:val="536270DB"/>
    <w:rsid w:val="53AC47FA"/>
    <w:rsid w:val="53CC6C4A"/>
    <w:rsid w:val="54054633"/>
    <w:rsid w:val="540605E4"/>
    <w:rsid w:val="540E2DBF"/>
    <w:rsid w:val="543842E0"/>
    <w:rsid w:val="54387E3C"/>
    <w:rsid w:val="547F0032"/>
    <w:rsid w:val="54A02A20"/>
    <w:rsid w:val="54BE6593"/>
    <w:rsid w:val="54E07EDB"/>
    <w:rsid w:val="55061CE8"/>
    <w:rsid w:val="556E620B"/>
    <w:rsid w:val="5588551F"/>
    <w:rsid w:val="558F0965"/>
    <w:rsid w:val="55B87486"/>
    <w:rsid w:val="55C87B3E"/>
    <w:rsid w:val="55FF6E63"/>
    <w:rsid w:val="564B4C11"/>
    <w:rsid w:val="56AD2D63"/>
    <w:rsid w:val="56F664B8"/>
    <w:rsid w:val="5773F37C"/>
    <w:rsid w:val="57B93559"/>
    <w:rsid w:val="57E008C4"/>
    <w:rsid w:val="5819335F"/>
    <w:rsid w:val="585B1DE7"/>
    <w:rsid w:val="58B57CAD"/>
    <w:rsid w:val="58CE6FC1"/>
    <w:rsid w:val="58D67D8C"/>
    <w:rsid w:val="58DA7713"/>
    <w:rsid w:val="58E10577"/>
    <w:rsid w:val="58FA7DB6"/>
    <w:rsid w:val="59165EF7"/>
    <w:rsid w:val="592C79A3"/>
    <w:rsid w:val="59552458"/>
    <w:rsid w:val="59561490"/>
    <w:rsid w:val="595A2602"/>
    <w:rsid w:val="59702A12"/>
    <w:rsid w:val="5AED2A9C"/>
    <w:rsid w:val="5AF8400E"/>
    <w:rsid w:val="5B2D8345"/>
    <w:rsid w:val="5BC746C9"/>
    <w:rsid w:val="5C144DDD"/>
    <w:rsid w:val="5C943E03"/>
    <w:rsid w:val="5CC61F72"/>
    <w:rsid w:val="5CF206F7"/>
    <w:rsid w:val="5D172CE4"/>
    <w:rsid w:val="5D424EA6"/>
    <w:rsid w:val="5D6B1282"/>
    <w:rsid w:val="5DAEFF8F"/>
    <w:rsid w:val="5DEF5A0F"/>
    <w:rsid w:val="5E135BA1"/>
    <w:rsid w:val="5EA0340D"/>
    <w:rsid w:val="5ED15115"/>
    <w:rsid w:val="5ED66C3C"/>
    <w:rsid w:val="5EFF4FB3"/>
    <w:rsid w:val="5F251991"/>
    <w:rsid w:val="5F831AE7"/>
    <w:rsid w:val="5FDD643B"/>
    <w:rsid w:val="5FF56055"/>
    <w:rsid w:val="602F1FDF"/>
    <w:rsid w:val="60312BAA"/>
    <w:rsid w:val="60762418"/>
    <w:rsid w:val="608C39E9"/>
    <w:rsid w:val="60B847DE"/>
    <w:rsid w:val="60BA3E42"/>
    <w:rsid w:val="60EC26DA"/>
    <w:rsid w:val="60FB0B6F"/>
    <w:rsid w:val="618257CE"/>
    <w:rsid w:val="61903065"/>
    <w:rsid w:val="61907509"/>
    <w:rsid w:val="6194383B"/>
    <w:rsid w:val="61C13B66"/>
    <w:rsid w:val="61CB5375"/>
    <w:rsid w:val="623348CA"/>
    <w:rsid w:val="638E1826"/>
    <w:rsid w:val="639D7CBB"/>
    <w:rsid w:val="64874BF3"/>
    <w:rsid w:val="6488096B"/>
    <w:rsid w:val="64E060B2"/>
    <w:rsid w:val="651B358E"/>
    <w:rsid w:val="65426D6C"/>
    <w:rsid w:val="654958FD"/>
    <w:rsid w:val="656C203B"/>
    <w:rsid w:val="65A2780B"/>
    <w:rsid w:val="65CA685B"/>
    <w:rsid w:val="65CF34A7"/>
    <w:rsid w:val="65F660EF"/>
    <w:rsid w:val="66012783"/>
    <w:rsid w:val="663E7534"/>
    <w:rsid w:val="666F3B91"/>
    <w:rsid w:val="6673798C"/>
    <w:rsid w:val="672860D6"/>
    <w:rsid w:val="673905B6"/>
    <w:rsid w:val="675B4115"/>
    <w:rsid w:val="67FF3BF3"/>
    <w:rsid w:val="681C3942"/>
    <w:rsid w:val="68460AAC"/>
    <w:rsid w:val="687E00BB"/>
    <w:rsid w:val="68AC1CFE"/>
    <w:rsid w:val="68EC626C"/>
    <w:rsid w:val="68EF720B"/>
    <w:rsid w:val="69843A9F"/>
    <w:rsid w:val="69FC44D2"/>
    <w:rsid w:val="6A25290C"/>
    <w:rsid w:val="6A4164FD"/>
    <w:rsid w:val="6AB37DC4"/>
    <w:rsid w:val="6B4F21E3"/>
    <w:rsid w:val="6B5670CE"/>
    <w:rsid w:val="6B7CD167"/>
    <w:rsid w:val="6BCB7ABB"/>
    <w:rsid w:val="6BCD1DE6"/>
    <w:rsid w:val="6C0D4A39"/>
    <w:rsid w:val="6C44786E"/>
    <w:rsid w:val="6C505023"/>
    <w:rsid w:val="6CDC7AA6"/>
    <w:rsid w:val="6D14299F"/>
    <w:rsid w:val="6D583155"/>
    <w:rsid w:val="6D672A1E"/>
    <w:rsid w:val="6D7E46BA"/>
    <w:rsid w:val="6D94212F"/>
    <w:rsid w:val="6DC237D1"/>
    <w:rsid w:val="6DD16EDF"/>
    <w:rsid w:val="6DF75FF3"/>
    <w:rsid w:val="6DF826BE"/>
    <w:rsid w:val="6E0C7F17"/>
    <w:rsid w:val="6E2C0C51"/>
    <w:rsid w:val="6ECF032E"/>
    <w:rsid w:val="6ED441CD"/>
    <w:rsid w:val="6EFF5CCE"/>
    <w:rsid w:val="6F03131A"/>
    <w:rsid w:val="6F290BBD"/>
    <w:rsid w:val="6F3048A5"/>
    <w:rsid w:val="6F347726"/>
    <w:rsid w:val="6F40725E"/>
    <w:rsid w:val="6F435BBB"/>
    <w:rsid w:val="6F4C2770"/>
    <w:rsid w:val="6F5222A2"/>
    <w:rsid w:val="6F745D74"/>
    <w:rsid w:val="6F7FA950"/>
    <w:rsid w:val="6FA77CE2"/>
    <w:rsid w:val="7064403B"/>
    <w:rsid w:val="70B37914"/>
    <w:rsid w:val="70C20D61"/>
    <w:rsid w:val="70F05815"/>
    <w:rsid w:val="711172CF"/>
    <w:rsid w:val="713C4CE3"/>
    <w:rsid w:val="71687C83"/>
    <w:rsid w:val="71817C89"/>
    <w:rsid w:val="718F50E7"/>
    <w:rsid w:val="71DE68DD"/>
    <w:rsid w:val="71F47640"/>
    <w:rsid w:val="71FD54DD"/>
    <w:rsid w:val="720553A9"/>
    <w:rsid w:val="726400BF"/>
    <w:rsid w:val="726C367A"/>
    <w:rsid w:val="72C15774"/>
    <w:rsid w:val="72C94629"/>
    <w:rsid w:val="739A7F5B"/>
    <w:rsid w:val="73CF2113"/>
    <w:rsid w:val="73F43927"/>
    <w:rsid w:val="7410294D"/>
    <w:rsid w:val="743E2DF5"/>
    <w:rsid w:val="74585D4C"/>
    <w:rsid w:val="745D327B"/>
    <w:rsid w:val="76612DCA"/>
    <w:rsid w:val="76AC29C4"/>
    <w:rsid w:val="76D71644"/>
    <w:rsid w:val="774D532C"/>
    <w:rsid w:val="776C2FB6"/>
    <w:rsid w:val="777BB098"/>
    <w:rsid w:val="77A86F03"/>
    <w:rsid w:val="78680440"/>
    <w:rsid w:val="787E7C64"/>
    <w:rsid w:val="789B0816"/>
    <w:rsid w:val="78D83818"/>
    <w:rsid w:val="78FF7CC3"/>
    <w:rsid w:val="7928326E"/>
    <w:rsid w:val="79316C25"/>
    <w:rsid w:val="7956298E"/>
    <w:rsid w:val="79982284"/>
    <w:rsid w:val="7998662D"/>
    <w:rsid w:val="799A287B"/>
    <w:rsid w:val="79D264B9"/>
    <w:rsid w:val="79D33FDF"/>
    <w:rsid w:val="79EC7716"/>
    <w:rsid w:val="7A287E87"/>
    <w:rsid w:val="7A8C5878"/>
    <w:rsid w:val="7A8D418E"/>
    <w:rsid w:val="7AA5772A"/>
    <w:rsid w:val="7AD93877"/>
    <w:rsid w:val="7B471854"/>
    <w:rsid w:val="7BDF2071"/>
    <w:rsid w:val="7BFF7949"/>
    <w:rsid w:val="7C552333"/>
    <w:rsid w:val="7C8660EF"/>
    <w:rsid w:val="7CA86C55"/>
    <w:rsid w:val="7CDA2ADF"/>
    <w:rsid w:val="7CF019C1"/>
    <w:rsid w:val="7D032E2D"/>
    <w:rsid w:val="7D461CAD"/>
    <w:rsid w:val="7D515947"/>
    <w:rsid w:val="7D9558DE"/>
    <w:rsid w:val="7E28286A"/>
    <w:rsid w:val="7E43279E"/>
    <w:rsid w:val="7E4515FE"/>
    <w:rsid w:val="7E7A19B1"/>
    <w:rsid w:val="7E7F8A19"/>
    <w:rsid w:val="7E9B0AD5"/>
    <w:rsid w:val="7EAD59B2"/>
    <w:rsid w:val="7EF24F07"/>
    <w:rsid w:val="7EFF654B"/>
    <w:rsid w:val="7F59D682"/>
    <w:rsid w:val="7F625BE9"/>
    <w:rsid w:val="7F7B8061"/>
    <w:rsid w:val="7F91273C"/>
    <w:rsid w:val="7F9A636B"/>
    <w:rsid w:val="7F9FCCD3"/>
    <w:rsid w:val="7FAB3A34"/>
    <w:rsid w:val="7FBF500E"/>
    <w:rsid w:val="7FCE327F"/>
    <w:rsid w:val="7FDBCD13"/>
    <w:rsid w:val="7FE7BB11"/>
    <w:rsid w:val="7FF8E227"/>
    <w:rsid w:val="7FF9B36C"/>
    <w:rsid w:val="9A3FECEC"/>
    <w:rsid w:val="AECFC6B8"/>
    <w:rsid w:val="B7F9A689"/>
    <w:rsid w:val="BA7B23C6"/>
    <w:rsid w:val="BF7FB55F"/>
    <w:rsid w:val="CBFD1387"/>
    <w:rsid w:val="CFFEF1E3"/>
    <w:rsid w:val="CFFEFE8B"/>
    <w:rsid w:val="D4A7DC93"/>
    <w:rsid w:val="DBDAA1DA"/>
    <w:rsid w:val="DD6B1EB6"/>
    <w:rsid w:val="DDDE90BB"/>
    <w:rsid w:val="DFBCF30D"/>
    <w:rsid w:val="E1FDE2A0"/>
    <w:rsid w:val="E7B3A9A0"/>
    <w:rsid w:val="E7DBCA65"/>
    <w:rsid w:val="E9EBAB6B"/>
    <w:rsid w:val="EBEB5273"/>
    <w:rsid w:val="ED395EE6"/>
    <w:rsid w:val="EDFF13F4"/>
    <w:rsid w:val="EFA357EC"/>
    <w:rsid w:val="EFF57395"/>
    <w:rsid w:val="F3AA277B"/>
    <w:rsid w:val="F3FF4515"/>
    <w:rsid w:val="F7A657C3"/>
    <w:rsid w:val="F7B76281"/>
    <w:rsid w:val="F7BFEE8D"/>
    <w:rsid w:val="F7EF1B5C"/>
    <w:rsid w:val="F7F191C8"/>
    <w:rsid w:val="F7F70EE1"/>
    <w:rsid w:val="F8FFDB21"/>
    <w:rsid w:val="F9BE9877"/>
    <w:rsid w:val="FD6F7ED0"/>
    <w:rsid w:val="FD76402B"/>
    <w:rsid w:val="FE8B47F3"/>
    <w:rsid w:val="FEB92FA1"/>
    <w:rsid w:val="FEBFE6EB"/>
    <w:rsid w:val="FEEF685E"/>
    <w:rsid w:val="FFF587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99"/>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字符"/>
    <w:basedOn w:val="52"/>
    <w:link w:val="3"/>
    <w:qFormat/>
    <w:uiPriority w:val="0"/>
    <w:rPr>
      <w:b/>
      <w:bCs/>
      <w:kern w:val="2"/>
      <w:sz w:val="24"/>
      <w:szCs w:val="32"/>
    </w:rPr>
  </w:style>
  <w:style w:type="character" w:customStyle="1" w:styleId="60">
    <w:name w:val="标题 1 字符"/>
    <w:basedOn w:val="52"/>
    <w:link w:val="2"/>
    <w:qFormat/>
    <w:uiPriority w:val="0"/>
    <w:rPr>
      <w:rFonts w:eastAsiaTheme="minorEastAsia"/>
      <w:b/>
      <w:kern w:val="44"/>
      <w:sz w:val="44"/>
      <w:szCs w:val="28"/>
    </w:rPr>
  </w:style>
  <w:style w:type="character" w:customStyle="1" w:styleId="61">
    <w:name w:val="标题 2 字符"/>
    <w:basedOn w:val="52"/>
    <w:link w:val="4"/>
    <w:qFormat/>
    <w:uiPriority w:val="0"/>
    <w:rPr>
      <w:rFonts w:ascii="Arial" w:hAnsi="Arial" w:eastAsiaTheme="minorEastAsia"/>
      <w:b/>
      <w:bCs/>
      <w:kern w:val="2"/>
      <w:sz w:val="28"/>
      <w:szCs w:val="32"/>
    </w:rPr>
  </w:style>
  <w:style w:type="character" w:customStyle="1" w:styleId="62">
    <w:name w:val="标题 4 字符"/>
    <w:basedOn w:val="52"/>
    <w:link w:val="5"/>
    <w:qFormat/>
    <w:uiPriority w:val="99"/>
    <w:rPr>
      <w:rFonts w:ascii="Arial" w:hAnsi="Arial" w:eastAsia="黑体"/>
      <w:b/>
      <w:bCs/>
      <w:kern w:val="2"/>
      <w:sz w:val="28"/>
      <w:szCs w:val="28"/>
    </w:rPr>
  </w:style>
  <w:style w:type="character" w:customStyle="1" w:styleId="63">
    <w:name w:val="正文缩进 字符"/>
    <w:link w:val="7"/>
    <w:qFormat/>
    <w:uiPriority w:val="0"/>
    <w:rPr>
      <w:rFonts w:eastAsia="宋体"/>
      <w:kern w:val="2"/>
      <w:sz w:val="21"/>
      <w:szCs w:val="24"/>
      <w:lang w:val="en-US" w:eastAsia="zh-CN" w:bidi="ar-SA"/>
    </w:rPr>
  </w:style>
  <w:style w:type="character" w:customStyle="1" w:styleId="64">
    <w:name w:val="标题 5 字符"/>
    <w:basedOn w:val="52"/>
    <w:link w:val="6"/>
    <w:qFormat/>
    <w:uiPriority w:val="0"/>
    <w:rPr>
      <w:b/>
      <w:kern w:val="2"/>
      <w:sz w:val="28"/>
      <w:szCs w:val="24"/>
    </w:rPr>
  </w:style>
  <w:style w:type="character" w:customStyle="1" w:styleId="65">
    <w:name w:val="标题 6 字符"/>
    <w:basedOn w:val="52"/>
    <w:link w:val="8"/>
    <w:qFormat/>
    <w:uiPriority w:val="9"/>
    <w:rPr>
      <w:rFonts w:ascii="Arial" w:hAnsi="Arial" w:eastAsia="黑体"/>
      <w:b/>
      <w:kern w:val="2"/>
      <w:sz w:val="24"/>
      <w:szCs w:val="24"/>
    </w:rPr>
  </w:style>
  <w:style w:type="character" w:customStyle="1" w:styleId="66">
    <w:name w:val="标题 7 字符"/>
    <w:basedOn w:val="52"/>
    <w:link w:val="9"/>
    <w:qFormat/>
    <w:uiPriority w:val="9"/>
    <w:rPr>
      <w:b/>
      <w:kern w:val="2"/>
      <w:sz w:val="24"/>
      <w:szCs w:val="24"/>
    </w:rPr>
  </w:style>
  <w:style w:type="character" w:customStyle="1" w:styleId="67">
    <w:name w:val="标题 8 字符"/>
    <w:basedOn w:val="52"/>
    <w:link w:val="10"/>
    <w:qFormat/>
    <w:uiPriority w:val="9"/>
    <w:rPr>
      <w:rFonts w:ascii="Arial" w:hAnsi="Arial" w:eastAsia="黑体"/>
      <w:kern w:val="2"/>
      <w:sz w:val="24"/>
      <w:szCs w:val="24"/>
    </w:rPr>
  </w:style>
  <w:style w:type="character" w:customStyle="1" w:styleId="68">
    <w:name w:val="标题 9 字符"/>
    <w:basedOn w:val="52"/>
    <w:link w:val="11"/>
    <w:qFormat/>
    <w:uiPriority w:val="0"/>
    <w:rPr>
      <w:rFonts w:ascii="Arial" w:hAnsi="Arial" w:eastAsia="黑体"/>
      <w:kern w:val="2"/>
      <w:sz w:val="21"/>
      <w:szCs w:val="24"/>
    </w:rPr>
  </w:style>
  <w:style w:type="character" w:customStyle="1" w:styleId="69">
    <w:name w:val="批注文字 字符1"/>
    <w:link w:val="18"/>
    <w:qFormat/>
    <w:uiPriority w:val="99"/>
    <w:rPr>
      <w:kern w:val="2"/>
      <w:sz w:val="21"/>
      <w:szCs w:val="24"/>
    </w:rPr>
  </w:style>
  <w:style w:type="character" w:customStyle="1" w:styleId="70">
    <w:name w:val="批注主题 字符"/>
    <w:basedOn w:val="69"/>
    <w:link w:val="47"/>
    <w:qFormat/>
    <w:uiPriority w:val="0"/>
    <w:rPr>
      <w:b/>
      <w:bCs/>
      <w:kern w:val="2"/>
      <w:sz w:val="21"/>
      <w:szCs w:val="24"/>
    </w:rPr>
  </w:style>
  <w:style w:type="character" w:customStyle="1" w:styleId="71">
    <w:name w:val="正文文本 字符1"/>
    <w:basedOn w:val="52"/>
    <w:link w:val="20"/>
    <w:qFormat/>
    <w:uiPriority w:val="0"/>
    <w:rPr>
      <w:kern w:val="2"/>
      <w:sz w:val="21"/>
      <w:szCs w:val="24"/>
    </w:rPr>
  </w:style>
  <w:style w:type="character" w:customStyle="1" w:styleId="72">
    <w:name w:val="正文文本首行缩进 字符"/>
    <w:link w:val="48"/>
    <w:qFormat/>
    <w:uiPriority w:val="0"/>
    <w:rPr>
      <w:rFonts w:eastAsia="宋体"/>
      <w:kern w:val="2"/>
      <w:sz w:val="21"/>
      <w:szCs w:val="24"/>
      <w:lang w:val="en-US" w:eastAsia="zh-CN" w:bidi="ar-SA"/>
    </w:rPr>
  </w:style>
  <w:style w:type="character" w:customStyle="1" w:styleId="73">
    <w:name w:val="文档结构图 字符"/>
    <w:basedOn w:val="52"/>
    <w:link w:val="17"/>
    <w:qFormat/>
    <w:uiPriority w:val="0"/>
    <w:rPr>
      <w:kern w:val="2"/>
      <w:sz w:val="21"/>
      <w:szCs w:val="24"/>
      <w:shd w:val="clear" w:color="auto" w:fill="000080"/>
    </w:rPr>
  </w:style>
  <w:style w:type="character" w:customStyle="1" w:styleId="74">
    <w:name w:val="正文文本缩进 字符1"/>
    <w:basedOn w:val="52"/>
    <w:link w:val="21"/>
    <w:qFormat/>
    <w:uiPriority w:val="0"/>
    <w:rPr>
      <w:kern w:val="2"/>
      <w:sz w:val="21"/>
      <w:szCs w:val="24"/>
    </w:rPr>
  </w:style>
  <w:style w:type="character" w:customStyle="1" w:styleId="75">
    <w:name w:val="纯文本 字符"/>
    <w:link w:val="26"/>
    <w:qFormat/>
    <w:uiPriority w:val="0"/>
    <w:rPr>
      <w:rFonts w:ascii="宋体" w:hAnsi="Courier New" w:eastAsia="宋体"/>
      <w:kern w:val="2"/>
      <w:sz w:val="21"/>
      <w:lang w:val="en-US" w:eastAsia="zh-CN" w:bidi="ar-SA"/>
    </w:rPr>
  </w:style>
  <w:style w:type="character" w:customStyle="1" w:styleId="76">
    <w:name w:val="正文文本缩进 2 字符"/>
    <w:link w:val="29"/>
    <w:qFormat/>
    <w:uiPriority w:val="0"/>
    <w:rPr>
      <w:kern w:val="2"/>
      <w:sz w:val="21"/>
      <w:szCs w:val="24"/>
    </w:rPr>
  </w:style>
  <w:style w:type="character" w:customStyle="1" w:styleId="77">
    <w:name w:val="批注框文本 字符"/>
    <w:basedOn w:val="52"/>
    <w:link w:val="30"/>
    <w:qFormat/>
    <w:uiPriority w:val="99"/>
    <w:rPr>
      <w:kern w:val="2"/>
      <w:sz w:val="18"/>
      <w:szCs w:val="18"/>
    </w:rPr>
  </w:style>
  <w:style w:type="character" w:customStyle="1" w:styleId="78">
    <w:name w:val="页脚 字符"/>
    <w:basedOn w:val="52"/>
    <w:link w:val="31"/>
    <w:qFormat/>
    <w:uiPriority w:val="99"/>
    <w:rPr>
      <w:kern w:val="2"/>
      <w:sz w:val="18"/>
      <w:szCs w:val="18"/>
    </w:rPr>
  </w:style>
  <w:style w:type="character" w:customStyle="1" w:styleId="79">
    <w:name w:val="页眉 字符"/>
    <w:link w:val="32"/>
    <w:qFormat/>
    <w:uiPriority w:val="99"/>
    <w:rPr>
      <w:kern w:val="2"/>
      <w:sz w:val="18"/>
      <w:szCs w:val="18"/>
    </w:rPr>
  </w:style>
  <w:style w:type="character" w:customStyle="1" w:styleId="80">
    <w:name w:val="HTML 预设格式 字符"/>
    <w:link w:val="44"/>
    <w:qFormat/>
    <w:uiPriority w:val="0"/>
    <w:rPr>
      <w:rFonts w:ascii="宋体" w:hAnsi="宋体" w:cs="宋体"/>
      <w:sz w:val="24"/>
      <w:szCs w:val="24"/>
    </w:rPr>
  </w:style>
  <w:style w:type="character" w:customStyle="1" w:styleId="81">
    <w:name w:val="标题 字符"/>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spacing w:after="160" w:line="278" w:lineRule="auto"/>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spacing w:after="160" w:line="278" w:lineRule="auto"/>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after="160"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after="160"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字符"/>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文本首行缩进 2 字符"/>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字符"/>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字符"/>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字符"/>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字符"/>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pPr>
      <w:spacing w:after="160" w:line="278" w:lineRule="auto"/>
    </w:pPr>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spacing w:after="160" w:line="278" w:lineRule="auto"/>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spacing w:after="160" w:line="278" w:lineRule="auto"/>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spacing w:after="160" w:line="278" w:lineRule="auto"/>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spacing w:after="160" w:line="278" w:lineRule="auto"/>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after="160"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pPr>
      <w:spacing w:after="160" w:line="278" w:lineRule="auto"/>
    </w:pPr>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spacing w:after="160" w:line="278" w:lineRule="auto"/>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after="160"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after="160"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表段落 字符1"/>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字符"/>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字符"/>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pPr>
      <w:spacing w:after="160" w:line="278" w:lineRule="auto"/>
    </w:pPr>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160"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160" w:afterLines="20" w:line="360" w:lineRule="auto"/>
      <w:ind w:firstLine="512" w:firstLineChars="200"/>
    </w:pPr>
    <w:rPr>
      <w:rFonts w:ascii="宋体" w:hAnsi="宋体" w:eastAsia="宋体" w:cs="宋体"/>
      <w:snapToGrid w:val="0"/>
      <w:spacing w:val="8"/>
      <w:kern w:val="2"/>
      <w:sz w:val="24"/>
      <w:szCs w:val="24"/>
      <w:lang w:val="en-US" w:eastAsia="zh-CN" w:bidi="ar-SA"/>
    </w:rPr>
  </w:style>
  <w:style w:type="paragraph" w:customStyle="1" w:styleId="509">
    <w:name w:val="彩色列表 - 强调文字颜色 111"/>
    <w:basedOn w:val="1"/>
    <w:qFormat/>
    <w:uiPriority w:val="0"/>
    <w:pPr>
      <w:ind w:firstLine="420" w:firstLineChars="200"/>
    </w:pPr>
  </w:style>
  <w:style w:type="character" w:customStyle="1" w:styleId="510">
    <w:name w:val="f12_0000_1"/>
    <w:qFormat/>
    <w:uiPriority w:val="0"/>
  </w:style>
  <w:style w:type="paragraph" w:customStyle="1" w:styleId="511">
    <w:name w:val="列表段落2"/>
    <w:basedOn w:val="1"/>
    <w:qFormat/>
    <w:uiPriority w:val="99"/>
    <w:pPr>
      <w:ind w:left="480" w:leftChars="200"/>
    </w:pPr>
  </w:style>
  <w:style w:type="paragraph" w:customStyle="1" w:styleId="512">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paragraph" w:customStyle="1" w:styleId="513">
    <w:name w:val="修订3"/>
    <w:hidden/>
    <w:unhideWhenUsed/>
    <w:qFormat/>
    <w:uiPriority w:val="99"/>
    <w:rPr>
      <w:rFonts w:ascii="Times New Roman" w:hAnsi="Times New Roman" w:eastAsia="宋体" w:cs="Times New Roman"/>
      <w:kern w:val="2"/>
      <w:sz w:val="21"/>
      <w:szCs w:val="24"/>
      <w:lang w:val="en-US" w:eastAsia="zh-CN" w:bidi="ar-SA"/>
    </w:rPr>
  </w:style>
  <w:style w:type="character" w:customStyle="1" w:styleId="514">
    <w:name w:val="cf01"/>
    <w:basedOn w:val="52"/>
    <w:qFormat/>
    <w:uiPriority w:val="0"/>
    <w:rPr>
      <w:rFonts w:hint="eastAsia" w:ascii="Microsoft YaHei UI" w:hAnsi="Microsoft YaHei UI" w:eastAsia="Microsoft YaHei UI"/>
      <w:sz w:val="18"/>
      <w:szCs w:val="18"/>
    </w:rPr>
  </w:style>
  <w:style w:type="character" w:customStyle="1" w:styleId="515">
    <w:name w:val="cf11"/>
    <w:basedOn w:val="52"/>
    <w:qFormat/>
    <w:uiPriority w:val="0"/>
    <w:rPr>
      <w:rFonts w:hint="eastAsia" w:ascii="Microsoft YaHei UI" w:hAnsi="Microsoft YaHei UI" w:eastAsia="Microsoft YaHei UI"/>
      <w:sz w:val="18"/>
      <w:szCs w:val="18"/>
    </w:rPr>
  </w:style>
  <w:style w:type="paragraph" w:customStyle="1" w:styleId="516">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101</Pages>
  <Words>51970</Words>
  <Characters>54881</Characters>
  <Lines>451</Lines>
  <Paragraphs>127</Paragraphs>
  <TotalTime>10</TotalTime>
  <ScaleCrop>false</ScaleCrop>
  <LinksUpToDate>false</LinksUpToDate>
  <CharactersWithSpaces>58776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2024-05-28T09:23:00Z</dcterms:created>
  <dc:creator>微软用户</dc:creator>
  <cp:lastModifiedBy>liu</cp:lastModifiedBy>
  <cp:lastPrinted>2020-05-28T17:03:00Z</cp:lastPrinted>
  <dcterms:modified xsi:type="dcterms:W3CDTF">2024-06-18T16:39:23Z</dcterms:modified>
  <dc:title>招标编号：UHO2010-G0029</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E7EFCA99BA2A42C1A83BB3F37221F387</vt:lpwstr>
  </property>
</Properties>
</file>