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colors7.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charts/style7.xml" ContentType="application/vnd.ms-office.chartstyle+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theme/themeOverride1.xml" ContentType="application/vnd.openxmlformats-officedocument.themeOverride+xml"/>
  <Override PartName="/word/theme/themeOverride2.xml" ContentType="application/vnd.openxmlformats-officedocument.themeOverride+xml"/>
  <Override PartName="/word/theme/themeOverride3.xml" ContentType="application/vnd.openxmlformats-officedocument.themeOverride+xml"/>
  <Override PartName="/word/theme/themeOverride4.xml" ContentType="application/vnd.openxmlformats-officedocument.themeOverride+xml"/>
  <Override PartName="/word/theme/themeOverride5.xml" ContentType="application/vnd.openxmlformats-officedocument.themeOverride+xml"/>
  <Override PartName="/word/theme/themeOverride6.xml" ContentType="application/vnd.openxmlformats-officedocument.themeOverride+xml"/>
  <Override PartName="/word/theme/themeOverride7.xml" ContentType="application/vnd.openxmlformats-officedocument.themeOverride+xml"/>
  <Override PartName="/word/theme/themeOverride8.xml" ContentType="application/vnd.openxmlformats-officedocument.themeOverrid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仿宋" w:hAnsi="仿宋" w:eastAsia="仿宋" w:cs="宋体"/>
          <w:b/>
          <w:color w:val="000000"/>
          <w:sz w:val="56"/>
          <w:szCs w:val="56"/>
        </w:rPr>
      </w:pPr>
      <w:bookmarkStart w:id="0" w:name="_Toc24668511"/>
    </w:p>
    <w:p>
      <w:pPr>
        <w:spacing w:line="360" w:lineRule="auto"/>
        <w:jc w:val="center"/>
        <w:rPr>
          <w:rFonts w:hint="eastAsia" w:ascii="仿宋" w:hAnsi="仿宋" w:eastAsia="仿宋" w:cs="宋体"/>
          <w:b/>
          <w:color w:val="000000"/>
          <w:sz w:val="56"/>
          <w:szCs w:val="56"/>
        </w:rPr>
      </w:pPr>
    </w:p>
    <w:p>
      <w:pPr>
        <w:spacing w:line="360" w:lineRule="auto"/>
        <w:jc w:val="center"/>
        <w:rPr>
          <w:rFonts w:hint="eastAsia" w:ascii="仿宋" w:hAnsi="仿宋" w:eastAsia="仿宋" w:cs="宋体"/>
          <w:b/>
          <w:color w:val="000000"/>
          <w:sz w:val="56"/>
          <w:szCs w:val="56"/>
        </w:rPr>
      </w:pPr>
    </w:p>
    <w:p>
      <w:pPr>
        <w:spacing w:line="360" w:lineRule="auto"/>
        <w:jc w:val="center"/>
        <w:rPr>
          <w:rFonts w:hint="eastAsia" w:ascii="仿宋" w:hAnsi="仿宋" w:eastAsia="仿宋" w:cs="宋体"/>
          <w:b/>
          <w:color w:val="000000"/>
          <w:sz w:val="56"/>
          <w:szCs w:val="56"/>
        </w:rPr>
      </w:pPr>
    </w:p>
    <w:p>
      <w:pPr>
        <w:spacing w:line="360" w:lineRule="auto"/>
        <w:ind w:left="0" w:leftChars="0" w:firstLine="0" w:firstLineChars="0"/>
        <w:jc w:val="center"/>
        <w:rPr>
          <w:rFonts w:ascii="仿宋" w:hAnsi="仿宋" w:eastAsia="仿宋" w:cs="宋体"/>
          <w:b/>
          <w:color w:val="000000"/>
          <w:sz w:val="56"/>
          <w:szCs w:val="56"/>
        </w:rPr>
      </w:pPr>
      <w:r>
        <w:rPr>
          <w:rFonts w:hint="eastAsia" w:ascii="仿宋" w:hAnsi="仿宋" w:eastAsia="仿宋" w:cs="宋体"/>
          <w:b/>
          <w:color w:val="000000"/>
          <w:sz w:val="56"/>
          <w:szCs w:val="56"/>
        </w:rPr>
        <w:t>深圳市宜居城市市民满意度</w:t>
      </w:r>
      <w:r>
        <w:rPr>
          <w:rFonts w:hint="eastAsia" w:ascii="仿宋" w:hAnsi="仿宋" w:eastAsia="仿宋" w:cs="宋体"/>
          <w:b/>
          <w:color w:val="000000"/>
          <w:sz w:val="56"/>
          <w:szCs w:val="56"/>
          <w:lang w:eastAsia="zh-CN"/>
        </w:rPr>
        <w:t>调查结果初步分析</w:t>
      </w:r>
    </w:p>
    <w:p>
      <w:pPr>
        <w:spacing w:line="360" w:lineRule="auto"/>
        <w:ind w:left="0" w:leftChars="0" w:firstLine="0" w:firstLineChars="0"/>
        <w:jc w:val="center"/>
        <w:rPr>
          <w:rFonts w:ascii="仿宋" w:hAnsi="仿宋" w:eastAsia="仿宋" w:cs="Times New Roman"/>
          <w:b/>
          <w:color w:val="000000"/>
          <w:sz w:val="56"/>
          <w:szCs w:val="56"/>
        </w:rPr>
      </w:pPr>
      <w:r>
        <w:rPr>
          <w:rFonts w:hint="eastAsia" w:ascii="仿宋" w:hAnsi="仿宋" w:eastAsia="仿宋" w:cs="宋体"/>
          <w:b/>
          <w:color w:val="000000"/>
          <w:sz w:val="56"/>
          <w:szCs w:val="56"/>
        </w:rPr>
        <w:t>（2020年）</w:t>
      </w:r>
    </w:p>
    <w:p>
      <w:pPr>
        <w:rPr>
          <w:rFonts w:hint="eastAsia" w:ascii="仿宋" w:hAnsi="仿宋" w:eastAsia="仿宋" w:cs="Times New Roman"/>
          <w:b/>
          <w:bCs/>
          <w:kern w:val="44"/>
          <w:sz w:val="28"/>
          <w:szCs w:val="44"/>
          <w:lang w:val="en-US" w:eastAsia="zh-CN" w:bidi="ar-SA"/>
        </w:rPr>
      </w:pPr>
    </w:p>
    <w:p>
      <w:pPr>
        <w:rPr>
          <w:rFonts w:hint="eastAsia" w:ascii="仿宋" w:hAnsi="仿宋" w:eastAsia="仿宋" w:cs="Times New Roman"/>
          <w:b/>
          <w:bCs/>
          <w:kern w:val="44"/>
          <w:sz w:val="28"/>
          <w:szCs w:val="44"/>
          <w:lang w:val="en-US" w:eastAsia="zh-CN" w:bidi="ar-SA"/>
        </w:rPr>
      </w:pPr>
    </w:p>
    <w:p>
      <w:pPr>
        <w:rPr>
          <w:rFonts w:hint="eastAsia" w:ascii="仿宋" w:hAnsi="仿宋" w:eastAsia="仿宋" w:cs="Times New Roman"/>
          <w:b/>
          <w:bCs/>
          <w:kern w:val="44"/>
          <w:sz w:val="28"/>
          <w:szCs w:val="44"/>
          <w:lang w:val="en-US" w:eastAsia="zh-CN" w:bidi="ar-SA"/>
        </w:rPr>
      </w:pPr>
    </w:p>
    <w:p>
      <w:pPr>
        <w:rPr>
          <w:rFonts w:hint="eastAsia" w:ascii="仿宋" w:hAnsi="仿宋" w:eastAsia="仿宋" w:cs="Times New Roman"/>
          <w:b/>
          <w:bCs/>
          <w:kern w:val="44"/>
          <w:sz w:val="28"/>
          <w:szCs w:val="44"/>
          <w:lang w:val="en-US" w:eastAsia="zh-CN" w:bidi="ar-SA"/>
        </w:rPr>
      </w:pPr>
    </w:p>
    <w:p>
      <w:pPr>
        <w:rPr>
          <w:rFonts w:hint="eastAsia" w:ascii="仿宋" w:hAnsi="仿宋" w:eastAsia="仿宋" w:cs="Times New Roman"/>
          <w:b/>
          <w:bCs/>
          <w:kern w:val="44"/>
          <w:sz w:val="28"/>
          <w:szCs w:val="44"/>
          <w:lang w:val="en-US" w:eastAsia="zh-CN" w:bidi="ar-SA"/>
        </w:rPr>
      </w:pPr>
    </w:p>
    <w:p>
      <w:pPr>
        <w:rPr>
          <w:rFonts w:hint="eastAsia" w:ascii="仿宋" w:hAnsi="仿宋" w:eastAsia="仿宋" w:cs="Times New Roman"/>
          <w:b/>
          <w:bCs/>
          <w:kern w:val="44"/>
          <w:sz w:val="28"/>
          <w:szCs w:val="44"/>
          <w:lang w:val="en-US" w:eastAsia="zh-CN" w:bidi="ar-SA"/>
        </w:rPr>
      </w:pPr>
    </w:p>
    <w:p>
      <w:pPr>
        <w:rPr>
          <w:rFonts w:hint="eastAsia" w:ascii="仿宋" w:hAnsi="仿宋" w:eastAsia="仿宋" w:cs="Times New Roman"/>
          <w:b/>
          <w:bCs/>
          <w:kern w:val="44"/>
          <w:sz w:val="28"/>
          <w:szCs w:val="44"/>
          <w:lang w:val="en-US" w:eastAsia="zh-CN" w:bidi="ar-SA"/>
        </w:rPr>
      </w:pPr>
    </w:p>
    <w:p>
      <w:pPr>
        <w:rPr>
          <w:rFonts w:hint="eastAsia" w:ascii="仿宋" w:hAnsi="仿宋" w:eastAsia="仿宋" w:cs="Times New Roman"/>
          <w:b/>
          <w:bCs/>
          <w:kern w:val="44"/>
          <w:sz w:val="28"/>
          <w:szCs w:val="44"/>
          <w:lang w:val="en-US" w:eastAsia="zh-CN" w:bidi="ar-SA"/>
        </w:rPr>
      </w:pPr>
    </w:p>
    <w:p>
      <w:pPr>
        <w:rPr>
          <w:rFonts w:hint="eastAsia" w:ascii="仿宋" w:hAnsi="仿宋" w:eastAsia="仿宋" w:cs="Times New Roman"/>
          <w:b/>
          <w:bCs/>
          <w:kern w:val="44"/>
          <w:sz w:val="28"/>
          <w:szCs w:val="44"/>
          <w:lang w:val="en-US" w:eastAsia="zh-CN" w:bidi="ar-SA"/>
        </w:rPr>
      </w:pPr>
    </w:p>
    <w:p>
      <w:pPr>
        <w:rPr>
          <w:rFonts w:hint="eastAsia" w:ascii="仿宋" w:hAnsi="仿宋" w:eastAsia="仿宋" w:cs="Times New Roman"/>
          <w:b/>
          <w:bCs/>
          <w:kern w:val="44"/>
          <w:sz w:val="28"/>
          <w:szCs w:val="44"/>
          <w:lang w:val="en-US" w:eastAsia="zh-CN" w:bidi="ar-SA"/>
        </w:rPr>
      </w:pPr>
    </w:p>
    <w:p>
      <w:pPr>
        <w:jc w:val="center"/>
        <w:rPr>
          <w:rFonts w:hint="default" w:ascii="Times New Roman" w:hAnsi="Times New Roman" w:eastAsia="仿宋" w:cs="Times New Roman"/>
          <w:b/>
          <w:bCs/>
          <w:kern w:val="44"/>
          <w:sz w:val="28"/>
          <w:szCs w:val="44"/>
          <w:lang w:val="en-US" w:eastAsia="zh-CN" w:bidi="ar-SA"/>
        </w:rPr>
      </w:pPr>
      <w:r>
        <w:rPr>
          <w:rFonts w:hint="default" w:ascii="Times New Roman" w:hAnsi="Times New Roman" w:eastAsia="仿宋" w:cs="Times New Roman"/>
          <w:b/>
          <w:bCs/>
          <w:kern w:val="44"/>
          <w:sz w:val="28"/>
          <w:szCs w:val="44"/>
          <w:lang w:val="en-US" w:eastAsia="zh-CN" w:bidi="ar-SA"/>
        </w:rPr>
        <w:t>2020年10月19日</w:t>
      </w:r>
    </w:p>
    <w:p>
      <w:pPr>
        <w:rPr>
          <w:rFonts w:hint="eastAsia" w:ascii="仿宋" w:hAnsi="仿宋" w:eastAsia="仿宋" w:cs="Times New Roman"/>
          <w:b/>
          <w:bCs/>
          <w:kern w:val="44"/>
          <w:sz w:val="28"/>
          <w:szCs w:val="44"/>
          <w:lang w:val="en-US" w:eastAsia="zh-CN" w:bidi="ar-SA"/>
        </w:rPr>
      </w:pPr>
      <w:r>
        <w:rPr>
          <w:rFonts w:hint="eastAsia" w:ascii="仿宋" w:hAnsi="仿宋" w:eastAsia="仿宋" w:cs="Times New Roman"/>
          <w:b/>
          <w:bCs/>
          <w:kern w:val="44"/>
          <w:sz w:val="28"/>
          <w:szCs w:val="44"/>
          <w:lang w:val="en-US" w:eastAsia="zh-CN" w:bidi="ar-SA"/>
        </w:rPr>
        <w:br w:type="page"/>
      </w:r>
    </w:p>
    <w:p>
      <w:pPr>
        <w:keepNext/>
        <w:keepLines/>
        <w:pageBreakBefore w:val="0"/>
        <w:widowControl w:val="0"/>
        <w:kinsoku/>
        <w:wordWrap/>
        <w:overflowPunct/>
        <w:topLinePunct w:val="0"/>
        <w:autoSpaceDE/>
        <w:autoSpaceDN/>
        <w:bidi w:val="0"/>
        <w:adjustRightInd/>
        <w:snapToGrid/>
        <w:spacing w:before="0" w:after="0" w:line="360" w:lineRule="auto"/>
        <w:jc w:val="both"/>
        <w:textAlignment w:val="auto"/>
        <w:outlineLvl w:val="0"/>
        <w:rPr>
          <w:rFonts w:hint="eastAsia" w:ascii="仿宋" w:hAnsi="仿宋" w:eastAsia="仿宋" w:cs="Times New Roman"/>
          <w:b/>
          <w:bCs/>
          <w:kern w:val="44"/>
          <w:sz w:val="28"/>
          <w:szCs w:val="44"/>
          <w:lang w:val="en-US" w:eastAsia="zh-CN" w:bidi="ar-SA"/>
        </w:rPr>
      </w:pPr>
      <w:r>
        <w:rPr>
          <w:rFonts w:hint="eastAsia" w:ascii="仿宋" w:hAnsi="仿宋" w:eastAsia="仿宋" w:cs="Times New Roman"/>
          <w:b/>
          <w:bCs/>
          <w:kern w:val="44"/>
          <w:sz w:val="28"/>
          <w:szCs w:val="44"/>
          <w:lang w:val="en-US" w:eastAsia="zh-CN" w:bidi="ar-SA"/>
        </w:rPr>
        <w:t>一、项目概况</w:t>
      </w:r>
      <w:bookmarkEnd w:id="0"/>
    </w:p>
    <w:p>
      <w:pPr>
        <w:keepNext/>
        <w:keepLines/>
        <w:pageBreakBefore w:val="0"/>
        <w:widowControl w:val="0"/>
        <w:kinsoku/>
        <w:wordWrap/>
        <w:overflowPunct/>
        <w:topLinePunct w:val="0"/>
        <w:autoSpaceDE/>
        <w:autoSpaceDN/>
        <w:bidi w:val="0"/>
        <w:adjustRightInd/>
        <w:snapToGrid/>
        <w:spacing w:before="0" w:after="0" w:line="360" w:lineRule="auto"/>
        <w:ind w:firstLine="1124"/>
        <w:jc w:val="both"/>
        <w:textAlignment w:val="auto"/>
        <w:outlineLvl w:val="1"/>
        <w:rPr>
          <w:rFonts w:hint="eastAsia" w:ascii="仿宋" w:hAnsi="仿宋" w:eastAsia="仿宋" w:cs="Times New Roman"/>
          <w:b/>
          <w:bCs/>
          <w:kern w:val="2"/>
          <w:sz w:val="28"/>
          <w:szCs w:val="32"/>
          <w:lang w:val="en-US" w:eastAsia="zh-CN" w:bidi="ar-SA"/>
        </w:rPr>
      </w:pPr>
      <w:bookmarkStart w:id="1" w:name="_Toc24668512"/>
      <w:r>
        <w:rPr>
          <w:rFonts w:hint="eastAsia" w:ascii="仿宋" w:hAnsi="仿宋" w:eastAsia="仿宋" w:cs="Times New Roman"/>
          <w:b/>
          <w:bCs/>
          <w:kern w:val="2"/>
          <w:sz w:val="28"/>
          <w:szCs w:val="32"/>
          <w:lang w:val="en-US" w:eastAsia="zh-CN" w:bidi="ar-SA"/>
        </w:rPr>
        <w:t>（一）项目背景</w:t>
      </w:r>
      <w:bookmarkEnd w:id="1"/>
    </w:p>
    <w:p>
      <w:pPr>
        <w:bidi w:val="0"/>
      </w:pPr>
      <w:r>
        <w:rPr>
          <w:rFonts w:hint="eastAsia"/>
        </w:rPr>
        <w:t>2</w:t>
      </w:r>
      <w:r>
        <w:t>019</w:t>
      </w:r>
      <w:r>
        <w:rPr>
          <w:rFonts w:hint="eastAsia"/>
        </w:rPr>
        <w:t>年2月1</w:t>
      </w:r>
      <w:r>
        <w:t>8</w:t>
      </w:r>
      <w:r>
        <w:rPr>
          <w:rFonts w:hint="eastAsia"/>
        </w:rPr>
        <w:t>日，</w:t>
      </w:r>
      <w:r>
        <w:t>中共中央、国务院印发《</w:t>
      </w:r>
      <w:r>
        <w:rPr>
          <w:rFonts w:hint="eastAsia"/>
        </w:rPr>
        <w:t>粤港澳</w:t>
      </w:r>
      <w:r>
        <w:t>大湾区</w:t>
      </w:r>
      <w:r>
        <w:rPr>
          <w:rFonts w:hint="eastAsia"/>
          <w:lang w:eastAsia="zh-CN"/>
        </w:rPr>
        <w:t>发展</w:t>
      </w:r>
      <w:bookmarkStart w:id="6" w:name="_GoBack"/>
      <w:bookmarkEnd w:id="6"/>
      <w:r>
        <w:t>规</w:t>
      </w:r>
      <w:r>
        <w:rPr>
          <w:rFonts w:hint="eastAsia"/>
        </w:rPr>
        <w:t>划纲要》</w:t>
      </w:r>
      <w:r>
        <w:t>(下文</w:t>
      </w:r>
      <w:r>
        <w:rPr>
          <w:rFonts w:hint="eastAsia"/>
        </w:rPr>
        <w:t>简称纲</w:t>
      </w:r>
      <w:r>
        <w:t>要)。</w:t>
      </w:r>
      <w:r>
        <w:rPr>
          <w:rFonts w:hint="eastAsia"/>
        </w:rPr>
        <w:t>纲要</w:t>
      </w:r>
      <w:r>
        <w:t>指出,要坚持以人民为中心的</w:t>
      </w:r>
      <w:r>
        <w:rPr>
          <w:rFonts w:hint="eastAsia"/>
        </w:rPr>
        <w:t>发展</w:t>
      </w:r>
      <w:r>
        <w:t>思想,</w:t>
      </w:r>
      <w:r>
        <w:rPr>
          <w:rFonts w:hint="eastAsia"/>
        </w:rPr>
        <w:t>积极拓展粤港澳大湾区在教育、文化、旅游、社会保障等领域的合作</w:t>
      </w:r>
      <w:r>
        <w:t>,</w:t>
      </w:r>
      <w:r>
        <w:rPr>
          <w:rFonts w:hint="eastAsia"/>
        </w:rPr>
        <w:t>共同打造公共服务优质、宜居宣业宜游的优质生活圈。到</w:t>
      </w:r>
      <w:r>
        <w:t>2035年,</w:t>
      </w:r>
      <w:r>
        <w:rPr>
          <w:rFonts w:hint="eastAsia"/>
        </w:rPr>
        <w:t>宜居宜业宜游的国际一流湾区将全面建成。纲要再次强调了宜居城市建设的重要性。</w:t>
      </w:r>
    </w:p>
    <w:p>
      <w:pPr>
        <w:bidi w:val="0"/>
      </w:pPr>
      <w:r>
        <w:rPr>
          <w:rFonts w:hint="eastAsia"/>
        </w:rPr>
        <w:t>深圳作为湾区中心城市</w:t>
      </w:r>
      <w:r>
        <w:t>,在2010年市政府就出台了《深圳市创建宜</w:t>
      </w:r>
      <w:r>
        <w:rPr>
          <w:rFonts w:hint="eastAsia"/>
        </w:rPr>
        <w:t>居城市工作方案》</w:t>
      </w:r>
      <w:r>
        <w:t>,将宜居城市建设列为市重要工作之一。近几年,制定</w:t>
      </w:r>
      <w:r>
        <w:rPr>
          <w:rFonts w:hint="eastAsia"/>
        </w:rPr>
        <w:t>了《深圳市创建宜居城市行动计划》、《深圳市宜居社区建设工作方案》、《深圳市人居环境保护与建设“十三五”规划》等，深圳宜居城市建设颇有成效，</w:t>
      </w:r>
      <w:r>
        <w:t>实现了有质量的稳定增长和可持续的全面发展,城市功能和生态环境实现双优化。</w:t>
      </w:r>
      <w:r>
        <w:rPr>
          <w:rFonts w:hint="eastAsia"/>
        </w:rPr>
        <w:t>为了更好了解市民对于宜居城市的建设真实感受，自</w:t>
      </w:r>
      <w:r>
        <w:t>2011年</w:t>
      </w:r>
      <w:r>
        <w:rPr>
          <w:rFonts w:hint="eastAsia"/>
        </w:rPr>
        <w:t>起</w:t>
      </w:r>
      <w:r>
        <w:t>，每年开展</w:t>
      </w:r>
      <w:r>
        <w:rPr>
          <w:rFonts w:hint="eastAsia"/>
        </w:rPr>
        <w:t>深圳市市民满意度调查工作</w:t>
      </w:r>
      <w:r>
        <w:t>,从经济、环境、交通、安全、服务等多方面</w:t>
      </w:r>
      <w:r>
        <w:rPr>
          <w:rFonts w:hint="eastAsia"/>
        </w:rPr>
        <w:t>了解市民对</w:t>
      </w:r>
      <w:r>
        <w:t>深圳宜居建设情况</w:t>
      </w:r>
      <w:r>
        <w:rPr>
          <w:rFonts w:hint="eastAsia"/>
        </w:rPr>
        <w:t>满意度。总体来看，</w:t>
      </w:r>
      <w:r>
        <w:t>城市市民</w:t>
      </w:r>
      <w:r>
        <w:rPr>
          <w:rFonts w:hint="eastAsia"/>
        </w:rPr>
        <w:t>对于宜居城市建设</w:t>
      </w:r>
      <w:r>
        <w:t>满意度不断提升,</w:t>
      </w:r>
      <w:r>
        <w:rPr>
          <w:rFonts w:hint="eastAsia"/>
        </w:rPr>
        <w:t>总体满意度由2</w:t>
      </w:r>
      <w:r>
        <w:t>011</w:t>
      </w:r>
      <w:r>
        <w:rPr>
          <w:rFonts w:hint="eastAsia"/>
        </w:rPr>
        <w:t>年的6</w:t>
      </w:r>
      <w:r>
        <w:t>9.00</w:t>
      </w:r>
      <w:r>
        <w:rPr>
          <w:rFonts w:hint="eastAsia"/>
        </w:rPr>
        <w:t>%，上升至2</w:t>
      </w:r>
      <w:r>
        <w:t>019</w:t>
      </w:r>
      <w:r>
        <w:rPr>
          <w:rFonts w:hint="eastAsia"/>
        </w:rPr>
        <w:t>年的7</w:t>
      </w:r>
      <w:r>
        <w:t>9.51</w:t>
      </w:r>
      <w:r>
        <w:rPr>
          <w:rFonts w:hint="eastAsia"/>
        </w:rPr>
        <w:t>%。</w:t>
      </w:r>
    </w:p>
    <w:p>
      <w:pPr>
        <w:bidi w:val="0"/>
      </w:pPr>
      <w:r>
        <w:rPr>
          <w:rFonts w:hint="eastAsia"/>
        </w:rPr>
        <w:t>在深圳全面开启“先行示范区”建设进程中，通过满意度调查问卷方式，深入了解市民对深圳宜居城市建设的满意程度，广泛听取市民意见，动态掌握宜居城市建设成效，从而更好的打造安全高效的生产空间、舒适宜居的生活空间、碧水蓝天的生态空间。</w:t>
      </w:r>
    </w:p>
    <w:p>
      <w:pPr>
        <w:keepNext/>
        <w:keepLines/>
        <w:pageBreakBefore w:val="0"/>
        <w:widowControl w:val="0"/>
        <w:kinsoku/>
        <w:wordWrap/>
        <w:overflowPunct/>
        <w:topLinePunct w:val="0"/>
        <w:autoSpaceDE/>
        <w:autoSpaceDN/>
        <w:bidi w:val="0"/>
        <w:adjustRightInd/>
        <w:snapToGrid/>
        <w:spacing w:before="0" w:after="0" w:line="360" w:lineRule="auto"/>
        <w:jc w:val="both"/>
        <w:textAlignment w:val="auto"/>
        <w:outlineLvl w:val="1"/>
        <w:rPr>
          <w:rFonts w:hint="eastAsia" w:ascii="仿宋" w:hAnsi="仿宋" w:eastAsia="仿宋" w:cs="Times New Roman"/>
          <w:b/>
          <w:bCs/>
          <w:kern w:val="2"/>
          <w:sz w:val="28"/>
          <w:szCs w:val="32"/>
          <w:lang w:val="en-US" w:eastAsia="zh-CN" w:bidi="ar-SA"/>
        </w:rPr>
      </w:pPr>
      <w:bookmarkStart w:id="2" w:name="_Toc24668513"/>
      <w:r>
        <w:rPr>
          <w:rFonts w:hint="eastAsia" w:ascii="仿宋" w:hAnsi="仿宋" w:eastAsia="仿宋" w:cs="Times New Roman"/>
          <w:b/>
          <w:bCs/>
          <w:kern w:val="2"/>
          <w:sz w:val="28"/>
          <w:szCs w:val="32"/>
          <w:lang w:val="en-US" w:eastAsia="zh-CN" w:bidi="ar-SA"/>
        </w:rPr>
        <w:t>（二）工作内容</w:t>
      </w:r>
      <w:bookmarkEnd w:id="2"/>
    </w:p>
    <w:p>
      <w:pPr>
        <w:widowControl w:val="0"/>
        <w:tabs>
          <w:tab w:val="left" w:pos="0"/>
        </w:tabs>
        <w:adjustRightInd w:val="0"/>
        <w:snapToGrid w:val="0"/>
        <w:spacing w:line="360" w:lineRule="auto"/>
        <w:ind w:firstLine="560" w:firstLineChars="200"/>
        <w:jc w:val="both"/>
        <w:rPr>
          <w:rFonts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1、宜居城市市民满意度调查问卷设计</w:t>
      </w:r>
    </w:p>
    <w:p>
      <w:pPr>
        <w:bidi w:val="0"/>
        <w:rPr>
          <w:lang w:val="en-US" w:eastAsia="zh-CN"/>
        </w:rPr>
      </w:pPr>
      <w:r>
        <w:rPr>
          <w:rFonts w:hint="eastAsia"/>
          <w:lang w:val="en-US" w:eastAsia="zh-CN"/>
        </w:rPr>
        <w:t>市民满意度问卷设计围绕深圳市宜居建设实际情况展开，为了真实反映市民对深圳宜居建设的建议，问题设计采取封闭式问题和开放式问题结合的方式。调查问卷分为三部分，第一部分为问卷说明，说明本问卷调查的目的；第二部分为正式的调查问题，共71个问题，问题主要围绕15项宜居因素展开；第三部分为受访者个人信息，具体包括性别、年龄、学历、收入、居住地等。</w:t>
      </w:r>
    </w:p>
    <w:p>
      <w:pPr>
        <w:tabs>
          <w:tab w:val="left" w:pos="0"/>
        </w:tabs>
        <w:adjustRightInd w:val="0"/>
        <w:snapToGrid w:val="0"/>
        <w:spacing w:line="360" w:lineRule="auto"/>
        <w:ind w:firstLine="560" w:firstLineChars="200"/>
        <w:rPr>
          <w:rFonts w:ascii="仿宋" w:hAnsi="仿宋" w:eastAsia="仿宋" w:cs="Times New Roman"/>
          <w:sz w:val="28"/>
          <w:szCs w:val="28"/>
        </w:rPr>
      </w:pPr>
      <w:r>
        <w:rPr>
          <w:rFonts w:hint="eastAsia" w:ascii="仿宋" w:hAnsi="仿宋" w:eastAsia="仿宋" w:cs="Times New Roman"/>
          <w:sz w:val="28"/>
          <w:szCs w:val="28"/>
        </w:rPr>
        <w:t>2、开展市民满意度调查</w:t>
      </w:r>
    </w:p>
    <w:p>
      <w:pPr>
        <w:bidi w:val="0"/>
      </w:pPr>
      <w:r>
        <w:rPr>
          <w:rFonts w:hint="eastAsia"/>
        </w:rPr>
        <w:t>本次调查以面向深圳全市，调查对象为深圳市民，采用面访方式为主，以配额抽样与随机抽样相结合；</w:t>
      </w:r>
      <w:r>
        <w:t>每个区调查对象不少于400名，总样本量不低于5000份。</w:t>
      </w:r>
      <w:r>
        <w:rPr>
          <w:rFonts w:hint="eastAsia"/>
        </w:rPr>
        <w:t>实际发出问卷数</w:t>
      </w:r>
      <w:r>
        <w:t>5</w:t>
      </w:r>
      <w:r>
        <w:rPr>
          <w:rFonts w:hint="eastAsia"/>
        </w:rPr>
        <w:t>6</w:t>
      </w:r>
      <w:r>
        <w:t>08份；收回问卷数</w:t>
      </w:r>
      <w:r>
        <w:rPr>
          <w:rFonts w:hint="eastAsia"/>
        </w:rPr>
        <w:t>5585</w:t>
      </w:r>
      <w:r>
        <w:t>份；合格问卷数53</w:t>
      </w:r>
      <w:r>
        <w:rPr>
          <w:rFonts w:hint="eastAsia"/>
        </w:rPr>
        <w:t>06</w:t>
      </w:r>
      <w:r>
        <w:t>份</w:t>
      </w:r>
      <w:r>
        <w:rPr>
          <w:rFonts w:hint="eastAsia"/>
        </w:rPr>
        <w:t>，有效问卷率达95%，各区样本数量及样本配额情况见表1-</w:t>
      </w:r>
      <w:r>
        <w:t>1</w:t>
      </w:r>
      <w:r>
        <w:rPr>
          <w:rFonts w:hint="eastAsia"/>
        </w:rPr>
        <w:t>、表1-</w:t>
      </w:r>
      <w:r>
        <w:t>2</w:t>
      </w:r>
      <w:r>
        <w:rPr>
          <w:rFonts w:hint="eastAsia"/>
        </w:rPr>
        <w:t>。</w:t>
      </w:r>
    </w:p>
    <w:p>
      <w:pPr>
        <w:tabs>
          <w:tab w:val="left" w:pos="0"/>
        </w:tabs>
        <w:adjustRightInd w:val="0"/>
        <w:snapToGrid w:val="0"/>
        <w:spacing w:line="360" w:lineRule="auto"/>
        <w:jc w:val="center"/>
        <w:rPr>
          <w:rFonts w:ascii="仿宋" w:hAnsi="等线" w:eastAsia="仿宋" w:cs="Times New Roman"/>
          <w:b/>
          <w:sz w:val="24"/>
          <w:szCs w:val="28"/>
        </w:rPr>
      </w:pPr>
      <w:r>
        <w:rPr>
          <w:rFonts w:hint="eastAsia" w:ascii="仿宋" w:hAnsi="等线" w:eastAsia="仿宋" w:cs="Times New Roman"/>
          <w:b/>
          <w:sz w:val="24"/>
          <w:szCs w:val="28"/>
        </w:rPr>
        <w:t>表</w:t>
      </w:r>
      <w:r>
        <w:rPr>
          <w:rFonts w:ascii="仿宋" w:hAnsi="等线" w:eastAsia="仿宋" w:cs="Times New Roman"/>
          <w:b/>
          <w:sz w:val="24"/>
          <w:szCs w:val="28"/>
        </w:rPr>
        <w:t>1-1</w:t>
      </w:r>
      <w:r>
        <w:rPr>
          <w:rFonts w:hint="eastAsia" w:ascii="仿宋" w:hAnsi="等线" w:eastAsia="仿宋" w:cs="Times New Roman"/>
          <w:b/>
          <w:sz w:val="24"/>
          <w:szCs w:val="28"/>
        </w:rPr>
        <w:t xml:space="preserve"> 各区样本量</w:t>
      </w:r>
    </w:p>
    <w:tbl>
      <w:tblPr>
        <w:tblStyle w:val="2"/>
        <w:tblW w:w="8504" w:type="dxa"/>
        <w:jc w:val="center"/>
        <w:tblBorders>
          <w:top w:val="single" w:color="auto" w:sz="12" w:space="0"/>
          <w:left w:val="none" w:color="auto" w:sz="0" w:space="0"/>
          <w:bottom w:val="single" w:color="auto"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526"/>
        <w:gridCol w:w="2285"/>
        <w:gridCol w:w="2095"/>
        <w:gridCol w:w="2598"/>
      </w:tblGrid>
      <w:tr>
        <w:tblPrEx>
          <w:tblBorders>
            <w:top w:val="single" w:color="auto" w:sz="12"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1526" w:type="dxa"/>
            <w:tcBorders>
              <w:top w:val="single" w:color="auto" w:sz="12" w:space="0"/>
              <w:bottom w:val="single" w:color="auto" w:sz="8" w:space="0"/>
            </w:tcBorders>
            <w:shd w:val="clear" w:color="auto" w:fill="auto"/>
            <w:vAlign w:val="center"/>
          </w:tcPr>
          <w:p>
            <w:pPr>
              <w:spacing w:line="360" w:lineRule="auto"/>
              <w:jc w:val="center"/>
              <w:rPr>
                <w:rFonts w:ascii="仿宋" w:hAnsi="仿宋" w:eastAsia="仿宋" w:cs="Times New Roman"/>
                <w:b/>
                <w:bCs/>
                <w:sz w:val="21"/>
                <w:szCs w:val="21"/>
              </w:rPr>
            </w:pPr>
            <w:r>
              <w:rPr>
                <w:rFonts w:hint="eastAsia" w:ascii="仿宋" w:hAnsi="仿宋" w:eastAsia="仿宋" w:cs="Times New Roman"/>
                <w:b/>
                <w:bCs/>
                <w:sz w:val="21"/>
                <w:szCs w:val="21"/>
              </w:rPr>
              <w:t>调查方式</w:t>
            </w:r>
          </w:p>
        </w:tc>
        <w:tc>
          <w:tcPr>
            <w:tcW w:w="2285" w:type="dxa"/>
            <w:tcBorders>
              <w:top w:val="single" w:color="auto" w:sz="12" w:space="0"/>
              <w:bottom w:val="single" w:color="auto" w:sz="8" w:space="0"/>
            </w:tcBorders>
            <w:shd w:val="clear" w:color="auto" w:fill="auto"/>
            <w:vAlign w:val="center"/>
          </w:tcPr>
          <w:p>
            <w:pPr>
              <w:spacing w:line="360" w:lineRule="auto"/>
              <w:jc w:val="center"/>
              <w:rPr>
                <w:rFonts w:ascii="仿宋" w:hAnsi="仿宋" w:eastAsia="仿宋" w:cs="Times New Roman"/>
                <w:b/>
                <w:bCs/>
                <w:sz w:val="21"/>
                <w:szCs w:val="21"/>
              </w:rPr>
            </w:pPr>
            <w:r>
              <w:rPr>
                <w:rFonts w:hint="eastAsia" w:ascii="仿宋" w:hAnsi="仿宋" w:eastAsia="仿宋" w:cs="Times New Roman"/>
                <w:b/>
                <w:bCs/>
                <w:sz w:val="21"/>
                <w:szCs w:val="21"/>
              </w:rPr>
              <w:t>区域</w:t>
            </w:r>
          </w:p>
        </w:tc>
        <w:tc>
          <w:tcPr>
            <w:tcW w:w="2095" w:type="dxa"/>
            <w:tcBorders>
              <w:top w:val="single" w:color="auto" w:sz="12" w:space="0"/>
              <w:bottom w:val="single" w:color="auto" w:sz="8" w:space="0"/>
            </w:tcBorders>
            <w:shd w:val="clear" w:color="auto" w:fill="auto"/>
            <w:vAlign w:val="center"/>
          </w:tcPr>
          <w:p>
            <w:pPr>
              <w:spacing w:line="360" w:lineRule="auto"/>
              <w:jc w:val="center"/>
              <w:rPr>
                <w:rFonts w:ascii="仿宋" w:hAnsi="仿宋" w:eastAsia="仿宋" w:cs="Times New Roman"/>
                <w:b/>
                <w:bCs/>
                <w:sz w:val="21"/>
                <w:szCs w:val="21"/>
              </w:rPr>
            </w:pPr>
            <w:r>
              <w:rPr>
                <w:rFonts w:hint="eastAsia" w:ascii="仿宋" w:hAnsi="仿宋" w:eastAsia="仿宋" w:cs="Times New Roman"/>
                <w:b/>
                <w:bCs/>
                <w:sz w:val="21"/>
                <w:szCs w:val="21"/>
              </w:rPr>
              <w:t>预计样本数</w:t>
            </w:r>
          </w:p>
        </w:tc>
        <w:tc>
          <w:tcPr>
            <w:tcW w:w="2598" w:type="dxa"/>
            <w:tcBorders>
              <w:top w:val="single" w:color="auto" w:sz="12" w:space="0"/>
              <w:bottom w:val="single" w:color="auto" w:sz="8" w:space="0"/>
            </w:tcBorders>
            <w:shd w:val="clear" w:color="auto" w:fill="auto"/>
            <w:vAlign w:val="center"/>
          </w:tcPr>
          <w:p>
            <w:pPr>
              <w:spacing w:line="360" w:lineRule="auto"/>
              <w:jc w:val="center"/>
              <w:rPr>
                <w:rFonts w:ascii="仿宋" w:hAnsi="仿宋" w:eastAsia="仿宋" w:cs="Times New Roman"/>
                <w:b/>
                <w:bCs/>
                <w:sz w:val="21"/>
                <w:szCs w:val="21"/>
              </w:rPr>
            </w:pPr>
            <w:r>
              <w:rPr>
                <w:rFonts w:hint="eastAsia" w:ascii="仿宋" w:hAnsi="仿宋" w:eastAsia="仿宋" w:cs="Times New Roman"/>
                <w:b/>
                <w:bCs/>
                <w:sz w:val="21"/>
                <w:szCs w:val="21"/>
              </w:rPr>
              <w:t>实际完成样本数本量</w:t>
            </w:r>
          </w:p>
        </w:tc>
      </w:tr>
      <w:tr>
        <w:tblPrEx>
          <w:tblBorders>
            <w:top w:val="single" w:color="auto" w:sz="12"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1" w:hRule="atLeast"/>
          <w:jc w:val="center"/>
        </w:trPr>
        <w:tc>
          <w:tcPr>
            <w:tcW w:w="1526" w:type="dxa"/>
            <w:vMerge w:val="restart"/>
            <w:tcBorders>
              <w:top w:val="single" w:color="auto" w:sz="8" w:space="0"/>
            </w:tcBorders>
            <w:shd w:val="clear" w:color="auto" w:fill="auto"/>
            <w:vAlign w:val="center"/>
          </w:tcPr>
          <w:p>
            <w:pPr>
              <w:spacing w:line="360" w:lineRule="auto"/>
              <w:jc w:val="both"/>
              <w:rPr>
                <w:rFonts w:ascii="仿宋" w:hAnsi="仿宋" w:eastAsia="仿宋" w:cs="Times New Roman"/>
                <w:sz w:val="21"/>
                <w:szCs w:val="21"/>
              </w:rPr>
            </w:pPr>
            <w:r>
              <w:rPr>
                <w:rFonts w:hint="eastAsia" w:ascii="仿宋" w:hAnsi="仿宋" w:eastAsia="仿宋" w:cs="Times New Roman"/>
                <w:sz w:val="21"/>
                <w:szCs w:val="21"/>
              </w:rPr>
              <w:t>面访</w:t>
            </w:r>
          </w:p>
        </w:tc>
        <w:tc>
          <w:tcPr>
            <w:tcW w:w="2285" w:type="dxa"/>
            <w:tcBorders>
              <w:top w:val="single" w:color="auto" w:sz="8" w:space="0"/>
            </w:tcBorders>
            <w:shd w:val="clear" w:color="auto" w:fill="auto"/>
            <w:vAlign w:val="center"/>
          </w:tcPr>
          <w:p>
            <w:pPr>
              <w:spacing w:line="360" w:lineRule="auto"/>
              <w:jc w:val="center"/>
              <w:rPr>
                <w:rFonts w:ascii="仿宋" w:hAnsi="仿宋" w:eastAsia="仿宋" w:cs="Times New Roman"/>
                <w:sz w:val="21"/>
                <w:szCs w:val="21"/>
              </w:rPr>
            </w:pPr>
            <w:r>
              <w:rPr>
                <w:rFonts w:hint="eastAsia" w:ascii="仿宋" w:hAnsi="仿宋" w:eastAsia="仿宋" w:cs="Times New Roman"/>
                <w:sz w:val="21"/>
                <w:szCs w:val="21"/>
              </w:rPr>
              <w:t>福田区</w:t>
            </w:r>
          </w:p>
        </w:tc>
        <w:tc>
          <w:tcPr>
            <w:tcW w:w="2095" w:type="dxa"/>
            <w:tcBorders>
              <w:top w:val="single" w:color="auto" w:sz="8" w:space="0"/>
            </w:tcBorders>
            <w:shd w:val="clear" w:color="auto" w:fill="auto"/>
            <w:vAlign w:val="center"/>
          </w:tcPr>
          <w:p>
            <w:pPr>
              <w:spacing w:line="360" w:lineRule="auto"/>
              <w:jc w:val="center"/>
              <w:rPr>
                <w:rFonts w:ascii="仿宋" w:hAnsi="仿宋" w:eastAsia="仿宋" w:cs="Times New Roman"/>
                <w:sz w:val="21"/>
                <w:szCs w:val="21"/>
              </w:rPr>
            </w:pPr>
            <w:r>
              <w:rPr>
                <w:rFonts w:hint="eastAsia" w:ascii="仿宋" w:hAnsi="仿宋" w:eastAsia="仿宋" w:cs="Times New Roman"/>
                <w:sz w:val="21"/>
                <w:szCs w:val="21"/>
              </w:rPr>
              <w:t>600</w:t>
            </w:r>
          </w:p>
        </w:tc>
        <w:tc>
          <w:tcPr>
            <w:tcW w:w="2598" w:type="dxa"/>
            <w:tcBorders>
              <w:top w:val="single" w:color="auto" w:sz="8" w:space="0"/>
            </w:tcBorders>
            <w:shd w:val="clear" w:color="auto" w:fill="auto"/>
            <w:vAlign w:val="center"/>
          </w:tcPr>
          <w:p>
            <w:pPr>
              <w:spacing w:line="360" w:lineRule="auto"/>
              <w:jc w:val="center"/>
              <w:rPr>
                <w:rFonts w:ascii="仿宋" w:hAnsi="仿宋" w:eastAsia="仿宋" w:cs="Times New Roman"/>
                <w:sz w:val="21"/>
                <w:szCs w:val="21"/>
              </w:rPr>
            </w:pPr>
            <w:r>
              <w:rPr>
                <w:rFonts w:hint="eastAsia" w:ascii="仿宋" w:hAnsi="仿宋" w:eastAsia="仿宋" w:cs="Times New Roman"/>
                <w:sz w:val="21"/>
                <w:szCs w:val="21"/>
              </w:rPr>
              <w:t>6</w:t>
            </w:r>
            <w:r>
              <w:rPr>
                <w:rFonts w:ascii="仿宋" w:hAnsi="仿宋" w:eastAsia="仿宋" w:cs="Times New Roman"/>
                <w:sz w:val="21"/>
                <w:szCs w:val="21"/>
              </w:rPr>
              <w:t>1</w:t>
            </w:r>
            <w:r>
              <w:rPr>
                <w:rFonts w:hint="eastAsia" w:ascii="仿宋" w:hAnsi="仿宋" w:eastAsia="仿宋" w:cs="Times New Roman"/>
                <w:sz w:val="21"/>
                <w:szCs w:val="21"/>
              </w:rPr>
              <w:t>6</w:t>
            </w:r>
          </w:p>
        </w:tc>
      </w:tr>
      <w:tr>
        <w:tblPrEx>
          <w:tblBorders>
            <w:top w:val="single" w:color="auto" w:sz="12"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jc w:val="center"/>
        </w:trPr>
        <w:tc>
          <w:tcPr>
            <w:tcW w:w="1526" w:type="dxa"/>
            <w:vMerge w:val="continue"/>
            <w:shd w:val="clear" w:color="auto" w:fill="auto"/>
            <w:vAlign w:val="center"/>
          </w:tcPr>
          <w:p>
            <w:pPr>
              <w:spacing w:line="360" w:lineRule="auto"/>
              <w:jc w:val="center"/>
              <w:rPr>
                <w:rFonts w:ascii="仿宋" w:hAnsi="仿宋" w:eastAsia="仿宋" w:cs="Times New Roman"/>
                <w:sz w:val="21"/>
                <w:szCs w:val="21"/>
              </w:rPr>
            </w:pPr>
          </w:p>
        </w:tc>
        <w:tc>
          <w:tcPr>
            <w:tcW w:w="2285" w:type="dxa"/>
            <w:shd w:val="clear" w:color="auto" w:fill="auto"/>
            <w:vAlign w:val="center"/>
          </w:tcPr>
          <w:p>
            <w:pPr>
              <w:spacing w:line="360" w:lineRule="auto"/>
              <w:jc w:val="center"/>
              <w:rPr>
                <w:rFonts w:ascii="仿宋" w:hAnsi="仿宋" w:eastAsia="仿宋" w:cs="Times New Roman"/>
                <w:sz w:val="21"/>
                <w:szCs w:val="21"/>
              </w:rPr>
            </w:pPr>
            <w:r>
              <w:rPr>
                <w:rFonts w:hint="eastAsia" w:ascii="仿宋" w:hAnsi="仿宋" w:eastAsia="仿宋" w:cs="Times New Roman"/>
                <w:sz w:val="21"/>
                <w:szCs w:val="21"/>
              </w:rPr>
              <w:t>罗湖区</w:t>
            </w:r>
          </w:p>
        </w:tc>
        <w:tc>
          <w:tcPr>
            <w:tcW w:w="2095" w:type="dxa"/>
            <w:shd w:val="clear" w:color="auto" w:fill="auto"/>
            <w:vAlign w:val="center"/>
          </w:tcPr>
          <w:p>
            <w:pPr>
              <w:spacing w:line="360" w:lineRule="auto"/>
              <w:jc w:val="center"/>
              <w:rPr>
                <w:rFonts w:ascii="仿宋" w:hAnsi="仿宋" w:eastAsia="仿宋" w:cs="Times New Roman"/>
                <w:sz w:val="21"/>
                <w:szCs w:val="21"/>
              </w:rPr>
            </w:pPr>
            <w:r>
              <w:rPr>
                <w:rFonts w:hint="eastAsia" w:ascii="仿宋" w:hAnsi="仿宋" w:eastAsia="仿宋" w:cs="Times New Roman"/>
                <w:sz w:val="21"/>
                <w:szCs w:val="21"/>
              </w:rPr>
              <w:t>600</w:t>
            </w:r>
          </w:p>
        </w:tc>
        <w:tc>
          <w:tcPr>
            <w:tcW w:w="2598" w:type="dxa"/>
            <w:shd w:val="clear" w:color="auto" w:fill="auto"/>
            <w:vAlign w:val="center"/>
          </w:tcPr>
          <w:p>
            <w:pPr>
              <w:spacing w:line="360" w:lineRule="auto"/>
              <w:jc w:val="center"/>
              <w:rPr>
                <w:rFonts w:ascii="仿宋" w:hAnsi="仿宋" w:eastAsia="仿宋" w:cs="Times New Roman"/>
                <w:sz w:val="21"/>
                <w:szCs w:val="21"/>
              </w:rPr>
            </w:pPr>
            <w:r>
              <w:rPr>
                <w:rFonts w:hint="eastAsia" w:ascii="仿宋" w:hAnsi="仿宋" w:eastAsia="仿宋" w:cs="Times New Roman"/>
                <w:sz w:val="21"/>
                <w:szCs w:val="21"/>
              </w:rPr>
              <w:t>683</w:t>
            </w:r>
          </w:p>
        </w:tc>
      </w:tr>
      <w:tr>
        <w:tblPrEx>
          <w:tblBorders>
            <w:top w:val="single" w:color="auto" w:sz="12"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jc w:val="center"/>
        </w:trPr>
        <w:tc>
          <w:tcPr>
            <w:tcW w:w="1526" w:type="dxa"/>
            <w:vMerge w:val="continue"/>
            <w:shd w:val="clear" w:color="auto" w:fill="auto"/>
            <w:vAlign w:val="center"/>
          </w:tcPr>
          <w:p>
            <w:pPr>
              <w:spacing w:line="360" w:lineRule="auto"/>
              <w:jc w:val="center"/>
              <w:rPr>
                <w:rFonts w:ascii="仿宋" w:hAnsi="仿宋" w:eastAsia="仿宋" w:cs="Times New Roman"/>
                <w:sz w:val="21"/>
                <w:szCs w:val="21"/>
              </w:rPr>
            </w:pPr>
          </w:p>
        </w:tc>
        <w:tc>
          <w:tcPr>
            <w:tcW w:w="2285" w:type="dxa"/>
            <w:shd w:val="clear" w:color="auto" w:fill="auto"/>
            <w:vAlign w:val="center"/>
          </w:tcPr>
          <w:p>
            <w:pPr>
              <w:spacing w:line="360" w:lineRule="auto"/>
              <w:jc w:val="center"/>
              <w:rPr>
                <w:rFonts w:ascii="仿宋" w:hAnsi="仿宋" w:eastAsia="仿宋" w:cs="Times New Roman"/>
                <w:sz w:val="21"/>
                <w:szCs w:val="21"/>
              </w:rPr>
            </w:pPr>
            <w:r>
              <w:rPr>
                <w:rFonts w:hint="eastAsia" w:ascii="仿宋" w:hAnsi="仿宋" w:eastAsia="仿宋" w:cs="Times New Roman"/>
                <w:sz w:val="21"/>
                <w:szCs w:val="21"/>
              </w:rPr>
              <w:t>南山区</w:t>
            </w:r>
          </w:p>
        </w:tc>
        <w:tc>
          <w:tcPr>
            <w:tcW w:w="2095" w:type="dxa"/>
            <w:shd w:val="clear" w:color="auto" w:fill="auto"/>
            <w:vAlign w:val="center"/>
          </w:tcPr>
          <w:p>
            <w:pPr>
              <w:spacing w:line="360" w:lineRule="auto"/>
              <w:jc w:val="center"/>
              <w:rPr>
                <w:rFonts w:ascii="仿宋" w:hAnsi="仿宋" w:eastAsia="仿宋" w:cs="Times New Roman"/>
                <w:sz w:val="21"/>
                <w:szCs w:val="21"/>
              </w:rPr>
            </w:pPr>
            <w:r>
              <w:rPr>
                <w:rFonts w:hint="eastAsia" w:ascii="仿宋" w:hAnsi="仿宋" w:eastAsia="仿宋" w:cs="Times New Roman"/>
                <w:sz w:val="21"/>
                <w:szCs w:val="21"/>
              </w:rPr>
              <w:t>600</w:t>
            </w:r>
          </w:p>
        </w:tc>
        <w:tc>
          <w:tcPr>
            <w:tcW w:w="2598" w:type="dxa"/>
            <w:shd w:val="clear" w:color="auto" w:fill="auto"/>
            <w:vAlign w:val="center"/>
          </w:tcPr>
          <w:p>
            <w:pPr>
              <w:spacing w:line="360" w:lineRule="auto"/>
              <w:jc w:val="center"/>
              <w:rPr>
                <w:rFonts w:ascii="仿宋" w:hAnsi="仿宋" w:eastAsia="仿宋" w:cs="Times New Roman"/>
                <w:sz w:val="21"/>
                <w:szCs w:val="21"/>
              </w:rPr>
            </w:pPr>
            <w:r>
              <w:rPr>
                <w:rFonts w:hint="eastAsia" w:ascii="仿宋" w:hAnsi="仿宋" w:eastAsia="仿宋" w:cs="Times New Roman"/>
                <w:sz w:val="21"/>
                <w:szCs w:val="21"/>
              </w:rPr>
              <w:t>614</w:t>
            </w:r>
          </w:p>
        </w:tc>
      </w:tr>
      <w:tr>
        <w:tblPrEx>
          <w:tblBorders>
            <w:top w:val="single" w:color="auto" w:sz="12"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1" w:hRule="atLeast"/>
          <w:jc w:val="center"/>
        </w:trPr>
        <w:tc>
          <w:tcPr>
            <w:tcW w:w="1526" w:type="dxa"/>
            <w:vMerge w:val="continue"/>
            <w:shd w:val="clear" w:color="auto" w:fill="auto"/>
            <w:vAlign w:val="center"/>
          </w:tcPr>
          <w:p>
            <w:pPr>
              <w:spacing w:line="360" w:lineRule="auto"/>
              <w:jc w:val="center"/>
              <w:rPr>
                <w:rFonts w:ascii="仿宋" w:hAnsi="仿宋" w:eastAsia="仿宋" w:cs="Times New Roman"/>
                <w:sz w:val="21"/>
                <w:szCs w:val="21"/>
              </w:rPr>
            </w:pPr>
          </w:p>
        </w:tc>
        <w:tc>
          <w:tcPr>
            <w:tcW w:w="2285" w:type="dxa"/>
            <w:shd w:val="clear" w:color="auto" w:fill="auto"/>
            <w:vAlign w:val="center"/>
          </w:tcPr>
          <w:p>
            <w:pPr>
              <w:spacing w:line="360" w:lineRule="auto"/>
              <w:jc w:val="center"/>
              <w:rPr>
                <w:rFonts w:ascii="仿宋" w:hAnsi="仿宋" w:eastAsia="仿宋" w:cs="Times New Roman"/>
                <w:sz w:val="21"/>
                <w:szCs w:val="21"/>
              </w:rPr>
            </w:pPr>
            <w:r>
              <w:rPr>
                <w:rFonts w:hint="eastAsia" w:ascii="仿宋" w:hAnsi="仿宋" w:eastAsia="仿宋" w:cs="Times New Roman"/>
                <w:sz w:val="21"/>
                <w:szCs w:val="21"/>
              </w:rPr>
              <w:t>盐田区</w:t>
            </w:r>
          </w:p>
        </w:tc>
        <w:tc>
          <w:tcPr>
            <w:tcW w:w="2095" w:type="dxa"/>
            <w:shd w:val="clear" w:color="auto" w:fill="auto"/>
            <w:vAlign w:val="center"/>
          </w:tcPr>
          <w:p>
            <w:pPr>
              <w:spacing w:line="360" w:lineRule="auto"/>
              <w:jc w:val="center"/>
              <w:rPr>
                <w:rFonts w:ascii="仿宋" w:hAnsi="仿宋" w:eastAsia="仿宋" w:cs="Times New Roman"/>
                <w:sz w:val="21"/>
                <w:szCs w:val="21"/>
              </w:rPr>
            </w:pPr>
            <w:r>
              <w:rPr>
                <w:rFonts w:hint="eastAsia" w:ascii="仿宋" w:hAnsi="仿宋" w:eastAsia="仿宋" w:cs="Times New Roman"/>
                <w:sz w:val="21"/>
                <w:szCs w:val="21"/>
              </w:rPr>
              <w:t>200</w:t>
            </w:r>
          </w:p>
        </w:tc>
        <w:tc>
          <w:tcPr>
            <w:tcW w:w="2598" w:type="dxa"/>
            <w:shd w:val="clear" w:color="auto" w:fill="auto"/>
            <w:vAlign w:val="center"/>
          </w:tcPr>
          <w:p>
            <w:pPr>
              <w:spacing w:line="360" w:lineRule="auto"/>
              <w:jc w:val="center"/>
              <w:rPr>
                <w:rFonts w:ascii="仿宋" w:hAnsi="仿宋" w:eastAsia="仿宋" w:cs="Times New Roman"/>
                <w:sz w:val="21"/>
                <w:szCs w:val="21"/>
              </w:rPr>
            </w:pPr>
            <w:r>
              <w:rPr>
                <w:rFonts w:hint="eastAsia" w:ascii="仿宋" w:hAnsi="仿宋" w:eastAsia="仿宋" w:cs="Times New Roman"/>
                <w:sz w:val="21"/>
                <w:szCs w:val="21"/>
              </w:rPr>
              <w:t>219</w:t>
            </w:r>
          </w:p>
        </w:tc>
      </w:tr>
      <w:tr>
        <w:tblPrEx>
          <w:tblBorders>
            <w:top w:val="single" w:color="auto" w:sz="12"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8" w:hRule="atLeast"/>
          <w:jc w:val="center"/>
        </w:trPr>
        <w:tc>
          <w:tcPr>
            <w:tcW w:w="1526" w:type="dxa"/>
            <w:vMerge w:val="continue"/>
            <w:shd w:val="clear" w:color="auto" w:fill="auto"/>
            <w:vAlign w:val="center"/>
          </w:tcPr>
          <w:p>
            <w:pPr>
              <w:spacing w:line="360" w:lineRule="auto"/>
              <w:jc w:val="center"/>
              <w:rPr>
                <w:rFonts w:ascii="仿宋" w:hAnsi="仿宋" w:eastAsia="仿宋" w:cs="Times New Roman"/>
                <w:sz w:val="21"/>
                <w:szCs w:val="21"/>
              </w:rPr>
            </w:pPr>
          </w:p>
        </w:tc>
        <w:tc>
          <w:tcPr>
            <w:tcW w:w="2285" w:type="dxa"/>
            <w:shd w:val="clear" w:color="auto" w:fill="auto"/>
            <w:vAlign w:val="center"/>
          </w:tcPr>
          <w:p>
            <w:pPr>
              <w:spacing w:line="360" w:lineRule="auto"/>
              <w:jc w:val="center"/>
              <w:rPr>
                <w:rFonts w:ascii="仿宋" w:hAnsi="仿宋" w:eastAsia="仿宋" w:cs="Times New Roman"/>
                <w:sz w:val="21"/>
                <w:szCs w:val="21"/>
              </w:rPr>
            </w:pPr>
            <w:r>
              <w:rPr>
                <w:rFonts w:hint="eastAsia" w:ascii="仿宋" w:hAnsi="仿宋" w:eastAsia="仿宋" w:cs="Times New Roman"/>
                <w:sz w:val="21"/>
                <w:szCs w:val="21"/>
              </w:rPr>
              <w:t>宝安区</w:t>
            </w:r>
          </w:p>
        </w:tc>
        <w:tc>
          <w:tcPr>
            <w:tcW w:w="2095" w:type="dxa"/>
            <w:shd w:val="clear" w:color="auto" w:fill="auto"/>
            <w:vAlign w:val="center"/>
          </w:tcPr>
          <w:p>
            <w:pPr>
              <w:spacing w:line="360" w:lineRule="auto"/>
              <w:jc w:val="center"/>
              <w:rPr>
                <w:rFonts w:ascii="仿宋" w:hAnsi="仿宋" w:eastAsia="仿宋" w:cs="Times New Roman"/>
                <w:sz w:val="21"/>
                <w:szCs w:val="21"/>
              </w:rPr>
            </w:pPr>
            <w:r>
              <w:rPr>
                <w:rFonts w:hint="eastAsia" w:ascii="仿宋" w:hAnsi="仿宋" w:eastAsia="仿宋" w:cs="Times New Roman"/>
                <w:sz w:val="21"/>
                <w:szCs w:val="21"/>
              </w:rPr>
              <w:t>800</w:t>
            </w:r>
          </w:p>
        </w:tc>
        <w:tc>
          <w:tcPr>
            <w:tcW w:w="2598" w:type="dxa"/>
            <w:shd w:val="clear" w:color="auto" w:fill="auto"/>
            <w:vAlign w:val="center"/>
          </w:tcPr>
          <w:p>
            <w:pPr>
              <w:spacing w:line="360" w:lineRule="auto"/>
              <w:jc w:val="center"/>
              <w:rPr>
                <w:rFonts w:ascii="仿宋" w:hAnsi="仿宋" w:eastAsia="仿宋" w:cs="Times New Roman"/>
                <w:sz w:val="21"/>
                <w:szCs w:val="21"/>
              </w:rPr>
            </w:pPr>
            <w:r>
              <w:rPr>
                <w:rFonts w:hint="eastAsia" w:ascii="仿宋" w:hAnsi="仿宋" w:eastAsia="仿宋" w:cs="Times New Roman"/>
                <w:sz w:val="21"/>
                <w:szCs w:val="21"/>
              </w:rPr>
              <w:t>8</w:t>
            </w:r>
            <w:r>
              <w:rPr>
                <w:rFonts w:ascii="仿宋" w:hAnsi="仿宋" w:eastAsia="仿宋" w:cs="Times New Roman"/>
                <w:sz w:val="21"/>
                <w:szCs w:val="21"/>
              </w:rPr>
              <w:t>2</w:t>
            </w:r>
            <w:r>
              <w:rPr>
                <w:rFonts w:hint="eastAsia" w:ascii="仿宋" w:hAnsi="仿宋" w:eastAsia="仿宋" w:cs="Times New Roman"/>
                <w:sz w:val="21"/>
                <w:szCs w:val="21"/>
              </w:rPr>
              <w:t>3</w:t>
            </w:r>
          </w:p>
        </w:tc>
      </w:tr>
      <w:tr>
        <w:tblPrEx>
          <w:tblBorders>
            <w:top w:val="single" w:color="auto" w:sz="12"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 w:hRule="atLeast"/>
          <w:jc w:val="center"/>
        </w:trPr>
        <w:tc>
          <w:tcPr>
            <w:tcW w:w="1526" w:type="dxa"/>
            <w:vMerge w:val="continue"/>
            <w:shd w:val="clear" w:color="auto" w:fill="auto"/>
            <w:vAlign w:val="center"/>
          </w:tcPr>
          <w:p>
            <w:pPr>
              <w:spacing w:line="360" w:lineRule="auto"/>
              <w:jc w:val="center"/>
              <w:rPr>
                <w:rFonts w:ascii="仿宋" w:hAnsi="仿宋" w:eastAsia="仿宋" w:cs="Times New Roman"/>
                <w:sz w:val="21"/>
                <w:szCs w:val="21"/>
              </w:rPr>
            </w:pPr>
          </w:p>
        </w:tc>
        <w:tc>
          <w:tcPr>
            <w:tcW w:w="2285" w:type="dxa"/>
            <w:shd w:val="clear" w:color="auto" w:fill="auto"/>
            <w:vAlign w:val="center"/>
          </w:tcPr>
          <w:p>
            <w:pPr>
              <w:spacing w:line="360" w:lineRule="auto"/>
              <w:jc w:val="center"/>
              <w:rPr>
                <w:rFonts w:ascii="仿宋" w:hAnsi="仿宋" w:eastAsia="仿宋" w:cs="Times New Roman"/>
                <w:sz w:val="21"/>
                <w:szCs w:val="21"/>
              </w:rPr>
            </w:pPr>
            <w:r>
              <w:rPr>
                <w:rFonts w:hint="eastAsia" w:ascii="仿宋" w:hAnsi="仿宋" w:eastAsia="仿宋" w:cs="Times New Roman"/>
                <w:sz w:val="21"/>
                <w:szCs w:val="21"/>
              </w:rPr>
              <w:t>龙岗区</w:t>
            </w:r>
          </w:p>
        </w:tc>
        <w:tc>
          <w:tcPr>
            <w:tcW w:w="2095" w:type="dxa"/>
            <w:shd w:val="clear" w:color="auto" w:fill="auto"/>
            <w:vAlign w:val="center"/>
          </w:tcPr>
          <w:p>
            <w:pPr>
              <w:spacing w:line="360" w:lineRule="auto"/>
              <w:jc w:val="center"/>
              <w:rPr>
                <w:rFonts w:ascii="仿宋" w:hAnsi="仿宋" w:eastAsia="仿宋" w:cs="Times New Roman"/>
                <w:sz w:val="21"/>
                <w:szCs w:val="21"/>
              </w:rPr>
            </w:pPr>
            <w:r>
              <w:rPr>
                <w:rFonts w:hint="eastAsia" w:ascii="仿宋" w:hAnsi="仿宋" w:eastAsia="仿宋" w:cs="Times New Roman"/>
                <w:sz w:val="21"/>
                <w:szCs w:val="21"/>
              </w:rPr>
              <w:t>800</w:t>
            </w:r>
          </w:p>
        </w:tc>
        <w:tc>
          <w:tcPr>
            <w:tcW w:w="2598" w:type="dxa"/>
            <w:shd w:val="clear" w:color="auto" w:fill="auto"/>
            <w:vAlign w:val="center"/>
          </w:tcPr>
          <w:p>
            <w:pPr>
              <w:spacing w:line="360" w:lineRule="auto"/>
              <w:jc w:val="center"/>
              <w:rPr>
                <w:rFonts w:ascii="仿宋" w:hAnsi="仿宋" w:eastAsia="仿宋" w:cs="Times New Roman"/>
                <w:sz w:val="21"/>
                <w:szCs w:val="21"/>
              </w:rPr>
            </w:pPr>
            <w:r>
              <w:rPr>
                <w:rFonts w:hint="eastAsia" w:ascii="仿宋" w:hAnsi="仿宋" w:eastAsia="仿宋" w:cs="Times New Roman"/>
                <w:sz w:val="21"/>
                <w:szCs w:val="21"/>
              </w:rPr>
              <w:t>8</w:t>
            </w:r>
            <w:r>
              <w:rPr>
                <w:rFonts w:ascii="仿宋" w:hAnsi="仿宋" w:eastAsia="仿宋" w:cs="Times New Roman"/>
                <w:sz w:val="21"/>
                <w:szCs w:val="21"/>
              </w:rPr>
              <w:t>3</w:t>
            </w:r>
            <w:r>
              <w:rPr>
                <w:rFonts w:hint="eastAsia" w:ascii="仿宋" w:hAnsi="仿宋" w:eastAsia="仿宋" w:cs="Times New Roman"/>
                <w:sz w:val="21"/>
                <w:szCs w:val="21"/>
              </w:rPr>
              <w:t>9</w:t>
            </w:r>
          </w:p>
        </w:tc>
      </w:tr>
      <w:tr>
        <w:tblPrEx>
          <w:tblBorders>
            <w:top w:val="single" w:color="auto" w:sz="12"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7" w:hRule="atLeast"/>
          <w:jc w:val="center"/>
        </w:trPr>
        <w:tc>
          <w:tcPr>
            <w:tcW w:w="1526" w:type="dxa"/>
            <w:vMerge w:val="continue"/>
            <w:shd w:val="clear" w:color="auto" w:fill="auto"/>
            <w:vAlign w:val="center"/>
          </w:tcPr>
          <w:p>
            <w:pPr>
              <w:spacing w:line="360" w:lineRule="auto"/>
              <w:jc w:val="center"/>
              <w:rPr>
                <w:rFonts w:ascii="仿宋" w:hAnsi="仿宋" w:eastAsia="仿宋" w:cs="Times New Roman"/>
                <w:sz w:val="21"/>
                <w:szCs w:val="21"/>
              </w:rPr>
            </w:pPr>
          </w:p>
        </w:tc>
        <w:tc>
          <w:tcPr>
            <w:tcW w:w="2285" w:type="dxa"/>
            <w:shd w:val="clear" w:color="auto" w:fill="auto"/>
            <w:vAlign w:val="center"/>
          </w:tcPr>
          <w:p>
            <w:pPr>
              <w:spacing w:line="360" w:lineRule="auto"/>
              <w:jc w:val="center"/>
              <w:rPr>
                <w:rFonts w:ascii="仿宋" w:hAnsi="仿宋" w:eastAsia="仿宋" w:cs="Times New Roman"/>
                <w:sz w:val="21"/>
                <w:szCs w:val="21"/>
              </w:rPr>
            </w:pPr>
            <w:r>
              <w:rPr>
                <w:rFonts w:hint="eastAsia" w:ascii="仿宋" w:hAnsi="仿宋" w:eastAsia="仿宋" w:cs="Times New Roman"/>
                <w:sz w:val="21"/>
                <w:szCs w:val="21"/>
              </w:rPr>
              <w:t>光明区</w:t>
            </w:r>
          </w:p>
        </w:tc>
        <w:tc>
          <w:tcPr>
            <w:tcW w:w="2095" w:type="dxa"/>
            <w:shd w:val="clear" w:color="auto" w:fill="auto"/>
            <w:vAlign w:val="center"/>
          </w:tcPr>
          <w:p>
            <w:pPr>
              <w:spacing w:line="360" w:lineRule="auto"/>
              <w:jc w:val="center"/>
              <w:rPr>
                <w:rFonts w:ascii="仿宋" w:hAnsi="仿宋" w:eastAsia="仿宋" w:cs="Times New Roman"/>
                <w:sz w:val="21"/>
                <w:szCs w:val="21"/>
              </w:rPr>
            </w:pPr>
            <w:r>
              <w:rPr>
                <w:rFonts w:hint="eastAsia" w:ascii="仿宋" w:hAnsi="仿宋" w:eastAsia="仿宋" w:cs="Times New Roman"/>
                <w:sz w:val="21"/>
                <w:szCs w:val="21"/>
              </w:rPr>
              <w:t>300</w:t>
            </w:r>
          </w:p>
        </w:tc>
        <w:tc>
          <w:tcPr>
            <w:tcW w:w="2598" w:type="dxa"/>
            <w:shd w:val="clear" w:color="auto" w:fill="auto"/>
            <w:vAlign w:val="center"/>
          </w:tcPr>
          <w:p>
            <w:pPr>
              <w:spacing w:line="360" w:lineRule="auto"/>
              <w:jc w:val="center"/>
              <w:rPr>
                <w:rFonts w:ascii="仿宋" w:hAnsi="仿宋" w:eastAsia="仿宋" w:cs="Times New Roman"/>
                <w:sz w:val="21"/>
                <w:szCs w:val="21"/>
              </w:rPr>
            </w:pPr>
            <w:r>
              <w:rPr>
                <w:rFonts w:hint="eastAsia" w:ascii="仿宋" w:hAnsi="仿宋" w:eastAsia="仿宋" w:cs="Times New Roman"/>
                <w:sz w:val="21"/>
                <w:szCs w:val="21"/>
              </w:rPr>
              <w:t>308</w:t>
            </w:r>
          </w:p>
        </w:tc>
      </w:tr>
      <w:tr>
        <w:tblPrEx>
          <w:tblBorders>
            <w:top w:val="single" w:color="auto" w:sz="12"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4" w:hRule="atLeast"/>
          <w:jc w:val="center"/>
        </w:trPr>
        <w:tc>
          <w:tcPr>
            <w:tcW w:w="1526" w:type="dxa"/>
            <w:vMerge w:val="continue"/>
            <w:shd w:val="clear" w:color="auto" w:fill="auto"/>
            <w:vAlign w:val="center"/>
          </w:tcPr>
          <w:p>
            <w:pPr>
              <w:spacing w:line="360" w:lineRule="auto"/>
              <w:jc w:val="center"/>
              <w:rPr>
                <w:rFonts w:ascii="仿宋" w:hAnsi="仿宋" w:eastAsia="仿宋" w:cs="Times New Roman"/>
                <w:sz w:val="21"/>
                <w:szCs w:val="21"/>
              </w:rPr>
            </w:pPr>
          </w:p>
        </w:tc>
        <w:tc>
          <w:tcPr>
            <w:tcW w:w="2285" w:type="dxa"/>
            <w:shd w:val="clear" w:color="auto" w:fill="auto"/>
            <w:vAlign w:val="center"/>
          </w:tcPr>
          <w:p>
            <w:pPr>
              <w:spacing w:line="360" w:lineRule="auto"/>
              <w:jc w:val="center"/>
              <w:rPr>
                <w:rFonts w:ascii="仿宋" w:hAnsi="仿宋" w:eastAsia="仿宋" w:cs="Times New Roman"/>
                <w:sz w:val="21"/>
                <w:szCs w:val="21"/>
              </w:rPr>
            </w:pPr>
            <w:r>
              <w:rPr>
                <w:rFonts w:hint="eastAsia" w:ascii="仿宋" w:hAnsi="仿宋" w:eastAsia="仿宋" w:cs="Times New Roman"/>
                <w:sz w:val="21"/>
                <w:szCs w:val="21"/>
              </w:rPr>
              <w:t>坪山区</w:t>
            </w:r>
          </w:p>
        </w:tc>
        <w:tc>
          <w:tcPr>
            <w:tcW w:w="2095" w:type="dxa"/>
            <w:shd w:val="clear" w:color="auto" w:fill="auto"/>
            <w:vAlign w:val="center"/>
          </w:tcPr>
          <w:p>
            <w:pPr>
              <w:spacing w:line="360" w:lineRule="auto"/>
              <w:jc w:val="center"/>
              <w:rPr>
                <w:rFonts w:ascii="仿宋" w:hAnsi="仿宋" w:eastAsia="仿宋" w:cs="Times New Roman"/>
                <w:sz w:val="21"/>
                <w:szCs w:val="21"/>
              </w:rPr>
            </w:pPr>
            <w:r>
              <w:rPr>
                <w:rFonts w:hint="eastAsia" w:ascii="仿宋" w:hAnsi="仿宋" w:eastAsia="仿宋" w:cs="Times New Roman"/>
                <w:sz w:val="21"/>
                <w:szCs w:val="21"/>
              </w:rPr>
              <w:t>300</w:t>
            </w:r>
          </w:p>
        </w:tc>
        <w:tc>
          <w:tcPr>
            <w:tcW w:w="2598" w:type="dxa"/>
            <w:shd w:val="clear" w:color="auto" w:fill="auto"/>
            <w:vAlign w:val="center"/>
          </w:tcPr>
          <w:p>
            <w:pPr>
              <w:spacing w:line="360" w:lineRule="auto"/>
              <w:jc w:val="center"/>
              <w:rPr>
                <w:rFonts w:ascii="仿宋" w:hAnsi="仿宋" w:eastAsia="仿宋" w:cs="Times New Roman"/>
                <w:sz w:val="21"/>
                <w:szCs w:val="21"/>
              </w:rPr>
            </w:pPr>
            <w:r>
              <w:rPr>
                <w:rFonts w:ascii="仿宋" w:hAnsi="仿宋" w:eastAsia="仿宋" w:cs="Times New Roman"/>
                <w:sz w:val="21"/>
                <w:szCs w:val="21"/>
              </w:rPr>
              <w:t>308</w:t>
            </w:r>
          </w:p>
        </w:tc>
      </w:tr>
      <w:tr>
        <w:tblPrEx>
          <w:tblBorders>
            <w:top w:val="single" w:color="auto" w:sz="12"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4" w:hRule="atLeast"/>
          <w:jc w:val="center"/>
        </w:trPr>
        <w:tc>
          <w:tcPr>
            <w:tcW w:w="1526" w:type="dxa"/>
            <w:vMerge w:val="continue"/>
            <w:shd w:val="clear" w:color="auto" w:fill="auto"/>
            <w:vAlign w:val="center"/>
          </w:tcPr>
          <w:p>
            <w:pPr>
              <w:spacing w:line="360" w:lineRule="auto"/>
              <w:jc w:val="center"/>
              <w:rPr>
                <w:rFonts w:ascii="仿宋" w:hAnsi="仿宋" w:eastAsia="仿宋" w:cs="Times New Roman"/>
                <w:sz w:val="21"/>
                <w:szCs w:val="21"/>
              </w:rPr>
            </w:pPr>
          </w:p>
        </w:tc>
        <w:tc>
          <w:tcPr>
            <w:tcW w:w="2285" w:type="dxa"/>
            <w:shd w:val="clear" w:color="auto" w:fill="auto"/>
            <w:vAlign w:val="center"/>
          </w:tcPr>
          <w:p>
            <w:pPr>
              <w:spacing w:line="360" w:lineRule="auto"/>
              <w:jc w:val="center"/>
              <w:rPr>
                <w:rFonts w:ascii="仿宋" w:hAnsi="仿宋" w:eastAsia="仿宋" w:cs="Times New Roman"/>
                <w:sz w:val="21"/>
                <w:szCs w:val="21"/>
              </w:rPr>
            </w:pPr>
            <w:r>
              <w:rPr>
                <w:rFonts w:hint="eastAsia" w:ascii="仿宋" w:hAnsi="仿宋" w:eastAsia="仿宋" w:cs="Times New Roman"/>
                <w:sz w:val="21"/>
                <w:szCs w:val="21"/>
              </w:rPr>
              <w:t>龙华区</w:t>
            </w:r>
          </w:p>
        </w:tc>
        <w:tc>
          <w:tcPr>
            <w:tcW w:w="2095" w:type="dxa"/>
            <w:shd w:val="clear" w:color="auto" w:fill="auto"/>
            <w:vAlign w:val="center"/>
          </w:tcPr>
          <w:p>
            <w:pPr>
              <w:spacing w:line="360" w:lineRule="auto"/>
              <w:jc w:val="center"/>
              <w:rPr>
                <w:rFonts w:ascii="仿宋" w:hAnsi="仿宋" w:eastAsia="仿宋" w:cs="Times New Roman"/>
                <w:sz w:val="21"/>
                <w:szCs w:val="21"/>
              </w:rPr>
            </w:pPr>
            <w:r>
              <w:rPr>
                <w:rFonts w:hint="eastAsia" w:ascii="仿宋" w:hAnsi="仿宋" w:eastAsia="仿宋" w:cs="Times New Roman"/>
                <w:sz w:val="21"/>
                <w:szCs w:val="21"/>
              </w:rPr>
              <w:t>600</w:t>
            </w:r>
          </w:p>
        </w:tc>
        <w:tc>
          <w:tcPr>
            <w:tcW w:w="2598" w:type="dxa"/>
            <w:shd w:val="clear" w:color="auto" w:fill="auto"/>
            <w:vAlign w:val="center"/>
          </w:tcPr>
          <w:p>
            <w:pPr>
              <w:spacing w:line="360" w:lineRule="auto"/>
              <w:jc w:val="center"/>
              <w:rPr>
                <w:rFonts w:ascii="仿宋" w:hAnsi="仿宋" w:eastAsia="仿宋" w:cs="Times New Roman"/>
                <w:sz w:val="21"/>
                <w:szCs w:val="21"/>
              </w:rPr>
            </w:pPr>
            <w:r>
              <w:rPr>
                <w:rFonts w:hint="eastAsia" w:ascii="仿宋" w:hAnsi="仿宋" w:eastAsia="仿宋" w:cs="Times New Roman"/>
                <w:sz w:val="21"/>
                <w:szCs w:val="21"/>
              </w:rPr>
              <w:t>6</w:t>
            </w:r>
            <w:r>
              <w:rPr>
                <w:rFonts w:ascii="仿宋" w:hAnsi="仿宋" w:eastAsia="仿宋" w:cs="Times New Roman"/>
                <w:sz w:val="21"/>
                <w:szCs w:val="21"/>
              </w:rPr>
              <w:t>2</w:t>
            </w:r>
            <w:r>
              <w:rPr>
                <w:rFonts w:hint="eastAsia" w:ascii="仿宋" w:hAnsi="仿宋" w:eastAsia="仿宋" w:cs="Times New Roman"/>
                <w:sz w:val="21"/>
                <w:szCs w:val="21"/>
              </w:rPr>
              <w:t>3</w:t>
            </w:r>
          </w:p>
        </w:tc>
      </w:tr>
      <w:tr>
        <w:tblPrEx>
          <w:tblBorders>
            <w:top w:val="single" w:color="auto" w:sz="12"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 w:hRule="atLeast"/>
          <w:jc w:val="center"/>
        </w:trPr>
        <w:tc>
          <w:tcPr>
            <w:tcW w:w="1526" w:type="dxa"/>
            <w:vMerge w:val="continue"/>
            <w:shd w:val="clear" w:color="auto" w:fill="auto"/>
            <w:vAlign w:val="center"/>
          </w:tcPr>
          <w:p>
            <w:pPr>
              <w:spacing w:line="360" w:lineRule="auto"/>
              <w:jc w:val="center"/>
              <w:rPr>
                <w:rFonts w:ascii="仿宋" w:hAnsi="仿宋" w:eastAsia="仿宋" w:cs="Times New Roman"/>
                <w:sz w:val="21"/>
                <w:szCs w:val="21"/>
              </w:rPr>
            </w:pPr>
          </w:p>
        </w:tc>
        <w:tc>
          <w:tcPr>
            <w:tcW w:w="2285" w:type="dxa"/>
            <w:shd w:val="clear" w:color="auto" w:fill="auto"/>
            <w:vAlign w:val="center"/>
          </w:tcPr>
          <w:p>
            <w:pPr>
              <w:spacing w:line="360" w:lineRule="auto"/>
              <w:jc w:val="center"/>
              <w:rPr>
                <w:rFonts w:ascii="仿宋" w:hAnsi="仿宋" w:eastAsia="仿宋" w:cs="Times New Roman"/>
                <w:sz w:val="21"/>
                <w:szCs w:val="21"/>
              </w:rPr>
            </w:pPr>
            <w:r>
              <w:rPr>
                <w:rFonts w:hint="eastAsia" w:ascii="仿宋" w:hAnsi="仿宋" w:eastAsia="仿宋" w:cs="Times New Roman"/>
                <w:sz w:val="21"/>
                <w:szCs w:val="21"/>
              </w:rPr>
              <w:t>大鹏新区</w:t>
            </w:r>
          </w:p>
        </w:tc>
        <w:tc>
          <w:tcPr>
            <w:tcW w:w="2095" w:type="dxa"/>
            <w:shd w:val="clear" w:color="auto" w:fill="auto"/>
            <w:vAlign w:val="center"/>
          </w:tcPr>
          <w:p>
            <w:pPr>
              <w:spacing w:line="360" w:lineRule="auto"/>
              <w:jc w:val="center"/>
              <w:rPr>
                <w:rFonts w:ascii="仿宋" w:hAnsi="仿宋" w:eastAsia="仿宋" w:cs="Times New Roman"/>
                <w:sz w:val="21"/>
                <w:szCs w:val="21"/>
              </w:rPr>
            </w:pPr>
            <w:r>
              <w:rPr>
                <w:rFonts w:hint="eastAsia" w:ascii="仿宋" w:hAnsi="仿宋" w:eastAsia="仿宋" w:cs="Times New Roman"/>
                <w:sz w:val="21"/>
                <w:szCs w:val="21"/>
              </w:rPr>
              <w:t>200</w:t>
            </w:r>
          </w:p>
        </w:tc>
        <w:tc>
          <w:tcPr>
            <w:tcW w:w="2598" w:type="dxa"/>
            <w:shd w:val="clear" w:color="auto" w:fill="auto"/>
            <w:vAlign w:val="center"/>
          </w:tcPr>
          <w:p>
            <w:pPr>
              <w:spacing w:line="360" w:lineRule="auto"/>
              <w:jc w:val="center"/>
              <w:rPr>
                <w:rFonts w:ascii="仿宋" w:hAnsi="仿宋" w:eastAsia="仿宋" w:cs="Times New Roman"/>
                <w:sz w:val="21"/>
                <w:szCs w:val="21"/>
              </w:rPr>
            </w:pPr>
            <w:r>
              <w:rPr>
                <w:rFonts w:hint="eastAsia" w:ascii="仿宋" w:hAnsi="仿宋" w:eastAsia="仿宋" w:cs="Times New Roman"/>
                <w:sz w:val="21"/>
                <w:szCs w:val="21"/>
              </w:rPr>
              <w:t>213</w:t>
            </w:r>
          </w:p>
        </w:tc>
      </w:tr>
      <w:tr>
        <w:tblPrEx>
          <w:tblBorders>
            <w:top w:val="single" w:color="auto" w:sz="12"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 w:hRule="atLeast"/>
          <w:jc w:val="center"/>
        </w:trPr>
        <w:tc>
          <w:tcPr>
            <w:tcW w:w="1526" w:type="dxa"/>
            <w:vMerge w:val="continue"/>
            <w:shd w:val="clear" w:color="auto" w:fill="auto"/>
            <w:vAlign w:val="center"/>
          </w:tcPr>
          <w:p>
            <w:pPr>
              <w:spacing w:line="360" w:lineRule="auto"/>
              <w:jc w:val="center"/>
              <w:rPr>
                <w:rFonts w:ascii="仿宋" w:hAnsi="仿宋" w:eastAsia="仿宋" w:cs="Times New Roman"/>
                <w:sz w:val="21"/>
                <w:szCs w:val="21"/>
              </w:rPr>
            </w:pPr>
          </w:p>
        </w:tc>
        <w:tc>
          <w:tcPr>
            <w:tcW w:w="2285" w:type="dxa"/>
            <w:shd w:val="clear" w:color="auto" w:fill="auto"/>
            <w:vAlign w:val="center"/>
          </w:tcPr>
          <w:p>
            <w:pPr>
              <w:spacing w:line="360" w:lineRule="auto"/>
              <w:jc w:val="center"/>
              <w:rPr>
                <w:rFonts w:ascii="仿宋" w:hAnsi="仿宋" w:eastAsia="仿宋" w:cs="Times New Roman"/>
                <w:sz w:val="21"/>
                <w:szCs w:val="21"/>
              </w:rPr>
            </w:pPr>
            <w:r>
              <w:rPr>
                <w:rFonts w:hint="eastAsia" w:ascii="仿宋" w:hAnsi="仿宋" w:eastAsia="仿宋" w:cs="Times New Roman"/>
                <w:sz w:val="21"/>
                <w:szCs w:val="21"/>
              </w:rPr>
              <w:t>线上问卷</w:t>
            </w:r>
          </w:p>
        </w:tc>
        <w:tc>
          <w:tcPr>
            <w:tcW w:w="2095" w:type="dxa"/>
            <w:shd w:val="clear" w:color="auto" w:fill="auto"/>
            <w:vAlign w:val="center"/>
          </w:tcPr>
          <w:p>
            <w:pPr>
              <w:spacing w:line="360" w:lineRule="auto"/>
              <w:jc w:val="center"/>
              <w:rPr>
                <w:rFonts w:ascii="仿宋" w:hAnsi="仿宋" w:eastAsia="仿宋" w:cs="Times New Roman"/>
                <w:sz w:val="21"/>
                <w:szCs w:val="21"/>
              </w:rPr>
            </w:pPr>
            <w:r>
              <w:rPr>
                <w:rFonts w:hint="eastAsia" w:ascii="仿宋" w:hAnsi="仿宋" w:eastAsia="仿宋" w:cs="Times New Roman"/>
                <w:sz w:val="21"/>
                <w:szCs w:val="21"/>
              </w:rPr>
              <w:t>100</w:t>
            </w:r>
          </w:p>
        </w:tc>
        <w:tc>
          <w:tcPr>
            <w:tcW w:w="2598" w:type="dxa"/>
            <w:shd w:val="clear" w:color="auto" w:fill="auto"/>
            <w:vAlign w:val="center"/>
          </w:tcPr>
          <w:p>
            <w:pPr>
              <w:spacing w:line="360" w:lineRule="auto"/>
              <w:jc w:val="center"/>
              <w:rPr>
                <w:rFonts w:ascii="仿宋" w:hAnsi="仿宋" w:eastAsia="仿宋" w:cs="Times New Roman"/>
                <w:sz w:val="21"/>
                <w:szCs w:val="21"/>
              </w:rPr>
            </w:pPr>
            <w:r>
              <w:rPr>
                <w:rFonts w:hint="eastAsia" w:ascii="仿宋" w:hAnsi="仿宋" w:eastAsia="仿宋" w:cs="Times New Roman"/>
                <w:sz w:val="21"/>
                <w:szCs w:val="21"/>
              </w:rPr>
              <w:t>60</w:t>
            </w:r>
          </w:p>
        </w:tc>
      </w:tr>
      <w:tr>
        <w:tblPrEx>
          <w:tblBorders>
            <w:top w:val="single" w:color="auto" w:sz="12"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526" w:type="dxa"/>
            <w:vMerge w:val="continue"/>
            <w:shd w:val="clear" w:color="auto" w:fill="auto"/>
            <w:vAlign w:val="center"/>
          </w:tcPr>
          <w:p>
            <w:pPr>
              <w:spacing w:line="360" w:lineRule="auto"/>
              <w:jc w:val="center"/>
              <w:rPr>
                <w:rFonts w:ascii="仿宋" w:hAnsi="仿宋" w:eastAsia="仿宋" w:cs="Times New Roman"/>
                <w:sz w:val="21"/>
                <w:szCs w:val="21"/>
              </w:rPr>
            </w:pPr>
          </w:p>
        </w:tc>
        <w:tc>
          <w:tcPr>
            <w:tcW w:w="2285" w:type="dxa"/>
            <w:shd w:val="clear" w:color="auto" w:fill="auto"/>
            <w:vAlign w:val="center"/>
          </w:tcPr>
          <w:p>
            <w:pPr>
              <w:spacing w:line="360" w:lineRule="auto"/>
              <w:jc w:val="center"/>
              <w:rPr>
                <w:rFonts w:ascii="仿宋" w:hAnsi="仿宋" w:eastAsia="仿宋" w:cs="Times New Roman"/>
                <w:b/>
                <w:bCs/>
                <w:sz w:val="21"/>
                <w:szCs w:val="21"/>
              </w:rPr>
            </w:pPr>
            <w:r>
              <w:rPr>
                <w:rFonts w:hint="eastAsia" w:ascii="仿宋" w:hAnsi="仿宋" w:eastAsia="仿宋" w:cs="Times New Roman"/>
                <w:b/>
                <w:bCs/>
                <w:sz w:val="21"/>
                <w:szCs w:val="21"/>
              </w:rPr>
              <w:t>合计</w:t>
            </w:r>
          </w:p>
        </w:tc>
        <w:tc>
          <w:tcPr>
            <w:tcW w:w="2095" w:type="dxa"/>
            <w:shd w:val="clear" w:color="auto" w:fill="auto"/>
            <w:vAlign w:val="center"/>
          </w:tcPr>
          <w:p>
            <w:pPr>
              <w:spacing w:line="360" w:lineRule="auto"/>
              <w:jc w:val="center"/>
              <w:rPr>
                <w:rFonts w:ascii="仿宋" w:hAnsi="仿宋" w:eastAsia="仿宋" w:cs="Times New Roman"/>
                <w:b/>
                <w:bCs/>
                <w:sz w:val="21"/>
                <w:szCs w:val="21"/>
              </w:rPr>
            </w:pPr>
            <w:r>
              <w:rPr>
                <w:rFonts w:hint="eastAsia" w:ascii="仿宋" w:hAnsi="仿宋" w:eastAsia="仿宋" w:cs="Times New Roman"/>
                <w:b/>
                <w:bCs/>
                <w:sz w:val="21"/>
                <w:szCs w:val="21"/>
              </w:rPr>
              <w:t>5100</w:t>
            </w:r>
          </w:p>
        </w:tc>
        <w:tc>
          <w:tcPr>
            <w:tcW w:w="2598" w:type="dxa"/>
            <w:shd w:val="clear" w:color="auto" w:fill="auto"/>
            <w:vAlign w:val="center"/>
          </w:tcPr>
          <w:p>
            <w:pPr>
              <w:spacing w:line="360" w:lineRule="auto"/>
              <w:jc w:val="center"/>
              <w:rPr>
                <w:rFonts w:ascii="仿宋" w:hAnsi="仿宋" w:eastAsia="仿宋" w:cs="Times New Roman"/>
                <w:b/>
                <w:bCs/>
                <w:sz w:val="21"/>
                <w:szCs w:val="21"/>
              </w:rPr>
            </w:pPr>
            <w:r>
              <w:rPr>
                <w:rFonts w:hint="eastAsia" w:ascii="仿宋" w:hAnsi="仿宋" w:eastAsia="仿宋" w:cs="Times New Roman"/>
                <w:b/>
                <w:bCs/>
                <w:sz w:val="21"/>
                <w:szCs w:val="21"/>
              </w:rPr>
              <w:t>5306</w:t>
            </w:r>
          </w:p>
        </w:tc>
      </w:tr>
    </w:tbl>
    <w:p>
      <w:pPr>
        <w:tabs>
          <w:tab w:val="left" w:pos="0"/>
        </w:tabs>
        <w:adjustRightInd w:val="0"/>
        <w:snapToGrid w:val="0"/>
        <w:spacing w:before="156" w:beforeLines="50" w:line="360" w:lineRule="auto"/>
        <w:jc w:val="center"/>
        <w:rPr>
          <w:rFonts w:ascii="仿宋" w:hAnsi="等线" w:eastAsia="仿宋" w:cs="Times New Roman"/>
          <w:b/>
          <w:sz w:val="24"/>
          <w:szCs w:val="28"/>
        </w:rPr>
      </w:pPr>
      <w:r>
        <w:rPr>
          <w:rFonts w:hint="eastAsia" w:ascii="仿宋" w:hAnsi="等线" w:eastAsia="仿宋" w:cs="Times New Roman"/>
          <w:b/>
          <w:sz w:val="24"/>
          <w:szCs w:val="28"/>
        </w:rPr>
        <w:t>表</w:t>
      </w:r>
      <w:r>
        <w:rPr>
          <w:rFonts w:ascii="仿宋" w:hAnsi="等线" w:eastAsia="仿宋" w:cs="Times New Roman"/>
          <w:b/>
          <w:sz w:val="24"/>
          <w:szCs w:val="28"/>
        </w:rPr>
        <w:t>1-</w:t>
      </w:r>
      <w:r>
        <w:rPr>
          <w:rFonts w:hint="eastAsia" w:ascii="仿宋" w:hAnsi="等线" w:eastAsia="仿宋" w:cs="Times New Roman"/>
          <w:b/>
          <w:sz w:val="24"/>
          <w:szCs w:val="28"/>
        </w:rPr>
        <w:t>2 样本配额</w:t>
      </w:r>
      <w:r>
        <w:rPr>
          <w:rFonts w:ascii="仿宋" w:hAnsi="等线" w:eastAsia="仿宋" w:cs="Times New Roman"/>
          <w:b/>
          <w:sz w:val="24"/>
          <w:szCs w:val="28"/>
        </w:rPr>
        <w:t>完成情况</w:t>
      </w:r>
    </w:p>
    <w:tbl>
      <w:tblPr>
        <w:tblStyle w:val="2"/>
        <w:tblW w:w="9600" w:type="dxa"/>
        <w:jc w:val="center"/>
        <w:tblBorders>
          <w:top w:val="single" w:color="auto" w:sz="12" w:space="0"/>
          <w:left w:val="none" w:color="auto" w:sz="0" w:space="0"/>
          <w:bottom w:val="single" w:color="auto"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62"/>
        <w:gridCol w:w="1306"/>
        <w:gridCol w:w="3452"/>
        <w:gridCol w:w="2072"/>
        <w:gridCol w:w="2108"/>
      </w:tblGrid>
      <w:tr>
        <w:tblPrEx>
          <w:tblBorders>
            <w:top w:val="single" w:color="auto" w:sz="12"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1" w:hRule="atLeast"/>
          <w:jc w:val="center"/>
        </w:trPr>
        <w:tc>
          <w:tcPr>
            <w:tcW w:w="662" w:type="dxa"/>
            <w:tcBorders>
              <w:top w:val="single" w:color="auto" w:sz="12" w:space="0"/>
              <w:bottom w:val="single" w:color="auto" w:sz="8" w:space="0"/>
            </w:tcBorders>
            <w:shd w:val="clear" w:color="auto" w:fill="auto"/>
            <w:vAlign w:val="center"/>
          </w:tcPr>
          <w:p>
            <w:pPr>
              <w:keepNext w:val="0"/>
              <w:keepLines w:val="0"/>
              <w:pageBreakBefore w:val="0"/>
              <w:widowControl w:val="0"/>
              <w:tabs>
                <w:tab w:val="left" w:pos="1080"/>
              </w:tabs>
              <w:kinsoku/>
              <w:wordWrap/>
              <w:overflowPunct/>
              <w:topLinePunct w:val="0"/>
              <w:autoSpaceDE/>
              <w:autoSpaceDN/>
              <w:bidi w:val="0"/>
              <w:adjustRightInd/>
              <w:snapToGrid/>
              <w:spacing w:line="360" w:lineRule="auto"/>
              <w:ind w:firstLine="0" w:firstLineChars="0"/>
              <w:jc w:val="center"/>
              <w:textAlignment w:val="auto"/>
              <w:rPr>
                <w:rFonts w:ascii="仿宋" w:hAnsi="仿宋" w:eastAsia="仿宋" w:cs="宋体"/>
                <w:b/>
                <w:sz w:val="21"/>
                <w:szCs w:val="21"/>
              </w:rPr>
            </w:pPr>
            <w:r>
              <w:rPr>
                <w:rFonts w:hint="eastAsia" w:ascii="仿宋" w:hAnsi="仿宋" w:eastAsia="仿宋" w:cs="宋体"/>
                <w:b/>
                <w:sz w:val="21"/>
                <w:szCs w:val="21"/>
              </w:rPr>
              <w:t>序号</w:t>
            </w:r>
          </w:p>
        </w:tc>
        <w:tc>
          <w:tcPr>
            <w:tcW w:w="1306" w:type="dxa"/>
            <w:tcBorders>
              <w:top w:val="single" w:color="auto" w:sz="12" w:space="0"/>
              <w:bottom w:val="single" w:color="auto" w:sz="8" w:space="0"/>
            </w:tcBorders>
            <w:shd w:val="clear" w:color="auto" w:fill="auto"/>
            <w:vAlign w:val="center"/>
          </w:tcPr>
          <w:p>
            <w:pPr>
              <w:keepNext w:val="0"/>
              <w:keepLines w:val="0"/>
              <w:pageBreakBefore w:val="0"/>
              <w:widowControl w:val="0"/>
              <w:tabs>
                <w:tab w:val="left" w:pos="1080"/>
              </w:tabs>
              <w:kinsoku/>
              <w:wordWrap/>
              <w:overflowPunct/>
              <w:topLinePunct w:val="0"/>
              <w:autoSpaceDE/>
              <w:autoSpaceDN/>
              <w:bidi w:val="0"/>
              <w:adjustRightInd/>
              <w:snapToGrid/>
              <w:spacing w:line="360" w:lineRule="auto"/>
              <w:ind w:firstLine="0" w:firstLineChars="0"/>
              <w:jc w:val="center"/>
              <w:textAlignment w:val="auto"/>
              <w:rPr>
                <w:rFonts w:ascii="仿宋" w:hAnsi="仿宋" w:eastAsia="仿宋" w:cs="宋体"/>
                <w:b/>
                <w:sz w:val="21"/>
                <w:szCs w:val="21"/>
              </w:rPr>
            </w:pPr>
            <w:r>
              <w:rPr>
                <w:rFonts w:hint="eastAsia" w:ascii="仿宋" w:hAnsi="仿宋" w:eastAsia="仿宋" w:cs="宋体"/>
                <w:b/>
                <w:sz w:val="21"/>
                <w:szCs w:val="21"/>
              </w:rPr>
              <w:t>类别</w:t>
            </w:r>
          </w:p>
        </w:tc>
        <w:tc>
          <w:tcPr>
            <w:tcW w:w="3452" w:type="dxa"/>
            <w:tcBorders>
              <w:top w:val="single" w:color="auto" w:sz="12" w:space="0"/>
              <w:bottom w:val="single" w:color="auto" w:sz="8" w:space="0"/>
            </w:tcBorders>
            <w:shd w:val="clear" w:color="auto" w:fill="auto"/>
            <w:vAlign w:val="center"/>
          </w:tcPr>
          <w:p>
            <w:pPr>
              <w:keepNext w:val="0"/>
              <w:keepLines w:val="0"/>
              <w:pageBreakBefore w:val="0"/>
              <w:widowControl w:val="0"/>
              <w:tabs>
                <w:tab w:val="left" w:pos="1080"/>
              </w:tabs>
              <w:kinsoku/>
              <w:wordWrap/>
              <w:overflowPunct/>
              <w:topLinePunct w:val="0"/>
              <w:autoSpaceDE/>
              <w:autoSpaceDN/>
              <w:bidi w:val="0"/>
              <w:adjustRightInd/>
              <w:snapToGrid/>
              <w:spacing w:line="360" w:lineRule="auto"/>
              <w:ind w:firstLine="0" w:firstLineChars="0"/>
              <w:jc w:val="center"/>
              <w:textAlignment w:val="auto"/>
              <w:rPr>
                <w:rFonts w:ascii="仿宋" w:hAnsi="仿宋" w:eastAsia="仿宋" w:cs="宋体"/>
                <w:b/>
                <w:sz w:val="21"/>
                <w:szCs w:val="21"/>
              </w:rPr>
            </w:pPr>
            <w:r>
              <w:rPr>
                <w:rFonts w:hint="eastAsia" w:ascii="仿宋" w:hAnsi="仿宋" w:eastAsia="仿宋" w:cs="宋体"/>
                <w:b/>
                <w:sz w:val="21"/>
                <w:szCs w:val="21"/>
              </w:rPr>
              <w:t>分配权重</w:t>
            </w:r>
          </w:p>
        </w:tc>
        <w:tc>
          <w:tcPr>
            <w:tcW w:w="4180" w:type="dxa"/>
            <w:gridSpan w:val="2"/>
            <w:tcBorders>
              <w:top w:val="single" w:color="auto" w:sz="12" w:space="0"/>
              <w:bottom w:val="single" w:color="auto" w:sz="8" w:space="0"/>
            </w:tcBorders>
            <w:shd w:val="clear" w:color="auto" w:fill="auto"/>
            <w:vAlign w:val="center"/>
          </w:tcPr>
          <w:p>
            <w:pPr>
              <w:keepNext w:val="0"/>
              <w:keepLines w:val="0"/>
              <w:pageBreakBefore w:val="0"/>
              <w:widowControl w:val="0"/>
              <w:tabs>
                <w:tab w:val="left" w:pos="1080"/>
              </w:tabs>
              <w:kinsoku/>
              <w:wordWrap/>
              <w:overflowPunct/>
              <w:topLinePunct w:val="0"/>
              <w:autoSpaceDE/>
              <w:autoSpaceDN/>
              <w:bidi w:val="0"/>
              <w:adjustRightInd/>
              <w:snapToGrid/>
              <w:spacing w:line="360" w:lineRule="auto"/>
              <w:ind w:firstLine="0" w:firstLineChars="0"/>
              <w:jc w:val="center"/>
              <w:textAlignment w:val="auto"/>
              <w:rPr>
                <w:rFonts w:ascii="仿宋" w:hAnsi="仿宋" w:eastAsia="仿宋" w:cs="宋体"/>
                <w:b/>
                <w:sz w:val="21"/>
                <w:szCs w:val="21"/>
              </w:rPr>
            </w:pPr>
            <w:r>
              <w:rPr>
                <w:rFonts w:hint="eastAsia" w:ascii="仿宋" w:hAnsi="仿宋" w:eastAsia="仿宋" w:cs="宋体"/>
                <w:b/>
                <w:sz w:val="21"/>
                <w:szCs w:val="21"/>
              </w:rPr>
              <w:t>完成情况</w:t>
            </w:r>
          </w:p>
        </w:tc>
      </w:tr>
      <w:tr>
        <w:tblPrEx>
          <w:tblBorders>
            <w:top w:val="single" w:color="auto" w:sz="12"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662" w:type="dxa"/>
            <w:tcBorders>
              <w:top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ascii="仿宋" w:hAnsi="仿宋" w:eastAsia="仿宋" w:cs="Times New Roman"/>
                <w:sz w:val="21"/>
                <w:szCs w:val="21"/>
              </w:rPr>
            </w:pPr>
            <w:r>
              <w:rPr>
                <w:rFonts w:ascii="仿宋" w:hAnsi="仿宋" w:eastAsia="仿宋" w:cs="Times New Roman"/>
                <w:sz w:val="21"/>
                <w:szCs w:val="21"/>
              </w:rPr>
              <w:t>1</w:t>
            </w:r>
          </w:p>
        </w:tc>
        <w:tc>
          <w:tcPr>
            <w:tcW w:w="1306" w:type="dxa"/>
            <w:tcBorders>
              <w:top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仿宋" w:hAnsi="仿宋" w:eastAsia="仿宋" w:cs="Times New Roman"/>
                <w:sz w:val="21"/>
                <w:szCs w:val="21"/>
              </w:rPr>
            </w:pPr>
            <w:r>
              <w:rPr>
                <w:rFonts w:ascii="仿宋" w:hAnsi="仿宋" w:eastAsia="仿宋" w:cs="Times New Roman"/>
                <w:sz w:val="21"/>
                <w:szCs w:val="21"/>
              </w:rPr>
              <w:t>性别</w:t>
            </w:r>
          </w:p>
        </w:tc>
        <w:tc>
          <w:tcPr>
            <w:tcW w:w="3452" w:type="dxa"/>
            <w:tcBorders>
              <w:top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仿宋" w:hAnsi="仿宋" w:eastAsia="仿宋" w:cs="Times New Roman"/>
                <w:sz w:val="21"/>
                <w:szCs w:val="21"/>
              </w:rPr>
            </w:pPr>
            <w:r>
              <w:rPr>
                <w:rFonts w:ascii="仿宋" w:hAnsi="仿宋" w:eastAsia="仿宋" w:cs="Times New Roman"/>
                <w:sz w:val="21"/>
                <w:szCs w:val="21"/>
              </w:rPr>
              <w:t>男女比例约1：1</w:t>
            </w:r>
          </w:p>
        </w:tc>
        <w:tc>
          <w:tcPr>
            <w:tcW w:w="2072" w:type="dxa"/>
            <w:tcBorders>
              <w:top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仿宋" w:hAnsi="仿宋" w:eastAsia="仿宋" w:cs="Times New Roman"/>
                <w:sz w:val="21"/>
                <w:szCs w:val="21"/>
              </w:rPr>
            </w:pPr>
            <w:r>
              <w:rPr>
                <w:rFonts w:ascii="仿宋" w:hAnsi="仿宋" w:eastAsia="仿宋" w:cs="Times New Roman"/>
                <w:sz w:val="21"/>
                <w:szCs w:val="21"/>
              </w:rPr>
              <w:t>男：</w:t>
            </w:r>
            <w:r>
              <w:rPr>
                <w:rFonts w:hint="eastAsia" w:ascii="仿宋" w:hAnsi="仿宋" w:eastAsia="仿宋" w:cs="Times New Roman"/>
                <w:sz w:val="21"/>
                <w:szCs w:val="21"/>
              </w:rPr>
              <w:t>2516</w:t>
            </w:r>
          </w:p>
        </w:tc>
        <w:tc>
          <w:tcPr>
            <w:tcW w:w="2108" w:type="dxa"/>
            <w:tcBorders>
              <w:top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仿宋" w:hAnsi="仿宋" w:eastAsia="仿宋" w:cs="Times New Roman"/>
                <w:sz w:val="21"/>
                <w:szCs w:val="21"/>
              </w:rPr>
            </w:pPr>
            <w:r>
              <w:rPr>
                <w:rFonts w:ascii="仿宋" w:hAnsi="仿宋" w:eastAsia="仿宋" w:cs="Times New Roman"/>
                <w:sz w:val="21"/>
                <w:szCs w:val="21"/>
              </w:rPr>
              <w:t>女：27</w:t>
            </w:r>
            <w:r>
              <w:rPr>
                <w:rFonts w:hint="eastAsia" w:ascii="仿宋" w:hAnsi="仿宋" w:eastAsia="仿宋" w:cs="Times New Roman"/>
                <w:sz w:val="21"/>
                <w:szCs w:val="21"/>
              </w:rPr>
              <w:t>90</w:t>
            </w:r>
          </w:p>
        </w:tc>
      </w:tr>
      <w:tr>
        <w:tblPrEx>
          <w:tblBorders>
            <w:top w:val="single" w:color="auto" w:sz="12"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jc w:val="center"/>
        </w:trPr>
        <w:tc>
          <w:tcPr>
            <w:tcW w:w="66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ascii="仿宋" w:hAnsi="仿宋" w:eastAsia="仿宋" w:cs="Times New Roman"/>
                <w:sz w:val="21"/>
                <w:szCs w:val="21"/>
              </w:rPr>
            </w:pPr>
            <w:r>
              <w:rPr>
                <w:rFonts w:ascii="仿宋" w:hAnsi="仿宋" w:eastAsia="仿宋" w:cs="Times New Roman"/>
                <w:sz w:val="21"/>
                <w:szCs w:val="21"/>
              </w:rPr>
              <w:t>2</w:t>
            </w:r>
          </w:p>
        </w:tc>
        <w:tc>
          <w:tcPr>
            <w:tcW w:w="1306"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仿宋" w:hAnsi="仿宋" w:eastAsia="仿宋" w:cs="Times New Roman"/>
                <w:sz w:val="21"/>
                <w:szCs w:val="21"/>
              </w:rPr>
            </w:pPr>
            <w:r>
              <w:rPr>
                <w:rFonts w:ascii="仿宋" w:hAnsi="仿宋" w:eastAsia="仿宋" w:cs="Times New Roman"/>
                <w:sz w:val="21"/>
                <w:szCs w:val="21"/>
              </w:rPr>
              <w:t>年龄</w:t>
            </w:r>
          </w:p>
        </w:tc>
        <w:tc>
          <w:tcPr>
            <w:tcW w:w="345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仿宋" w:hAnsi="仿宋" w:eastAsia="仿宋" w:cs="Times New Roman"/>
                <w:sz w:val="21"/>
                <w:szCs w:val="21"/>
              </w:rPr>
            </w:pPr>
            <w:r>
              <w:rPr>
                <w:rFonts w:ascii="仿宋" w:hAnsi="仿宋" w:eastAsia="仿宋" w:cs="Times New Roman"/>
                <w:sz w:val="21"/>
                <w:szCs w:val="21"/>
              </w:rPr>
              <w:t>老年人比例约</w:t>
            </w:r>
            <w:r>
              <w:rPr>
                <w:rFonts w:hint="eastAsia" w:ascii="仿宋" w:hAnsi="仿宋" w:eastAsia="仿宋" w:cs="Times New Roman"/>
                <w:sz w:val="21"/>
                <w:szCs w:val="21"/>
              </w:rPr>
              <w:t>3</w:t>
            </w:r>
            <w:r>
              <w:rPr>
                <w:rFonts w:ascii="仿宋" w:hAnsi="仿宋" w:eastAsia="仿宋" w:cs="Times New Roman"/>
                <w:sz w:val="21"/>
                <w:szCs w:val="21"/>
              </w:rPr>
              <w:t>%，青壮年约</w:t>
            </w:r>
            <w:r>
              <w:rPr>
                <w:rFonts w:hint="eastAsia" w:ascii="仿宋" w:hAnsi="仿宋" w:eastAsia="仿宋" w:cs="Times New Roman"/>
                <w:sz w:val="21"/>
                <w:szCs w:val="21"/>
              </w:rPr>
              <w:t>87</w:t>
            </w:r>
            <w:r>
              <w:rPr>
                <w:rFonts w:ascii="仿宋" w:hAnsi="仿宋" w:eastAsia="仿宋" w:cs="Times New Roman"/>
                <w:sz w:val="21"/>
                <w:szCs w:val="21"/>
              </w:rPr>
              <w:t>%</w:t>
            </w:r>
          </w:p>
        </w:tc>
        <w:tc>
          <w:tcPr>
            <w:tcW w:w="207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仿宋" w:hAnsi="仿宋" w:eastAsia="仿宋" w:cs="Times New Roman"/>
                <w:sz w:val="21"/>
                <w:szCs w:val="21"/>
              </w:rPr>
            </w:pPr>
            <w:r>
              <w:rPr>
                <w:rFonts w:ascii="仿宋" w:hAnsi="仿宋" w:eastAsia="仿宋" w:cs="Times New Roman"/>
                <w:sz w:val="21"/>
                <w:szCs w:val="21"/>
              </w:rPr>
              <w:t>老年人：</w:t>
            </w:r>
            <w:r>
              <w:rPr>
                <w:rFonts w:hint="eastAsia" w:ascii="仿宋" w:hAnsi="仿宋" w:eastAsia="仿宋" w:cs="Times New Roman"/>
                <w:sz w:val="21"/>
                <w:szCs w:val="21"/>
              </w:rPr>
              <w:t>139</w:t>
            </w:r>
          </w:p>
        </w:tc>
        <w:tc>
          <w:tcPr>
            <w:tcW w:w="2108"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仿宋" w:hAnsi="仿宋" w:eastAsia="仿宋" w:cs="Times New Roman"/>
                <w:sz w:val="21"/>
                <w:szCs w:val="21"/>
              </w:rPr>
            </w:pPr>
            <w:r>
              <w:rPr>
                <w:rFonts w:ascii="仿宋" w:hAnsi="仿宋" w:eastAsia="仿宋" w:cs="Times New Roman"/>
                <w:sz w:val="21"/>
                <w:szCs w:val="21"/>
              </w:rPr>
              <w:t>青壮年：</w:t>
            </w:r>
            <w:r>
              <w:rPr>
                <w:rFonts w:hint="eastAsia" w:ascii="仿宋" w:hAnsi="仿宋" w:eastAsia="仿宋" w:cs="Times New Roman"/>
                <w:sz w:val="21"/>
                <w:szCs w:val="21"/>
              </w:rPr>
              <w:t>4632</w:t>
            </w:r>
          </w:p>
        </w:tc>
      </w:tr>
      <w:tr>
        <w:tblPrEx>
          <w:tblBorders>
            <w:top w:val="single" w:color="auto" w:sz="12"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7" w:hRule="atLeast"/>
          <w:jc w:val="center"/>
        </w:trPr>
        <w:tc>
          <w:tcPr>
            <w:tcW w:w="66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ascii="仿宋" w:hAnsi="仿宋" w:eastAsia="仿宋" w:cs="Times New Roman"/>
                <w:sz w:val="21"/>
                <w:szCs w:val="21"/>
              </w:rPr>
            </w:pPr>
            <w:r>
              <w:rPr>
                <w:rFonts w:ascii="仿宋" w:hAnsi="仿宋" w:eastAsia="仿宋" w:cs="Times New Roman"/>
                <w:sz w:val="21"/>
                <w:szCs w:val="21"/>
              </w:rPr>
              <w:t>3</w:t>
            </w:r>
          </w:p>
        </w:tc>
        <w:tc>
          <w:tcPr>
            <w:tcW w:w="1306"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仿宋" w:hAnsi="仿宋" w:eastAsia="仿宋" w:cs="Times New Roman"/>
                <w:sz w:val="21"/>
                <w:szCs w:val="21"/>
              </w:rPr>
            </w:pPr>
            <w:r>
              <w:rPr>
                <w:rFonts w:ascii="仿宋" w:hAnsi="仿宋" w:eastAsia="仿宋" w:cs="Times New Roman"/>
                <w:sz w:val="21"/>
                <w:szCs w:val="21"/>
              </w:rPr>
              <w:t>户籍</w:t>
            </w:r>
          </w:p>
        </w:tc>
        <w:tc>
          <w:tcPr>
            <w:tcW w:w="345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仿宋" w:hAnsi="仿宋" w:eastAsia="仿宋" w:cs="Times New Roman"/>
                <w:sz w:val="21"/>
                <w:szCs w:val="21"/>
              </w:rPr>
            </w:pPr>
            <w:r>
              <w:rPr>
                <w:rFonts w:ascii="仿宋" w:hAnsi="仿宋" w:eastAsia="仿宋" w:cs="Times New Roman"/>
                <w:sz w:val="21"/>
                <w:szCs w:val="21"/>
              </w:rPr>
              <w:t>非</w:t>
            </w:r>
            <w:r>
              <w:rPr>
                <w:rFonts w:hint="eastAsia" w:ascii="仿宋" w:hAnsi="仿宋" w:eastAsia="仿宋" w:cs="Times New Roman"/>
                <w:sz w:val="21"/>
                <w:szCs w:val="21"/>
                <w:lang w:val="en-US" w:eastAsia="zh-CN"/>
              </w:rPr>
              <w:t>深</w:t>
            </w:r>
            <w:r>
              <w:rPr>
                <w:rFonts w:ascii="仿宋" w:hAnsi="仿宋" w:eastAsia="仿宋" w:cs="Times New Roman"/>
                <w:sz w:val="21"/>
                <w:szCs w:val="21"/>
              </w:rPr>
              <w:t>户暂住人口</w:t>
            </w:r>
            <w:r>
              <w:rPr>
                <w:rFonts w:hint="eastAsia" w:ascii="仿宋" w:hAnsi="仿宋" w:eastAsia="仿宋" w:cs="Times New Roman"/>
                <w:sz w:val="21"/>
                <w:szCs w:val="21"/>
              </w:rPr>
              <w:t>74</w:t>
            </w:r>
            <w:r>
              <w:rPr>
                <w:rFonts w:ascii="仿宋" w:hAnsi="仿宋" w:eastAsia="仿宋" w:cs="Times New Roman"/>
                <w:sz w:val="21"/>
                <w:szCs w:val="21"/>
              </w:rPr>
              <w:t>%，深户不低于</w:t>
            </w:r>
            <w:r>
              <w:rPr>
                <w:rFonts w:hint="eastAsia" w:ascii="仿宋" w:hAnsi="仿宋" w:eastAsia="仿宋" w:cs="Times New Roman"/>
                <w:sz w:val="21"/>
                <w:szCs w:val="21"/>
              </w:rPr>
              <w:t>36</w:t>
            </w:r>
            <w:r>
              <w:rPr>
                <w:rFonts w:ascii="仿宋" w:hAnsi="仿宋" w:eastAsia="仿宋" w:cs="Times New Roman"/>
                <w:sz w:val="21"/>
                <w:szCs w:val="21"/>
              </w:rPr>
              <w:t>%</w:t>
            </w:r>
          </w:p>
        </w:tc>
        <w:tc>
          <w:tcPr>
            <w:tcW w:w="207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仿宋" w:hAnsi="仿宋" w:eastAsia="仿宋" w:cs="Times New Roman"/>
                <w:sz w:val="21"/>
                <w:szCs w:val="21"/>
              </w:rPr>
            </w:pPr>
            <w:r>
              <w:rPr>
                <w:rFonts w:ascii="仿宋" w:hAnsi="仿宋" w:eastAsia="仿宋" w:cs="Times New Roman"/>
                <w:sz w:val="21"/>
                <w:szCs w:val="21"/>
              </w:rPr>
              <w:t>深户：</w:t>
            </w:r>
            <w:r>
              <w:rPr>
                <w:rFonts w:hint="eastAsia" w:ascii="仿宋" w:hAnsi="仿宋" w:eastAsia="仿宋" w:cs="Times New Roman"/>
                <w:sz w:val="21"/>
                <w:szCs w:val="21"/>
              </w:rPr>
              <w:t>1911</w:t>
            </w:r>
          </w:p>
        </w:tc>
        <w:tc>
          <w:tcPr>
            <w:tcW w:w="2108"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仿宋" w:hAnsi="仿宋" w:eastAsia="仿宋" w:cs="Times New Roman"/>
                <w:sz w:val="21"/>
                <w:szCs w:val="21"/>
              </w:rPr>
            </w:pPr>
            <w:r>
              <w:rPr>
                <w:rFonts w:ascii="仿宋" w:hAnsi="仿宋" w:eastAsia="仿宋" w:cs="Times New Roman"/>
                <w:sz w:val="21"/>
                <w:szCs w:val="21"/>
              </w:rPr>
              <w:t>非深户：3</w:t>
            </w:r>
            <w:r>
              <w:rPr>
                <w:rFonts w:hint="eastAsia" w:ascii="仿宋" w:hAnsi="仿宋" w:eastAsia="仿宋" w:cs="Times New Roman"/>
                <w:sz w:val="21"/>
                <w:szCs w:val="21"/>
              </w:rPr>
              <w:t>395</w:t>
            </w:r>
          </w:p>
        </w:tc>
      </w:tr>
      <w:tr>
        <w:tblPrEx>
          <w:tblBorders>
            <w:top w:val="single" w:color="auto" w:sz="12"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66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ascii="仿宋" w:hAnsi="仿宋" w:eastAsia="仿宋" w:cs="Times New Roman"/>
                <w:sz w:val="21"/>
                <w:szCs w:val="21"/>
              </w:rPr>
            </w:pPr>
            <w:r>
              <w:rPr>
                <w:rFonts w:hint="eastAsia" w:ascii="仿宋" w:hAnsi="仿宋" w:eastAsia="仿宋" w:cs="Times New Roman"/>
                <w:sz w:val="21"/>
                <w:szCs w:val="21"/>
              </w:rPr>
              <w:t>4</w:t>
            </w:r>
          </w:p>
        </w:tc>
        <w:tc>
          <w:tcPr>
            <w:tcW w:w="1306"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仿宋" w:hAnsi="仿宋" w:eastAsia="仿宋" w:cs="Times New Roman"/>
                <w:sz w:val="21"/>
                <w:szCs w:val="21"/>
              </w:rPr>
            </w:pPr>
            <w:r>
              <w:rPr>
                <w:rFonts w:hint="eastAsia" w:ascii="仿宋" w:hAnsi="仿宋" w:eastAsia="仿宋" w:cs="Times New Roman"/>
                <w:sz w:val="21"/>
                <w:szCs w:val="21"/>
              </w:rPr>
              <w:t>是否城中村</w:t>
            </w:r>
          </w:p>
        </w:tc>
        <w:tc>
          <w:tcPr>
            <w:tcW w:w="345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仿宋" w:hAnsi="仿宋" w:eastAsia="仿宋" w:cs="Times New Roman"/>
                <w:sz w:val="21"/>
                <w:szCs w:val="21"/>
              </w:rPr>
            </w:pPr>
            <w:r>
              <w:rPr>
                <w:rFonts w:hint="eastAsia" w:ascii="仿宋" w:hAnsi="仿宋" w:eastAsia="仿宋" w:cs="Times New Roman"/>
                <w:sz w:val="21"/>
                <w:szCs w:val="21"/>
              </w:rPr>
              <w:t>城中村人口46%，非城中村人口54%</w:t>
            </w:r>
          </w:p>
        </w:tc>
        <w:tc>
          <w:tcPr>
            <w:tcW w:w="207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仿宋" w:hAnsi="仿宋" w:eastAsia="仿宋" w:cs="Times New Roman"/>
                <w:sz w:val="21"/>
                <w:szCs w:val="21"/>
              </w:rPr>
            </w:pPr>
            <w:r>
              <w:rPr>
                <w:rFonts w:hint="eastAsia" w:ascii="仿宋" w:hAnsi="仿宋" w:eastAsia="仿宋" w:cs="Times New Roman"/>
                <w:sz w:val="21"/>
                <w:szCs w:val="21"/>
              </w:rPr>
              <w:t>城中村人口：2460</w:t>
            </w:r>
          </w:p>
        </w:tc>
        <w:tc>
          <w:tcPr>
            <w:tcW w:w="2108"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仿宋" w:hAnsi="仿宋" w:eastAsia="仿宋" w:cs="Times New Roman"/>
                <w:sz w:val="21"/>
                <w:szCs w:val="21"/>
              </w:rPr>
            </w:pPr>
            <w:r>
              <w:rPr>
                <w:rFonts w:hint="eastAsia" w:ascii="仿宋" w:hAnsi="仿宋" w:eastAsia="仿宋" w:cs="Times New Roman"/>
                <w:sz w:val="21"/>
                <w:szCs w:val="21"/>
              </w:rPr>
              <w:t>非城中村人口：2846</w:t>
            </w:r>
          </w:p>
        </w:tc>
      </w:tr>
      <w:tr>
        <w:tblPrEx>
          <w:tblBorders>
            <w:top w:val="single" w:color="auto" w:sz="12"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jc w:val="center"/>
        </w:trPr>
        <w:tc>
          <w:tcPr>
            <w:tcW w:w="66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ascii="仿宋" w:hAnsi="仿宋" w:eastAsia="仿宋" w:cs="Times New Roman"/>
                <w:sz w:val="21"/>
                <w:szCs w:val="21"/>
              </w:rPr>
            </w:pPr>
            <w:r>
              <w:rPr>
                <w:rFonts w:hint="eastAsia" w:ascii="仿宋" w:hAnsi="仿宋" w:eastAsia="仿宋" w:cs="Times New Roman"/>
                <w:sz w:val="21"/>
                <w:szCs w:val="21"/>
              </w:rPr>
              <w:t>5</w:t>
            </w:r>
          </w:p>
        </w:tc>
        <w:tc>
          <w:tcPr>
            <w:tcW w:w="1306"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仿宋" w:hAnsi="仿宋" w:eastAsia="仿宋" w:cs="Times New Roman"/>
                <w:sz w:val="21"/>
                <w:szCs w:val="21"/>
              </w:rPr>
            </w:pPr>
            <w:r>
              <w:rPr>
                <w:rFonts w:hint="eastAsia" w:ascii="仿宋" w:hAnsi="仿宋" w:eastAsia="仿宋" w:cs="Times New Roman"/>
                <w:sz w:val="21"/>
                <w:szCs w:val="21"/>
              </w:rPr>
              <w:t>居住年限</w:t>
            </w:r>
          </w:p>
        </w:tc>
        <w:tc>
          <w:tcPr>
            <w:tcW w:w="345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仿宋" w:hAnsi="仿宋" w:eastAsia="仿宋" w:cs="Times New Roman"/>
                <w:sz w:val="21"/>
                <w:szCs w:val="21"/>
              </w:rPr>
            </w:pPr>
            <w:r>
              <w:rPr>
                <w:rFonts w:hint="eastAsia" w:ascii="仿宋" w:hAnsi="仿宋" w:eastAsia="仿宋" w:cs="Times New Roman"/>
                <w:sz w:val="21"/>
                <w:szCs w:val="21"/>
              </w:rPr>
              <w:t>3年以上人口75%，3年及3年以下人口25%</w:t>
            </w:r>
          </w:p>
        </w:tc>
        <w:tc>
          <w:tcPr>
            <w:tcW w:w="207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仿宋" w:hAnsi="仿宋" w:eastAsia="仿宋" w:cs="Times New Roman"/>
                <w:sz w:val="21"/>
                <w:szCs w:val="21"/>
              </w:rPr>
            </w:pPr>
            <w:r>
              <w:rPr>
                <w:rFonts w:hint="eastAsia" w:ascii="仿宋" w:hAnsi="仿宋" w:eastAsia="仿宋" w:cs="Times New Roman"/>
                <w:sz w:val="21"/>
                <w:szCs w:val="21"/>
              </w:rPr>
              <w:t>3年以上人口：3984</w:t>
            </w:r>
          </w:p>
        </w:tc>
        <w:tc>
          <w:tcPr>
            <w:tcW w:w="2108"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仿宋" w:hAnsi="仿宋" w:eastAsia="仿宋" w:cs="Times New Roman"/>
                <w:sz w:val="21"/>
                <w:szCs w:val="21"/>
              </w:rPr>
            </w:pPr>
            <w:r>
              <w:rPr>
                <w:rFonts w:hint="eastAsia" w:ascii="仿宋" w:hAnsi="仿宋" w:eastAsia="仿宋" w:cs="Times New Roman"/>
                <w:sz w:val="21"/>
                <w:szCs w:val="21"/>
              </w:rPr>
              <w:t>3年及3年以下人口：1322</w:t>
            </w:r>
          </w:p>
        </w:tc>
      </w:tr>
      <w:tr>
        <w:tblPrEx>
          <w:tblBorders>
            <w:top w:val="single" w:color="auto" w:sz="12"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jc w:val="center"/>
        </w:trPr>
        <w:tc>
          <w:tcPr>
            <w:tcW w:w="66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ascii="仿宋" w:hAnsi="仿宋" w:eastAsia="仿宋" w:cs="Times New Roman"/>
                <w:sz w:val="21"/>
                <w:szCs w:val="21"/>
              </w:rPr>
            </w:pPr>
            <w:r>
              <w:rPr>
                <w:rFonts w:hint="eastAsia" w:ascii="仿宋" w:hAnsi="仿宋" w:eastAsia="仿宋" w:cs="Times New Roman"/>
                <w:sz w:val="21"/>
                <w:szCs w:val="21"/>
              </w:rPr>
              <w:t>6</w:t>
            </w:r>
          </w:p>
        </w:tc>
        <w:tc>
          <w:tcPr>
            <w:tcW w:w="1306"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仿宋" w:hAnsi="仿宋" w:eastAsia="仿宋" w:cs="Times New Roman"/>
                <w:sz w:val="21"/>
                <w:szCs w:val="21"/>
              </w:rPr>
            </w:pPr>
            <w:r>
              <w:rPr>
                <w:rFonts w:ascii="仿宋" w:hAnsi="仿宋" w:eastAsia="仿宋" w:cs="Times New Roman"/>
                <w:sz w:val="21"/>
                <w:szCs w:val="21"/>
              </w:rPr>
              <w:t>职业</w:t>
            </w:r>
          </w:p>
        </w:tc>
        <w:tc>
          <w:tcPr>
            <w:tcW w:w="345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仿宋" w:hAnsi="仿宋" w:eastAsia="仿宋" w:cs="Times New Roman"/>
                <w:sz w:val="21"/>
                <w:szCs w:val="21"/>
              </w:rPr>
            </w:pPr>
            <w:r>
              <w:rPr>
                <w:rFonts w:ascii="仿宋" w:hAnsi="仿宋" w:eastAsia="仿宋" w:cs="Times New Roman"/>
                <w:sz w:val="21"/>
                <w:szCs w:val="21"/>
              </w:rPr>
              <w:t>机关事业单位人员不低于1</w:t>
            </w:r>
            <w:r>
              <w:rPr>
                <w:rFonts w:hint="eastAsia" w:ascii="仿宋" w:hAnsi="仿宋" w:eastAsia="仿宋" w:cs="Times New Roman"/>
                <w:sz w:val="21"/>
                <w:szCs w:val="21"/>
                <w:lang w:val="en-US" w:eastAsia="zh-CN"/>
              </w:rPr>
              <w:t>0</w:t>
            </w:r>
            <w:r>
              <w:rPr>
                <w:rFonts w:ascii="仿宋" w:hAnsi="仿宋" w:eastAsia="仿宋" w:cs="Times New Roman"/>
                <w:sz w:val="21"/>
                <w:szCs w:val="21"/>
              </w:rPr>
              <w:t>%，企业不低于</w:t>
            </w:r>
            <w:r>
              <w:rPr>
                <w:rFonts w:hint="eastAsia" w:ascii="仿宋" w:hAnsi="仿宋" w:eastAsia="仿宋" w:cs="Times New Roman"/>
                <w:sz w:val="21"/>
                <w:szCs w:val="21"/>
              </w:rPr>
              <w:t>5</w:t>
            </w:r>
            <w:r>
              <w:rPr>
                <w:rFonts w:hint="eastAsia" w:ascii="仿宋" w:hAnsi="仿宋" w:eastAsia="仿宋" w:cs="Times New Roman"/>
                <w:sz w:val="21"/>
                <w:szCs w:val="21"/>
                <w:lang w:val="en-US" w:eastAsia="zh-CN"/>
              </w:rPr>
              <w:t>0</w:t>
            </w:r>
            <w:r>
              <w:rPr>
                <w:rFonts w:ascii="仿宋" w:hAnsi="仿宋" w:eastAsia="仿宋" w:cs="Times New Roman"/>
                <w:sz w:val="21"/>
                <w:szCs w:val="21"/>
              </w:rPr>
              <w:t>%</w:t>
            </w:r>
          </w:p>
        </w:tc>
        <w:tc>
          <w:tcPr>
            <w:tcW w:w="207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仿宋" w:hAnsi="仿宋" w:eastAsia="仿宋" w:cs="Times New Roman"/>
                <w:sz w:val="21"/>
                <w:szCs w:val="21"/>
              </w:rPr>
            </w:pPr>
            <w:r>
              <w:rPr>
                <w:rFonts w:ascii="仿宋" w:hAnsi="仿宋" w:eastAsia="仿宋" w:cs="Times New Roman"/>
                <w:sz w:val="21"/>
                <w:szCs w:val="21"/>
              </w:rPr>
              <w:t>事业单位：6</w:t>
            </w:r>
            <w:r>
              <w:rPr>
                <w:rFonts w:hint="eastAsia" w:ascii="仿宋" w:hAnsi="仿宋" w:eastAsia="仿宋" w:cs="Times New Roman"/>
                <w:sz w:val="21"/>
                <w:szCs w:val="21"/>
              </w:rPr>
              <w:t>88</w:t>
            </w:r>
          </w:p>
        </w:tc>
        <w:tc>
          <w:tcPr>
            <w:tcW w:w="2108"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仿宋" w:hAnsi="仿宋" w:eastAsia="仿宋" w:cs="Times New Roman"/>
                <w:sz w:val="21"/>
                <w:szCs w:val="21"/>
              </w:rPr>
            </w:pPr>
            <w:r>
              <w:rPr>
                <w:rFonts w:ascii="仿宋" w:hAnsi="仿宋" w:eastAsia="仿宋" w:cs="Times New Roman"/>
                <w:sz w:val="21"/>
                <w:szCs w:val="21"/>
              </w:rPr>
              <w:t>企业：</w:t>
            </w:r>
            <w:r>
              <w:rPr>
                <w:rFonts w:hint="eastAsia" w:ascii="仿宋" w:hAnsi="仿宋" w:eastAsia="仿宋" w:cs="Times New Roman"/>
                <w:sz w:val="21"/>
                <w:szCs w:val="21"/>
              </w:rPr>
              <w:t>3033</w:t>
            </w:r>
          </w:p>
        </w:tc>
      </w:tr>
      <w:tr>
        <w:tblPrEx>
          <w:tblBorders>
            <w:top w:val="single" w:color="auto" w:sz="12"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2" w:hRule="atLeast"/>
          <w:jc w:val="center"/>
        </w:trPr>
        <w:tc>
          <w:tcPr>
            <w:tcW w:w="66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ascii="仿宋" w:hAnsi="仿宋" w:eastAsia="仿宋" w:cs="Times New Roman"/>
                <w:sz w:val="21"/>
                <w:szCs w:val="21"/>
              </w:rPr>
            </w:pPr>
            <w:r>
              <w:rPr>
                <w:rFonts w:hint="eastAsia" w:ascii="仿宋" w:hAnsi="仿宋" w:eastAsia="仿宋" w:cs="Times New Roman"/>
                <w:sz w:val="21"/>
                <w:szCs w:val="21"/>
              </w:rPr>
              <w:t>7</w:t>
            </w:r>
          </w:p>
        </w:tc>
        <w:tc>
          <w:tcPr>
            <w:tcW w:w="1306"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仿宋" w:hAnsi="仿宋" w:eastAsia="仿宋" w:cs="Times New Roman"/>
                <w:sz w:val="21"/>
                <w:szCs w:val="21"/>
              </w:rPr>
            </w:pPr>
            <w:r>
              <w:rPr>
                <w:rFonts w:ascii="仿宋" w:hAnsi="仿宋" w:eastAsia="仿宋" w:cs="Times New Roman"/>
                <w:sz w:val="21"/>
                <w:szCs w:val="21"/>
              </w:rPr>
              <w:t>外国人</w:t>
            </w:r>
          </w:p>
        </w:tc>
        <w:tc>
          <w:tcPr>
            <w:tcW w:w="345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仿宋" w:hAnsi="仿宋" w:eastAsia="仿宋" w:cs="Times New Roman"/>
                <w:sz w:val="21"/>
                <w:szCs w:val="21"/>
              </w:rPr>
            </w:pPr>
            <w:r>
              <w:rPr>
                <w:rFonts w:hint="eastAsia" w:ascii="仿宋" w:hAnsi="仿宋" w:eastAsia="仿宋" w:cs="Times New Roman"/>
                <w:sz w:val="21"/>
                <w:szCs w:val="21"/>
                <w:lang w:val="en-US" w:eastAsia="zh-CN"/>
              </w:rPr>
              <w:t>外国人1.3%</w:t>
            </w:r>
          </w:p>
        </w:tc>
        <w:tc>
          <w:tcPr>
            <w:tcW w:w="207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仿宋" w:hAnsi="仿宋" w:eastAsia="仿宋" w:cs="Times New Roman"/>
                <w:sz w:val="21"/>
                <w:szCs w:val="21"/>
              </w:rPr>
            </w:pPr>
            <w:r>
              <w:rPr>
                <w:rFonts w:hint="eastAsia" w:ascii="仿宋" w:hAnsi="仿宋" w:eastAsia="仿宋" w:cs="Times New Roman"/>
                <w:sz w:val="21"/>
                <w:szCs w:val="21"/>
                <w:lang w:val="en-US" w:eastAsia="zh-CN"/>
              </w:rPr>
              <w:t>深大留学生：43</w:t>
            </w:r>
          </w:p>
        </w:tc>
        <w:tc>
          <w:tcPr>
            <w:tcW w:w="2108"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仿宋" w:hAnsi="仿宋" w:eastAsia="仿宋" w:cs="Times New Roman"/>
                <w:sz w:val="21"/>
                <w:szCs w:val="21"/>
              </w:rPr>
            </w:pPr>
            <w:r>
              <w:rPr>
                <w:rFonts w:hint="eastAsia" w:ascii="仿宋" w:hAnsi="仿宋" w:eastAsia="仿宋" w:cs="Times New Roman"/>
                <w:sz w:val="21"/>
                <w:szCs w:val="21"/>
                <w:lang w:val="en-US" w:eastAsia="zh-CN"/>
              </w:rPr>
              <w:t>外国人：70</w:t>
            </w:r>
          </w:p>
        </w:tc>
      </w:tr>
    </w:tbl>
    <w:p>
      <w:pPr>
        <w:tabs>
          <w:tab w:val="left" w:pos="0"/>
        </w:tabs>
        <w:adjustRightInd w:val="0"/>
        <w:snapToGrid w:val="0"/>
        <w:spacing w:before="156" w:beforeLines="50" w:line="360" w:lineRule="auto"/>
        <w:ind w:firstLine="560" w:firstLineChars="200"/>
        <w:rPr>
          <w:rFonts w:ascii="仿宋" w:hAnsi="仿宋" w:eastAsia="仿宋" w:cs="Times New Roman"/>
          <w:sz w:val="28"/>
          <w:szCs w:val="28"/>
        </w:rPr>
      </w:pPr>
      <w:r>
        <w:rPr>
          <w:rFonts w:hint="eastAsia" w:ascii="仿宋" w:hAnsi="仿宋" w:eastAsia="仿宋" w:cs="Times New Roman"/>
          <w:sz w:val="28"/>
          <w:szCs w:val="28"/>
        </w:rPr>
        <w:t>3、问卷处理，统计分析</w:t>
      </w:r>
    </w:p>
    <w:p>
      <w:pPr>
        <w:bidi w:val="0"/>
      </w:pPr>
      <w:r>
        <w:rPr>
          <w:rFonts w:hint="eastAsia"/>
        </w:rPr>
        <w:t>运用</w:t>
      </w:r>
      <w:r>
        <w:t>SPSS（Statistical Product and Service Solutions）软件对</w:t>
      </w:r>
      <w:r>
        <w:rPr>
          <w:rFonts w:hint="eastAsia"/>
        </w:rPr>
        <w:t>调查问卷</w:t>
      </w:r>
      <w:r>
        <w:t>进行统计分析</w:t>
      </w:r>
      <w:r>
        <w:rPr>
          <w:rFonts w:hint="eastAsia"/>
        </w:rPr>
        <w:t>，得到全市宜居总体满意度、各宜居分项满意度及各区满意度情况。采用定量和定性结合方式分析全市满意度变动趋势，各宜居分项满意度差异性及变动情况，从而反应深圳市宜居城市建设情况</w:t>
      </w:r>
      <w:r>
        <w:t>。</w:t>
      </w:r>
    </w:p>
    <w:p>
      <w:pPr>
        <w:tabs>
          <w:tab w:val="left" w:pos="0"/>
        </w:tabs>
        <w:adjustRightInd w:val="0"/>
        <w:snapToGrid w:val="0"/>
        <w:spacing w:line="360" w:lineRule="auto"/>
        <w:ind w:firstLine="560" w:firstLineChars="200"/>
        <w:rPr>
          <w:rFonts w:ascii="仿宋" w:hAnsi="仿宋" w:eastAsia="仿宋" w:cs="Times New Roman"/>
          <w:sz w:val="28"/>
          <w:szCs w:val="28"/>
        </w:rPr>
      </w:pPr>
      <w:r>
        <w:rPr>
          <w:rFonts w:hint="eastAsia" w:ascii="仿宋" w:hAnsi="仿宋" w:eastAsia="仿宋" w:cs="Times New Roman"/>
          <w:sz w:val="28"/>
          <w:szCs w:val="28"/>
        </w:rPr>
        <w:t>4、提出改进建议</w:t>
      </w:r>
    </w:p>
    <w:p>
      <w:pPr>
        <w:bidi w:val="0"/>
      </w:pPr>
      <w:r>
        <w:rPr>
          <w:rFonts w:hint="eastAsia"/>
        </w:rPr>
        <w:t>根据统计分析结果，结合问卷中开放性意见，立足深圳现实，提出具有合理性、针对性和可行性的建议，以便深圳早日实现建设国际化先进城市、宜居城市的目标。</w:t>
      </w:r>
    </w:p>
    <w:p>
      <w:pPr>
        <w:keepNext/>
        <w:keepLines/>
        <w:pageBreakBefore w:val="0"/>
        <w:widowControl w:val="0"/>
        <w:kinsoku/>
        <w:wordWrap/>
        <w:overflowPunct/>
        <w:topLinePunct w:val="0"/>
        <w:autoSpaceDE/>
        <w:autoSpaceDN/>
        <w:bidi w:val="0"/>
        <w:adjustRightInd/>
        <w:snapToGrid/>
        <w:spacing w:before="0" w:after="0" w:line="360" w:lineRule="auto"/>
        <w:jc w:val="both"/>
        <w:textAlignment w:val="auto"/>
        <w:outlineLvl w:val="1"/>
        <w:rPr>
          <w:rFonts w:hint="eastAsia" w:ascii="仿宋" w:hAnsi="仿宋" w:eastAsia="仿宋" w:cs="Times New Roman"/>
          <w:b/>
          <w:bCs/>
          <w:kern w:val="2"/>
          <w:sz w:val="28"/>
          <w:szCs w:val="32"/>
          <w:lang w:val="en-US" w:eastAsia="zh-CN" w:bidi="ar-SA"/>
        </w:rPr>
      </w:pPr>
      <w:bookmarkStart w:id="3" w:name="_Toc24668514"/>
      <w:r>
        <w:rPr>
          <w:rFonts w:hint="eastAsia" w:ascii="仿宋" w:hAnsi="仿宋" w:eastAsia="仿宋" w:cs="Times New Roman"/>
          <w:b/>
          <w:bCs/>
          <w:kern w:val="2"/>
          <w:sz w:val="28"/>
          <w:szCs w:val="32"/>
          <w:lang w:val="en-US" w:eastAsia="zh-CN" w:bidi="ar-SA"/>
        </w:rPr>
        <w:t>（三）技术路线</w:t>
      </w:r>
    </w:p>
    <w:p>
      <w:pPr>
        <w:bidi w:val="0"/>
      </w:pPr>
      <w:r>
        <w:rPr>
          <w:rFonts w:hint="eastAsia"/>
        </w:rPr>
        <w:t>针对深圳宜居城市市民满意度，本调查报告，采用问卷调查方式，全面了解市民对深圳宜居建设的真实感受。首先，在以往调查问卷基础上，完善调查问卷；然后，采用SPSS统计分析，全市、各宜居分项以及各区的满意度情况；最后，根据分析结果，为深圳宜居建设提出合理、有针对性的建议。</w:t>
      </w:r>
    </w:p>
    <w:p>
      <w:pPr>
        <w:rPr>
          <w:rFonts w:ascii="等线" w:hAnsi="等线" w:eastAsia="等线" w:cs="Times New Roman"/>
          <w:szCs w:val="22"/>
        </w:rPr>
      </w:pPr>
      <w:r>
        <w:rPr>
          <w:rFonts w:ascii="等线" w:hAnsi="等线" w:eastAsia="等线" w:cs="Times New Roman"/>
          <w:szCs w:val="22"/>
        </w:rPr>
        <w:object>
          <v:shape id="_x0000_i1025" o:spt="75" type="#_x0000_t75" style="height:300.1pt;width:415.1pt;" o:ole="t" filled="f" o:preferrelative="t" stroked="f" coordsize="21600,21600">
            <v:path/>
            <v:fill on="f" focussize="0,0"/>
            <v:stroke on="f" joinstyle="miter"/>
            <v:imagedata r:id="rId8" o:title=""/>
            <o:lock v:ext="edit" aspectratio="t"/>
            <w10:wrap type="none"/>
            <w10:anchorlock/>
          </v:shape>
          <o:OLEObject Type="Embed" ProgID="Visio.Drawing.15" ShapeID="_x0000_i1025" DrawAspect="Content" ObjectID="_1468075725">
            <o:LockedField>false</o:LockedField>
          </o:OLEObject>
        </w:object>
      </w:r>
    </w:p>
    <w:p>
      <w:pPr>
        <w:jc w:val="center"/>
        <w:rPr>
          <w:rFonts w:ascii="仿宋" w:hAnsi="仿宋" w:eastAsia="仿宋" w:cs="Times New Roman"/>
          <w:b/>
          <w:sz w:val="36"/>
          <w:szCs w:val="32"/>
        </w:rPr>
      </w:pPr>
      <w:r>
        <w:rPr>
          <w:rFonts w:hint="eastAsia" w:ascii="仿宋" w:hAnsi="仿宋" w:eastAsia="仿宋" w:cs="Times New Roman"/>
          <w:b/>
          <w:sz w:val="24"/>
          <w:szCs w:val="22"/>
        </w:rPr>
        <w:t>图1-</w:t>
      </w:r>
      <w:r>
        <w:rPr>
          <w:rFonts w:ascii="仿宋" w:hAnsi="仿宋" w:eastAsia="仿宋" w:cs="Times New Roman"/>
          <w:b/>
          <w:sz w:val="24"/>
          <w:szCs w:val="22"/>
        </w:rPr>
        <w:t>1</w:t>
      </w:r>
      <w:r>
        <w:rPr>
          <w:rFonts w:hint="eastAsia" w:ascii="仿宋" w:hAnsi="仿宋" w:eastAsia="仿宋" w:cs="Times New Roman"/>
          <w:b/>
          <w:sz w:val="24"/>
          <w:szCs w:val="22"/>
        </w:rPr>
        <w:t>技术路线</w:t>
      </w:r>
    </w:p>
    <w:p>
      <w:pPr>
        <w:keepNext/>
        <w:keepLines/>
        <w:pageBreakBefore w:val="0"/>
        <w:widowControl w:val="0"/>
        <w:kinsoku/>
        <w:wordWrap/>
        <w:overflowPunct/>
        <w:topLinePunct w:val="0"/>
        <w:autoSpaceDE/>
        <w:autoSpaceDN/>
        <w:bidi w:val="0"/>
        <w:adjustRightInd/>
        <w:snapToGrid/>
        <w:spacing w:before="0" w:after="0" w:line="360" w:lineRule="auto"/>
        <w:jc w:val="both"/>
        <w:textAlignment w:val="auto"/>
        <w:outlineLvl w:val="1"/>
        <w:rPr>
          <w:rFonts w:hint="eastAsia" w:ascii="仿宋" w:hAnsi="仿宋" w:eastAsia="仿宋" w:cs="Times New Roman"/>
          <w:b/>
          <w:bCs/>
          <w:kern w:val="2"/>
          <w:sz w:val="28"/>
          <w:szCs w:val="32"/>
          <w:lang w:val="en-US" w:eastAsia="zh-CN" w:bidi="ar-SA"/>
        </w:rPr>
      </w:pPr>
      <w:r>
        <w:rPr>
          <w:rFonts w:hint="eastAsia" w:ascii="仿宋" w:hAnsi="仿宋" w:eastAsia="仿宋" w:cs="Times New Roman"/>
          <w:b/>
          <w:bCs/>
          <w:kern w:val="2"/>
          <w:sz w:val="28"/>
          <w:szCs w:val="32"/>
          <w:lang w:val="en-US" w:eastAsia="zh-CN" w:bidi="ar-SA"/>
        </w:rPr>
        <w:t>（四）</w:t>
      </w:r>
      <w:bookmarkEnd w:id="3"/>
      <w:r>
        <w:rPr>
          <w:rFonts w:hint="eastAsia" w:ascii="仿宋" w:hAnsi="仿宋" w:eastAsia="仿宋" w:cs="Times New Roman"/>
          <w:b/>
          <w:bCs/>
          <w:kern w:val="2"/>
          <w:sz w:val="28"/>
          <w:szCs w:val="32"/>
          <w:lang w:val="en-US" w:eastAsia="zh-CN" w:bidi="ar-SA"/>
        </w:rPr>
        <w:t>总体样本描述</w:t>
      </w:r>
    </w:p>
    <w:p>
      <w:pPr>
        <w:tabs>
          <w:tab w:val="left" w:pos="1080"/>
        </w:tabs>
        <w:adjustRightInd w:val="0"/>
        <w:snapToGrid w:val="0"/>
        <w:spacing w:before="156" w:beforeLines="50" w:line="360" w:lineRule="auto"/>
        <w:jc w:val="left"/>
        <w:rPr>
          <w:rFonts w:ascii="仿宋" w:hAnsi="仿宋" w:eastAsia="仿宋" w:cs="Times New Roman"/>
          <w:b/>
          <w:sz w:val="28"/>
          <w:szCs w:val="28"/>
        </w:rPr>
      </w:pPr>
      <w:r>
        <w:rPr>
          <w:rFonts w:hint="eastAsia" w:ascii="仿宋" w:hAnsi="仿宋" w:eastAsia="仿宋" w:cs="Times New Roman"/>
          <w:b/>
          <w:sz w:val="28"/>
          <w:szCs w:val="28"/>
        </w:rPr>
        <w:t>1、性别</w:t>
      </w:r>
    </w:p>
    <w:p>
      <w:pPr>
        <w:bidi w:val="0"/>
      </w:pPr>
      <w:r>
        <w:rPr>
          <w:rFonts w:hint="eastAsia"/>
        </w:rPr>
        <w:t>本次调查的5</w:t>
      </w:r>
      <w:r>
        <w:t>3</w:t>
      </w:r>
      <w:r>
        <w:rPr>
          <w:rFonts w:hint="eastAsia"/>
        </w:rPr>
        <w:t>06位市民中，男性为2516名，占比47.42%；女性为</w:t>
      </w:r>
      <w:r>
        <w:t>27</w:t>
      </w:r>
      <w:r>
        <w:rPr>
          <w:rFonts w:hint="eastAsia"/>
        </w:rPr>
        <w:t>90，占比52.58%，具体如图5-</w:t>
      </w:r>
      <w:r>
        <w:t>1</w:t>
      </w:r>
      <w:r>
        <w:rPr>
          <w:rFonts w:hint="eastAsia"/>
        </w:rPr>
        <w:t>所示，男女性别比例接近1:1，性别比例均衡。</w:t>
      </w:r>
    </w:p>
    <w:p>
      <w:pPr>
        <w:tabs>
          <w:tab w:val="left" w:pos="1080"/>
        </w:tabs>
        <w:spacing w:line="360" w:lineRule="auto"/>
        <w:jc w:val="center"/>
        <w:rPr>
          <w:rFonts w:ascii="仿宋" w:hAnsi="仿宋" w:eastAsia="仿宋" w:cs="Times New Roman"/>
          <w:sz w:val="28"/>
          <w:szCs w:val="28"/>
        </w:rPr>
      </w:pPr>
      <w:r>
        <w:rPr>
          <w:rFonts w:ascii="等线" w:hAnsi="等线" w:eastAsia="等线" w:cs="Times New Roman"/>
          <w:szCs w:val="22"/>
        </w:rPr>
        <w:drawing>
          <wp:inline distT="0" distB="0" distL="114300" distR="114300">
            <wp:extent cx="4572000" cy="2743200"/>
            <wp:effectExtent l="4445" t="4445" r="14605" b="14605"/>
            <wp:docPr id="15"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pPr>
        <w:tabs>
          <w:tab w:val="left" w:pos="1080"/>
        </w:tabs>
        <w:spacing w:line="360" w:lineRule="auto"/>
        <w:jc w:val="center"/>
        <w:rPr>
          <w:rFonts w:ascii="仿宋" w:hAnsi="仿宋" w:eastAsia="仿宋" w:cs="Times New Roman"/>
          <w:b/>
          <w:sz w:val="24"/>
          <w:szCs w:val="28"/>
        </w:rPr>
      </w:pPr>
      <w:r>
        <w:rPr>
          <w:rFonts w:hint="eastAsia" w:ascii="仿宋" w:hAnsi="仿宋" w:eastAsia="仿宋" w:cs="Times New Roman"/>
          <w:b/>
          <w:sz w:val="24"/>
          <w:szCs w:val="28"/>
        </w:rPr>
        <w:t>图5-</w:t>
      </w:r>
      <w:r>
        <w:rPr>
          <w:rFonts w:ascii="仿宋" w:hAnsi="仿宋" w:eastAsia="仿宋" w:cs="Times New Roman"/>
          <w:b/>
          <w:sz w:val="24"/>
          <w:szCs w:val="28"/>
        </w:rPr>
        <w:t>1</w:t>
      </w:r>
      <w:r>
        <w:rPr>
          <w:rFonts w:hint="eastAsia" w:ascii="仿宋" w:hAnsi="仿宋" w:eastAsia="仿宋" w:cs="Times New Roman"/>
          <w:b/>
          <w:sz w:val="24"/>
          <w:szCs w:val="28"/>
        </w:rPr>
        <w:t>不同性别样本占比</w:t>
      </w:r>
    </w:p>
    <w:p>
      <w:pPr>
        <w:tabs>
          <w:tab w:val="left" w:pos="1080"/>
        </w:tabs>
        <w:adjustRightInd w:val="0"/>
        <w:snapToGrid w:val="0"/>
        <w:spacing w:before="156" w:beforeLines="50" w:line="360" w:lineRule="auto"/>
        <w:jc w:val="left"/>
        <w:rPr>
          <w:rFonts w:ascii="仿宋" w:hAnsi="仿宋" w:eastAsia="仿宋" w:cs="Times New Roman"/>
          <w:b/>
          <w:sz w:val="28"/>
          <w:szCs w:val="28"/>
        </w:rPr>
      </w:pPr>
      <w:r>
        <w:rPr>
          <w:rFonts w:ascii="仿宋" w:hAnsi="仿宋" w:eastAsia="仿宋" w:cs="Times New Roman"/>
          <w:b/>
          <w:sz w:val="28"/>
          <w:szCs w:val="28"/>
        </w:rPr>
        <w:t>2</w:t>
      </w:r>
      <w:r>
        <w:rPr>
          <w:rFonts w:hint="eastAsia" w:ascii="仿宋" w:hAnsi="仿宋" w:eastAsia="仿宋" w:cs="Times New Roman"/>
          <w:b/>
          <w:sz w:val="28"/>
          <w:szCs w:val="28"/>
        </w:rPr>
        <w:t>、年龄</w:t>
      </w:r>
    </w:p>
    <w:p>
      <w:pPr>
        <w:bidi w:val="0"/>
      </w:pPr>
      <w:r>
        <w:rPr>
          <w:rFonts w:hint="eastAsia"/>
        </w:rPr>
        <w:t>本次调查的市民中，26-45岁的青壮年所占比例最高，达到</w:t>
      </w:r>
      <w:r>
        <w:t>6</w:t>
      </w:r>
      <w:r>
        <w:rPr>
          <w:rFonts w:hint="eastAsia"/>
        </w:rPr>
        <w:t>5.3%，46-64岁的中老年占9.9%，老年（65岁及以上）约占</w:t>
      </w:r>
      <w:r>
        <w:t>2.</w:t>
      </w:r>
      <w:r>
        <w:rPr>
          <w:rFonts w:hint="eastAsia"/>
        </w:rPr>
        <w:t>6%，基本符合调查预期。</w:t>
      </w:r>
    </w:p>
    <w:p>
      <w:pPr>
        <w:tabs>
          <w:tab w:val="left" w:pos="1080"/>
        </w:tabs>
        <w:spacing w:line="360" w:lineRule="auto"/>
        <w:jc w:val="center"/>
        <w:rPr>
          <w:rFonts w:ascii="仿宋" w:hAnsi="仿宋" w:eastAsia="仿宋" w:cs="Times New Roman"/>
          <w:sz w:val="28"/>
          <w:szCs w:val="28"/>
        </w:rPr>
      </w:pPr>
      <w:r>
        <w:rPr>
          <w:rFonts w:ascii="等线" w:hAnsi="等线" w:eastAsia="等线" w:cs="Times New Roman"/>
          <w:szCs w:val="22"/>
        </w:rPr>
        <w:drawing>
          <wp:inline distT="0" distB="0" distL="114300" distR="114300">
            <wp:extent cx="4572000" cy="2743200"/>
            <wp:effectExtent l="4445" t="4445" r="14605" b="14605"/>
            <wp:docPr id="27"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pPr>
        <w:tabs>
          <w:tab w:val="left" w:pos="1080"/>
        </w:tabs>
        <w:spacing w:line="360" w:lineRule="auto"/>
        <w:jc w:val="center"/>
        <w:rPr>
          <w:rFonts w:ascii="仿宋" w:hAnsi="仿宋" w:eastAsia="仿宋" w:cs="Times New Roman"/>
          <w:sz w:val="28"/>
          <w:szCs w:val="28"/>
        </w:rPr>
      </w:pPr>
      <w:r>
        <w:rPr>
          <w:rFonts w:hint="eastAsia" w:ascii="仿宋" w:hAnsi="仿宋" w:eastAsia="仿宋" w:cs="Times New Roman"/>
          <w:b/>
          <w:sz w:val="24"/>
          <w:szCs w:val="28"/>
        </w:rPr>
        <w:t>图5-2不同年龄段样本占比</w:t>
      </w:r>
    </w:p>
    <w:p>
      <w:pPr>
        <w:tabs>
          <w:tab w:val="left" w:pos="1080"/>
        </w:tabs>
        <w:adjustRightInd w:val="0"/>
        <w:snapToGrid w:val="0"/>
        <w:spacing w:before="156" w:beforeLines="50" w:line="360" w:lineRule="auto"/>
        <w:ind w:firstLine="562" w:firstLineChars="200"/>
        <w:jc w:val="left"/>
        <w:rPr>
          <w:rFonts w:ascii="仿宋" w:hAnsi="仿宋" w:eastAsia="仿宋" w:cs="Times New Roman"/>
          <w:b/>
          <w:sz w:val="28"/>
          <w:szCs w:val="28"/>
        </w:rPr>
      </w:pPr>
      <w:r>
        <w:rPr>
          <w:rFonts w:ascii="仿宋" w:hAnsi="仿宋" w:eastAsia="仿宋" w:cs="Times New Roman"/>
          <w:b/>
          <w:sz w:val="28"/>
          <w:szCs w:val="28"/>
        </w:rPr>
        <w:t>3</w:t>
      </w:r>
      <w:r>
        <w:rPr>
          <w:rFonts w:hint="eastAsia" w:ascii="仿宋" w:hAnsi="仿宋" w:eastAsia="仿宋" w:cs="Times New Roman"/>
          <w:b/>
          <w:sz w:val="28"/>
          <w:szCs w:val="28"/>
        </w:rPr>
        <w:t>、学历</w:t>
      </w:r>
    </w:p>
    <w:p>
      <w:pPr>
        <w:bidi w:val="0"/>
      </w:pPr>
      <w:r>
        <w:rPr>
          <w:rFonts w:hint="eastAsia"/>
        </w:rPr>
        <w:t>受访市民学历结构中，高中同等学</w:t>
      </w:r>
      <w:r>
        <w:rPr>
          <w:rFonts w:hint="eastAsia"/>
          <w:lang w:eastAsia="zh-CN"/>
        </w:rPr>
        <w:t>力</w:t>
      </w:r>
      <w:r>
        <w:rPr>
          <w:rFonts w:hint="eastAsia"/>
        </w:rPr>
        <w:t>及以下的市民占45.1%，大学专、本科学历占51.3%，硕士及以上占3.5%。</w:t>
      </w:r>
    </w:p>
    <w:p>
      <w:pPr>
        <w:tabs>
          <w:tab w:val="left" w:pos="1080"/>
        </w:tabs>
        <w:spacing w:line="360" w:lineRule="auto"/>
        <w:jc w:val="center"/>
        <w:rPr>
          <w:rFonts w:ascii="等线" w:hAnsi="等线" w:eastAsia="等线" w:cs="Times New Roman"/>
          <w:szCs w:val="22"/>
        </w:rPr>
      </w:pPr>
      <w:r>
        <w:rPr>
          <w:rFonts w:ascii="等线" w:hAnsi="等线" w:eastAsia="等线" w:cs="Times New Roman"/>
          <w:szCs w:val="22"/>
        </w:rPr>
        <w:drawing>
          <wp:inline distT="0" distB="0" distL="114300" distR="114300">
            <wp:extent cx="4572000" cy="2743200"/>
            <wp:effectExtent l="4445" t="4445" r="14605" b="14605"/>
            <wp:docPr id="39"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pPr>
        <w:tabs>
          <w:tab w:val="left" w:pos="1080"/>
        </w:tabs>
        <w:spacing w:line="360" w:lineRule="auto"/>
        <w:jc w:val="center"/>
        <w:rPr>
          <w:rFonts w:ascii="仿宋" w:hAnsi="仿宋" w:eastAsia="仿宋" w:cs="Times New Roman"/>
          <w:b/>
          <w:sz w:val="24"/>
          <w:szCs w:val="28"/>
        </w:rPr>
      </w:pPr>
      <w:r>
        <w:rPr>
          <w:rFonts w:hint="eastAsia" w:ascii="仿宋" w:hAnsi="仿宋" w:eastAsia="仿宋" w:cs="Times New Roman"/>
          <w:b/>
          <w:sz w:val="24"/>
          <w:szCs w:val="28"/>
        </w:rPr>
        <w:t>图5-3  不同学历占比</w:t>
      </w:r>
    </w:p>
    <w:p>
      <w:pPr>
        <w:tabs>
          <w:tab w:val="left" w:pos="1080"/>
        </w:tabs>
        <w:adjustRightInd w:val="0"/>
        <w:snapToGrid w:val="0"/>
        <w:spacing w:before="156" w:beforeLines="50" w:line="360" w:lineRule="auto"/>
        <w:ind w:firstLine="562" w:firstLineChars="200"/>
        <w:jc w:val="left"/>
        <w:rPr>
          <w:rFonts w:ascii="仿宋" w:hAnsi="仿宋" w:eastAsia="仿宋" w:cs="Times New Roman"/>
          <w:b/>
          <w:sz w:val="28"/>
          <w:szCs w:val="28"/>
        </w:rPr>
      </w:pPr>
      <w:r>
        <w:rPr>
          <w:rFonts w:hint="eastAsia" w:ascii="仿宋" w:hAnsi="仿宋" w:eastAsia="仿宋" w:cs="Times New Roman"/>
          <w:b/>
          <w:sz w:val="28"/>
          <w:szCs w:val="28"/>
          <w:lang w:val="en-US" w:eastAsia="zh-CN"/>
        </w:rPr>
        <w:t>4</w:t>
      </w:r>
      <w:r>
        <w:rPr>
          <w:rFonts w:hint="eastAsia" w:ascii="仿宋" w:hAnsi="仿宋" w:eastAsia="仿宋" w:cs="Times New Roman"/>
          <w:b/>
          <w:sz w:val="28"/>
          <w:szCs w:val="28"/>
        </w:rPr>
        <w:t>、户籍</w:t>
      </w:r>
    </w:p>
    <w:p>
      <w:pPr>
        <w:bidi w:val="0"/>
      </w:pPr>
      <w:r>
        <w:rPr>
          <w:rFonts w:hint="eastAsia"/>
        </w:rPr>
        <w:t>统计数据显示，市民中深户市民占36.</w:t>
      </w:r>
      <w:r>
        <w:rPr>
          <w:rFonts w:hint="eastAsia"/>
          <w:lang w:val="en-US" w:eastAsia="zh-CN"/>
        </w:rPr>
        <w:t>2</w:t>
      </w:r>
      <w:r>
        <w:rPr>
          <w:rFonts w:hint="eastAsia"/>
        </w:rPr>
        <w:t>%，非深户常住市民占</w:t>
      </w:r>
      <w:r>
        <w:t>6</w:t>
      </w:r>
      <w:r>
        <w:rPr>
          <w:rFonts w:hint="eastAsia"/>
        </w:rPr>
        <w:t>2.5%，基本符合深圳市人口特征，外国人</w:t>
      </w:r>
      <w:r>
        <w:t>1.</w:t>
      </w:r>
      <w:r>
        <w:rPr>
          <w:rFonts w:hint="eastAsia"/>
        </w:rPr>
        <w:t>3%符合调查预期。</w:t>
      </w:r>
    </w:p>
    <w:p>
      <w:pPr>
        <w:tabs>
          <w:tab w:val="left" w:pos="1080"/>
        </w:tabs>
        <w:spacing w:line="360" w:lineRule="auto"/>
        <w:jc w:val="center"/>
        <w:rPr>
          <w:rFonts w:ascii="等线" w:hAnsi="等线" w:eastAsia="等线" w:cs="Times New Roman"/>
          <w:szCs w:val="22"/>
        </w:rPr>
      </w:pPr>
      <w:r>
        <w:rPr>
          <w:rFonts w:ascii="等线" w:hAnsi="等线" w:eastAsia="等线" w:cs="Times New Roman"/>
          <w:szCs w:val="22"/>
        </w:rPr>
        <w:drawing>
          <wp:inline distT="0" distB="0" distL="114300" distR="114300">
            <wp:extent cx="4899025" cy="2558415"/>
            <wp:effectExtent l="4445" t="4445" r="11430" b="8890"/>
            <wp:docPr id="7"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pPr>
        <w:tabs>
          <w:tab w:val="left" w:pos="1080"/>
        </w:tabs>
        <w:spacing w:line="360" w:lineRule="auto"/>
        <w:jc w:val="center"/>
        <w:rPr>
          <w:rFonts w:ascii="仿宋" w:hAnsi="仿宋" w:eastAsia="仿宋" w:cs="Times New Roman"/>
          <w:b/>
          <w:sz w:val="24"/>
          <w:szCs w:val="28"/>
        </w:rPr>
      </w:pPr>
      <w:r>
        <w:rPr>
          <w:rFonts w:hint="eastAsia" w:ascii="仿宋" w:hAnsi="仿宋" w:eastAsia="仿宋" w:cs="Times New Roman"/>
          <w:b/>
          <w:sz w:val="24"/>
          <w:szCs w:val="28"/>
        </w:rPr>
        <w:t>图5-4 深户、非深户占比</w:t>
      </w:r>
    </w:p>
    <w:p>
      <w:pPr>
        <w:tabs>
          <w:tab w:val="left" w:pos="1080"/>
        </w:tabs>
        <w:adjustRightInd w:val="0"/>
        <w:snapToGrid w:val="0"/>
        <w:spacing w:before="156" w:beforeLines="50" w:line="360" w:lineRule="auto"/>
        <w:ind w:left="562"/>
        <w:jc w:val="left"/>
        <w:rPr>
          <w:rFonts w:ascii="仿宋" w:hAnsi="仿宋" w:eastAsia="仿宋" w:cs="Times New Roman"/>
          <w:b/>
          <w:sz w:val="28"/>
          <w:szCs w:val="28"/>
        </w:rPr>
      </w:pPr>
      <w:r>
        <w:rPr>
          <w:rFonts w:hint="eastAsia" w:ascii="仿宋" w:hAnsi="仿宋" w:eastAsia="仿宋" w:cs="Times New Roman"/>
          <w:b/>
          <w:sz w:val="28"/>
          <w:szCs w:val="28"/>
          <w:lang w:val="en-US" w:eastAsia="zh-CN"/>
        </w:rPr>
        <w:t>5</w:t>
      </w:r>
      <w:r>
        <w:rPr>
          <w:rFonts w:hint="eastAsia" w:ascii="仿宋" w:hAnsi="仿宋" w:eastAsia="仿宋" w:cs="Times New Roman"/>
          <w:b/>
          <w:sz w:val="28"/>
          <w:szCs w:val="28"/>
        </w:rPr>
        <w:t>、收入</w:t>
      </w:r>
    </w:p>
    <w:p>
      <w:pPr>
        <w:bidi w:val="0"/>
      </w:pPr>
      <w:r>
        <w:rPr>
          <w:rFonts w:hint="eastAsia"/>
        </w:rPr>
        <w:t>本次调查的市民中，3001-6000元所占比例最高，达到</w:t>
      </w:r>
      <w:r>
        <w:t>4</w:t>
      </w:r>
      <w:r>
        <w:rPr>
          <w:rFonts w:hint="eastAsia"/>
        </w:rPr>
        <w:t>3.4%，6000-10000占25.1%，10000-15000约占9.7%，15000以上的占比9.3%，基本符合调查预期。</w:t>
      </w:r>
    </w:p>
    <w:p>
      <w:pPr>
        <w:tabs>
          <w:tab w:val="left" w:pos="1080"/>
        </w:tabs>
        <w:spacing w:line="360" w:lineRule="auto"/>
        <w:jc w:val="center"/>
        <w:rPr>
          <w:rFonts w:ascii="仿宋" w:hAnsi="仿宋" w:eastAsia="仿宋" w:cs="Times New Roman"/>
          <w:b/>
          <w:sz w:val="24"/>
          <w:szCs w:val="28"/>
        </w:rPr>
      </w:pPr>
      <w:r>
        <w:rPr>
          <w:rFonts w:hint="eastAsia" w:ascii="仿宋" w:hAnsi="仿宋" w:eastAsia="仿宋" w:cs="Times New Roman"/>
          <w:b/>
          <w:sz w:val="24"/>
          <w:szCs w:val="28"/>
        </w:rPr>
        <w:drawing>
          <wp:inline distT="0" distB="0" distL="114300" distR="114300">
            <wp:extent cx="4572000" cy="2743200"/>
            <wp:effectExtent l="4445" t="4445" r="14605" b="14605"/>
            <wp:docPr id="40"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pPr>
        <w:tabs>
          <w:tab w:val="left" w:pos="1080"/>
        </w:tabs>
        <w:spacing w:line="360" w:lineRule="auto"/>
        <w:jc w:val="center"/>
        <w:rPr>
          <w:rFonts w:ascii="仿宋" w:hAnsi="仿宋" w:eastAsia="仿宋" w:cs="Times New Roman"/>
          <w:b/>
          <w:sz w:val="24"/>
          <w:szCs w:val="28"/>
        </w:rPr>
      </w:pPr>
      <w:r>
        <w:rPr>
          <w:rFonts w:hint="eastAsia" w:ascii="仿宋" w:hAnsi="仿宋" w:eastAsia="仿宋" w:cs="Times New Roman"/>
          <w:b/>
          <w:sz w:val="24"/>
          <w:szCs w:val="28"/>
        </w:rPr>
        <w:t>图5-5 各阶段收入占比</w:t>
      </w:r>
    </w:p>
    <w:p>
      <w:pPr>
        <w:tabs>
          <w:tab w:val="left" w:pos="1080"/>
        </w:tabs>
        <w:adjustRightInd w:val="0"/>
        <w:snapToGrid w:val="0"/>
        <w:spacing w:before="156" w:beforeLines="50" w:line="360" w:lineRule="auto"/>
        <w:ind w:left="562"/>
        <w:jc w:val="left"/>
        <w:rPr>
          <w:rFonts w:ascii="仿宋" w:hAnsi="仿宋" w:eastAsia="仿宋" w:cs="Times New Roman"/>
          <w:b/>
          <w:sz w:val="28"/>
          <w:szCs w:val="28"/>
        </w:rPr>
      </w:pPr>
      <w:r>
        <w:rPr>
          <w:rFonts w:hint="eastAsia" w:ascii="仿宋" w:hAnsi="仿宋" w:eastAsia="仿宋" w:cs="Times New Roman"/>
          <w:b/>
          <w:sz w:val="28"/>
          <w:szCs w:val="28"/>
          <w:lang w:val="en-US" w:eastAsia="zh-CN"/>
        </w:rPr>
        <w:t>6</w:t>
      </w:r>
      <w:r>
        <w:rPr>
          <w:rFonts w:hint="eastAsia" w:ascii="仿宋" w:hAnsi="仿宋" w:eastAsia="仿宋" w:cs="Times New Roman"/>
          <w:b/>
          <w:sz w:val="28"/>
          <w:szCs w:val="28"/>
        </w:rPr>
        <w:t>、样本代表性</w:t>
      </w:r>
    </w:p>
    <w:p>
      <w:pPr>
        <w:bidi w:val="0"/>
      </w:pPr>
      <w:r>
        <w:rPr>
          <w:rFonts w:hint="eastAsia"/>
        </w:rPr>
        <w:t>市民的人口特征及分布应该与真实人口数据基本相近，才能保证调查样本的代表性。将本次调查的人口特征分布状况与深圳市2010年第六次全国人口普查主要数据进行对比：</w:t>
      </w:r>
    </w:p>
    <w:tbl>
      <w:tblPr>
        <w:tblStyle w:val="2"/>
        <w:tblW w:w="8740" w:type="dxa"/>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2913"/>
        <w:gridCol w:w="2913"/>
        <w:gridCol w:w="2914"/>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PrEx>
        <w:trPr>
          <w:trHeight w:val="380" w:hRule="atLeast"/>
          <w:jc w:val="center"/>
        </w:trPr>
        <w:tc>
          <w:tcPr>
            <w:tcW w:w="2913" w:type="dxa"/>
            <w:tcBorders>
              <w:tl2br w:val="nil"/>
              <w:tr2bl w:val="nil"/>
            </w:tcBorders>
            <w:shd w:val="clear" w:color="auto" w:fill="BFBFBF"/>
            <w:vAlign w:val="center"/>
          </w:tcPr>
          <w:p>
            <w:pPr>
              <w:keepNext w:val="0"/>
              <w:keepLines w:val="0"/>
              <w:pageBreakBefore w:val="0"/>
              <w:widowControl w:val="0"/>
              <w:tabs>
                <w:tab w:val="left" w:pos="0"/>
              </w:tabs>
              <w:kinsoku/>
              <w:wordWrap/>
              <w:overflowPunct/>
              <w:topLinePunct w:val="0"/>
              <w:autoSpaceDE/>
              <w:autoSpaceDN/>
              <w:bidi w:val="0"/>
              <w:adjustRightInd/>
              <w:snapToGrid/>
              <w:spacing w:line="240" w:lineRule="auto"/>
              <w:jc w:val="center"/>
              <w:textAlignment w:val="auto"/>
              <w:rPr>
                <w:rFonts w:ascii="仿宋" w:hAnsi="仿宋" w:eastAsia="仿宋" w:cs="Times New Roman"/>
                <w:b/>
                <w:bCs/>
                <w:sz w:val="21"/>
                <w:szCs w:val="21"/>
              </w:rPr>
            </w:pPr>
            <w:r>
              <w:rPr>
                <w:rFonts w:hint="eastAsia" w:ascii="仿宋" w:hAnsi="仿宋" w:eastAsia="仿宋" w:cs="Times New Roman"/>
                <w:b/>
                <w:bCs/>
                <w:sz w:val="21"/>
                <w:szCs w:val="21"/>
              </w:rPr>
              <w:t>人口特征</w:t>
            </w:r>
          </w:p>
        </w:tc>
        <w:tc>
          <w:tcPr>
            <w:tcW w:w="2913" w:type="dxa"/>
            <w:tcBorders>
              <w:tl2br w:val="nil"/>
              <w:tr2bl w:val="nil"/>
            </w:tcBorders>
            <w:shd w:val="clear" w:color="auto" w:fill="BFBFBF"/>
            <w:vAlign w:val="center"/>
          </w:tcPr>
          <w:p>
            <w:pPr>
              <w:keepNext w:val="0"/>
              <w:keepLines w:val="0"/>
              <w:pageBreakBefore w:val="0"/>
              <w:widowControl w:val="0"/>
              <w:tabs>
                <w:tab w:val="left" w:pos="1080"/>
              </w:tabs>
              <w:kinsoku/>
              <w:wordWrap/>
              <w:overflowPunct/>
              <w:topLinePunct w:val="0"/>
              <w:autoSpaceDE/>
              <w:autoSpaceDN/>
              <w:bidi w:val="0"/>
              <w:adjustRightInd/>
              <w:snapToGrid/>
              <w:spacing w:line="240" w:lineRule="auto"/>
              <w:jc w:val="center"/>
              <w:textAlignment w:val="auto"/>
              <w:rPr>
                <w:rFonts w:ascii="仿宋" w:hAnsi="仿宋" w:eastAsia="仿宋" w:cs="Times New Roman"/>
                <w:b/>
                <w:bCs/>
                <w:sz w:val="21"/>
                <w:szCs w:val="21"/>
              </w:rPr>
            </w:pPr>
            <w:r>
              <w:rPr>
                <w:rFonts w:hint="eastAsia" w:ascii="仿宋" w:hAnsi="仿宋" w:eastAsia="仿宋" w:cs="Times New Roman"/>
                <w:b/>
                <w:bCs/>
                <w:sz w:val="21"/>
                <w:szCs w:val="21"/>
              </w:rPr>
              <w:t>调查分布</w:t>
            </w:r>
          </w:p>
        </w:tc>
        <w:tc>
          <w:tcPr>
            <w:tcW w:w="2914" w:type="dxa"/>
            <w:tcBorders>
              <w:tl2br w:val="nil"/>
              <w:tr2bl w:val="nil"/>
            </w:tcBorders>
            <w:shd w:val="clear" w:color="auto" w:fill="BFBFBF"/>
            <w:vAlign w:val="center"/>
          </w:tcPr>
          <w:p>
            <w:pPr>
              <w:keepNext w:val="0"/>
              <w:keepLines w:val="0"/>
              <w:pageBreakBefore w:val="0"/>
              <w:widowControl w:val="0"/>
              <w:tabs>
                <w:tab w:val="left" w:pos="1080"/>
              </w:tabs>
              <w:kinsoku/>
              <w:wordWrap/>
              <w:overflowPunct/>
              <w:topLinePunct w:val="0"/>
              <w:autoSpaceDE/>
              <w:autoSpaceDN/>
              <w:bidi w:val="0"/>
              <w:adjustRightInd/>
              <w:snapToGrid/>
              <w:spacing w:line="240" w:lineRule="auto"/>
              <w:jc w:val="center"/>
              <w:textAlignment w:val="auto"/>
              <w:rPr>
                <w:rFonts w:ascii="仿宋" w:hAnsi="仿宋" w:eastAsia="仿宋" w:cs="Times New Roman"/>
                <w:b/>
                <w:bCs/>
                <w:sz w:val="21"/>
                <w:szCs w:val="21"/>
              </w:rPr>
            </w:pPr>
            <w:r>
              <w:rPr>
                <w:rFonts w:hint="eastAsia" w:ascii="仿宋" w:hAnsi="仿宋" w:eastAsia="仿宋" w:cs="Times New Roman"/>
                <w:b/>
                <w:bCs/>
                <w:sz w:val="21"/>
                <w:szCs w:val="21"/>
              </w:rPr>
              <w:t>人口普查分布</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PrEx>
        <w:trPr>
          <w:trHeight w:val="425" w:hRule="atLeast"/>
          <w:jc w:val="center"/>
        </w:trPr>
        <w:tc>
          <w:tcPr>
            <w:tcW w:w="2913" w:type="dxa"/>
            <w:tcBorders>
              <w:tl2br w:val="nil"/>
              <w:tr2bl w:val="nil"/>
            </w:tcBorders>
            <w:shd w:val="clear" w:color="auto" w:fill="FFFFFF"/>
            <w:vAlign w:val="center"/>
          </w:tcPr>
          <w:p>
            <w:pPr>
              <w:keepNext w:val="0"/>
              <w:keepLines w:val="0"/>
              <w:pageBreakBefore w:val="0"/>
              <w:widowControl w:val="0"/>
              <w:tabs>
                <w:tab w:val="left" w:pos="1080"/>
              </w:tabs>
              <w:kinsoku/>
              <w:wordWrap/>
              <w:overflowPunct/>
              <w:topLinePunct w:val="0"/>
              <w:autoSpaceDE/>
              <w:autoSpaceDN/>
              <w:bidi w:val="0"/>
              <w:adjustRightInd/>
              <w:snapToGrid/>
              <w:spacing w:line="240" w:lineRule="auto"/>
              <w:jc w:val="center"/>
              <w:textAlignment w:val="auto"/>
              <w:rPr>
                <w:rFonts w:ascii="仿宋" w:hAnsi="仿宋" w:eastAsia="仿宋" w:cs="Times New Roman"/>
                <w:b/>
                <w:bCs/>
                <w:sz w:val="21"/>
                <w:szCs w:val="21"/>
              </w:rPr>
            </w:pPr>
            <w:r>
              <w:rPr>
                <w:rFonts w:hint="eastAsia" w:ascii="仿宋" w:hAnsi="仿宋" w:eastAsia="仿宋" w:cs="Times New Roman"/>
                <w:b/>
                <w:bCs/>
                <w:sz w:val="21"/>
                <w:szCs w:val="21"/>
              </w:rPr>
              <w:t>男女性别比例</w:t>
            </w:r>
          </w:p>
        </w:tc>
        <w:tc>
          <w:tcPr>
            <w:tcW w:w="2913" w:type="dxa"/>
            <w:tcBorders>
              <w:tl2br w:val="nil"/>
              <w:tr2bl w:val="nil"/>
            </w:tcBorders>
            <w:shd w:val="clear" w:color="auto" w:fill="FFFFFF"/>
            <w:vAlign w:val="center"/>
          </w:tcPr>
          <w:p>
            <w:pPr>
              <w:keepNext w:val="0"/>
              <w:keepLines w:val="0"/>
              <w:pageBreakBefore w:val="0"/>
              <w:widowControl w:val="0"/>
              <w:tabs>
                <w:tab w:val="left" w:pos="1080"/>
              </w:tabs>
              <w:kinsoku/>
              <w:wordWrap/>
              <w:overflowPunct/>
              <w:topLinePunct w:val="0"/>
              <w:autoSpaceDE/>
              <w:autoSpaceDN/>
              <w:bidi w:val="0"/>
              <w:adjustRightInd/>
              <w:snapToGrid/>
              <w:spacing w:line="240" w:lineRule="auto"/>
              <w:jc w:val="center"/>
              <w:textAlignment w:val="auto"/>
              <w:rPr>
                <w:rFonts w:ascii="仿宋" w:hAnsi="仿宋" w:eastAsia="仿宋" w:cs="Times New Roman"/>
                <w:sz w:val="21"/>
                <w:szCs w:val="21"/>
              </w:rPr>
            </w:pPr>
            <w:r>
              <w:rPr>
                <w:rFonts w:hint="eastAsia" w:ascii="仿宋" w:hAnsi="仿宋" w:eastAsia="仿宋" w:cs="Times New Roman"/>
                <w:sz w:val="21"/>
                <w:szCs w:val="21"/>
              </w:rPr>
              <w:t>47.42%：52.58%</w:t>
            </w:r>
          </w:p>
        </w:tc>
        <w:tc>
          <w:tcPr>
            <w:tcW w:w="2914" w:type="dxa"/>
            <w:tcBorders>
              <w:tl2br w:val="nil"/>
              <w:tr2bl w:val="nil"/>
            </w:tcBorders>
            <w:shd w:val="clear" w:color="auto" w:fill="FFFFFF"/>
            <w:vAlign w:val="center"/>
          </w:tcPr>
          <w:p>
            <w:pPr>
              <w:keepNext w:val="0"/>
              <w:keepLines w:val="0"/>
              <w:pageBreakBefore w:val="0"/>
              <w:widowControl w:val="0"/>
              <w:tabs>
                <w:tab w:val="left" w:pos="1080"/>
              </w:tabs>
              <w:kinsoku/>
              <w:wordWrap/>
              <w:overflowPunct/>
              <w:topLinePunct w:val="0"/>
              <w:autoSpaceDE/>
              <w:autoSpaceDN/>
              <w:bidi w:val="0"/>
              <w:adjustRightInd/>
              <w:snapToGrid/>
              <w:spacing w:line="240" w:lineRule="auto"/>
              <w:jc w:val="center"/>
              <w:textAlignment w:val="auto"/>
              <w:rPr>
                <w:rFonts w:ascii="仿宋" w:hAnsi="仿宋" w:eastAsia="仿宋" w:cs="Times New Roman"/>
                <w:sz w:val="21"/>
                <w:szCs w:val="21"/>
              </w:rPr>
            </w:pPr>
            <w:r>
              <w:rPr>
                <w:rFonts w:hint="eastAsia" w:ascii="仿宋" w:hAnsi="仿宋" w:eastAsia="仿宋" w:cs="Times New Roman"/>
                <w:sz w:val="21"/>
                <w:szCs w:val="21"/>
              </w:rPr>
              <w:t>54.2%：45.8%</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PrEx>
        <w:trPr>
          <w:trHeight w:val="525" w:hRule="atLeast"/>
          <w:jc w:val="center"/>
        </w:trPr>
        <w:tc>
          <w:tcPr>
            <w:tcW w:w="2913" w:type="dxa"/>
            <w:tcBorders>
              <w:tl2br w:val="nil"/>
              <w:tr2bl w:val="nil"/>
            </w:tcBorders>
            <w:shd w:val="clear" w:color="auto" w:fill="FFFFFF"/>
            <w:vAlign w:val="center"/>
          </w:tcPr>
          <w:p>
            <w:pPr>
              <w:keepNext w:val="0"/>
              <w:keepLines w:val="0"/>
              <w:pageBreakBefore w:val="0"/>
              <w:widowControl w:val="0"/>
              <w:tabs>
                <w:tab w:val="left" w:pos="1080"/>
              </w:tabs>
              <w:kinsoku/>
              <w:wordWrap/>
              <w:overflowPunct/>
              <w:topLinePunct w:val="0"/>
              <w:autoSpaceDE/>
              <w:autoSpaceDN/>
              <w:bidi w:val="0"/>
              <w:adjustRightInd/>
              <w:snapToGrid/>
              <w:spacing w:line="240" w:lineRule="auto"/>
              <w:jc w:val="center"/>
              <w:textAlignment w:val="auto"/>
              <w:rPr>
                <w:rFonts w:ascii="仿宋" w:hAnsi="仿宋" w:eastAsia="仿宋" w:cs="Times New Roman"/>
                <w:b/>
                <w:bCs/>
                <w:sz w:val="21"/>
                <w:szCs w:val="21"/>
              </w:rPr>
            </w:pPr>
            <w:r>
              <w:rPr>
                <w:rFonts w:hint="eastAsia" w:ascii="仿宋" w:hAnsi="仿宋" w:eastAsia="仿宋" w:cs="Times New Roman"/>
                <w:b/>
                <w:bCs/>
                <w:sz w:val="21"/>
                <w:szCs w:val="21"/>
              </w:rPr>
              <w:t>年龄构成</w:t>
            </w:r>
          </w:p>
        </w:tc>
        <w:tc>
          <w:tcPr>
            <w:tcW w:w="2913" w:type="dxa"/>
            <w:tcBorders>
              <w:tl2br w:val="nil"/>
              <w:tr2bl w:val="nil"/>
            </w:tcBorders>
            <w:shd w:val="clear" w:color="auto" w:fill="FFFFFF"/>
            <w:vAlign w:val="center"/>
          </w:tcPr>
          <w:p>
            <w:pPr>
              <w:keepNext w:val="0"/>
              <w:keepLines w:val="0"/>
              <w:pageBreakBefore w:val="0"/>
              <w:widowControl w:val="0"/>
              <w:tabs>
                <w:tab w:val="left" w:pos="1080"/>
              </w:tabs>
              <w:kinsoku/>
              <w:wordWrap/>
              <w:overflowPunct/>
              <w:topLinePunct w:val="0"/>
              <w:autoSpaceDE/>
              <w:autoSpaceDN/>
              <w:bidi w:val="0"/>
              <w:adjustRightInd/>
              <w:snapToGrid/>
              <w:spacing w:line="240" w:lineRule="auto"/>
              <w:jc w:val="center"/>
              <w:textAlignment w:val="auto"/>
              <w:rPr>
                <w:rFonts w:ascii="仿宋" w:hAnsi="仿宋" w:eastAsia="仿宋" w:cs="Times New Roman"/>
                <w:sz w:val="21"/>
                <w:szCs w:val="21"/>
              </w:rPr>
            </w:pPr>
            <w:r>
              <w:rPr>
                <w:rFonts w:hint="eastAsia" w:ascii="仿宋" w:hAnsi="仿宋" w:eastAsia="仿宋" w:cs="Times New Roman"/>
                <w:sz w:val="21"/>
                <w:szCs w:val="21"/>
              </w:rPr>
              <w:t>26-64岁87</w:t>
            </w:r>
            <w:r>
              <w:rPr>
                <w:rFonts w:ascii="仿宋" w:hAnsi="仿宋" w:eastAsia="仿宋" w:cs="Times New Roman"/>
                <w:sz w:val="21"/>
                <w:szCs w:val="21"/>
              </w:rPr>
              <w:t>%</w:t>
            </w:r>
          </w:p>
        </w:tc>
        <w:tc>
          <w:tcPr>
            <w:tcW w:w="2914" w:type="dxa"/>
            <w:tcBorders>
              <w:tl2br w:val="nil"/>
              <w:tr2bl w:val="nil"/>
            </w:tcBorders>
            <w:shd w:val="clear" w:color="auto" w:fill="FFFFFF"/>
            <w:vAlign w:val="center"/>
          </w:tcPr>
          <w:p>
            <w:pPr>
              <w:keepNext w:val="0"/>
              <w:keepLines w:val="0"/>
              <w:pageBreakBefore w:val="0"/>
              <w:widowControl w:val="0"/>
              <w:tabs>
                <w:tab w:val="left" w:pos="1080"/>
              </w:tabs>
              <w:kinsoku/>
              <w:wordWrap/>
              <w:overflowPunct/>
              <w:topLinePunct w:val="0"/>
              <w:autoSpaceDE/>
              <w:autoSpaceDN/>
              <w:bidi w:val="0"/>
              <w:adjustRightInd/>
              <w:snapToGrid/>
              <w:spacing w:line="240" w:lineRule="auto"/>
              <w:jc w:val="center"/>
              <w:textAlignment w:val="auto"/>
              <w:rPr>
                <w:rFonts w:ascii="仿宋" w:hAnsi="仿宋" w:eastAsia="仿宋" w:cs="Times New Roman"/>
                <w:sz w:val="21"/>
                <w:szCs w:val="21"/>
              </w:rPr>
            </w:pPr>
            <w:r>
              <w:rPr>
                <w:rFonts w:hint="eastAsia" w:ascii="仿宋" w:hAnsi="仿宋" w:eastAsia="仿宋" w:cs="Times New Roman"/>
                <w:sz w:val="21"/>
                <w:szCs w:val="21"/>
              </w:rPr>
              <w:t>15-64岁占88.4%</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PrEx>
        <w:trPr>
          <w:trHeight w:val="525" w:hRule="atLeast"/>
          <w:jc w:val="center"/>
        </w:trPr>
        <w:tc>
          <w:tcPr>
            <w:tcW w:w="2913" w:type="dxa"/>
            <w:tcBorders>
              <w:tl2br w:val="nil"/>
              <w:tr2bl w:val="nil"/>
            </w:tcBorders>
            <w:shd w:val="clear" w:color="auto" w:fill="FFFFFF"/>
            <w:vAlign w:val="center"/>
          </w:tcPr>
          <w:p>
            <w:pPr>
              <w:keepNext w:val="0"/>
              <w:keepLines w:val="0"/>
              <w:pageBreakBefore w:val="0"/>
              <w:widowControl w:val="0"/>
              <w:tabs>
                <w:tab w:val="left" w:pos="1080"/>
              </w:tabs>
              <w:kinsoku/>
              <w:wordWrap/>
              <w:overflowPunct/>
              <w:topLinePunct w:val="0"/>
              <w:autoSpaceDE/>
              <w:autoSpaceDN/>
              <w:bidi w:val="0"/>
              <w:adjustRightInd/>
              <w:snapToGrid/>
              <w:spacing w:line="240" w:lineRule="auto"/>
              <w:jc w:val="center"/>
              <w:textAlignment w:val="auto"/>
              <w:rPr>
                <w:rFonts w:ascii="仿宋" w:hAnsi="仿宋" w:eastAsia="仿宋" w:cs="Times New Roman"/>
                <w:b/>
                <w:bCs/>
                <w:sz w:val="21"/>
                <w:szCs w:val="21"/>
              </w:rPr>
            </w:pPr>
            <w:r>
              <w:rPr>
                <w:rFonts w:hint="eastAsia" w:ascii="仿宋" w:hAnsi="仿宋" w:eastAsia="仿宋" w:cs="Times New Roman"/>
                <w:b/>
                <w:bCs/>
                <w:sz w:val="21"/>
                <w:szCs w:val="21"/>
              </w:rPr>
              <w:t>学历</w:t>
            </w:r>
          </w:p>
        </w:tc>
        <w:tc>
          <w:tcPr>
            <w:tcW w:w="2913" w:type="dxa"/>
            <w:tcBorders>
              <w:tl2br w:val="nil"/>
              <w:tr2bl w:val="nil"/>
            </w:tcBorders>
            <w:shd w:val="clear" w:color="auto" w:fill="FFFFFF"/>
            <w:vAlign w:val="center"/>
          </w:tcPr>
          <w:p>
            <w:pPr>
              <w:keepNext w:val="0"/>
              <w:keepLines w:val="0"/>
              <w:pageBreakBefore w:val="0"/>
              <w:widowControl w:val="0"/>
              <w:tabs>
                <w:tab w:val="left" w:pos="1080"/>
              </w:tabs>
              <w:kinsoku/>
              <w:wordWrap/>
              <w:overflowPunct/>
              <w:topLinePunct w:val="0"/>
              <w:autoSpaceDE/>
              <w:autoSpaceDN/>
              <w:bidi w:val="0"/>
              <w:adjustRightInd/>
              <w:snapToGrid/>
              <w:spacing w:line="240" w:lineRule="auto"/>
              <w:jc w:val="center"/>
              <w:textAlignment w:val="auto"/>
              <w:rPr>
                <w:rFonts w:ascii="仿宋" w:hAnsi="仿宋" w:eastAsia="仿宋" w:cs="Times New Roman"/>
                <w:sz w:val="21"/>
                <w:szCs w:val="21"/>
              </w:rPr>
            </w:pPr>
            <w:r>
              <w:rPr>
                <w:rFonts w:hint="eastAsia" w:ascii="仿宋" w:hAnsi="仿宋" w:eastAsia="仿宋" w:cs="Times New Roman"/>
                <w:sz w:val="21"/>
                <w:szCs w:val="21"/>
              </w:rPr>
              <w:t>大学学历以上54.8%</w:t>
            </w:r>
          </w:p>
        </w:tc>
        <w:tc>
          <w:tcPr>
            <w:tcW w:w="2914" w:type="dxa"/>
            <w:tcBorders>
              <w:tl2br w:val="nil"/>
              <w:tr2bl w:val="nil"/>
            </w:tcBorders>
            <w:shd w:val="clear" w:color="auto" w:fill="FFFFFF"/>
            <w:vAlign w:val="center"/>
          </w:tcPr>
          <w:p>
            <w:pPr>
              <w:keepNext w:val="0"/>
              <w:keepLines w:val="0"/>
              <w:pageBreakBefore w:val="0"/>
              <w:widowControl w:val="0"/>
              <w:tabs>
                <w:tab w:val="left" w:pos="1080"/>
              </w:tabs>
              <w:kinsoku/>
              <w:wordWrap/>
              <w:overflowPunct/>
              <w:topLinePunct w:val="0"/>
              <w:autoSpaceDE/>
              <w:autoSpaceDN/>
              <w:bidi w:val="0"/>
              <w:adjustRightInd/>
              <w:snapToGrid/>
              <w:spacing w:line="240" w:lineRule="auto"/>
              <w:jc w:val="center"/>
              <w:textAlignment w:val="auto"/>
              <w:rPr>
                <w:rFonts w:ascii="仿宋" w:hAnsi="仿宋" w:eastAsia="仿宋" w:cs="Times New Roman"/>
                <w:sz w:val="21"/>
                <w:szCs w:val="21"/>
              </w:rPr>
            </w:pPr>
            <w:r>
              <w:rPr>
                <w:rFonts w:hint="eastAsia" w:ascii="仿宋" w:hAnsi="仿宋" w:eastAsia="仿宋" w:cs="Times New Roman"/>
                <w:sz w:val="21"/>
                <w:szCs w:val="21"/>
              </w:rPr>
              <w:t>大学学历以上17%</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PrEx>
        <w:trPr>
          <w:trHeight w:val="475" w:hRule="atLeast"/>
          <w:jc w:val="center"/>
        </w:trPr>
        <w:tc>
          <w:tcPr>
            <w:tcW w:w="2913" w:type="dxa"/>
            <w:tcBorders>
              <w:tl2br w:val="nil"/>
              <w:tr2bl w:val="nil"/>
            </w:tcBorders>
            <w:shd w:val="clear" w:color="auto" w:fill="FFFFFF"/>
            <w:vAlign w:val="center"/>
          </w:tcPr>
          <w:p>
            <w:pPr>
              <w:keepNext w:val="0"/>
              <w:keepLines w:val="0"/>
              <w:pageBreakBefore w:val="0"/>
              <w:widowControl w:val="0"/>
              <w:tabs>
                <w:tab w:val="left" w:pos="1080"/>
              </w:tabs>
              <w:kinsoku/>
              <w:wordWrap/>
              <w:overflowPunct/>
              <w:topLinePunct w:val="0"/>
              <w:autoSpaceDE/>
              <w:autoSpaceDN/>
              <w:bidi w:val="0"/>
              <w:adjustRightInd/>
              <w:snapToGrid/>
              <w:spacing w:line="240" w:lineRule="auto"/>
              <w:jc w:val="center"/>
              <w:textAlignment w:val="auto"/>
              <w:rPr>
                <w:rFonts w:ascii="仿宋" w:hAnsi="仿宋" w:eastAsia="仿宋" w:cs="Times New Roman"/>
                <w:b/>
                <w:bCs/>
                <w:sz w:val="21"/>
                <w:szCs w:val="21"/>
              </w:rPr>
            </w:pPr>
            <w:r>
              <w:rPr>
                <w:rFonts w:hint="eastAsia" w:ascii="仿宋" w:hAnsi="仿宋" w:eastAsia="仿宋" w:cs="Times New Roman"/>
                <w:b/>
                <w:bCs/>
                <w:sz w:val="21"/>
                <w:szCs w:val="21"/>
              </w:rPr>
              <w:t>户籍</w:t>
            </w:r>
          </w:p>
        </w:tc>
        <w:tc>
          <w:tcPr>
            <w:tcW w:w="2913" w:type="dxa"/>
            <w:tcBorders>
              <w:tl2br w:val="nil"/>
              <w:tr2bl w:val="nil"/>
            </w:tcBorders>
            <w:shd w:val="clear" w:color="auto" w:fill="FFFFFF"/>
            <w:vAlign w:val="center"/>
          </w:tcPr>
          <w:p>
            <w:pPr>
              <w:keepNext w:val="0"/>
              <w:keepLines w:val="0"/>
              <w:pageBreakBefore w:val="0"/>
              <w:widowControl w:val="0"/>
              <w:tabs>
                <w:tab w:val="left" w:pos="1080"/>
              </w:tabs>
              <w:kinsoku/>
              <w:wordWrap/>
              <w:overflowPunct/>
              <w:topLinePunct w:val="0"/>
              <w:autoSpaceDE/>
              <w:autoSpaceDN/>
              <w:bidi w:val="0"/>
              <w:adjustRightInd/>
              <w:snapToGrid/>
              <w:spacing w:line="240" w:lineRule="auto"/>
              <w:jc w:val="center"/>
              <w:textAlignment w:val="auto"/>
              <w:rPr>
                <w:rFonts w:ascii="仿宋" w:hAnsi="仿宋" w:eastAsia="仿宋" w:cs="Times New Roman"/>
                <w:sz w:val="21"/>
                <w:szCs w:val="21"/>
              </w:rPr>
            </w:pPr>
            <w:r>
              <w:rPr>
                <w:rFonts w:hint="eastAsia" w:ascii="仿宋" w:hAnsi="仿宋" w:eastAsia="仿宋" w:cs="Times New Roman"/>
                <w:sz w:val="21"/>
                <w:szCs w:val="21"/>
              </w:rPr>
              <w:t>深户</w:t>
            </w:r>
            <w:r>
              <w:rPr>
                <w:rFonts w:ascii="仿宋" w:hAnsi="仿宋" w:eastAsia="仿宋" w:cs="Times New Roman"/>
                <w:sz w:val="21"/>
                <w:szCs w:val="21"/>
              </w:rPr>
              <w:t>3</w:t>
            </w:r>
            <w:r>
              <w:rPr>
                <w:rFonts w:hint="eastAsia" w:ascii="仿宋" w:hAnsi="仿宋" w:eastAsia="仿宋" w:cs="Times New Roman"/>
                <w:sz w:val="21"/>
                <w:szCs w:val="21"/>
              </w:rPr>
              <w:t>6.1%，非深户63.9%</w:t>
            </w:r>
          </w:p>
        </w:tc>
        <w:tc>
          <w:tcPr>
            <w:tcW w:w="2914" w:type="dxa"/>
            <w:tcBorders>
              <w:tl2br w:val="nil"/>
              <w:tr2bl w:val="nil"/>
            </w:tcBorders>
            <w:shd w:val="clear" w:color="auto" w:fill="FFFFFF"/>
            <w:vAlign w:val="center"/>
          </w:tcPr>
          <w:p>
            <w:pPr>
              <w:keepNext w:val="0"/>
              <w:keepLines w:val="0"/>
              <w:pageBreakBefore w:val="0"/>
              <w:widowControl w:val="0"/>
              <w:tabs>
                <w:tab w:val="left" w:pos="1080"/>
              </w:tabs>
              <w:kinsoku/>
              <w:wordWrap/>
              <w:overflowPunct/>
              <w:topLinePunct w:val="0"/>
              <w:autoSpaceDE/>
              <w:autoSpaceDN/>
              <w:bidi w:val="0"/>
              <w:adjustRightInd/>
              <w:snapToGrid/>
              <w:spacing w:line="240" w:lineRule="auto"/>
              <w:jc w:val="center"/>
              <w:textAlignment w:val="auto"/>
              <w:rPr>
                <w:rFonts w:ascii="仿宋" w:hAnsi="仿宋" w:eastAsia="仿宋" w:cs="Times New Roman"/>
                <w:sz w:val="21"/>
                <w:szCs w:val="21"/>
              </w:rPr>
            </w:pPr>
            <w:r>
              <w:rPr>
                <w:rFonts w:hint="eastAsia" w:ascii="仿宋" w:hAnsi="仿宋" w:eastAsia="仿宋" w:cs="Times New Roman"/>
                <w:sz w:val="21"/>
                <w:szCs w:val="21"/>
              </w:rPr>
              <w:t>深户23%，非深户77%</w:t>
            </w:r>
          </w:p>
        </w:tc>
      </w:tr>
    </w:tbl>
    <w:p>
      <w:pPr>
        <w:bidi w:val="0"/>
      </w:pPr>
      <w:r>
        <w:rPr>
          <w:rFonts w:hint="eastAsia"/>
        </w:rPr>
        <w:t>数据对比发现，本次调查的人口分布在性别比例、年龄构成、户籍等方面与2010年人口普查数据的误差均在可以接受的范围，学历分布存在一定的偏差，主要原因在于本次调查的内容较为专业，需要一定的认知能力，所以在受访对象方面进行一定程度的调整。</w:t>
      </w:r>
    </w:p>
    <w:p>
      <w:pPr>
        <w:bidi w:val="0"/>
        <w:rPr>
          <w:rFonts w:hint="eastAsia"/>
        </w:rPr>
      </w:pPr>
      <w:r>
        <w:rPr>
          <w:rFonts w:hint="eastAsia"/>
        </w:rPr>
        <w:t>总体而言，本次调查对象的人口特征分布符合深圳市真实的人口特征状态，本次调查的样本具有足够的代表性。</w:t>
      </w:r>
    </w:p>
    <w:p>
      <w:pPr>
        <w:keepNext/>
        <w:keepLines/>
        <w:pageBreakBefore w:val="0"/>
        <w:widowControl w:val="0"/>
        <w:kinsoku/>
        <w:wordWrap/>
        <w:overflowPunct/>
        <w:topLinePunct w:val="0"/>
        <w:autoSpaceDE/>
        <w:autoSpaceDN/>
        <w:bidi w:val="0"/>
        <w:adjustRightInd/>
        <w:snapToGrid/>
        <w:spacing w:before="0" w:after="0" w:line="360" w:lineRule="auto"/>
        <w:jc w:val="both"/>
        <w:textAlignment w:val="auto"/>
        <w:outlineLvl w:val="0"/>
        <w:rPr>
          <w:rFonts w:hint="eastAsia" w:ascii="仿宋" w:hAnsi="仿宋" w:eastAsia="仿宋" w:cs="Times New Roman"/>
          <w:b/>
          <w:bCs/>
          <w:kern w:val="44"/>
          <w:sz w:val="28"/>
          <w:szCs w:val="44"/>
          <w:lang w:val="en-US" w:eastAsia="zh-CN" w:bidi="ar-SA"/>
        </w:rPr>
      </w:pPr>
      <w:bookmarkStart w:id="4" w:name="_Toc24668519"/>
      <w:r>
        <w:rPr>
          <w:rFonts w:hint="eastAsia" w:ascii="仿宋" w:hAnsi="仿宋" w:eastAsia="仿宋" w:cs="Times New Roman"/>
          <w:b/>
          <w:bCs/>
          <w:kern w:val="44"/>
          <w:sz w:val="28"/>
          <w:szCs w:val="44"/>
          <w:lang w:val="en-US" w:eastAsia="zh-CN" w:bidi="ar-SA"/>
        </w:rPr>
        <w:t>二、</w:t>
      </w:r>
      <w:bookmarkEnd w:id="4"/>
      <w:r>
        <w:rPr>
          <w:rFonts w:hint="eastAsia" w:ascii="仿宋" w:hAnsi="仿宋" w:eastAsia="仿宋" w:cs="Times New Roman"/>
          <w:b/>
          <w:bCs/>
          <w:kern w:val="44"/>
          <w:sz w:val="28"/>
          <w:szCs w:val="44"/>
          <w:lang w:val="en-US" w:eastAsia="zh-CN" w:bidi="ar-SA"/>
        </w:rPr>
        <w:t>深圳宜居总体满意度</w:t>
      </w:r>
    </w:p>
    <w:p>
      <w:pPr>
        <w:keepNext/>
        <w:keepLines/>
        <w:pageBreakBefore w:val="0"/>
        <w:widowControl w:val="0"/>
        <w:kinsoku/>
        <w:wordWrap/>
        <w:overflowPunct/>
        <w:topLinePunct w:val="0"/>
        <w:autoSpaceDE/>
        <w:autoSpaceDN/>
        <w:bidi w:val="0"/>
        <w:adjustRightInd/>
        <w:snapToGrid/>
        <w:spacing w:before="0" w:after="0" w:line="360" w:lineRule="auto"/>
        <w:jc w:val="both"/>
        <w:textAlignment w:val="auto"/>
        <w:outlineLvl w:val="1"/>
        <w:rPr>
          <w:rFonts w:hint="eastAsia" w:ascii="仿宋" w:hAnsi="仿宋" w:eastAsia="仿宋" w:cs="Times New Roman"/>
          <w:b/>
          <w:bCs/>
          <w:kern w:val="2"/>
          <w:sz w:val="28"/>
          <w:szCs w:val="32"/>
          <w:lang w:val="en-US" w:eastAsia="zh-CN" w:bidi="ar-SA"/>
        </w:rPr>
      </w:pPr>
      <w:bookmarkStart w:id="5" w:name="_Toc24668520"/>
      <w:r>
        <w:rPr>
          <w:rFonts w:hint="eastAsia" w:ascii="仿宋" w:hAnsi="仿宋" w:eastAsia="仿宋" w:cs="Times New Roman"/>
          <w:b/>
          <w:bCs/>
          <w:kern w:val="2"/>
          <w:sz w:val="28"/>
          <w:szCs w:val="32"/>
          <w:lang w:val="en-US" w:eastAsia="zh-CN" w:bidi="ar-SA"/>
        </w:rPr>
        <w:t>（一）宜居城市总体满意度</w:t>
      </w:r>
      <w:bookmarkEnd w:id="5"/>
    </w:p>
    <w:p>
      <w:pPr>
        <w:bidi w:val="0"/>
      </w:pPr>
      <w:r>
        <w:rPr>
          <w:rFonts w:hint="eastAsia"/>
        </w:rPr>
        <w:t>通过对调查问卷中“您认为宜居城市最重要的因素有哪些？”这一问题的统计，得到市民对</w:t>
      </w:r>
      <w:r>
        <w:rPr>
          <w:rFonts w:hint="eastAsia"/>
          <w:lang w:val="en-US" w:eastAsia="zh-CN"/>
        </w:rPr>
        <w:t>9大项、</w:t>
      </w:r>
      <w:r>
        <w:rPr>
          <w:rFonts w:hint="eastAsia"/>
        </w:rPr>
        <w:t>14</w:t>
      </w:r>
      <w:r>
        <w:rPr>
          <w:rFonts w:hint="eastAsia"/>
          <w:lang w:val="en-US" w:eastAsia="zh-CN"/>
        </w:rPr>
        <w:t>类细分</w:t>
      </w:r>
      <w:r>
        <w:t>项</w:t>
      </w:r>
      <w:r>
        <w:rPr>
          <w:rFonts w:hint="eastAsia"/>
        </w:rPr>
        <w:t>宜居</w:t>
      </w:r>
      <w:r>
        <w:t>因素的</w:t>
      </w:r>
      <w:r>
        <w:rPr>
          <w:rFonts w:hint="eastAsia"/>
        </w:rPr>
        <w:t>关注度</w:t>
      </w:r>
      <w:r>
        <w:t>，</w:t>
      </w:r>
      <w:r>
        <w:rPr>
          <w:rFonts w:hint="eastAsia"/>
        </w:rPr>
        <w:t>并</w:t>
      </w:r>
      <w:r>
        <w:t>以此作为权重；各宜居</w:t>
      </w:r>
      <w:r>
        <w:rPr>
          <w:rFonts w:hint="eastAsia"/>
        </w:rPr>
        <w:t>指标</w:t>
      </w:r>
      <w:r>
        <w:t>的满意度则由调研问卷中的“</w:t>
      </w:r>
      <w:r>
        <w:rPr>
          <w:rFonts w:hint="eastAsia"/>
          <w:lang w:val="en-US" w:eastAsia="zh-CN"/>
        </w:rPr>
        <w:t>非常同意</w:t>
      </w:r>
      <w:r>
        <w:t>”</w:t>
      </w:r>
      <w:r>
        <w:rPr>
          <w:rFonts w:hint="eastAsia"/>
        </w:rPr>
        <w:t>、“</w:t>
      </w:r>
      <w:r>
        <w:rPr>
          <w:rFonts w:hint="eastAsia"/>
          <w:lang w:val="en-US" w:eastAsia="zh-CN"/>
        </w:rPr>
        <w:t>比较同意</w:t>
      </w:r>
      <w:r>
        <w:rPr>
          <w:rFonts w:hint="eastAsia"/>
        </w:rPr>
        <w:t>”</w:t>
      </w:r>
      <w:r>
        <w:rPr>
          <w:rFonts w:hint="eastAsia"/>
          <w:lang w:val="en-US" w:eastAsia="zh-CN"/>
        </w:rPr>
        <w:t>和“一般”三</w:t>
      </w:r>
      <w:r>
        <w:t>项指标占调研总数的比重获得；</w:t>
      </w:r>
      <w:r>
        <w:rPr>
          <w:rFonts w:hint="eastAsia"/>
          <w:lang w:val="en-US" w:eastAsia="zh-CN"/>
        </w:rPr>
        <w:t>将“非常同意”作为“满意”，“比较同意”和“一般”作为“基本满意”进行满意度的运算。</w:t>
      </w:r>
      <w:r>
        <w:t>深圳市宜居城市总体满意度由各分项权重与各分项满意度进行综合运算后得出，结果如表2-1所示。20</w:t>
      </w:r>
      <w:r>
        <w:rPr>
          <w:rFonts w:hint="eastAsia"/>
        </w:rPr>
        <w:t>20</w:t>
      </w:r>
      <w:r>
        <w:t>年深圳市宜居城市总体满意度为</w:t>
      </w:r>
      <w:r>
        <w:rPr>
          <w:rFonts w:hint="eastAsia"/>
        </w:rPr>
        <w:t>87.95%</w:t>
      </w:r>
      <w:r>
        <w:t>，较201</w:t>
      </w:r>
      <w:r>
        <w:rPr>
          <w:rFonts w:hint="eastAsia"/>
        </w:rPr>
        <w:t>9</w:t>
      </w:r>
      <w:r>
        <w:t>年</w:t>
      </w:r>
      <w:r>
        <w:rPr>
          <w:rFonts w:hint="eastAsia"/>
          <w:lang w:val="en-US" w:eastAsia="zh-CN"/>
        </w:rPr>
        <w:t>上涨8.44</w:t>
      </w:r>
      <w:r>
        <w:t>个百分点。</w:t>
      </w:r>
    </w:p>
    <w:tbl>
      <w:tblPr>
        <w:tblStyle w:val="2"/>
        <w:tblW w:w="8343" w:type="dxa"/>
        <w:tblInd w:w="0" w:type="dxa"/>
        <w:shd w:val="clear" w:color="auto" w:fill="auto"/>
        <w:tblLayout w:type="fixed"/>
        <w:tblCellMar>
          <w:top w:w="0" w:type="dxa"/>
          <w:left w:w="0" w:type="dxa"/>
          <w:bottom w:w="0" w:type="dxa"/>
          <w:right w:w="0" w:type="dxa"/>
        </w:tblCellMar>
      </w:tblPr>
      <w:tblGrid>
        <w:gridCol w:w="2084"/>
        <w:gridCol w:w="4125"/>
        <w:gridCol w:w="1063"/>
        <w:gridCol w:w="1071"/>
      </w:tblGrid>
      <w:tr>
        <w:trPr>
          <w:trHeight w:val="300" w:hRule="atLeast"/>
        </w:trPr>
        <w:tc>
          <w:tcPr>
            <w:tcW w:w="8343" w:type="dxa"/>
            <w:gridSpan w:val="4"/>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ascii="仿宋" w:hAnsi="仿宋" w:eastAsia="仿宋" w:cs="仿宋"/>
                <w:b/>
                <w:i w:val="0"/>
                <w:color w:val="000000"/>
                <w:sz w:val="21"/>
                <w:szCs w:val="21"/>
                <w:u w:val="none"/>
              </w:rPr>
            </w:pPr>
            <w:r>
              <w:rPr>
                <w:rFonts w:hint="eastAsia" w:ascii="仿宋" w:hAnsi="仿宋" w:eastAsia="仿宋" w:cs="仿宋"/>
                <w:b/>
                <w:i w:val="0"/>
                <w:color w:val="000000"/>
                <w:kern w:val="0"/>
                <w:sz w:val="21"/>
                <w:szCs w:val="21"/>
                <w:u w:val="none"/>
                <w:lang w:val="en-US" w:eastAsia="zh-CN" w:bidi="ar"/>
              </w:rPr>
              <w:t>表2-1  2020年14项宜居指标对应的权重及满意度</w:t>
            </w:r>
          </w:p>
        </w:tc>
      </w:tr>
      <w:tr>
        <w:tblPrEx>
          <w:shd w:val="clear" w:color="auto" w:fill="auto"/>
        </w:tblPrEx>
        <w:trPr>
          <w:trHeight w:val="315" w:hRule="atLeast"/>
        </w:trPr>
        <w:tc>
          <w:tcPr>
            <w:tcW w:w="6209" w:type="dxa"/>
            <w:gridSpan w:val="2"/>
            <w:tcBorders>
              <w:top w:val="single" w:color="000000" w:sz="8"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b/>
                <w:i w:val="0"/>
                <w:color w:val="000000"/>
                <w:sz w:val="21"/>
                <w:szCs w:val="21"/>
                <w:u w:val="none"/>
              </w:rPr>
            </w:pPr>
            <w:r>
              <w:rPr>
                <w:rFonts w:hint="eastAsia" w:ascii="仿宋" w:hAnsi="仿宋" w:eastAsia="仿宋" w:cs="仿宋"/>
                <w:b/>
                <w:i w:val="0"/>
                <w:color w:val="000000"/>
                <w:kern w:val="0"/>
                <w:sz w:val="21"/>
                <w:szCs w:val="21"/>
                <w:u w:val="none"/>
                <w:lang w:val="en-US" w:eastAsia="zh-CN" w:bidi="ar"/>
              </w:rPr>
              <w:t>因素</w:t>
            </w:r>
          </w:p>
        </w:tc>
        <w:tc>
          <w:tcPr>
            <w:tcW w:w="1063" w:type="dxa"/>
            <w:tcBorders>
              <w:top w:val="single" w:color="000000" w:sz="8"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b/>
                <w:i w:val="0"/>
                <w:color w:val="000000"/>
                <w:sz w:val="21"/>
                <w:szCs w:val="21"/>
                <w:u w:val="none"/>
              </w:rPr>
            </w:pPr>
            <w:r>
              <w:rPr>
                <w:rFonts w:hint="eastAsia" w:ascii="仿宋" w:hAnsi="仿宋" w:eastAsia="仿宋" w:cs="仿宋"/>
                <w:b/>
                <w:i w:val="0"/>
                <w:color w:val="000000"/>
                <w:kern w:val="0"/>
                <w:sz w:val="21"/>
                <w:szCs w:val="21"/>
                <w:u w:val="none"/>
                <w:lang w:val="en-US" w:eastAsia="zh-CN" w:bidi="ar"/>
              </w:rPr>
              <w:t>权重</w:t>
            </w:r>
          </w:p>
        </w:tc>
        <w:tc>
          <w:tcPr>
            <w:tcW w:w="1071" w:type="dxa"/>
            <w:tcBorders>
              <w:top w:val="single" w:color="000000" w:sz="8"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b/>
                <w:i w:val="0"/>
                <w:color w:val="000000"/>
                <w:sz w:val="21"/>
                <w:szCs w:val="21"/>
                <w:u w:val="none"/>
              </w:rPr>
            </w:pPr>
            <w:r>
              <w:rPr>
                <w:rFonts w:hint="eastAsia" w:ascii="仿宋" w:hAnsi="仿宋" w:eastAsia="仿宋" w:cs="仿宋"/>
                <w:b/>
                <w:i w:val="0"/>
                <w:color w:val="000000"/>
                <w:kern w:val="0"/>
                <w:sz w:val="21"/>
                <w:szCs w:val="21"/>
                <w:u w:val="none"/>
                <w:lang w:val="en-US" w:eastAsia="zh-CN" w:bidi="ar"/>
              </w:rPr>
              <w:t>满意度</w:t>
            </w:r>
          </w:p>
        </w:tc>
      </w:tr>
      <w:tr>
        <w:tblPrEx>
          <w:shd w:val="clear" w:color="auto" w:fill="auto"/>
        </w:tblPrEx>
        <w:trPr>
          <w:trHeight w:val="315" w:hRule="atLeast"/>
        </w:trPr>
        <w:tc>
          <w:tcPr>
            <w:tcW w:w="2084" w:type="dxa"/>
            <w:vMerge w:val="restar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城市环境</w:t>
            </w:r>
          </w:p>
        </w:tc>
        <w:tc>
          <w:tcPr>
            <w:tcW w:w="4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水环境质量</w:t>
            </w:r>
          </w:p>
        </w:tc>
        <w:tc>
          <w:tcPr>
            <w:tcW w:w="1063"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21.38%</w:t>
            </w:r>
          </w:p>
        </w:tc>
        <w:tc>
          <w:tcPr>
            <w:tcW w:w="1071"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94.77%</w:t>
            </w:r>
          </w:p>
        </w:tc>
      </w:tr>
      <w:tr>
        <w:tblPrEx>
          <w:shd w:val="clear" w:color="auto" w:fill="auto"/>
        </w:tblPrEx>
        <w:trPr>
          <w:trHeight w:val="315" w:hRule="atLeast"/>
        </w:trPr>
        <w:tc>
          <w:tcPr>
            <w:tcW w:w="2084" w:type="dxa"/>
            <w:vMerge w:val="continue"/>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color w:val="000000"/>
                <w:sz w:val="21"/>
                <w:szCs w:val="21"/>
                <w:u w:val="none"/>
              </w:rPr>
            </w:pPr>
          </w:p>
        </w:tc>
        <w:tc>
          <w:tcPr>
            <w:tcW w:w="4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空气质量</w:t>
            </w:r>
          </w:p>
        </w:tc>
        <w:tc>
          <w:tcPr>
            <w:tcW w:w="106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color w:val="000000"/>
                <w:sz w:val="21"/>
                <w:szCs w:val="21"/>
                <w:u w:val="none"/>
              </w:rPr>
            </w:pPr>
          </w:p>
        </w:tc>
        <w:tc>
          <w:tcPr>
            <w:tcW w:w="1071"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94.12%</w:t>
            </w:r>
          </w:p>
        </w:tc>
      </w:tr>
      <w:tr>
        <w:tblPrEx>
          <w:shd w:val="clear" w:color="auto" w:fill="auto"/>
        </w:tblPrEx>
        <w:trPr>
          <w:trHeight w:val="315" w:hRule="atLeast"/>
        </w:trPr>
        <w:tc>
          <w:tcPr>
            <w:tcW w:w="2084" w:type="dxa"/>
            <w:vMerge w:val="continue"/>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color w:val="000000"/>
                <w:sz w:val="21"/>
                <w:szCs w:val="21"/>
                <w:u w:val="none"/>
              </w:rPr>
            </w:pPr>
          </w:p>
        </w:tc>
        <w:tc>
          <w:tcPr>
            <w:tcW w:w="4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绿化建设</w:t>
            </w:r>
          </w:p>
        </w:tc>
        <w:tc>
          <w:tcPr>
            <w:tcW w:w="106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color w:val="000000"/>
                <w:sz w:val="21"/>
                <w:szCs w:val="21"/>
                <w:u w:val="none"/>
              </w:rPr>
            </w:pPr>
          </w:p>
        </w:tc>
        <w:tc>
          <w:tcPr>
            <w:tcW w:w="1071"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94.85%</w:t>
            </w:r>
          </w:p>
        </w:tc>
      </w:tr>
      <w:tr>
        <w:tblPrEx>
          <w:shd w:val="clear" w:color="auto" w:fill="auto"/>
        </w:tblPrEx>
        <w:trPr>
          <w:trHeight w:val="315" w:hRule="atLeast"/>
        </w:trPr>
        <w:tc>
          <w:tcPr>
            <w:tcW w:w="2084" w:type="dxa"/>
            <w:vMerge w:val="continue"/>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color w:val="000000"/>
                <w:sz w:val="21"/>
                <w:szCs w:val="21"/>
                <w:u w:val="none"/>
              </w:rPr>
            </w:pPr>
          </w:p>
        </w:tc>
        <w:tc>
          <w:tcPr>
            <w:tcW w:w="4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社区环境</w:t>
            </w:r>
          </w:p>
        </w:tc>
        <w:tc>
          <w:tcPr>
            <w:tcW w:w="106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color w:val="000000"/>
                <w:sz w:val="21"/>
                <w:szCs w:val="21"/>
                <w:u w:val="none"/>
              </w:rPr>
            </w:pPr>
          </w:p>
        </w:tc>
        <w:tc>
          <w:tcPr>
            <w:tcW w:w="1071"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93.83%</w:t>
            </w:r>
          </w:p>
        </w:tc>
      </w:tr>
      <w:tr>
        <w:tblPrEx>
          <w:shd w:val="clear" w:color="auto" w:fill="auto"/>
        </w:tblPrEx>
        <w:trPr>
          <w:trHeight w:val="285" w:hRule="atLeast"/>
        </w:trPr>
        <w:tc>
          <w:tcPr>
            <w:tcW w:w="6209" w:type="dxa"/>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经济发展</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10.24%</w:t>
            </w:r>
          </w:p>
        </w:tc>
        <w:tc>
          <w:tcPr>
            <w:tcW w:w="1071"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92.63%</w:t>
            </w:r>
          </w:p>
        </w:tc>
      </w:tr>
      <w:tr>
        <w:tblPrEx>
          <w:shd w:val="clear" w:color="auto" w:fill="auto"/>
        </w:tblPrEx>
        <w:trPr>
          <w:trHeight w:val="285" w:hRule="atLeast"/>
        </w:trPr>
        <w:tc>
          <w:tcPr>
            <w:tcW w:w="6209" w:type="dxa"/>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住房条件</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12.60%</w:t>
            </w:r>
          </w:p>
        </w:tc>
        <w:tc>
          <w:tcPr>
            <w:tcW w:w="1071"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75.55%</w:t>
            </w:r>
          </w:p>
        </w:tc>
      </w:tr>
      <w:tr>
        <w:tblPrEx>
          <w:shd w:val="clear" w:color="auto" w:fill="auto"/>
        </w:tblPrEx>
        <w:trPr>
          <w:trHeight w:val="285" w:hRule="atLeast"/>
        </w:trPr>
        <w:tc>
          <w:tcPr>
            <w:tcW w:w="6209" w:type="dxa"/>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城市交通</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12.91%</w:t>
            </w:r>
          </w:p>
        </w:tc>
        <w:tc>
          <w:tcPr>
            <w:tcW w:w="1071"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82.22%</w:t>
            </w:r>
          </w:p>
        </w:tc>
      </w:tr>
      <w:tr>
        <w:tblPrEx>
          <w:shd w:val="clear" w:color="auto" w:fill="auto"/>
        </w:tblPrEx>
        <w:trPr>
          <w:trHeight w:val="285" w:hRule="atLeast"/>
        </w:trPr>
        <w:tc>
          <w:tcPr>
            <w:tcW w:w="6209" w:type="dxa"/>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文化服务</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2.99%</w:t>
            </w:r>
          </w:p>
        </w:tc>
        <w:tc>
          <w:tcPr>
            <w:tcW w:w="1071"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91.47%</w:t>
            </w:r>
          </w:p>
        </w:tc>
      </w:tr>
      <w:tr>
        <w:tblPrEx>
          <w:shd w:val="clear" w:color="auto" w:fill="auto"/>
        </w:tblPrEx>
        <w:trPr>
          <w:trHeight w:val="315" w:hRule="atLeast"/>
        </w:trPr>
        <w:tc>
          <w:tcPr>
            <w:tcW w:w="2084" w:type="dxa"/>
            <w:vMerge w:val="restar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教育医疗服务</w:t>
            </w:r>
          </w:p>
        </w:tc>
        <w:tc>
          <w:tcPr>
            <w:tcW w:w="4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教育服务</w:t>
            </w:r>
          </w:p>
        </w:tc>
        <w:tc>
          <w:tcPr>
            <w:tcW w:w="1063"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16.11%</w:t>
            </w:r>
          </w:p>
        </w:tc>
        <w:tc>
          <w:tcPr>
            <w:tcW w:w="1071"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79.50%</w:t>
            </w:r>
          </w:p>
        </w:tc>
      </w:tr>
      <w:tr>
        <w:tblPrEx>
          <w:shd w:val="clear" w:color="auto" w:fill="auto"/>
        </w:tblPrEx>
        <w:trPr>
          <w:trHeight w:val="315" w:hRule="atLeast"/>
        </w:trPr>
        <w:tc>
          <w:tcPr>
            <w:tcW w:w="2084" w:type="dxa"/>
            <w:vMerge w:val="continue"/>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color w:val="000000"/>
                <w:sz w:val="21"/>
                <w:szCs w:val="21"/>
                <w:u w:val="none"/>
              </w:rPr>
            </w:pPr>
          </w:p>
        </w:tc>
        <w:tc>
          <w:tcPr>
            <w:tcW w:w="4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医疗卫生服务</w:t>
            </w:r>
          </w:p>
        </w:tc>
        <w:tc>
          <w:tcPr>
            <w:tcW w:w="106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color w:val="000000"/>
                <w:sz w:val="21"/>
                <w:szCs w:val="21"/>
                <w:u w:val="none"/>
              </w:rPr>
            </w:pPr>
          </w:p>
        </w:tc>
        <w:tc>
          <w:tcPr>
            <w:tcW w:w="1071"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78.82%</w:t>
            </w:r>
          </w:p>
        </w:tc>
      </w:tr>
      <w:tr>
        <w:tblPrEx>
          <w:shd w:val="clear" w:color="auto" w:fill="auto"/>
        </w:tblPrEx>
        <w:trPr>
          <w:trHeight w:val="315" w:hRule="atLeast"/>
        </w:trPr>
        <w:tc>
          <w:tcPr>
            <w:tcW w:w="2084" w:type="dxa"/>
            <w:vMerge w:val="restar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公共安全</w:t>
            </w:r>
          </w:p>
        </w:tc>
        <w:tc>
          <w:tcPr>
            <w:tcW w:w="4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食品/药品安全</w:t>
            </w:r>
          </w:p>
        </w:tc>
        <w:tc>
          <w:tcPr>
            <w:tcW w:w="1063"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10.16%</w:t>
            </w:r>
          </w:p>
        </w:tc>
        <w:tc>
          <w:tcPr>
            <w:tcW w:w="1071"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91.75%</w:t>
            </w:r>
          </w:p>
        </w:tc>
      </w:tr>
      <w:tr>
        <w:tblPrEx>
          <w:shd w:val="clear" w:color="auto" w:fill="auto"/>
        </w:tblPrEx>
        <w:trPr>
          <w:trHeight w:val="315" w:hRule="atLeast"/>
        </w:trPr>
        <w:tc>
          <w:tcPr>
            <w:tcW w:w="2084" w:type="dxa"/>
            <w:vMerge w:val="continue"/>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color w:val="000000"/>
                <w:sz w:val="21"/>
                <w:szCs w:val="21"/>
                <w:u w:val="none"/>
              </w:rPr>
            </w:pPr>
          </w:p>
        </w:tc>
        <w:tc>
          <w:tcPr>
            <w:tcW w:w="4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应对突发公共安全事件能力</w:t>
            </w:r>
          </w:p>
        </w:tc>
        <w:tc>
          <w:tcPr>
            <w:tcW w:w="106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color w:val="000000"/>
                <w:sz w:val="21"/>
                <w:szCs w:val="21"/>
                <w:u w:val="none"/>
              </w:rPr>
            </w:pPr>
          </w:p>
        </w:tc>
        <w:tc>
          <w:tcPr>
            <w:tcW w:w="1071"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96.32%</w:t>
            </w:r>
          </w:p>
        </w:tc>
      </w:tr>
      <w:tr>
        <w:tblPrEx>
          <w:shd w:val="clear" w:color="auto" w:fill="auto"/>
        </w:tblPrEx>
        <w:trPr>
          <w:trHeight w:val="315" w:hRule="atLeast"/>
        </w:trPr>
        <w:tc>
          <w:tcPr>
            <w:tcW w:w="2084"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社会保障</w:t>
            </w:r>
          </w:p>
        </w:tc>
        <w:tc>
          <w:tcPr>
            <w:tcW w:w="4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对特殊群体关爱</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9.37%</w:t>
            </w:r>
          </w:p>
        </w:tc>
        <w:tc>
          <w:tcPr>
            <w:tcW w:w="1071"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87.66%</w:t>
            </w:r>
          </w:p>
        </w:tc>
      </w:tr>
      <w:tr>
        <w:tblPrEx>
          <w:shd w:val="clear" w:color="auto" w:fill="auto"/>
        </w:tblPrEx>
        <w:trPr>
          <w:trHeight w:val="315" w:hRule="atLeast"/>
        </w:trPr>
        <w:tc>
          <w:tcPr>
            <w:tcW w:w="6209" w:type="dxa"/>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社区管理</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4.23%</w:t>
            </w:r>
          </w:p>
        </w:tc>
        <w:tc>
          <w:tcPr>
            <w:tcW w:w="1071"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91.64%</w:t>
            </w:r>
          </w:p>
        </w:tc>
      </w:tr>
      <w:tr>
        <w:tblPrEx>
          <w:shd w:val="clear" w:color="auto" w:fill="auto"/>
        </w:tblPrEx>
        <w:trPr>
          <w:trHeight w:val="315" w:hRule="atLeast"/>
        </w:trPr>
        <w:tc>
          <w:tcPr>
            <w:tcW w:w="7272" w:type="dxa"/>
            <w:gridSpan w:val="3"/>
            <w:tcBorders>
              <w:top w:val="single" w:color="000000" w:sz="4" w:space="0"/>
              <w:left w:val="nil"/>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b/>
                <w:bCs/>
                <w:i w:val="0"/>
                <w:color w:val="000000"/>
                <w:sz w:val="21"/>
                <w:szCs w:val="21"/>
                <w:u w:val="none"/>
              </w:rPr>
            </w:pPr>
            <w:r>
              <w:rPr>
                <w:rFonts w:hint="eastAsia" w:ascii="仿宋" w:hAnsi="仿宋" w:eastAsia="仿宋" w:cs="仿宋"/>
                <w:b/>
                <w:bCs/>
                <w:i w:val="0"/>
                <w:color w:val="000000"/>
                <w:kern w:val="0"/>
                <w:sz w:val="21"/>
                <w:szCs w:val="21"/>
                <w:u w:val="none"/>
                <w:lang w:val="en-US" w:eastAsia="zh-CN" w:bidi="ar"/>
              </w:rPr>
              <w:t>深圳市宜居城市总体满意度</w:t>
            </w:r>
          </w:p>
        </w:tc>
        <w:tc>
          <w:tcPr>
            <w:tcW w:w="1071" w:type="dxa"/>
            <w:tcBorders>
              <w:top w:val="single" w:color="000000" w:sz="4" w:space="0"/>
              <w:left w:val="single" w:color="000000" w:sz="4" w:space="0"/>
              <w:bottom w:val="single" w:color="000000" w:sz="8" w:space="0"/>
              <w:right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87.95%</w:t>
            </w:r>
          </w:p>
        </w:tc>
      </w:tr>
    </w:tbl>
    <w:p>
      <w:pPr>
        <w:bidi w:val="0"/>
        <w:rPr>
          <w:rFonts w:ascii="仿宋" w:hAnsi="仿宋" w:eastAsia="仿宋" w:cs="Times New Roman"/>
          <w:sz w:val="28"/>
          <w:szCs w:val="28"/>
        </w:rPr>
      </w:pPr>
    </w:p>
    <w:p>
      <w:pPr>
        <w:bidi w:val="0"/>
        <w:jc w:val="left"/>
        <w:rPr>
          <w:rFonts w:ascii="仿宋" w:hAnsi="仿宋" w:eastAsia="仿宋" w:cs="Times New Roman"/>
          <w:sz w:val="28"/>
          <w:szCs w:val="28"/>
        </w:rPr>
      </w:pPr>
      <w:r>
        <w:rPr>
          <w:rFonts w:hint="eastAsia"/>
        </w:rPr>
        <w:t>在此基础上，为形象展示深圳市历年满意度的变化情况，将2011-2020年深圳市宜居满意度的相关数据在图2-1中进行展示，发现深圳市宜居城市总体满意度呈逐步上升的趋势。</w:t>
      </w:r>
      <w:r>
        <w:rPr>
          <w:rFonts w:ascii="等线" w:hAnsi="等线" w:eastAsia="等线" w:cs="Times New Roman"/>
          <w:szCs w:val="22"/>
        </w:rPr>
        <w:drawing>
          <wp:inline distT="0" distB="0" distL="114300" distR="114300">
            <wp:extent cx="5204460" cy="1877695"/>
            <wp:effectExtent l="4445" t="4445" r="10795" b="22860"/>
            <wp:docPr id="98"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pPr>
        <w:tabs>
          <w:tab w:val="left" w:pos="1080"/>
        </w:tabs>
        <w:spacing w:line="360" w:lineRule="auto"/>
        <w:jc w:val="center"/>
        <w:rPr>
          <w:rFonts w:ascii="仿宋" w:hAnsi="仿宋" w:eastAsia="仿宋" w:cs="Times New Roman"/>
          <w:b/>
          <w:sz w:val="24"/>
          <w:szCs w:val="28"/>
        </w:rPr>
      </w:pPr>
      <w:r>
        <w:rPr>
          <w:rFonts w:hint="eastAsia" w:ascii="仿宋" w:hAnsi="仿宋" w:eastAsia="仿宋" w:cs="Times New Roman"/>
          <w:b/>
          <w:sz w:val="24"/>
          <w:szCs w:val="28"/>
        </w:rPr>
        <w:t>图2</w:t>
      </w:r>
      <w:r>
        <w:rPr>
          <w:rFonts w:ascii="仿宋" w:hAnsi="仿宋" w:eastAsia="仿宋" w:cs="Times New Roman"/>
          <w:b/>
          <w:sz w:val="24"/>
          <w:szCs w:val="28"/>
        </w:rPr>
        <w:t>-</w:t>
      </w:r>
      <w:r>
        <w:rPr>
          <w:rFonts w:hint="eastAsia" w:ascii="仿宋" w:hAnsi="仿宋" w:eastAsia="仿宋" w:cs="Times New Roman"/>
          <w:b/>
          <w:sz w:val="24"/>
          <w:szCs w:val="28"/>
        </w:rPr>
        <w:t>1  2011年-2020年深圳宜居总体满意度</w:t>
      </w:r>
    </w:p>
    <w:p>
      <w:pPr>
        <w:keepNext/>
        <w:keepLines/>
        <w:pageBreakBefore w:val="0"/>
        <w:widowControl w:val="0"/>
        <w:kinsoku/>
        <w:wordWrap/>
        <w:overflowPunct/>
        <w:topLinePunct w:val="0"/>
        <w:autoSpaceDE/>
        <w:autoSpaceDN/>
        <w:bidi w:val="0"/>
        <w:adjustRightInd/>
        <w:snapToGrid/>
        <w:spacing w:before="0" w:after="0" w:line="360" w:lineRule="auto"/>
        <w:jc w:val="both"/>
        <w:textAlignment w:val="auto"/>
        <w:outlineLvl w:val="1"/>
        <w:rPr>
          <w:rFonts w:hint="eastAsia" w:ascii="仿宋" w:hAnsi="仿宋" w:eastAsia="仿宋" w:cs="Times New Roman"/>
          <w:b/>
          <w:bCs/>
          <w:kern w:val="2"/>
          <w:sz w:val="28"/>
          <w:szCs w:val="32"/>
          <w:lang w:val="en-US" w:eastAsia="zh-CN" w:bidi="ar-SA"/>
        </w:rPr>
      </w:pPr>
      <w:r>
        <w:rPr>
          <w:rFonts w:hint="eastAsia" w:ascii="仿宋" w:hAnsi="仿宋" w:eastAsia="仿宋" w:cs="Times New Roman"/>
          <w:b/>
          <w:bCs/>
          <w:kern w:val="2"/>
          <w:sz w:val="28"/>
          <w:szCs w:val="32"/>
          <w:lang w:val="en-US" w:eastAsia="zh-CN" w:bidi="ar-SA"/>
        </w:rPr>
        <w:t>（二）宜居因素关注度</w:t>
      </w:r>
    </w:p>
    <w:p>
      <w:pPr>
        <w:bidi w:val="0"/>
        <w:rPr>
          <w:rFonts w:hint="eastAsia"/>
        </w:rPr>
      </w:pPr>
      <w:r>
        <w:rPr>
          <w:rFonts w:hint="eastAsia"/>
        </w:rPr>
        <w:t>统计分析，得到市民对各类宜居因素的关注度排名，具体如图2-</w:t>
      </w:r>
      <w:r>
        <w:t>2</w:t>
      </w:r>
      <w:r>
        <w:rPr>
          <w:rFonts w:hint="eastAsia"/>
        </w:rPr>
        <w:t>所示。2020年市民关注度较高的</w:t>
      </w:r>
      <w:r>
        <w:rPr>
          <w:rFonts w:hint="eastAsia"/>
          <w:lang w:val="en-US" w:eastAsia="zh-CN"/>
        </w:rPr>
        <w:t>四</w:t>
      </w:r>
      <w:r>
        <w:rPr>
          <w:rFonts w:hint="eastAsia"/>
        </w:rPr>
        <w:t>项宜居因素依次为</w:t>
      </w:r>
      <w:r>
        <w:rPr>
          <w:rFonts w:hint="eastAsia"/>
          <w:lang w:val="en-US" w:eastAsia="zh-CN"/>
        </w:rPr>
        <w:t>城市环境</w:t>
      </w:r>
      <w:r>
        <w:rPr>
          <w:rFonts w:hint="eastAsia"/>
        </w:rPr>
        <w:t>、</w:t>
      </w:r>
      <w:r>
        <w:rPr>
          <w:rFonts w:hint="eastAsia"/>
          <w:lang w:val="en-US" w:eastAsia="zh-CN"/>
        </w:rPr>
        <w:t>教育医疗服务</w:t>
      </w:r>
      <w:r>
        <w:rPr>
          <w:rFonts w:hint="eastAsia"/>
        </w:rPr>
        <w:t>、</w:t>
      </w:r>
      <w:r>
        <w:rPr>
          <w:rFonts w:hint="eastAsia"/>
          <w:lang w:val="en-US" w:eastAsia="zh-CN"/>
        </w:rPr>
        <w:t>城市交通</w:t>
      </w:r>
      <w:r>
        <w:rPr>
          <w:rFonts w:hint="eastAsia"/>
        </w:rPr>
        <w:t>和</w:t>
      </w:r>
      <w:r>
        <w:rPr>
          <w:rFonts w:hint="eastAsia"/>
          <w:lang w:val="en-US" w:eastAsia="zh-CN"/>
        </w:rPr>
        <w:t>住房条件，</w:t>
      </w:r>
      <w:r>
        <w:rPr>
          <w:rFonts w:hint="eastAsia"/>
        </w:rPr>
        <w:t>关注度分别为</w:t>
      </w:r>
      <w:r>
        <w:rPr>
          <w:rFonts w:hint="eastAsia"/>
          <w:lang w:val="en-US" w:eastAsia="zh-CN"/>
        </w:rPr>
        <w:t>21.38</w:t>
      </w:r>
      <w:r>
        <w:t>%、</w:t>
      </w:r>
      <w:r>
        <w:rPr>
          <w:rFonts w:hint="eastAsia"/>
          <w:lang w:val="en-US" w:eastAsia="zh-CN"/>
        </w:rPr>
        <w:t>16.11</w:t>
      </w:r>
      <w:r>
        <w:t>%</w:t>
      </w:r>
      <w:r>
        <w:rPr>
          <w:rFonts w:hint="eastAsia"/>
        </w:rPr>
        <w:t>、</w:t>
      </w:r>
      <w:r>
        <w:rPr>
          <w:rFonts w:hint="eastAsia"/>
          <w:lang w:val="en-US" w:eastAsia="zh-CN"/>
        </w:rPr>
        <w:t>12.91</w:t>
      </w:r>
      <w:r>
        <w:t>%</w:t>
      </w:r>
      <w:r>
        <w:rPr>
          <w:rFonts w:hint="eastAsia"/>
        </w:rPr>
        <w:t>和1</w:t>
      </w:r>
      <w:r>
        <w:rPr>
          <w:rFonts w:hint="eastAsia"/>
          <w:lang w:val="en-US" w:eastAsia="zh-CN"/>
        </w:rPr>
        <w:t>2.60</w:t>
      </w:r>
      <w:r>
        <w:t>%</w:t>
      </w:r>
      <w:r>
        <w:rPr>
          <w:rFonts w:hint="eastAsia"/>
        </w:rPr>
        <w:t>，市民对该</w:t>
      </w:r>
      <w:r>
        <w:rPr>
          <w:rFonts w:hint="eastAsia"/>
          <w:lang w:val="en-US" w:eastAsia="zh-CN"/>
        </w:rPr>
        <w:t>四</w:t>
      </w:r>
      <w:r>
        <w:rPr>
          <w:rFonts w:hint="eastAsia"/>
        </w:rPr>
        <w:t>项宜居因素总体关注度高达</w:t>
      </w:r>
      <w:r>
        <w:rPr>
          <w:rFonts w:hint="eastAsia"/>
          <w:lang w:val="en-US" w:eastAsia="zh-CN"/>
        </w:rPr>
        <w:t>63</w:t>
      </w:r>
      <w:r>
        <w:rPr>
          <w:rFonts w:hint="eastAsia"/>
        </w:rPr>
        <w:t>%。市民对</w:t>
      </w:r>
      <w:r>
        <w:rPr>
          <w:rFonts w:hint="eastAsia"/>
          <w:lang w:val="en-US" w:eastAsia="zh-CN"/>
        </w:rPr>
        <w:t>社区管理和文化服务</w:t>
      </w:r>
      <w:r>
        <w:rPr>
          <w:rFonts w:hint="eastAsia"/>
        </w:rPr>
        <w:t>的关注度较低。</w:t>
      </w:r>
    </w:p>
    <w:p>
      <w:pPr>
        <w:bidi w:val="0"/>
        <w:rPr>
          <w:rFonts w:ascii="仿宋" w:hAnsi="仿宋" w:eastAsia="仿宋" w:cs="Times New Roman"/>
          <w:sz w:val="28"/>
          <w:szCs w:val="28"/>
        </w:rPr>
      </w:pPr>
      <w:r>
        <w:rPr>
          <w:rFonts w:ascii="等线" w:hAnsi="等线" w:eastAsia="等线" w:cs="Times New Roman"/>
          <w:szCs w:val="22"/>
        </w:rPr>
        <w:drawing>
          <wp:inline distT="0" distB="0" distL="114300" distR="114300">
            <wp:extent cx="4572000" cy="2743200"/>
            <wp:effectExtent l="4445" t="4445" r="14605" b="14605"/>
            <wp:docPr id="13"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pPr>
        <w:tabs>
          <w:tab w:val="left" w:pos="1080"/>
        </w:tabs>
        <w:spacing w:before="156" w:beforeLines="50" w:after="156" w:afterLines="50" w:line="360" w:lineRule="auto"/>
        <w:jc w:val="center"/>
        <w:rPr>
          <w:rFonts w:ascii="仿宋" w:hAnsi="仿宋" w:eastAsia="仿宋" w:cs="Times New Roman"/>
          <w:b/>
          <w:sz w:val="24"/>
          <w:szCs w:val="28"/>
        </w:rPr>
      </w:pPr>
      <w:r>
        <w:rPr>
          <w:rFonts w:hint="eastAsia" w:ascii="仿宋" w:hAnsi="仿宋" w:eastAsia="仿宋" w:cs="Times New Roman"/>
          <w:b/>
          <w:sz w:val="24"/>
          <w:szCs w:val="28"/>
        </w:rPr>
        <w:t>图2</w:t>
      </w:r>
      <w:r>
        <w:rPr>
          <w:rFonts w:ascii="仿宋" w:hAnsi="仿宋" w:eastAsia="仿宋" w:cs="Times New Roman"/>
          <w:b/>
          <w:sz w:val="24"/>
          <w:szCs w:val="28"/>
        </w:rPr>
        <w:t>-</w:t>
      </w:r>
      <w:r>
        <w:rPr>
          <w:rFonts w:hint="eastAsia" w:ascii="仿宋" w:hAnsi="仿宋" w:eastAsia="仿宋" w:cs="Times New Roman"/>
          <w:b/>
          <w:sz w:val="24"/>
          <w:szCs w:val="28"/>
        </w:rPr>
        <w:t>2  2020年各类宜居因素关注度排序</w:t>
      </w:r>
    </w:p>
    <w:p>
      <w:pPr>
        <w:bidi w:val="0"/>
      </w:pPr>
      <w:r>
        <w:rPr>
          <w:rFonts w:hint="eastAsia"/>
        </w:rPr>
        <w:t>对比分析近5年宜居因素关注度排名情况，发现</w:t>
      </w:r>
      <w:r>
        <w:rPr>
          <w:rFonts w:hint="eastAsia"/>
          <w:lang w:val="en-US" w:eastAsia="zh-CN"/>
        </w:rPr>
        <w:t>城市环境</w:t>
      </w:r>
      <w:r>
        <w:rPr>
          <w:rFonts w:hint="eastAsia"/>
        </w:rPr>
        <w:t>、</w:t>
      </w:r>
      <w:r>
        <w:rPr>
          <w:rFonts w:hint="eastAsia"/>
          <w:lang w:val="en-US" w:eastAsia="zh-CN"/>
        </w:rPr>
        <w:t>教育医疗服务、经济发展和住房条件</w:t>
      </w:r>
      <w:r>
        <w:rPr>
          <w:rFonts w:hint="eastAsia"/>
        </w:rPr>
        <w:t>一直是市民最为关注的</w:t>
      </w:r>
      <w:r>
        <w:rPr>
          <w:rFonts w:hint="eastAsia"/>
          <w:lang w:val="en-US" w:eastAsia="zh-CN"/>
        </w:rPr>
        <w:t>四</w:t>
      </w:r>
      <w:r>
        <w:rPr>
          <w:rFonts w:hint="eastAsia"/>
        </w:rPr>
        <w:t>类宜居因素，历年来均排前</w:t>
      </w:r>
      <w:r>
        <w:rPr>
          <w:rFonts w:hint="eastAsia"/>
          <w:lang w:val="en-US" w:eastAsia="zh-CN"/>
        </w:rPr>
        <w:t>四</w:t>
      </w:r>
      <w:r>
        <w:rPr>
          <w:rFonts w:hint="eastAsia"/>
        </w:rPr>
        <w:t>。近年来，市民对于</w:t>
      </w:r>
      <w:r>
        <w:rPr>
          <w:rFonts w:hint="eastAsia"/>
          <w:lang w:val="en-US" w:eastAsia="zh-CN"/>
        </w:rPr>
        <w:t>城市交通</w:t>
      </w:r>
      <w:r>
        <w:rPr>
          <w:rFonts w:hint="eastAsia"/>
        </w:rPr>
        <w:t>、</w:t>
      </w:r>
      <w:r>
        <w:rPr>
          <w:rFonts w:hint="eastAsia"/>
          <w:lang w:val="en-US" w:eastAsia="zh-CN"/>
        </w:rPr>
        <w:t>公共安全</w:t>
      </w:r>
      <w:r>
        <w:rPr>
          <w:rFonts w:hint="eastAsia"/>
        </w:rPr>
        <w:t>和</w:t>
      </w:r>
      <w:r>
        <w:rPr>
          <w:rFonts w:hint="eastAsia"/>
          <w:lang w:val="en-US" w:eastAsia="zh-CN"/>
        </w:rPr>
        <w:t>对特殊群体的关爱</w:t>
      </w:r>
      <w:r>
        <w:rPr>
          <w:rFonts w:hint="eastAsia"/>
        </w:rPr>
        <w:t>的关注度基本保持稳定状态，而对于</w:t>
      </w:r>
      <w:r>
        <w:rPr>
          <w:rFonts w:hint="eastAsia"/>
          <w:lang w:val="en-US" w:eastAsia="zh-CN"/>
        </w:rPr>
        <w:t>社区管理</w:t>
      </w:r>
      <w:r>
        <w:rPr>
          <w:rFonts w:hint="eastAsia"/>
        </w:rPr>
        <w:t>和</w:t>
      </w:r>
      <w:r>
        <w:rPr>
          <w:rFonts w:hint="eastAsia"/>
          <w:lang w:val="en-US" w:eastAsia="zh-CN"/>
        </w:rPr>
        <w:t>文化服务</w:t>
      </w:r>
      <w:r>
        <w:rPr>
          <w:rFonts w:hint="eastAsia"/>
        </w:rPr>
        <w:t>的关注度</w:t>
      </w:r>
      <w:r>
        <w:rPr>
          <w:rFonts w:hint="eastAsia"/>
          <w:lang w:val="en-US" w:eastAsia="zh-CN"/>
        </w:rPr>
        <w:t>较低。</w:t>
      </w:r>
      <w:r>
        <w:rPr>
          <w:rFonts w:hint="eastAsia"/>
        </w:rPr>
        <w:t>随着深圳各类公共设施的不断完善，社会治安水平、社会福利的不断提高，2</w:t>
      </w:r>
      <w:r>
        <w:t>0</w:t>
      </w:r>
      <w:r>
        <w:rPr>
          <w:rFonts w:hint="eastAsia"/>
        </w:rPr>
        <w:t>20年市民对这些宜居因素的关注度小幅下降。</w:t>
      </w:r>
    </w:p>
    <w:p>
      <w:pPr>
        <w:bidi w:val="0"/>
      </w:pPr>
      <w:r>
        <w:rPr>
          <w:rFonts w:hint="eastAsia"/>
        </w:rPr>
        <w:t>与</w:t>
      </w:r>
      <w:r>
        <w:t>201</w:t>
      </w:r>
      <w:r>
        <w:rPr>
          <w:rFonts w:hint="eastAsia"/>
        </w:rPr>
        <w:t>9</w:t>
      </w:r>
      <w:r>
        <w:t>年相比，20</w:t>
      </w:r>
      <w:r>
        <w:rPr>
          <w:rFonts w:hint="eastAsia"/>
        </w:rPr>
        <w:t>20</w:t>
      </w:r>
      <w:r>
        <w:t>市民对</w:t>
      </w:r>
      <w:r>
        <w:rPr>
          <w:rFonts w:hint="eastAsia"/>
          <w:lang w:val="en-US" w:eastAsia="zh-CN"/>
        </w:rPr>
        <w:t>城市环境</w:t>
      </w:r>
      <w:r>
        <w:t>的关注度为</w:t>
      </w:r>
      <w:r>
        <w:rPr>
          <w:rFonts w:hint="eastAsia"/>
          <w:lang w:val="en-US" w:eastAsia="zh-CN"/>
        </w:rPr>
        <w:t>21.38</w:t>
      </w:r>
      <w:r>
        <w:t>%，较201</w:t>
      </w:r>
      <w:r>
        <w:rPr>
          <w:rFonts w:hint="eastAsia"/>
        </w:rPr>
        <w:t>9</w:t>
      </w:r>
      <w:r>
        <w:t>年</w:t>
      </w:r>
      <w:r>
        <w:rPr>
          <w:rFonts w:hint="eastAsia"/>
          <w:lang w:val="en-US" w:eastAsia="zh-CN"/>
        </w:rPr>
        <w:t>上涨了1.36</w:t>
      </w:r>
      <w:r>
        <w:t>%，跃居第一；对于</w:t>
      </w:r>
      <w:r>
        <w:rPr>
          <w:rFonts w:hint="eastAsia"/>
          <w:lang w:val="en-US" w:eastAsia="zh-CN"/>
        </w:rPr>
        <w:t>教育医疗服务</w:t>
      </w:r>
      <w:r>
        <w:t>的关注度为</w:t>
      </w:r>
      <w:r>
        <w:rPr>
          <w:rFonts w:hint="eastAsia"/>
        </w:rPr>
        <w:t>1</w:t>
      </w:r>
      <w:r>
        <w:rPr>
          <w:rFonts w:hint="eastAsia"/>
          <w:lang w:val="en-US" w:eastAsia="zh-CN"/>
        </w:rPr>
        <w:t>6.11</w:t>
      </w:r>
      <w:r>
        <w:t>%，较201</w:t>
      </w:r>
      <w:r>
        <w:rPr>
          <w:rFonts w:hint="eastAsia"/>
        </w:rPr>
        <w:t>9</w:t>
      </w:r>
      <w:r>
        <w:t>年</w:t>
      </w:r>
      <w:r>
        <w:rPr>
          <w:rFonts w:hint="eastAsia"/>
        </w:rPr>
        <w:t>下降</w:t>
      </w:r>
      <w:r>
        <w:t>了</w:t>
      </w:r>
      <w:r>
        <w:rPr>
          <w:rFonts w:hint="eastAsia"/>
        </w:rPr>
        <w:t>2.</w:t>
      </w:r>
      <w:r>
        <w:rPr>
          <w:rFonts w:hint="eastAsia"/>
          <w:lang w:val="en-US" w:eastAsia="zh-CN"/>
        </w:rPr>
        <w:t>12</w:t>
      </w:r>
      <w:r>
        <w:t>%，排第二；对</w:t>
      </w:r>
      <w:r>
        <w:rPr>
          <w:rFonts w:hint="eastAsia"/>
          <w:lang w:val="en-US" w:eastAsia="zh-CN"/>
        </w:rPr>
        <w:t>城市交通</w:t>
      </w:r>
      <w:r>
        <w:t>的关注度为1</w:t>
      </w:r>
      <w:r>
        <w:rPr>
          <w:rFonts w:hint="eastAsia"/>
          <w:lang w:val="en-US" w:eastAsia="zh-CN"/>
        </w:rPr>
        <w:t>2.91</w:t>
      </w:r>
      <w:r>
        <w:t>%，较201</w:t>
      </w:r>
      <w:r>
        <w:rPr>
          <w:rFonts w:hint="eastAsia"/>
        </w:rPr>
        <w:t>9</w:t>
      </w:r>
      <w:r>
        <w:t>年</w:t>
      </w:r>
      <w:r>
        <w:rPr>
          <w:rFonts w:hint="eastAsia"/>
        </w:rPr>
        <w:t>上涨</w:t>
      </w:r>
      <w:r>
        <w:t>了</w:t>
      </w:r>
      <w:r>
        <w:rPr>
          <w:rFonts w:hint="eastAsia"/>
          <w:lang w:val="en-US" w:eastAsia="zh-CN"/>
        </w:rPr>
        <w:t>3.67</w:t>
      </w:r>
      <w:r>
        <w:t>%。</w:t>
      </w:r>
      <w:r>
        <w:rPr>
          <w:rFonts w:hint="eastAsia"/>
        </w:rPr>
        <w:t>除此之外，对</w:t>
      </w:r>
      <w:r>
        <w:rPr>
          <w:rFonts w:hint="eastAsia"/>
          <w:lang w:val="en-US" w:eastAsia="zh-CN"/>
        </w:rPr>
        <w:t>特殊群体关爱</w:t>
      </w:r>
      <w:r>
        <w:rPr>
          <w:rFonts w:hint="eastAsia"/>
        </w:rPr>
        <w:t>、</w:t>
      </w:r>
      <w:r>
        <w:rPr>
          <w:rFonts w:hint="eastAsia"/>
          <w:lang w:val="en-US" w:eastAsia="zh-CN"/>
        </w:rPr>
        <w:t>社区管理</w:t>
      </w:r>
      <w:r>
        <w:t>的关注度提高，</w:t>
      </w:r>
      <w:r>
        <w:rPr>
          <w:rFonts w:hint="eastAsia"/>
        </w:rPr>
        <w:t>而</w:t>
      </w:r>
      <w:r>
        <w:t>对于其他宜居因素的关注度都存在不同程度的下降。这也表明由于城市经济增速放缓，物价水平提高，人们更关注基本生活需求。</w:t>
      </w:r>
    </w:p>
    <w:p>
      <w:pPr>
        <w:tabs>
          <w:tab w:val="left" w:pos="1080"/>
        </w:tabs>
        <w:spacing w:line="360" w:lineRule="auto"/>
        <w:ind w:firstLine="480" w:firstLineChars="200"/>
        <w:jc w:val="both"/>
        <w:rPr>
          <w:rFonts w:ascii="仿宋" w:hAnsi="仿宋" w:eastAsia="仿宋" w:cs="Times New Roman"/>
          <w:b/>
          <w:sz w:val="24"/>
          <w:szCs w:val="28"/>
        </w:rPr>
      </w:pPr>
      <w:r>
        <w:rPr>
          <w:rFonts w:ascii="等线" w:hAnsi="等线" w:eastAsia="等线" w:cs="Times New Roman"/>
          <w:szCs w:val="22"/>
        </w:rPr>
        <w:drawing>
          <wp:inline distT="0" distB="0" distL="114300" distR="114300">
            <wp:extent cx="4848225" cy="2743200"/>
            <wp:effectExtent l="4445" t="4445" r="5080" b="14605"/>
            <wp:docPr id="31"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pPr>
        <w:tabs>
          <w:tab w:val="left" w:pos="1080"/>
        </w:tabs>
        <w:spacing w:before="156" w:beforeLines="50" w:after="156" w:afterLines="50" w:line="360" w:lineRule="auto"/>
        <w:jc w:val="center"/>
        <w:rPr>
          <w:rFonts w:ascii="仿宋" w:hAnsi="仿宋" w:eastAsia="仿宋" w:cs="Times New Roman"/>
          <w:b/>
          <w:sz w:val="24"/>
          <w:szCs w:val="28"/>
        </w:rPr>
      </w:pPr>
      <w:r>
        <w:rPr>
          <w:rFonts w:hint="eastAsia" w:ascii="仿宋" w:hAnsi="仿宋" w:eastAsia="仿宋" w:cs="Times New Roman"/>
          <w:b/>
          <w:sz w:val="24"/>
          <w:szCs w:val="28"/>
        </w:rPr>
        <mc:AlternateContent>
          <mc:Choice Requires="wps">
            <w:drawing>
              <wp:anchor distT="0" distB="0" distL="114300" distR="114300" simplePos="0" relativeHeight="251675648" behindDoc="0" locked="0" layoutInCell="1" allowOverlap="1">
                <wp:simplePos x="0" y="0"/>
                <wp:positionH relativeFrom="column">
                  <wp:posOffset>7795895</wp:posOffset>
                </wp:positionH>
                <wp:positionV relativeFrom="paragraph">
                  <wp:posOffset>1765935</wp:posOffset>
                </wp:positionV>
                <wp:extent cx="1398905" cy="539750"/>
                <wp:effectExtent l="235585" t="351790" r="22860" b="22860"/>
                <wp:wrapNone/>
                <wp:docPr id="36" name="圆角矩形标注 10"/>
                <wp:cNvGraphicFramePr/>
                <a:graphic xmlns:a="http://schemas.openxmlformats.org/drawingml/2006/main">
                  <a:graphicData uri="http://schemas.microsoft.com/office/word/2010/wordprocessingShape">
                    <wps:wsp>
                      <wps:cNvSpPr>
                        <a:spLocks noChangeArrowheads="true"/>
                      </wps:cNvSpPr>
                      <wps:spPr bwMode="auto">
                        <a:xfrm>
                          <a:off x="0" y="0"/>
                          <a:ext cx="1398905" cy="539750"/>
                        </a:xfrm>
                        <a:prstGeom prst="wedgeRoundRectCallout">
                          <a:avLst>
                            <a:gd name="adj1" fmla="val -64481"/>
                            <a:gd name="adj2" fmla="val -111648"/>
                            <a:gd name="adj3" fmla="val 16667"/>
                          </a:avLst>
                        </a:prstGeom>
                        <a:solidFill>
                          <a:srgbClr val="4F81BD"/>
                        </a:solidFill>
                        <a:ln w="9525">
                          <a:solidFill>
                            <a:srgbClr val="000000"/>
                          </a:solidFill>
                          <a:miter lim="800000"/>
                        </a:ln>
                      </wps:spPr>
                      <wps:txbx>
                        <w:txbxContent>
                          <w:p>
                            <w:pPr>
                              <w:widowControl w:val="0"/>
                              <w:ind w:firstLine="440"/>
                              <w:jc w:val="center"/>
                              <w:textAlignment w:val="baseline"/>
                              <w:rPr>
                                <w:rFonts w:ascii="Times New Roman" w:hAnsi="Times New Roman" w:eastAsia="等线" w:cs="Times New Roman"/>
                                <w:kern w:val="2"/>
                                <w:sz w:val="24"/>
                                <w:szCs w:val="24"/>
                                <w:lang w:val="en-US" w:eastAsia="zh-CN" w:bidi="ar-SA"/>
                              </w:rPr>
                            </w:pPr>
                            <w:r>
                              <w:rPr>
                                <w:rFonts w:hint="eastAsia" w:ascii="微软雅黑" w:hAnsi="微软雅黑" w:eastAsia="微软雅黑" w:cs="Times New Roman"/>
                                <w:b/>
                                <w:bCs/>
                                <w:color w:val="000000"/>
                                <w:kern w:val="24"/>
                                <w:sz w:val="22"/>
                                <w:szCs w:val="22"/>
                                <w:lang w:val="en-US" w:eastAsia="zh-CN" w:bidi="ar-SA"/>
                              </w:rPr>
                              <w:t>2011年宜居</w:t>
                            </w:r>
                          </w:p>
                          <w:p>
                            <w:pPr>
                              <w:widowControl w:val="0"/>
                              <w:ind w:firstLine="440"/>
                              <w:jc w:val="center"/>
                              <w:textAlignment w:val="baseline"/>
                              <w:rPr>
                                <w:rFonts w:ascii="Times New Roman" w:hAnsi="Times New Roman" w:eastAsia="等线" w:cs="Times New Roman"/>
                                <w:kern w:val="2"/>
                                <w:sz w:val="24"/>
                                <w:szCs w:val="24"/>
                                <w:lang w:val="en-US" w:eastAsia="zh-CN" w:bidi="ar-SA"/>
                              </w:rPr>
                            </w:pPr>
                            <w:r>
                              <w:rPr>
                                <w:rFonts w:hint="eastAsia" w:ascii="微软雅黑" w:hAnsi="微软雅黑" w:eastAsia="微软雅黑" w:cs="Times New Roman"/>
                                <w:b/>
                                <w:bCs/>
                                <w:color w:val="000000"/>
                                <w:kern w:val="24"/>
                                <w:sz w:val="22"/>
                                <w:szCs w:val="22"/>
                                <w:lang w:val="en-US" w:eastAsia="zh-CN" w:bidi="ar-SA"/>
                              </w:rPr>
                              <w:t>城市主要因素</w:t>
                            </w:r>
                          </w:p>
                        </w:txbxContent>
                      </wps:txbx>
                      <wps:bodyPr rot="0" vert="horz" wrap="none" lIns="91440" tIns="45720" rIns="91440" bIns="45720" anchor="ctr" anchorCtr="false" upright="true">
                        <a:noAutofit/>
                      </wps:bodyPr>
                    </wps:wsp>
                  </a:graphicData>
                </a:graphic>
              </wp:anchor>
            </w:drawing>
          </mc:Choice>
          <mc:Fallback>
            <w:pict>
              <v:shape id="圆角矩形标注 10" o:spid="_x0000_s1026" o:spt="62" type="#_x0000_t62" style="position:absolute;left:0pt;margin-left:613.85pt;margin-top:139.05pt;height:42.5pt;width:110.15pt;mso-wrap-style:none;z-index:251675648;v-text-anchor:middle;mso-width-relative:page;mso-height-relative:page;" fillcolor="#4F81BD" filled="t" stroked="t" coordsize="21600,21600" o:gfxdata="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" adj="0,0,14400">
                <v:fill on="t" focussize="0,0"/>
                <v:stroke color="#000000" miterlimit="8" joinstyle="miter"/>
                <v:imagedata o:title=""/>
                <o:lock v:ext="edit" aspectratio="f"/>
                <v:textbox>
                  <w:txbxContent>
                    <w:p>
                      <w:pPr>
                        <w:widowControl w:val="0"/>
                        <w:ind w:firstLine="440"/>
                        <w:jc w:val="center"/>
                        <w:textAlignment w:val="baseline"/>
                        <w:rPr>
                          <w:rFonts w:ascii="Times New Roman" w:hAnsi="Times New Roman" w:eastAsia="等线" w:cs="Times New Roman"/>
                          <w:kern w:val="2"/>
                          <w:sz w:val="24"/>
                          <w:szCs w:val="24"/>
                          <w:lang w:val="en-US" w:eastAsia="zh-CN" w:bidi="ar-SA"/>
                        </w:rPr>
                      </w:pPr>
                      <w:r>
                        <w:rPr>
                          <w:rFonts w:hint="eastAsia" w:ascii="微软雅黑" w:hAnsi="微软雅黑" w:eastAsia="微软雅黑" w:cs="Times New Roman"/>
                          <w:b/>
                          <w:bCs/>
                          <w:color w:val="000000"/>
                          <w:kern w:val="24"/>
                          <w:sz w:val="22"/>
                          <w:szCs w:val="22"/>
                          <w:lang w:val="en-US" w:eastAsia="zh-CN" w:bidi="ar-SA"/>
                        </w:rPr>
                        <w:t>2011年宜居</w:t>
                      </w:r>
                    </w:p>
                    <w:p>
                      <w:pPr>
                        <w:widowControl w:val="0"/>
                        <w:ind w:firstLine="440"/>
                        <w:jc w:val="center"/>
                        <w:textAlignment w:val="baseline"/>
                        <w:rPr>
                          <w:rFonts w:ascii="Times New Roman" w:hAnsi="Times New Roman" w:eastAsia="等线" w:cs="Times New Roman"/>
                          <w:kern w:val="2"/>
                          <w:sz w:val="24"/>
                          <w:szCs w:val="24"/>
                          <w:lang w:val="en-US" w:eastAsia="zh-CN" w:bidi="ar-SA"/>
                        </w:rPr>
                      </w:pPr>
                      <w:r>
                        <w:rPr>
                          <w:rFonts w:hint="eastAsia" w:ascii="微软雅黑" w:hAnsi="微软雅黑" w:eastAsia="微软雅黑" w:cs="Times New Roman"/>
                          <w:b/>
                          <w:bCs/>
                          <w:color w:val="000000"/>
                          <w:kern w:val="24"/>
                          <w:sz w:val="22"/>
                          <w:szCs w:val="22"/>
                          <w:lang w:val="en-US" w:eastAsia="zh-CN" w:bidi="ar-SA"/>
                        </w:rPr>
                        <w:t>城市主要因素</w:t>
                      </w:r>
                    </w:p>
                  </w:txbxContent>
                </v:textbox>
              </v:shape>
            </w:pict>
          </mc:Fallback>
        </mc:AlternateContent>
      </w:r>
      <w:r>
        <w:rPr>
          <w:rFonts w:hint="eastAsia" w:ascii="仿宋" w:hAnsi="仿宋" w:eastAsia="仿宋" w:cs="Times New Roman"/>
          <w:b/>
          <w:sz w:val="24"/>
          <w:szCs w:val="28"/>
        </w:rPr>
        <w:t>图2</w:t>
      </w:r>
      <w:r>
        <w:rPr>
          <w:rFonts w:ascii="仿宋" w:hAnsi="仿宋" w:eastAsia="仿宋" w:cs="Times New Roman"/>
          <w:b/>
          <w:sz w:val="24"/>
          <w:szCs w:val="28"/>
        </w:rPr>
        <w:t>-</w:t>
      </w:r>
      <w:r>
        <w:rPr>
          <w:rFonts w:hint="eastAsia" w:ascii="仿宋" w:hAnsi="仿宋" w:eastAsia="仿宋" w:cs="Times New Roman"/>
          <w:b/>
          <w:sz w:val="24"/>
          <w:szCs w:val="28"/>
        </w:rPr>
        <w:t xml:space="preserve">3 </w:t>
      </w:r>
      <w:r>
        <w:rPr>
          <w:rFonts w:ascii="仿宋" w:hAnsi="仿宋" w:eastAsia="仿宋" w:cs="Times New Roman"/>
          <w:b/>
          <w:sz w:val="24"/>
          <w:szCs w:val="28"/>
        </w:rPr>
        <w:t xml:space="preserve"> </w:t>
      </w:r>
      <w:r>
        <w:rPr>
          <w:rFonts w:hint="eastAsia" w:ascii="仿宋" w:hAnsi="仿宋" w:eastAsia="仿宋" w:cs="Times New Roman"/>
          <w:b/>
          <w:sz w:val="24"/>
          <w:szCs w:val="28"/>
        </w:rPr>
        <w:t>201</w:t>
      </w:r>
      <w:r>
        <w:rPr>
          <w:rFonts w:ascii="仿宋" w:hAnsi="仿宋" w:eastAsia="仿宋" w:cs="Times New Roman"/>
          <w:b/>
          <w:sz w:val="24"/>
          <w:szCs w:val="28"/>
        </w:rPr>
        <w:t>5</w:t>
      </w:r>
      <w:r>
        <w:rPr>
          <w:rFonts w:hint="eastAsia" w:ascii="仿宋" w:hAnsi="仿宋" w:eastAsia="仿宋" w:cs="Times New Roman"/>
          <w:b/>
          <w:sz w:val="24"/>
          <w:szCs w:val="28"/>
        </w:rPr>
        <w:t>年-2020年各类宜居因素关注度对比</w:t>
      </w:r>
    </w:p>
    <w:p>
      <w:pPr>
        <w:tabs>
          <w:tab w:val="left" w:pos="0"/>
          <w:tab w:val="left" w:pos="1080"/>
        </w:tabs>
        <w:spacing w:line="360" w:lineRule="auto"/>
        <w:ind w:firstLine="560" w:firstLineChars="200"/>
        <w:rPr>
          <w:rFonts w:hint="eastAsia" w:ascii="仿宋" w:hAnsi="仿宋" w:eastAsia="仿宋" w:cs="Times New Roman"/>
          <w:sz w:val="28"/>
          <w:szCs w:val="28"/>
        </w:rPr>
      </w:pPr>
    </w:p>
    <w:p/>
    <w:sectPr>
      <w:headerReference r:id="rId5" w:type="default"/>
      <w:footerReference r:id="rId6"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
    <w:altName w:val="方正仿宋_GBK"/>
    <w:panose1 w:val="02010609060101010101"/>
    <w:charset w:val="86"/>
    <w:family w:val="modern"/>
    <w:pitch w:val="default"/>
    <w:sig w:usb0="00000000" w:usb1="00000000" w:usb2="00000016" w:usb3="00000000" w:csb0="00040001" w:csb1="00000000"/>
  </w:font>
  <w:font w:name="等线">
    <w:altName w:val="华文仿宋"/>
    <w:panose1 w:val="02010600030101010101"/>
    <w:charset w:val="86"/>
    <w:family w:val="auto"/>
    <w:pitch w:val="default"/>
    <w:sig w:usb0="00000000" w:usb1="00000000" w:usb2="00000016" w:usb3="00000000" w:csb0="0004000F" w:csb1="00000000"/>
  </w:font>
  <w:font w:name="微软雅黑">
    <w:altName w:val="黑体"/>
    <w:panose1 w:val="020B0503020204020204"/>
    <w:charset w:val="86"/>
    <w:family w:val="swiss"/>
    <w:pitch w:val="default"/>
    <w:sig w:usb0="00000000" w:usb1="00000000" w:usb2="00000016" w:usb3="00000000" w:csb0="0004001F"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tabs>
        <w:tab w:val="left" w:pos="1080"/>
        <w:tab w:val="center" w:pos="4153"/>
        <w:tab w:val="right" w:pos="8306"/>
      </w:tabs>
      <w:snapToGrid w:val="0"/>
      <w:ind w:firstLine="360"/>
      <w:jc w:val="left"/>
      <w:rPr>
        <w:rFonts w:ascii="等线" w:hAnsi="等线" w:eastAsia="等线" w:cs="Times New Roman"/>
        <w:kern w:val="2"/>
        <w:sz w:val="18"/>
        <w:szCs w:val="18"/>
        <w:lang w:val="en-US" w:eastAsia="zh-CN" w:bidi="ar-S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80"/>
      </w:pPr>
      <w:r>
        <w:separator/>
      </w:r>
    </w:p>
  </w:footnote>
  <w:footnote w:type="continuationSeparator" w:id="1">
    <w:p>
      <w:pPr>
        <w:spacing w:line="24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Bdr>
        <w:bottom w:val="single" w:color="auto" w:sz="6" w:space="1"/>
      </w:pBdr>
      <w:tabs>
        <w:tab w:val="left" w:pos="1080"/>
        <w:tab w:val="center" w:pos="4153"/>
        <w:tab w:val="right" w:pos="8306"/>
      </w:tabs>
      <w:snapToGrid w:val="0"/>
      <w:ind w:firstLine="360"/>
      <w:jc w:val="center"/>
      <w:rPr>
        <w:rFonts w:ascii="等线" w:hAnsi="宋体" w:eastAsia="等线" w:cs="Times New Roman"/>
        <w:kern w:val="2"/>
        <w:sz w:val="18"/>
        <w:szCs w:val="18"/>
        <w:lang w:val="en-US" w:eastAsia="zh-CN" w:bidi="ar-SA"/>
      </w:rPr>
    </w:pPr>
    <w:r>
      <w:rPr>
        <w:rFonts w:hint="eastAsia" w:ascii="等线" w:hAnsi="宋体" w:eastAsia="等线" w:cs="Times New Roman"/>
        <w:kern w:val="2"/>
        <w:sz w:val="18"/>
        <w:szCs w:val="18"/>
        <w:lang w:val="en-US" w:eastAsia="zh-CN" w:bidi="ar-SA"/>
      </w:rPr>
      <w:t>深圳市宜居城市市民满意度调查研究报告（2020年）</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7541971"/>
    <w:rsid w:val="11CF3BA0"/>
    <w:rsid w:val="1A2434B7"/>
    <w:rsid w:val="35F95279"/>
    <w:rsid w:val="39B862FB"/>
    <w:rsid w:val="3D447CB7"/>
    <w:rsid w:val="4BF41500"/>
    <w:rsid w:val="55572330"/>
    <w:rsid w:val="57541971"/>
    <w:rsid w:val="5C91560B"/>
    <w:rsid w:val="70DA4782"/>
    <w:rsid w:val="73513A64"/>
    <w:rsid w:val="F7EF7EEC"/>
    <w:rsid w:val="FFF7C5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1124" w:firstLineChars="200"/>
      <w:jc w:val="both"/>
    </w:pPr>
    <w:rPr>
      <w:rFonts w:ascii="Times New Roman" w:hAnsi="Times New Roman" w:eastAsia="宋体" w:cstheme="minorBidi"/>
      <w:kern w:val="2"/>
      <w:sz w:val="24"/>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chart" Target="charts/chart1.xml"/><Relationship Id="rId8" Type="http://schemas.openxmlformats.org/officeDocument/2006/relationships/image" Target="media/image1.emf"/><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1.xml"/><Relationship Id="rId16" Type="http://schemas.openxmlformats.org/officeDocument/2006/relationships/chart" Target="charts/chart8.xml"/><Relationship Id="rId15" Type="http://schemas.openxmlformats.org/officeDocument/2006/relationships/chart" Target="charts/chart7.xml"/><Relationship Id="rId14" Type="http://schemas.openxmlformats.org/officeDocument/2006/relationships/chart" Target="charts/chart6.xml"/><Relationship Id="rId13" Type="http://schemas.openxmlformats.org/officeDocument/2006/relationships/chart" Target="charts/chart5.xml"/><Relationship Id="rId12" Type="http://schemas.openxmlformats.org/officeDocument/2006/relationships/chart" Target="charts/chart4.xml"/><Relationship Id="rId11" Type="http://schemas.openxmlformats.org/officeDocument/2006/relationships/chart" Target="charts/chart3.xml"/><Relationship Id="rId10" Type="http://schemas.openxmlformats.org/officeDocument/2006/relationships/chart" Target="charts/chart2.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4" Type="http://schemas.microsoft.com/office/2011/relationships/chartColorStyle" Target="colors3.xml"/><Relationship Id="rId3" Type="http://schemas.microsoft.com/office/2011/relationships/chartStyle" Target="style3.xml"/><Relationship Id="rId2" Type="http://schemas.openxmlformats.org/officeDocument/2006/relationships/themeOverride" Target="../theme/themeOverride3.xml"/><Relationship Id="rId1" Type="http://schemas.openxmlformats.org/officeDocument/2006/relationships/oleObject" Target="file:///C:\Users\gf\Desktop\&#28385;&#24847;&#24230;&#25968;&#25454;&#20998;&#26512;.xlsx" TargetMode="External"/></Relationships>
</file>

<file path=word/charts/_rels/chart2.xml.rels><?xml version="1.0" encoding="UTF-8" standalone="yes"?>
<Relationships xmlns="http://schemas.openxmlformats.org/package/2006/relationships"><Relationship Id="rId4" Type="http://schemas.microsoft.com/office/2011/relationships/chartColorStyle" Target="colors1.xml"/><Relationship Id="rId3" Type="http://schemas.microsoft.com/office/2011/relationships/chartStyle" Target="style1.xml"/><Relationship Id="rId2" Type="http://schemas.openxmlformats.org/officeDocument/2006/relationships/themeOverride" Target="../theme/themeOverride1.xml"/><Relationship Id="rId1" Type="http://schemas.openxmlformats.org/officeDocument/2006/relationships/oleObject" Target="file:///C:\Users\gf\Desktop\&#28385;&#24847;&#24230;&#25968;&#25454;&#20998;&#26512;.xlsx" TargetMode="External"/></Relationships>
</file>

<file path=word/charts/_rels/chart3.xml.rels><?xml version="1.0" encoding="UTF-8" standalone="yes"?>
<Relationships xmlns="http://schemas.openxmlformats.org/package/2006/relationships"><Relationship Id="rId4" Type="http://schemas.microsoft.com/office/2011/relationships/chartColorStyle" Target="colors2.xml"/><Relationship Id="rId3" Type="http://schemas.microsoft.com/office/2011/relationships/chartStyle" Target="style2.xml"/><Relationship Id="rId2" Type="http://schemas.openxmlformats.org/officeDocument/2006/relationships/themeOverride" Target="../theme/themeOverride2.xml"/><Relationship Id="rId1" Type="http://schemas.openxmlformats.org/officeDocument/2006/relationships/oleObject" Target="file:///C:\Users\gf\Desktop\&#28385;&#24847;&#24230;&#25968;&#25454;&#20998;&#26512;.xlsx" TargetMode="External"/></Relationships>
</file>

<file path=word/charts/_rels/chart4.xml.rels><?xml version="1.0" encoding="UTF-8" standalone="yes"?>
<Relationships xmlns="http://schemas.openxmlformats.org/package/2006/relationships"><Relationship Id="rId4" Type="http://schemas.microsoft.com/office/2011/relationships/chartColorStyle" Target="colors4.xml"/><Relationship Id="rId3" Type="http://schemas.microsoft.com/office/2011/relationships/chartStyle" Target="style4.xml"/><Relationship Id="rId2" Type="http://schemas.openxmlformats.org/officeDocument/2006/relationships/themeOverride" Target="../theme/themeOverride4.xml"/><Relationship Id="rId1" Type="http://schemas.openxmlformats.org/officeDocument/2006/relationships/oleObject" Target="file:///C:\Users\gf\Desktop\&#28385;&#24847;&#24230;&#35843;&#26597;\&#28385;&#24847;&#24230;&#25968;&#25454;&#20998;&#26512;%20(&#33258;&#21160;&#20445;&#23384;&#30340;).xlsx" TargetMode="External"/></Relationships>
</file>

<file path=word/charts/_rels/chart5.xml.rels><?xml version="1.0" encoding="UTF-8" standalone="yes"?>
<Relationships xmlns="http://schemas.openxmlformats.org/package/2006/relationships"><Relationship Id="rId4" Type="http://schemas.microsoft.com/office/2011/relationships/chartColorStyle" Target="colors5.xml"/><Relationship Id="rId3" Type="http://schemas.microsoft.com/office/2011/relationships/chartStyle" Target="style5.xml"/><Relationship Id="rId2" Type="http://schemas.openxmlformats.org/officeDocument/2006/relationships/themeOverride" Target="../theme/themeOverride5.xml"/><Relationship Id="rId1" Type="http://schemas.openxmlformats.org/officeDocument/2006/relationships/oleObject" Target="file:///C:\Users\gf\Desktop\&#28385;&#24847;&#24230;&#25968;&#25454;&#20998;&#26512;.xlsx" TargetMode="External"/></Relationships>
</file>

<file path=word/charts/_rels/chart6.xml.rels><?xml version="1.0" encoding="UTF-8" standalone="yes"?>
<Relationships xmlns="http://schemas.openxmlformats.org/package/2006/relationships"><Relationship Id="rId2" Type="http://schemas.openxmlformats.org/officeDocument/2006/relationships/themeOverride" Target="../theme/themeOverride6.xml"/><Relationship Id="rId1" Type="http://schemas.openxmlformats.org/officeDocument/2006/relationships/oleObject" Target="file:///C:\Users\gf\Desktop\&#28385;&#24847;&#24230;&#35843;&#26597;\&#28385;&#24847;&#24230;&#25968;&#25454;&#20998;&#26512;%20(&#33258;&#21160;&#20445;&#23384;&#30340;)2.xlsx" TargetMode="External"/></Relationships>
</file>

<file path=word/charts/_rels/chart7.xml.rels><?xml version="1.0" encoding="UTF-8" standalone="yes"?>
<Relationships xmlns="http://schemas.openxmlformats.org/package/2006/relationships"><Relationship Id="rId4" Type="http://schemas.microsoft.com/office/2011/relationships/chartColorStyle" Target="colors6.xml"/><Relationship Id="rId3" Type="http://schemas.microsoft.com/office/2011/relationships/chartStyle" Target="style6.xml"/><Relationship Id="rId2" Type="http://schemas.openxmlformats.org/officeDocument/2006/relationships/themeOverride" Target="../theme/themeOverride7.xml"/><Relationship Id="rId1" Type="http://schemas.openxmlformats.org/officeDocument/2006/relationships/oleObject" Target="file:///D:\&#28385;&#24847;&#24230;&#35843;&#26597;\&#28385;&#24847;&#24230;&#25968;&#25454;&#20998;&#26512;%20(&#33258;&#21160;&#20445;&#23384;&#30340;).xlsx" TargetMode="External"/></Relationships>
</file>

<file path=word/charts/_rels/chart8.xml.rels><?xml version="1.0" encoding="UTF-8" standalone="yes"?>
<Relationships xmlns="http://schemas.openxmlformats.org/package/2006/relationships"><Relationship Id="rId4" Type="http://schemas.microsoft.com/office/2011/relationships/chartColorStyle" Target="colors7.xml"/><Relationship Id="rId3" Type="http://schemas.microsoft.com/office/2011/relationships/chartStyle" Target="style7.xml"/><Relationship Id="rId2" Type="http://schemas.openxmlformats.org/officeDocument/2006/relationships/themeOverride" Target="../theme/themeOverride8.xml"/><Relationship Id="rId1" Type="http://schemas.openxmlformats.org/officeDocument/2006/relationships/oleObject" Target="file:///C:\Users\gf\Desktop\&#28385;&#24847;&#24230;&#35843;&#26597;\&#28385;&#24847;&#24230;&#25968;&#25454;&#20998;&#26512;%20(&#33258;&#21160;&#20445;&#23384;&#3034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true"/>
    <c:plotArea>
      <c:layout/>
      <c:pieChart>
        <c:varyColors val="true"/>
        <c:ser>
          <c:idx val="0"/>
          <c:order val="0"/>
          <c:spPr/>
          <c:explosion val="0"/>
          <c:dPt>
            <c:idx val="0"/>
            <c:bubble3D val="false"/>
            <c:spPr>
              <a:solidFill>
                <a:srgbClr val="5B9BD5"/>
              </a:solidFill>
              <a:ln w="19050">
                <a:solidFill>
                  <a:sysClr val="window" lastClr="FFFFFF"/>
                </a:solidFill>
              </a:ln>
              <a:effectLst/>
            </c:spPr>
          </c:dPt>
          <c:dPt>
            <c:idx val="1"/>
            <c:bubble3D val="false"/>
            <c:spPr>
              <a:solidFill>
                <a:srgbClr val="ED7D31"/>
              </a:solidFill>
              <a:ln w="19050">
                <a:solidFill>
                  <a:sysClr val="window" lastClr="FFFFFF"/>
                </a:solidFill>
              </a:ln>
              <a:effectLst/>
            </c:spPr>
          </c:dPt>
          <c:dLbls>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ysClr val="windowText" lastClr="000000">
                        <a:lumMod val="75000"/>
                        <a:lumOff val="25000"/>
                      </a:sysClr>
                    </a:solidFill>
                    <a:latin typeface="+mn-lt"/>
                    <a:ea typeface="+mn-ea"/>
                    <a:cs typeface="+mn-cs"/>
                  </a:defRPr>
                </a:pPr>
              </a:p>
            </c:txPr>
            <c:dLblPos val="bestFit"/>
            <c:showLegendKey val="false"/>
            <c:showVal val="true"/>
            <c:showCatName val="false"/>
            <c:showSerName val="false"/>
            <c:showPercent val="false"/>
            <c:showBubbleSize val="false"/>
            <c:showLeaderLines val="true"/>
            <c:extLst>
              <c:ext xmlns:c15="http://schemas.microsoft.com/office/drawing/2012/chart" uri="{CE6537A1-D6FC-4f65-9D91-7224C49458BB}">
                <c15:layout/>
                <c15:showLeaderLines val="true"/>
                <c15:leaderLines>
                  <c:spPr>
                    <a:ln w="9525" cap="flat" cmpd="sng" algn="ctr">
                      <a:solidFill>
                        <a:sysClr val="windowText" lastClr="000000">
                          <a:lumMod val="35000"/>
                          <a:lumOff val="65000"/>
                        </a:sysClr>
                      </a:solidFill>
                      <a:round/>
                    </a:ln>
                    <a:effectLst/>
                  </c:spPr>
                </c15:leaderLines>
              </c:ext>
            </c:extLst>
          </c:dLbls>
          <c:cat>
            <c:strRef>
              <c:f>[满意度数据分析.xlsx]Sheet2!$A$1:$B$1</c:f>
              <c:strCache>
                <c:ptCount val="2"/>
                <c:pt idx="0">
                  <c:v>男性</c:v>
                </c:pt>
                <c:pt idx="1">
                  <c:v>女性</c:v>
                </c:pt>
              </c:strCache>
            </c:strRef>
          </c:cat>
          <c:val>
            <c:numRef>
              <c:f>[满意度数据分析.xlsx]Sheet2!$A$2:$B$2</c:f>
              <c:numCache>
                <c:formatCode>0.00%</c:formatCode>
                <c:ptCount val="2"/>
                <c:pt idx="0">
                  <c:v>0.4742</c:v>
                </c:pt>
                <c:pt idx="1">
                  <c:v>0.5258</c:v>
                </c:pt>
              </c:numCache>
            </c:numRef>
          </c:val>
        </c:ser>
        <c:dLbls>
          <c:showLegendKey val="false"/>
          <c:showVal val="true"/>
          <c:showCatName val="false"/>
          <c:showSerName val="false"/>
          <c:showPercent val="false"/>
          <c:showBubbleSize val="false"/>
          <c:showLeaderLines val="true"/>
        </c:dLbls>
        <c:firstSliceAng val="0"/>
      </c:pieChart>
      <c:spPr>
        <a:noFill/>
        <a:ln>
          <a:noFill/>
        </a:ln>
        <a:effectLst/>
      </c:spPr>
    </c:plotArea>
    <c:legend>
      <c:legendPos val="b"/>
      <c:layout/>
      <c:overlay val="false"/>
      <c:spPr>
        <a:noFill/>
        <a:ln>
          <a:noFill/>
        </a:ln>
        <a:effectLst/>
      </c:spPr>
      <c:txPr>
        <a:bodyPr rot="0" spcFirstLastPara="0" vertOverflow="ellipsis" vert="horz" wrap="square" anchor="ctr" anchorCtr="true"/>
        <a:lstStyle/>
        <a:p>
          <a:pPr>
            <a:defRPr lang="zh-CN" sz="900" b="0" i="0" u="none" strike="noStrike" kern="1200" baseline="0">
              <a:solidFill>
                <a:sysClr val="windowText" lastClr="000000">
                  <a:lumMod val="65000"/>
                  <a:lumOff val="35000"/>
                </a:sysClr>
              </a:solidFill>
              <a:latin typeface="+mn-lt"/>
              <a:ea typeface="+mn-ea"/>
              <a:cs typeface="+mn-cs"/>
            </a:defRPr>
          </a:pPr>
        </a:p>
      </c:txPr>
    </c:legend>
    <c:plotVisOnly val="true"/>
    <c:dispBlanksAs val="gap"/>
    <c:showDLblsOverMax val="false"/>
  </c:chart>
  <c:spPr>
    <a:solidFill>
      <a:sysClr val="window" lastClr="FFFFFF"/>
    </a:solidFill>
    <a:ln w="9525" cap="flat" cmpd="sng" algn="ctr">
      <a:solidFill>
        <a:sysClr val="windowText" lastClr="000000">
          <a:lumMod val="15000"/>
          <a:lumOff val="85000"/>
        </a:sysClr>
      </a:solidFill>
      <a:round/>
    </a:ln>
    <a:effectLst/>
  </c:spPr>
  <c:txPr>
    <a:bodyPr/>
    <a:lstStyle/>
    <a:p>
      <a:pPr>
        <a:defRPr lang="zh-CN"/>
      </a:pPr>
    </a:p>
  </c:txPr>
  <c:externalData r:id="rId1">
    <c:autoUpdate val="false"/>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true"/>
    <c:plotArea>
      <c:layout/>
      <c:pieChart>
        <c:varyColors val="true"/>
        <c:ser>
          <c:idx val="0"/>
          <c:order val="0"/>
          <c:spPr/>
          <c:explosion val="0"/>
          <c:dPt>
            <c:idx val="0"/>
            <c:bubble3D val="false"/>
            <c:spPr>
              <a:solidFill>
                <a:srgbClr val="5B9BD5"/>
              </a:solidFill>
              <a:ln w="19050">
                <a:solidFill>
                  <a:sysClr val="window" lastClr="FFFFFF"/>
                </a:solidFill>
              </a:ln>
              <a:effectLst/>
            </c:spPr>
          </c:dPt>
          <c:dPt>
            <c:idx val="1"/>
            <c:bubble3D val="false"/>
            <c:spPr>
              <a:solidFill>
                <a:srgbClr val="ED7D31"/>
              </a:solidFill>
              <a:ln w="19050">
                <a:solidFill>
                  <a:sysClr val="window" lastClr="FFFFFF"/>
                </a:solidFill>
              </a:ln>
              <a:effectLst/>
            </c:spPr>
          </c:dPt>
          <c:dPt>
            <c:idx val="2"/>
            <c:bubble3D val="false"/>
            <c:spPr>
              <a:solidFill>
                <a:srgbClr val="A5A5A5"/>
              </a:solidFill>
              <a:ln w="19050">
                <a:solidFill>
                  <a:sysClr val="window" lastClr="FFFFFF"/>
                </a:solidFill>
              </a:ln>
              <a:effectLst/>
            </c:spPr>
          </c:dPt>
          <c:dPt>
            <c:idx val="3"/>
            <c:bubble3D val="false"/>
            <c:spPr>
              <a:solidFill>
                <a:srgbClr val="FFC000"/>
              </a:solidFill>
              <a:ln w="19050">
                <a:solidFill>
                  <a:sysClr val="window" lastClr="FFFFFF"/>
                </a:solidFill>
              </a:ln>
              <a:effectLst/>
            </c:spPr>
          </c:dPt>
          <c:dLbls>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ysClr val="windowText" lastClr="000000">
                        <a:lumMod val="75000"/>
                        <a:lumOff val="25000"/>
                      </a:sysClr>
                    </a:solidFill>
                    <a:latin typeface="+mn-lt"/>
                    <a:ea typeface="+mn-ea"/>
                    <a:cs typeface="+mn-cs"/>
                  </a:defRPr>
                </a:pPr>
              </a:p>
            </c:txPr>
            <c:dLblPos val="bestFit"/>
            <c:showLegendKey val="false"/>
            <c:showVal val="true"/>
            <c:showCatName val="false"/>
            <c:showSerName val="false"/>
            <c:showPercent val="false"/>
            <c:showBubbleSize val="false"/>
            <c:showLeaderLines val="true"/>
            <c:extLst>
              <c:ext xmlns:c15="http://schemas.microsoft.com/office/drawing/2012/chart" uri="{CE6537A1-D6FC-4f65-9D91-7224C49458BB}">
                <c15:layout/>
                <c15:showLeaderLines val="true"/>
                <c15:leaderLines>
                  <c:spPr>
                    <a:ln w="9525" cap="flat" cmpd="sng" algn="ctr">
                      <a:solidFill>
                        <a:sysClr val="windowText" lastClr="000000">
                          <a:lumMod val="35000"/>
                          <a:lumOff val="65000"/>
                        </a:sysClr>
                      </a:solidFill>
                      <a:round/>
                    </a:ln>
                    <a:effectLst/>
                  </c:spPr>
                </c15:leaderLines>
              </c:ext>
            </c:extLst>
          </c:dLbls>
          <c:cat>
            <c:strRef>
              <c:f>[满意度数据分析.xlsx]Sheet2!$A$23:$A$26</c:f>
              <c:strCache>
                <c:ptCount val="4"/>
                <c:pt idx="0">
                  <c:v>25岁以下</c:v>
                </c:pt>
                <c:pt idx="1">
                  <c:v>26-45岁</c:v>
                </c:pt>
                <c:pt idx="2">
                  <c:v>46-64岁</c:v>
                </c:pt>
                <c:pt idx="3">
                  <c:v>65岁及以上</c:v>
                </c:pt>
              </c:strCache>
            </c:strRef>
          </c:cat>
          <c:val>
            <c:numRef>
              <c:f>[满意度数据分析.xlsx]Sheet2!$B$23:$B$26</c:f>
              <c:numCache>
                <c:formatCode>0%</c:formatCode>
                <c:ptCount val="4"/>
                <c:pt idx="0">
                  <c:v>0.22</c:v>
                </c:pt>
                <c:pt idx="1">
                  <c:v>0.653</c:v>
                </c:pt>
                <c:pt idx="2" c:formatCode="0.00%">
                  <c:v>0.099</c:v>
                </c:pt>
                <c:pt idx="3" c:formatCode="0.00%">
                  <c:v>0.026</c:v>
                </c:pt>
              </c:numCache>
            </c:numRef>
          </c:val>
        </c:ser>
        <c:dLbls>
          <c:showLegendKey val="false"/>
          <c:showVal val="true"/>
          <c:showCatName val="false"/>
          <c:showSerName val="false"/>
          <c:showPercent val="false"/>
          <c:showBubbleSize val="false"/>
          <c:showLeaderLines val="true"/>
        </c:dLbls>
        <c:firstSliceAng val="0"/>
      </c:pieChart>
      <c:spPr>
        <a:noFill/>
        <a:ln>
          <a:noFill/>
        </a:ln>
        <a:effectLst/>
      </c:spPr>
    </c:plotArea>
    <c:legend>
      <c:legendPos val="b"/>
      <c:layout/>
      <c:overlay val="false"/>
      <c:spPr>
        <a:noFill/>
        <a:ln>
          <a:noFill/>
        </a:ln>
        <a:effectLst/>
      </c:spPr>
      <c:txPr>
        <a:bodyPr rot="0" spcFirstLastPara="0" vertOverflow="ellipsis" vert="horz" wrap="square" anchor="ctr" anchorCtr="true"/>
        <a:lstStyle/>
        <a:p>
          <a:pPr>
            <a:defRPr lang="zh-CN" sz="900" b="0" i="0" u="none" strike="noStrike" kern="1200" baseline="0">
              <a:solidFill>
                <a:sysClr val="windowText" lastClr="000000">
                  <a:lumMod val="65000"/>
                  <a:lumOff val="35000"/>
                </a:sysClr>
              </a:solidFill>
              <a:latin typeface="+mn-lt"/>
              <a:ea typeface="+mn-ea"/>
              <a:cs typeface="+mn-cs"/>
            </a:defRPr>
          </a:pPr>
        </a:p>
      </c:txPr>
    </c:legend>
    <c:plotVisOnly val="true"/>
    <c:dispBlanksAs val="gap"/>
    <c:showDLblsOverMax val="false"/>
  </c:chart>
  <c:spPr>
    <a:solidFill>
      <a:sysClr val="window" lastClr="FFFFFF"/>
    </a:solidFill>
    <a:ln w="9525" cap="flat" cmpd="sng" algn="ctr">
      <a:solidFill>
        <a:sysClr val="windowText" lastClr="000000">
          <a:lumMod val="15000"/>
          <a:lumOff val="85000"/>
        </a:sysClr>
      </a:solidFill>
      <a:round/>
    </a:ln>
    <a:effectLst/>
  </c:spPr>
  <c:txPr>
    <a:bodyPr/>
    <a:lstStyle/>
    <a:p>
      <a:pPr>
        <a:defRPr lang="zh-CN"/>
      </a:pPr>
    </a:p>
  </c:txPr>
  <c:externalData r:id="rId1">
    <c:autoUpdate val="false"/>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true"/>
    <c:plotArea>
      <c:layout/>
      <c:pieChart>
        <c:varyColors val="true"/>
        <c:ser>
          <c:idx val="0"/>
          <c:order val="0"/>
          <c:spPr/>
          <c:explosion val="0"/>
          <c:dPt>
            <c:idx val="0"/>
            <c:bubble3D val="false"/>
            <c:spPr>
              <a:solidFill>
                <a:srgbClr val="5B9BD5"/>
              </a:solidFill>
              <a:ln w="19050">
                <a:solidFill>
                  <a:sysClr val="window" lastClr="FFFFFF"/>
                </a:solidFill>
              </a:ln>
              <a:effectLst/>
            </c:spPr>
          </c:dPt>
          <c:dPt>
            <c:idx val="1"/>
            <c:bubble3D val="false"/>
            <c:spPr>
              <a:solidFill>
                <a:srgbClr val="ED7D31"/>
              </a:solidFill>
              <a:ln w="19050">
                <a:solidFill>
                  <a:sysClr val="window" lastClr="FFFFFF"/>
                </a:solidFill>
              </a:ln>
              <a:effectLst/>
            </c:spPr>
          </c:dPt>
          <c:dPt>
            <c:idx val="2"/>
            <c:bubble3D val="false"/>
            <c:spPr>
              <a:solidFill>
                <a:srgbClr val="A5A5A5"/>
              </a:solidFill>
              <a:ln w="19050">
                <a:solidFill>
                  <a:sysClr val="window" lastClr="FFFFFF"/>
                </a:solidFill>
              </a:ln>
              <a:effectLst/>
            </c:spPr>
          </c:dPt>
          <c:dLbls>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ysClr val="windowText" lastClr="000000">
                        <a:lumMod val="75000"/>
                        <a:lumOff val="25000"/>
                      </a:sysClr>
                    </a:solidFill>
                    <a:latin typeface="+mn-lt"/>
                    <a:ea typeface="+mn-ea"/>
                    <a:cs typeface="+mn-cs"/>
                  </a:defRPr>
                </a:pPr>
              </a:p>
            </c:txPr>
            <c:dLblPos val="bestFit"/>
            <c:showLegendKey val="false"/>
            <c:showVal val="true"/>
            <c:showCatName val="false"/>
            <c:showSerName val="false"/>
            <c:showPercent val="false"/>
            <c:showBubbleSize val="false"/>
            <c:showLeaderLines val="true"/>
            <c:extLst>
              <c:ext xmlns:c15="http://schemas.microsoft.com/office/drawing/2012/chart" uri="{CE6537A1-D6FC-4f65-9D91-7224C49458BB}">
                <c15:layout/>
                <c15:showLeaderLines val="true"/>
                <c15:leaderLines>
                  <c:spPr>
                    <a:ln w="9525" cap="flat" cmpd="sng" algn="ctr">
                      <a:solidFill>
                        <a:sysClr val="windowText" lastClr="000000">
                          <a:lumMod val="35000"/>
                          <a:lumOff val="65000"/>
                        </a:sysClr>
                      </a:solidFill>
                      <a:round/>
                    </a:ln>
                    <a:effectLst/>
                  </c:spPr>
                </c15:leaderLines>
              </c:ext>
            </c:extLst>
          </c:dLbls>
          <c:cat>
            <c:strRef>
              <c:f>[满意度数据分析.xlsx]Sheet2!$A$41:$A$43</c:f>
              <c:strCache>
                <c:ptCount val="3"/>
                <c:pt idx="0">
                  <c:v>高中/中专/技校及以下</c:v>
                </c:pt>
                <c:pt idx="1">
                  <c:v>大学专科、本科</c:v>
                </c:pt>
                <c:pt idx="2">
                  <c:v>硕士及以上</c:v>
                </c:pt>
              </c:strCache>
            </c:strRef>
          </c:cat>
          <c:val>
            <c:numRef>
              <c:f>[满意度数据分析.xlsx]Sheet2!$B$41:$B$43</c:f>
              <c:numCache>
                <c:formatCode>0.00%</c:formatCode>
                <c:ptCount val="3"/>
                <c:pt idx="0">
                  <c:v>0.451</c:v>
                </c:pt>
                <c:pt idx="1">
                  <c:v>0.513</c:v>
                </c:pt>
                <c:pt idx="2">
                  <c:v>0.035</c:v>
                </c:pt>
              </c:numCache>
            </c:numRef>
          </c:val>
        </c:ser>
        <c:dLbls>
          <c:showLegendKey val="false"/>
          <c:showVal val="true"/>
          <c:showCatName val="false"/>
          <c:showSerName val="false"/>
          <c:showPercent val="false"/>
          <c:showBubbleSize val="false"/>
          <c:showLeaderLines val="true"/>
        </c:dLbls>
        <c:firstSliceAng val="0"/>
      </c:pieChart>
      <c:spPr>
        <a:noFill/>
        <a:ln>
          <a:noFill/>
        </a:ln>
        <a:effectLst/>
      </c:spPr>
    </c:plotArea>
    <c:legend>
      <c:legendPos val="b"/>
      <c:layout/>
      <c:overlay val="false"/>
      <c:spPr>
        <a:noFill/>
        <a:ln>
          <a:noFill/>
        </a:ln>
        <a:effectLst/>
      </c:spPr>
      <c:txPr>
        <a:bodyPr rot="0" spcFirstLastPara="0" vertOverflow="ellipsis" vert="horz" wrap="square" anchor="ctr" anchorCtr="true"/>
        <a:lstStyle/>
        <a:p>
          <a:pPr>
            <a:defRPr lang="zh-CN" sz="900" b="0" i="0" u="none" strike="noStrike" kern="1200" baseline="0">
              <a:solidFill>
                <a:sysClr val="windowText" lastClr="000000">
                  <a:lumMod val="65000"/>
                  <a:lumOff val="35000"/>
                </a:sysClr>
              </a:solidFill>
              <a:latin typeface="+mn-lt"/>
              <a:ea typeface="+mn-ea"/>
              <a:cs typeface="+mn-cs"/>
            </a:defRPr>
          </a:pPr>
        </a:p>
      </c:txPr>
    </c:legend>
    <c:plotVisOnly val="true"/>
    <c:dispBlanksAs val="gap"/>
    <c:showDLblsOverMax val="false"/>
  </c:chart>
  <c:spPr>
    <a:solidFill>
      <a:sysClr val="window" lastClr="FFFFFF"/>
    </a:solidFill>
    <a:ln w="9525" cap="flat" cmpd="sng" algn="ctr">
      <a:solidFill>
        <a:sysClr val="windowText" lastClr="000000">
          <a:lumMod val="15000"/>
          <a:lumOff val="85000"/>
        </a:sysClr>
      </a:solidFill>
      <a:round/>
    </a:ln>
    <a:effectLst/>
  </c:spPr>
  <c:txPr>
    <a:bodyPr/>
    <a:lstStyle/>
    <a:p>
      <a:pPr>
        <a:defRPr lang="zh-CN"/>
      </a:pPr>
    </a:p>
  </c:txPr>
  <c:externalData r:id="rId1">
    <c:autoUpdate val="false"/>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true"/>
    <c:plotArea>
      <c:layout/>
      <c:pieChart>
        <c:varyColors val="true"/>
        <c:ser>
          <c:idx val="0"/>
          <c:order val="0"/>
          <c:spPr/>
          <c:explosion val="0"/>
          <c:dPt>
            <c:idx val="0"/>
            <c:bubble3D val="false"/>
            <c:spPr>
              <a:solidFill>
                <a:srgbClr val="5B9BD5"/>
              </a:solidFill>
              <a:ln w="19050">
                <a:solidFill>
                  <a:sysClr val="window" lastClr="FFFFFF"/>
                </a:solidFill>
              </a:ln>
              <a:effectLst/>
            </c:spPr>
          </c:dPt>
          <c:dPt>
            <c:idx val="1"/>
            <c:bubble3D val="false"/>
            <c:spPr>
              <a:solidFill>
                <a:srgbClr val="ED7D31"/>
              </a:solidFill>
              <a:ln w="19050">
                <a:solidFill>
                  <a:sysClr val="window" lastClr="FFFFFF"/>
                </a:solidFill>
              </a:ln>
              <a:effectLst/>
            </c:spPr>
          </c:dPt>
          <c:dPt>
            <c:idx val="2"/>
            <c:bubble3D val="false"/>
            <c:spPr>
              <a:solidFill>
                <a:srgbClr val="A5A5A5"/>
              </a:solidFill>
              <a:ln w="19050">
                <a:solidFill>
                  <a:sysClr val="window" lastClr="FFFFFF"/>
                </a:solidFill>
              </a:ln>
              <a:effectLst/>
            </c:spPr>
          </c:dPt>
          <c:dLbls>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ysClr val="windowText" lastClr="000000">
                        <a:lumMod val="75000"/>
                        <a:lumOff val="25000"/>
                      </a:sysClr>
                    </a:solidFill>
                    <a:latin typeface="+mn-lt"/>
                    <a:ea typeface="+mn-ea"/>
                    <a:cs typeface="+mn-cs"/>
                  </a:defRPr>
                </a:pPr>
              </a:p>
            </c:txPr>
            <c:dLblPos val="bestFit"/>
            <c:showLegendKey val="false"/>
            <c:showVal val="true"/>
            <c:showCatName val="false"/>
            <c:showSerName val="false"/>
            <c:showPercent val="false"/>
            <c:showBubbleSize val="false"/>
            <c:showLeaderLines val="true"/>
            <c:extLst>
              <c:ext xmlns:c15="http://schemas.microsoft.com/office/drawing/2012/chart" uri="{CE6537A1-D6FC-4f65-9D91-7224C49458BB}">
                <c15:layout/>
                <c15:showLeaderLines val="true"/>
                <c15:leaderLines>
                  <c:spPr>
                    <a:ln w="9525" cap="flat" cmpd="sng" algn="ctr">
                      <a:solidFill>
                        <a:sysClr val="windowText" lastClr="000000">
                          <a:lumMod val="35000"/>
                          <a:lumOff val="65000"/>
                        </a:sysClr>
                      </a:solidFill>
                      <a:round/>
                    </a:ln>
                    <a:effectLst/>
                  </c:spPr>
                </c15:leaderLines>
              </c:ext>
            </c:extLst>
          </c:dLbls>
          <c:cat>
            <c:strRef>
              <c:f>'[满意度数据分析 (自动保存的).xlsx]固定群体宜居满意度'!$A$61:$A$63</c:f>
              <c:strCache>
                <c:ptCount val="3"/>
                <c:pt idx="0">
                  <c:v>深户</c:v>
                </c:pt>
                <c:pt idx="1">
                  <c:v>非深户</c:v>
                </c:pt>
                <c:pt idx="2">
                  <c:v>外国人</c:v>
                </c:pt>
              </c:strCache>
            </c:strRef>
          </c:cat>
          <c:val>
            <c:numRef>
              <c:f>'[满意度数据分析 (自动保存的).xlsx]固定群体宜居满意度'!$C$61:$C$63</c:f>
              <c:numCache>
                <c:formatCode>0.00%</c:formatCode>
                <c:ptCount val="3"/>
                <c:pt idx="0">
                  <c:v>0.362</c:v>
                </c:pt>
                <c:pt idx="1">
                  <c:v>0.625</c:v>
                </c:pt>
                <c:pt idx="2">
                  <c:v>0.013</c:v>
                </c:pt>
              </c:numCache>
            </c:numRef>
          </c:val>
        </c:ser>
        <c:dLbls>
          <c:showLegendKey val="false"/>
          <c:showVal val="true"/>
          <c:showCatName val="false"/>
          <c:showSerName val="false"/>
          <c:showPercent val="false"/>
          <c:showBubbleSize val="false"/>
          <c:showLeaderLines val="true"/>
        </c:dLbls>
        <c:firstSliceAng val="0"/>
      </c:pieChart>
      <c:spPr>
        <a:noFill/>
        <a:ln>
          <a:noFill/>
        </a:ln>
        <a:effectLst/>
      </c:spPr>
    </c:plotArea>
    <c:legend>
      <c:legendPos val="b"/>
      <c:layout/>
      <c:overlay val="false"/>
      <c:spPr>
        <a:noFill/>
        <a:ln>
          <a:noFill/>
        </a:ln>
        <a:effectLst/>
      </c:spPr>
      <c:txPr>
        <a:bodyPr rot="0" spcFirstLastPara="0" vertOverflow="ellipsis" vert="horz" wrap="square" anchor="ctr" anchorCtr="true"/>
        <a:lstStyle/>
        <a:p>
          <a:pPr>
            <a:defRPr lang="zh-CN" sz="900" b="0" i="0" u="none" strike="noStrike" kern="1200" baseline="0">
              <a:solidFill>
                <a:sysClr val="windowText" lastClr="000000">
                  <a:lumMod val="65000"/>
                  <a:lumOff val="35000"/>
                </a:sysClr>
              </a:solidFill>
              <a:latin typeface="+mn-lt"/>
              <a:ea typeface="+mn-ea"/>
              <a:cs typeface="+mn-cs"/>
            </a:defRPr>
          </a:pPr>
        </a:p>
      </c:txPr>
    </c:legend>
    <c:plotVisOnly val="true"/>
    <c:dispBlanksAs val="gap"/>
    <c:showDLblsOverMax val="false"/>
  </c:chart>
  <c:spPr>
    <a:solidFill>
      <a:sysClr val="window" lastClr="FFFFFF"/>
    </a:solidFill>
    <a:ln w="9525" cap="flat" cmpd="sng" algn="ctr">
      <a:solidFill>
        <a:sysClr val="windowText" lastClr="000000">
          <a:lumMod val="15000"/>
          <a:lumOff val="85000"/>
        </a:sysClr>
      </a:solidFill>
      <a:round/>
    </a:ln>
    <a:effectLst/>
  </c:spPr>
  <c:txPr>
    <a:bodyPr/>
    <a:lstStyle/>
    <a:p>
      <a:pPr>
        <a:defRPr lang="zh-CN"/>
      </a:pPr>
    </a:p>
  </c:txPr>
  <c:externalData r:id="rId1">
    <c:autoUpdate val="false"/>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true"/>
    <c:plotArea>
      <c:layout/>
      <c:pieChart>
        <c:varyColors val="true"/>
        <c:ser>
          <c:idx val="0"/>
          <c:order val="0"/>
          <c:spPr/>
          <c:explosion val="0"/>
          <c:dPt>
            <c:idx val="0"/>
            <c:bubble3D val="false"/>
            <c:spPr>
              <a:solidFill>
                <a:srgbClr val="5B9BD5"/>
              </a:solidFill>
              <a:ln w="19050">
                <a:solidFill>
                  <a:sysClr val="window" lastClr="FFFFFF"/>
                </a:solidFill>
              </a:ln>
              <a:effectLst/>
            </c:spPr>
          </c:dPt>
          <c:dPt>
            <c:idx val="1"/>
            <c:bubble3D val="false"/>
            <c:spPr>
              <a:solidFill>
                <a:srgbClr val="ED7D31"/>
              </a:solidFill>
              <a:ln w="19050">
                <a:solidFill>
                  <a:sysClr val="window" lastClr="FFFFFF"/>
                </a:solidFill>
              </a:ln>
              <a:effectLst/>
            </c:spPr>
          </c:dPt>
          <c:dPt>
            <c:idx val="2"/>
            <c:bubble3D val="false"/>
            <c:spPr>
              <a:solidFill>
                <a:srgbClr val="A5A5A5"/>
              </a:solidFill>
              <a:ln w="19050">
                <a:solidFill>
                  <a:sysClr val="window" lastClr="FFFFFF"/>
                </a:solidFill>
              </a:ln>
              <a:effectLst/>
            </c:spPr>
          </c:dPt>
          <c:dPt>
            <c:idx val="3"/>
            <c:bubble3D val="false"/>
            <c:spPr>
              <a:solidFill>
                <a:srgbClr val="FFC000"/>
              </a:solidFill>
              <a:ln w="19050">
                <a:solidFill>
                  <a:sysClr val="window" lastClr="FFFFFF"/>
                </a:solidFill>
              </a:ln>
              <a:effectLst/>
            </c:spPr>
          </c:dPt>
          <c:dPt>
            <c:idx val="4"/>
            <c:bubble3D val="false"/>
            <c:spPr>
              <a:solidFill>
                <a:srgbClr val="4472C4"/>
              </a:solidFill>
              <a:ln w="19050">
                <a:solidFill>
                  <a:sysClr val="window" lastClr="FFFFFF"/>
                </a:solidFill>
              </a:ln>
              <a:effectLst/>
            </c:spPr>
          </c:dPt>
          <c:dLbls>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ysClr val="windowText" lastClr="000000">
                        <a:lumMod val="75000"/>
                        <a:lumOff val="25000"/>
                      </a:sysClr>
                    </a:solidFill>
                    <a:latin typeface="+mn-lt"/>
                    <a:ea typeface="+mn-ea"/>
                    <a:cs typeface="+mn-cs"/>
                  </a:defRPr>
                </a:pPr>
              </a:p>
            </c:txPr>
            <c:dLblPos val="bestFit"/>
            <c:showLegendKey val="false"/>
            <c:showVal val="true"/>
            <c:showCatName val="false"/>
            <c:showSerName val="false"/>
            <c:showPercent val="false"/>
            <c:showBubbleSize val="false"/>
            <c:showLeaderLines val="true"/>
            <c:extLst>
              <c:ext xmlns:c15="http://schemas.microsoft.com/office/drawing/2012/chart" uri="{CE6537A1-D6FC-4f65-9D91-7224C49458BB}">
                <c15:layout/>
                <c15:showLeaderLines val="true"/>
                <c15:leaderLines>
                  <c:spPr>
                    <a:ln w="9525" cap="flat" cmpd="sng" algn="ctr">
                      <a:solidFill>
                        <a:sysClr val="windowText" lastClr="000000">
                          <a:lumMod val="35000"/>
                          <a:lumOff val="65000"/>
                        </a:sysClr>
                      </a:solidFill>
                      <a:round/>
                    </a:ln>
                    <a:effectLst/>
                  </c:spPr>
                </c15:leaderLines>
              </c:ext>
            </c:extLst>
          </c:dLbls>
          <c:cat>
            <c:strRef>
              <c:f>[满意度数据分析.xlsx]Sheet2!$A$79:$A$83</c:f>
              <c:strCache>
                <c:ptCount val="5"/>
                <c:pt idx="0">
                  <c:v>3000元以下</c:v>
                </c:pt>
                <c:pt idx="1">
                  <c:v>3001-6000元</c:v>
                </c:pt>
                <c:pt idx="2">
                  <c:v>6001-10000元</c:v>
                </c:pt>
                <c:pt idx="3">
                  <c:v>10001-15000元</c:v>
                </c:pt>
                <c:pt idx="4">
                  <c:v>15000以上</c:v>
                </c:pt>
              </c:strCache>
            </c:strRef>
          </c:cat>
          <c:val>
            <c:numRef>
              <c:f>[满意度数据分析.xlsx]Sheet2!$B$79:$B$83</c:f>
              <c:numCache>
                <c:formatCode>0.00%</c:formatCode>
                <c:ptCount val="5"/>
                <c:pt idx="0">
                  <c:v>0.122</c:v>
                </c:pt>
                <c:pt idx="1">
                  <c:v>0.434</c:v>
                </c:pt>
                <c:pt idx="2">
                  <c:v>0.251</c:v>
                </c:pt>
                <c:pt idx="3">
                  <c:v>0.097</c:v>
                </c:pt>
                <c:pt idx="4">
                  <c:v>0.093</c:v>
                </c:pt>
              </c:numCache>
            </c:numRef>
          </c:val>
        </c:ser>
        <c:dLbls>
          <c:showLegendKey val="false"/>
          <c:showVal val="true"/>
          <c:showCatName val="false"/>
          <c:showSerName val="false"/>
          <c:showPercent val="false"/>
          <c:showBubbleSize val="false"/>
          <c:showLeaderLines val="true"/>
        </c:dLbls>
        <c:firstSliceAng val="0"/>
      </c:pieChart>
      <c:spPr>
        <a:noFill/>
        <a:ln>
          <a:noFill/>
        </a:ln>
        <a:effectLst/>
      </c:spPr>
    </c:plotArea>
    <c:legend>
      <c:legendPos val="b"/>
      <c:layout/>
      <c:overlay val="false"/>
      <c:spPr>
        <a:noFill/>
        <a:ln>
          <a:noFill/>
        </a:ln>
        <a:effectLst/>
      </c:spPr>
      <c:txPr>
        <a:bodyPr rot="0" spcFirstLastPara="0" vertOverflow="ellipsis" vert="horz" wrap="square" anchor="ctr" anchorCtr="true"/>
        <a:lstStyle/>
        <a:p>
          <a:pPr>
            <a:defRPr lang="zh-CN" sz="900" b="0" i="0" u="none" strike="noStrike" kern="1200" baseline="0">
              <a:solidFill>
                <a:sysClr val="windowText" lastClr="000000">
                  <a:lumMod val="65000"/>
                  <a:lumOff val="35000"/>
                </a:sysClr>
              </a:solidFill>
              <a:latin typeface="+mn-lt"/>
              <a:ea typeface="+mn-ea"/>
              <a:cs typeface="+mn-cs"/>
            </a:defRPr>
          </a:pPr>
        </a:p>
      </c:txPr>
    </c:legend>
    <c:plotVisOnly val="true"/>
    <c:dispBlanksAs val="gap"/>
    <c:showDLblsOverMax val="false"/>
  </c:chart>
  <c:spPr>
    <a:solidFill>
      <a:sysClr val="window" lastClr="FFFFFF"/>
    </a:solidFill>
    <a:ln w="9525" cap="flat" cmpd="sng" algn="ctr">
      <a:solidFill>
        <a:sysClr val="windowText" lastClr="000000">
          <a:lumMod val="15000"/>
          <a:lumOff val="85000"/>
        </a:sysClr>
      </a:solidFill>
      <a:round/>
    </a:ln>
    <a:effectLst/>
  </c:spPr>
  <c:txPr>
    <a:bodyPr/>
    <a:lstStyle/>
    <a:p>
      <a:pPr>
        <a:defRPr lang="zh-CN"/>
      </a:pPr>
    </a:p>
  </c:txPr>
  <c:externalData r:id="rId1">
    <c:autoUpdate val="false"/>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true"/>
    <c:plotArea>
      <c:layout>
        <c:manualLayout>
          <c:layoutTarget val="inner"/>
          <c:xMode val="edge"/>
          <c:yMode val="edge"/>
          <c:x val="0.123596876525134"/>
          <c:y val="0.0524179912073047"/>
          <c:w val="0.845900439238653"/>
          <c:h val="0.757186337504227"/>
        </c:manualLayout>
      </c:layout>
      <c:lineChart>
        <c:grouping val="standard"/>
        <c:varyColors val="false"/>
        <c:ser>
          <c:idx val="0"/>
          <c:order val="0"/>
          <c:tx>
            <c:strRef>
              <c:f>'[满意度数据分析 (自动保存的)2.xlsx]宜居城市各因素满意度'!$B$93</c:f>
              <c:strCache>
                <c:ptCount val="1"/>
                <c:pt idx="0">
                  <c:v>满意度</c:v>
                </c:pt>
              </c:strCache>
            </c:strRef>
          </c:tx>
          <c:dLbls>
            <c:spPr>
              <a:noFill/>
              <a:ln>
                <a:noFill/>
              </a:ln>
              <a:effectLst/>
            </c:spPr>
            <c:txPr>
              <a:bodyPr rot="0" spcFirstLastPara="0" vertOverflow="ellipsis" vert="horz" wrap="square" lIns="38100" tIns="19050" rIns="38100" bIns="19050" anchor="ctr" anchorCtr="true"/>
              <a:lstStyle/>
              <a:p>
                <a:pPr>
                  <a:defRPr lang="zh-CN" sz="1000" b="0" i="0" u="none" strike="noStrike" kern="1200" baseline="0">
                    <a:solidFill>
                      <a:sysClr val="windowText" lastClr="000000"/>
                    </a:solidFill>
                    <a:latin typeface="+mn-lt"/>
                    <a:ea typeface="+mn-ea"/>
                    <a:cs typeface="+mn-cs"/>
                  </a:defRPr>
                </a:pPr>
              </a:p>
            </c:txPr>
            <c:dLblPos val="t"/>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true"/>
                <c15:leaderLines/>
              </c:ext>
            </c:extLst>
          </c:dLbls>
          <c:cat>
            <c:strRef>
              <c:f>'[满意度数据分析 (自动保存的)2.xlsx]宜居城市各因素满意度'!$A$94:$A$103</c:f>
              <c:strCache>
                <c:ptCount val="10"/>
                <c:pt idx="0">
                  <c:v>2011年</c:v>
                </c:pt>
                <c:pt idx="1">
                  <c:v>2012年</c:v>
                </c:pt>
                <c:pt idx="2">
                  <c:v>2013年</c:v>
                </c:pt>
                <c:pt idx="3">
                  <c:v>2014年</c:v>
                </c:pt>
                <c:pt idx="4">
                  <c:v>2015年</c:v>
                </c:pt>
                <c:pt idx="5">
                  <c:v>2016年</c:v>
                </c:pt>
                <c:pt idx="6">
                  <c:v>2017年</c:v>
                </c:pt>
                <c:pt idx="7">
                  <c:v>2018年</c:v>
                </c:pt>
                <c:pt idx="8">
                  <c:v>2019年</c:v>
                </c:pt>
                <c:pt idx="9">
                  <c:v>2020年</c:v>
                </c:pt>
              </c:strCache>
            </c:strRef>
          </c:cat>
          <c:val>
            <c:numRef>
              <c:f>'[满意度数据分析 (自动保存的)2.xlsx]宜居城市各因素满意度'!$B$94:$B$103</c:f>
              <c:numCache>
                <c:formatCode>0.00%</c:formatCode>
                <c:ptCount val="10"/>
                <c:pt idx="0">
                  <c:v>0.69</c:v>
                </c:pt>
                <c:pt idx="1">
                  <c:v>0.725</c:v>
                </c:pt>
                <c:pt idx="2">
                  <c:v>0.7067</c:v>
                </c:pt>
                <c:pt idx="3">
                  <c:v>0.6841</c:v>
                </c:pt>
                <c:pt idx="4">
                  <c:v>0.7224</c:v>
                </c:pt>
                <c:pt idx="5">
                  <c:v>0.6945</c:v>
                </c:pt>
                <c:pt idx="6">
                  <c:v>0.7366</c:v>
                </c:pt>
                <c:pt idx="7">
                  <c:v>0.7718</c:v>
                </c:pt>
                <c:pt idx="8">
                  <c:v>0.7951</c:v>
                </c:pt>
                <c:pt idx="9">
                  <c:v>0.87953665314738</c:v>
                </c:pt>
              </c:numCache>
            </c:numRef>
          </c:val>
          <c:smooth val="false"/>
        </c:ser>
        <c:dLbls>
          <c:showLegendKey val="false"/>
          <c:showVal val="true"/>
          <c:showCatName val="false"/>
          <c:showSerName val="false"/>
          <c:showPercent val="false"/>
          <c:showBubbleSize val="false"/>
        </c:dLbls>
        <c:marker val="true"/>
        <c:smooth val="false"/>
        <c:axId val="159897600"/>
        <c:axId val="9163264"/>
      </c:lineChart>
      <c:catAx>
        <c:axId val="159897600"/>
        <c:scaling>
          <c:orientation val="minMax"/>
        </c:scaling>
        <c:delete val="false"/>
        <c:axPos val="b"/>
        <c:majorTickMark val="out"/>
        <c:minorTickMark val="none"/>
        <c:tickLblPos val="nextTo"/>
        <c:txPr>
          <a:bodyPr rot="-60000000" spcFirstLastPara="0" vertOverflow="ellipsis" vert="horz" wrap="square" anchor="ctr" anchorCtr="true"/>
          <a:lstStyle/>
          <a:p>
            <a:pPr>
              <a:defRPr lang="zh-CN" sz="1000" b="0" i="0" u="none" strike="noStrike" kern="1200" baseline="0">
                <a:solidFill>
                  <a:sysClr val="windowText" lastClr="000000"/>
                </a:solidFill>
                <a:latin typeface="+mn-lt"/>
                <a:ea typeface="+mn-ea"/>
                <a:cs typeface="+mn-cs"/>
              </a:defRPr>
            </a:pPr>
          </a:p>
        </c:txPr>
        <c:crossAx val="9163264"/>
        <c:crosses val="autoZero"/>
        <c:auto val="true"/>
        <c:lblAlgn val="ctr"/>
        <c:lblOffset val="100"/>
        <c:noMultiLvlLbl val="false"/>
      </c:catAx>
      <c:valAx>
        <c:axId val="9163264"/>
        <c:scaling>
          <c:orientation val="minMax"/>
        </c:scaling>
        <c:delete val="false"/>
        <c:axPos val="l"/>
        <c:majorGridlines/>
        <c:numFmt formatCode="0.00%" sourceLinked="true"/>
        <c:majorTickMark val="out"/>
        <c:minorTickMark val="none"/>
        <c:tickLblPos val="nextTo"/>
        <c:txPr>
          <a:bodyPr rot="-60000000" spcFirstLastPara="0" vertOverflow="ellipsis" vert="horz" wrap="square" anchor="ctr" anchorCtr="true"/>
          <a:lstStyle/>
          <a:p>
            <a:pPr>
              <a:defRPr lang="zh-CN" sz="1000" b="0" i="0" u="none" strike="noStrike" kern="1200" baseline="0">
                <a:solidFill>
                  <a:sysClr val="windowText" lastClr="000000"/>
                </a:solidFill>
                <a:latin typeface="+mn-lt"/>
                <a:ea typeface="+mn-ea"/>
                <a:cs typeface="+mn-cs"/>
              </a:defRPr>
            </a:pPr>
          </a:p>
        </c:txPr>
        <c:crossAx val="159897600"/>
        <c:crosses val="autoZero"/>
        <c:crossBetween val="between"/>
      </c:valAx>
      <c:spPr>
        <a:solidFill>
          <a:srgbClr val="5B9BD5">
            <a:lumMod val="40000"/>
            <a:lumOff val="60000"/>
          </a:srgbClr>
        </a:solidFill>
      </c:spPr>
    </c:plotArea>
    <c:plotVisOnly val="true"/>
    <c:dispBlanksAs val="gap"/>
    <c:showDLblsOverMax val="false"/>
  </c:chart>
  <c:txPr>
    <a:bodyPr/>
    <a:lstStyle/>
    <a:p>
      <a:pPr>
        <a:defRPr lang="zh-CN"/>
      </a:pPr>
    </a:p>
  </c:txPr>
  <c:externalData r:id="rId1">
    <c:autoUpdate val="false"/>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true"/>
    <c:plotArea>
      <c:layout/>
      <c:barChart>
        <c:barDir val="bar"/>
        <c:grouping val="stacked"/>
        <c:varyColors val="false"/>
        <c:ser>
          <c:idx val="0"/>
          <c:order val="0"/>
          <c:tx>
            <c:strRef>
              <c:f>Sheet1!$B$64</c:f>
              <c:strCache>
                <c:ptCount val="1"/>
                <c:pt idx="0">
                  <c:v>权重</c:v>
                </c:pt>
              </c:strCache>
            </c:strRef>
          </c:tx>
          <c:spPr>
            <a:solidFill>
              <a:srgbClr val="5B9BD5"/>
            </a:solidFill>
            <a:ln>
              <a:noFill/>
            </a:ln>
            <a:effectLst/>
          </c:spPr>
          <c:invertIfNegative val="false"/>
          <c:dLbls>
            <c:dLbl>
              <c:idx val="0"/>
              <c:layout>
                <c:manualLayout>
                  <c:x val="0.09375"/>
                  <c:y val="-0.00347222222222222"/>
                </c:manualLayout>
              </c:layout>
              <c:dLblPos val="inEnd"/>
              <c:showLegendKey val="false"/>
              <c:showVal val="true"/>
              <c:showCatName val="false"/>
              <c:showSerName val="false"/>
              <c:showPercent val="false"/>
              <c:showBubbleSize val="false"/>
              <c:extLst>
                <c:ext xmlns:c15="http://schemas.microsoft.com/office/drawing/2012/chart" uri="{CE6537A1-D6FC-4f65-9D91-7224C49458BB}">
                  <c15:layout/>
                </c:ext>
              </c:extLst>
            </c:dLbl>
            <c:dLbl>
              <c:idx val="1"/>
              <c:layout>
                <c:manualLayout>
                  <c:x val="0.09375"/>
                  <c:y val="0.00347222222222222"/>
                </c:manualLayout>
              </c:layout>
              <c:dLblPos val="inEnd"/>
              <c:showLegendKey val="false"/>
              <c:showVal val="true"/>
              <c:showCatName val="false"/>
              <c:showSerName val="false"/>
              <c:showPercent val="false"/>
              <c:showBubbleSize val="false"/>
              <c:extLst>
                <c:ext xmlns:c15="http://schemas.microsoft.com/office/drawing/2012/chart" uri="{CE6537A1-D6FC-4f65-9D91-7224C49458BB}">
                  <c15:layout/>
                </c:ext>
              </c:extLst>
            </c:dLbl>
            <c:dLbl>
              <c:idx val="2"/>
              <c:layout>
                <c:manualLayout>
                  <c:x val="0.09375"/>
                  <c:y val="0.00347222222222222"/>
                </c:manualLayout>
              </c:layout>
              <c:dLblPos val="inEnd"/>
              <c:showLegendKey val="false"/>
              <c:showVal val="true"/>
              <c:showCatName val="false"/>
              <c:showSerName val="false"/>
              <c:showPercent val="false"/>
              <c:showBubbleSize val="false"/>
              <c:extLst>
                <c:ext xmlns:c15="http://schemas.microsoft.com/office/drawing/2012/chart" uri="{CE6537A1-D6FC-4f65-9D91-7224C49458BB}">
                  <c15:layout/>
                </c:ext>
              </c:extLst>
            </c:dLbl>
            <c:dLbl>
              <c:idx val="3"/>
              <c:layout>
                <c:manualLayout>
                  <c:x val="0.104166666666667"/>
                  <c:y val="0"/>
                </c:manualLayout>
              </c:layout>
              <c:dLblPos val="inEnd"/>
              <c:showLegendKey val="false"/>
              <c:showVal val="true"/>
              <c:showCatName val="false"/>
              <c:showSerName val="false"/>
              <c:showPercent val="false"/>
              <c:showBubbleSize val="false"/>
              <c:extLst>
                <c:ext xmlns:c15="http://schemas.microsoft.com/office/drawing/2012/chart" uri="{CE6537A1-D6FC-4f65-9D91-7224C49458BB}">
                  <c15:layout/>
                </c:ext>
              </c:extLst>
            </c:dLbl>
            <c:dLbl>
              <c:idx val="4"/>
              <c:layout>
                <c:manualLayout>
                  <c:x val="0.10625"/>
                  <c:y val="0.00347222222222222"/>
                </c:manualLayout>
              </c:layout>
              <c:dLblPos val="inEnd"/>
              <c:showLegendKey val="false"/>
              <c:showVal val="true"/>
              <c:showCatName val="false"/>
              <c:showSerName val="false"/>
              <c:showPercent val="false"/>
              <c:showBubbleSize val="false"/>
              <c:extLst>
                <c:ext xmlns:c15="http://schemas.microsoft.com/office/drawing/2012/chart" uri="{CE6537A1-D6FC-4f65-9D91-7224C49458BB}">
                  <c15:layout/>
                </c:ext>
              </c:extLst>
            </c:dLbl>
            <c:dLbl>
              <c:idx val="5"/>
              <c:layout>
                <c:manualLayout>
                  <c:x val="0.108333333333333"/>
                  <c:y val="0"/>
                </c:manualLayout>
              </c:layout>
              <c:dLblPos val="inEnd"/>
              <c:showLegendKey val="false"/>
              <c:showVal val="true"/>
              <c:showCatName val="false"/>
              <c:showSerName val="false"/>
              <c:showPercent val="false"/>
              <c:showBubbleSize val="false"/>
              <c:extLst>
                <c:ext xmlns:c15="http://schemas.microsoft.com/office/drawing/2012/chart" uri="{CE6537A1-D6FC-4f65-9D91-7224C49458BB}">
                  <c15:layout/>
                </c:ext>
              </c:extLst>
            </c:dLbl>
            <c:dLbl>
              <c:idx val="6"/>
              <c:layout>
                <c:manualLayout>
                  <c:x val="0.108333333333333"/>
                  <c:y val="-0.00347222222222222"/>
                </c:manualLayout>
              </c:layout>
              <c:dLblPos val="inEnd"/>
              <c:showLegendKey val="false"/>
              <c:showVal val="true"/>
              <c:showCatName val="false"/>
              <c:showSerName val="false"/>
              <c:showPercent val="false"/>
              <c:showBubbleSize val="false"/>
              <c:extLst>
                <c:ext xmlns:c15="http://schemas.microsoft.com/office/drawing/2012/chart" uri="{CE6537A1-D6FC-4f65-9D91-7224C49458BB}">
                  <c15:layout/>
                </c:ext>
              </c:extLst>
            </c:dLbl>
            <c:dLbl>
              <c:idx val="7"/>
              <c:layout>
                <c:manualLayout>
                  <c:x val="0.110416666666667"/>
                  <c:y val="0"/>
                </c:manualLayout>
              </c:layout>
              <c:dLblPos val="inEnd"/>
              <c:showLegendKey val="false"/>
              <c:showVal val="true"/>
              <c:showCatName val="false"/>
              <c:showSerName val="false"/>
              <c:showPercent val="false"/>
              <c:showBubbleSize val="false"/>
              <c:extLst>
                <c:ext xmlns:c15="http://schemas.microsoft.com/office/drawing/2012/chart" uri="{CE6537A1-D6FC-4f65-9D91-7224C49458BB}">
                  <c15:layout/>
                </c:ext>
              </c:extLst>
            </c:dLbl>
            <c:dLbl>
              <c:idx val="8"/>
              <c:layout>
                <c:manualLayout>
                  <c:x val="0.108333333333333"/>
                  <c:y val="-0.00694444444444444"/>
                </c:manualLayout>
              </c:layout>
              <c:dLblPos val="inEnd"/>
              <c:showLegendKey val="false"/>
              <c:showVal val="true"/>
              <c:showCatName val="false"/>
              <c:showSerName val="false"/>
              <c:showPercent val="false"/>
              <c:showBubbleSize val="false"/>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ysClr val="windowText" lastClr="000000">
                        <a:lumMod val="75000"/>
                        <a:lumOff val="25000"/>
                      </a:sysClr>
                    </a:solidFill>
                    <a:latin typeface="+mn-lt"/>
                    <a:ea typeface="+mn-ea"/>
                    <a:cs typeface="+mn-cs"/>
                  </a:defRPr>
                </a:pPr>
              </a:p>
            </c:txPr>
            <c:dLblPos val="in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true"/>
                <c15:leaderLines>
                  <c:spPr>
                    <a:ln w="9525" cap="flat" cmpd="sng" algn="ctr">
                      <a:solidFill>
                        <a:sysClr val="windowText" lastClr="000000">
                          <a:lumMod val="35000"/>
                          <a:lumOff val="65000"/>
                        </a:sysClr>
                      </a:solidFill>
                      <a:round/>
                    </a:ln>
                    <a:effectLst/>
                  </c:spPr>
                </c15:leaderLines>
              </c:ext>
            </c:extLst>
          </c:dLbls>
          <c:cat>
            <c:strRef>
              <c:f>Sheet1!$A$65:$A$73</c:f>
              <c:strCache>
                <c:ptCount val="9"/>
                <c:pt idx="0">
                  <c:v>文化服务</c:v>
                </c:pt>
                <c:pt idx="1">
                  <c:v>社区管理</c:v>
                </c:pt>
                <c:pt idx="2">
                  <c:v>特殊群体关爱</c:v>
                </c:pt>
                <c:pt idx="3">
                  <c:v>公共安全</c:v>
                </c:pt>
                <c:pt idx="4">
                  <c:v>经济发展</c:v>
                </c:pt>
                <c:pt idx="5">
                  <c:v>住房条件</c:v>
                </c:pt>
                <c:pt idx="6">
                  <c:v>城市交通</c:v>
                </c:pt>
                <c:pt idx="7">
                  <c:v>教育医疗服务</c:v>
                </c:pt>
                <c:pt idx="8">
                  <c:v>城市环境</c:v>
                </c:pt>
              </c:strCache>
            </c:strRef>
          </c:cat>
          <c:val>
            <c:numRef>
              <c:f>Sheet1!$B$65:$B$73</c:f>
              <c:numCache>
                <c:formatCode>0.00%</c:formatCode>
                <c:ptCount val="9"/>
                <c:pt idx="0">
                  <c:v>0.0299032541776605</c:v>
                </c:pt>
                <c:pt idx="1">
                  <c:v>0.0422791808016082</c:v>
                </c:pt>
                <c:pt idx="2">
                  <c:v>0.0937303681367006</c:v>
                </c:pt>
                <c:pt idx="3">
                  <c:v>0.101645935419022</c:v>
                </c:pt>
                <c:pt idx="4">
                  <c:v>0.10239979896972</c:v>
                </c:pt>
                <c:pt idx="5">
                  <c:v>0.126020856891569</c:v>
                </c:pt>
                <c:pt idx="6">
                  <c:v>0.129099133056917</c:v>
                </c:pt>
                <c:pt idx="7">
                  <c:v>0.161138333961553</c:v>
                </c:pt>
                <c:pt idx="8">
                  <c:v>0.213783138585249</c:v>
                </c:pt>
              </c:numCache>
            </c:numRef>
          </c:val>
        </c:ser>
        <c:dLbls>
          <c:showLegendKey val="false"/>
          <c:showVal val="true"/>
          <c:showCatName val="false"/>
          <c:showSerName val="false"/>
          <c:showPercent val="false"/>
          <c:showBubbleSize val="false"/>
        </c:dLbls>
        <c:gapWidth val="55"/>
        <c:overlap val="100"/>
        <c:axId val="204019124"/>
        <c:axId val="109966102"/>
      </c:barChart>
      <c:catAx>
        <c:axId val="204019124"/>
        <c:scaling>
          <c:orientation val="minMax"/>
        </c:scaling>
        <c:delete val="false"/>
        <c:axPos val="l"/>
        <c:majorTickMark val="none"/>
        <c:minorTickMark val="none"/>
        <c:tickLblPos val="nextTo"/>
        <c:spPr>
          <a:noFill/>
          <a:ln w="9525" cap="flat" cmpd="sng" algn="ctr">
            <a:solidFill>
              <a:sysClr val="windowText" lastClr="000000">
                <a:lumMod val="15000"/>
                <a:lumOff val="85000"/>
              </a:sysClr>
            </a:solidFill>
            <a:round/>
          </a:ln>
          <a:effectLst/>
        </c:spPr>
        <c:txPr>
          <a:bodyPr rot="-60000000" spcFirstLastPara="0" vertOverflow="ellipsis" vert="horz" wrap="square" anchor="ctr" anchorCtr="true"/>
          <a:lstStyle/>
          <a:p>
            <a:pPr>
              <a:defRPr lang="zh-CN" sz="900" b="0" i="0" u="none" strike="noStrike" kern="1200" baseline="0">
                <a:solidFill>
                  <a:sysClr val="windowText" lastClr="000000">
                    <a:lumMod val="65000"/>
                    <a:lumOff val="35000"/>
                  </a:sysClr>
                </a:solidFill>
                <a:latin typeface="+mn-lt"/>
                <a:ea typeface="+mn-ea"/>
                <a:cs typeface="+mn-cs"/>
              </a:defRPr>
            </a:pPr>
          </a:p>
        </c:txPr>
        <c:crossAx val="109966102"/>
        <c:crosses val="autoZero"/>
        <c:auto val="true"/>
        <c:lblAlgn val="ctr"/>
        <c:lblOffset val="100"/>
        <c:noMultiLvlLbl val="false"/>
      </c:catAx>
      <c:valAx>
        <c:axId val="109966102"/>
        <c:scaling>
          <c:orientation val="minMax"/>
        </c:scaling>
        <c:delete val="false"/>
        <c:axPos val="b"/>
        <c:majorGridlines>
          <c:spPr>
            <a:ln w="9525" cap="flat" cmpd="sng" algn="ctr">
              <a:solidFill>
                <a:sysClr val="windowText" lastClr="000000">
                  <a:lumMod val="15000"/>
                  <a:lumOff val="85000"/>
                </a:sysClr>
              </a:solidFill>
              <a:round/>
            </a:ln>
            <a:effectLst/>
          </c:spPr>
        </c:majorGridlines>
        <c:numFmt formatCode="0.00%" sourceLinked="true"/>
        <c:majorTickMark val="none"/>
        <c:minorTickMark val="none"/>
        <c:tickLblPos val="nextTo"/>
        <c:spPr>
          <a:noFill/>
          <a:ln>
            <a:noFill/>
          </a:ln>
          <a:effectLst/>
        </c:spPr>
        <c:txPr>
          <a:bodyPr rot="-60000000" spcFirstLastPara="0" vertOverflow="ellipsis" vert="horz" wrap="square" anchor="ctr" anchorCtr="true"/>
          <a:lstStyle/>
          <a:p>
            <a:pPr>
              <a:defRPr lang="zh-CN" sz="900" b="0" i="0" u="none" strike="noStrike" kern="1200" baseline="0">
                <a:solidFill>
                  <a:sysClr val="windowText" lastClr="000000">
                    <a:lumMod val="65000"/>
                    <a:lumOff val="35000"/>
                  </a:sysClr>
                </a:solidFill>
                <a:latin typeface="+mn-lt"/>
                <a:ea typeface="+mn-ea"/>
                <a:cs typeface="+mn-cs"/>
              </a:defRPr>
            </a:pPr>
          </a:p>
        </c:txPr>
        <c:crossAx val="204019124"/>
        <c:crosses val="autoZero"/>
        <c:crossBetween val="between"/>
      </c:valAx>
      <c:spPr>
        <a:noFill/>
        <a:ln>
          <a:noFill/>
        </a:ln>
        <a:effectLst/>
      </c:spPr>
    </c:plotArea>
    <c:legend>
      <c:legendPos val="r"/>
      <c:layout/>
      <c:overlay val="false"/>
      <c:spPr>
        <a:noFill/>
        <a:ln>
          <a:noFill/>
        </a:ln>
        <a:effectLst/>
      </c:spPr>
      <c:txPr>
        <a:bodyPr rot="0" spcFirstLastPara="0" vertOverflow="ellipsis" vert="horz" wrap="square" anchor="ctr" anchorCtr="true"/>
        <a:lstStyle/>
        <a:p>
          <a:pPr>
            <a:defRPr lang="zh-CN" sz="900" b="0" i="0" u="none" strike="noStrike" kern="1200" baseline="0">
              <a:solidFill>
                <a:sysClr val="windowText" lastClr="000000">
                  <a:lumMod val="65000"/>
                  <a:lumOff val="35000"/>
                </a:sysClr>
              </a:solidFill>
              <a:latin typeface="+mn-lt"/>
              <a:ea typeface="+mn-ea"/>
              <a:cs typeface="+mn-cs"/>
            </a:defRPr>
          </a:pPr>
        </a:p>
      </c:txPr>
    </c:legend>
    <c:plotVisOnly val="true"/>
    <c:dispBlanksAs val="gap"/>
    <c:showDLblsOverMax val="false"/>
  </c:chart>
  <c:spPr>
    <a:solidFill>
      <a:sysClr val="window" lastClr="FFFFFF"/>
    </a:solidFill>
    <a:ln w="9525" cap="flat" cmpd="sng" algn="ctr">
      <a:solidFill>
        <a:sysClr val="windowText" lastClr="000000">
          <a:lumMod val="15000"/>
          <a:lumOff val="85000"/>
        </a:sysClr>
      </a:solidFill>
      <a:round/>
    </a:ln>
    <a:effectLst/>
  </c:spPr>
  <c:txPr>
    <a:bodyPr/>
    <a:lstStyle/>
    <a:p>
      <a:pPr>
        <a:defRPr lang="zh-CN"/>
      </a:pPr>
    </a:p>
  </c:txPr>
  <c:externalData r:id="rId1">
    <c:autoUpdate val="false"/>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true"/>
    <c:plotArea>
      <c:layout/>
      <c:barChart>
        <c:barDir val="col"/>
        <c:grouping val="clustered"/>
        <c:varyColors val="false"/>
        <c:ser>
          <c:idx val="0"/>
          <c:order val="0"/>
          <c:tx>
            <c:strRef>
              <c:f>Sheet1!$A$594</c:f>
              <c:strCache>
                <c:ptCount val="1"/>
                <c:pt idx="0">
                  <c:v>2015年</c:v>
                </c:pt>
              </c:strCache>
            </c:strRef>
          </c:tx>
          <c:spPr>
            <a:solidFill>
              <a:srgbClr val="5B9BD5"/>
            </a:solidFill>
            <a:ln>
              <a:noFill/>
            </a:ln>
            <a:effectLst/>
          </c:spPr>
          <c:invertIfNegative val="false"/>
          <c:dLbls>
            <c:delete val="true"/>
          </c:dLbls>
          <c:cat>
            <c:strRef>
              <c:f>Sheet1!$B$593:$J$593</c:f>
              <c:strCache>
                <c:ptCount val="9"/>
                <c:pt idx="0">
                  <c:v>社区管理</c:v>
                </c:pt>
                <c:pt idx="1">
                  <c:v>文化服务</c:v>
                </c:pt>
                <c:pt idx="2">
                  <c:v>城市交通</c:v>
                </c:pt>
                <c:pt idx="3" c:formatCode="0.00%">
                  <c:v>公共安全</c:v>
                </c:pt>
                <c:pt idx="4" c:formatCode="0.00%">
                  <c:v>对特殊群体关爱</c:v>
                </c:pt>
                <c:pt idx="5" c:formatCode="0.00%">
                  <c:v>教育医疗服务</c:v>
                </c:pt>
                <c:pt idx="6">
                  <c:v>城市环境</c:v>
                </c:pt>
                <c:pt idx="7">
                  <c:v>住房条件</c:v>
                </c:pt>
                <c:pt idx="8">
                  <c:v>经济发展</c:v>
                </c:pt>
              </c:strCache>
            </c:strRef>
          </c:cat>
          <c:val>
            <c:numRef>
              <c:f>Sheet1!$B$594:$J$594</c:f>
              <c:numCache>
                <c:formatCode>0.00%</c:formatCode>
                <c:ptCount val="9"/>
                <c:pt idx="0">
                  <c:v>0.0208</c:v>
                </c:pt>
                <c:pt idx="1">
                  <c:v>0.069</c:v>
                </c:pt>
                <c:pt idx="2">
                  <c:v>0.1068</c:v>
                </c:pt>
                <c:pt idx="3">
                  <c:v>0.123</c:v>
                </c:pt>
                <c:pt idx="4">
                  <c:v>0.087</c:v>
                </c:pt>
                <c:pt idx="5">
                  <c:v>0.136</c:v>
                </c:pt>
                <c:pt idx="6">
                  <c:v>0.2074</c:v>
                </c:pt>
                <c:pt idx="7">
                  <c:v>0.118</c:v>
                </c:pt>
                <c:pt idx="8">
                  <c:v>0.132</c:v>
                </c:pt>
              </c:numCache>
            </c:numRef>
          </c:val>
        </c:ser>
        <c:ser>
          <c:idx val="1"/>
          <c:order val="1"/>
          <c:tx>
            <c:strRef>
              <c:f>Sheet1!$A$595</c:f>
              <c:strCache>
                <c:ptCount val="1"/>
                <c:pt idx="0">
                  <c:v>2016年</c:v>
                </c:pt>
              </c:strCache>
            </c:strRef>
          </c:tx>
          <c:spPr>
            <a:solidFill>
              <a:srgbClr val="ED7D31"/>
            </a:solidFill>
            <a:ln>
              <a:noFill/>
            </a:ln>
            <a:effectLst/>
          </c:spPr>
          <c:invertIfNegative val="false"/>
          <c:dLbls>
            <c:delete val="true"/>
          </c:dLbls>
          <c:cat>
            <c:strRef>
              <c:f>Sheet1!$B$593:$J$593</c:f>
              <c:strCache>
                <c:ptCount val="9"/>
                <c:pt idx="0">
                  <c:v>社区管理</c:v>
                </c:pt>
                <c:pt idx="1">
                  <c:v>文化服务</c:v>
                </c:pt>
                <c:pt idx="2">
                  <c:v>城市交通</c:v>
                </c:pt>
                <c:pt idx="3" c:formatCode="0.00%">
                  <c:v>公共安全</c:v>
                </c:pt>
                <c:pt idx="4" c:formatCode="0.00%">
                  <c:v>对特殊群体关爱</c:v>
                </c:pt>
                <c:pt idx="5" c:formatCode="0.00%">
                  <c:v>教育医疗服务</c:v>
                </c:pt>
                <c:pt idx="6">
                  <c:v>城市环境</c:v>
                </c:pt>
                <c:pt idx="7">
                  <c:v>住房条件</c:v>
                </c:pt>
                <c:pt idx="8">
                  <c:v>经济发展</c:v>
                </c:pt>
              </c:strCache>
            </c:strRef>
          </c:cat>
          <c:val>
            <c:numRef>
              <c:f>Sheet1!$B$595:$J$595</c:f>
              <c:numCache>
                <c:formatCode>0.00%</c:formatCode>
                <c:ptCount val="9"/>
                <c:pt idx="0">
                  <c:v>0.0251</c:v>
                </c:pt>
                <c:pt idx="1">
                  <c:v>0.051</c:v>
                </c:pt>
                <c:pt idx="2">
                  <c:v>0.1021</c:v>
                </c:pt>
                <c:pt idx="3">
                  <c:v>0.128</c:v>
                </c:pt>
                <c:pt idx="4">
                  <c:v>0.095</c:v>
                </c:pt>
                <c:pt idx="5">
                  <c:v>0.172</c:v>
                </c:pt>
                <c:pt idx="6">
                  <c:v>0.1938</c:v>
                </c:pt>
                <c:pt idx="7">
                  <c:v>0.113</c:v>
                </c:pt>
                <c:pt idx="8">
                  <c:v>0.12</c:v>
                </c:pt>
              </c:numCache>
            </c:numRef>
          </c:val>
        </c:ser>
        <c:ser>
          <c:idx val="2"/>
          <c:order val="2"/>
          <c:tx>
            <c:strRef>
              <c:f>Sheet1!$A$596</c:f>
              <c:strCache>
                <c:ptCount val="1"/>
                <c:pt idx="0">
                  <c:v>2017年</c:v>
                </c:pt>
              </c:strCache>
            </c:strRef>
          </c:tx>
          <c:spPr>
            <a:solidFill>
              <a:srgbClr val="A5A5A5"/>
            </a:solidFill>
            <a:ln>
              <a:noFill/>
            </a:ln>
            <a:effectLst/>
          </c:spPr>
          <c:invertIfNegative val="false"/>
          <c:dLbls>
            <c:delete val="true"/>
          </c:dLbls>
          <c:cat>
            <c:strRef>
              <c:f>Sheet1!$B$593:$J$593</c:f>
              <c:strCache>
                <c:ptCount val="9"/>
                <c:pt idx="0">
                  <c:v>社区管理</c:v>
                </c:pt>
                <c:pt idx="1">
                  <c:v>文化服务</c:v>
                </c:pt>
                <c:pt idx="2">
                  <c:v>城市交通</c:v>
                </c:pt>
                <c:pt idx="3" c:formatCode="0.00%">
                  <c:v>公共安全</c:v>
                </c:pt>
                <c:pt idx="4" c:formatCode="0.00%">
                  <c:v>对特殊群体关爱</c:v>
                </c:pt>
                <c:pt idx="5" c:formatCode="0.00%">
                  <c:v>教育医疗服务</c:v>
                </c:pt>
                <c:pt idx="6">
                  <c:v>城市环境</c:v>
                </c:pt>
                <c:pt idx="7">
                  <c:v>住房条件</c:v>
                </c:pt>
                <c:pt idx="8">
                  <c:v>经济发展</c:v>
                </c:pt>
              </c:strCache>
            </c:strRef>
          </c:cat>
          <c:val>
            <c:numRef>
              <c:f>Sheet1!$B$596:$J$596</c:f>
              <c:numCache>
                <c:formatCode>0.00%</c:formatCode>
                <c:ptCount val="9"/>
                <c:pt idx="0">
                  <c:v>0.0286</c:v>
                </c:pt>
                <c:pt idx="1">
                  <c:v>0.0573</c:v>
                </c:pt>
                <c:pt idx="2">
                  <c:v>0.1056</c:v>
                </c:pt>
                <c:pt idx="3">
                  <c:v>0.119</c:v>
                </c:pt>
                <c:pt idx="4">
                  <c:v>0.0794</c:v>
                </c:pt>
                <c:pt idx="5">
                  <c:v>0.1665</c:v>
                </c:pt>
                <c:pt idx="6">
                  <c:v>0.2171</c:v>
                </c:pt>
                <c:pt idx="7">
                  <c:v>0.1198</c:v>
                </c:pt>
                <c:pt idx="8">
                  <c:v>0.1067</c:v>
                </c:pt>
              </c:numCache>
            </c:numRef>
          </c:val>
        </c:ser>
        <c:ser>
          <c:idx val="3"/>
          <c:order val="3"/>
          <c:tx>
            <c:strRef>
              <c:f>Sheet1!$A$597</c:f>
              <c:strCache>
                <c:ptCount val="1"/>
                <c:pt idx="0">
                  <c:v>2018年</c:v>
                </c:pt>
              </c:strCache>
            </c:strRef>
          </c:tx>
          <c:spPr>
            <a:solidFill>
              <a:srgbClr val="FFC000"/>
            </a:solidFill>
            <a:ln>
              <a:noFill/>
            </a:ln>
            <a:effectLst/>
          </c:spPr>
          <c:invertIfNegative val="false"/>
          <c:dLbls>
            <c:delete val="true"/>
          </c:dLbls>
          <c:cat>
            <c:strRef>
              <c:f>Sheet1!$B$593:$J$593</c:f>
              <c:strCache>
                <c:ptCount val="9"/>
                <c:pt idx="0">
                  <c:v>社区管理</c:v>
                </c:pt>
                <c:pt idx="1">
                  <c:v>文化服务</c:v>
                </c:pt>
                <c:pt idx="2">
                  <c:v>城市交通</c:v>
                </c:pt>
                <c:pt idx="3" c:formatCode="0.00%">
                  <c:v>公共安全</c:v>
                </c:pt>
                <c:pt idx="4" c:formatCode="0.00%">
                  <c:v>对特殊群体关爱</c:v>
                </c:pt>
                <c:pt idx="5" c:formatCode="0.00%">
                  <c:v>教育医疗服务</c:v>
                </c:pt>
                <c:pt idx="6">
                  <c:v>城市环境</c:v>
                </c:pt>
                <c:pt idx="7">
                  <c:v>住房条件</c:v>
                </c:pt>
                <c:pt idx="8">
                  <c:v>经济发展</c:v>
                </c:pt>
              </c:strCache>
            </c:strRef>
          </c:cat>
          <c:val>
            <c:numRef>
              <c:f>Sheet1!$B$597:$J$597</c:f>
              <c:numCache>
                <c:formatCode>0.00%</c:formatCode>
                <c:ptCount val="9"/>
                <c:pt idx="0">
                  <c:v>0.0311</c:v>
                </c:pt>
                <c:pt idx="1">
                  <c:v>0.056</c:v>
                </c:pt>
                <c:pt idx="2">
                  <c:v>0.106</c:v>
                </c:pt>
                <c:pt idx="3">
                  <c:v>0.1178</c:v>
                </c:pt>
                <c:pt idx="4">
                  <c:v>0.0807</c:v>
                </c:pt>
                <c:pt idx="5">
                  <c:v>0.1728</c:v>
                </c:pt>
                <c:pt idx="6">
                  <c:v>0.1896</c:v>
                </c:pt>
                <c:pt idx="7">
                  <c:v>0.125</c:v>
                </c:pt>
                <c:pt idx="8">
                  <c:v>0.121</c:v>
                </c:pt>
              </c:numCache>
            </c:numRef>
          </c:val>
        </c:ser>
        <c:ser>
          <c:idx val="4"/>
          <c:order val="4"/>
          <c:tx>
            <c:strRef>
              <c:f>Sheet1!$A$598</c:f>
              <c:strCache>
                <c:ptCount val="1"/>
                <c:pt idx="0">
                  <c:v>2019年</c:v>
                </c:pt>
              </c:strCache>
            </c:strRef>
          </c:tx>
          <c:spPr>
            <a:solidFill>
              <a:srgbClr val="4472C4"/>
            </a:solidFill>
            <a:ln>
              <a:noFill/>
            </a:ln>
            <a:effectLst/>
          </c:spPr>
          <c:invertIfNegative val="false"/>
          <c:dLbls>
            <c:delete val="true"/>
          </c:dLbls>
          <c:cat>
            <c:strRef>
              <c:f>Sheet1!$B$593:$J$593</c:f>
              <c:strCache>
                <c:ptCount val="9"/>
                <c:pt idx="0">
                  <c:v>社区管理</c:v>
                </c:pt>
                <c:pt idx="1">
                  <c:v>文化服务</c:v>
                </c:pt>
                <c:pt idx="2">
                  <c:v>城市交通</c:v>
                </c:pt>
                <c:pt idx="3" c:formatCode="0.00%">
                  <c:v>公共安全</c:v>
                </c:pt>
                <c:pt idx="4" c:formatCode="0.00%">
                  <c:v>对特殊群体关爱</c:v>
                </c:pt>
                <c:pt idx="5" c:formatCode="0.00%">
                  <c:v>教育医疗服务</c:v>
                </c:pt>
                <c:pt idx="6">
                  <c:v>城市环境</c:v>
                </c:pt>
                <c:pt idx="7">
                  <c:v>住房条件</c:v>
                </c:pt>
                <c:pt idx="8">
                  <c:v>经济发展</c:v>
                </c:pt>
              </c:strCache>
            </c:strRef>
          </c:cat>
          <c:val>
            <c:numRef>
              <c:f>Sheet1!$B$598:$J$598</c:f>
              <c:numCache>
                <c:formatCode>0.00%</c:formatCode>
                <c:ptCount val="9"/>
                <c:pt idx="0">
                  <c:v>0.0202</c:v>
                </c:pt>
                <c:pt idx="1">
                  <c:v>0.0445</c:v>
                </c:pt>
                <c:pt idx="2">
                  <c:v>0.0924</c:v>
                </c:pt>
                <c:pt idx="3">
                  <c:v>0.1042</c:v>
                </c:pt>
                <c:pt idx="4">
                  <c:v>0.0762</c:v>
                </c:pt>
                <c:pt idx="5">
                  <c:v>0.1823</c:v>
                </c:pt>
                <c:pt idx="6">
                  <c:v>0.1987</c:v>
                </c:pt>
                <c:pt idx="7">
                  <c:v>0.1402</c:v>
                </c:pt>
                <c:pt idx="8">
                  <c:v>0.1413</c:v>
                </c:pt>
              </c:numCache>
            </c:numRef>
          </c:val>
        </c:ser>
        <c:ser>
          <c:idx val="5"/>
          <c:order val="5"/>
          <c:tx>
            <c:strRef>
              <c:f>Sheet1!$A$599</c:f>
              <c:strCache>
                <c:ptCount val="1"/>
                <c:pt idx="0">
                  <c:v>2020年</c:v>
                </c:pt>
              </c:strCache>
            </c:strRef>
          </c:tx>
          <c:spPr>
            <a:solidFill>
              <a:srgbClr val="70AD47"/>
            </a:solidFill>
            <a:ln>
              <a:noFill/>
            </a:ln>
            <a:effectLst/>
          </c:spPr>
          <c:invertIfNegative val="false"/>
          <c:dLbls>
            <c:delete val="true"/>
          </c:dLbls>
          <c:cat>
            <c:strRef>
              <c:f>Sheet1!$B$593:$J$593</c:f>
              <c:strCache>
                <c:ptCount val="9"/>
                <c:pt idx="0">
                  <c:v>社区管理</c:v>
                </c:pt>
                <c:pt idx="1">
                  <c:v>文化服务</c:v>
                </c:pt>
                <c:pt idx="2">
                  <c:v>城市交通</c:v>
                </c:pt>
                <c:pt idx="3" c:formatCode="0.00%">
                  <c:v>公共安全</c:v>
                </c:pt>
                <c:pt idx="4" c:formatCode="0.00%">
                  <c:v>对特殊群体关爱</c:v>
                </c:pt>
                <c:pt idx="5" c:formatCode="0.00%">
                  <c:v>教育医疗服务</c:v>
                </c:pt>
                <c:pt idx="6">
                  <c:v>城市环境</c:v>
                </c:pt>
                <c:pt idx="7">
                  <c:v>住房条件</c:v>
                </c:pt>
                <c:pt idx="8">
                  <c:v>经济发展</c:v>
                </c:pt>
              </c:strCache>
            </c:strRef>
          </c:cat>
          <c:val>
            <c:numRef>
              <c:f>Sheet1!$B$599:$J$599</c:f>
              <c:numCache>
                <c:formatCode>0.00%</c:formatCode>
                <c:ptCount val="9"/>
                <c:pt idx="0">
                  <c:v>0.0422791808016082</c:v>
                </c:pt>
                <c:pt idx="1">
                  <c:v>0.0299032541776605</c:v>
                </c:pt>
                <c:pt idx="2">
                  <c:v>0.129099133056917</c:v>
                </c:pt>
                <c:pt idx="3">
                  <c:v>0.101645935419022</c:v>
                </c:pt>
                <c:pt idx="4">
                  <c:v>0.0937303681367006</c:v>
                </c:pt>
                <c:pt idx="5">
                  <c:v>0.161138333961553</c:v>
                </c:pt>
                <c:pt idx="6">
                  <c:v>0.213783138585249</c:v>
                </c:pt>
                <c:pt idx="7">
                  <c:v>0.126020856891569</c:v>
                </c:pt>
                <c:pt idx="8">
                  <c:v>0.10239979896972</c:v>
                </c:pt>
              </c:numCache>
            </c:numRef>
          </c:val>
        </c:ser>
        <c:dLbls>
          <c:showLegendKey val="false"/>
          <c:showVal val="false"/>
          <c:showCatName val="false"/>
          <c:showSerName val="false"/>
          <c:showPercent val="false"/>
          <c:showBubbleSize val="false"/>
        </c:dLbls>
        <c:gapWidth val="219"/>
        <c:overlap val="-27"/>
        <c:axId val="142994625"/>
        <c:axId val="904232596"/>
      </c:barChart>
      <c:catAx>
        <c:axId val="142994625"/>
        <c:scaling>
          <c:orientation val="minMax"/>
        </c:scaling>
        <c:delete val="false"/>
        <c:axPos val="b"/>
        <c:majorTickMark val="none"/>
        <c:minorTickMark val="none"/>
        <c:tickLblPos val="nextTo"/>
        <c:spPr>
          <a:noFill/>
          <a:ln w="9525" cap="flat" cmpd="sng" algn="ctr">
            <a:solidFill>
              <a:sysClr val="windowText" lastClr="000000">
                <a:lumMod val="15000"/>
                <a:lumOff val="85000"/>
              </a:sysClr>
            </a:solidFill>
            <a:round/>
          </a:ln>
          <a:effectLst/>
        </c:spPr>
        <c:txPr>
          <a:bodyPr rot="0" spcFirstLastPara="0" vertOverflow="ellipsis" vert="eaVert" wrap="square" anchor="ctr" anchorCtr="true"/>
          <a:lstStyle/>
          <a:p>
            <a:pPr>
              <a:defRPr lang="zh-CN" sz="900" b="0" i="0" u="none" strike="noStrike" kern="1200" baseline="0">
                <a:solidFill>
                  <a:sysClr val="windowText" lastClr="000000">
                    <a:lumMod val="65000"/>
                    <a:lumOff val="35000"/>
                  </a:sysClr>
                </a:solidFill>
                <a:latin typeface="+mn-lt"/>
                <a:ea typeface="+mn-ea"/>
                <a:cs typeface="+mn-cs"/>
              </a:defRPr>
            </a:pPr>
          </a:p>
        </c:txPr>
        <c:crossAx val="904232596"/>
        <c:crosses val="autoZero"/>
        <c:auto val="true"/>
        <c:lblAlgn val="ctr"/>
        <c:lblOffset val="100"/>
        <c:noMultiLvlLbl val="false"/>
      </c:catAx>
      <c:valAx>
        <c:axId val="904232596"/>
        <c:scaling>
          <c:orientation val="minMax"/>
        </c:scaling>
        <c:delete val="false"/>
        <c:axPos val="l"/>
        <c:majorGridlines>
          <c:spPr>
            <a:ln w="9525" cap="flat" cmpd="sng" algn="ctr">
              <a:solidFill>
                <a:sysClr val="windowText" lastClr="000000">
                  <a:lumMod val="15000"/>
                  <a:lumOff val="85000"/>
                </a:sysClr>
              </a:solidFill>
              <a:round/>
            </a:ln>
            <a:effectLst/>
          </c:spPr>
        </c:majorGridlines>
        <c:numFmt formatCode="0.00%" sourceLinked="true"/>
        <c:majorTickMark val="none"/>
        <c:minorTickMark val="none"/>
        <c:tickLblPos val="nextTo"/>
        <c:spPr>
          <a:noFill/>
          <a:ln>
            <a:noFill/>
          </a:ln>
          <a:effectLst/>
        </c:spPr>
        <c:txPr>
          <a:bodyPr rot="-60000000" spcFirstLastPara="0" vertOverflow="ellipsis" vert="horz" wrap="square" anchor="ctr" anchorCtr="true"/>
          <a:lstStyle/>
          <a:p>
            <a:pPr>
              <a:defRPr lang="zh-CN" sz="900" b="0" i="0" u="none" strike="noStrike" kern="1200" baseline="0">
                <a:solidFill>
                  <a:sysClr val="windowText" lastClr="000000">
                    <a:lumMod val="65000"/>
                    <a:lumOff val="35000"/>
                  </a:sysClr>
                </a:solidFill>
                <a:latin typeface="+mn-lt"/>
                <a:ea typeface="+mn-ea"/>
                <a:cs typeface="+mn-cs"/>
              </a:defRPr>
            </a:pPr>
          </a:p>
        </c:txPr>
        <c:crossAx val="142994625"/>
        <c:crosses val="autoZero"/>
        <c:crossBetween val="between"/>
      </c:valAx>
      <c:spPr>
        <a:noFill/>
        <a:ln>
          <a:noFill/>
        </a:ln>
        <a:effectLst/>
      </c:spPr>
    </c:plotArea>
    <c:legend>
      <c:legendPos val="b"/>
      <c:layout/>
      <c:overlay val="false"/>
      <c:spPr>
        <a:noFill/>
        <a:ln>
          <a:noFill/>
        </a:ln>
        <a:effectLst/>
      </c:spPr>
      <c:txPr>
        <a:bodyPr rot="0" spcFirstLastPara="0" vertOverflow="ellipsis" vert="horz" wrap="square" anchor="ctr" anchorCtr="true"/>
        <a:lstStyle/>
        <a:p>
          <a:pPr>
            <a:defRPr lang="zh-CN" sz="900" b="0" i="0" u="none" strike="noStrike" kern="1200" baseline="0">
              <a:solidFill>
                <a:sysClr val="windowText" lastClr="000000">
                  <a:lumMod val="65000"/>
                  <a:lumOff val="35000"/>
                </a:sysClr>
              </a:solidFill>
              <a:latin typeface="+mn-lt"/>
              <a:ea typeface="+mn-ea"/>
              <a:cs typeface="+mn-cs"/>
            </a:defRPr>
          </a:pPr>
        </a:p>
      </c:txPr>
    </c:legend>
    <c:plotVisOnly val="true"/>
    <c:dispBlanksAs val="gap"/>
    <c:showDLblsOverMax val="false"/>
  </c:chart>
  <c:spPr>
    <a:solidFill>
      <a:sysClr val="window" lastClr="FFFFFF"/>
    </a:solidFill>
    <a:ln w="9525" cap="flat" cmpd="sng" algn="ctr">
      <a:solidFill>
        <a:sysClr val="windowText" lastClr="000000">
          <a:lumMod val="15000"/>
          <a:lumOff val="85000"/>
        </a:sysClr>
      </a:solidFill>
      <a:round/>
    </a:ln>
    <a:effectLst/>
  </c:spPr>
  <c:txPr>
    <a:bodyPr/>
    <a:lstStyle/>
    <a:p>
      <a:pPr>
        <a:defRPr lang="zh-CN"/>
      </a:pPr>
    </a:p>
  </c:txPr>
  <c:externalData r:id="rId1">
    <c:autoUpdate val="false"/>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ysClr val="windowText" lastClr="000000">
        <a:lumMod val="65000"/>
        <a:lumOff val="35000"/>
      </a:sysClr>
    </cs:fontRef>
    <cs:defRPr sz="1000" kern="1200"/>
  </cs:axisTitle>
  <cs:categoryAxis>
    <cs:lnRef idx="0"/>
    <cs:fillRef idx="0"/>
    <cs:effectRef idx="0"/>
    <cs:fontRef idx="minor">
      <a:sysClr val="windowText" lastClr="000000">
        <a:lumMod val="65000"/>
        <a:lumOff val="35000"/>
      </a:sysClr>
    </cs:fontRef>
    <cs:spPr>
      <a:ln w="9525" cap="flat" cmpd="sng" algn="ctr">
        <a:solidFill>
          <a:sysClr val="windowText" lastClr="000000">
            <a:lumMod val="15000"/>
            <a:lumOff val="85000"/>
          </a:sysClr>
        </a:solidFill>
        <a:round/>
      </a:ln>
    </cs:spPr>
    <cs:defRPr sz="900" kern="1200"/>
  </cs:categoryAxis>
  <cs:chartArea mods="allowNoFillOverride allowNoLineOverride">
    <cs:lnRef idx="0"/>
    <cs:fillRef idx="0"/>
    <cs:effectRef idx="0"/>
    <cs:fontRef idx="minor">
      <a:sysClr val="windowText" lastClr="000000"/>
    </cs:fontRef>
    <cs:spPr>
      <a:solidFill>
        <a:sysClr val="window" lastClr="FFFFFF"/>
      </a:solidFill>
      <a:ln w="9525" cap="flat" cmpd="sng" algn="ctr">
        <a:solidFill>
          <a:sysClr val="windowText" lastClr="000000">
            <a:lumMod val="15000"/>
            <a:lumOff val="85000"/>
          </a:sysClr>
        </a:solidFill>
        <a:round/>
      </a:ln>
    </cs:spPr>
    <cs:defRPr sz="900" kern="1200"/>
  </cs:chartArea>
  <cs:dataLabel>
    <cs:lnRef idx="0"/>
    <cs:fillRef idx="0"/>
    <cs:effectRef idx="0"/>
    <cs:fontRef idx="minor">
      <a:sysClr val="windowText" lastClr="000000">
        <a:lumMod val="75000"/>
        <a:lumOff val="25000"/>
      </a:sysClr>
    </cs:fontRef>
    <cs:defRPr sz="900" kern="1200"/>
  </cs:dataLabel>
  <cs:dataLabelCallout>
    <cs:lnRef idx="0"/>
    <cs:fillRef idx="0"/>
    <cs:effectRef idx="0"/>
    <cs:fontRef idx="minor">
      <a:sysClr val="windowText" lastClr="000000">
        <a:lumMod val="65000"/>
        <a:lumOff val="35000"/>
      </a:sysClr>
    </cs:fontRef>
    <cs:spPr>
      <a:solidFill>
        <a:sysClr val="window" lastClr="FFFFFF"/>
      </a:solidFill>
      <a:ln>
        <a:solidFill>
          <a:sysClr val="windowText" lastClr="000000">
            <a:lumMod val="25000"/>
            <a:lumOff val="75000"/>
          </a:sysClr>
        </a:solidFill>
      </a:ln>
    </cs:spPr>
    <cs:defRPr sz="900" kern="1200"/>
    <cs:bodyPr rot="0" spcFirstLastPara="1" vertOverflow="clip" horzOverflow="clip" vert="horz" wrap="square" lIns="36576" tIns="18288" rIns="36576" bIns="18288" anchor="ctr" anchorCtr="true">
      <a:spAutoFit/>
    </cs:bodyPr>
  </cs:dataLabelCallout>
  <cs:dataPoint>
    <cs:lnRef idx="0"/>
    <cs:fillRef idx="1">
      <cs:styleClr val="auto"/>
    </cs:fillRef>
    <cs:effectRef idx="0"/>
    <cs:fontRef idx="minor">
      <a:sysClr val="windowText" lastClr="000000"/>
    </cs:fontRef>
    <cs:spPr>
      <a:ln w="19050">
        <a:solidFill>
          <a:sysClr val="window" lastClr="FFFFFF"/>
        </a:solidFill>
      </a:ln>
    </cs:spPr>
  </cs:dataPoint>
  <cs:dataPoint3D>
    <cs:lnRef idx="0"/>
    <cs:fillRef idx="1">
      <cs:styleClr val="auto"/>
    </cs:fillRef>
    <cs:effectRef idx="0"/>
    <cs:fontRef idx="minor">
      <a:sysClr val="windowText" lastClr="000000"/>
    </cs:fontRef>
    <cs:spPr>
      <a:ln w="25400">
        <a:solidFill>
          <a:sysClr val="window" lastClr="FFFFFF"/>
        </a:solidFill>
      </a:ln>
    </cs:spPr>
  </cs:dataPoint3D>
  <cs:dataPointLine>
    <cs:lnRef idx="0">
      <cs:styleClr val="auto"/>
    </cs:lnRef>
    <cs:fillRef idx="0"/>
    <cs:effectRef idx="0"/>
    <cs:fontRef idx="minor">
      <a:sysClr val="windowText" lastClr="000000"/>
    </cs:fontRef>
    <cs:spPr>
      <a:ln w="28575" cap="rnd">
        <a:solidFill>
          <a:schemeClr val="phClr"/>
        </a:solidFill>
        <a:round/>
      </a:ln>
    </cs:spPr>
  </cs:dataPointLine>
  <cs:dataPointMarker>
    <cs:lnRef idx="0">
      <cs:styleClr val="auto"/>
    </cs:lnRef>
    <cs:fillRef idx="1">
      <cs:styleClr val="auto"/>
    </cs:fillRef>
    <cs:effectRef idx="0"/>
    <cs:fontRef idx="minor">
      <a:sysClr val="windowText" lastClr="000000"/>
    </cs:fontRef>
    <cs:spPr>
      <a:ln w="9525">
        <a:solidFill>
          <a:schemeClr val="phClr"/>
        </a:solidFill>
      </a:ln>
    </cs:spPr>
  </cs:dataPointMarker>
  <cs:dataPointMarkerLayout symbol="circle" size="5"/>
  <cs:dataPointWireframe>
    <cs:lnRef idx="0">
      <cs:styleClr val="auto"/>
    </cs:lnRef>
    <cs:fillRef idx="0"/>
    <cs:effectRef idx="0"/>
    <cs:fontRef idx="minor">
      <a:sysClr val="windowText" lastClr="000000"/>
    </cs:fontRef>
    <cs:spPr>
      <a:ln w="9525" cap="rnd">
        <a:solidFill>
          <a:schemeClr val="phClr"/>
        </a:solidFill>
        <a:round/>
      </a:ln>
    </cs:spPr>
  </cs:dataPointWireframe>
  <cs:dataTable>
    <cs:lnRef idx="0"/>
    <cs:fillRef idx="0"/>
    <cs:effectRef idx="0"/>
    <cs:fontRef idx="minor">
      <a:sysClr val="windowText" lastClr="000000">
        <a:lumMod val="65000"/>
        <a:lumOff val="35000"/>
      </a:sysClr>
    </cs:fontRef>
    <cs:spPr>
      <a:noFill/>
      <a:ln w="9525" cap="flat" cmpd="sng" algn="ctr">
        <a:solidFill>
          <a:sysClr val="windowText" lastClr="000000">
            <a:lumMod val="15000"/>
            <a:lumOff val="85000"/>
          </a:sysClr>
        </a:solidFill>
        <a:round/>
      </a:ln>
    </cs:spPr>
    <cs:defRPr sz="900" kern="1200"/>
  </cs:dataTable>
  <cs:downBar>
    <cs:lnRef idx="0"/>
    <cs:fillRef idx="0"/>
    <cs:effectRef idx="0"/>
    <cs:fontRef idx="minor">
      <a:sysClr val="windowText" lastClr="000000"/>
    </cs:fontRef>
    <cs:spPr>
      <a:solidFill>
        <a:sysClr val="windowText" lastClr="000000">
          <a:lumMod val="75000"/>
          <a:lumOff val="25000"/>
        </a:sysClr>
      </a:solidFill>
      <a:ln w="9525" cap="flat" cmpd="sng" algn="ctr">
        <a:solidFill>
          <a:sysClr val="windowText" lastClr="000000">
            <a:lumMod val="65000"/>
            <a:lumOff val="35000"/>
          </a:sysClr>
        </a:solidFill>
        <a:round/>
      </a:ln>
    </cs:spPr>
  </cs:downBar>
  <cs:dropLine>
    <cs:lnRef idx="0"/>
    <cs:fillRef idx="0"/>
    <cs:effectRef idx="0"/>
    <cs:fontRef idx="minor">
      <a:sysClr val="windowText" lastClr="000000"/>
    </cs:fontRef>
    <cs:spPr>
      <a:ln w="9525" cap="flat" cmpd="sng" algn="ctr">
        <a:solidFill>
          <a:sysClr val="windowText" lastClr="000000">
            <a:lumMod val="35000"/>
            <a:lumOff val="65000"/>
          </a:sysClr>
        </a:solidFill>
        <a:round/>
      </a:ln>
    </cs:spPr>
  </cs:dropLine>
  <cs:errorBar>
    <cs:lnRef idx="0"/>
    <cs:fillRef idx="0"/>
    <cs:effectRef idx="0"/>
    <cs:fontRef idx="minor">
      <a:sysClr val="windowText" lastClr="000000"/>
    </cs:fontRef>
    <cs:spPr>
      <a:ln w="9525" cap="flat" cmpd="sng" algn="ctr">
        <a:solidFill>
          <a:sysClr val="windowText" lastClr="000000">
            <a:lumMod val="65000"/>
            <a:lumOff val="35000"/>
          </a:sysClr>
        </a:solidFill>
        <a:round/>
      </a:ln>
    </cs:spPr>
  </cs:errorBar>
  <cs:floor>
    <cs:lnRef idx="0"/>
    <cs:fillRef idx="0"/>
    <cs:effectRef idx="0"/>
    <cs:fontRef idx="minor">
      <a:sysClr val="windowText" lastClr="000000"/>
    </cs:fontRef>
    <cs:spPr>
      <a:noFill/>
      <a:ln>
        <a:noFill/>
      </a:ln>
    </cs:spPr>
  </cs:floor>
  <cs:gridlineMajor>
    <cs:lnRef idx="0"/>
    <cs:fillRef idx="0"/>
    <cs:effectRef idx="0"/>
    <cs:fontRef idx="minor">
      <a:sysClr val="windowText" lastClr="000000"/>
    </cs:fontRef>
    <cs:spPr>
      <a:ln w="9525" cap="flat" cmpd="sng" algn="ctr">
        <a:solidFill>
          <a:sysClr val="windowText" lastClr="000000">
            <a:lumMod val="15000"/>
            <a:lumOff val="85000"/>
          </a:sysClr>
        </a:solidFill>
        <a:round/>
      </a:ln>
    </cs:spPr>
  </cs:gridlineMajor>
  <cs:gridlineMinor>
    <cs:lnRef idx="0"/>
    <cs:fillRef idx="0"/>
    <cs:effectRef idx="0"/>
    <cs:fontRef idx="minor">
      <a:sysClr val="windowText" lastClr="000000"/>
    </cs:fontRef>
    <cs:spPr>
      <a:ln w="9525" cap="flat" cmpd="sng" algn="ctr">
        <a:solidFill>
          <a:sysClr val="windowText" lastClr="000000">
            <a:lumMod val="5000"/>
            <a:lumOff val="95000"/>
          </a:sysClr>
        </a:solidFill>
        <a:round/>
      </a:ln>
    </cs:spPr>
  </cs:gridlineMinor>
  <cs:hiLoLine>
    <cs:lnRef idx="0"/>
    <cs:fillRef idx="0"/>
    <cs:effectRef idx="0"/>
    <cs:fontRef idx="minor">
      <a:sysClr val="windowText" lastClr="000000"/>
    </cs:fontRef>
    <cs:spPr>
      <a:ln w="9525" cap="flat" cmpd="sng" algn="ctr">
        <a:solidFill>
          <a:sysClr val="windowText" lastClr="000000">
            <a:lumMod val="50000"/>
            <a:lumOff val="50000"/>
          </a:sysClr>
        </a:solidFill>
        <a:round/>
      </a:ln>
    </cs:spPr>
  </cs:hiLoLine>
  <cs:leaderLine>
    <cs:lnRef idx="0"/>
    <cs:fillRef idx="0"/>
    <cs:effectRef idx="0"/>
    <cs:fontRef idx="minor">
      <a:sysClr val="windowText" lastClr="000000"/>
    </cs:fontRef>
    <cs:spPr>
      <a:ln w="9525" cap="flat" cmpd="sng" algn="ctr">
        <a:solidFill>
          <a:sysClr val="windowText" lastClr="000000">
            <a:lumMod val="35000"/>
            <a:lumOff val="65000"/>
          </a:sysClr>
        </a:solidFill>
        <a:round/>
      </a:ln>
    </cs:spPr>
  </cs:leaderLine>
  <cs:legend>
    <cs:lnRef idx="0"/>
    <cs:fillRef idx="0"/>
    <cs:effectRef idx="0"/>
    <cs:fontRef idx="minor">
      <a:sysClr val="windowText" lastClr="000000">
        <a:lumMod val="65000"/>
        <a:lumOff val="35000"/>
      </a:sysClr>
    </cs:fontRef>
    <cs:defRPr sz="900" kern="1200"/>
  </cs:legend>
  <cs:plotArea mods="allowNoFillOverride allowNoLineOverride">
    <cs:lnRef idx="0"/>
    <cs:fillRef idx="0"/>
    <cs:effectRef idx="0"/>
    <cs:fontRef idx="minor">
      <a:sysClr val="windowText" lastClr="000000"/>
    </cs:fontRef>
  </cs:plotArea>
  <cs:plotArea3D mods="allowNoFillOverride allowNoLineOverride">
    <cs:lnRef idx="0"/>
    <cs:fillRef idx="0"/>
    <cs:effectRef idx="0"/>
    <cs:fontRef idx="minor">
      <a:sysClr val="windowText" lastClr="000000"/>
    </cs:fontRef>
  </cs:plotArea3D>
  <cs:seriesAxis>
    <cs:lnRef idx="0"/>
    <cs:fillRef idx="0"/>
    <cs:effectRef idx="0"/>
    <cs:fontRef idx="minor">
      <a:sysClr val="windowText" lastClr="000000">
        <a:lumMod val="65000"/>
        <a:lumOff val="35000"/>
      </a:sysClr>
    </cs:fontRef>
    <cs:defRPr sz="900" kern="1200"/>
  </cs:seriesAxis>
  <cs:seriesLine>
    <cs:lnRef idx="0"/>
    <cs:fillRef idx="0"/>
    <cs:effectRef idx="0"/>
    <cs:fontRef idx="minor">
      <a:sysClr val="windowText" lastClr="000000"/>
    </cs:fontRef>
    <cs:spPr>
      <a:ln w="9525" cap="flat" cmpd="sng" algn="ctr">
        <a:solidFill>
          <a:sysClr val="windowText" lastClr="000000">
            <a:lumMod val="35000"/>
            <a:lumOff val="65000"/>
          </a:sysClr>
        </a:solidFill>
        <a:round/>
      </a:ln>
    </cs:spPr>
  </cs:seriesLine>
  <cs:title>
    <cs:lnRef idx="0"/>
    <cs:fillRef idx="0"/>
    <cs:effectRef idx="0"/>
    <cs:fontRef idx="minor">
      <a:sysClr val="windowText" lastClr="000000">
        <a:lumMod val="65000"/>
        <a:lumOff val="35000"/>
      </a:sysClr>
    </cs:fontRef>
    <cs:defRPr sz="1400" b="0" kern="1200" spc="0" baseline="0"/>
  </cs:title>
  <cs:trendline>
    <cs:lnRef idx="0">
      <cs:styleClr val="auto"/>
    </cs:lnRef>
    <cs:fillRef idx="0"/>
    <cs:effectRef idx="0"/>
    <cs:fontRef idx="minor">
      <a:sysClr val="windowText" lastClr="000000"/>
    </cs:fontRef>
    <cs:spPr>
      <a:ln w="19050" cap="rnd">
        <a:solidFill>
          <a:schemeClr val="phClr"/>
        </a:solidFill>
        <a:prstDash val="sysDot"/>
      </a:ln>
    </cs:spPr>
  </cs:trendline>
  <cs:trendlineLabel>
    <cs:lnRef idx="0"/>
    <cs:fillRef idx="0"/>
    <cs:effectRef idx="0"/>
    <cs:fontRef idx="minor">
      <a:sysClr val="windowText" lastClr="000000">
        <a:lumMod val="65000"/>
        <a:lumOff val="35000"/>
      </a:sysClr>
    </cs:fontRef>
    <cs:defRPr sz="900" kern="1200"/>
  </cs:trendlineLabel>
  <cs:upBar>
    <cs:lnRef idx="0"/>
    <cs:fillRef idx="0"/>
    <cs:effectRef idx="0"/>
    <cs:fontRef idx="minor">
      <a:sysClr val="windowText" lastClr="000000"/>
    </cs:fontRef>
    <cs:spPr>
      <a:solidFill>
        <a:sysClr val="window" lastClr="FFFFFF"/>
      </a:solidFill>
      <a:ln w="9525" cap="flat" cmpd="sng" algn="ctr">
        <a:solidFill>
          <a:sysClr val="windowText" lastClr="000000">
            <a:lumMod val="65000"/>
            <a:lumOff val="35000"/>
          </a:sysClr>
        </a:solidFill>
        <a:round/>
      </a:ln>
    </cs:spPr>
  </cs:upBar>
  <cs:valueAxis>
    <cs:lnRef idx="0"/>
    <cs:fillRef idx="0"/>
    <cs:effectRef idx="0"/>
    <cs:fontRef idx="minor">
      <a:sysClr val="windowText" lastClr="000000">
        <a:lumMod val="65000"/>
        <a:lumOff val="35000"/>
      </a:sysClr>
    </cs:fontRef>
    <cs:defRPr sz="900" kern="1200"/>
  </cs:valueAxis>
  <cs:wall>
    <cs:lnRef idx="0"/>
    <cs:fillRef idx="0"/>
    <cs:effectRef idx="0"/>
    <cs:fontRef idx="minor">
      <a:sysClr val="windowText" lastClr="000000"/>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ysClr val="windowText" lastClr="000000">
        <a:lumMod val="65000"/>
        <a:lumOff val="35000"/>
      </a:sysClr>
    </cs:fontRef>
    <cs:defRPr sz="1000" kern="1200"/>
  </cs:axisTitle>
  <cs:categoryAxis>
    <cs:lnRef idx="0"/>
    <cs:fillRef idx="0"/>
    <cs:effectRef idx="0"/>
    <cs:fontRef idx="minor">
      <a:sysClr val="windowText" lastClr="000000">
        <a:lumMod val="65000"/>
        <a:lumOff val="35000"/>
      </a:sysClr>
    </cs:fontRef>
    <cs:spPr>
      <a:ln w="9525" cap="flat" cmpd="sng" algn="ctr">
        <a:solidFill>
          <a:sysClr val="windowText" lastClr="000000">
            <a:lumMod val="15000"/>
            <a:lumOff val="85000"/>
          </a:sysClr>
        </a:solidFill>
        <a:round/>
      </a:ln>
    </cs:spPr>
    <cs:defRPr sz="900" kern="1200"/>
  </cs:categoryAxis>
  <cs:chartArea mods="allowNoFillOverride allowNoLineOverride">
    <cs:lnRef idx="0"/>
    <cs:fillRef idx="0"/>
    <cs:effectRef idx="0"/>
    <cs:fontRef idx="minor">
      <a:sysClr val="windowText" lastClr="000000"/>
    </cs:fontRef>
    <cs:spPr>
      <a:solidFill>
        <a:sysClr val="window" lastClr="FFFFFF"/>
      </a:solidFill>
      <a:ln w="9525" cap="flat" cmpd="sng" algn="ctr">
        <a:solidFill>
          <a:sysClr val="windowText" lastClr="000000">
            <a:lumMod val="15000"/>
            <a:lumOff val="85000"/>
          </a:sysClr>
        </a:solidFill>
        <a:round/>
      </a:ln>
    </cs:spPr>
    <cs:defRPr sz="900" kern="1200"/>
  </cs:chartArea>
  <cs:dataLabel>
    <cs:lnRef idx="0"/>
    <cs:fillRef idx="0"/>
    <cs:effectRef idx="0"/>
    <cs:fontRef idx="minor">
      <a:sysClr val="windowText" lastClr="000000">
        <a:lumMod val="75000"/>
        <a:lumOff val="25000"/>
      </a:sysClr>
    </cs:fontRef>
    <cs:defRPr sz="900" kern="1200"/>
  </cs:dataLabel>
  <cs:dataLabelCallout>
    <cs:lnRef idx="0"/>
    <cs:fillRef idx="0"/>
    <cs:effectRef idx="0"/>
    <cs:fontRef idx="minor">
      <a:sysClr val="windowText" lastClr="000000">
        <a:lumMod val="65000"/>
        <a:lumOff val="35000"/>
      </a:sysClr>
    </cs:fontRef>
    <cs:spPr>
      <a:solidFill>
        <a:sysClr val="window" lastClr="FFFFFF"/>
      </a:solidFill>
      <a:ln>
        <a:solidFill>
          <a:sysClr val="windowText" lastClr="000000">
            <a:lumMod val="25000"/>
            <a:lumOff val="75000"/>
          </a:sysClr>
        </a:solidFill>
      </a:ln>
    </cs:spPr>
    <cs:defRPr sz="900" kern="1200"/>
    <cs:bodyPr rot="0" spcFirstLastPara="1" vertOverflow="clip" horzOverflow="clip" vert="horz" wrap="square" lIns="36576" tIns="18288" rIns="36576" bIns="18288" anchor="ctr" anchorCtr="true">
      <a:spAutoFit/>
    </cs:bodyPr>
  </cs:dataLabelCallout>
  <cs:dataPoint>
    <cs:lnRef idx="0"/>
    <cs:fillRef idx="1">
      <cs:styleClr val="auto"/>
    </cs:fillRef>
    <cs:effectRef idx="0"/>
    <cs:fontRef idx="minor">
      <a:sysClr val="windowText" lastClr="000000"/>
    </cs:fontRef>
    <cs:spPr>
      <a:ln w="19050">
        <a:solidFill>
          <a:sysClr val="window" lastClr="FFFFFF"/>
        </a:solidFill>
      </a:ln>
    </cs:spPr>
  </cs:dataPoint>
  <cs:dataPoint3D>
    <cs:lnRef idx="0"/>
    <cs:fillRef idx="1">
      <cs:styleClr val="auto"/>
    </cs:fillRef>
    <cs:effectRef idx="0"/>
    <cs:fontRef idx="minor">
      <a:sysClr val="windowText" lastClr="000000"/>
    </cs:fontRef>
    <cs:spPr>
      <a:ln w="25400">
        <a:solidFill>
          <a:sysClr val="window" lastClr="FFFFFF"/>
        </a:solidFill>
      </a:ln>
    </cs:spPr>
  </cs:dataPoint3D>
  <cs:dataPointLine>
    <cs:lnRef idx="0">
      <cs:styleClr val="auto"/>
    </cs:lnRef>
    <cs:fillRef idx="0"/>
    <cs:effectRef idx="0"/>
    <cs:fontRef idx="minor">
      <a:sysClr val="windowText" lastClr="000000"/>
    </cs:fontRef>
    <cs:spPr>
      <a:ln w="28575" cap="rnd">
        <a:solidFill>
          <a:schemeClr val="phClr"/>
        </a:solidFill>
        <a:round/>
      </a:ln>
    </cs:spPr>
  </cs:dataPointLine>
  <cs:dataPointMarker>
    <cs:lnRef idx="0">
      <cs:styleClr val="auto"/>
    </cs:lnRef>
    <cs:fillRef idx="1">
      <cs:styleClr val="auto"/>
    </cs:fillRef>
    <cs:effectRef idx="0"/>
    <cs:fontRef idx="minor">
      <a:sysClr val="windowText" lastClr="000000"/>
    </cs:fontRef>
    <cs:spPr>
      <a:ln w="9525">
        <a:solidFill>
          <a:schemeClr val="phClr"/>
        </a:solidFill>
      </a:ln>
    </cs:spPr>
  </cs:dataPointMarker>
  <cs:dataPointMarkerLayout symbol="circle" size="5"/>
  <cs:dataPointWireframe>
    <cs:lnRef idx="0">
      <cs:styleClr val="auto"/>
    </cs:lnRef>
    <cs:fillRef idx="0"/>
    <cs:effectRef idx="0"/>
    <cs:fontRef idx="minor">
      <a:sysClr val="windowText" lastClr="000000"/>
    </cs:fontRef>
    <cs:spPr>
      <a:ln w="9525" cap="rnd">
        <a:solidFill>
          <a:schemeClr val="phClr"/>
        </a:solidFill>
        <a:round/>
      </a:ln>
    </cs:spPr>
  </cs:dataPointWireframe>
  <cs:dataTable>
    <cs:lnRef idx="0"/>
    <cs:fillRef idx="0"/>
    <cs:effectRef idx="0"/>
    <cs:fontRef idx="minor">
      <a:sysClr val="windowText" lastClr="000000">
        <a:lumMod val="65000"/>
        <a:lumOff val="35000"/>
      </a:sysClr>
    </cs:fontRef>
    <cs:spPr>
      <a:noFill/>
      <a:ln w="9525" cap="flat" cmpd="sng" algn="ctr">
        <a:solidFill>
          <a:sysClr val="windowText" lastClr="000000">
            <a:lumMod val="15000"/>
            <a:lumOff val="85000"/>
          </a:sysClr>
        </a:solidFill>
        <a:round/>
      </a:ln>
    </cs:spPr>
    <cs:defRPr sz="900" kern="1200"/>
  </cs:dataTable>
  <cs:downBar>
    <cs:lnRef idx="0"/>
    <cs:fillRef idx="0"/>
    <cs:effectRef idx="0"/>
    <cs:fontRef idx="minor">
      <a:sysClr val="windowText" lastClr="000000"/>
    </cs:fontRef>
    <cs:spPr>
      <a:solidFill>
        <a:sysClr val="windowText" lastClr="000000">
          <a:lumMod val="75000"/>
          <a:lumOff val="25000"/>
        </a:sysClr>
      </a:solidFill>
      <a:ln w="9525" cap="flat" cmpd="sng" algn="ctr">
        <a:solidFill>
          <a:sysClr val="windowText" lastClr="000000">
            <a:lumMod val="65000"/>
            <a:lumOff val="35000"/>
          </a:sysClr>
        </a:solidFill>
        <a:round/>
      </a:ln>
    </cs:spPr>
  </cs:downBar>
  <cs:dropLine>
    <cs:lnRef idx="0"/>
    <cs:fillRef idx="0"/>
    <cs:effectRef idx="0"/>
    <cs:fontRef idx="minor">
      <a:sysClr val="windowText" lastClr="000000"/>
    </cs:fontRef>
    <cs:spPr>
      <a:ln w="9525" cap="flat" cmpd="sng" algn="ctr">
        <a:solidFill>
          <a:sysClr val="windowText" lastClr="000000">
            <a:lumMod val="35000"/>
            <a:lumOff val="65000"/>
          </a:sysClr>
        </a:solidFill>
        <a:round/>
      </a:ln>
    </cs:spPr>
  </cs:dropLine>
  <cs:errorBar>
    <cs:lnRef idx="0"/>
    <cs:fillRef idx="0"/>
    <cs:effectRef idx="0"/>
    <cs:fontRef idx="minor">
      <a:sysClr val="windowText" lastClr="000000"/>
    </cs:fontRef>
    <cs:spPr>
      <a:ln w="9525" cap="flat" cmpd="sng" algn="ctr">
        <a:solidFill>
          <a:sysClr val="windowText" lastClr="000000">
            <a:lumMod val="65000"/>
            <a:lumOff val="35000"/>
          </a:sysClr>
        </a:solidFill>
        <a:round/>
      </a:ln>
    </cs:spPr>
  </cs:errorBar>
  <cs:floor>
    <cs:lnRef idx="0"/>
    <cs:fillRef idx="0"/>
    <cs:effectRef idx="0"/>
    <cs:fontRef idx="minor">
      <a:sysClr val="windowText" lastClr="000000"/>
    </cs:fontRef>
    <cs:spPr>
      <a:noFill/>
      <a:ln>
        <a:noFill/>
      </a:ln>
    </cs:spPr>
  </cs:floor>
  <cs:gridlineMajor>
    <cs:lnRef idx="0"/>
    <cs:fillRef idx="0"/>
    <cs:effectRef idx="0"/>
    <cs:fontRef idx="minor">
      <a:sysClr val="windowText" lastClr="000000"/>
    </cs:fontRef>
    <cs:spPr>
      <a:ln w="9525" cap="flat" cmpd="sng" algn="ctr">
        <a:solidFill>
          <a:sysClr val="windowText" lastClr="000000">
            <a:lumMod val="15000"/>
            <a:lumOff val="85000"/>
          </a:sysClr>
        </a:solidFill>
        <a:round/>
      </a:ln>
    </cs:spPr>
  </cs:gridlineMajor>
  <cs:gridlineMinor>
    <cs:lnRef idx="0"/>
    <cs:fillRef idx="0"/>
    <cs:effectRef idx="0"/>
    <cs:fontRef idx="minor">
      <a:sysClr val="windowText" lastClr="000000"/>
    </cs:fontRef>
    <cs:spPr>
      <a:ln w="9525" cap="flat" cmpd="sng" algn="ctr">
        <a:solidFill>
          <a:sysClr val="windowText" lastClr="000000">
            <a:lumMod val="5000"/>
            <a:lumOff val="95000"/>
          </a:sysClr>
        </a:solidFill>
        <a:round/>
      </a:ln>
    </cs:spPr>
  </cs:gridlineMinor>
  <cs:hiLoLine>
    <cs:lnRef idx="0"/>
    <cs:fillRef idx="0"/>
    <cs:effectRef idx="0"/>
    <cs:fontRef idx="minor">
      <a:sysClr val="windowText" lastClr="000000"/>
    </cs:fontRef>
    <cs:spPr>
      <a:ln w="9525" cap="flat" cmpd="sng" algn="ctr">
        <a:solidFill>
          <a:sysClr val="windowText" lastClr="000000">
            <a:lumMod val="50000"/>
            <a:lumOff val="50000"/>
          </a:sysClr>
        </a:solidFill>
        <a:round/>
      </a:ln>
    </cs:spPr>
  </cs:hiLoLine>
  <cs:leaderLine>
    <cs:lnRef idx="0"/>
    <cs:fillRef idx="0"/>
    <cs:effectRef idx="0"/>
    <cs:fontRef idx="minor">
      <a:sysClr val="windowText" lastClr="000000"/>
    </cs:fontRef>
    <cs:spPr>
      <a:ln w="9525" cap="flat" cmpd="sng" algn="ctr">
        <a:solidFill>
          <a:sysClr val="windowText" lastClr="000000">
            <a:lumMod val="35000"/>
            <a:lumOff val="65000"/>
          </a:sysClr>
        </a:solidFill>
        <a:round/>
      </a:ln>
    </cs:spPr>
  </cs:leaderLine>
  <cs:legend>
    <cs:lnRef idx="0"/>
    <cs:fillRef idx="0"/>
    <cs:effectRef idx="0"/>
    <cs:fontRef idx="minor">
      <a:sysClr val="windowText" lastClr="000000">
        <a:lumMod val="65000"/>
        <a:lumOff val="35000"/>
      </a:sysClr>
    </cs:fontRef>
    <cs:defRPr sz="900" kern="1200"/>
  </cs:legend>
  <cs:plotArea mods="allowNoFillOverride allowNoLineOverride">
    <cs:lnRef idx="0"/>
    <cs:fillRef idx="0"/>
    <cs:effectRef idx="0"/>
    <cs:fontRef idx="minor">
      <a:sysClr val="windowText" lastClr="000000"/>
    </cs:fontRef>
  </cs:plotArea>
  <cs:plotArea3D mods="allowNoFillOverride allowNoLineOverride">
    <cs:lnRef idx="0"/>
    <cs:fillRef idx="0"/>
    <cs:effectRef idx="0"/>
    <cs:fontRef idx="minor">
      <a:sysClr val="windowText" lastClr="000000"/>
    </cs:fontRef>
  </cs:plotArea3D>
  <cs:seriesAxis>
    <cs:lnRef idx="0"/>
    <cs:fillRef idx="0"/>
    <cs:effectRef idx="0"/>
    <cs:fontRef idx="minor">
      <a:sysClr val="windowText" lastClr="000000">
        <a:lumMod val="65000"/>
        <a:lumOff val="35000"/>
      </a:sysClr>
    </cs:fontRef>
    <cs:defRPr sz="900" kern="1200"/>
  </cs:seriesAxis>
  <cs:seriesLine>
    <cs:lnRef idx="0"/>
    <cs:fillRef idx="0"/>
    <cs:effectRef idx="0"/>
    <cs:fontRef idx="minor">
      <a:sysClr val="windowText" lastClr="000000"/>
    </cs:fontRef>
    <cs:spPr>
      <a:ln w="9525" cap="flat" cmpd="sng" algn="ctr">
        <a:solidFill>
          <a:sysClr val="windowText" lastClr="000000">
            <a:lumMod val="35000"/>
            <a:lumOff val="65000"/>
          </a:sysClr>
        </a:solidFill>
        <a:round/>
      </a:ln>
    </cs:spPr>
  </cs:seriesLine>
  <cs:title>
    <cs:lnRef idx="0"/>
    <cs:fillRef idx="0"/>
    <cs:effectRef idx="0"/>
    <cs:fontRef idx="minor">
      <a:sysClr val="windowText" lastClr="000000">
        <a:lumMod val="65000"/>
        <a:lumOff val="35000"/>
      </a:sysClr>
    </cs:fontRef>
    <cs:defRPr sz="1400" b="0" kern="1200" spc="0" baseline="0"/>
  </cs:title>
  <cs:trendline>
    <cs:lnRef idx="0">
      <cs:styleClr val="auto"/>
    </cs:lnRef>
    <cs:fillRef idx="0"/>
    <cs:effectRef idx="0"/>
    <cs:fontRef idx="minor">
      <a:sysClr val="windowText" lastClr="000000"/>
    </cs:fontRef>
    <cs:spPr>
      <a:ln w="19050" cap="rnd">
        <a:solidFill>
          <a:schemeClr val="phClr"/>
        </a:solidFill>
        <a:prstDash val="sysDot"/>
      </a:ln>
    </cs:spPr>
  </cs:trendline>
  <cs:trendlineLabel>
    <cs:lnRef idx="0"/>
    <cs:fillRef idx="0"/>
    <cs:effectRef idx="0"/>
    <cs:fontRef idx="minor">
      <a:sysClr val="windowText" lastClr="000000">
        <a:lumMod val="65000"/>
        <a:lumOff val="35000"/>
      </a:sysClr>
    </cs:fontRef>
    <cs:defRPr sz="900" kern="1200"/>
  </cs:trendlineLabel>
  <cs:upBar>
    <cs:lnRef idx="0"/>
    <cs:fillRef idx="0"/>
    <cs:effectRef idx="0"/>
    <cs:fontRef idx="minor">
      <a:sysClr val="windowText" lastClr="000000"/>
    </cs:fontRef>
    <cs:spPr>
      <a:solidFill>
        <a:sysClr val="window" lastClr="FFFFFF"/>
      </a:solidFill>
      <a:ln w="9525" cap="flat" cmpd="sng" algn="ctr">
        <a:solidFill>
          <a:sysClr val="windowText" lastClr="000000">
            <a:lumMod val="65000"/>
            <a:lumOff val="35000"/>
          </a:sysClr>
        </a:solidFill>
        <a:round/>
      </a:ln>
    </cs:spPr>
  </cs:upBar>
  <cs:valueAxis>
    <cs:lnRef idx="0"/>
    <cs:fillRef idx="0"/>
    <cs:effectRef idx="0"/>
    <cs:fontRef idx="minor">
      <a:sysClr val="windowText" lastClr="000000">
        <a:lumMod val="65000"/>
        <a:lumOff val="35000"/>
      </a:sysClr>
    </cs:fontRef>
    <cs:defRPr sz="900" kern="1200"/>
  </cs:valueAxis>
  <cs:wall>
    <cs:lnRef idx="0"/>
    <cs:fillRef idx="0"/>
    <cs:effectRef idx="0"/>
    <cs:fontRef idx="minor">
      <a:sysClr val="windowText" lastClr="000000"/>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ysClr val="windowText" lastClr="000000">
        <a:lumMod val="65000"/>
        <a:lumOff val="35000"/>
      </a:sysClr>
    </cs:fontRef>
    <cs:defRPr sz="1000" kern="1200"/>
  </cs:axisTitle>
  <cs:categoryAxis>
    <cs:lnRef idx="0"/>
    <cs:fillRef idx="0"/>
    <cs:effectRef idx="0"/>
    <cs:fontRef idx="minor">
      <a:sysClr val="windowText" lastClr="000000">
        <a:lumMod val="65000"/>
        <a:lumOff val="35000"/>
      </a:sysClr>
    </cs:fontRef>
    <cs:spPr>
      <a:ln w="9525" cap="flat" cmpd="sng" algn="ctr">
        <a:solidFill>
          <a:sysClr val="windowText" lastClr="000000">
            <a:lumMod val="15000"/>
            <a:lumOff val="85000"/>
          </a:sysClr>
        </a:solidFill>
        <a:round/>
      </a:ln>
    </cs:spPr>
    <cs:defRPr sz="900" kern="1200"/>
  </cs:categoryAxis>
  <cs:chartArea mods="allowNoFillOverride allowNoLineOverride">
    <cs:lnRef idx="0"/>
    <cs:fillRef idx="0"/>
    <cs:effectRef idx="0"/>
    <cs:fontRef idx="minor">
      <a:sysClr val="windowText" lastClr="000000"/>
    </cs:fontRef>
    <cs:spPr>
      <a:solidFill>
        <a:sysClr val="window" lastClr="FFFFFF"/>
      </a:solidFill>
      <a:ln w="9525" cap="flat" cmpd="sng" algn="ctr">
        <a:solidFill>
          <a:sysClr val="windowText" lastClr="000000">
            <a:lumMod val="15000"/>
            <a:lumOff val="85000"/>
          </a:sysClr>
        </a:solidFill>
        <a:round/>
      </a:ln>
    </cs:spPr>
    <cs:defRPr sz="900" kern="1200"/>
  </cs:chartArea>
  <cs:dataLabel>
    <cs:lnRef idx="0"/>
    <cs:fillRef idx="0"/>
    <cs:effectRef idx="0"/>
    <cs:fontRef idx="minor">
      <a:sysClr val="windowText" lastClr="000000">
        <a:lumMod val="75000"/>
        <a:lumOff val="25000"/>
      </a:sysClr>
    </cs:fontRef>
    <cs:defRPr sz="900" kern="1200"/>
  </cs:dataLabel>
  <cs:dataLabelCallout>
    <cs:lnRef idx="0"/>
    <cs:fillRef idx="0"/>
    <cs:effectRef idx="0"/>
    <cs:fontRef idx="minor">
      <a:sysClr val="windowText" lastClr="000000">
        <a:lumMod val="65000"/>
        <a:lumOff val="35000"/>
      </a:sysClr>
    </cs:fontRef>
    <cs:spPr>
      <a:solidFill>
        <a:sysClr val="window" lastClr="FFFFFF"/>
      </a:solidFill>
      <a:ln>
        <a:solidFill>
          <a:sysClr val="windowText" lastClr="000000">
            <a:lumMod val="25000"/>
            <a:lumOff val="75000"/>
          </a:sysClr>
        </a:solidFill>
      </a:ln>
    </cs:spPr>
    <cs:defRPr sz="900" kern="1200"/>
    <cs:bodyPr rot="0" spcFirstLastPara="1" vertOverflow="clip" horzOverflow="clip" vert="horz" wrap="square" lIns="36576" tIns="18288" rIns="36576" bIns="18288" anchor="ctr" anchorCtr="true">
      <a:spAutoFit/>
    </cs:bodyPr>
  </cs:dataLabelCallout>
  <cs:dataPoint>
    <cs:lnRef idx="0"/>
    <cs:fillRef idx="1">
      <cs:styleClr val="auto"/>
    </cs:fillRef>
    <cs:effectRef idx="0"/>
    <cs:fontRef idx="minor">
      <a:sysClr val="windowText" lastClr="000000"/>
    </cs:fontRef>
    <cs:spPr>
      <a:ln w="19050">
        <a:solidFill>
          <a:sysClr val="window" lastClr="FFFFFF"/>
        </a:solidFill>
      </a:ln>
    </cs:spPr>
  </cs:dataPoint>
  <cs:dataPoint3D>
    <cs:lnRef idx="0"/>
    <cs:fillRef idx="1">
      <cs:styleClr val="auto"/>
    </cs:fillRef>
    <cs:effectRef idx="0"/>
    <cs:fontRef idx="minor">
      <a:sysClr val="windowText" lastClr="000000"/>
    </cs:fontRef>
    <cs:spPr>
      <a:ln w="25400">
        <a:solidFill>
          <a:sysClr val="window" lastClr="FFFFFF"/>
        </a:solidFill>
      </a:ln>
    </cs:spPr>
  </cs:dataPoint3D>
  <cs:dataPointLine>
    <cs:lnRef idx="0">
      <cs:styleClr val="auto"/>
    </cs:lnRef>
    <cs:fillRef idx="0"/>
    <cs:effectRef idx="0"/>
    <cs:fontRef idx="minor">
      <a:sysClr val="windowText" lastClr="000000"/>
    </cs:fontRef>
    <cs:spPr>
      <a:ln w="28575" cap="rnd">
        <a:solidFill>
          <a:schemeClr val="phClr"/>
        </a:solidFill>
        <a:round/>
      </a:ln>
    </cs:spPr>
  </cs:dataPointLine>
  <cs:dataPointMarker>
    <cs:lnRef idx="0">
      <cs:styleClr val="auto"/>
    </cs:lnRef>
    <cs:fillRef idx="1">
      <cs:styleClr val="auto"/>
    </cs:fillRef>
    <cs:effectRef idx="0"/>
    <cs:fontRef idx="minor">
      <a:sysClr val="windowText" lastClr="000000"/>
    </cs:fontRef>
    <cs:spPr>
      <a:ln w="9525">
        <a:solidFill>
          <a:schemeClr val="phClr"/>
        </a:solidFill>
      </a:ln>
    </cs:spPr>
  </cs:dataPointMarker>
  <cs:dataPointMarkerLayout symbol="circle" size="5"/>
  <cs:dataPointWireframe>
    <cs:lnRef idx="0">
      <cs:styleClr val="auto"/>
    </cs:lnRef>
    <cs:fillRef idx="0"/>
    <cs:effectRef idx="0"/>
    <cs:fontRef idx="minor">
      <a:sysClr val="windowText" lastClr="000000"/>
    </cs:fontRef>
    <cs:spPr>
      <a:ln w="9525" cap="rnd">
        <a:solidFill>
          <a:schemeClr val="phClr"/>
        </a:solidFill>
        <a:round/>
      </a:ln>
    </cs:spPr>
  </cs:dataPointWireframe>
  <cs:dataTable>
    <cs:lnRef idx="0"/>
    <cs:fillRef idx="0"/>
    <cs:effectRef idx="0"/>
    <cs:fontRef idx="minor">
      <a:sysClr val="windowText" lastClr="000000">
        <a:lumMod val="65000"/>
        <a:lumOff val="35000"/>
      </a:sysClr>
    </cs:fontRef>
    <cs:spPr>
      <a:noFill/>
      <a:ln w="9525" cap="flat" cmpd="sng" algn="ctr">
        <a:solidFill>
          <a:sysClr val="windowText" lastClr="000000">
            <a:lumMod val="15000"/>
            <a:lumOff val="85000"/>
          </a:sysClr>
        </a:solidFill>
        <a:round/>
      </a:ln>
    </cs:spPr>
    <cs:defRPr sz="900" kern="1200"/>
  </cs:dataTable>
  <cs:downBar>
    <cs:lnRef idx="0"/>
    <cs:fillRef idx="0"/>
    <cs:effectRef idx="0"/>
    <cs:fontRef idx="minor">
      <a:sysClr val="windowText" lastClr="000000"/>
    </cs:fontRef>
    <cs:spPr>
      <a:solidFill>
        <a:sysClr val="windowText" lastClr="000000">
          <a:lumMod val="75000"/>
          <a:lumOff val="25000"/>
        </a:sysClr>
      </a:solidFill>
      <a:ln w="9525" cap="flat" cmpd="sng" algn="ctr">
        <a:solidFill>
          <a:sysClr val="windowText" lastClr="000000">
            <a:lumMod val="65000"/>
            <a:lumOff val="35000"/>
          </a:sysClr>
        </a:solidFill>
        <a:round/>
      </a:ln>
    </cs:spPr>
  </cs:downBar>
  <cs:dropLine>
    <cs:lnRef idx="0"/>
    <cs:fillRef idx="0"/>
    <cs:effectRef idx="0"/>
    <cs:fontRef idx="minor">
      <a:sysClr val="windowText" lastClr="000000"/>
    </cs:fontRef>
    <cs:spPr>
      <a:ln w="9525" cap="flat" cmpd="sng" algn="ctr">
        <a:solidFill>
          <a:sysClr val="windowText" lastClr="000000">
            <a:lumMod val="35000"/>
            <a:lumOff val="65000"/>
          </a:sysClr>
        </a:solidFill>
        <a:round/>
      </a:ln>
    </cs:spPr>
  </cs:dropLine>
  <cs:errorBar>
    <cs:lnRef idx="0"/>
    <cs:fillRef idx="0"/>
    <cs:effectRef idx="0"/>
    <cs:fontRef idx="minor">
      <a:sysClr val="windowText" lastClr="000000"/>
    </cs:fontRef>
    <cs:spPr>
      <a:ln w="9525" cap="flat" cmpd="sng" algn="ctr">
        <a:solidFill>
          <a:sysClr val="windowText" lastClr="000000">
            <a:lumMod val="65000"/>
            <a:lumOff val="35000"/>
          </a:sysClr>
        </a:solidFill>
        <a:round/>
      </a:ln>
    </cs:spPr>
  </cs:errorBar>
  <cs:floor>
    <cs:lnRef idx="0"/>
    <cs:fillRef idx="0"/>
    <cs:effectRef idx="0"/>
    <cs:fontRef idx="minor">
      <a:sysClr val="windowText" lastClr="000000"/>
    </cs:fontRef>
    <cs:spPr>
      <a:noFill/>
      <a:ln>
        <a:noFill/>
      </a:ln>
    </cs:spPr>
  </cs:floor>
  <cs:gridlineMajor>
    <cs:lnRef idx="0"/>
    <cs:fillRef idx="0"/>
    <cs:effectRef idx="0"/>
    <cs:fontRef idx="minor">
      <a:sysClr val="windowText" lastClr="000000"/>
    </cs:fontRef>
    <cs:spPr>
      <a:ln w="9525" cap="flat" cmpd="sng" algn="ctr">
        <a:solidFill>
          <a:sysClr val="windowText" lastClr="000000">
            <a:lumMod val="15000"/>
            <a:lumOff val="85000"/>
          </a:sysClr>
        </a:solidFill>
        <a:round/>
      </a:ln>
    </cs:spPr>
  </cs:gridlineMajor>
  <cs:gridlineMinor>
    <cs:lnRef idx="0"/>
    <cs:fillRef idx="0"/>
    <cs:effectRef idx="0"/>
    <cs:fontRef idx="minor">
      <a:sysClr val="windowText" lastClr="000000"/>
    </cs:fontRef>
    <cs:spPr>
      <a:ln w="9525" cap="flat" cmpd="sng" algn="ctr">
        <a:solidFill>
          <a:sysClr val="windowText" lastClr="000000">
            <a:lumMod val="5000"/>
            <a:lumOff val="95000"/>
          </a:sysClr>
        </a:solidFill>
        <a:round/>
      </a:ln>
    </cs:spPr>
  </cs:gridlineMinor>
  <cs:hiLoLine>
    <cs:lnRef idx="0"/>
    <cs:fillRef idx="0"/>
    <cs:effectRef idx="0"/>
    <cs:fontRef idx="minor">
      <a:sysClr val="windowText" lastClr="000000"/>
    </cs:fontRef>
    <cs:spPr>
      <a:ln w="9525" cap="flat" cmpd="sng" algn="ctr">
        <a:solidFill>
          <a:sysClr val="windowText" lastClr="000000">
            <a:lumMod val="50000"/>
            <a:lumOff val="50000"/>
          </a:sysClr>
        </a:solidFill>
        <a:round/>
      </a:ln>
    </cs:spPr>
  </cs:hiLoLine>
  <cs:leaderLine>
    <cs:lnRef idx="0"/>
    <cs:fillRef idx="0"/>
    <cs:effectRef idx="0"/>
    <cs:fontRef idx="minor">
      <a:sysClr val="windowText" lastClr="000000"/>
    </cs:fontRef>
    <cs:spPr>
      <a:ln w="9525" cap="flat" cmpd="sng" algn="ctr">
        <a:solidFill>
          <a:sysClr val="windowText" lastClr="000000">
            <a:lumMod val="35000"/>
            <a:lumOff val="65000"/>
          </a:sysClr>
        </a:solidFill>
        <a:round/>
      </a:ln>
    </cs:spPr>
  </cs:leaderLine>
  <cs:legend>
    <cs:lnRef idx="0"/>
    <cs:fillRef idx="0"/>
    <cs:effectRef idx="0"/>
    <cs:fontRef idx="minor">
      <a:sysClr val="windowText" lastClr="000000">
        <a:lumMod val="65000"/>
        <a:lumOff val="35000"/>
      </a:sysClr>
    </cs:fontRef>
    <cs:defRPr sz="900" kern="1200"/>
  </cs:legend>
  <cs:plotArea mods="allowNoFillOverride allowNoLineOverride">
    <cs:lnRef idx="0"/>
    <cs:fillRef idx="0"/>
    <cs:effectRef idx="0"/>
    <cs:fontRef idx="minor">
      <a:sysClr val="windowText" lastClr="000000"/>
    </cs:fontRef>
  </cs:plotArea>
  <cs:plotArea3D mods="allowNoFillOverride allowNoLineOverride">
    <cs:lnRef idx="0"/>
    <cs:fillRef idx="0"/>
    <cs:effectRef idx="0"/>
    <cs:fontRef idx="minor">
      <a:sysClr val="windowText" lastClr="000000"/>
    </cs:fontRef>
  </cs:plotArea3D>
  <cs:seriesAxis>
    <cs:lnRef idx="0"/>
    <cs:fillRef idx="0"/>
    <cs:effectRef idx="0"/>
    <cs:fontRef idx="minor">
      <a:sysClr val="windowText" lastClr="000000">
        <a:lumMod val="65000"/>
        <a:lumOff val="35000"/>
      </a:sysClr>
    </cs:fontRef>
    <cs:defRPr sz="900" kern="1200"/>
  </cs:seriesAxis>
  <cs:seriesLine>
    <cs:lnRef idx="0"/>
    <cs:fillRef idx="0"/>
    <cs:effectRef idx="0"/>
    <cs:fontRef idx="minor">
      <a:sysClr val="windowText" lastClr="000000"/>
    </cs:fontRef>
    <cs:spPr>
      <a:ln w="9525" cap="flat" cmpd="sng" algn="ctr">
        <a:solidFill>
          <a:sysClr val="windowText" lastClr="000000">
            <a:lumMod val="35000"/>
            <a:lumOff val="65000"/>
          </a:sysClr>
        </a:solidFill>
        <a:round/>
      </a:ln>
    </cs:spPr>
  </cs:seriesLine>
  <cs:title>
    <cs:lnRef idx="0"/>
    <cs:fillRef idx="0"/>
    <cs:effectRef idx="0"/>
    <cs:fontRef idx="minor">
      <a:sysClr val="windowText" lastClr="000000">
        <a:lumMod val="65000"/>
        <a:lumOff val="35000"/>
      </a:sysClr>
    </cs:fontRef>
    <cs:defRPr sz="1400" b="0" kern="1200" spc="0" baseline="0"/>
  </cs:title>
  <cs:trendline>
    <cs:lnRef idx="0">
      <cs:styleClr val="auto"/>
    </cs:lnRef>
    <cs:fillRef idx="0"/>
    <cs:effectRef idx="0"/>
    <cs:fontRef idx="minor">
      <a:sysClr val="windowText" lastClr="000000"/>
    </cs:fontRef>
    <cs:spPr>
      <a:ln w="19050" cap="rnd">
        <a:solidFill>
          <a:schemeClr val="phClr"/>
        </a:solidFill>
        <a:prstDash val="sysDot"/>
      </a:ln>
    </cs:spPr>
  </cs:trendline>
  <cs:trendlineLabel>
    <cs:lnRef idx="0"/>
    <cs:fillRef idx="0"/>
    <cs:effectRef idx="0"/>
    <cs:fontRef idx="minor">
      <a:sysClr val="windowText" lastClr="000000">
        <a:lumMod val="65000"/>
        <a:lumOff val="35000"/>
      </a:sysClr>
    </cs:fontRef>
    <cs:defRPr sz="900" kern="1200"/>
  </cs:trendlineLabel>
  <cs:upBar>
    <cs:lnRef idx="0"/>
    <cs:fillRef idx="0"/>
    <cs:effectRef idx="0"/>
    <cs:fontRef idx="minor">
      <a:sysClr val="windowText" lastClr="000000"/>
    </cs:fontRef>
    <cs:spPr>
      <a:solidFill>
        <a:sysClr val="window" lastClr="FFFFFF"/>
      </a:solidFill>
      <a:ln w="9525" cap="flat" cmpd="sng" algn="ctr">
        <a:solidFill>
          <a:sysClr val="windowText" lastClr="000000">
            <a:lumMod val="65000"/>
            <a:lumOff val="35000"/>
          </a:sysClr>
        </a:solidFill>
        <a:round/>
      </a:ln>
    </cs:spPr>
  </cs:upBar>
  <cs:valueAxis>
    <cs:lnRef idx="0"/>
    <cs:fillRef idx="0"/>
    <cs:effectRef idx="0"/>
    <cs:fontRef idx="minor">
      <a:sysClr val="windowText" lastClr="000000">
        <a:lumMod val="65000"/>
        <a:lumOff val="35000"/>
      </a:sysClr>
    </cs:fontRef>
    <cs:defRPr sz="900" kern="1200"/>
  </cs:valueAxis>
  <cs:wall>
    <cs:lnRef idx="0"/>
    <cs:fillRef idx="0"/>
    <cs:effectRef idx="0"/>
    <cs:fontRef idx="minor">
      <a:sysClr val="windowText" lastClr="000000"/>
    </cs:fontRef>
    <cs:spPr>
      <a:noFill/>
      <a:ln>
        <a:noFill/>
      </a:ln>
    </cs:spPr>
  </cs:wall>
</cs:chartStyle>
</file>

<file path=word/charts/style4.xml><?xml version="1.0" encoding="utf-8"?>
<cs:chartStyle xmlns:cs="http://schemas.microsoft.com/office/drawing/2012/chartStyle" xmlns:a="http://schemas.openxmlformats.org/drawingml/2006/main" id="251">
  <cs:axisTitle>
    <cs:lnRef idx="0"/>
    <cs:fillRef idx="0"/>
    <cs:effectRef idx="0"/>
    <cs:fontRef idx="minor">
      <a:sysClr val="windowText" lastClr="000000">
        <a:lumMod val="65000"/>
        <a:lumOff val="35000"/>
      </a:sysClr>
    </cs:fontRef>
    <cs:defRPr sz="1000" kern="1200"/>
  </cs:axisTitle>
  <cs:categoryAxis>
    <cs:lnRef idx="0"/>
    <cs:fillRef idx="0"/>
    <cs:effectRef idx="0"/>
    <cs:fontRef idx="minor">
      <a:sysClr val="windowText" lastClr="000000">
        <a:lumMod val="65000"/>
        <a:lumOff val="35000"/>
      </a:sysClr>
    </cs:fontRef>
    <cs:spPr>
      <a:ln w="9525" cap="flat" cmpd="sng" algn="ctr">
        <a:solidFill>
          <a:sysClr val="windowText" lastClr="000000">
            <a:lumMod val="15000"/>
            <a:lumOff val="85000"/>
          </a:sysClr>
        </a:solidFill>
        <a:round/>
      </a:ln>
    </cs:spPr>
    <cs:defRPr sz="900" kern="1200"/>
  </cs:categoryAxis>
  <cs:chartArea mods="allowNoFillOverride allowNoLineOverride">
    <cs:lnRef idx="0"/>
    <cs:fillRef idx="0"/>
    <cs:effectRef idx="0"/>
    <cs:fontRef idx="minor">
      <a:sysClr val="windowText" lastClr="000000"/>
    </cs:fontRef>
    <cs:spPr>
      <a:solidFill>
        <a:sysClr val="window" lastClr="FFFFFF"/>
      </a:solidFill>
      <a:ln w="9525" cap="flat" cmpd="sng" algn="ctr">
        <a:solidFill>
          <a:sysClr val="windowText" lastClr="000000">
            <a:lumMod val="15000"/>
            <a:lumOff val="85000"/>
          </a:sysClr>
        </a:solidFill>
        <a:round/>
      </a:ln>
    </cs:spPr>
    <cs:defRPr sz="900" kern="1200"/>
  </cs:chartArea>
  <cs:dataLabel>
    <cs:lnRef idx="0"/>
    <cs:fillRef idx="0"/>
    <cs:effectRef idx="0"/>
    <cs:fontRef idx="minor">
      <a:sysClr val="windowText" lastClr="000000">
        <a:lumMod val="75000"/>
        <a:lumOff val="25000"/>
      </a:sysClr>
    </cs:fontRef>
    <cs:defRPr sz="900" kern="1200"/>
  </cs:dataLabel>
  <cs:dataLabelCallout>
    <cs:lnRef idx="0"/>
    <cs:fillRef idx="0"/>
    <cs:effectRef idx="0"/>
    <cs:fontRef idx="minor">
      <a:sysClr val="windowText" lastClr="000000">
        <a:lumMod val="65000"/>
        <a:lumOff val="35000"/>
      </a:sysClr>
    </cs:fontRef>
    <cs:spPr>
      <a:solidFill>
        <a:sysClr val="window" lastClr="FFFFFF"/>
      </a:solidFill>
      <a:ln>
        <a:solidFill>
          <a:sysClr val="windowText" lastClr="000000">
            <a:lumMod val="25000"/>
            <a:lumOff val="75000"/>
          </a:sysClr>
        </a:solidFill>
      </a:ln>
    </cs:spPr>
    <cs:defRPr sz="900" kern="1200"/>
    <cs:bodyPr rot="0" spcFirstLastPara="1" vertOverflow="clip" horzOverflow="clip" vert="horz" wrap="square" lIns="36576" tIns="18288" rIns="36576" bIns="18288" anchor="ctr" anchorCtr="true">
      <a:spAutoFit/>
    </cs:bodyPr>
  </cs:dataLabelCallout>
  <cs:dataPoint>
    <cs:lnRef idx="0"/>
    <cs:fillRef idx="1">
      <cs:styleClr val="auto"/>
    </cs:fillRef>
    <cs:effectRef idx="0"/>
    <cs:fontRef idx="minor">
      <a:sysClr val="windowText" lastClr="000000"/>
    </cs:fontRef>
    <cs:spPr>
      <a:ln w="19050">
        <a:solidFill>
          <a:sysClr val="window" lastClr="FFFFFF"/>
        </a:solidFill>
      </a:ln>
    </cs:spPr>
  </cs:dataPoint>
  <cs:dataPoint3D>
    <cs:lnRef idx="0"/>
    <cs:fillRef idx="1">
      <cs:styleClr val="auto"/>
    </cs:fillRef>
    <cs:effectRef idx="0"/>
    <cs:fontRef idx="minor">
      <a:sysClr val="windowText" lastClr="000000"/>
    </cs:fontRef>
    <cs:spPr>
      <a:ln w="25400">
        <a:solidFill>
          <a:sysClr val="window" lastClr="FFFFFF"/>
        </a:solidFill>
      </a:ln>
    </cs:spPr>
  </cs:dataPoint3D>
  <cs:dataPointLine>
    <cs:lnRef idx="0">
      <cs:styleClr val="auto"/>
    </cs:lnRef>
    <cs:fillRef idx="0"/>
    <cs:effectRef idx="0"/>
    <cs:fontRef idx="minor">
      <a:sysClr val="windowText" lastClr="000000"/>
    </cs:fontRef>
    <cs:spPr>
      <a:ln w="28575" cap="rnd">
        <a:solidFill>
          <a:schemeClr val="phClr"/>
        </a:solidFill>
        <a:round/>
      </a:ln>
    </cs:spPr>
  </cs:dataPointLine>
  <cs:dataPointMarker>
    <cs:lnRef idx="0">
      <cs:styleClr val="auto"/>
    </cs:lnRef>
    <cs:fillRef idx="1">
      <cs:styleClr val="auto"/>
    </cs:fillRef>
    <cs:effectRef idx="0"/>
    <cs:fontRef idx="minor">
      <a:sysClr val="windowText" lastClr="000000"/>
    </cs:fontRef>
    <cs:spPr>
      <a:ln w="9525">
        <a:solidFill>
          <a:schemeClr val="phClr"/>
        </a:solidFill>
      </a:ln>
    </cs:spPr>
  </cs:dataPointMarker>
  <cs:dataPointMarkerLayout symbol="circle" size="5"/>
  <cs:dataPointWireframe>
    <cs:lnRef idx="0">
      <cs:styleClr val="auto"/>
    </cs:lnRef>
    <cs:fillRef idx="0"/>
    <cs:effectRef idx="0"/>
    <cs:fontRef idx="minor">
      <a:sysClr val="windowText" lastClr="000000"/>
    </cs:fontRef>
    <cs:spPr>
      <a:ln w="9525" cap="rnd">
        <a:solidFill>
          <a:schemeClr val="phClr"/>
        </a:solidFill>
        <a:round/>
      </a:ln>
    </cs:spPr>
  </cs:dataPointWireframe>
  <cs:dataTable>
    <cs:lnRef idx="0"/>
    <cs:fillRef idx="0"/>
    <cs:effectRef idx="0"/>
    <cs:fontRef idx="minor">
      <a:sysClr val="windowText" lastClr="000000">
        <a:lumMod val="65000"/>
        <a:lumOff val="35000"/>
      </a:sysClr>
    </cs:fontRef>
    <cs:spPr>
      <a:noFill/>
      <a:ln w="9525" cap="flat" cmpd="sng" algn="ctr">
        <a:solidFill>
          <a:sysClr val="windowText" lastClr="000000">
            <a:lumMod val="15000"/>
            <a:lumOff val="85000"/>
          </a:sysClr>
        </a:solidFill>
        <a:round/>
      </a:ln>
    </cs:spPr>
    <cs:defRPr sz="900" kern="1200"/>
  </cs:dataTable>
  <cs:downBar>
    <cs:lnRef idx="0"/>
    <cs:fillRef idx="0"/>
    <cs:effectRef idx="0"/>
    <cs:fontRef idx="minor">
      <a:sysClr val="windowText" lastClr="000000"/>
    </cs:fontRef>
    <cs:spPr>
      <a:solidFill>
        <a:sysClr val="windowText" lastClr="000000">
          <a:lumMod val="75000"/>
          <a:lumOff val="25000"/>
        </a:sysClr>
      </a:solidFill>
      <a:ln w="9525" cap="flat" cmpd="sng" algn="ctr">
        <a:solidFill>
          <a:sysClr val="windowText" lastClr="000000">
            <a:lumMod val="65000"/>
            <a:lumOff val="35000"/>
          </a:sysClr>
        </a:solidFill>
        <a:round/>
      </a:ln>
    </cs:spPr>
  </cs:downBar>
  <cs:dropLine>
    <cs:lnRef idx="0"/>
    <cs:fillRef idx="0"/>
    <cs:effectRef idx="0"/>
    <cs:fontRef idx="minor">
      <a:sysClr val="windowText" lastClr="000000"/>
    </cs:fontRef>
    <cs:spPr>
      <a:ln w="9525" cap="flat" cmpd="sng" algn="ctr">
        <a:solidFill>
          <a:sysClr val="windowText" lastClr="000000">
            <a:lumMod val="35000"/>
            <a:lumOff val="65000"/>
          </a:sysClr>
        </a:solidFill>
        <a:round/>
      </a:ln>
    </cs:spPr>
  </cs:dropLine>
  <cs:errorBar>
    <cs:lnRef idx="0"/>
    <cs:fillRef idx="0"/>
    <cs:effectRef idx="0"/>
    <cs:fontRef idx="minor">
      <a:sysClr val="windowText" lastClr="000000"/>
    </cs:fontRef>
    <cs:spPr>
      <a:ln w="9525" cap="flat" cmpd="sng" algn="ctr">
        <a:solidFill>
          <a:sysClr val="windowText" lastClr="000000">
            <a:lumMod val="65000"/>
            <a:lumOff val="35000"/>
          </a:sysClr>
        </a:solidFill>
        <a:round/>
      </a:ln>
    </cs:spPr>
  </cs:errorBar>
  <cs:floor>
    <cs:lnRef idx="0"/>
    <cs:fillRef idx="0"/>
    <cs:effectRef idx="0"/>
    <cs:fontRef idx="minor">
      <a:sysClr val="windowText" lastClr="000000"/>
    </cs:fontRef>
    <cs:spPr>
      <a:noFill/>
      <a:ln>
        <a:noFill/>
      </a:ln>
    </cs:spPr>
  </cs:floor>
  <cs:gridlineMajor>
    <cs:lnRef idx="0"/>
    <cs:fillRef idx="0"/>
    <cs:effectRef idx="0"/>
    <cs:fontRef idx="minor">
      <a:sysClr val="windowText" lastClr="000000"/>
    </cs:fontRef>
    <cs:spPr>
      <a:ln w="9525" cap="flat" cmpd="sng" algn="ctr">
        <a:solidFill>
          <a:sysClr val="windowText" lastClr="000000">
            <a:lumMod val="15000"/>
            <a:lumOff val="85000"/>
          </a:sysClr>
        </a:solidFill>
        <a:round/>
      </a:ln>
    </cs:spPr>
  </cs:gridlineMajor>
  <cs:gridlineMinor>
    <cs:lnRef idx="0"/>
    <cs:fillRef idx="0"/>
    <cs:effectRef idx="0"/>
    <cs:fontRef idx="minor">
      <a:sysClr val="windowText" lastClr="000000"/>
    </cs:fontRef>
    <cs:spPr>
      <a:ln w="9525" cap="flat" cmpd="sng" algn="ctr">
        <a:solidFill>
          <a:sysClr val="windowText" lastClr="000000">
            <a:lumMod val="5000"/>
            <a:lumOff val="95000"/>
          </a:sysClr>
        </a:solidFill>
        <a:round/>
      </a:ln>
    </cs:spPr>
  </cs:gridlineMinor>
  <cs:hiLoLine>
    <cs:lnRef idx="0"/>
    <cs:fillRef idx="0"/>
    <cs:effectRef idx="0"/>
    <cs:fontRef idx="minor">
      <a:sysClr val="windowText" lastClr="000000"/>
    </cs:fontRef>
    <cs:spPr>
      <a:ln w="9525" cap="flat" cmpd="sng" algn="ctr">
        <a:solidFill>
          <a:sysClr val="windowText" lastClr="000000">
            <a:lumMod val="50000"/>
            <a:lumOff val="50000"/>
          </a:sysClr>
        </a:solidFill>
        <a:round/>
      </a:ln>
    </cs:spPr>
  </cs:hiLoLine>
  <cs:leaderLine>
    <cs:lnRef idx="0"/>
    <cs:fillRef idx="0"/>
    <cs:effectRef idx="0"/>
    <cs:fontRef idx="minor">
      <a:sysClr val="windowText" lastClr="000000"/>
    </cs:fontRef>
    <cs:spPr>
      <a:ln w="9525" cap="flat" cmpd="sng" algn="ctr">
        <a:solidFill>
          <a:sysClr val="windowText" lastClr="000000">
            <a:lumMod val="35000"/>
            <a:lumOff val="65000"/>
          </a:sysClr>
        </a:solidFill>
        <a:round/>
      </a:ln>
    </cs:spPr>
  </cs:leaderLine>
  <cs:legend>
    <cs:lnRef idx="0"/>
    <cs:fillRef idx="0"/>
    <cs:effectRef idx="0"/>
    <cs:fontRef idx="minor">
      <a:sysClr val="windowText" lastClr="000000">
        <a:lumMod val="65000"/>
        <a:lumOff val="35000"/>
      </a:sysClr>
    </cs:fontRef>
    <cs:defRPr sz="900" kern="1200"/>
  </cs:legend>
  <cs:plotArea mods="allowNoFillOverride allowNoLineOverride">
    <cs:lnRef idx="0"/>
    <cs:fillRef idx="0"/>
    <cs:effectRef idx="0"/>
    <cs:fontRef idx="minor">
      <a:sysClr val="windowText" lastClr="000000"/>
    </cs:fontRef>
  </cs:plotArea>
  <cs:plotArea3D mods="allowNoFillOverride allowNoLineOverride">
    <cs:lnRef idx="0"/>
    <cs:fillRef idx="0"/>
    <cs:effectRef idx="0"/>
    <cs:fontRef idx="minor">
      <a:sysClr val="windowText" lastClr="000000"/>
    </cs:fontRef>
  </cs:plotArea3D>
  <cs:seriesAxis>
    <cs:lnRef idx="0"/>
    <cs:fillRef idx="0"/>
    <cs:effectRef idx="0"/>
    <cs:fontRef idx="minor">
      <a:sysClr val="windowText" lastClr="000000">
        <a:lumMod val="65000"/>
        <a:lumOff val="35000"/>
      </a:sysClr>
    </cs:fontRef>
    <cs:defRPr sz="900" kern="1200"/>
  </cs:seriesAxis>
  <cs:seriesLine>
    <cs:lnRef idx="0"/>
    <cs:fillRef idx="0"/>
    <cs:effectRef idx="0"/>
    <cs:fontRef idx="minor">
      <a:sysClr val="windowText" lastClr="000000"/>
    </cs:fontRef>
    <cs:spPr>
      <a:ln w="9525" cap="flat" cmpd="sng" algn="ctr">
        <a:solidFill>
          <a:sysClr val="windowText" lastClr="000000">
            <a:lumMod val="35000"/>
            <a:lumOff val="65000"/>
          </a:sysClr>
        </a:solidFill>
        <a:round/>
      </a:ln>
    </cs:spPr>
  </cs:seriesLine>
  <cs:title>
    <cs:lnRef idx="0"/>
    <cs:fillRef idx="0"/>
    <cs:effectRef idx="0"/>
    <cs:fontRef idx="minor">
      <a:sysClr val="windowText" lastClr="000000">
        <a:lumMod val="65000"/>
        <a:lumOff val="35000"/>
      </a:sysClr>
    </cs:fontRef>
    <cs:defRPr sz="1400" b="0" kern="1200" spc="0" baseline="0"/>
  </cs:title>
  <cs:trendline>
    <cs:lnRef idx="0">
      <cs:styleClr val="auto"/>
    </cs:lnRef>
    <cs:fillRef idx="0"/>
    <cs:effectRef idx="0"/>
    <cs:fontRef idx="minor">
      <a:sysClr val="windowText" lastClr="000000"/>
    </cs:fontRef>
    <cs:spPr>
      <a:ln w="19050" cap="rnd">
        <a:solidFill>
          <a:schemeClr val="phClr"/>
        </a:solidFill>
        <a:prstDash val="sysDot"/>
      </a:ln>
    </cs:spPr>
  </cs:trendline>
  <cs:trendlineLabel>
    <cs:lnRef idx="0"/>
    <cs:fillRef idx="0"/>
    <cs:effectRef idx="0"/>
    <cs:fontRef idx="minor">
      <a:sysClr val="windowText" lastClr="000000">
        <a:lumMod val="65000"/>
        <a:lumOff val="35000"/>
      </a:sysClr>
    </cs:fontRef>
    <cs:defRPr sz="900" kern="1200"/>
  </cs:trendlineLabel>
  <cs:upBar>
    <cs:lnRef idx="0"/>
    <cs:fillRef idx="0"/>
    <cs:effectRef idx="0"/>
    <cs:fontRef idx="minor">
      <a:sysClr val="windowText" lastClr="000000"/>
    </cs:fontRef>
    <cs:spPr>
      <a:solidFill>
        <a:sysClr val="window" lastClr="FFFFFF"/>
      </a:solidFill>
      <a:ln w="9525" cap="flat" cmpd="sng" algn="ctr">
        <a:solidFill>
          <a:sysClr val="windowText" lastClr="000000">
            <a:lumMod val="65000"/>
            <a:lumOff val="35000"/>
          </a:sysClr>
        </a:solidFill>
        <a:round/>
      </a:ln>
    </cs:spPr>
  </cs:upBar>
  <cs:valueAxis>
    <cs:lnRef idx="0"/>
    <cs:fillRef idx="0"/>
    <cs:effectRef idx="0"/>
    <cs:fontRef idx="minor">
      <a:sysClr val="windowText" lastClr="000000">
        <a:lumMod val="65000"/>
        <a:lumOff val="35000"/>
      </a:sysClr>
    </cs:fontRef>
    <cs:defRPr sz="900" kern="1200"/>
  </cs:valueAxis>
  <cs:wall>
    <cs:lnRef idx="0"/>
    <cs:fillRef idx="0"/>
    <cs:effectRef idx="0"/>
    <cs:fontRef idx="minor">
      <a:sysClr val="windowText" lastClr="000000"/>
    </cs:fontRef>
    <cs:spPr>
      <a:noFill/>
      <a:ln>
        <a:noFill/>
      </a:ln>
    </cs:spPr>
  </cs:wall>
</cs:chartStyle>
</file>

<file path=word/charts/style5.xml><?xml version="1.0" encoding="utf-8"?>
<cs:chartStyle xmlns:cs="http://schemas.microsoft.com/office/drawing/2012/chartStyle" xmlns:a="http://schemas.openxmlformats.org/drawingml/2006/main" id="251">
  <cs:axisTitle>
    <cs:lnRef idx="0"/>
    <cs:fillRef idx="0"/>
    <cs:effectRef idx="0"/>
    <cs:fontRef idx="minor">
      <a:sysClr val="windowText" lastClr="000000">
        <a:lumMod val="65000"/>
        <a:lumOff val="35000"/>
      </a:sysClr>
    </cs:fontRef>
    <cs:defRPr sz="1000" kern="1200"/>
  </cs:axisTitle>
  <cs:categoryAxis>
    <cs:lnRef idx="0"/>
    <cs:fillRef idx="0"/>
    <cs:effectRef idx="0"/>
    <cs:fontRef idx="minor">
      <a:sysClr val="windowText" lastClr="000000">
        <a:lumMod val="65000"/>
        <a:lumOff val="35000"/>
      </a:sysClr>
    </cs:fontRef>
    <cs:spPr>
      <a:ln w="9525" cap="flat" cmpd="sng" algn="ctr">
        <a:solidFill>
          <a:sysClr val="windowText" lastClr="000000">
            <a:lumMod val="15000"/>
            <a:lumOff val="85000"/>
          </a:sysClr>
        </a:solidFill>
        <a:round/>
      </a:ln>
    </cs:spPr>
    <cs:defRPr sz="900" kern="1200"/>
  </cs:categoryAxis>
  <cs:chartArea mods="allowNoFillOverride allowNoLineOverride">
    <cs:lnRef idx="0"/>
    <cs:fillRef idx="0"/>
    <cs:effectRef idx="0"/>
    <cs:fontRef idx="minor">
      <a:sysClr val="windowText" lastClr="000000"/>
    </cs:fontRef>
    <cs:spPr>
      <a:solidFill>
        <a:sysClr val="window" lastClr="FFFFFF"/>
      </a:solidFill>
      <a:ln w="9525" cap="flat" cmpd="sng" algn="ctr">
        <a:solidFill>
          <a:sysClr val="windowText" lastClr="000000">
            <a:lumMod val="15000"/>
            <a:lumOff val="85000"/>
          </a:sysClr>
        </a:solidFill>
        <a:round/>
      </a:ln>
    </cs:spPr>
    <cs:defRPr sz="900" kern="1200"/>
  </cs:chartArea>
  <cs:dataLabel>
    <cs:lnRef idx="0"/>
    <cs:fillRef idx="0"/>
    <cs:effectRef idx="0"/>
    <cs:fontRef idx="minor">
      <a:sysClr val="windowText" lastClr="000000">
        <a:lumMod val="75000"/>
        <a:lumOff val="25000"/>
      </a:sysClr>
    </cs:fontRef>
    <cs:defRPr sz="900" kern="1200"/>
  </cs:dataLabel>
  <cs:dataLabelCallout>
    <cs:lnRef idx="0"/>
    <cs:fillRef idx="0"/>
    <cs:effectRef idx="0"/>
    <cs:fontRef idx="minor">
      <a:sysClr val="windowText" lastClr="000000">
        <a:lumMod val="65000"/>
        <a:lumOff val="35000"/>
      </a:sysClr>
    </cs:fontRef>
    <cs:spPr>
      <a:solidFill>
        <a:sysClr val="window" lastClr="FFFFFF"/>
      </a:solidFill>
      <a:ln>
        <a:solidFill>
          <a:sysClr val="windowText" lastClr="000000">
            <a:lumMod val="25000"/>
            <a:lumOff val="75000"/>
          </a:sysClr>
        </a:solidFill>
      </a:ln>
    </cs:spPr>
    <cs:defRPr sz="900" kern="1200"/>
    <cs:bodyPr rot="0" spcFirstLastPara="1" vertOverflow="clip" horzOverflow="clip" vert="horz" wrap="square" lIns="36576" tIns="18288" rIns="36576" bIns="18288" anchor="ctr" anchorCtr="true">
      <a:spAutoFit/>
    </cs:bodyPr>
  </cs:dataLabelCallout>
  <cs:dataPoint>
    <cs:lnRef idx="0"/>
    <cs:fillRef idx="1">
      <cs:styleClr val="auto"/>
    </cs:fillRef>
    <cs:effectRef idx="0"/>
    <cs:fontRef idx="minor">
      <a:sysClr val="windowText" lastClr="000000"/>
    </cs:fontRef>
    <cs:spPr>
      <a:ln w="19050">
        <a:solidFill>
          <a:sysClr val="window" lastClr="FFFFFF"/>
        </a:solidFill>
      </a:ln>
    </cs:spPr>
  </cs:dataPoint>
  <cs:dataPoint3D>
    <cs:lnRef idx="0"/>
    <cs:fillRef idx="1">
      <cs:styleClr val="auto"/>
    </cs:fillRef>
    <cs:effectRef idx="0"/>
    <cs:fontRef idx="minor">
      <a:sysClr val="windowText" lastClr="000000"/>
    </cs:fontRef>
    <cs:spPr>
      <a:ln w="25400">
        <a:solidFill>
          <a:sysClr val="window" lastClr="FFFFFF"/>
        </a:solidFill>
      </a:ln>
    </cs:spPr>
  </cs:dataPoint3D>
  <cs:dataPointLine>
    <cs:lnRef idx="0">
      <cs:styleClr val="auto"/>
    </cs:lnRef>
    <cs:fillRef idx="0"/>
    <cs:effectRef idx="0"/>
    <cs:fontRef idx="minor">
      <a:sysClr val="windowText" lastClr="000000"/>
    </cs:fontRef>
    <cs:spPr>
      <a:ln w="28575" cap="rnd">
        <a:solidFill>
          <a:schemeClr val="phClr"/>
        </a:solidFill>
        <a:round/>
      </a:ln>
    </cs:spPr>
  </cs:dataPointLine>
  <cs:dataPointMarker>
    <cs:lnRef idx="0">
      <cs:styleClr val="auto"/>
    </cs:lnRef>
    <cs:fillRef idx="1">
      <cs:styleClr val="auto"/>
    </cs:fillRef>
    <cs:effectRef idx="0"/>
    <cs:fontRef idx="minor">
      <a:sysClr val="windowText" lastClr="000000"/>
    </cs:fontRef>
    <cs:spPr>
      <a:ln w="9525">
        <a:solidFill>
          <a:schemeClr val="phClr"/>
        </a:solidFill>
      </a:ln>
    </cs:spPr>
  </cs:dataPointMarker>
  <cs:dataPointMarkerLayout symbol="circle" size="5"/>
  <cs:dataPointWireframe>
    <cs:lnRef idx="0">
      <cs:styleClr val="auto"/>
    </cs:lnRef>
    <cs:fillRef idx="0"/>
    <cs:effectRef idx="0"/>
    <cs:fontRef idx="minor">
      <a:sysClr val="windowText" lastClr="000000"/>
    </cs:fontRef>
    <cs:spPr>
      <a:ln w="9525" cap="rnd">
        <a:solidFill>
          <a:schemeClr val="phClr"/>
        </a:solidFill>
        <a:round/>
      </a:ln>
    </cs:spPr>
  </cs:dataPointWireframe>
  <cs:dataTable>
    <cs:lnRef idx="0"/>
    <cs:fillRef idx="0"/>
    <cs:effectRef idx="0"/>
    <cs:fontRef idx="minor">
      <a:sysClr val="windowText" lastClr="000000">
        <a:lumMod val="65000"/>
        <a:lumOff val="35000"/>
      </a:sysClr>
    </cs:fontRef>
    <cs:spPr>
      <a:noFill/>
      <a:ln w="9525" cap="flat" cmpd="sng" algn="ctr">
        <a:solidFill>
          <a:sysClr val="windowText" lastClr="000000">
            <a:lumMod val="15000"/>
            <a:lumOff val="85000"/>
          </a:sysClr>
        </a:solidFill>
        <a:round/>
      </a:ln>
    </cs:spPr>
    <cs:defRPr sz="900" kern="1200"/>
  </cs:dataTable>
  <cs:downBar>
    <cs:lnRef idx="0"/>
    <cs:fillRef idx="0"/>
    <cs:effectRef idx="0"/>
    <cs:fontRef idx="minor">
      <a:sysClr val="windowText" lastClr="000000"/>
    </cs:fontRef>
    <cs:spPr>
      <a:solidFill>
        <a:sysClr val="windowText" lastClr="000000">
          <a:lumMod val="75000"/>
          <a:lumOff val="25000"/>
        </a:sysClr>
      </a:solidFill>
      <a:ln w="9525" cap="flat" cmpd="sng" algn="ctr">
        <a:solidFill>
          <a:sysClr val="windowText" lastClr="000000">
            <a:lumMod val="65000"/>
            <a:lumOff val="35000"/>
          </a:sysClr>
        </a:solidFill>
        <a:round/>
      </a:ln>
    </cs:spPr>
  </cs:downBar>
  <cs:dropLine>
    <cs:lnRef idx="0"/>
    <cs:fillRef idx="0"/>
    <cs:effectRef idx="0"/>
    <cs:fontRef idx="minor">
      <a:sysClr val="windowText" lastClr="000000"/>
    </cs:fontRef>
    <cs:spPr>
      <a:ln w="9525" cap="flat" cmpd="sng" algn="ctr">
        <a:solidFill>
          <a:sysClr val="windowText" lastClr="000000">
            <a:lumMod val="35000"/>
            <a:lumOff val="65000"/>
          </a:sysClr>
        </a:solidFill>
        <a:round/>
      </a:ln>
    </cs:spPr>
  </cs:dropLine>
  <cs:errorBar>
    <cs:lnRef idx="0"/>
    <cs:fillRef idx="0"/>
    <cs:effectRef idx="0"/>
    <cs:fontRef idx="minor">
      <a:sysClr val="windowText" lastClr="000000"/>
    </cs:fontRef>
    <cs:spPr>
      <a:ln w="9525" cap="flat" cmpd="sng" algn="ctr">
        <a:solidFill>
          <a:sysClr val="windowText" lastClr="000000">
            <a:lumMod val="65000"/>
            <a:lumOff val="35000"/>
          </a:sysClr>
        </a:solidFill>
        <a:round/>
      </a:ln>
    </cs:spPr>
  </cs:errorBar>
  <cs:floor>
    <cs:lnRef idx="0"/>
    <cs:fillRef idx="0"/>
    <cs:effectRef idx="0"/>
    <cs:fontRef idx="minor">
      <a:sysClr val="windowText" lastClr="000000"/>
    </cs:fontRef>
    <cs:spPr>
      <a:noFill/>
      <a:ln>
        <a:noFill/>
      </a:ln>
    </cs:spPr>
  </cs:floor>
  <cs:gridlineMajor>
    <cs:lnRef idx="0"/>
    <cs:fillRef idx="0"/>
    <cs:effectRef idx="0"/>
    <cs:fontRef idx="minor">
      <a:sysClr val="windowText" lastClr="000000"/>
    </cs:fontRef>
    <cs:spPr>
      <a:ln w="9525" cap="flat" cmpd="sng" algn="ctr">
        <a:solidFill>
          <a:sysClr val="windowText" lastClr="000000">
            <a:lumMod val="15000"/>
            <a:lumOff val="85000"/>
          </a:sysClr>
        </a:solidFill>
        <a:round/>
      </a:ln>
    </cs:spPr>
  </cs:gridlineMajor>
  <cs:gridlineMinor>
    <cs:lnRef idx="0"/>
    <cs:fillRef idx="0"/>
    <cs:effectRef idx="0"/>
    <cs:fontRef idx="minor">
      <a:sysClr val="windowText" lastClr="000000"/>
    </cs:fontRef>
    <cs:spPr>
      <a:ln w="9525" cap="flat" cmpd="sng" algn="ctr">
        <a:solidFill>
          <a:sysClr val="windowText" lastClr="000000">
            <a:lumMod val="5000"/>
            <a:lumOff val="95000"/>
          </a:sysClr>
        </a:solidFill>
        <a:round/>
      </a:ln>
    </cs:spPr>
  </cs:gridlineMinor>
  <cs:hiLoLine>
    <cs:lnRef idx="0"/>
    <cs:fillRef idx="0"/>
    <cs:effectRef idx="0"/>
    <cs:fontRef idx="minor">
      <a:sysClr val="windowText" lastClr="000000"/>
    </cs:fontRef>
    <cs:spPr>
      <a:ln w="9525" cap="flat" cmpd="sng" algn="ctr">
        <a:solidFill>
          <a:sysClr val="windowText" lastClr="000000">
            <a:lumMod val="50000"/>
            <a:lumOff val="50000"/>
          </a:sysClr>
        </a:solidFill>
        <a:round/>
      </a:ln>
    </cs:spPr>
  </cs:hiLoLine>
  <cs:leaderLine>
    <cs:lnRef idx="0"/>
    <cs:fillRef idx="0"/>
    <cs:effectRef idx="0"/>
    <cs:fontRef idx="minor">
      <a:sysClr val="windowText" lastClr="000000"/>
    </cs:fontRef>
    <cs:spPr>
      <a:ln w="9525" cap="flat" cmpd="sng" algn="ctr">
        <a:solidFill>
          <a:sysClr val="windowText" lastClr="000000">
            <a:lumMod val="35000"/>
            <a:lumOff val="65000"/>
          </a:sysClr>
        </a:solidFill>
        <a:round/>
      </a:ln>
    </cs:spPr>
  </cs:leaderLine>
  <cs:legend>
    <cs:lnRef idx="0"/>
    <cs:fillRef idx="0"/>
    <cs:effectRef idx="0"/>
    <cs:fontRef idx="minor">
      <a:sysClr val="windowText" lastClr="000000">
        <a:lumMod val="65000"/>
        <a:lumOff val="35000"/>
      </a:sysClr>
    </cs:fontRef>
    <cs:defRPr sz="900" kern="1200"/>
  </cs:legend>
  <cs:plotArea mods="allowNoFillOverride allowNoLineOverride">
    <cs:lnRef idx="0"/>
    <cs:fillRef idx="0"/>
    <cs:effectRef idx="0"/>
    <cs:fontRef idx="minor">
      <a:sysClr val="windowText" lastClr="000000"/>
    </cs:fontRef>
  </cs:plotArea>
  <cs:plotArea3D mods="allowNoFillOverride allowNoLineOverride">
    <cs:lnRef idx="0"/>
    <cs:fillRef idx="0"/>
    <cs:effectRef idx="0"/>
    <cs:fontRef idx="minor">
      <a:sysClr val="windowText" lastClr="000000"/>
    </cs:fontRef>
  </cs:plotArea3D>
  <cs:seriesAxis>
    <cs:lnRef idx="0"/>
    <cs:fillRef idx="0"/>
    <cs:effectRef idx="0"/>
    <cs:fontRef idx="minor">
      <a:sysClr val="windowText" lastClr="000000">
        <a:lumMod val="65000"/>
        <a:lumOff val="35000"/>
      </a:sysClr>
    </cs:fontRef>
    <cs:defRPr sz="900" kern="1200"/>
  </cs:seriesAxis>
  <cs:seriesLine>
    <cs:lnRef idx="0"/>
    <cs:fillRef idx="0"/>
    <cs:effectRef idx="0"/>
    <cs:fontRef idx="minor">
      <a:sysClr val="windowText" lastClr="000000"/>
    </cs:fontRef>
    <cs:spPr>
      <a:ln w="9525" cap="flat" cmpd="sng" algn="ctr">
        <a:solidFill>
          <a:sysClr val="windowText" lastClr="000000">
            <a:lumMod val="35000"/>
            <a:lumOff val="65000"/>
          </a:sysClr>
        </a:solidFill>
        <a:round/>
      </a:ln>
    </cs:spPr>
  </cs:seriesLine>
  <cs:title>
    <cs:lnRef idx="0"/>
    <cs:fillRef idx="0"/>
    <cs:effectRef idx="0"/>
    <cs:fontRef idx="minor">
      <a:sysClr val="windowText" lastClr="000000">
        <a:lumMod val="65000"/>
        <a:lumOff val="35000"/>
      </a:sysClr>
    </cs:fontRef>
    <cs:defRPr sz="1400" b="0" kern="1200" spc="0" baseline="0"/>
  </cs:title>
  <cs:trendline>
    <cs:lnRef idx="0">
      <cs:styleClr val="auto"/>
    </cs:lnRef>
    <cs:fillRef idx="0"/>
    <cs:effectRef idx="0"/>
    <cs:fontRef idx="minor">
      <a:sysClr val="windowText" lastClr="000000"/>
    </cs:fontRef>
    <cs:spPr>
      <a:ln w="19050" cap="rnd">
        <a:solidFill>
          <a:schemeClr val="phClr"/>
        </a:solidFill>
        <a:prstDash val="sysDot"/>
      </a:ln>
    </cs:spPr>
  </cs:trendline>
  <cs:trendlineLabel>
    <cs:lnRef idx="0"/>
    <cs:fillRef idx="0"/>
    <cs:effectRef idx="0"/>
    <cs:fontRef idx="minor">
      <a:sysClr val="windowText" lastClr="000000">
        <a:lumMod val="65000"/>
        <a:lumOff val="35000"/>
      </a:sysClr>
    </cs:fontRef>
    <cs:defRPr sz="900" kern="1200"/>
  </cs:trendlineLabel>
  <cs:upBar>
    <cs:lnRef idx="0"/>
    <cs:fillRef idx="0"/>
    <cs:effectRef idx="0"/>
    <cs:fontRef idx="minor">
      <a:sysClr val="windowText" lastClr="000000"/>
    </cs:fontRef>
    <cs:spPr>
      <a:solidFill>
        <a:sysClr val="window" lastClr="FFFFFF"/>
      </a:solidFill>
      <a:ln w="9525" cap="flat" cmpd="sng" algn="ctr">
        <a:solidFill>
          <a:sysClr val="windowText" lastClr="000000">
            <a:lumMod val="65000"/>
            <a:lumOff val="35000"/>
          </a:sysClr>
        </a:solidFill>
        <a:round/>
      </a:ln>
    </cs:spPr>
  </cs:upBar>
  <cs:valueAxis>
    <cs:lnRef idx="0"/>
    <cs:fillRef idx="0"/>
    <cs:effectRef idx="0"/>
    <cs:fontRef idx="minor">
      <a:sysClr val="windowText" lastClr="000000">
        <a:lumMod val="65000"/>
        <a:lumOff val="35000"/>
      </a:sysClr>
    </cs:fontRef>
    <cs:defRPr sz="900" kern="1200"/>
  </cs:valueAxis>
  <cs:wall>
    <cs:lnRef idx="0"/>
    <cs:fillRef idx="0"/>
    <cs:effectRef idx="0"/>
    <cs:fontRef idx="minor">
      <a:sysClr val="windowText" lastClr="000000"/>
    </cs:fontRef>
    <cs:spPr>
      <a:noFill/>
      <a:ln>
        <a:noFill/>
      </a:ln>
    </cs:spPr>
  </cs:wall>
</cs:chartStyle>
</file>

<file path=word/charts/style6.xml><?xml version="1.0" encoding="utf-8"?>
<cs:chartStyle xmlns:cs="http://schemas.microsoft.com/office/drawing/2012/chartStyle" xmlns:a="http://schemas.openxmlformats.org/drawingml/2006/main" id="297">
  <cs:axisTitle>
    <cs:lnRef idx="0"/>
    <cs:fillRef idx="0"/>
    <cs:effectRef idx="0"/>
    <cs:fontRef idx="minor">
      <a:sysClr val="windowText" lastClr="000000">
        <a:lumMod val="65000"/>
        <a:lumOff val="35000"/>
      </a:sysClr>
    </cs:fontRef>
    <cs:defRPr sz="1000" kern="1200"/>
  </cs:axisTitle>
  <cs:categoryAxis>
    <cs:lnRef idx="0"/>
    <cs:fillRef idx="0"/>
    <cs:effectRef idx="0"/>
    <cs:fontRef idx="minor">
      <a:sysClr val="windowText" lastClr="000000">
        <a:lumMod val="65000"/>
        <a:lumOff val="35000"/>
      </a:sysClr>
    </cs:fontRef>
    <cs:spPr>
      <a:ln w="9525" cap="flat" cmpd="sng" algn="ctr">
        <a:solidFill>
          <a:sysClr val="windowText" lastClr="000000">
            <a:lumMod val="15000"/>
            <a:lumOff val="85000"/>
          </a:sysClr>
        </a:solidFill>
        <a:round/>
      </a:ln>
    </cs:spPr>
    <cs:defRPr sz="900" kern="1200"/>
  </cs:categoryAxis>
  <cs:chartArea mods="allowNoFillOverride allowNoLineOverride">
    <cs:lnRef idx="0"/>
    <cs:fillRef idx="0"/>
    <cs:effectRef idx="0"/>
    <cs:fontRef idx="minor">
      <a:sysClr val="windowText" lastClr="000000"/>
    </cs:fontRef>
    <cs:spPr>
      <a:solidFill>
        <a:sysClr val="window" lastClr="FFFFFF"/>
      </a:solidFill>
      <a:ln w="9525" cap="flat" cmpd="sng" algn="ctr">
        <a:solidFill>
          <a:sysClr val="windowText" lastClr="000000">
            <a:lumMod val="15000"/>
            <a:lumOff val="85000"/>
          </a:sysClr>
        </a:solidFill>
        <a:round/>
      </a:ln>
    </cs:spPr>
    <cs:defRPr sz="1000" kern="1200"/>
  </cs:chartArea>
  <cs:dataLabel>
    <cs:lnRef idx="0"/>
    <cs:fillRef idx="0"/>
    <cs:effectRef idx="0"/>
    <cs:fontRef idx="minor">
      <a:sysClr val="windowText" lastClr="000000">
        <a:lumMod val="75000"/>
        <a:lumOff val="25000"/>
      </a:sysClr>
    </cs:fontRef>
    <cs:defRPr sz="900" kern="1200"/>
  </cs:dataLabel>
  <cs:dataLabelCallout>
    <cs:lnRef idx="0"/>
    <cs:fillRef idx="0"/>
    <cs:effectRef idx="0"/>
    <cs:fontRef idx="minor">
      <a:sysClr val="windowText" lastClr="000000">
        <a:lumMod val="65000"/>
        <a:lumOff val="35000"/>
      </a:sysClr>
    </cs:fontRef>
    <cs:spPr>
      <a:solidFill>
        <a:sysClr val="window" lastClr="FFFFFF"/>
      </a:solidFill>
      <a:ln>
        <a:solidFill>
          <a:sysClr val="windowText" lastClr="000000">
            <a:lumMod val="25000"/>
            <a:lumOff val="75000"/>
          </a:sysClr>
        </a:solidFill>
      </a:ln>
    </cs:spPr>
    <cs:defRPr sz="900" kern="1200"/>
    <cs:bodyPr rot="0" spcFirstLastPara="1" vertOverflow="clip" horzOverflow="clip" vert="horz" wrap="square" lIns="36576" tIns="18288" rIns="36576" bIns="18288" anchor="ctr" anchorCtr="true">
      <a:spAutoFit/>
    </cs:bodyPr>
  </cs:dataLabelCallout>
  <cs:dataPoint>
    <cs:lnRef idx="0"/>
    <cs:fillRef idx="1">
      <cs:styleClr val="auto"/>
    </cs:fillRef>
    <cs:effectRef idx="0"/>
    <cs:fontRef idx="minor">
      <a:sysClr val="windowText" lastClr="000000"/>
    </cs:fontRef>
  </cs:dataPoint>
  <cs:dataPoint3D>
    <cs:lnRef idx="0"/>
    <cs:fillRef idx="1">
      <cs:styleClr val="auto"/>
    </cs:fillRef>
    <cs:effectRef idx="0"/>
    <cs:fontRef idx="minor">
      <a:sysClr val="windowText" lastClr="000000"/>
    </cs:fontRef>
  </cs:dataPoint3D>
  <cs:dataPointLine>
    <cs:lnRef idx="0">
      <cs:styleClr val="auto"/>
    </cs:lnRef>
    <cs:fillRef idx="1"/>
    <cs:effectRef idx="0"/>
    <cs:fontRef idx="minor">
      <a:sysClr val="windowText" lastClr="000000"/>
    </cs:fontRef>
    <cs:spPr>
      <a:ln w="28575" cap="rnd">
        <a:solidFill>
          <a:schemeClr val="phClr"/>
        </a:solidFill>
        <a:round/>
      </a:ln>
    </cs:spPr>
  </cs:dataPointLine>
  <cs:dataPointMarker>
    <cs:lnRef idx="0">
      <cs:styleClr val="auto"/>
    </cs:lnRef>
    <cs:fillRef idx="1">
      <cs:styleClr val="auto"/>
    </cs:fillRef>
    <cs:effectRef idx="0"/>
    <cs:fontRef idx="minor">
      <a:sysClr val="windowText" lastClr="000000"/>
    </cs:fontRef>
    <cs:spPr>
      <a:ln w="9525">
        <a:solidFill>
          <a:schemeClr val="phClr"/>
        </a:solidFill>
      </a:ln>
    </cs:spPr>
  </cs:dataPointMarker>
  <cs:dataPointMarkerLayout symbol="circle" size="5"/>
  <cs:dataPointWireframe>
    <cs:lnRef idx="0">
      <cs:styleClr val="auto"/>
    </cs:lnRef>
    <cs:fillRef idx="1"/>
    <cs:effectRef idx="0"/>
    <cs:fontRef idx="minor">
      <a:sysClr val="windowText" lastClr="000000"/>
    </cs:fontRef>
    <cs:spPr>
      <a:ln w="9525" cap="rnd">
        <a:solidFill>
          <a:schemeClr val="phClr"/>
        </a:solidFill>
        <a:round/>
      </a:ln>
    </cs:spPr>
  </cs:dataPointWireframe>
  <cs:dataTable>
    <cs:lnRef idx="0"/>
    <cs:fillRef idx="0"/>
    <cs:effectRef idx="0"/>
    <cs:fontRef idx="minor">
      <a:sysClr val="windowText" lastClr="000000">
        <a:lumMod val="65000"/>
        <a:lumOff val="35000"/>
      </a:sysClr>
    </cs:fontRef>
    <cs:spPr>
      <a:noFill/>
      <a:ln w="9525" cap="flat" cmpd="sng" algn="ctr">
        <a:solidFill>
          <a:sysClr val="windowText" lastClr="000000">
            <a:lumMod val="15000"/>
            <a:lumOff val="85000"/>
          </a:sysClr>
        </a:solidFill>
        <a:round/>
      </a:ln>
    </cs:spPr>
    <cs:defRPr sz="900" kern="1200"/>
  </cs:dataTable>
  <cs:downBar>
    <cs:lnRef idx="0"/>
    <cs:fillRef idx="0"/>
    <cs:effectRef idx="0"/>
    <cs:fontRef idx="minor">
      <a:sysClr val="windowText" lastClr="000000"/>
    </cs:fontRef>
    <cs:spPr>
      <a:solidFill>
        <a:sysClr val="windowText" lastClr="000000">
          <a:lumMod val="75000"/>
          <a:lumOff val="25000"/>
        </a:sysClr>
      </a:solidFill>
      <a:ln w="9525" cap="flat" cmpd="sng" algn="ctr">
        <a:solidFill>
          <a:sysClr val="windowText" lastClr="000000">
            <a:lumMod val="65000"/>
            <a:lumOff val="35000"/>
          </a:sysClr>
        </a:solidFill>
        <a:round/>
      </a:ln>
    </cs:spPr>
  </cs:downBar>
  <cs:dropLine>
    <cs:lnRef idx="0"/>
    <cs:fillRef idx="0"/>
    <cs:effectRef idx="0"/>
    <cs:fontRef idx="minor">
      <a:sysClr val="windowText" lastClr="000000"/>
    </cs:fontRef>
    <cs:spPr>
      <a:ln w="9525" cap="flat" cmpd="sng" algn="ctr">
        <a:solidFill>
          <a:sysClr val="windowText" lastClr="000000">
            <a:lumMod val="35000"/>
            <a:lumOff val="65000"/>
          </a:sysClr>
        </a:solidFill>
        <a:round/>
      </a:ln>
    </cs:spPr>
  </cs:dropLine>
  <cs:errorBar>
    <cs:lnRef idx="0"/>
    <cs:fillRef idx="0"/>
    <cs:effectRef idx="0"/>
    <cs:fontRef idx="minor">
      <a:sysClr val="windowText" lastClr="000000"/>
    </cs:fontRef>
    <cs:spPr>
      <a:ln w="9525" cap="flat" cmpd="sng" algn="ctr">
        <a:solidFill>
          <a:sysClr val="windowText" lastClr="000000">
            <a:lumMod val="65000"/>
            <a:lumOff val="35000"/>
          </a:sysClr>
        </a:solidFill>
        <a:round/>
      </a:ln>
    </cs:spPr>
  </cs:errorBar>
  <cs:floor>
    <cs:lnRef idx="0"/>
    <cs:fillRef idx="0"/>
    <cs:effectRef idx="0"/>
    <cs:fontRef idx="minor">
      <a:sysClr val="windowText" lastClr="000000"/>
    </cs:fontRef>
    <cs:spPr>
      <a:noFill/>
      <a:ln>
        <a:noFill/>
      </a:ln>
    </cs:spPr>
  </cs:floor>
  <cs:gridlineMajor>
    <cs:lnRef idx="0"/>
    <cs:fillRef idx="0"/>
    <cs:effectRef idx="0"/>
    <cs:fontRef idx="minor">
      <a:sysClr val="windowText" lastClr="000000"/>
    </cs:fontRef>
    <cs:spPr>
      <a:ln w="9525" cap="flat" cmpd="sng" algn="ctr">
        <a:solidFill>
          <a:sysClr val="windowText" lastClr="000000">
            <a:lumMod val="15000"/>
            <a:lumOff val="85000"/>
          </a:sysClr>
        </a:solidFill>
        <a:round/>
      </a:ln>
    </cs:spPr>
  </cs:gridlineMajor>
  <cs:gridlineMinor>
    <cs:lnRef idx="0"/>
    <cs:fillRef idx="0"/>
    <cs:effectRef idx="0"/>
    <cs:fontRef idx="minor">
      <a:sysClr val="windowText" lastClr="000000"/>
    </cs:fontRef>
    <cs:spPr>
      <a:ln w="9525" cap="flat" cmpd="sng" algn="ctr">
        <a:solidFill>
          <a:sysClr val="windowText" lastClr="000000">
            <a:lumMod val="5000"/>
            <a:lumOff val="95000"/>
          </a:sysClr>
        </a:solidFill>
        <a:round/>
      </a:ln>
    </cs:spPr>
  </cs:gridlineMinor>
  <cs:hiLoLine>
    <cs:lnRef idx="0"/>
    <cs:fillRef idx="0"/>
    <cs:effectRef idx="0"/>
    <cs:fontRef idx="minor">
      <a:sysClr val="windowText" lastClr="000000"/>
    </cs:fontRef>
    <cs:spPr>
      <a:ln w="9525" cap="flat" cmpd="sng" algn="ctr">
        <a:solidFill>
          <a:sysClr val="windowText" lastClr="000000">
            <a:lumMod val="50000"/>
            <a:lumOff val="50000"/>
          </a:sysClr>
        </a:solidFill>
        <a:round/>
      </a:ln>
    </cs:spPr>
  </cs:hiLoLine>
  <cs:leaderLine>
    <cs:lnRef idx="0"/>
    <cs:fillRef idx="0"/>
    <cs:effectRef idx="0"/>
    <cs:fontRef idx="minor">
      <a:sysClr val="windowText" lastClr="000000"/>
    </cs:fontRef>
    <cs:spPr>
      <a:ln w="9525" cap="flat" cmpd="sng" algn="ctr">
        <a:solidFill>
          <a:sysClr val="windowText" lastClr="000000">
            <a:lumMod val="35000"/>
            <a:lumOff val="65000"/>
          </a:sysClr>
        </a:solidFill>
        <a:round/>
      </a:ln>
    </cs:spPr>
  </cs:leaderLine>
  <cs:legend>
    <cs:lnRef idx="0"/>
    <cs:fillRef idx="0"/>
    <cs:effectRef idx="0"/>
    <cs:fontRef idx="minor">
      <a:sysClr val="windowText" lastClr="000000">
        <a:lumMod val="65000"/>
        <a:lumOff val="35000"/>
      </a:sysClr>
    </cs:fontRef>
    <cs:defRPr sz="900" kern="1200"/>
  </cs:legend>
  <cs:plotArea mods="allowNoFillOverride allowNoLineOverride">
    <cs:lnRef idx="0"/>
    <cs:fillRef idx="0"/>
    <cs:effectRef idx="0"/>
    <cs:fontRef idx="minor">
      <a:sysClr val="windowText" lastClr="000000"/>
    </cs:fontRef>
  </cs:plotArea>
  <cs:plotArea3D mods="allowNoFillOverride allowNoLineOverride">
    <cs:lnRef idx="0"/>
    <cs:fillRef idx="0"/>
    <cs:effectRef idx="0"/>
    <cs:fontRef idx="minor">
      <a:sysClr val="windowText" lastClr="000000"/>
    </cs:fontRef>
  </cs:plotArea3D>
  <cs:seriesAxis>
    <cs:lnRef idx="0"/>
    <cs:fillRef idx="0"/>
    <cs:effectRef idx="0"/>
    <cs:fontRef idx="minor">
      <a:sysClr val="windowText" lastClr="000000">
        <a:lumMod val="65000"/>
        <a:lumOff val="35000"/>
      </a:sysClr>
    </cs:fontRef>
    <cs:defRPr sz="900" kern="1200"/>
  </cs:seriesAxis>
  <cs:seriesLine>
    <cs:lnRef idx="0"/>
    <cs:fillRef idx="0"/>
    <cs:effectRef idx="0"/>
    <cs:fontRef idx="minor">
      <a:sysClr val="windowText" lastClr="000000"/>
    </cs:fontRef>
    <cs:spPr>
      <a:ln w="9525" cap="flat" cmpd="sng" algn="ctr">
        <a:solidFill>
          <a:sysClr val="windowText" lastClr="000000">
            <a:lumMod val="35000"/>
            <a:lumOff val="65000"/>
          </a:sysClr>
        </a:solidFill>
        <a:round/>
      </a:ln>
    </cs:spPr>
  </cs:seriesLine>
  <cs:title>
    <cs:lnRef idx="0"/>
    <cs:fillRef idx="0"/>
    <cs:effectRef idx="0"/>
    <cs:fontRef idx="minor">
      <a:sysClr val="windowText" lastClr="000000">
        <a:lumMod val="65000"/>
        <a:lumOff val="35000"/>
      </a:sysClr>
    </cs:fontRef>
    <cs:defRPr sz="1400" b="0" kern="1200" spc="0" baseline="0"/>
  </cs:title>
  <cs:trendline>
    <cs:lnRef idx="0">
      <cs:styleClr val="auto"/>
    </cs:lnRef>
    <cs:fillRef idx="0"/>
    <cs:effectRef idx="0"/>
    <cs:fontRef idx="minor">
      <a:sysClr val="windowText" lastClr="000000"/>
    </cs:fontRef>
    <cs:spPr>
      <a:ln w="19050" cap="rnd">
        <a:solidFill>
          <a:schemeClr val="phClr"/>
        </a:solidFill>
        <a:prstDash val="sysDot"/>
      </a:ln>
    </cs:spPr>
  </cs:trendline>
  <cs:trendlineLabel>
    <cs:lnRef idx="0"/>
    <cs:fillRef idx="0"/>
    <cs:effectRef idx="0"/>
    <cs:fontRef idx="minor">
      <a:sysClr val="windowText" lastClr="000000">
        <a:lumMod val="65000"/>
        <a:lumOff val="35000"/>
      </a:sysClr>
    </cs:fontRef>
    <cs:defRPr sz="900" kern="1200"/>
  </cs:trendlineLabel>
  <cs:upBar>
    <cs:lnRef idx="0"/>
    <cs:fillRef idx="0"/>
    <cs:effectRef idx="0"/>
    <cs:fontRef idx="minor">
      <a:sysClr val="windowText" lastClr="000000"/>
    </cs:fontRef>
    <cs:spPr>
      <a:solidFill>
        <a:sysClr val="window" lastClr="FFFFFF"/>
      </a:solidFill>
      <a:ln w="9525" cap="flat" cmpd="sng" algn="ctr">
        <a:solidFill>
          <a:sysClr val="windowText" lastClr="000000">
            <a:lumMod val="65000"/>
            <a:lumOff val="35000"/>
          </a:sysClr>
        </a:solidFill>
        <a:round/>
      </a:ln>
    </cs:spPr>
  </cs:upBar>
  <cs:valueAxis>
    <cs:lnRef idx="0"/>
    <cs:fillRef idx="0"/>
    <cs:effectRef idx="0"/>
    <cs:fontRef idx="minor">
      <a:sysClr val="windowText" lastClr="000000">
        <a:lumMod val="65000"/>
        <a:lumOff val="35000"/>
      </a:sysClr>
    </cs:fontRef>
    <cs:defRPr sz="900" kern="1200"/>
  </cs:valueAxis>
  <cs:wall>
    <cs:lnRef idx="0"/>
    <cs:fillRef idx="0"/>
    <cs:effectRef idx="0"/>
    <cs:fontRef idx="minor">
      <a:sysClr val="windowText" lastClr="000000"/>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ysClr val="windowText" lastClr="000000">
        <a:lumMod val="65000"/>
        <a:lumOff val="35000"/>
      </a:sysClr>
    </cs:fontRef>
    <cs:defRPr sz="1000" kern="1200"/>
  </cs:axisTitle>
  <cs:categoryAxis>
    <cs:lnRef idx="0"/>
    <cs:fillRef idx="0"/>
    <cs:effectRef idx="0"/>
    <cs:fontRef idx="minor">
      <a:sysClr val="windowText" lastClr="000000">
        <a:lumMod val="65000"/>
        <a:lumOff val="35000"/>
      </a:sysClr>
    </cs:fontRef>
    <cs:spPr>
      <a:ln w="9525" cap="flat" cmpd="sng" algn="ctr">
        <a:solidFill>
          <a:sysClr val="windowText" lastClr="000000">
            <a:lumMod val="15000"/>
            <a:lumOff val="85000"/>
          </a:sysClr>
        </a:solidFill>
        <a:round/>
      </a:ln>
    </cs:spPr>
    <cs:defRPr sz="900" kern="1200"/>
  </cs:categoryAxis>
  <cs:chartArea mods="allowNoFillOverride allowNoLineOverride">
    <cs:lnRef idx="0"/>
    <cs:fillRef idx="0"/>
    <cs:effectRef idx="0"/>
    <cs:fontRef idx="minor">
      <a:sysClr val="windowText" lastClr="000000"/>
    </cs:fontRef>
    <cs:spPr>
      <a:solidFill>
        <a:sysClr val="window" lastClr="FFFFFF"/>
      </a:solidFill>
      <a:ln w="9525" cap="flat" cmpd="sng" algn="ctr">
        <a:solidFill>
          <a:sysClr val="windowText" lastClr="000000">
            <a:lumMod val="15000"/>
            <a:lumOff val="85000"/>
          </a:sysClr>
        </a:solidFill>
        <a:round/>
      </a:ln>
    </cs:spPr>
    <cs:defRPr sz="1000" kern="1200"/>
  </cs:chartArea>
  <cs:dataLabel>
    <cs:lnRef idx="0"/>
    <cs:fillRef idx="0"/>
    <cs:effectRef idx="0"/>
    <cs:fontRef idx="minor">
      <a:sysClr val="windowText" lastClr="000000">
        <a:lumMod val="75000"/>
        <a:lumOff val="25000"/>
      </a:sysClr>
    </cs:fontRef>
    <cs:defRPr sz="900" kern="1200"/>
  </cs:dataLabel>
  <cs:dataLabelCallout>
    <cs:lnRef idx="0"/>
    <cs:fillRef idx="0"/>
    <cs:effectRef idx="0"/>
    <cs:fontRef idx="minor">
      <a:sysClr val="windowText" lastClr="000000">
        <a:lumMod val="65000"/>
        <a:lumOff val="35000"/>
      </a:sysClr>
    </cs:fontRef>
    <cs:spPr>
      <a:solidFill>
        <a:sysClr val="window" lastClr="FFFFFF"/>
      </a:solidFill>
      <a:ln>
        <a:solidFill>
          <a:sysClr val="windowText" lastClr="000000">
            <a:lumMod val="25000"/>
            <a:lumOff val="75000"/>
          </a:sysClr>
        </a:solidFill>
      </a:ln>
    </cs:spPr>
    <cs:defRPr sz="900" kern="1200"/>
    <cs:bodyPr rot="0" spcFirstLastPara="1" vertOverflow="clip" horzOverflow="clip" vert="horz" wrap="square" lIns="36576" tIns="18288" rIns="36576" bIns="18288" anchor="ctr" anchorCtr="true">
      <a:spAutoFit/>
    </cs:bodyPr>
  </cs:dataLabelCallout>
  <cs:dataPoint>
    <cs:lnRef idx="0"/>
    <cs:fillRef idx="1">
      <cs:styleClr val="auto"/>
    </cs:fillRef>
    <cs:effectRef idx="0"/>
    <cs:fontRef idx="minor">
      <a:sysClr val="windowText" lastClr="000000"/>
    </cs:fontRef>
  </cs:dataPoint>
  <cs:dataPoint3D>
    <cs:lnRef idx="0"/>
    <cs:fillRef idx="1">
      <cs:styleClr val="auto"/>
    </cs:fillRef>
    <cs:effectRef idx="0"/>
    <cs:fontRef idx="minor">
      <a:sysClr val="windowText" lastClr="000000"/>
    </cs:fontRef>
  </cs:dataPoint3D>
  <cs:dataPointLine>
    <cs:lnRef idx="0">
      <cs:styleClr val="auto"/>
    </cs:lnRef>
    <cs:fillRef idx="1"/>
    <cs:effectRef idx="0"/>
    <cs:fontRef idx="minor">
      <a:sysClr val="windowText" lastClr="000000"/>
    </cs:fontRef>
    <cs:spPr>
      <a:ln w="28575" cap="rnd">
        <a:solidFill>
          <a:schemeClr val="phClr"/>
        </a:solidFill>
        <a:round/>
      </a:ln>
    </cs:spPr>
  </cs:dataPointLine>
  <cs:dataPointMarker>
    <cs:lnRef idx="0">
      <cs:styleClr val="auto"/>
    </cs:lnRef>
    <cs:fillRef idx="1">
      <cs:styleClr val="auto"/>
    </cs:fillRef>
    <cs:effectRef idx="0"/>
    <cs:fontRef idx="minor">
      <a:sysClr val="windowText" lastClr="000000"/>
    </cs:fontRef>
    <cs:spPr>
      <a:ln w="9525">
        <a:solidFill>
          <a:schemeClr val="phClr"/>
        </a:solidFill>
      </a:ln>
    </cs:spPr>
  </cs:dataPointMarker>
  <cs:dataPointMarkerLayout symbol="circle" size="5"/>
  <cs:dataPointWireframe>
    <cs:lnRef idx="0">
      <cs:styleClr val="auto"/>
    </cs:lnRef>
    <cs:fillRef idx="1"/>
    <cs:effectRef idx="0"/>
    <cs:fontRef idx="minor">
      <a:sysClr val="windowText" lastClr="000000"/>
    </cs:fontRef>
    <cs:spPr>
      <a:ln w="9525" cap="rnd">
        <a:solidFill>
          <a:schemeClr val="phClr"/>
        </a:solidFill>
        <a:round/>
      </a:ln>
    </cs:spPr>
  </cs:dataPointWireframe>
  <cs:dataTable>
    <cs:lnRef idx="0"/>
    <cs:fillRef idx="0"/>
    <cs:effectRef idx="0"/>
    <cs:fontRef idx="minor">
      <a:sysClr val="windowText" lastClr="000000">
        <a:lumMod val="65000"/>
        <a:lumOff val="35000"/>
      </a:sysClr>
    </cs:fontRef>
    <cs:spPr>
      <a:noFill/>
      <a:ln w="9525" cap="flat" cmpd="sng" algn="ctr">
        <a:solidFill>
          <a:sysClr val="windowText" lastClr="000000">
            <a:lumMod val="15000"/>
            <a:lumOff val="85000"/>
          </a:sysClr>
        </a:solidFill>
        <a:round/>
      </a:ln>
    </cs:spPr>
    <cs:defRPr sz="900" kern="1200"/>
  </cs:dataTable>
  <cs:downBar>
    <cs:lnRef idx="0"/>
    <cs:fillRef idx="0"/>
    <cs:effectRef idx="0"/>
    <cs:fontRef idx="minor">
      <a:sysClr val="windowText" lastClr="000000"/>
    </cs:fontRef>
    <cs:spPr>
      <a:solidFill>
        <a:sysClr val="windowText" lastClr="000000">
          <a:lumMod val="65000"/>
          <a:lumOff val="35000"/>
        </a:sysClr>
      </a:solidFill>
      <a:ln w="9525">
        <a:solidFill>
          <a:sysClr val="windowText" lastClr="000000">
            <a:lumMod val="65000"/>
            <a:lumOff val="35000"/>
          </a:sysClr>
        </a:solidFill>
      </a:ln>
    </cs:spPr>
  </cs:downBar>
  <cs:dropLine>
    <cs:lnRef idx="0"/>
    <cs:fillRef idx="0"/>
    <cs:effectRef idx="0"/>
    <cs:fontRef idx="minor">
      <a:sysClr val="windowText" lastClr="000000"/>
    </cs:fontRef>
    <cs:spPr>
      <a:ln w="9525" cap="flat" cmpd="sng" algn="ctr">
        <a:solidFill>
          <a:sysClr val="windowText" lastClr="000000">
            <a:lumMod val="35000"/>
            <a:lumOff val="65000"/>
          </a:sysClr>
        </a:solidFill>
        <a:round/>
      </a:ln>
    </cs:spPr>
  </cs:dropLine>
  <cs:errorBar>
    <cs:lnRef idx="0"/>
    <cs:fillRef idx="0"/>
    <cs:effectRef idx="0"/>
    <cs:fontRef idx="minor">
      <a:sysClr val="windowText" lastClr="000000"/>
    </cs:fontRef>
    <cs:spPr>
      <a:ln w="9525" cap="flat" cmpd="sng" algn="ctr">
        <a:solidFill>
          <a:sysClr val="windowText" lastClr="000000">
            <a:lumMod val="65000"/>
            <a:lumOff val="35000"/>
          </a:sysClr>
        </a:solidFill>
        <a:round/>
      </a:ln>
    </cs:spPr>
  </cs:errorBar>
  <cs:floor>
    <cs:lnRef idx="0"/>
    <cs:fillRef idx="0"/>
    <cs:effectRef idx="0"/>
    <cs:fontRef idx="minor">
      <a:sysClr val="windowText" lastClr="000000"/>
    </cs:fontRef>
    <cs:spPr>
      <a:noFill/>
      <a:ln>
        <a:noFill/>
      </a:ln>
    </cs:spPr>
  </cs:floor>
  <cs:gridlineMajor>
    <cs:lnRef idx="0"/>
    <cs:fillRef idx="0"/>
    <cs:effectRef idx="0"/>
    <cs:fontRef idx="minor">
      <a:sysClr val="windowText" lastClr="000000"/>
    </cs:fontRef>
    <cs:spPr>
      <a:ln w="9525" cap="flat" cmpd="sng" algn="ctr">
        <a:solidFill>
          <a:sysClr val="windowText" lastClr="000000">
            <a:lumMod val="15000"/>
            <a:lumOff val="85000"/>
          </a:sysClr>
        </a:solidFill>
        <a:round/>
      </a:ln>
    </cs:spPr>
  </cs:gridlineMajor>
  <cs:gridlineMinor>
    <cs:lnRef idx="0"/>
    <cs:fillRef idx="0"/>
    <cs:effectRef idx="0"/>
    <cs:fontRef idx="minor">
      <a:sysClr val="windowText" lastClr="000000"/>
    </cs:fontRef>
    <cs:spPr>
      <a:ln w="9525" cap="flat" cmpd="sng" algn="ctr">
        <a:solidFill>
          <a:sysClr val="windowText" lastClr="000000">
            <a:lumMod val="5000"/>
            <a:lumOff val="95000"/>
          </a:sysClr>
        </a:solidFill>
        <a:round/>
      </a:ln>
    </cs:spPr>
  </cs:gridlineMinor>
  <cs:hiLoLine>
    <cs:lnRef idx="0"/>
    <cs:fillRef idx="0"/>
    <cs:effectRef idx="0"/>
    <cs:fontRef idx="minor">
      <a:sysClr val="windowText" lastClr="000000"/>
    </cs:fontRef>
    <cs:spPr>
      <a:ln w="9525" cap="flat" cmpd="sng" algn="ctr">
        <a:solidFill>
          <a:sysClr val="windowText" lastClr="000000">
            <a:lumMod val="75000"/>
            <a:lumOff val="25000"/>
          </a:sysClr>
        </a:solidFill>
        <a:round/>
      </a:ln>
    </cs:spPr>
  </cs:hiLoLine>
  <cs:leaderLine>
    <cs:lnRef idx="0"/>
    <cs:fillRef idx="0"/>
    <cs:effectRef idx="0"/>
    <cs:fontRef idx="minor">
      <a:sysClr val="windowText" lastClr="000000"/>
    </cs:fontRef>
    <cs:spPr>
      <a:ln w="9525" cap="flat" cmpd="sng" algn="ctr">
        <a:solidFill>
          <a:sysClr val="windowText" lastClr="000000">
            <a:lumMod val="35000"/>
            <a:lumOff val="65000"/>
          </a:sysClr>
        </a:solidFill>
        <a:round/>
      </a:ln>
    </cs:spPr>
  </cs:leaderLine>
  <cs:legend>
    <cs:lnRef idx="0"/>
    <cs:fillRef idx="0"/>
    <cs:effectRef idx="0"/>
    <cs:fontRef idx="minor">
      <a:sysClr val="windowText" lastClr="000000">
        <a:lumMod val="65000"/>
        <a:lumOff val="35000"/>
      </a:sysClr>
    </cs:fontRef>
    <cs:defRPr sz="900" kern="1200"/>
  </cs:legend>
  <cs:plotArea mods="allowNoFillOverride allowNoLineOverride">
    <cs:lnRef idx="0"/>
    <cs:fillRef idx="0"/>
    <cs:effectRef idx="0"/>
    <cs:fontRef idx="minor">
      <a:sysClr val="windowText" lastClr="000000"/>
    </cs:fontRef>
  </cs:plotArea>
  <cs:plotArea3D mods="allowNoFillOverride allowNoLineOverride">
    <cs:lnRef idx="0"/>
    <cs:fillRef idx="0"/>
    <cs:effectRef idx="0"/>
    <cs:fontRef idx="minor">
      <a:sysClr val="windowText" lastClr="000000"/>
    </cs:fontRef>
  </cs:plotArea3D>
  <cs:seriesAxis>
    <cs:lnRef idx="0"/>
    <cs:fillRef idx="0"/>
    <cs:effectRef idx="0"/>
    <cs:fontRef idx="minor">
      <a:sysClr val="windowText" lastClr="000000">
        <a:lumMod val="65000"/>
        <a:lumOff val="35000"/>
      </a:sysClr>
    </cs:fontRef>
    <cs:defRPr sz="900" kern="1200"/>
  </cs:seriesAxis>
  <cs:seriesLine>
    <cs:lnRef idx="0"/>
    <cs:fillRef idx="0"/>
    <cs:effectRef idx="0"/>
    <cs:fontRef idx="minor">
      <a:sysClr val="windowText" lastClr="000000"/>
    </cs:fontRef>
    <cs:spPr>
      <a:ln w="9525" cap="flat" cmpd="sng" algn="ctr">
        <a:solidFill>
          <a:sysClr val="windowText" lastClr="000000">
            <a:lumMod val="35000"/>
            <a:lumOff val="65000"/>
          </a:sysClr>
        </a:solidFill>
        <a:round/>
      </a:ln>
    </cs:spPr>
  </cs:seriesLine>
  <cs:title>
    <cs:lnRef idx="0"/>
    <cs:fillRef idx="0"/>
    <cs:effectRef idx="0"/>
    <cs:fontRef idx="minor">
      <a:sysClr val="windowText" lastClr="000000">
        <a:lumMod val="65000"/>
        <a:lumOff val="35000"/>
      </a:sysClr>
    </cs:fontRef>
    <cs:defRPr sz="1400" b="0" kern="1200" spc="0" baseline="0"/>
  </cs:title>
  <cs:trendline>
    <cs:lnRef idx="0">
      <cs:styleClr val="auto"/>
    </cs:lnRef>
    <cs:fillRef idx="0"/>
    <cs:effectRef idx="0"/>
    <cs:fontRef idx="minor">
      <a:sysClr val="windowText" lastClr="000000"/>
    </cs:fontRef>
    <cs:spPr>
      <a:ln w="19050" cap="rnd">
        <a:solidFill>
          <a:schemeClr val="phClr"/>
        </a:solidFill>
        <a:prstDash val="sysDot"/>
      </a:ln>
    </cs:spPr>
  </cs:trendline>
  <cs:trendlineLabel>
    <cs:lnRef idx="0"/>
    <cs:fillRef idx="0"/>
    <cs:effectRef idx="0"/>
    <cs:fontRef idx="minor">
      <a:sysClr val="windowText" lastClr="000000">
        <a:lumMod val="65000"/>
        <a:lumOff val="35000"/>
      </a:sysClr>
    </cs:fontRef>
    <cs:defRPr sz="900" kern="1200"/>
  </cs:trendlineLabel>
  <cs:upBar>
    <cs:lnRef idx="0"/>
    <cs:fillRef idx="0"/>
    <cs:effectRef idx="0"/>
    <cs:fontRef idx="minor">
      <a:sysClr val="windowText" lastClr="000000"/>
    </cs:fontRef>
    <cs:spPr>
      <a:solidFill>
        <a:sysClr val="window" lastClr="FFFFFF"/>
      </a:solidFill>
      <a:ln w="9525">
        <a:solidFill>
          <a:sysClr val="windowText" lastClr="000000">
            <a:lumMod val="15000"/>
            <a:lumOff val="85000"/>
          </a:sysClr>
        </a:solidFill>
      </a:ln>
    </cs:spPr>
  </cs:upBar>
  <cs:valueAxis>
    <cs:lnRef idx="0"/>
    <cs:fillRef idx="0"/>
    <cs:effectRef idx="0"/>
    <cs:fontRef idx="minor">
      <a:sysClr val="windowText" lastClr="000000">
        <a:lumMod val="65000"/>
        <a:lumOff val="35000"/>
      </a:sysClr>
    </cs:fontRef>
    <cs:defRPr sz="900" kern="1200"/>
  </cs:valueAxis>
  <cs:wall>
    <cs:lnRef idx="0"/>
    <cs:fillRef idx="0"/>
    <cs:effectRef idx="0"/>
    <cs:fontRef idx="minor">
      <a:sysClr val="windowText" lastClr="000000"/>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Override>
</file>

<file path=word/theme/themeOverride8.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2020-10-20T02:06:00Z</dcterms:created>
  <dc:creator>繁星下的马蹄灯</dc:creator>
  <cp:lastModifiedBy>L.Jie</cp:lastModifiedBy>
  <dcterms:modified xsi:type="dcterms:W3CDTF">2024-07-02T10:27:45Z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ies>
</file>