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both"/>
        <w:outlineLvl w:val="9"/>
        <w:rPr>
          <w:rFonts w:hint="eastAsia" w:ascii="宋体" w:hAnsi="宋体" w:eastAsia="宋体" w:cs="宋体"/>
          <w:b/>
          <w:bCs/>
          <w:sz w:val="52"/>
          <w:szCs w:val="52"/>
        </w:rPr>
      </w:pPr>
    </w:p>
    <w:p>
      <w:pPr>
        <w:spacing w:line="720" w:lineRule="auto"/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</w:rPr>
      </w:pPr>
    </w:p>
    <w:p>
      <w:pPr>
        <w:spacing w:line="720" w:lineRule="auto"/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深圳市物业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专项维修资金管理系统操作手册</w:t>
      </w:r>
    </w:p>
    <w:p>
      <w:pPr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instrText xml:space="preserve"> HYPERLINK "http://zjj.sz.gov.cn/attachment/0/746/746902/8519834.docx" \o "深圳市物业专项维修资金管理系统物业灭失退还使用指南（棚改实施主体，区中心篇）" </w:instrTex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建设单位篇）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fldChar w:fldCharType="end"/>
      </w:r>
    </w:p>
    <w:p>
      <w:pP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kern w:val="2"/>
          <w:sz w:val="36"/>
          <w:szCs w:val="36"/>
          <w:lang w:val="en-US" w:eastAsia="zh-CN" w:bidi="ar-SA"/>
        </w:rPr>
        <w:id w:val="147451058"/>
        <w15:color w:val="DBDBDB"/>
        <w:docPartObj>
          <w:docPartGallery w:val="Table of Contents"/>
          <w:docPartUnique/>
        </w:docPartObj>
      </w:sdtPr>
      <w:sdtEndPr>
        <w:rPr>
          <w:rFonts w:hint="eastAsia" w:eastAsia="仿宋" w:asciiTheme="minorAscii" w:hAnsiTheme="minorAscii" w:cstheme="minorBidi"/>
          <w:kern w:val="2"/>
          <w:sz w:val="28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_Toc732549571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首期缴交</w:t>
          </w:r>
          <w:r>
            <w:tab/>
          </w:r>
          <w:r>
            <w:fldChar w:fldCharType="begin"/>
          </w:r>
          <w:r>
            <w:instrText xml:space="preserve"> PAGEREF _Toc732549571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_Toc1002694116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1.1 </w:t>
          </w:r>
          <w:r>
            <w:rPr>
              <w:rFonts w:hint="eastAsia"/>
              <w:lang w:val="en-US" w:eastAsia="zh-CN"/>
            </w:rPr>
            <w:t>新增申请</w:t>
          </w:r>
          <w:r>
            <w:tab/>
          </w:r>
          <w:r>
            <w:fldChar w:fldCharType="begin"/>
          </w:r>
          <w:r>
            <w:instrText xml:space="preserve"> PAGEREF _Toc1002694116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_Toc1863638071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1.1.1 </w:t>
          </w:r>
          <w:r>
            <w:rPr>
              <w:rFonts w:hint="eastAsia"/>
              <w:lang w:val="en-US" w:eastAsia="zh-CN"/>
            </w:rPr>
            <w:t>首期新盘</w:t>
          </w:r>
          <w:r>
            <w:tab/>
          </w:r>
          <w:r>
            <w:fldChar w:fldCharType="begin"/>
          </w:r>
          <w:r>
            <w:instrText xml:space="preserve"> PAGEREF _Toc1863638071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_Toc1299735179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kern w:val="2"/>
              <w:szCs w:val="24"/>
              <w:lang w:val="en-US" w:eastAsia="zh-CN" w:bidi="ar-SA"/>
            </w:rPr>
            <w:t xml:space="preserve">1.1.2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历史违建</w:t>
          </w:r>
          <w:r>
            <w:tab/>
          </w:r>
          <w:r>
            <w:fldChar w:fldCharType="begin"/>
          </w:r>
          <w:r>
            <w:instrText xml:space="preserve"> PAGEREF _Toc1299735179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_Toc558945161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kern w:val="2"/>
              <w:szCs w:val="24"/>
              <w:lang w:val="en-US" w:eastAsia="zh-CN" w:bidi="ar-SA"/>
            </w:rPr>
            <w:t xml:space="preserve">1.1.3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单一产权性质变更</w:t>
          </w:r>
          <w:r>
            <w:tab/>
          </w:r>
          <w:r>
            <w:fldChar w:fldCharType="begin"/>
          </w:r>
          <w:r>
            <w:instrText xml:space="preserve"> PAGEREF _Toc558945161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_Toc718588786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1.1.4 </w:t>
          </w:r>
          <w:r>
            <w:rPr>
              <w:rFonts w:hint="eastAsia"/>
              <w:lang w:val="en-US" w:eastAsia="zh-CN"/>
            </w:rPr>
            <w:t>首期追缴及</w:t>
          </w:r>
          <w:bookmarkStart w:id="52" w:name="_GoBack"/>
          <w:bookmarkEnd w:id="52"/>
          <w:r>
            <w:rPr>
              <w:rFonts w:hint="eastAsia"/>
              <w:lang w:val="en-US" w:eastAsia="zh-CN"/>
            </w:rPr>
            <w:t>深汕特别合作区首期缴交</w:t>
          </w:r>
          <w:r>
            <w:tab/>
          </w:r>
          <w:r>
            <w:fldChar w:fldCharType="begin"/>
          </w:r>
          <w:r>
            <w:instrText xml:space="preserve"> PAGEREF _Toc718588786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_Toc1261814416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1.2 </w:t>
          </w:r>
          <w:r>
            <w:rPr>
              <w:rFonts w:hint="eastAsia"/>
              <w:lang w:val="en-US" w:eastAsia="zh-CN"/>
            </w:rPr>
            <w:t>编辑申请</w:t>
          </w:r>
          <w:r>
            <w:tab/>
          </w:r>
          <w:r>
            <w:fldChar w:fldCharType="begin"/>
          </w:r>
          <w:r>
            <w:instrText xml:space="preserve"> PAGEREF _Toc1261814416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_Toc1075863087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1.3 </w:t>
          </w:r>
          <w:r>
            <w:rPr>
              <w:rFonts w:hint="eastAsia"/>
              <w:lang w:val="en-US" w:eastAsia="zh-CN"/>
            </w:rPr>
            <w:t>删除申请</w:t>
          </w:r>
          <w:r>
            <w:tab/>
          </w:r>
          <w:r>
            <w:fldChar w:fldCharType="begin"/>
          </w:r>
          <w:r>
            <w:instrText xml:space="preserve"> PAGEREF _Toc1075863087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_Toc1468089525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1.4 </w:t>
          </w:r>
          <w:r>
            <w:rPr>
              <w:rFonts w:hint="eastAsia"/>
              <w:lang w:val="en-US" w:eastAsia="zh-CN"/>
            </w:rPr>
            <w:t>查看详情</w:t>
          </w:r>
          <w:r>
            <w:tab/>
          </w:r>
          <w:r>
            <w:fldChar w:fldCharType="begin"/>
          </w:r>
          <w:r>
            <w:instrText xml:space="preserve"> PAGEREF _Toc1468089525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_Toc777309032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1.5 </w:t>
          </w:r>
          <w:r>
            <w:rPr>
              <w:rFonts w:hint="eastAsia"/>
              <w:lang w:val="en-US" w:eastAsia="zh-CN"/>
            </w:rPr>
            <w:t>打印</w:t>
          </w:r>
          <w:r>
            <w:tab/>
          </w:r>
          <w:r>
            <w:fldChar w:fldCharType="begin"/>
          </w:r>
          <w:r>
            <w:instrText xml:space="preserve"> PAGEREF _Toc777309032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_Toc1531675350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1.6 </w:t>
          </w:r>
          <w:r>
            <w:rPr>
              <w:rFonts w:hint="eastAsia"/>
              <w:lang w:val="en-US" w:eastAsia="zh-CN"/>
            </w:rPr>
            <w:t>核发首期缴交证明</w:t>
          </w:r>
          <w:r>
            <w:tab/>
          </w:r>
          <w:r>
            <w:fldChar w:fldCharType="begin"/>
          </w:r>
          <w:r>
            <w:instrText xml:space="preserve"> PAGEREF _Toc1531675350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_Toc1801522291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电子票据</w:t>
          </w:r>
          <w:r>
            <w:tab/>
          </w:r>
          <w:r>
            <w:fldChar w:fldCharType="begin"/>
          </w:r>
          <w:r>
            <w:instrText xml:space="preserve"> PAGEREF _Toc1801522291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_Toc1887182487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2.1 </w:t>
          </w:r>
          <w:r>
            <w:rPr>
              <w:rFonts w:hint="eastAsia"/>
              <w:lang w:val="en-US" w:eastAsia="zh-CN"/>
            </w:rPr>
            <w:t>录入转款信息</w:t>
          </w:r>
          <w:r>
            <w:tab/>
          </w:r>
          <w:r>
            <w:fldChar w:fldCharType="begin"/>
          </w:r>
          <w:r>
            <w:instrText xml:space="preserve"> PAGEREF _Toc1887182487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_Toc1508438814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2.2 </w:t>
          </w:r>
          <w:r>
            <w:rPr>
              <w:rFonts w:hint="eastAsia"/>
              <w:lang w:val="en-US" w:eastAsia="zh-CN"/>
            </w:rPr>
            <w:t>电子票据管理</w:t>
          </w:r>
          <w:r>
            <w:tab/>
          </w:r>
          <w:r>
            <w:fldChar w:fldCharType="begin"/>
          </w:r>
          <w:r>
            <w:instrText xml:space="preserve"> PAGEREF _Toc1508438814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_Toc1508467195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2.2.1 </w:t>
          </w:r>
          <w:r>
            <w:rPr>
              <w:rFonts w:hint="eastAsia"/>
              <w:lang w:val="en-US" w:eastAsia="zh-CN"/>
            </w:rPr>
            <w:t>打印电子票据</w:t>
          </w:r>
          <w:r>
            <w:tab/>
          </w:r>
          <w:r>
            <w:fldChar w:fldCharType="begin"/>
          </w:r>
          <w:r>
            <w:instrText xml:space="preserve"> PAGEREF _Toc1508467195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_Toc1776584501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2.2.2 </w:t>
          </w:r>
          <w:r>
            <w:rPr>
              <w:rFonts w:hint="eastAsia"/>
              <w:lang w:val="en-US" w:eastAsia="zh-CN"/>
            </w:rPr>
            <w:t>汇总票冲红</w:t>
          </w:r>
          <w:r>
            <w:tab/>
          </w:r>
          <w:r>
            <w:fldChar w:fldCharType="begin"/>
          </w:r>
          <w:r>
            <w:instrText xml:space="preserve"> PAGEREF _Toc1776584501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_Toc1066137961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2.2.3 </w:t>
          </w:r>
          <w:r>
            <w:rPr>
              <w:rFonts w:hint="eastAsia"/>
              <w:lang w:val="en-US" w:eastAsia="zh-CN"/>
            </w:rPr>
            <w:t>冲红申请管理</w:t>
          </w:r>
          <w:r>
            <w:tab/>
          </w:r>
          <w:r>
            <w:fldChar w:fldCharType="begin"/>
          </w:r>
          <w:r>
            <w:instrText xml:space="preserve"> PAGEREF _Toc1066137961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_Toc887353767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2.2.4 </w:t>
          </w:r>
          <w:r>
            <w:rPr>
              <w:rFonts w:hint="eastAsia"/>
              <w:lang w:val="en-US" w:eastAsia="zh-CN"/>
            </w:rPr>
            <w:t>开票失败重试</w:t>
          </w:r>
          <w:r>
            <w:tab/>
          </w:r>
          <w:r>
            <w:fldChar w:fldCharType="begin"/>
          </w:r>
          <w:r>
            <w:instrText xml:space="preserve"> PAGEREF _Toc887353767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r>
        <w:br w:type="page"/>
      </w:r>
    </w:p>
    <w:p>
      <w:pPr>
        <w:pStyle w:val="3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0" w:name="_Toc1397"/>
      <w:bookmarkStart w:id="1" w:name="_Toc732549571"/>
      <w:bookmarkStart w:id="2" w:name="_Toc206049996"/>
      <w:r>
        <w:rPr>
          <w:rFonts w:hint="eastAsia"/>
          <w:lang w:val="en-US" w:eastAsia="zh-CN"/>
        </w:rPr>
        <w:t>首期缴交</w:t>
      </w:r>
      <w:bookmarkEnd w:id="0"/>
      <w:bookmarkEnd w:id="1"/>
      <w:bookmarkEnd w:id="2"/>
    </w:p>
    <w:p>
      <w:pPr>
        <w:pStyle w:val="4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3" w:name="_Toc1954338842"/>
      <w:bookmarkStart w:id="4" w:name="_Toc1002694116"/>
      <w:bookmarkStart w:id="5" w:name="_Toc10419"/>
      <w:r>
        <w:rPr>
          <w:rFonts w:hint="eastAsia"/>
          <w:lang w:val="en-US" w:eastAsia="zh-CN"/>
        </w:rPr>
        <w:t>新增申请</w:t>
      </w:r>
      <w:bookmarkEnd w:id="3"/>
      <w:bookmarkEnd w:id="4"/>
      <w:bookmarkEnd w:id="5"/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kern w:val="2"/>
          <w:sz w:val="28"/>
          <w:szCs w:val="28"/>
          <w:shd w:val="clear" w:fill="auto"/>
          <w:lang w:val="en-US" w:eastAsia="zh-CN" w:bidi="ar"/>
        </w:rPr>
        <w:t>物业专项维修资金（首期）缴交</w:t>
      </w: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shd w:val="clear" w:fill="auto"/>
          <w:lang w:val="en-US" w:eastAsia="zh-CN" w:bidi="ar"/>
        </w:rPr>
        <w:t>、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kern w:val="2"/>
          <w:sz w:val="28"/>
          <w:szCs w:val="28"/>
          <w:shd w:val="clear" w:fill="auto"/>
          <w:lang w:val="en-US" w:eastAsia="zh-CN" w:bidi="ar"/>
        </w:rPr>
        <w:t>物业专项维修资金（首期）缴交（历史违建）</w:t>
      </w: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shd w:val="clear"/>
          <w:lang w:val="en-US" w:eastAsia="zh-CN" w:bidi="ar"/>
        </w:rPr>
        <w:t>和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kern w:val="2"/>
          <w:sz w:val="28"/>
          <w:szCs w:val="28"/>
          <w:shd w:val="clear" w:fill="auto"/>
          <w:lang w:val="en-US" w:eastAsia="zh-CN" w:bidi="ar"/>
        </w:rPr>
        <w:t>单一产权性质变更补缴物业专项维修资金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kern w:val="2"/>
          <w:sz w:val="28"/>
          <w:szCs w:val="28"/>
          <w:shd w:val="clear"/>
          <w:lang w:val="en-US" w:eastAsia="zh-CN" w:bidi="ar"/>
        </w:rPr>
        <w:t>（首期）</w:t>
      </w: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shd w:val="clear"/>
          <w:lang w:val="en-US" w:eastAsia="zh-CN" w:bidi="ar"/>
        </w:rPr>
        <w:t>三个事项在广东政务服务网在线提交办理；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kern w:val="2"/>
          <w:sz w:val="28"/>
          <w:szCs w:val="28"/>
          <w:shd w:val="clear"/>
          <w:lang w:val="en-US" w:eastAsia="zh-CN" w:bidi="ar"/>
        </w:rPr>
        <w:t>首期追缴</w:t>
      </w: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shd w:val="clear"/>
          <w:lang w:val="en-US" w:eastAsia="zh-CN" w:bidi="ar"/>
        </w:rPr>
        <w:t>及</w:t>
      </w:r>
      <w:r>
        <w:rPr>
          <w:rFonts w:hint="eastAsia" w:ascii="仿宋" w:hAnsi="仿宋" w:cs="仿宋"/>
          <w:b/>
          <w:bCs/>
          <w:i w:val="0"/>
          <w:caps w:val="0"/>
          <w:color w:val="FF0000"/>
          <w:spacing w:val="0"/>
          <w:kern w:val="2"/>
          <w:sz w:val="28"/>
          <w:szCs w:val="28"/>
          <w:shd w:val="clear"/>
          <w:lang w:val="en-US" w:eastAsia="zh-CN" w:bidi="ar"/>
        </w:rPr>
        <w:t>深汕特别合作区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kern w:val="2"/>
          <w:sz w:val="28"/>
          <w:szCs w:val="28"/>
          <w:shd w:val="clear"/>
          <w:lang w:val="en-US" w:eastAsia="zh-CN" w:bidi="ar"/>
        </w:rPr>
        <w:t>首期缴交</w:t>
      </w: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shd w:val="clear"/>
          <w:lang w:val="en-US" w:eastAsia="zh-CN" w:bidi="ar"/>
        </w:rPr>
        <w:t>则在物业专项维修资金管理系统提交办理。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6" w:name="_Toc29420"/>
      <w:bookmarkStart w:id="7" w:name="_Toc1863638071"/>
      <w:bookmarkStart w:id="8" w:name="_Toc188909370"/>
      <w:r>
        <w:rPr>
          <w:rFonts w:hint="eastAsia"/>
          <w:lang w:val="en-US" w:eastAsia="zh-CN"/>
        </w:rPr>
        <w:t>首期新盘</w:t>
      </w:r>
      <w:bookmarkEnd w:id="6"/>
      <w:bookmarkEnd w:id="7"/>
      <w:bookmarkEnd w:id="8"/>
    </w:p>
    <w:p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通过浏览器搜索“广东政务服务网”，进入广东政务服务网官方网站。如下图所示：</w:t>
      </w:r>
    </w:p>
    <w:p>
      <w:pPr>
        <w:pStyle w:val="2"/>
        <w:jc w:val="center"/>
        <w:rPr>
          <w:sz w:val="24"/>
          <w:szCs w:val="24"/>
        </w:rPr>
      </w:pPr>
      <w:r>
        <w:drawing>
          <wp:inline distT="0" distB="0" distL="114300" distR="114300">
            <wp:extent cx="5271135" cy="3583305"/>
            <wp:effectExtent l="0" t="0" r="5715" b="17145"/>
            <wp:docPr id="6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在“请输入您要办理的事项”框中输入“物业专项维修资金（首期）缴交”，点击“搜索”按钮。如下图所示：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595370"/>
            <wp:effectExtent l="0" t="0" r="5715" b="5080"/>
            <wp:docPr id="6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</w:p>
    <w:p>
      <w:pPr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在“办事服务”中点击“物业专项维修资金（首期）缴交”后的“在线办理”按钮，如下图所示：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1770" cy="2427605"/>
            <wp:effectExtent l="0" t="0" r="5080" b="10795"/>
            <wp:docPr id="6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如当前未登录，则会</w:t>
      </w:r>
      <w:r>
        <w:rPr>
          <w:rFonts w:hint="eastAsia"/>
          <w:lang w:val="en-US" w:eastAsia="zh-CN"/>
        </w:rPr>
        <w:t>跳转至广东省统一身份认证平台登录页面。如下图所示：</w:t>
      </w:r>
    </w:p>
    <w:p>
      <w:pPr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1770" cy="2668905"/>
            <wp:effectExtent l="0" t="0" r="5080" b="17145"/>
            <wp:docPr id="6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</w:rPr>
      </w:pPr>
      <w:r>
        <w:rPr>
          <w:rFonts w:hint="eastAsia"/>
          <w:lang w:eastAsia="zh-CN"/>
        </w:rPr>
        <w:t>您</w:t>
      </w:r>
      <w:r>
        <w:rPr>
          <w:rFonts w:hint="eastAsia"/>
        </w:rPr>
        <w:t>可</w:t>
      </w:r>
      <w:r>
        <w:rPr>
          <w:rFonts w:hint="eastAsia"/>
          <w:lang w:eastAsia="zh-CN"/>
        </w:rPr>
        <w:t>以</w:t>
      </w:r>
      <w:r>
        <w:rPr>
          <w:rFonts w:hint="eastAsia"/>
        </w:rPr>
        <w:t>使用微信“扫一扫”登录，如使用微信“扫一扫”登录请按照微信提示步骤进行登录操作。</w:t>
      </w:r>
    </w:p>
    <w:p>
      <w:pPr>
        <w:bidi w:val="0"/>
        <w:ind w:firstLine="420" w:firstLineChars="0"/>
        <w:rPr>
          <w:rFonts w:hint="eastAsia"/>
        </w:rPr>
      </w:pPr>
      <w:r>
        <w:rPr>
          <w:rFonts w:hint="eastAsia"/>
          <w:lang w:eastAsia="zh-CN"/>
        </w:rPr>
        <w:t>您也</w:t>
      </w:r>
      <w:r>
        <w:rPr>
          <w:rFonts w:hint="eastAsia"/>
        </w:rPr>
        <w:t>可</w:t>
      </w:r>
      <w:r>
        <w:rPr>
          <w:rFonts w:hint="eastAsia"/>
          <w:lang w:eastAsia="zh-CN"/>
        </w:rPr>
        <w:t>以</w:t>
      </w:r>
      <w:r>
        <w:rPr>
          <w:rFonts w:hint="eastAsia"/>
        </w:rPr>
        <w:t>使用账号登录，如使用账号登录请点击“账号密码”（如下图</w:t>
      </w:r>
      <w:r>
        <w:rPr>
          <w:rFonts w:hint="eastAsia"/>
          <w:lang w:eastAsia="zh-CN"/>
        </w:rPr>
        <w:t>所示</w:t>
      </w:r>
      <w:r>
        <w:rPr>
          <w:rFonts w:hint="eastAsia"/>
        </w:rPr>
        <w:t>），在账号密码页面输入账号密码，如登录提示“账号或密码错误”，请自行确认账号及密码是否正确；如遗忘密码/账户，可在登录右下角点击找回密码/账号进行找回；如果未注册账号，请</w:t>
      </w:r>
      <w:r>
        <w:rPr>
          <w:rFonts w:hint="eastAsia"/>
          <w:lang w:eastAsia="zh-CN"/>
        </w:rPr>
        <w:t>先</w:t>
      </w:r>
      <w:r>
        <w:rPr>
          <w:rFonts w:hint="eastAsia"/>
        </w:rPr>
        <w:t>注册广东省统一身份认证平台的账号。</w:t>
      </w:r>
    </w:p>
    <w:p>
      <w:pPr>
        <w:pStyle w:val="2"/>
        <w:jc w:val="left"/>
      </w:pPr>
      <w:r>
        <w:drawing>
          <wp:inline distT="0" distB="0" distL="114300" distR="114300">
            <wp:extent cx="5260340" cy="2308860"/>
            <wp:effectExtent l="0" t="0" r="16510" b="15240"/>
            <wp:docPr id="6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登录后进入“物业专项维修资金(首期)缴交”办理页面。如下图所示：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5241925" cy="3373755"/>
            <wp:effectExtent l="0" t="0" r="15875" b="17145"/>
            <wp:docPr id="6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第一步：条件自检。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点击下拉框选择办理区域，如下图所示：</w:t>
      </w:r>
    </w:p>
    <w:p>
      <w:pPr>
        <w:pStyle w:val="2"/>
      </w:pPr>
      <w:r>
        <w:drawing>
          <wp:inline distT="0" distB="0" distL="114300" distR="114300">
            <wp:extent cx="5287010" cy="3055620"/>
            <wp:effectExtent l="0" t="0" r="8890" b="11430"/>
            <wp:docPr id="6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选中“默认情形”选项，如下图所示：</w:t>
      </w:r>
    </w:p>
    <w:p>
      <w:pPr>
        <w:pStyle w:val="2"/>
      </w:pPr>
      <w:r>
        <w:drawing>
          <wp:inline distT="0" distB="0" distL="114300" distR="114300">
            <wp:extent cx="5241290" cy="3725545"/>
            <wp:effectExtent l="0" t="0" r="16510" b="8255"/>
            <wp:docPr id="6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确认信息无误并已阅读了《服务协议》和《申办知情同意书》后选中勾选框，点击“下一步”按钮，如下图所示：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48910" cy="3599815"/>
            <wp:effectExtent l="0" t="0" r="8890" b="635"/>
            <wp:docPr id="7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</w:pPr>
      <w:r>
        <w:rPr>
          <w:rFonts w:hint="eastAsia"/>
          <w:lang w:val="en-US" w:eastAsia="zh-CN"/>
        </w:rPr>
        <w:t>在进入到“物业专项维修资金（首期）缴交”表单填写页面之前，需要进行身份验证，如下图所示：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433320" cy="2223135"/>
            <wp:effectExtent l="0" t="0" r="0" b="0"/>
            <wp:docPr id="7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"/>
                    <pic:cNvPicPr>
                      <a:picLocks noChangeAspect="true"/>
                    </pic:cNvPicPr>
                  </pic:nvPicPr>
                  <pic:blipFill>
                    <a:blip r:embed="rId14"/>
                    <a:srcRect l="26901" t="2628" r="26853" b="15208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eastAsia="zh-CN"/>
        </w:rPr>
        <w:t>第二步：填写表单。</w:t>
      </w:r>
      <w:r>
        <w:rPr>
          <w:rFonts w:hint="eastAsia"/>
          <w:lang w:eastAsia="zh-CN"/>
        </w:rPr>
        <w:t>验证身份通过后，点击“下一步”按钮进入表单填写页面，如下图所示：</w:t>
      </w:r>
    </w:p>
    <w:p>
      <w:pPr>
        <w:pStyle w:val="2"/>
      </w:pPr>
      <w:r>
        <w:drawing>
          <wp:inline distT="0" distB="0" distL="114300" distR="114300">
            <wp:extent cx="5272405" cy="3514725"/>
            <wp:effectExtent l="0" t="0" r="4445" b="9525"/>
            <wp:docPr id="74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若有联合开发的建设单位，可一同录入，所有字段都为必填项。点击“添加”图标，可新增一行申请单位录入信息。如下图所示：</w:t>
      </w:r>
    </w:p>
    <w:p>
      <w:pPr>
        <w:pStyle w:val="2"/>
      </w:pPr>
      <w:r>
        <w:drawing>
          <wp:inline distT="0" distB="0" distL="114300" distR="114300">
            <wp:extent cx="5264785" cy="1043305"/>
            <wp:effectExtent l="0" t="0" r="12065" b="4445"/>
            <wp:docPr id="80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物业区域名称”输入框中输入关键字，点击“选择物业区域”按钮可根据关键字筛选小区。物业区域名称以列表中选中的名称为准。若无法找到需要的物业区域，请访问“深圳市住房和建设局”微信公众号，由企业经办人通过广东省统一身份认证平台注册的企业法人账号在'业务办理'-'物业'-'物业服务'-'项目管理'功能中申请新增物业项目，待审批通过后开展相关业务。如有疑问，可拨打82794696，或加入QQ群：1005697582进行咨询。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5290185" cy="3413760"/>
            <wp:effectExtent l="0" t="0" r="5715" b="15240"/>
            <wp:docPr id="8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选择“栋竣工时段”，可选择如下三个时间段：</w:t>
      </w:r>
    </w:p>
    <w:p>
      <w:pPr>
        <w:pStyle w:val="2"/>
        <w:numPr>
          <w:ilvl w:val="-1"/>
          <w:numId w:val="0"/>
        </w:numPr>
        <w:ind w:left="0" w:leftChars="0" w:firstLine="0" w:firstLineChars="0"/>
      </w:pPr>
      <w:r>
        <w:drawing>
          <wp:inline distT="0" distB="0" distL="114300" distR="114300">
            <wp:extent cx="5269865" cy="1468120"/>
            <wp:effectExtent l="0" t="0" r="6985" b="17780"/>
            <wp:docPr id="79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选择2010年9月10日前竣工物业项目。需填写地价、建安总造价，且建安总造价需大于0 。如下图所示：</w:t>
      </w:r>
    </w:p>
    <w:p>
      <w:pPr>
        <w:pStyle w:val="2"/>
        <w:numPr>
          <w:ilvl w:val="0"/>
          <w:numId w:val="0"/>
        </w:numPr>
        <w:ind w:leftChars="0"/>
        <w:rPr>
          <w:rFonts w:hint="eastAsia" w:eastAsia="仿宋"/>
          <w:sz w:val="28"/>
          <w:lang w:val="en-US" w:eastAsia="zh-CN"/>
        </w:rPr>
      </w:pPr>
      <w:r>
        <w:drawing>
          <wp:inline distT="0" distB="0" distL="114300" distR="114300">
            <wp:extent cx="5268595" cy="2847975"/>
            <wp:effectExtent l="0" t="0" r="8255" b="9525"/>
            <wp:docPr id="8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选择2010年9月10日至2021年3月10日竣工物业项目。需录入所有项目栋对应的汇总数据。如下图所示：</w:t>
      </w:r>
    </w:p>
    <w:p>
      <w:pPr>
        <w:pStyle w:val="2"/>
        <w:numPr>
          <w:ilvl w:val="-1"/>
          <w:numId w:val="0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3656330"/>
            <wp:effectExtent l="0" t="0" r="7620" b="1270"/>
            <wp:docPr id="8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0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选择2021年3月10日后竣工物业项目。需录入所有项目栋对应的汇总数据。如下图所示：</w:t>
      </w:r>
    </w:p>
    <w:p>
      <w:pPr>
        <w:pStyle w:val="2"/>
        <w:numPr>
          <w:ilvl w:val="-1"/>
          <w:numId w:val="0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3844925"/>
            <wp:effectExtent l="0" t="0" r="2540" b="3175"/>
            <wp:docPr id="90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1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填写项目栋相关信息，如需添加多个项目栋请点击</w:t>
      </w:r>
      <w:r>
        <w:rPr>
          <w:rFonts w:hint="eastAsia"/>
          <w:lang w:val="en-US" w:eastAsia="zh-CN"/>
        </w:rPr>
        <w:drawing>
          <wp:inline distT="0" distB="0" distL="114300" distR="114300">
            <wp:extent cx="219075" cy="171450"/>
            <wp:effectExtent l="0" t="0" r="9525" b="0"/>
            <wp:docPr id="82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按钮进行添加，如下图所示：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5273675" cy="1062355"/>
            <wp:effectExtent l="0" t="0" r="3175" b="4445"/>
            <wp:docPr id="91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2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注意：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宗地号、本次缴交总栋数、总建筑面积、栋竣工日期需要与项目栋列表中数据保持一致。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设施设备信息，如需批量添加请点击“模板下载”按钮下载设备清单模板，根据模板中的填写说明填好信息并保存文件，点击“导入”按钮进行导入，如需导出设备清单请点击“导出”按钮进行导出，如需添加设备信息请点击“添加”按钮进行添加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858520"/>
            <wp:effectExtent l="0" t="0" r="3175" b="17780"/>
            <wp:docPr id="9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6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-1"/>
          <w:numId w:val="0"/>
        </w:numPr>
        <w:ind w:left="0" w:leftChars="0" w:firstLine="562" w:firstLineChars="200"/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注意：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设施设备清单，要求每个设备分类都必须录入至少一个设备。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如需暂时保存信息请点击“暂存”按钮，如需要返回请点击“上一步”按钮，确认信息无误后点击“下一步”按钮。如下图所示：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6690" cy="3602355"/>
            <wp:effectExtent l="0" t="0" r="10160" b="17145"/>
            <wp:docPr id="100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7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第三步：上传材料。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上传附件点击“上传附件”按钮进行上传对应的附件，如需暂时保存信息请点击“暂存”按钮，如需要返回请点击“上一步”按钮，确认信息无误后点击“提交”按钮，完成首期缴交申请。如下图所示：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245" cy="3184525"/>
            <wp:effectExtent l="0" t="0" r="14605" b="15875"/>
            <wp:docPr id="105" name="图片 105" descr="MC]QZH{J%HX)G{}Y9UTN)_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MC]QZH{J%HX)G{}Y9UTN)_S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第四步：提交申请。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提交后，点击“打印回执”按钮，可进入打印回执页面。如下图所示：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489200"/>
            <wp:effectExtent l="0" t="0" r="10160" b="6350"/>
            <wp:docPr id="72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kern w:val="0"/>
          <w:sz w:val="28"/>
          <w:szCs w:val="28"/>
          <w:shd w:val="clear" w:fill="FFFFFF"/>
          <w:lang w:val="en-US" w:eastAsia="zh-CN" w:bidi="ar"/>
        </w:rPr>
        <w:t>温馨提示：</w:t>
      </w:r>
      <w:r>
        <w:rPr>
          <w:rFonts w:hint="eastAsia" w:ascii="仿宋" w:hAnsi="仿宋" w:eastAsia="仿宋" w:cs="仿宋"/>
          <w:i w:val="0"/>
          <w:caps w:val="0"/>
          <w:color w:val="FF0000"/>
          <w:spacing w:val="0"/>
          <w:kern w:val="0"/>
          <w:sz w:val="28"/>
          <w:szCs w:val="28"/>
          <w:shd w:val="clear" w:fill="FFFFFF"/>
          <w:lang w:val="en-US" w:eastAsia="zh-CN" w:bidi="ar"/>
        </w:rPr>
        <w:t>请务必在收到提示预审通过的短信后，再打印本业务事项申请表（表格右上方带有申办流水号，无需上传电子件），相关材料需按收件要求经盖章（签字）后一并递交收件窗口。提前打印申请表会影响业务正常受理，请勿提前打印！</w:t>
      </w:r>
    </w:p>
    <w:p>
      <w:pPr>
        <w:pStyle w:val="5"/>
        <w:bidi w:val="0"/>
        <w:rPr>
          <w:rFonts w:hint="eastAsia" w:eastAsia="仿宋" w:asciiTheme="minorAscii" w:hAnsiTheme="minorAscii" w:cstheme="minorBidi"/>
          <w:b/>
          <w:kern w:val="2"/>
          <w:sz w:val="32"/>
          <w:szCs w:val="24"/>
          <w:lang w:val="en-US" w:eastAsia="zh-CN" w:bidi="ar-SA"/>
        </w:rPr>
      </w:pPr>
      <w:bookmarkStart w:id="9" w:name="_Toc883017352"/>
      <w:bookmarkStart w:id="10" w:name="_Toc1299735179"/>
      <w:bookmarkStart w:id="11" w:name="_Toc15832"/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历史违建</w:t>
      </w:r>
      <w:bookmarkEnd w:id="9"/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通过浏览器搜索“广东政务服务网”，进入广东政务服务网官方网站。如下图所示：</w:t>
      </w:r>
    </w:p>
    <w:p>
      <w:pPr>
        <w:pStyle w:val="2"/>
        <w:jc w:val="center"/>
        <w:rPr>
          <w:sz w:val="24"/>
          <w:szCs w:val="24"/>
        </w:rPr>
      </w:pPr>
      <w:r>
        <w:drawing>
          <wp:inline distT="0" distB="0" distL="114300" distR="114300">
            <wp:extent cx="5271135" cy="3583305"/>
            <wp:effectExtent l="0" t="0" r="5715" b="17145"/>
            <wp:docPr id="10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在“请输入您要办理的事项”框中输入“物业专项维修资金（首期）缴交（历史违建）”，点击“搜索”按钮。如下图所示：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3629660"/>
            <wp:effectExtent l="0" t="0" r="10795" b="8890"/>
            <wp:docPr id="1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3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在“办事服务”中点击“物业专项维修资金（首期）缴交（历史违建）”后的“在线办理”按钮，如下图所示：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355215"/>
            <wp:effectExtent l="0" t="0" r="10160" b="6985"/>
            <wp:docPr id="1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4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如当前未登录，则会跳转至广东省统一身份认证平台登录页面。如下图所示：</w:t>
      </w:r>
    </w:p>
    <w:p>
      <w:pPr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1770" cy="2668905"/>
            <wp:effectExtent l="0" t="0" r="5080" b="17145"/>
            <wp:docPr id="10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您可以使用微信“扫一扫”登录，如使用微信“扫一扫”登录请按照微信提示步骤进行登录操作。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您也可以使用账号登录，如使用账号登录请点击“账号密码”（如下图所示），在账号密码页面输入账号密码，如登录提示“账号或密码错误”，请自行确认账号及密码是否正确；如遗忘密码/账户，可在登录右下角点击找回密码/账号进行找回；如果未注册账号，请先注册广东省统一身份认证平台的账号。</w:t>
      </w:r>
    </w:p>
    <w:p>
      <w:pPr>
        <w:pStyle w:val="2"/>
        <w:jc w:val="left"/>
      </w:pPr>
      <w:r>
        <w:drawing>
          <wp:inline distT="0" distB="0" distL="114300" distR="114300">
            <wp:extent cx="5260340" cy="2308860"/>
            <wp:effectExtent l="0" t="0" r="16510" b="15240"/>
            <wp:docPr id="11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登录后进入“物业专项维修资金（首期）缴交（历史违建）”办理页面。如下图所示：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3040" cy="3382645"/>
            <wp:effectExtent l="0" t="0" r="3810" b="8255"/>
            <wp:docPr id="1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5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第一步：条件自检。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点击下拉框选择办理区域，如下图所示：</w:t>
      </w:r>
    </w:p>
    <w:p>
      <w:pPr>
        <w:pStyle w:val="2"/>
      </w:pPr>
      <w:r>
        <w:drawing>
          <wp:inline distT="0" distB="0" distL="114300" distR="114300">
            <wp:extent cx="5268595" cy="3804285"/>
            <wp:effectExtent l="0" t="0" r="4445" b="5715"/>
            <wp:docPr id="1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选中“默认情形”选项，如下图所示：</w:t>
      </w:r>
    </w:p>
    <w:p>
      <w:pPr>
        <w:pStyle w:val="2"/>
      </w:pPr>
      <w:r>
        <w:drawing>
          <wp:inline distT="0" distB="0" distL="114300" distR="114300">
            <wp:extent cx="5267325" cy="3815080"/>
            <wp:effectExtent l="0" t="0" r="5715" b="10160"/>
            <wp:docPr id="2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确认信息无误并已阅读了《服务协议》和《申办知情同意书》后选中勾选框，点击“下一步”按钮，如下图所示：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9865" cy="3332480"/>
            <wp:effectExtent l="0" t="0" r="3175" b="5080"/>
            <wp:docPr id="2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在进入到“物业专项维修资金（首期）缴交（历史违建适用）”表单填写页面之前，需要进行身份验证，如下图所示：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428875" cy="2176145"/>
            <wp:effectExtent l="0" t="0" r="0" b="0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14"/>
                    <a:srcRect l="26985" t="2910" r="26853" b="16663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第二步：填写表单。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验证身份通过后，点击“下一步”按钮进入表单填写页面，如下图所示：</w:t>
      </w:r>
    </w:p>
    <w:p>
      <w:pPr>
        <w:pStyle w:val="2"/>
      </w:pPr>
      <w:r>
        <w:drawing>
          <wp:inline distT="0" distB="0" distL="114300" distR="114300">
            <wp:extent cx="5271135" cy="3558540"/>
            <wp:effectExtent l="0" t="0" r="1905" b="7620"/>
            <wp:docPr id="2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若有联合开发的建设单位，可一同录入，所有字段都为必填项。点击“添加”图标，可新增一行申请单位录入信息。如下图所示：</w:t>
      </w:r>
    </w:p>
    <w:p>
      <w:pPr>
        <w:pStyle w:val="2"/>
      </w:pPr>
      <w:r>
        <w:drawing>
          <wp:inline distT="0" distB="0" distL="114300" distR="114300">
            <wp:extent cx="5266055" cy="918845"/>
            <wp:effectExtent l="0" t="0" r="6985" b="10795"/>
            <wp:docPr id="2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/>
          <w:lang w:val="en-US" w:eastAsia="zh-CN"/>
        </w:rPr>
        <w:t>在“物业区域名称”输入框中输入关键字，点击“选择物业区域”按钮可根据关键字筛选小区。物业区域名称以列表中选中的名称为准。若无法找到需要的物业区域，请访问“深圳市住房和建设局”微信公众号，由企业经办人通过广东省统一身份认证平台注册的企业法人账号在'业务办理'-'物业'-'物业服务'-'项目管理'功能中申请新增物业项目，待审批通过后开展相关业务。如有疑问，可拨打82794696，或加入QQ群：1005697582进行咨询。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5267325" cy="1292860"/>
            <wp:effectExtent l="0" t="0" r="0" b="0"/>
            <wp:docPr id="25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true"/>
                    </pic:cNvPicPr>
                  </pic:nvPicPr>
                  <pic:blipFill>
                    <a:blip r:embed="rId36"/>
                    <a:srcRect b="618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选择“开具处理证明日期”，只能选择2012年3月1日及之后的日期。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398270"/>
            <wp:effectExtent l="0" t="0" r="0" b="3810"/>
            <wp:docPr id="26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以下信息，除“土地面积”、“土地性质”外，其他信息需录入所有项目栋对应的汇总数据。如下图所示：</w:t>
      </w:r>
    </w:p>
    <w:p>
      <w:pPr>
        <w:pStyle w:val="2"/>
        <w:numPr>
          <w:ilvl w:val="-1"/>
          <w:numId w:val="0"/>
        </w:numPr>
        <w:rPr>
          <w:rFonts w:hint="default" w:eastAsia="仿宋"/>
          <w:sz w:val="24"/>
          <w:lang w:val="en-US" w:eastAsia="zh-CN"/>
        </w:rPr>
      </w:pPr>
    </w:p>
    <w:p>
      <w:pPr>
        <w:pStyle w:val="2"/>
        <w:numPr>
          <w:ilvl w:val="-1"/>
          <w:numId w:val="0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3754755"/>
            <wp:effectExtent l="0" t="0" r="6350" b="9525"/>
            <wp:docPr id="27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-1"/>
          <w:numId w:val="0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填写项目栋相关信息，如需添加多个项目栋请点击</w:t>
      </w:r>
      <w:r>
        <w:rPr>
          <w:rFonts w:hint="eastAsia"/>
          <w:lang w:val="en-US" w:eastAsia="zh-CN"/>
        </w:rPr>
        <w:drawing>
          <wp:inline distT="0" distB="0" distL="114300" distR="114300">
            <wp:extent cx="219075" cy="171450"/>
            <wp:effectExtent l="0" t="0" r="9525" b="11430"/>
            <wp:docPr id="12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按钮进行添加，如下图所示：</w:t>
      </w:r>
    </w:p>
    <w:p>
      <w:pPr>
        <w:pStyle w:val="2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5273040" cy="1003935"/>
            <wp:effectExtent l="0" t="0" r="0" b="1905"/>
            <wp:docPr id="28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设施设备信息，如需批量添加请点击“模板下载”按钮下载设备清单模板，根据模板中的填写说明填好信息并保存文件，点击“导入”按钮进行导入，如需导出设备清单请点击“导出”按钮进行导出，如需添加设备信息请点击“添加”按钮进行添加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drawing>
          <wp:inline distT="0" distB="0" distL="114300" distR="114300">
            <wp:extent cx="5273040" cy="911860"/>
            <wp:effectExtent l="0" t="0" r="0" b="2540"/>
            <wp:docPr id="29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-1"/>
          <w:numId w:val="0"/>
        </w:numPr>
        <w:ind w:left="0" w:leftChars="0" w:firstLine="562" w:firstLineChars="200"/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注意：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设施设备清单，要求每个设备分类都必须录入至少一个设备。</w:t>
      </w:r>
    </w:p>
    <w:p>
      <w:pPr>
        <w:pStyle w:val="2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如需暂时保存信息请点击“暂存”按钮，如需要返回请点击“上一步”按钮，确认信息无误后点击“下一步”按钮。如下图所示：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eastAsia="zh-CN"/>
        </w:rPr>
      </w:pPr>
      <w:r>
        <w:drawing>
          <wp:inline distT="0" distB="0" distL="114300" distR="114300">
            <wp:extent cx="5265420" cy="2367915"/>
            <wp:effectExtent l="0" t="0" r="7620" b="9525"/>
            <wp:docPr id="31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第三步：上传材料。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上传附件点击“上传附件”按钮进行上传对应的附件，如需暂时保存信息请点击“暂存”按钮，如需要返回请点击“上一步”按钮，确认信息无误后点击“提交”按钮，完成首期缴交申请。如下图所示：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3117850"/>
            <wp:effectExtent l="0" t="0" r="2540" b="6350"/>
            <wp:docPr id="32" name="图片 32" descr="aee470e9b9dcf2f01df63cdb3c506d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ee470e9b9dcf2f01df63cdb3c506d8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第四步：提交申请。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提交后，点击“打印回执”按钮，可进入打印回执页面。如下图所示：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489200"/>
            <wp:effectExtent l="0" t="0" r="6350" b="10160"/>
            <wp:docPr id="17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jc w:val="left"/>
        <w:rPr>
          <w:rFonts w:hint="eastAsia"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kern w:val="0"/>
          <w:sz w:val="28"/>
          <w:szCs w:val="28"/>
          <w:shd w:val="clear" w:fill="FFFFFF"/>
          <w:lang w:val="en-US" w:eastAsia="zh-CN" w:bidi="ar"/>
        </w:rPr>
        <w:t>温馨提示：</w:t>
      </w:r>
      <w:r>
        <w:rPr>
          <w:rFonts w:hint="eastAsia" w:ascii="仿宋" w:hAnsi="仿宋" w:eastAsia="仿宋" w:cs="仿宋"/>
          <w:i w:val="0"/>
          <w:caps w:val="0"/>
          <w:color w:val="FF0000"/>
          <w:spacing w:val="0"/>
          <w:kern w:val="0"/>
          <w:sz w:val="28"/>
          <w:szCs w:val="28"/>
          <w:shd w:val="clear" w:fill="FFFFFF"/>
          <w:lang w:val="en-US" w:eastAsia="zh-CN" w:bidi="ar"/>
        </w:rPr>
        <w:t>请务必在收到提示预审通过的短信后，再打印本业务事项申请表（表格右上方带有申办流水号，无需上传电子件），相关材料需按收件要求经盖章（签字）后一并递交收件窗口。提前打印申请表会影响业务正常受理，请勿提前打印！</w:t>
      </w:r>
    </w:p>
    <w:p>
      <w:pPr>
        <w:pStyle w:val="5"/>
        <w:bidi w:val="0"/>
        <w:rPr>
          <w:rFonts w:hint="eastAsia" w:eastAsia="仿宋" w:asciiTheme="minorAscii" w:hAnsiTheme="minorAscii" w:cstheme="minorBidi"/>
          <w:b/>
          <w:kern w:val="2"/>
          <w:sz w:val="32"/>
          <w:szCs w:val="24"/>
          <w:lang w:val="en-US" w:eastAsia="zh-CN" w:bidi="ar-SA"/>
        </w:rPr>
      </w:pPr>
      <w:bookmarkStart w:id="12" w:name="_Toc1213661417"/>
      <w:bookmarkStart w:id="13" w:name="_Toc558945161"/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单一产权性质变更</w:t>
      </w:r>
      <w:bookmarkEnd w:id="12"/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通过浏览器搜索“广东政务服务网”，进入广东政务服务网官方网站。如下图所示：</w:t>
      </w:r>
    </w:p>
    <w:p>
      <w:pPr>
        <w:pStyle w:val="2"/>
        <w:jc w:val="center"/>
        <w:rPr>
          <w:sz w:val="24"/>
          <w:szCs w:val="24"/>
        </w:rPr>
      </w:pPr>
      <w:r>
        <w:drawing>
          <wp:inline distT="0" distB="0" distL="114300" distR="114300">
            <wp:extent cx="5271135" cy="3583305"/>
            <wp:effectExtent l="0" t="0" r="5715" b="17145"/>
            <wp:docPr id="11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在“请输入您要办理的事项”框中输入“单一产权性质变更补缴物业专项维修资金（首期）”，点击“搜索”按钮。如下图所示：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3738245"/>
            <wp:effectExtent l="0" t="0" r="2540" b="14605"/>
            <wp:docPr id="12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7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在“办事服务”中点击“单一产权性质变更补缴物业专项维修资金（首期）”后的“在线办理”按钮，如下图所示：</w:t>
      </w:r>
    </w:p>
    <w:p>
      <w:pPr>
        <w:bidi w:val="0"/>
      </w:pPr>
      <w:r>
        <w:drawing>
          <wp:inline distT="0" distB="0" distL="114300" distR="114300">
            <wp:extent cx="5266690" cy="2490470"/>
            <wp:effectExtent l="0" t="0" r="10160" b="5080"/>
            <wp:docPr id="12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8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如当前未登录，则会跳转至广东省统一身份认证平台登录页面。如下图所示：</w:t>
      </w:r>
    </w:p>
    <w:p>
      <w:pPr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1770" cy="2668905"/>
            <wp:effectExtent l="0" t="0" r="5080" b="17145"/>
            <wp:docPr id="12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您可以使用微信“扫一扫”登录，如使用微信“扫一扫”登录请按照微信提示步骤进行登录操作。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您也可以使用账号登录，如使用账号登录请点击“账号密码”（如下图所示），在账号密码页面输入账号密码，如登录提示“账号或密码错误”，请自行确认账号及密码是否正确；如遗忘密码/账户，可在登录右下角点击找回密码/账号进行找回；如果未注册账号，请先注册广东省统一身份认证平台的账号。</w:t>
      </w:r>
    </w:p>
    <w:p>
      <w:pPr>
        <w:pStyle w:val="2"/>
        <w:jc w:val="left"/>
      </w:pPr>
      <w:r>
        <w:drawing>
          <wp:inline distT="0" distB="0" distL="114300" distR="114300">
            <wp:extent cx="5260340" cy="2308860"/>
            <wp:effectExtent l="0" t="0" r="12700" b="7620"/>
            <wp:docPr id="124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登录后进入“单一产权性质变更补缴物业专项维修资金（首期）”办理页面。如下图所示：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3040" cy="3345815"/>
            <wp:effectExtent l="0" t="0" r="3810" b="6985"/>
            <wp:docPr id="12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9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第一步：条件自检。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点击下拉框选择办理区域，如下图所示：</w:t>
      </w:r>
    </w:p>
    <w:p>
      <w:pPr>
        <w:pStyle w:val="2"/>
      </w:pPr>
      <w:r>
        <w:drawing>
          <wp:inline distT="0" distB="0" distL="114300" distR="114300">
            <wp:extent cx="5271135" cy="3616960"/>
            <wp:effectExtent l="0" t="0" r="1905" b="10160"/>
            <wp:docPr id="50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选中“默认情形”选项，如下图所示：</w:t>
      </w:r>
    </w:p>
    <w:p>
      <w:pPr>
        <w:pStyle w:val="2"/>
      </w:pPr>
      <w:r>
        <w:drawing>
          <wp:inline distT="0" distB="0" distL="114300" distR="114300">
            <wp:extent cx="5265420" cy="3692525"/>
            <wp:effectExtent l="0" t="0" r="7620" b="10795"/>
            <wp:docPr id="51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确认信息无误并已阅读了《服务协议》和《申办知情同意书》后选中勾选框，点击“下一步”按钮，如下图所示：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0500" cy="3419475"/>
            <wp:effectExtent l="0" t="0" r="2540" b="9525"/>
            <wp:docPr id="52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在进入到“单一产权性质变更补缴物业专项维修资金（首期）”表单填写页面之前，需要进行身份验证，如下图所示：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437130" cy="2211705"/>
            <wp:effectExtent l="0" t="0" r="0" b="0"/>
            <wp:docPr id="37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true"/>
                    </pic:cNvPicPr>
                  </pic:nvPicPr>
                  <pic:blipFill>
                    <a:blip r:embed="rId14"/>
                    <a:srcRect l="26901" t="3074" r="26780" b="15184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第二步：填写表单。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验证身份通过后，点击“下一步”按钮进入表单填写页面，如下图所示：</w:t>
      </w:r>
    </w:p>
    <w:p>
      <w:pPr>
        <w:pStyle w:val="2"/>
      </w:pPr>
      <w:r>
        <w:drawing>
          <wp:inline distT="0" distB="0" distL="114300" distR="114300">
            <wp:extent cx="5267325" cy="3594735"/>
            <wp:effectExtent l="0" t="0" r="5715" b="1905"/>
            <wp:docPr id="53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若有联合开发的建设单位，可一同录入，所有字段都为必填项。点击“添加”图标，可新增一行申请单位录入信息。如下图所示：</w:t>
      </w:r>
    </w:p>
    <w:p>
      <w:pPr>
        <w:pStyle w:val="2"/>
      </w:pPr>
      <w:r>
        <w:drawing>
          <wp:inline distT="0" distB="0" distL="114300" distR="114300">
            <wp:extent cx="5266055" cy="918845"/>
            <wp:effectExtent l="0" t="0" r="6985" b="10795"/>
            <wp:docPr id="3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“物业区域名称”输入框中输入关键字，点击“选择物业区域”按钮可根据关键字筛选小区。物业区域名称以列表中选中的名称为准。若无法找到需要的物业区域，请访问“深圳市住房和建设局”微信公众号，由企业经办人通过广东省统一身份认证平台注册的企业法人账号在</w:t>
      </w:r>
      <w:r>
        <w:rPr>
          <w:rFonts w:hint="eastAsia"/>
          <w:lang w:val="en-US" w:eastAsia="zh-CN"/>
        </w:rPr>
        <w:t>'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业务办理</w:t>
      </w:r>
      <w:r>
        <w:rPr>
          <w:rFonts w:hint="eastAsia"/>
          <w:lang w:val="en-US" w:eastAsia="zh-CN"/>
        </w:rPr>
        <w:t>'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-</w:t>
      </w:r>
      <w:r>
        <w:rPr>
          <w:rFonts w:hint="eastAsia"/>
          <w:lang w:val="en-US" w:eastAsia="zh-CN"/>
        </w:rPr>
        <w:t>'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物业</w:t>
      </w:r>
      <w:r>
        <w:rPr>
          <w:rFonts w:hint="eastAsia"/>
          <w:lang w:val="en-US" w:eastAsia="zh-CN"/>
        </w:rPr>
        <w:t>'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-</w:t>
      </w:r>
      <w:r>
        <w:rPr>
          <w:rFonts w:hint="eastAsia"/>
          <w:lang w:val="en-US" w:eastAsia="zh-CN"/>
        </w:rPr>
        <w:t>'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物业服务</w:t>
      </w:r>
      <w:r>
        <w:rPr>
          <w:rFonts w:hint="eastAsia"/>
          <w:lang w:val="en-US" w:eastAsia="zh-CN"/>
        </w:rPr>
        <w:t>'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-</w:t>
      </w:r>
      <w:r>
        <w:rPr>
          <w:rFonts w:hint="eastAsia"/>
          <w:lang w:val="en-US" w:eastAsia="zh-CN"/>
        </w:rPr>
        <w:t>'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项目管理</w:t>
      </w:r>
      <w:r>
        <w:rPr>
          <w:rFonts w:hint="eastAsia"/>
          <w:lang w:val="en-US" w:eastAsia="zh-CN"/>
        </w:rPr>
        <w:t>'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功能中申请新增物业项目，待审批通过后开展相关业务。如有疑问，可拨打82794696，或加入QQ群：1005697582进行咨询。如下图所示：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055" cy="1328420"/>
            <wp:effectExtent l="0" t="0" r="6985" b="12700"/>
            <wp:docPr id="54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-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eastAsia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以下信息，除“土地面积”、“土地性质”外，其他信息需录入所有项目栋对应的汇总数据。如下图所示：</w:t>
      </w:r>
    </w:p>
    <w:p>
      <w:pPr>
        <w:pStyle w:val="2"/>
        <w:numPr>
          <w:ilvl w:val="-1"/>
          <w:numId w:val="0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3948430"/>
            <wp:effectExtent l="0" t="0" r="3810" b="13970"/>
            <wp:docPr id="55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40" w:leftChars="-5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填写项目栋相关信息，如需添加多个项目栋请点击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9075" cy="171450"/>
            <wp:effectExtent l="0" t="0" r="9525" b="11430"/>
            <wp:docPr id="44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按钮进行添加，如下图所示：</w:t>
      </w:r>
    </w:p>
    <w:p>
      <w:pPr>
        <w:pStyle w:val="2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5273040" cy="1003935"/>
            <wp:effectExtent l="0" t="0" r="0" b="1905"/>
            <wp:docPr id="45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设施设备信息，如需批量添加请点击“模板下载”按钮下载设备清单模板，根据模板中的填写说明填好信息并保存文件，点击“导入”按钮进行导入，如需导出设备清单请点击“导出”按钮进行导出，如需添加设备信息请点击“添加”按钮进行添加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5273040" cy="911860"/>
            <wp:effectExtent l="0" t="0" r="0" b="2540"/>
            <wp:docPr id="46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-1"/>
          <w:numId w:val="0"/>
        </w:numPr>
        <w:ind w:left="0" w:leftChars="0" w:firstLine="562" w:firstLineChars="200"/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注意：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设施设备清单，要求每个设备分类都必须录入至少一个设备。</w:t>
      </w:r>
    </w:p>
    <w:p>
      <w:pPr>
        <w:pStyle w:val="2"/>
        <w:pageBreakBefore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如需暂时保存信息请点击“暂存”按钮，如需要返回请点击“上一步”按钮，确认信息无误后点击“下一步”按钮。如下图所示：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eastAsia="zh-CN"/>
        </w:rPr>
      </w:pPr>
      <w:r>
        <w:drawing>
          <wp:inline distT="0" distB="0" distL="114300" distR="114300">
            <wp:extent cx="5265420" cy="2367915"/>
            <wp:effectExtent l="0" t="0" r="7620" b="9525"/>
            <wp:docPr id="47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第三步：上传材料。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上传附件点击“上传附件”按钮进行上传对应的附件，如需暂时保存信息请点击“暂存”按钮，如需要返回请点击“上一步”按钮，确认信息无误后点击“提交”按钮，完成首期缴交申请。如下图所示：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150" cy="3313430"/>
            <wp:effectExtent l="0" t="0" r="8890" b="8890"/>
            <wp:docPr id="56" name="图片 56" descr="32ead05b424fe005e529e3a236952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2ead05b424fe005e529e3a23695277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第四步：提交申请。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提交后，点击“打印回执”按钮，可进入打印回执页面。如下图所示：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489200"/>
            <wp:effectExtent l="0" t="0" r="6350" b="10160"/>
            <wp:docPr id="49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jc w:val="left"/>
        <w:rPr>
          <w:rFonts w:hint="eastAsia"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kern w:val="0"/>
          <w:sz w:val="28"/>
          <w:szCs w:val="28"/>
          <w:shd w:val="clear" w:fill="FFFFFF"/>
          <w:lang w:val="en-US" w:eastAsia="zh-CN" w:bidi="ar"/>
        </w:rPr>
        <w:t>温馨提示：</w:t>
      </w:r>
      <w:r>
        <w:rPr>
          <w:rFonts w:hint="eastAsia" w:ascii="仿宋" w:hAnsi="仿宋" w:eastAsia="仿宋" w:cs="仿宋"/>
          <w:i w:val="0"/>
          <w:caps w:val="0"/>
          <w:color w:val="FF0000"/>
          <w:spacing w:val="0"/>
          <w:kern w:val="0"/>
          <w:sz w:val="28"/>
          <w:szCs w:val="28"/>
          <w:shd w:val="clear" w:fill="FFFFFF"/>
          <w:lang w:val="en-US" w:eastAsia="zh-CN" w:bidi="ar"/>
        </w:rPr>
        <w:t>请务必在收到提示预审通过的短信后，再打印本业务事项申请表（表格右上方带有申办流水号，无需上传电子件），相关材料需按收件要求经盖章（签字）后一并递交收件窗口。提前打印申请表会影响业务正常受理，请勿提前打印！</w:t>
      </w:r>
    </w:p>
    <w:p>
      <w:pPr>
        <w:pStyle w:val="5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14" w:name="_Toc718588786"/>
      <w:bookmarkStart w:id="15" w:name="_Toc870187075"/>
      <w:r>
        <w:rPr>
          <w:rFonts w:hint="eastAsia"/>
          <w:lang w:val="en-US" w:eastAsia="zh-CN"/>
        </w:rPr>
        <w:t>首期追缴及深汕特别合作区首期缴交</w:t>
      </w:r>
      <w:bookmarkEnd w:id="11"/>
      <w:bookmarkEnd w:id="14"/>
      <w:bookmarkEnd w:id="15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点击系统左侧菜单“维修金统管”-“归集管理”-“首期缴交申请”，进入首期缴交列表页面。如下图所示：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4150" cy="2529205"/>
            <wp:effectExtent l="0" t="0" r="12700" b="4445"/>
            <wp:docPr id="13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0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点击“新增”按钮，进入新增页面。如下图所示：</w:t>
      </w:r>
    </w:p>
    <w:p>
      <w:pPr>
        <w:ind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416810"/>
            <wp:effectExtent l="0" t="0" r="5080" b="2540"/>
            <wp:docPr id="142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6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第一步：填写申请信息。</w:t>
      </w:r>
    </w:p>
    <w:p>
      <w:pPr>
        <w:numPr>
          <w:ilvl w:val="0"/>
          <w:numId w:val="3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补充申请人信息：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需填写委托代理人相关信息，所有字段均为必填。</w:t>
      </w:r>
    </w:p>
    <w:p>
      <w:pPr>
        <w:numPr>
          <w:ilvl w:val="0"/>
          <w:numId w:val="3"/>
        </w:num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填写其它单位信息：合作开发项目需填写共同申请单位信息，请点击“添加”按钮，如下图所示：</w:t>
      </w:r>
    </w:p>
    <w:p>
      <w:pPr>
        <w:numPr>
          <w:ilvl w:val="-1"/>
          <w:numId w:val="0"/>
        </w:numPr>
        <w:ind w:firstLine="0" w:firstLineChars="0"/>
      </w:pPr>
      <w:r>
        <w:drawing>
          <wp:inline distT="0" distB="0" distL="114300" distR="114300">
            <wp:extent cx="5261610" cy="622300"/>
            <wp:effectExtent l="0" t="0" r="15240" b="635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选中</w:t>
      </w:r>
      <w:r>
        <w:rPr>
          <w:rFonts w:hint="eastAsia" w:ascii="仿宋" w:hAnsi="仿宋" w:cs="仿宋"/>
          <w:sz w:val="28"/>
          <w:szCs w:val="28"/>
          <w:lang w:val="en-US" w:eastAsia="zh-CN"/>
        </w:rPr>
        <w:t>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设单位/自然人，点击“确定”，完成选择。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如下图所示：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152900" cy="276225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若选择建设单位，则需填写建设单位信息，填写完成后，点击“确定”按钮。</w:t>
      </w:r>
    </w:p>
    <w:p>
      <w:pPr>
        <w:pStyle w:val="2"/>
      </w:pPr>
      <w:r>
        <w:drawing>
          <wp:inline distT="0" distB="0" distL="114300" distR="114300">
            <wp:extent cx="5269865" cy="2591435"/>
            <wp:effectExtent l="0" t="0" r="6985" b="1841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若选择自然人，则需填写自然人信息，填写完成后，点击“确定”按钮。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392555"/>
            <wp:effectExtent l="0" t="0" r="9525" b="17145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填写完成后，页面会回显联合建设单位/自然人信息。可点击操作列的“编辑”按钮，修改申请单位信息；可点击操作列的“删除”按钮，删除该条申请单位信息。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655955"/>
            <wp:effectExtent l="0" t="0" r="12065" b="10795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选择物业区域：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点击“选择”按钮，进入选择物业区域窗口。如下图所示：</w:t>
      </w:r>
    </w:p>
    <w:p>
      <w:pPr>
        <w:numPr>
          <w:ilvl w:val="-1"/>
          <w:numId w:val="0"/>
        </w:numPr>
        <w:ind w:firstLine="0" w:firstLineChars="0"/>
      </w:pPr>
      <w:r>
        <w:drawing>
          <wp:inline distT="0" distB="0" distL="114300" distR="114300">
            <wp:extent cx="5268595" cy="2416810"/>
            <wp:effectExtent l="0" t="0" r="8255" b="2540"/>
            <wp:docPr id="145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9"/>
                    <pic:cNvPicPr>
                      <a:picLocks noChangeAspect="true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选中一个物业区域，点击“确定”按钮，完成物业区域选择。若选择的物业区域处于</w:t>
      </w:r>
      <w:r>
        <w:rPr>
          <w:rFonts w:hint="eastAsia" w:ascii="仿宋" w:hAnsi="仿宋" w:cs="仿宋"/>
          <w:sz w:val="28"/>
          <w:szCs w:val="28"/>
          <w:lang w:val="en-US" w:eastAsia="zh-CN"/>
        </w:rPr>
        <w:t>深汕特别合作区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，则办理的业务为首期缴交（</w:t>
      </w:r>
      <w:r>
        <w:rPr>
          <w:rFonts w:hint="eastAsia" w:ascii="仿宋" w:hAnsi="仿宋" w:cs="仿宋"/>
          <w:sz w:val="28"/>
          <w:szCs w:val="28"/>
          <w:lang w:val="en-US" w:eastAsia="zh-CN"/>
        </w:rPr>
        <w:t>深汕特别合作区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）业务。如未找到相关物业区域，可按列表下方的提示添加物业区域。如下图所示：</w:t>
      </w:r>
    </w:p>
    <w:p>
      <w:pPr>
        <w:numPr>
          <w:ilvl w:val="-1"/>
          <w:numId w:val="0"/>
        </w:numPr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369310"/>
            <wp:effectExtent l="0" t="0" r="10160" b="2540"/>
            <wp:docPr id="146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0"/>
                    <pic:cNvPicPr>
                      <a:picLocks noChangeAspect="true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添加项目栋信息：点击“新增”按钮，打开新增项目栋页面。如下图所示：</w:t>
      </w:r>
    </w:p>
    <w:p>
      <w:pPr>
        <w:numPr>
          <w:ilvl w:val="-1"/>
          <w:numId w:val="0"/>
        </w:numPr>
        <w:ind w:firstLine="0" w:firstLineChars="0"/>
      </w:pPr>
      <w:r>
        <w:drawing>
          <wp:inline distT="0" distB="0" distL="114300" distR="114300">
            <wp:extent cx="5265420" cy="2423160"/>
            <wp:effectExtent l="0" t="0" r="11430" b="15240"/>
            <wp:docPr id="147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31"/>
                    <pic:cNvPicPr>
                      <a:picLocks noChangeAspect="true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录入项目栋相关信息后，点击“保存”按钮完成保存。如下图所示：</w:t>
      </w:r>
    </w:p>
    <w:p>
      <w:pPr>
        <w:numPr>
          <w:ilvl w:val="-1"/>
          <w:numId w:val="0"/>
        </w:numPr>
        <w:ind w:firstLine="0" w:firstLineChars="0"/>
        <w:jc w:val="center"/>
      </w:pPr>
      <w:r>
        <w:drawing>
          <wp:inline distT="0" distB="0" distL="114300" distR="114300">
            <wp:extent cx="3839845" cy="1689735"/>
            <wp:effectExtent l="0" t="0" r="0" b="0"/>
            <wp:docPr id="148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32"/>
                    <pic:cNvPicPr>
                      <a:picLocks noChangeAspect="true"/>
                    </pic:cNvPicPr>
                  </pic:nvPicPr>
                  <pic:blipFill>
                    <a:blip r:embed="rId63"/>
                    <a:srcRect l="5842" t="14384" r="21320" b="15516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新增完项目栋后，项目栋信息会显示在项目栋列表中，点击操作列的“编辑”，可修改项目栋信息；点击“删除”，可删除该项目栋信息。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eastAsia="zh-CN"/>
        </w:rPr>
        <w:t>注意：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多个项目栋的竣工日期只能选择第一个项目栋所在的时间区间。</w:t>
      </w:r>
    </w:p>
    <w:p>
      <w:pPr>
        <w:numPr>
          <w:ilvl w:val="0"/>
          <w:numId w:val="3"/>
        </w:num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添加设施设备信息：可点击“添加”按钮，逐条录入设备信息。对于</w:t>
      </w:r>
      <w:r>
        <w:rPr>
          <w:rFonts w:hint="eastAsia" w:ascii="仿宋" w:hAnsi="仿宋" w:cs="仿宋"/>
          <w:b w:val="0"/>
          <w:bCs w:val="0"/>
          <w:sz w:val="28"/>
          <w:szCs w:val="28"/>
          <w:lang w:val="en-US" w:eastAsia="zh-CN"/>
        </w:rPr>
        <w:t>深汕特别合作区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的首期缴交业务，每个设备类型都至少录入一个设备，而追缴业务则不限制。如下图所示：</w:t>
      </w:r>
    </w:p>
    <w:p>
      <w:pPr>
        <w:numPr>
          <w:ilvl w:val="-1"/>
          <w:numId w:val="0"/>
        </w:numPr>
        <w:ind w:firstLine="0" w:firstLineChars="0"/>
      </w:pPr>
      <w:r>
        <w:drawing>
          <wp:inline distT="0" distB="0" distL="114300" distR="114300">
            <wp:extent cx="5259070" cy="2646680"/>
            <wp:effectExtent l="0" t="0" r="17780" b="1270"/>
            <wp:docPr id="149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3"/>
                    <pic:cNvPicPr>
                      <a:picLocks noChangeAspect="true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字段前面标红色“*”号的为必填项，必填项都需进行填写，才能保存，点击“保存”按钮进行保存。如下图所示：</w:t>
      </w:r>
    </w:p>
    <w:p>
      <w:pPr>
        <w:jc w:val="both"/>
      </w:pPr>
      <w:r>
        <w:drawing>
          <wp:inline distT="0" distB="0" distL="114300" distR="114300">
            <wp:extent cx="5265420" cy="2677160"/>
            <wp:effectExtent l="0" t="0" r="11430" b="8890"/>
            <wp:docPr id="153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4"/>
                    <pic:cNvPicPr>
                      <a:picLocks noChangeAspect="true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保存完设备信息后，点击操作列的“编辑”，可修改设备信息；点击“删除”，可删除该设备信息。如下图所示：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673985"/>
            <wp:effectExtent l="0" t="0" r="5080" b="12065"/>
            <wp:docPr id="154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5"/>
                    <pic:cNvPicPr>
                      <a:picLocks noChangeAspect="true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也可点击“模板下载”按钮，下载模板，线下填写完毕后进行批量导入。如下图所示：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851150"/>
            <wp:effectExtent l="0" t="0" r="10795" b="6350"/>
            <wp:docPr id="15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"/>
                    <pic:cNvPicPr>
                      <a:picLocks noChangeAspect="true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cs="仿宋"/>
          <w:sz w:val="28"/>
          <w:szCs w:val="28"/>
          <w:lang w:val="en-US" w:eastAsia="zh-CN"/>
        </w:rPr>
        <w:t>下拉选择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设施设备分类，除品牌、厂家和备注信息非必填外，其他信息都必填。</w:t>
      </w:r>
    </w:p>
    <w:p>
      <w:pPr>
        <w:numPr>
          <w:ilvl w:val="0"/>
          <w:numId w:val="3"/>
        </w:num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填写物业区域信息：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追缴业务，需要填写建安总造价和地价。如下图所示：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670810"/>
            <wp:effectExtent l="0" t="0" r="11430" b="15240"/>
            <wp:docPr id="157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6"/>
                    <pic:cNvPicPr>
                      <a:picLocks noChangeAspect="true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cs="仿宋"/>
          <w:sz w:val="28"/>
          <w:szCs w:val="28"/>
          <w:lang w:val="en-US" w:eastAsia="zh-CN"/>
        </w:rPr>
        <w:t>深汕特别合作区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的首期缴交业务，需填写土地面积、选择土地性质，备注可选填。如下图所示：</w:t>
      </w:r>
    </w:p>
    <w:p>
      <w:pPr>
        <w:pStyle w:val="2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675890"/>
            <wp:effectExtent l="0" t="0" r="12065" b="10160"/>
            <wp:docPr id="159" name="图片 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8"/>
                    <pic:cNvPicPr>
                      <a:picLocks noChangeAspect="true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第二步：上传业务要件。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根据材料要求上传对应的文件。如下图所示：</w:t>
      </w:r>
    </w:p>
    <w:p>
      <w:pPr>
        <w:ind w:firstLine="0" w:firstLine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416810"/>
            <wp:effectExtent l="0" t="0" r="11430" b="2540"/>
            <wp:docPr id="160" name="图片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39"/>
                    <pic:cNvPicPr>
                      <a:picLocks noChangeAspect="true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第三步：业务信息概览。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点击申请页右下角的“下一步”按钮，则进入业务信息概览页面。如下图所示：</w:t>
      </w:r>
    </w:p>
    <w:p>
      <w:pPr>
        <w:jc w:val="both"/>
      </w:pPr>
      <w:r>
        <w:drawing>
          <wp:inline distT="0" distB="0" distL="114300" distR="114300">
            <wp:extent cx="5262245" cy="2665730"/>
            <wp:effectExtent l="0" t="0" r="14605" b="1270"/>
            <wp:docPr id="168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40"/>
                    <pic:cNvPicPr>
                      <a:picLocks noChangeAspect="true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可对申请表进行预览，如需修改，可点击右下角的“上一步”按钮，返回申请页进行修改。如下图所示：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654300"/>
            <wp:effectExtent l="0" t="0" r="6350" b="12700"/>
            <wp:docPr id="169" name="图片 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41"/>
                    <pic:cNvPicPr>
                      <a:picLocks noChangeAspect="true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点击左上角的“其他信息”标签页，可切换查看其他信息。如下图所示：</w:t>
      </w:r>
    </w:p>
    <w:p>
      <w:pPr>
        <w:jc w:val="center"/>
      </w:pPr>
      <w:r>
        <w:drawing>
          <wp:inline distT="0" distB="0" distL="114300" distR="114300">
            <wp:extent cx="5270500" cy="2663825"/>
            <wp:effectExtent l="0" t="0" r="6350" b="3175"/>
            <wp:docPr id="170" name="图片 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42"/>
                    <pic:cNvPicPr>
                      <a:picLocks noChangeAspect="true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其他信息中，可查看材料清册，</w:t>
      </w:r>
      <w:r>
        <w:rPr>
          <w:rFonts w:hint="eastAsia" w:ascii="仿宋" w:hAnsi="仿宋" w:cs="仿宋"/>
          <w:sz w:val="28"/>
          <w:szCs w:val="28"/>
          <w:lang w:val="en-US" w:eastAsia="zh-CN"/>
        </w:rPr>
        <w:t>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窗口</w:t>
      </w:r>
      <w:r>
        <w:rPr>
          <w:rFonts w:hint="eastAsia" w:ascii="仿宋" w:hAnsi="仿宋" w:cs="仿宋"/>
          <w:sz w:val="28"/>
          <w:szCs w:val="28"/>
          <w:lang w:val="en-US" w:eastAsia="zh-CN"/>
        </w:rPr>
        <w:t>进行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交件时需准备好以下材料。如下图所示：</w:t>
      </w:r>
    </w:p>
    <w:p>
      <w:pPr>
        <w:jc w:val="center"/>
      </w:pPr>
      <w:r>
        <w:drawing>
          <wp:inline distT="0" distB="0" distL="114300" distR="114300">
            <wp:extent cx="5268595" cy="2667635"/>
            <wp:effectExtent l="0" t="0" r="8255" b="18415"/>
            <wp:docPr id="171" name="图片 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43"/>
                    <pic:cNvPicPr>
                      <a:picLocks noChangeAspect="true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第四步：提交申请。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确认信息无误后，点击“提交”按钮，提交申请。如下图所示：</w:t>
      </w:r>
    </w:p>
    <w:p>
      <w:pPr>
        <w:jc w:val="center"/>
      </w:pPr>
      <w:r>
        <w:drawing>
          <wp:inline distT="0" distB="0" distL="114300" distR="114300">
            <wp:extent cx="5265420" cy="2670810"/>
            <wp:effectExtent l="0" t="0" r="11430" b="15240"/>
            <wp:docPr id="172" name="图片 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44"/>
                    <pic:cNvPicPr>
                      <a:picLocks noChangeAspect="true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提交后，可查看窗口办理地址和咨询电话，按要求提交材料。如下图所示：</w:t>
      </w:r>
    </w:p>
    <w:p>
      <w:pPr>
        <w:jc w:val="center"/>
      </w:pPr>
      <w:r>
        <w:drawing>
          <wp:inline distT="0" distB="0" distL="114300" distR="114300">
            <wp:extent cx="4036060" cy="2219325"/>
            <wp:effectExtent l="0" t="0" r="2540" b="952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76"/>
                    <a:srcRect r="532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16" w:name="_Toc20475"/>
      <w:bookmarkStart w:id="17" w:name="_Toc995423589"/>
      <w:bookmarkStart w:id="18" w:name="_Toc1261814416"/>
      <w:r>
        <w:rPr>
          <w:rFonts w:hint="eastAsia"/>
          <w:lang w:val="en-US" w:eastAsia="zh-CN"/>
        </w:rPr>
        <w:t>编辑申请</w:t>
      </w:r>
      <w:bookmarkEnd w:id="16"/>
      <w:bookmarkEnd w:id="17"/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在广东政务服务网办理的业务事项，可在业务申办页面点击右上角的“业务中心”查看所有办事记录。如下图所示：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790950"/>
            <wp:effectExtent l="0" t="0" r="6350" b="0"/>
            <wp:docPr id="174" name="图片 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46"/>
                    <pic:cNvPicPr>
                      <a:picLocks noChangeAspect="true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办事记录列表如下图所示：</w:t>
      </w:r>
    </w:p>
    <w:p>
      <w:pPr>
        <w:pStyle w:val="2"/>
      </w:pPr>
      <w:r>
        <w:drawing>
          <wp:inline distT="0" distB="0" distL="114300" distR="114300">
            <wp:extent cx="5269230" cy="3865880"/>
            <wp:effectExtent l="0" t="0" r="7620" b="1270"/>
            <wp:docPr id="175" name="图片 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47"/>
                    <pic:cNvPicPr>
                      <a:picLocks noChangeAspect="true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未提交的业务，可直接点击“修改”按钮继续办理，如下图所示：</w:t>
      </w:r>
    </w:p>
    <w:p>
      <w:pPr>
        <w:pStyle w:val="2"/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913505"/>
            <wp:effectExtent l="0" t="0" r="8890" b="10795"/>
            <wp:docPr id="176" name="图片 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48"/>
                    <pic:cNvPicPr>
                      <a:picLocks noChangeAspect="true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在物业专项维修金管理系统办理的业务事项，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仅当办理进度为“待提交/待修改”时，可对申请单进行编辑。</w:t>
      </w:r>
    </w:p>
    <w:p>
      <w:pPr>
        <w:numPr>
          <w:ilvl w:val="-1"/>
          <w:numId w:val="0"/>
        </w:numPr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待提交：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申请人填写申请时，进行暂存，暂未提交，则办理进度为“待提交”。</w:t>
      </w:r>
    </w:p>
    <w:p>
      <w:pPr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待修改：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申请单在审核中时，若审核人进行解锁，则办理进度变为“待修改”。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在申请列表页，点击操作列的“编辑”按钮。如下图所示：</w:t>
      </w:r>
    </w:p>
    <w:p>
      <w:r>
        <w:drawing>
          <wp:inline distT="0" distB="0" distL="114300" distR="114300">
            <wp:extent cx="5268595" cy="2661285"/>
            <wp:effectExtent l="0" t="0" r="8255" b="5715"/>
            <wp:docPr id="177" name="图片 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49"/>
                    <pic:cNvPicPr>
                      <a:picLocks noChangeAspect="true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申请的编辑页面如下图所示：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677160"/>
            <wp:effectExtent l="0" t="0" r="8255" b="8890"/>
            <wp:docPr id="178" name="图片 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50"/>
                    <pic:cNvPicPr>
                      <a:picLocks noChangeAspect="true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19" w:name="_Toc1075863087"/>
      <w:bookmarkStart w:id="20" w:name="_Toc12748"/>
      <w:bookmarkStart w:id="21" w:name="_Toc1350441916"/>
      <w:r>
        <w:rPr>
          <w:rFonts w:hint="eastAsia"/>
          <w:lang w:val="en-US" w:eastAsia="zh-CN"/>
        </w:rPr>
        <w:t>删除申请</w:t>
      </w:r>
      <w:bookmarkEnd w:id="19"/>
      <w:bookmarkEnd w:id="20"/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在广东政务服务网办理的业务事项，在业务中心的办事记录列表中，勾选需要删除的申请，点击“删除”按钮可直接删除，如下图所示：</w:t>
      </w:r>
    </w:p>
    <w:p>
      <w:pPr>
        <w:numPr>
          <w:ilvl w:val="-1"/>
          <w:numId w:val="0"/>
        </w:numPr>
        <w:ind w:firstLine="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3515" cy="3683000"/>
            <wp:effectExtent l="0" t="0" r="13335" b="12700"/>
            <wp:docPr id="179" name="图片 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51"/>
                    <pic:cNvPicPr>
                      <a:picLocks noChangeAspect="true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在物业专项维修金管理系统办理的业务事项，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仅当办理进度为“待提交”时，点击操作列的“删除”按钮，确认后可直接删除申请记录。如下图所示：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683510"/>
            <wp:effectExtent l="0" t="0" r="5080" b="2540"/>
            <wp:docPr id="180" name="图片 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52"/>
                    <pic:cNvPicPr>
                      <a:picLocks noChangeAspect="true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22" w:name="_Toc972999707"/>
      <w:bookmarkStart w:id="23" w:name="_Toc12508"/>
      <w:bookmarkStart w:id="24" w:name="_Toc1468089525"/>
      <w:r>
        <w:rPr>
          <w:rFonts w:hint="eastAsia"/>
          <w:lang w:val="en-US" w:eastAsia="zh-CN"/>
        </w:rPr>
        <w:t>查看详情</w:t>
      </w:r>
      <w:bookmarkEnd w:id="22"/>
      <w:bookmarkEnd w:id="23"/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在广东政务服务网办理的业务事项，在业务中心的办事记录列表中，查看已提交的事项，点击“业务详情”按钮可查看详情，如下图所示：</w:t>
      </w:r>
    </w:p>
    <w:p>
      <w:pPr>
        <w:ind w:firstLine="0" w:firstLineChars="0"/>
      </w:pPr>
      <w:r>
        <w:drawing>
          <wp:inline distT="0" distB="0" distL="114300" distR="114300">
            <wp:extent cx="5268595" cy="3332480"/>
            <wp:effectExtent l="0" t="0" r="8255" b="1270"/>
            <wp:docPr id="181" name="图片 5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53"/>
                    <pic:cNvPicPr>
                      <a:picLocks noChangeAspect="true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详情页面如下图所示：</w:t>
      </w:r>
    </w:p>
    <w:p>
      <w:pPr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253615"/>
            <wp:effectExtent l="0" t="0" r="5715" b="13335"/>
            <wp:docPr id="182" name="图片 5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54"/>
                    <pic:cNvPicPr>
                      <a:picLocks noChangeAspect="true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在物业专项维修金管理系统办理的业务事项，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点击操作列的“查看详情”按钮，可查看申请单的详情。如下图所示：</w:t>
      </w:r>
    </w:p>
    <w:p>
      <w:r>
        <w:drawing>
          <wp:inline distT="0" distB="0" distL="114300" distR="114300">
            <wp:extent cx="5271770" cy="2658110"/>
            <wp:effectExtent l="0" t="0" r="5080" b="8890"/>
            <wp:docPr id="183" name="图片 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55"/>
                    <pic:cNvPicPr>
                      <a:picLocks noChangeAspect="true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详情页面如下图所示：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838450"/>
            <wp:effectExtent l="0" t="0" r="3175" b="0"/>
            <wp:docPr id="185" name="图片 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57"/>
                    <pic:cNvPicPr>
                      <a:picLocks noChangeAspect="true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75" w:leftChars="0" w:hanging="575" w:firstLineChars="0"/>
        <w:rPr>
          <w:rFonts w:hint="eastAsia" w:ascii="仿宋" w:hAnsi="仿宋" w:cs="仿宋"/>
          <w:lang w:val="en-US" w:eastAsia="zh-CN"/>
        </w:rPr>
      </w:pPr>
      <w:bookmarkStart w:id="25" w:name="_Toc16018"/>
      <w:bookmarkStart w:id="26" w:name="_Toc777309032"/>
      <w:bookmarkStart w:id="27" w:name="_Toc1730128597"/>
      <w:r>
        <w:rPr>
          <w:rFonts w:hint="eastAsia"/>
          <w:lang w:val="en-US" w:eastAsia="zh-CN"/>
        </w:rPr>
        <w:t>打印</w:t>
      </w:r>
      <w:bookmarkEnd w:id="25"/>
      <w:bookmarkEnd w:id="26"/>
      <w:bookmarkEnd w:id="27"/>
    </w:p>
    <w:p>
      <w:pPr>
        <w:numPr>
          <w:ilvl w:val="0"/>
          <w:numId w:val="7"/>
        </w:numPr>
        <w:ind w:firstLine="560" w:firstLineChars="200"/>
        <w:rPr>
          <w:rFonts w:hint="eastAsia"/>
          <w:sz w:val="24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在广东政务服务网办理的业务事项，在业务中心的办事记录列表中，查看已提交的事项，点击“业务详情”按钮可查看详情，切换至表单信息页面，点击“打印”按钮，如下图所示：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135" cy="2253615"/>
            <wp:effectExtent l="0" t="0" r="5715" b="13335"/>
            <wp:docPr id="187" name="图片 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59"/>
                    <pic:cNvPicPr>
                      <a:picLocks noChangeAspect="true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0" w:firstLineChars="200"/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根据实际选择打印的表格模板，点击“选择”按钮，即可打开预览页面。如下图所示：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010150" cy="3124200"/>
            <wp:effectExtent l="0" t="0" r="0" b="0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打印预览页面如下图所示：</w:t>
      </w:r>
    </w:p>
    <w:p>
      <w:pPr>
        <w:pStyle w:val="2"/>
        <w:ind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989830" cy="1878330"/>
            <wp:effectExtent l="0" t="0" r="1270" b="7620"/>
            <wp:docPr id="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true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在物业专项维修金管理系统办理的业务事项，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点击操作列的“打印”按钮，可选择要打印的文书。如下图所示：</w:t>
      </w:r>
    </w:p>
    <w:p>
      <w:pPr>
        <w:pStyle w:val="2"/>
        <w:rPr>
          <w:rFonts w:hint="default" w:ascii="仿宋" w:hAnsi="仿宋" w:cs="仿宋"/>
          <w:lang w:val="en-US" w:eastAsia="zh-CN"/>
        </w:rPr>
      </w:pPr>
      <w:r>
        <w:drawing>
          <wp:inline distT="0" distB="0" distL="114300" distR="114300">
            <wp:extent cx="5271770" cy="2677160"/>
            <wp:effectExtent l="0" t="0" r="5080" b="8890"/>
            <wp:docPr id="191" name="图片 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61"/>
                    <pic:cNvPicPr>
                      <a:picLocks noChangeAspect="true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打印预览页面如下图所示：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6350" b="8890"/>
            <wp:docPr id="3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true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业务办理完成后打印缴交通知书，办理进度变为“待交款”，申请人将应缴金额转账至首期缴交通知书上的银行账户即可。如下图所示：</w:t>
      </w:r>
    </w:p>
    <w:p>
      <w:pPr>
        <w:pStyle w:val="2"/>
        <w:ind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670810"/>
            <wp:effectExtent l="0" t="0" r="8255" b="15240"/>
            <wp:docPr id="193" name="图片 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62"/>
                    <pic:cNvPicPr>
                      <a:picLocks noChangeAspect="true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8" w:name="_Toc19309"/>
      <w:bookmarkStart w:id="29" w:name="_Toc1531675350"/>
      <w:bookmarkStart w:id="30" w:name="_Toc703971142"/>
      <w:r>
        <w:rPr>
          <w:rFonts w:hint="eastAsia"/>
          <w:lang w:val="en-US" w:eastAsia="zh-CN"/>
        </w:rPr>
        <w:t>核发首期缴交证明</w:t>
      </w:r>
      <w:bookmarkEnd w:id="28"/>
      <w:bookmarkEnd w:id="29"/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若为首期新盘、历史违建、单一产权性质变更业务，申请人可直接进入物业专项维修金管理系统打印首期缴交证明。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点击系统左侧菜单“维修金统管”-“归集管理”-“核发首期缴交证明”，进入列表页面。点击操作列的“打印”按钮，在下拉框中选择“首期缴交证明”，如下图所示：</w:t>
      </w:r>
    </w:p>
    <w:p>
      <w:r>
        <w:drawing>
          <wp:inline distT="0" distB="0" distL="114300" distR="114300">
            <wp:extent cx="5265420" cy="2581910"/>
            <wp:effectExtent l="0" t="0" r="11430" b="8890"/>
            <wp:docPr id="194" name="图片 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63"/>
                    <pic:cNvPicPr>
                      <a:picLocks noChangeAspect="true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首期缴交证明预览页面如下图所示：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715895"/>
            <wp:effectExtent l="0" t="0" r="4445" b="8255"/>
            <wp:docPr id="195" name="图片 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64"/>
                    <pic:cNvPicPr>
                      <a:picLocks noChangeAspect="true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1" w:name="_Toc16083"/>
      <w:bookmarkStart w:id="32" w:name="_Toc1801522291"/>
      <w:bookmarkStart w:id="33" w:name="_Toc689776848"/>
      <w:r>
        <w:rPr>
          <w:rFonts w:hint="eastAsia"/>
          <w:lang w:val="en-US" w:eastAsia="zh-CN"/>
        </w:rPr>
        <w:t>电子票据</w:t>
      </w:r>
      <w:bookmarkEnd w:id="31"/>
      <w:bookmarkEnd w:id="32"/>
      <w:bookmarkEnd w:id="33"/>
    </w:p>
    <w:p>
      <w:pPr>
        <w:pStyle w:val="4"/>
        <w:bidi w:val="0"/>
        <w:rPr>
          <w:rFonts w:hint="default"/>
          <w:lang w:val="en-US" w:eastAsia="zh-CN"/>
        </w:rPr>
      </w:pPr>
      <w:bookmarkStart w:id="34" w:name="_Toc1887182487"/>
      <w:bookmarkStart w:id="35" w:name="_Toc282011844"/>
      <w:bookmarkStart w:id="36" w:name="_Toc8946"/>
      <w:r>
        <w:rPr>
          <w:rFonts w:hint="eastAsia"/>
          <w:lang w:val="en-US" w:eastAsia="zh-CN"/>
        </w:rPr>
        <w:t>录入转款信息</w:t>
      </w:r>
      <w:bookmarkEnd w:id="34"/>
      <w:bookmarkEnd w:id="35"/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首期缴交业务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办结</w:t>
      </w:r>
      <w:r>
        <w:rPr>
          <w:rFonts w:hint="eastAsia" w:ascii="仿宋" w:hAnsi="仿宋" w:eastAsia="仿宋" w:cs="仿宋"/>
          <w:sz w:val="28"/>
          <w:szCs w:val="28"/>
        </w:rPr>
        <w:t>后，申请人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交完</w:t>
      </w:r>
      <w:r>
        <w:rPr>
          <w:rFonts w:hint="eastAsia" w:ascii="仿宋" w:hAnsi="仿宋" w:eastAsia="仿宋" w:cs="仿宋"/>
          <w:sz w:val="28"/>
          <w:szCs w:val="28"/>
        </w:rPr>
        <w:t>款，在系统可录入转款信息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选择申请单，点击操作列的“录入转款信息”按钮，进入录入页面。如下图所示：</w:t>
      </w:r>
    </w:p>
    <w:p>
      <w:pPr>
        <w:pStyle w:val="2"/>
      </w:pPr>
      <w:r>
        <w:drawing>
          <wp:inline distT="0" distB="0" distL="114300" distR="114300">
            <wp:extent cx="5262245" cy="2581910"/>
            <wp:effectExtent l="0" t="0" r="14605" b="8890"/>
            <wp:docPr id="196" name="图片 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65"/>
                    <pic:cNvPicPr>
                      <a:picLocks noChangeAspect="true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需要填写转账信息，所有字段均为必填，需要确保录入的转账户名和转账金额与流水一致，上传银行转账回单，点击“保存”按钮，系统自动进行开票。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若存在以下四种情况，则不会自动开票：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缴款通知书申请单位存在多个；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申请金额与流水线下金额不符（少交或多交）；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代交（缴款人与缴款通知书抬头不符）；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一笔流水对应多个缴款通知书（合并缴款）。</w:t>
      </w:r>
    </w:p>
    <w:p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录入转款信息页面如下图所示：</w:t>
      </w:r>
    </w:p>
    <w:p>
      <w:pPr>
        <w:pStyle w:val="2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839845" cy="1380490"/>
            <wp:effectExtent l="0" t="0" r="0" b="0"/>
            <wp:docPr id="198" name="图片 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67"/>
                    <pic:cNvPicPr>
                      <a:picLocks noChangeAspect="true"/>
                    </pic:cNvPicPr>
                  </pic:nvPicPr>
                  <pic:blipFill>
                    <a:blip r:embed="rId97"/>
                    <a:srcRect l="5797" t="21440" r="21321" b="21440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37" w:name="_Toc22293"/>
      <w:bookmarkStart w:id="38" w:name="_Toc1508438814"/>
      <w:bookmarkStart w:id="39" w:name="_Toc615640337"/>
      <w:r>
        <w:rPr>
          <w:rFonts w:hint="eastAsia"/>
          <w:lang w:val="en-US" w:eastAsia="zh-CN"/>
        </w:rPr>
        <w:t>电子票据管理</w:t>
      </w:r>
      <w:bookmarkEnd w:id="37"/>
      <w:bookmarkEnd w:id="38"/>
      <w:bookmarkEnd w:id="39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点击系统左侧菜单：</w:t>
      </w:r>
      <w:r>
        <w:rPr>
          <w:rFonts w:hint="eastAsia" w:ascii="仿宋" w:hAnsi="仿宋" w:cs="仿宋"/>
          <w:sz w:val="28"/>
          <w:szCs w:val="28"/>
          <w:lang w:val="en-US" w:eastAsia="zh-CN"/>
        </w:rPr>
        <w:t>“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维修资金统管</w:t>
      </w:r>
      <w:r>
        <w:rPr>
          <w:rFonts w:hint="eastAsia" w:ascii="仿宋" w:hAnsi="仿宋" w:cs="仿宋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-</w:t>
      </w:r>
      <w:r>
        <w:rPr>
          <w:rFonts w:hint="eastAsia" w:ascii="仿宋" w:hAnsi="仿宋" w:cs="仿宋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电子票据</w:t>
      </w:r>
      <w:r>
        <w:rPr>
          <w:rFonts w:hint="eastAsia" w:ascii="仿宋" w:hAnsi="仿宋" w:cs="仿宋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-</w:t>
      </w:r>
      <w:r>
        <w:rPr>
          <w:rFonts w:hint="eastAsia" w:ascii="仿宋" w:hAnsi="仿宋" w:cs="仿宋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电子票据管理</w:t>
      </w:r>
      <w:r>
        <w:rPr>
          <w:rFonts w:hint="eastAsia" w:ascii="仿宋" w:hAnsi="仿宋" w:cs="仿宋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，进入列表页面。如下图所示：</w:t>
      </w:r>
    </w:p>
    <w:p>
      <w:pPr>
        <w:ind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416810"/>
            <wp:effectExtent l="0" t="0" r="11430" b="2540"/>
            <wp:docPr id="200" name="图片 6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69"/>
                    <pic:cNvPicPr>
                      <a:picLocks noChangeAspect="true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列表会显示开票中、</w:t>
      </w:r>
      <w:r>
        <w:rPr>
          <w:rFonts w:hint="eastAsia" w:ascii="仿宋" w:hAnsi="仿宋" w:eastAsia="仿宋" w:cs="仿宋"/>
          <w:sz w:val="28"/>
          <w:szCs w:val="28"/>
        </w:rPr>
        <w:t>已开票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和</w:t>
      </w:r>
      <w:r>
        <w:rPr>
          <w:rFonts w:hint="eastAsia" w:ascii="仿宋" w:hAnsi="仿宋" w:eastAsia="仿宋" w:cs="仿宋"/>
          <w:sz w:val="28"/>
          <w:szCs w:val="28"/>
        </w:rPr>
        <w:t>开票失败的业务申请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已开票的业务单，可在此打印电子票据，或对电子票据进行冲红。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40" w:name="_Toc644270470"/>
      <w:bookmarkStart w:id="41" w:name="_Toc1508467195"/>
      <w:bookmarkStart w:id="42" w:name="_Toc1757"/>
      <w:r>
        <w:rPr>
          <w:rFonts w:hint="eastAsia"/>
          <w:lang w:val="en-US" w:eastAsia="zh-CN"/>
        </w:rPr>
        <w:t>打印电子票据</w:t>
      </w:r>
      <w:bookmarkEnd w:id="40"/>
      <w:bookmarkEnd w:id="41"/>
      <w:bookmarkEnd w:id="42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点击操作列的“打印”按钮，在下拉框中选择“电子票据”，进行电子票据打印。如下图所示：</w:t>
      </w:r>
    </w:p>
    <w:p>
      <w:r>
        <w:drawing>
          <wp:inline distT="0" distB="0" distL="114300" distR="114300">
            <wp:extent cx="5271770" cy="2423160"/>
            <wp:effectExtent l="0" t="0" r="5080" b="15240"/>
            <wp:docPr id="202" name="图片 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71"/>
                    <pic:cNvPicPr>
                      <a:picLocks noChangeAspect="true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点击“打印”下拉框中的“缴交通知书”，可打印缴交通知书。如下图所示：</w:t>
      </w:r>
    </w:p>
    <w:p>
      <w:r>
        <w:drawing>
          <wp:inline distT="0" distB="0" distL="114300" distR="114300">
            <wp:extent cx="5268595" cy="2423160"/>
            <wp:effectExtent l="0" t="0" r="8255" b="15240"/>
            <wp:docPr id="203" name="图片 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72"/>
                    <pic:cNvPicPr>
                      <a:picLocks noChangeAspect="true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预览页面如下图所示：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173855" cy="2134235"/>
            <wp:effectExtent l="0" t="0" r="0" b="0"/>
            <wp:docPr id="41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true"/>
                    </pic:cNvPicPr>
                  </pic:nvPicPr>
                  <pic:blipFill>
                    <a:blip r:embed="rId101"/>
                    <a:srcRect l="10345" t="9508" r="10405" b="10200"/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43" w:name="_Toc2530"/>
      <w:bookmarkStart w:id="44" w:name="_Toc492705607"/>
      <w:bookmarkStart w:id="45" w:name="_Toc1776584501"/>
      <w:r>
        <w:rPr>
          <w:rFonts w:hint="eastAsia"/>
          <w:lang w:val="en-US" w:eastAsia="zh-CN"/>
        </w:rPr>
        <w:t>汇总票冲红</w:t>
      </w:r>
      <w:bookmarkEnd w:id="43"/>
      <w:bookmarkEnd w:id="44"/>
      <w:bookmarkEnd w:id="45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缴款人冲红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仅支持“作废原票据并开新票”，不支持“仅作废”，若要仅作废，可联系市中心财务部人员发起。在操作列“冲红”下拉框中选择“作废原票据并开新票”。如下图所示：</w:t>
      </w:r>
    </w:p>
    <w:p>
      <w:pPr>
        <w:pStyle w:val="2"/>
      </w:pPr>
      <w:r>
        <w:drawing>
          <wp:inline distT="0" distB="0" distL="114300" distR="114300">
            <wp:extent cx="5262245" cy="2409825"/>
            <wp:effectExtent l="0" t="0" r="14605" b="9525"/>
            <wp:docPr id="204" name="图片 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73"/>
                    <pic:cNvPicPr>
                      <a:picLocks noChangeAspect="true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进入冲红页面，页面会展示原票据的信息。点击右上角的“查看原电子票据信息”按钮，可跳转到电子票据系统查看原电子票据。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标“*”的字段为必填项，备注可以选填，需要勾选冲红原因。需要上传证明文件，需加盖公章后再上传。如下图所示：</w:t>
      </w:r>
    </w:p>
    <w:p>
      <w:pPr>
        <w:pStyle w:val="2"/>
      </w:pPr>
      <w:r>
        <w:drawing>
          <wp:inline distT="0" distB="0" distL="114300" distR="114300">
            <wp:extent cx="5271135" cy="3754755"/>
            <wp:effectExtent l="0" t="0" r="5715" b="17145"/>
            <wp:docPr id="206" name="图片 7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75"/>
                    <pic:cNvPicPr>
                      <a:picLocks noChangeAspect="true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填写完成后，点击“提交”按钮，提交冲红申请。若为首期缴交（追缴）、首期缴交（</w:t>
      </w:r>
      <w:r>
        <w:rPr>
          <w:rFonts w:hint="eastAsia" w:ascii="仿宋" w:hAnsi="仿宋" w:cs="仿宋"/>
          <w:sz w:val="28"/>
          <w:szCs w:val="28"/>
          <w:lang w:val="en-US" w:eastAsia="zh-CN"/>
        </w:rPr>
        <w:t>深汕特别合作区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）业务，申请单会自动提交至区中心经办人处审核；若为首期缴交（新盘）、首期缴交（历史违建）、首期缴交（单一产权变更）业务，申请单会自动提交至市中心财务部经办人处审核。如下图所示：</w:t>
      </w:r>
    </w:p>
    <w:p>
      <w:pPr>
        <w:ind w:firstLine="0" w:firstLineChars="0"/>
      </w:pPr>
      <w:r>
        <w:drawing>
          <wp:inline distT="0" distB="0" distL="114300" distR="114300">
            <wp:extent cx="5265420" cy="2426335"/>
            <wp:effectExtent l="0" t="0" r="11430" b="12065"/>
            <wp:docPr id="207" name="图片 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76"/>
                    <pic:cNvPicPr>
                      <a:picLocks noChangeAspect="true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冲红审核办结后，可看到原电子票据的状态为“已冲红”，新电子票据的状态为“已开票”。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46" w:name="_Toc9451"/>
      <w:bookmarkStart w:id="47" w:name="_Toc955852549"/>
      <w:bookmarkStart w:id="48" w:name="_Toc1066137961"/>
      <w:r>
        <w:rPr>
          <w:rFonts w:hint="eastAsia"/>
          <w:lang w:val="en-US" w:eastAsia="zh-CN"/>
        </w:rPr>
        <w:t>冲红申请管理</w:t>
      </w:r>
      <w:bookmarkEnd w:id="46"/>
      <w:bookmarkEnd w:id="47"/>
      <w:bookmarkEnd w:id="48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点击列表页的“冲红申请管理”按钮，如下图所示：</w:t>
      </w:r>
    </w:p>
    <w:p>
      <w:r>
        <w:drawing>
          <wp:inline distT="0" distB="0" distL="114300" distR="114300">
            <wp:extent cx="5259070" cy="2400300"/>
            <wp:effectExtent l="0" t="0" r="17780" b="0"/>
            <wp:docPr id="208" name="图片 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77"/>
                    <pic:cNvPicPr>
                      <a:picLocks noChangeAspect="true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可查看建设单位所有关联物业区域的汇总票冲红申请列表。如下图所示：</w:t>
      </w:r>
    </w:p>
    <w:p>
      <w:pPr>
        <w:pStyle w:val="2"/>
      </w:pPr>
      <w:r>
        <w:drawing>
          <wp:inline distT="0" distB="0" distL="114300" distR="114300">
            <wp:extent cx="5265420" cy="2426335"/>
            <wp:effectExtent l="0" t="0" r="11430" b="12065"/>
            <wp:docPr id="209" name="图片 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78"/>
                    <pic:cNvPicPr>
                      <a:picLocks noChangeAspect="true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点击操作列的“查看详情”按钮，可查看该笔汇总票冲红申请的详情。如下图所示：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24145" cy="2426335"/>
            <wp:effectExtent l="0" t="0" r="14605" b="12065"/>
            <wp:docPr id="1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true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49" w:name="_Toc887353767"/>
      <w:bookmarkStart w:id="50" w:name="_Toc1019254292"/>
      <w:bookmarkStart w:id="51" w:name="_Toc5620"/>
      <w:r>
        <w:rPr>
          <w:rFonts w:hint="eastAsia"/>
          <w:lang w:val="en-US" w:eastAsia="zh-CN"/>
        </w:rPr>
        <w:t>开票失败重试</w:t>
      </w:r>
      <w:bookmarkEnd w:id="49"/>
      <w:bookmarkEnd w:id="50"/>
      <w:bookmarkEnd w:id="51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可勾选票据状态为“开票失败”的，点击列表页的“开票失败重试”，重新开票。如下图所示：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429510"/>
            <wp:effectExtent l="0" t="0" r="11430" b="8890"/>
            <wp:docPr id="211" name="图片 8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80"/>
                    <pic:cNvPicPr>
                      <a:picLocks noChangeAspect="true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2" name="文本框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61</w:t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rLma3HgIAAC0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BYAAABkcnMvUEsBAhQAFAAA&#10;AAgAh07iQLNJWO7QAAAABQEAAA8AAAAAAAAAAQAgAAAAOAAAAGRycy9kb3ducmV2LnhtbFBLAQIU&#10;ABQAAAAIAIdO4kCrLma3HgIAAC0EAAAOAAAAAAAAAAEAIAAAADU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1</w:t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61</w:t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1E29A2"/>
    <w:multiLevelType w:val="singleLevel"/>
    <w:tmpl w:val="961E29A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976315D"/>
    <w:multiLevelType w:val="singleLevel"/>
    <w:tmpl w:val="9976315D"/>
    <w:lvl w:ilvl="0" w:tentative="0">
      <w:start w:val="1"/>
      <w:numFmt w:val="bullet"/>
      <w:lvlText w:val=""/>
      <w:lvlJc w:val="left"/>
      <w:pPr>
        <w:ind w:left="1134" w:leftChars="0" w:hanging="1134" w:firstLineChars="0"/>
      </w:pPr>
      <w:rPr>
        <w:rFonts w:hint="default" w:ascii="Wingdings" w:hAnsi="Wingdings"/>
      </w:rPr>
    </w:lvl>
  </w:abstractNum>
  <w:abstractNum w:abstractNumId="2">
    <w:nsid w:val="9FFF6C8E"/>
    <w:multiLevelType w:val="singleLevel"/>
    <w:tmpl w:val="9FFF6C8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B9FE5389"/>
    <w:multiLevelType w:val="singleLevel"/>
    <w:tmpl w:val="B9FE5389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2DDD08C"/>
    <w:multiLevelType w:val="singleLevel"/>
    <w:tmpl w:val="F2DDD08C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F7FAEBDB"/>
    <w:multiLevelType w:val="singleLevel"/>
    <w:tmpl w:val="F7FAEBDB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39FF62DF"/>
    <w:multiLevelType w:val="singleLevel"/>
    <w:tmpl w:val="39FF62DF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663E67CE"/>
    <w:multiLevelType w:val="multilevel"/>
    <w:tmpl w:val="663E67CE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doNotDisplayPageBoundaries w:val="true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hNGQ2MGJhZDkzNDY3NjU0YWVmZmRjMDAxZGQ4NzUifQ=="/>
  </w:docVars>
  <w:rsids>
    <w:rsidRoot w:val="00000000"/>
    <w:rsid w:val="017ED373"/>
    <w:rsid w:val="02825085"/>
    <w:rsid w:val="059B24B4"/>
    <w:rsid w:val="05B52917"/>
    <w:rsid w:val="071B39A9"/>
    <w:rsid w:val="07660241"/>
    <w:rsid w:val="08E341AF"/>
    <w:rsid w:val="09540C99"/>
    <w:rsid w:val="097651B6"/>
    <w:rsid w:val="0D566912"/>
    <w:rsid w:val="0D8A333F"/>
    <w:rsid w:val="0E7A7D0B"/>
    <w:rsid w:val="0EFD0568"/>
    <w:rsid w:val="10444515"/>
    <w:rsid w:val="104F6A24"/>
    <w:rsid w:val="110254C3"/>
    <w:rsid w:val="11662A9F"/>
    <w:rsid w:val="122E603C"/>
    <w:rsid w:val="132A2A6A"/>
    <w:rsid w:val="13FB3DEE"/>
    <w:rsid w:val="170D0296"/>
    <w:rsid w:val="17A53D4A"/>
    <w:rsid w:val="17BD5655"/>
    <w:rsid w:val="17D36984"/>
    <w:rsid w:val="183723B6"/>
    <w:rsid w:val="1CAA0778"/>
    <w:rsid w:val="1CE472D0"/>
    <w:rsid w:val="1D1232E8"/>
    <w:rsid w:val="1D443D75"/>
    <w:rsid w:val="1DFD8815"/>
    <w:rsid w:val="1F6CD3D0"/>
    <w:rsid w:val="20A13473"/>
    <w:rsid w:val="21267BF8"/>
    <w:rsid w:val="22367D9B"/>
    <w:rsid w:val="23F19551"/>
    <w:rsid w:val="24B2452D"/>
    <w:rsid w:val="24CF57D5"/>
    <w:rsid w:val="27A3E884"/>
    <w:rsid w:val="27F42F5A"/>
    <w:rsid w:val="283F0419"/>
    <w:rsid w:val="28DFB3BC"/>
    <w:rsid w:val="2ABD3ED7"/>
    <w:rsid w:val="2B9B5D37"/>
    <w:rsid w:val="2BA847ED"/>
    <w:rsid w:val="2BDC7FE8"/>
    <w:rsid w:val="2C42156A"/>
    <w:rsid w:val="2C8965FC"/>
    <w:rsid w:val="2C9805ED"/>
    <w:rsid w:val="2CA76F56"/>
    <w:rsid w:val="2CB9353A"/>
    <w:rsid w:val="2CDF6CCB"/>
    <w:rsid w:val="2D4905A2"/>
    <w:rsid w:val="2DDA3833"/>
    <w:rsid w:val="2EFB63AD"/>
    <w:rsid w:val="2F890F46"/>
    <w:rsid w:val="2FB5D1DD"/>
    <w:rsid w:val="31DE346D"/>
    <w:rsid w:val="32EC2973"/>
    <w:rsid w:val="333B02EE"/>
    <w:rsid w:val="335763ED"/>
    <w:rsid w:val="35CE67BA"/>
    <w:rsid w:val="36EA5EE9"/>
    <w:rsid w:val="371FEDA1"/>
    <w:rsid w:val="37831BB2"/>
    <w:rsid w:val="37FF22D1"/>
    <w:rsid w:val="391510AA"/>
    <w:rsid w:val="39292CF8"/>
    <w:rsid w:val="394F4D11"/>
    <w:rsid w:val="3AA02EDE"/>
    <w:rsid w:val="3B253CDF"/>
    <w:rsid w:val="3B7A63D3"/>
    <w:rsid w:val="3B904EA2"/>
    <w:rsid w:val="3C924053"/>
    <w:rsid w:val="3CF50838"/>
    <w:rsid w:val="3CF75F04"/>
    <w:rsid w:val="3CFC6412"/>
    <w:rsid w:val="3DB7BBF1"/>
    <w:rsid w:val="3DE66F41"/>
    <w:rsid w:val="3E77F198"/>
    <w:rsid w:val="3EBD60A7"/>
    <w:rsid w:val="3EFD3309"/>
    <w:rsid w:val="3F010246"/>
    <w:rsid w:val="3F3348D1"/>
    <w:rsid w:val="3F361456"/>
    <w:rsid w:val="3FBEC85B"/>
    <w:rsid w:val="4135710D"/>
    <w:rsid w:val="418B5AC7"/>
    <w:rsid w:val="42D53BFE"/>
    <w:rsid w:val="432B3B11"/>
    <w:rsid w:val="4379173B"/>
    <w:rsid w:val="43CF44D3"/>
    <w:rsid w:val="4442554B"/>
    <w:rsid w:val="447A67CD"/>
    <w:rsid w:val="450142F9"/>
    <w:rsid w:val="47356514"/>
    <w:rsid w:val="475EADE9"/>
    <w:rsid w:val="48403BBB"/>
    <w:rsid w:val="48C76FDA"/>
    <w:rsid w:val="4A473FC6"/>
    <w:rsid w:val="4A7D4406"/>
    <w:rsid w:val="4D8E8DE0"/>
    <w:rsid w:val="4ECF3A09"/>
    <w:rsid w:val="4FCBBFB8"/>
    <w:rsid w:val="4FEB4D54"/>
    <w:rsid w:val="51F10A82"/>
    <w:rsid w:val="524C26B4"/>
    <w:rsid w:val="539C2B73"/>
    <w:rsid w:val="54DFC46F"/>
    <w:rsid w:val="55CC67FD"/>
    <w:rsid w:val="55EF32F0"/>
    <w:rsid w:val="573D9E27"/>
    <w:rsid w:val="57AFB2DB"/>
    <w:rsid w:val="57FF02EC"/>
    <w:rsid w:val="58867DC6"/>
    <w:rsid w:val="597E5CE0"/>
    <w:rsid w:val="59CFC32F"/>
    <w:rsid w:val="59FF350D"/>
    <w:rsid w:val="5B353327"/>
    <w:rsid w:val="5BF74313"/>
    <w:rsid w:val="5CFD4F56"/>
    <w:rsid w:val="5E6C193E"/>
    <w:rsid w:val="5F4D28A0"/>
    <w:rsid w:val="5FCFBAD4"/>
    <w:rsid w:val="5FDF443E"/>
    <w:rsid w:val="5FFD0FE0"/>
    <w:rsid w:val="60C452CD"/>
    <w:rsid w:val="621B3277"/>
    <w:rsid w:val="62601BB3"/>
    <w:rsid w:val="627FF142"/>
    <w:rsid w:val="66BFD0C4"/>
    <w:rsid w:val="673C1F55"/>
    <w:rsid w:val="677E8204"/>
    <w:rsid w:val="6780038C"/>
    <w:rsid w:val="67AC4971"/>
    <w:rsid w:val="67D35A50"/>
    <w:rsid w:val="67E7D847"/>
    <w:rsid w:val="67F56CEE"/>
    <w:rsid w:val="67FB97B1"/>
    <w:rsid w:val="68371CFA"/>
    <w:rsid w:val="683E65AF"/>
    <w:rsid w:val="69FF8725"/>
    <w:rsid w:val="6A1A22D4"/>
    <w:rsid w:val="6B9FF05A"/>
    <w:rsid w:val="6BDF0881"/>
    <w:rsid w:val="6BFED53C"/>
    <w:rsid w:val="6BFF7C09"/>
    <w:rsid w:val="6C6C2279"/>
    <w:rsid w:val="6D69B7CA"/>
    <w:rsid w:val="6EAC56FC"/>
    <w:rsid w:val="6EEFBC05"/>
    <w:rsid w:val="6EFF7093"/>
    <w:rsid w:val="6FAE0EEC"/>
    <w:rsid w:val="6FD617F9"/>
    <w:rsid w:val="6FD6334C"/>
    <w:rsid w:val="6FEE6F04"/>
    <w:rsid w:val="6FFF10A4"/>
    <w:rsid w:val="70AA196E"/>
    <w:rsid w:val="718E28AE"/>
    <w:rsid w:val="71FCC7E3"/>
    <w:rsid w:val="729A54D4"/>
    <w:rsid w:val="72D554D5"/>
    <w:rsid w:val="72FB15AB"/>
    <w:rsid w:val="73512CFE"/>
    <w:rsid w:val="73AC0BEB"/>
    <w:rsid w:val="73EB9570"/>
    <w:rsid w:val="73F49358"/>
    <w:rsid w:val="75C466D3"/>
    <w:rsid w:val="75FFBEA8"/>
    <w:rsid w:val="76786C56"/>
    <w:rsid w:val="76D77783"/>
    <w:rsid w:val="76DF08FB"/>
    <w:rsid w:val="76FD4118"/>
    <w:rsid w:val="78A7F72A"/>
    <w:rsid w:val="78DFF97B"/>
    <w:rsid w:val="79DBE5A1"/>
    <w:rsid w:val="7AF51EFE"/>
    <w:rsid w:val="7AFF4FB1"/>
    <w:rsid w:val="7B5D6796"/>
    <w:rsid w:val="7B8B0682"/>
    <w:rsid w:val="7BAB2120"/>
    <w:rsid w:val="7BC641AD"/>
    <w:rsid w:val="7BE27693"/>
    <w:rsid w:val="7BF70C28"/>
    <w:rsid w:val="7BFDF47B"/>
    <w:rsid w:val="7C9FA118"/>
    <w:rsid w:val="7D0F1D0F"/>
    <w:rsid w:val="7D4F9B06"/>
    <w:rsid w:val="7D9F6A57"/>
    <w:rsid w:val="7DC46119"/>
    <w:rsid w:val="7DD75F67"/>
    <w:rsid w:val="7DE72214"/>
    <w:rsid w:val="7DFD546C"/>
    <w:rsid w:val="7E2FA0F4"/>
    <w:rsid w:val="7E7F9A88"/>
    <w:rsid w:val="7EDF2AA0"/>
    <w:rsid w:val="7EEE44A0"/>
    <w:rsid w:val="7EF7662A"/>
    <w:rsid w:val="7EFDA59B"/>
    <w:rsid w:val="7EFF1063"/>
    <w:rsid w:val="7EFFF6BB"/>
    <w:rsid w:val="7F0EA26F"/>
    <w:rsid w:val="7F2D5F7A"/>
    <w:rsid w:val="7F768A3D"/>
    <w:rsid w:val="7FBDE3D7"/>
    <w:rsid w:val="7FBF0A6C"/>
    <w:rsid w:val="7FDB3F1E"/>
    <w:rsid w:val="7FDF7641"/>
    <w:rsid w:val="7FEBE7C6"/>
    <w:rsid w:val="7FEFD434"/>
    <w:rsid w:val="7FF2A4D8"/>
    <w:rsid w:val="7FF70012"/>
    <w:rsid w:val="7FFF04C3"/>
    <w:rsid w:val="7FFF769C"/>
    <w:rsid w:val="7FFFB9E7"/>
    <w:rsid w:val="8B56CC9E"/>
    <w:rsid w:val="8DF73AD1"/>
    <w:rsid w:val="91BF7D45"/>
    <w:rsid w:val="97DB382C"/>
    <w:rsid w:val="97FB4255"/>
    <w:rsid w:val="9BFB3DF8"/>
    <w:rsid w:val="9F966226"/>
    <w:rsid w:val="ACB9371B"/>
    <w:rsid w:val="AE7E4C55"/>
    <w:rsid w:val="AF6B6F4E"/>
    <w:rsid w:val="AFD1F62A"/>
    <w:rsid w:val="B3AB93CC"/>
    <w:rsid w:val="B76F9C78"/>
    <w:rsid w:val="BAEB2DF6"/>
    <w:rsid w:val="BB7B980F"/>
    <w:rsid w:val="BB7C8DA5"/>
    <w:rsid w:val="BBBBC264"/>
    <w:rsid w:val="BBDB3BCE"/>
    <w:rsid w:val="BDF9EB65"/>
    <w:rsid w:val="BEFD56D8"/>
    <w:rsid w:val="BF57A268"/>
    <w:rsid w:val="BF6EEBBA"/>
    <w:rsid w:val="BF7E8A60"/>
    <w:rsid w:val="BFBFEDF4"/>
    <w:rsid w:val="BFDC9A17"/>
    <w:rsid w:val="BFF6CCD2"/>
    <w:rsid w:val="C9DBAA28"/>
    <w:rsid w:val="CCEF3BDD"/>
    <w:rsid w:val="CDFDE6A7"/>
    <w:rsid w:val="CEEFC975"/>
    <w:rsid w:val="D3BF3FE0"/>
    <w:rsid w:val="D729688D"/>
    <w:rsid w:val="DB985425"/>
    <w:rsid w:val="DBB76CA1"/>
    <w:rsid w:val="DCD73928"/>
    <w:rsid w:val="DD6F2AC9"/>
    <w:rsid w:val="DEEF4851"/>
    <w:rsid w:val="DEFFAC0F"/>
    <w:rsid w:val="DF3F2992"/>
    <w:rsid w:val="DF777219"/>
    <w:rsid w:val="DF795FD3"/>
    <w:rsid w:val="DFCDB5E1"/>
    <w:rsid w:val="DFE30F5A"/>
    <w:rsid w:val="DFFACBD5"/>
    <w:rsid w:val="DFFF6BD3"/>
    <w:rsid w:val="E1DF2B0E"/>
    <w:rsid w:val="E5FC6B47"/>
    <w:rsid w:val="E6EE2CEC"/>
    <w:rsid w:val="E6FF4A41"/>
    <w:rsid w:val="E75101BF"/>
    <w:rsid w:val="EBEB26C9"/>
    <w:rsid w:val="EBEFE2A6"/>
    <w:rsid w:val="ECBE43D2"/>
    <w:rsid w:val="EDA31CD0"/>
    <w:rsid w:val="EE7B64C5"/>
    <w:rsid w:val="EEEF0931"/>
    <w:rsid w:val="EF3FD51C"/>
    <w:rsid w:val="EF5D4AA2"/>
    <w:rsid w:val="EFCBEB41"/>
    <w:rsid w:val="EFCFB2DF"/>
    <w:rsid w:val="EFDA2DAD"/>
    <w:rsid w:val="EFE6A070"/>
    <w:rsid w:val="EFFF1FBD"/>
    <w:rsid w:val="F37CE4F3"/>
    <w:rsid w:val="F45EB6D2"/>
    <w:rsid w:val="F4FF3697"/>
    <w:rsid w:val="F5441834"/>
    <w:rsid w:val="F59B82D8"/>
    <w:rsid w:val="F5FC6E63"/>
    <w:rsid w:val="F5FFDBA9"/>
    <w:rsid w:val="F6DDF331"/>
    <w:rsid w:val="F6FEBB05"/>
    <w:rsid w:val="F73F4493"/>
    <w:rsid w:val="F7CBE567"/>
    <w:rsid w:val="F7DF2E2D"/>
    <w:rsid w:val="F7DF3A6C"/>
    <w:rsid w:val="F7F74663"/>
    <w:rsid w:val="F7FB82CF"/>
    <w:rsid w:val="F7FD6677"/>
    <w:rsid w:val="F97F06F4"/>
    <w:rsid w:val="F9DF7F77"/>
    <w:rsid w:val="FB9D5190"/>
    <w:rsid w:val="FBBB931B"/>
    <w:rsid w:val="FBC5AECD"/>
    <w:rsid w:val="FBDBB9DF"/>
    <w:rsid w:val="FCDB3CE0"/>
    <w:rsid w:val="FCF76F6A"/>
    <w:rsid w:val="FDDF1368"/>
    <w:rsid w:val="FDDF7909"/>
    <w:rsid w:val="FDEF08C2"/>
    <w:rsid w:val="FDF52231"/>
    <w:rsid w:val="FDFDB788"/>
    <w:rsid w:val="FDFE8FB7"/>
    <w:rsid w:val="FE7F9AA4"/>
    <w:rsid w:val="FEBB5E77"/>
    <w:rsid w:val="FEC328EE"/>
    <w:rsid w:val="FECEED10"/>
    <w:rsid w:val="FEE5F520"/>
    <w:rsid w:val="FEF4ADBB"/>
    <w:rsid w:val="FF5D3E56"/>
    <w:rsid w:val="FF5D4089"/>
    <w:rsid w:val="FF6B42E8"/>
    <w:rsid w:val="FFB6F830"/>
    <w:rsid w:val="FFCBA0B5"/>
    <w:rsid w:val="FFD6D7C4"/>
    <w:rsid w:val="FFF74B75"/>
    <w:rsid w:val="FFFBBA13"/>
    <w:rsid w:val="FFFDAE1E"/>
    <w:rsid w:val="FFFF2314"/>
    <w:rsid w:val="FFFFA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eastAsia="仿宋"/>
    </w:rPr>
  </w:style>
  <w:style w:type="paragraph" w:styleId="12">
    <w:name w:val="annotation text"/>
    <w:basedOn w:val="1"/>
    <w:qFormat/>
    <w:uiPriority w:val="0"/>
    <w:pPr>
      <w:jc w:val="left"/>
    </w:pPr>
  </w:style>
  <w:style w:type="paragraph" w:styleId="13">
    <w:name w:val="toc 3"/>
    <w:basedOn w:val="1"/>
    <w:next w:val="1"/>
    <w:qFormat/>
    <w:uiPriority w:val="0"/>
    <w:pPr>
      <w:ind w:left="840" w:leftChars="400"/>
    </w:p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oc 1"/>
    <w:basedOn w:val="1"/>
    <w:next w:val="1"/>
    <w:qFormat/>
    <w:uiPriority w:val="0"/>
  </w:style>
  <w:style w:type="paragraph" w:styleId="17">
    <w:name w:val="toc 2"/>
    <w:basedOn w:val="1"/>
    <w:next w:val="1"/>
    <w:qFormat/>
    <w:uiPriority w:val="0"/>
    <w:pPr>
      <w:ind w:left="420" w:leftChars="200"/>
    </w:pPr>
  </w:style>
  <w:style w:type="paragraph" w:styleId="1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20">
    <w:name w:val="Table Grid"/>
    <w:basedOn w:val="1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jpe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1" Type="http://schemas.openxmlformats.org/officeDocument/2006/relationships/fontTable" Target="fontTable.xml"/><Relationship Id="rId110" Type="http://schemas.openxmlformats.org/officeDocument/2006/relationships/numbering" Target="numbering.xml"/><Relationship Id="rId11" Type="http://schemas.openxmlformats.org/officeDocument/2006/relationships/image" Target="media/image7.png"/><Relationship Id="rId109" Type="http://schemas.openxmlformats.org/officeDocument/2006/relationships/customXml" Target="../customXml/item1.xml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60</Pages>
  <Words>7605</Words>
  <Characters>7758</Characters>
  <Lines>0</Lines>
  <Paragraphs>0</Paragraphs>
  <TotalTime>1</TotalTime>
  <ScaleCrop>false</ScaleCrop>
  <LinksUpToDate>false</LinksUpToDate>
  <CharactersWithSpaces>7831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2023-01-31T07:25:00Z</dcterms:created>
  <dc:creator>lixiaoru</dc:creator>
  <cp:lastModifiedBy>yuanxj</cp:lastModifiedBy>
  <dcterms:modified xsi:type="dcterms:W3CDTF">2024-07-18T15:13:07Z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57B32127D62C4427BE679C2E43011955_13</vt:lpwstr>
  </property>
</Properties>
</file>