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eastAsia="宋体" w:cs="Arial"/>
          <w:b/>
          <w:sz w:val="36"/>
          <w:szCs w:val="36"/>
        </w:rPr>
      </w:pPr>
      <w:r>
        <w:rPr>
          <w:rFonts w:hint="eastAsia" w:ascii="宋体" w:hAnsi="宋体" w:eastAsia="宋体" w:cs="Arial"/>
          <w:b/>
          <w:sz w:val="36"/>
          <w:szCs w:val="36"/>
        </w:rPr>
        <w:t>招标编号：GXSZ-20240382SZGK</w:t>
      </w:r>
    </w:p>
    <w:p>
      <w:pPr>
        <w:spacing w:line="360" w:lineRule="auto"/>
        <w:jc w:val="center"/>
        <w:rPr>
          <w:rFonts w:ascii="宋体" w:hAnsi="宋体" w:eastAsia="宋体" w:cs="Times New Roman"/>
          <w:b/>
          <w:sz w:val="32"/>
          <w:szCs w:val="32"/>
          <w:u w:val="single"/>
        </w:rPr>
      </w:pPr>
    </w:p>
    <w:p>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【服务类】</w:t>
      </w:r>
    </w:p>
    <w:p>
      <w:pPr>
        <w:spacing w:line="360" w:lineRule="auto"/>
        <w:jc w:val="center"/>
        <w:rPr>
          <w:rFonts w:ascii="宋体" w:hAnsi="宋体" w:eastAsia="宋体" w:cs="Times New Roman"/>
          <w:b/>
          <w:sz w:val="32"/>
          <w:szCs w:val="32"/>
          <w:u w:val="single"/>
        </w:rPr>
      </w:pPr>
    </w:p>
    <w:p>
      <w:pPr>
        <w:pStyle w:val="9"/>
        <w:ind w:firstLine="0" w:firstLineChars="0"/>
        <w:jc w:val="center"/>
      </w:pPr>
      <w:r>
        <w:rPr>
          <w:rFonts w:hint="eastAsia" w:ascii="宋体" w:hAnsi="宋体"/>
          <w:b/>
          <w:sz w:val="48"/>
          <w:szCs w:val="48"/>
        </w:rPr>
        <w:t>住宅小区电动自行车充换电设施建设推广及规范化管理技术服务</w:t>
      </w:r>
    </w:p>
    <w:p>
      <w:pPr>
        <w:pStyle w:val="9"/>
      </w:pP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招</w:t>
      </w: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标</w:t>
      </w: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文</w:t>
      </w:r>
    </w:p>
    <w:p>
      <w:pPr>
        <w:spacing w:line="360" w:lineRule="auto"/>
        <w:jc w:val="center"/>
      </w:pPr>
      <w:r>
        <w:rPr>
          <w:rFonts w:hint="eastAsia" w:ascii="宋体" w:hAnsi="宋体" w:eastAsia="宋体" w:cs="Times New Roman"/>
          <w:b/>
          <w:sz w:val="84"/>
          <w:szCs w:val="84"/>
        </w:rPr>
        <w:t>件</w:t>
      </w:r>
    </w:p>
    <w:p>
      <w:pPr>
        <w:pStyle w:val="9"/>
      </w:pPr>
    </w:p>
    <w:p>
      <w:pPr>
        <w:spacing w:line="360" w:lineRule="auto"/>
        <w:jc w:val="center"/>
        <w:rPr>
          <w:rFonts w:ascii="宋体" w:hAnsi="宋体" w:eastAsia="宋体" w:cs="Arial"/>
          <w:b/>
          <w:sz w:val="36"/>
          <w:szCs w:val="36"/>
        </w:rPr>
      </w:pPr>
      <w:r>
        <w:rPr>
          <w:rFonts w:hint="eastAsia" w:ascii="宋体" w:hAnsi="宋体" w:eastAsia="宋体" w:cs="Arial"/>
          <w:b/>
          <w:sz w:val="36"/>
          <w:szCs w:val="36"/>
        </w:rPr>
        <w:t>深圳高星项目管理有限公司</w:t>
      </w:r>
    </w:p>
    <w:p>
      <w:pPr>
        <w:spacing w:line="360" w:lineRule="auto"/>
        <w:jc w:val="center"/>
        <w:rPr>
          <w:rFonts w:ascii="宋体" w:hAnsi="宋体" w:eastAsia="宋体" w:cs="Arial"/>
          <w:b/>
          <w:sz w:val="36"/>
          <w:szCs w:val="36"/>
        </w:rPr>
      </w:pPr>
      <w:r>
        <w:rPr>
          <w:rFonts w:hint="eastAsia" w:ascii="宋体" w:hAnsi="宋体" w:eastAsia="宋体" w:cs="Arial"/>
          <w:b/>
          <w:sz w:val="36"/>
          <w:szCs w:val="36"/>
        </w:rPr>
        <w:t>2024年07月</w:t>
      </w:r>
      <w:r>
        <w:rPr>
          <w:rFonts w:ascii="宋体" w:hAnsi="宋体" w:eastAsia="宋体" w:cs="Arial"/>
          <w:b/>
          <w:sz w:val="36"/>
          <w:szCs w:val="36"/>
        </w:rPr>
        <w:br w:type="page"/>
      </w:r>
    </w:p>
    <w:p>
      <w:pPr>
        <w:keepNext/>
        <w:keepLines/>
        <w:widowControl/>
        <w:spacing w:line="360" w:lineRule="auto"/>
        <w:jc w:val="center"/>
        <w:rPr>
          <w:rFonts w:ascii="宋体" w:hAnsi="宋体" w:eastAsia="宋体" w:cs="Times New Roman"/>
          <w:b/>
          <w:bCs/>
          <w:kern w:val="0"/>
          <w:sz w:val="28"/>
          <w:szCs w:val="28"/>
          <w:lang w:val="zh-CN"/>
        </w:rPr>
      </w:pPr>
      <w:r>
        <w:rPr>
          <w:rFonts w:ascii="宋体" w:hAnsi="宋体" w:eastAsia="宋体" w:cs="Times New Roman"/>
          <w:b/>
          <w:bCs/>
          <w:kern w:val="0"/>
          <w:sz w:val="28"/>
          <w:szCs w:val="28"/>
          <w:lang w:val="zh-CN"/>
        </w:rPr>
        <w:t>目录</w:t>
      </w:r>
    </w:p>
    <w:p>
      <w:pPr>
        <w:pStyle w:val="29"/>
        <w:ind w:firstLine="422"/>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"_Toc129094520" </w:instrText>
      </w:r>
      <w:r>
        <w:fldChar w:fldCharType="separate"/>
      </w:r>
      <w:r>
        <w:rPr>
          <w:rStyle w:val="51"/>
          <w:rFonts w:hint="eastAsia"/>
          <w:bCs/>
          <w:color w:val="auto"/>
          <w:kern w:val="44"/>
        </w:rPr>
        <w:t>第一册通用条款</w:t>
      </w:r>
      <w:r>
        <w:tab/>
      </w:r>
      <w:r>
        <w:fldChar w:fldCharType="begin"/>
      </w:r>
      <w:r>
        <w:instrText xml:space="preserve"> PAGEREF _Toc129094520 \h </w:instrText>
      </w:r>
      <w:r>
        <w:fldChar w:fldCharType="separate"/>
      </w:r>
      <w:r>
        <w:t>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"_Toc129094521" </w:instrText>
      </w:r>
      <w:r>
        <w:fldChar w:fldCharType="separate"/>
      </w:r>
      <w:r>
        <w:rPr>
          <w:rStyle w:val="51"/>
          <w:rFonts w:hint="eastAsia"/>
          <w:bCs/>
          <w:color w:val="auto"/>
          <w:kern w:val="44"/>
        </w:rPr>
        <w:t>第一部分</w:t>
      </w:r>
      <w:r>
        <w:rPr>
          <w:rStyle w:val="51"/>
          <w:bCs/>
          <w:color w:val="auto"/>
          <w:kern w:val="44"/>
        </w:rPr>
        <w:t xml:space="preserve">  </w:t>
      </w:r>
      <w:r>
        <w:rPr>
          <w:rStyle w:val="51"/>
          <w:rFonts w:hint="eastAsia"/>
          <w:bCs/>
          <w:color w:val="auto"/>
          <w:kern w:val="44"/>
        </w:rPr>
        <w:t>投标人须知</w:t>
      </w:r>
      <w:r>
        <w:tab/>
      </w:r>
      <w:r>
        <w:fldChar w:fldCharType="begin"/>
      </w:r>
      <w:r>
        <w:instrText xml:space="preserve"> PAGEREF _Toc129094521 \h </w:instrText>
      </w:r>
      <w:r>
        <w:fldChar w:fldCharType="separate"/>
      </w:r>
      <w:r>
        <w:t>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"_Toc129094522" </w:instrText>
      </w:r>
      <w:r>
        <w:fldChar w:fldCharType="separate"/>
      </w:r>
      <w:r>
        <w:rPr>
          <w:rStyle w:val="51"/>
          <w:rFonts w:hint="eastAsia"/>
          <w:bCs/>
          <w:color w:val="auto"/>
          <w:kern w:val="44"/>
        </w:rPr>
        <w:t>第一章</w:t>
      </w:r>
      <w:r>
        <w:rPr>
          <w:rFonts w:asciiTheme="minorHAnsi" w:hAnsiTheme="minorHAnsi" w:eastAsiaTheme="minorEastAsia" w:cstheme="minorBidi"/>
          <w:b w:val="0"/>
          <w:szCs w:val="22"/>
        </w:rPr>
        <w:tab/>
      </w:r>
      <w:r>
        <w:rPr>
          <w:rStyle w:val="51"/>
          <w:rFonts w:hint="eastAsia"/>
          <w:bCs/>
          <w:color w:val="auto"/>
          <w:kern w:val="44"/>
        </w:rPr>
        <w:t>总则</w:t>
      </w:r>
      <w:r>
        <w:tab/>
      </w:r>
      <w:r>
        <w:fldChar w:fldCharType="begin"/>
      </w:r>
      <w:r>
        <w:instrText xml:space="preserve"> PAGEREF _Toc129094522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"_Toc129094523" </w:instrText>
      </w:r>
      <w:r>
        <w:fldChar w:fldCharType="separate"/>
      </w:r>
      <w:r>
        <w:rPr>
          <w:rStyle w:val="51"/>
          <w:rFonts w:ascii="宋体" w:hAnsi="宋体"/>
          <w:b/>
          <w:bCs/>
          <w:color w:val="auto"/>
          <w:kern w:val="0"/>
        </w:rPr>
        <w:t>1.</w:t>
      </w:r>
      <w:r>
        <w:rPr>
          <w:rFonts w:asciiTheme="minorHAnsi" w:hAnsiTheme="minorHAnsi" w:eastAsiaTheme="minorEastAsia" w:cstheme="minorBidi"/>
          <w:szCs w:val="22"/>
        </w:rPr>
        <w:tab/>
      </w:r>
      <w:r>
        <w:rPr>
          <w:rStyle w:val="51"/>
          <w:rFonts w:hint="eastAsia" w:ascii="宋体" w:hAnsi="宋体"/>
          <w:b/>
          <w:bCs/>
          <w:color w:val="auto"/>
          <w:kern w:val="0"/>
        </w:rPr>
        <w:t>招标文件说明</w:t>
      </w:r>
      <w:r>
        <w:tab/>
      </w:r>
      <w:r>
        <w:fldChar w:fldCharType="begin"/>
      </w:r>
      <w:r>
        <w:instrText xml:space="preserve"> PAGEREF _Toc129094523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"_Toc129094524" </w:instrText>
      </w:r>
      <w:r>
        <w:fldChar w:fldCharType="separate"/>
      </w:r>
      <w:r>
        <w:rPr>
          <w:rStyle w:val="51"/>
          <w:rFonts w:ascii="宋体" w:hAnsi="宋体"/>
          <w:b/>
          <w:bCs/>
          <w:color w:val="auto"/>
          <w:kern w:val="0"/>
        </w:rPr>
        <w:t>2.</w:t>
      </w:r>
      <w:r>
        <w:rPr>
          <w:rFonts w:asciiTheme="minorHAnsi" w:hAnsiTheme="minorHAnsi" w:eastAsiaTheme="minorEastAsia" w:cstheme="minorBidi"/>
          <w:szCs w:val="22"/>
        </w:rPr>
        <w:tab/>
      </w:r>
      <w:r>
        <w:rPr>
          <w:rStyle w:val="51"/>
          <w:rFonts w:hint="eastAsia" w:ascii="宋体" w:hAnsi="宋体"/>
          <w:b/>
          <w:bCs/>
          <w:color w:val="auto"/>
          <w:kern w:val="0"/>
        </w:rPr>
        <w:t>定义</w:t>
      </w:r>
      <w:r>
        <w:tab/>
      </w:r>
      <w:r>
        <w:fldChar w:fldCharType="begin"/>
      </w:r>
      <w:r>
        <w:instrText xml:space="preserve"> PAGEREF _Toc129094524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"_Toc129094525" </w:instrText>
      </w:r>
      <w:r>
        <w:fldChar w:fldCharType="separate"/>
      </w:r>
      <w:r>
        <w:rPr>
          <w:rStyle w:val="51"/>
          <w:rFonts w:ascii="宋体" w:hAnsi="宋体"/>
          <w:b/>
          <w:bCs/>
          <w:color w:val="auto"/>
          <w:kern w:val="0"/>
        </w:rPr>
        <w:t>3.</w:t>
      </w:r>
      <w:r>
        <w:rPr>
          <w:rFonts w:asciiTheme="minorHAnsi" w:hAnsiTheme="minorHAnsi" w:eastAsiaTheme="minorEastAsia" w:cstheme="minorBidi"/>
          <w:szCs w:val="22"/>
        </w:rPr>
        <w:tab/>
      </w:r>
      <w:r>
        <w:rPr>
          <w:rStyle w:val="51"/>
          <w:rFonts w:hint="eastAsia" w:ascii="宋体" w:hAnsi="宋体"/>
          <w:b/>
          <w:bCs/>
          <w:color w:val="auto"/>
          <w:kern w:val="0"/>
        </w:rPr>
        <w:t>投标人责任</w:t>
      </w:r>
      <w:r>
        <w:tab/>
      </w:r>
      <w:r>
        <w:fldChar w:fldCharType="begin"/>
      </w:r>
      <w:r>
        <w:instrText xml:space="preserve"> PAGEREF _Toc129094525 \h </w:instrText>
      </w:r>
      <w:r>
        <w:fldChar w:fldCharType="separate"/>
      </w:r>
      <w:r>
        <w:t>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"_Toc129094526" </w:instrText>
      </w:r>
      <w:r>
        <w:fldChar w:fldCharType="separate"/>
      </w:r>
      <w:r>
        <w:rPr>
          <w:rStyle w:val="51"/>
          <w:rFonts w:ascii="宋体" w:hAnsi="宋体"/>
          <w:b/>
          <w:bCs/>
          <w:color w:val="auto"/>
          <w:kern w:val="0"/>
        </w:rPr>
        <w:t>4.</w:t>
      </w:r>
      <w:r>
        <w:rPr>
          <w:rFonts w:asciiTheme="minorHAnsi" w:hAnsiTheme="minorHAnsi" w:eastAsiaTheme="minorEastAsia" w:cstheme="minorBidi"/>
          <w:szCs w:val="22"/>
        </w:rPr>
        <w:tab/>
      </w:r>
      <w:r>
        <w:rPr>
          <w:rStyle w:val="51"/>
          <w:rFonts w:hint="eastAsia" w:ascii="宋体" w:hAnsi="宋体"/>
          <w:b/>
          <w:bCs/>
          <w:color w:val="auto"/>
          <w:kern w:val="0"/>
        </w:rPr>
        <w:t>投标费用</w:t>
      </w:r>
      <w:r>
        <w:tab/>
      </w:r>
      <w:r>
        <w:fldChar w:fldCharType="begin"/>
      </w:r>
      <w:r>
        <w:instrText xml:space="preserve"> PAGEREF _Toc129094526 \h </w:instrText>
      </w:r>
      <w:r>
        <w:fldChar w:fldCharType="separate"/>
      </w:r>
      <w:r>
        <w:t>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"_Toc129094527" </w:instrText>
      </w:r>
      <w:r>
        <w:fldChar w:fldCharType="separate"/>
      </w:r>
      <w:r>
        <w:rPr>
          <w:rStyle w:val="51"/>
          <w:rFonts w:ascii="宋体" w:hAnsi="宋体"/>
          <w:b/>
          <w:bCs/>
          <w:color w:val="auto"/>
          <w:kern w:val="0"/>
        </w:rPr>
        <w:t>5.</w:t>
      </w:r>
      <w:r>
        <w:rPr>
          <w:rFonts w:asciiTheme="minorHAnsi" w:hAnsiTheme="minorHAnsi" w:eastAsiaTheme="minorEastAsia" w:cstheme="minorBidi"/>
          <w:szCs w:val="22"/>
        </w:rPr>
        <w:tab/>
      </w:r>
      <w:r>
        <w:rPr>
          <w:rStyle w:val="51"/>
          <w:rFonts w:hint="eastAsia" w:ascii="宋体" w:hAnsi="宋体"/>
          <w:b/>
          <w:bCs/>
          <w:color w:val="auto"/>
          <w:kern w:val="0"/>
        </w:rPr>
        <w:t>投标人的合格条件</w:t>
      </w:r>
      <w:r>
        <w:tab/>
      </w:r>
      <w:r>
        <w:fldChar w:fldCharType="begin"/>
      </w:r>
      <w:r>
        <w:instrText xml:space="preserve"> PAGEREF _Toc129094527 \h </w:instrText>
      </w:r>
      <w:r>
        <w:fldChar w:fldCharType="separate"/>
      </w:r>
      <w:r>
        <w:t>7</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"_Toc129094528" </w:instrText>
      </w:r>
      <w:r>
        <w:fldChar w:fldCharType="separate"/>
      </w:r>
      <w:r>
        <w:rPr>
          <w:rStyle w:val="51"/>
          <w:rFonts w:ascii="宋体" w:hAnsi="宋体"/>
          <w:b/>
          <w:bCs/>
          <w:color w:val="auto"/>
          <w:kern w:val="0"/>
        </w:rPr>
        <w:t>6.</w:t>
      </w:r>
      <w:r>
        <w:rPr>
          <w:rFonts w:asciiTheme="minorHAnsi" w:hAnsiTheme="minorHAnsi" w:eastAsiaTheme="minorEastAsia" w:cstheme="minorBidi"/>
          <w:szCs w:val="22"/>
        </w:rPr>
        <w:tab/>
      </w:r>
      <w:r>
        <w:rPr>
          <w:rStyle w:val="51"/>
          <w:rFonts w:hint="eastAsia" w:ascii="宋体" w:hAnsi="宋体"/>
          <w:b/>
          <w:bCs/>
          <w:color w:val="auto"/>
          <w:kern w:val="0"/>
        </w:rPr>
        <w:t>联合体投标</w:t>
      </w:r>
      <w:r>
        <w:tab/>
      </w:r>
      <w:r>
        <w:fldChar w:fldCharType="begin"/>
      </w:r>
      <w:r>
        <w:instrText xml:space="preserve"> PAGEREF _Toc129094528 \h </w:instrText>
      </w:r>
      <w:r>
        <w:fldChar w:fldCharType="separate"/>
      </w:r>
      <w:r>
        <w:t>7</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"_Toc129094529" </w:instrText>
      </w:r>
      <w:r>
        <w:fldChar w:fldCharType="separate"/>
      </w:r>
      <w:r>
        <w:rPr>
          <w:rStyle w:val="51"/>
          <w:rFonts w:ascii="宋体" w:hAnsi="宋体"/>
          <w:b/>
          <w:bCs/>
          <w:color w:val="auto"/>
          <w:kern w:val="0"/>
        </w:rPr>
        <w:t>7.</w:t>
      </w:r>
      <w:r>
        <w:rPr>
          <w:rFonts w:asciiTheme="minorHAnsi" w:hAnsiTheme="minorHAnsi" w:eastAsiaTheme="minorEastAsia" w:cstheme="minorBidi"/>
          <w:szCs w:val="22"/>
        </w:rPr>
        <w:tab/>
      </w:r>
      <w:r>
        <w:rPr>
          <w:rStyle w:val="51"/>
          <w:rFonts w:hint="eastAsia" w:ascii="宋体" w:hAnsi="宋体"/>
          <w:b/>
          <w:bCs/>
          <w:color w:val="auto"/>
          <w:kern w:val="0"/>
        </w:rPr>
        <w:t>采购标的</w:t>
      </w:r>
      <w:r>
        <w:tab/>
      </w:r>
      <w:r>
        <w:fldChar w:fldCharType="begin"/>
      </w:r>
      <w:r>
        <w:instrText xml:space="preserve"> PAGEREF _Toc129094529 \h </w:instrText>
      </w:r>
      <w:r>
        <w:fldChar w:fldCharType="separate"/>
      </w:r>
      <w:r>
        <w:t>8</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"_Toc129094530" </w:instrText>
      </w:r>
      <w:r>
        <w:fldChar w:fldCharType="separate"/>
      </w:r>
      <w:r>
        <w:rPr>
          <w:rStyle w:val="51"/>
          <w:rFonts w:ascii="宋体" w:hAnsi="宋体"/>
          <w:b/>
          <w:bCs/>
          <w:color w:val="auto"/>
          <w:kern w:val="0"/>
        </w:rPr>
        <w:t>8.</w:t>
      </w:r>
      <w:r>
        <w:rPr>
          <w:rFonts w:asciiTheme="minorHAnsi" w:hAnsiTheme="minorHAnsi" w:eastAsiaTheme="minorEastAsia" w:cstheme="minorBidi"/>
          <w:szCs w:val="22"/>
        </w:rPr>
        <w:tab/>
      </w:r>
      <w:r>
        <w:rPr>
          <w:rStyle w:val="51"/>
          <w:rFonts w:hint="eastAsia" w:ascii="宋体" w:hAnsi="宋体"/>
          <w:b/>
          <w:bCs/>
          <w:color w:val="auto"/>
          <w:kern w:val="0"/>
        </w:rPr>
        <w:t>现场踏勘</w:t>
      </w:r>
      <w:r>
        <w:tab/>
      </w:r>
      <w:r>
        <w:fldChar w:fldCharType="begin"/>
      </w:r>
      <w:r>
        <w:instrText xml:space="preserve"> PAGEREF _Toc129094530 \h </w:instrText>
      </w:r>
      <w:r>
        <w:fldChar w:fldCharType="separate"/>
      </w:r>
      <w:r>
        <w:t>8</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"_Toc129094531" </w:instrText>
      </w:r>
      <w:r>
        <w:fldChar w:fldCharType="separate"/>
      </w:r>
      <w:r>
        <w:rPr>
          <w:rStyle w:val="51"/>
          <w:rFonts w:hint="eastAsia"/>
          <w:bCs/>
          <w:color w:val="auto"/>
          <w:kern w:val="44"/>
        </w:rPr>
        <w:t>第二章</w:t>
      </w:r>
      <w:r>
        <w:rPr>
          <w:rFonts w:asciiTheme="minorHAnsi" w:hAnsiTheme="minorHAnsi" w:eastAsiaTheme="minorEastAsia" w:cstheme="minorBidi"/>
          <w:b w:val="0"/>
          <w:szCs w:val="22"/>
        </w:rPr>
        <w:tab/>
      </w:r>
      <w:r>
        <w:rPr>
          <w:rStyle w:val="51"/>
          <w:rFonts w:hint="eastAsia"/>
          <w:bCs/>
          <w:color w:val="auto"/>
          <w:kern w:val="44"/>
        </w:rPr>
        <w:t>招标文件</w:t>
      </w:r>
      <w:r>
        <w:tab/>
      </w:r>
      <w:r>
        <w:fldChar w:fldCharType="begin"/>
      </w:r>
      <w:r>
        <w:instrText xml:space="preserve"> PAGEREF _Toc129094531 \h </w:instrText>
      </w:r>
      <w:r>
        <w:fldChar w:fldCharType="separate"/>
      </w:r>
      <w:r>
        <w:t>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"_Toc129094532" </w:instrText>
      </w:r>
      <w:r>
        <w:fldChar w:fldCharType="separate"/>
      </w:r>
      <w:r>
        <w:rPr>
          <w:rStyle w:val="51"/>
          <w:rFonts w:ascii="宋体" w:hAnsi="宋体"/>
          <w:b/>
          <w:bCs/>
          <w:color w:val="auto"/>
          <w:kern w:val="0"/>
        </w:rPr>
        <w:t>9.</w:t>
      </w:r>
      <w:r>
        <w:rPr>
          <w:rFonts w:asciiTheme="minorHAnsi" w:hAnsiTheme="minorHAnsi" w:eastAsiaTheme="minorEastAsia" w:cstheme="minorBidi"/>
          <w:szCs w:val="22"/>
        </w:rPr>
        <w:tab/>
      </w:r>
      <w:r>
        <w:rPr>
          <w:rStyle w:val="51"/>
          <w:rFonts w:hint="eastAsia" w:ascii="宋体" w:hAnsi="宋体"/>
          <w:b/>
          <w:bCs/>
          <w:color w:val="auto"/>
          <w:kern w:val="0"/>
        </w:rPr>
        <w:t>招标文件的编制与组成</w:t>
      </w:r>
      <w:r>
        <w:tab/>
      </w:r>
      <w:r>
        <w:fldChar w:fldCharType="begin"/>
      </w:r>
      <w:r>
        <w:instrText xml:space="preserve"> PAGEREF _Toc129094532 \h </w:instrText>
      </w:r>
      <w:r>
        <w:fldChar w:fldCharType="separate"/>
      </w:r>
      <w:r>
        <w:t>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"_Toc129094533" </w:instrText>
      </w:r>
      <w:r>
        <w:fldChar w:fldCharType="separate"/>
      </w:r>
      <w:r>
        <w:rPr>
          <w:rStyle w:val="51"/>
          <w:rFonts w:ascii="宋体" w:hAnsi="宋体"/>
          <w:b/>
          <w:bCs/>
          <w:color w:val="auto"/>
          <w:kern w:val="0"/>
        </w:rPr>
        <w:t>10.</w:t>
      </w:r>
      <w:r>
        <w:rPr>
          <w:rFonts w:asciiTheme="minorHAnsi" w:hAnsiTheme="minorHAnsi" w:eastAsiaTheme="minorEastAsia" w:cstheme="minorBidi"/>
          <w:szCs w:val="22"/>
        </w:rPr>
        <w:tab/>
      </w:r>
      <w:r>
        <w:rPr>
          <w:rStyle w:val="51"/>
          <w:rFonts w:hint="eastAsia" w:ascii="宋体" w:hAnsi="宋体"/>
          <w:b/>
          <w:bCs/>
          <w:color w:val="auto"/>
          <w:kern w:val="0"/>
        </w:rPr>
        <w:t>招标答疑</w:t>
      </w:r>
      <w:r>
        <w:tab/>
      </w:r>
      <w:r>
        <w:fldChar w:fldCharType="begin"/>
      </w:r>
      <w:r>
        <w:instrText xml:space="preserve"> PAGEREF _Toc129094533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"_Toc129094534" </w:instrText>
      </w:r>
      <w:r>
        <w:fldChar w:fldCharType="separate"/>
      </w:r>
      <w:r>
        <w:rPr>
          <w:rStyle w:val="51"/>
          <w:rFonts w:ascii="宋体" w:hAnsi="宋体"/>
          <w:b/>
          <w:bCs/>
          <w:color w:val="auto"/>
          <w:kern w:val="0"/>
        </w:rPr>
        <w:t>11.</w:t>
      </w:r>
      <w:r>
        <w:rPr>
          <w:rFonts w:asciiTheme="minorHAnsi" w:hAnsiTheme="minorHAnsi" w:eastAsiaTheme="minorEastAsia" w:cstheme="minorBidi"/>
          <w:szCs w:val="22"/>
        </w:rPr>
        <w:tab/>
      </w:r>
      <w:r>
        <w:rPr>
          <w:rStyle w:val="51"/>
          <w:rFonts w:hint="eastAsia" w:ascii="宋体" w:hAnsi="宋体"/>
          <w:b/>
          <w:bCs/>
          <w:color w:val="auto"/>
          <w:kern w:val="0"/>
        </w:rPr>
        <w:t>招标文件的修改</w:t>
      </w:r>
      <w:r>
        <w:tab/>
      </w:r>
      <w:r>
        <w:fldChar w:fldCharType="begin"/>
      </w:r>
      <w:r>
        <w:instrText xml:space="preserve"> PAGEREF _Toc129094534 \h </w:instrText>
      </w:r>
      <w:r>
        <w:fldChar w:fldCharType="separate"/>
      </w:r>
      <w:r>
        <w:t>10</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"_Toc129094535" </w:instrText>
      </w:r>
      <w:r>
        <w:fldChar w:fldCharType="separate"/>
      </w:r>
      <w:r>
        <w:rPr>
          <w:rStyle w:val="51"/>
          <w:rFonts w:hint="eastAsia"/>
          <w:bCs/>
          <w:color w:val="auto"/>
          <w:kern w:val="44"/>
        </w:rPr>
        <w:t>第三章</w:t>
      </w:r>
      <w:r>
        <w:rPr>
          <w:rFonts w:asciiTheme="minorHAnsi" w:hAnsiTheme="minorHAnsi" w:eastAsiaTheme="minorEastAsia" w:cstheme="minorBidi"/>
          <w:b w:val="0"/>
          <w:szCs w:val="22"/>
        </w:rPr>
        <w:tab/>
      </w:r>
      <w:r>
        <w:rPr>
          <w:rStyle w:val="51"/>
          <w:rFonts w:hint="eastAsia"/>
          <w:bCs/>
          <w:color w:val="auto"/>
          <w:kern w:val="44"/>
        </w:rPr>
        <w:t>投标文件的编制</w:t>
      </w:r>
      <w:r>
        <w:tab/>
      </w:r>
      <w:r>
        <w:fldChar w:fldCharType="begin"/>
      </w:r>
      <w:r>
        <w:instrText xml:space="preserve"> PAGEREF _Toc129094535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"_Toc129094536" </w:instrText>
      </w:r>
      <w:r>
        <w:fldChar w:fldCharType="separate"/>
      </w:r>
      <w:r>
        <w:rPr>
          <w:rStyle w:val="51"/>
          <w:rFonts w:ascii="宋体" w:hAnsi="宋体"/>
          <w:b/>
          <w:bCs/>
          <w:color w:val="auto"/>
          <w:kern w:val="0"/>
        </w:rPr>
        <w:t>12.</w:t>
      </w:r>
      <w:r>
        <w:rPr>
          <w:rFonts w:asciiTheme="minorHAnsi" w:hAnsiTheme="minorHAnsi" w:eastAsiaTheme="minorEastAsia" w:cstheme="minorBidi"/>
          <w:szCs w:val="22"/>
        </w:rPr>
        <w:tab/>
      </w:r>
      <w:r>
        <w:rPr>
          <w:rStyle w:val="51"/>
          <w:rFonts w:hint="eastAsia" w:ascii="宋体" w:hAnsi="宋体"/>
          <w:b/>
          <w:bCs/>
          <w:color w:val="auto"/>
          <w:kern w:val="0"/>
        </w:rPr>
        <w:t>投标文件的语言及度量单位</w:t>
      </w:r>
      <w:r>
        <w:tab/>
      </w:r>
      <w:r>
        <w:fldChar w:fldCharType="begin"/>
      </w:r>
      <w:r>
        <w:instrText xml:space="preserve"> PAGEREF _Toc129094536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"_Toc129094537" </w:instrText>
      </w:r>
      <w:r>
        <w:fldChar w:fldCharType="separate"/>
      </w:r>
      <w:r>
        <w:rPr>
          <w:rStyle w:val="51"/>
          <w:rFonts w:ascii="宋体" w:hAnsi="宋体"/>
          <w:b/>
          <w:bCs/>
          <w:color w:val="auto"/>
          <w:kern w:val="0"/>
        </w:rPr>
        <w:t>13.</w:t>
      </w:r>
      <w:r>
        <w:rPr>
          <w:rFonts w:asciiTheme="minorHAnsi" w:hAnsiTheme="minorHAnsi" w:eastAsiaTheme="minorEastAsia" w:cstheme="minorBidi"/>
          <w:szCs w:val="22"/>
        </w:rPr>
        <w:tab/>
      </w:r>
      <w:r>
        <w:rPr>
          <w:rStyle w:val="51"/>
          <w:rFonts w:hint="eastAsia" w:ascii="宋体" w:hAnsi="宋体"/>
          <w:b/>
          <w:bCs/>
          <w:color w:val="auto"/>
          <w:kern w:val="0"/>
        </w:rPr>
        <w:t>投标文件的组成</w:t>
      </w:r>
      <w:r>
        <w:tab/>
      </w:r>
      <w:r>
        <w:fldChar w:fldCharType="begin"/>
      </w:r>
      <w:r>
        <w:instrText xml:space="preserve"> PAGEREF _Toc129094537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"_Toc129094538" </w:instrText>
      </w:r>
      <w:r>
        <w:fldChar w:fldCharType="separate"/>
      </w:r>
      <w:r>
        <w:rPr>
          <w:rStyle w:val="51"/>
          <w:rFonts w:ascii="宋体" w:hAnsi="宋体"/>
          <w:b/>
          <w:bCs/>
          <w:color w:val="auto"/>
          <w:kern w:val="0"/>
        </w:rPr>
        <w:t>14.</w:t>
      </w:r>
      <w:r>
        <w:rPr>
          <w:rFonts w:asciiTheme="minorHAnsi" w:hAnsiTheme="minorHAnsi" w:eastAsiaTheme="minorEastAsia" w:cstheme="minorBidi"/>
          <w:szCs w:val="22"/>
        </w:rPr>
        <w:tab/>
      </w:r>
      <w:r>
        <w:rPr>
          <w:rStyle w:val="51"/>
          <w:rFonts w:hint="eastAsia" w:ascii="宋体" w:hAnsi="宋体"/>
          <w:b/>
          <w:bCs/>
          <w:color w:val="auto"/>
          <w:kern w:val="0"/>
        </w:rPr>
        <w:t>投标文件格式</w:t>
      </w:r>
      <w:r>
        <w:tab/>
      </w:r>
      <w:r>
        <w:fldChar w:fldCharType="begin"/>
      </w:r>
      <w:r>
        <w:instrText xml:space="preserve"> PAGEREF _Toc129094538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"_Toc129094539" </w:instrText>
      </w:r>
      <w:r>
        <w:fldChar w:fldCharType="separate"/>
      </w:r>
      <w:r>
        <w:rPr>
          <w:rStyle w:val="51"/>
          <w:rFonts w:ascii="宋体" w:hAnsi="宋体"/>
          <w:b/>
          <w:bCs/>
          <w:color w:val="auto"/>
          <w:kern w:val="0"/>
        </w:rPr>
        <w:t>15.</w:t>
      </w:r>
      <w:r>
        <w:rPr>
          <w:rFonts w:asciiTheme="minorHAnsi" w:hAnsiTheme="minorHAnsi" w:eastAsiaTheme="minorEastAsia" w:cstheme="minorBidi"/>
          <w:szCs w:val="22"/>
        </w:rPr>
        <w:tab/>
      </w:r>
      <w:r>
        <w:rPr>
          <w:rStyle w:val="51"/>
          <w:rFonts w:hint="eastAsia" w:ascii="宋体" w:hAnsi="宋体"/>
          <w:b/>
          <w:bCs/>
          <w:color w:val="auto"/>
          <w:kern w:val="0"/>
        </w:rPr>
        <w:t>投标报价和货币</w:t>
      </w:r>
      <w:r>
        <w:tab/>
      </w:r>
      <w:r>
        <w:fldChar w:fldCharType="begin"/>
      </w:r>
      <w:r>
        <w:instrText xml:space="preserve"> PAGEREF _Toc129094539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"_Toc129094540" </w:instrText>
      </w:r>
      <w:r>
        <w:fldChar w:fldCharType="separate"/>
      </w:r>
      <w:r>
        <w:rPr>
          <w:rStyle w:val="51"/>
          <w:rFonts w:ascii="宋体" w:hAnsi="宋体"/>
          <w:b/>
          <w:bCs/>
          <w:color w:val="auto"/>
          <w:kern w:val="0"/>
        </w:rPr>
        <w:t>16.</w:t>
      </w:r>
      <w:r>
        <w:rPr>
          <w:rFonts w:asciiTheme="minorHAnsi" w:hAnsiTheme="minorHAnsi" w:eastAsiaTheme="minorEastAsia" w:cstheme="minorBidi"/>
          <w:szCs w:val="22"/>
        </w:rPr>
        <w:tab/>
      </w:r>
      <w:r>
        <w:rPr>
          <w:rStyle w:val="51"/>
          <w:rFonts w:hint="eastAsia" w:ascii="宋体" w:hAnsi="宋体"/>
          <w:b/>
          <w:bCs/>
          <w:color w:val="auto"/>
          <w:kern w:val="0"/>
        </w:rPr>
        <w:t>投标文件证明文件要求</w:t>
      </w:r>
      <w:r>
        <w:tab/>
      </w:r>
      <w:r>
        <w:fldChar w:fldCharType="begin"/>
      </w:r>
      <w:r>
        <w:instrText xml:space="preserve"> PAGEREF _Toc129094540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"_Toc129094541" </w:instrText>
      </w:r>
      <w:r>
        <w:fldChar w:fldCharType="separate"/>
      </w:r>
      <w:r>
        <w:rPr>
          <w:rStyle w:val="51"/>
          <w:rFonts w:ascii="宋体" w:hAnsi="宋体"/>
          <w:b/>
          <w:bCs/>
          <w:color w:val="auto"/>
          <w:kern w:val="0"/>
        </w:rPr>
        <w:t>17.</w:t>
      </w:r>
      <w:r>
        <w:rPr>
          <w:rFonts w:asciiTheme="minorHAnsi" w:hAnsiTheme="minorHAnsi" w:eastAsiaTheme="minorEastAsia" w:cstheme="minorBidi"/>
          <w:szCs w:val="22"/>
        </w:rPr>
        <w:tab/>
      </w:r>
      <w:r>
        <w:rPr>
          <w:rStyle w:val="51"/>
          <w:rFonts w:hint="eastAsia" w:ascii="宋体" w:hAnsi="宋体"/>
          <w:b/>
          <w:bCs/>
          <w:color w:val="auto"/>
          <w:kern w:val="0"/>
        </w:rPr>
        <w:t>保密</w:t>
      </w:r>
      <w:r>
        <w:tab/>
      </w:r>
      <w:r>
        <w:fldChar w:fldCharType="begin"/>
      </w:r>
      <w:r>
        <w:instrText xml:space="preserve"> PAGEREF _Toc129094541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"_Toc129094542" </w:instrText>
      </w:r>
      <w:r>
        <w:fldChar w:fldCharType="separate"/>
      </w:r>
      <w:r>
        <w:rPr>
          <w:rStyle w:val="51"/>
          <w:rFonts w:ascii="宋体" w:hAnsi="宋体"/>
          <w:b/>
          <w:bCs/>
          <w:color w:val="auto"/>
          <w:kern w:val="0"/>
        </w:rPr>
        <w:t>18.</w:t>
      </w:r>
      <w:r>
        <w:rPr>
          <w:rFonts w:asciiTheme="minorHAnsi" w:hAnsiTheme="minorHAnsi" w:eastAsiaTheme="minorEastAsia" w:cstheme="minorBidi"/>
          <w:szCs w:val="22"/>
        </w:rPr>
        <w:tab/>
      </w:r>
      <w:r>
        <w:rPr>
          <w:rStyle w:val="51"/>
          <w:rFonts w:hint="eastAsia" w:ascii="宋体" w:hAnsi="宋体"/>
          <w:b/>
          <w:bCs/>
          <w:color w:val="auto"/>
          <w:kern w:val="0"/>
        </w:rPr>
        <w:t>投标有效期</w:t>
      </w:r>
      <w:r>
        <w:tab/>
      </w:r>
      <w:r>
        <w:fldChar w:fldCharType="begin"/>
      </w:r>
      <w:r>
        <w:instrText xml:space="preserve"> PAGEREF _Toc129094542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"_Toc129094543" </w:instrText>
      </w:r>
      <w:r>
        <w:fldChar w:fldCharType="separate"/>
      </w:r>
      <w:r>
        <w:rPr>
          <w:rStyle w:val="51"/>
          <w:rFonts w:ascii="宋体" w:hAnsi="宋体"/>
          <w:b/>
          <w:bCs/>
          <w:color w:val="auto"/>
          <w:kern w:val="0"/>
        </w:rPr>
        <w:t>19.</w:t>
      </w:r>
      <w:r>
        <w:rPr>
          <w:rFonts w:asciiTheme="minorHAnsi" w:hAnsiTheme="minorHAnsi" w:eastAsiaTheme="minorEastAsia" w:cstheme="minorBidi"/>
          <w:szCs w:val="22"/>
        </w:rPr>
        <w:tab/>
      </w:r>
      <w:r>
        <w:rPr>
          <w:rStyle w:val="51"/>
          <w:rFonts w:hint="eastAsia" w:ascii="宋体" w:hAnsi="宋体"/>
          <w:b/>
          <w:bCs/>
          <w:color w:val="auto"/>
          <w:kern w:val="0"/>
        </w:rPr>
        <w:t>投标保证金（本项目无需缴纳投标保证金，招标文件中所有涉及“投标保证金”条款均不适用）</w:t>
      </w:r>
      <w:r>
        <w:tab/>
      </w:r>
      <w:r>
        <w:fldChar w:fldCharType="begin"/>
      </w:r>
      <w:r>
        <w:instrText xml:space="preserve"> PAGEREF _Toc129094543 \h </w:instrText>
      </w:r>
      <w:r>
        <w:fldChar w:fldCharType="separate"/>
      </w:r>
      <w:r>
        <w:t>12</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"_Toc129094544" </w:instrText>
      </w:r>
      <w:r>
        <w:fldChar w:fldCharType="separate"/>
      </w:r>
      <w:r>
        <w:rPr>
          <w:rStyle w:val="51"/>
          <w:rFonts w:ascii="宋体" w:hAnsi="宋体"/>
          <w:b/>
          <w:bCs/>
          <w:color w:val="auto"/>
          <w:kern w:val="0"/>
        </w:rPr>
        <w:t>20.</w:t>
      </w:r>
      <w:r>
        <w:rPr>
          <w:rFonts w:asciiTheme="minorHAnsi" w:hAnsiTheme="minorHAnsi" w:eastAsiaTheme="minorEastAsia" w:cstheme="minorBidi"/>
          <w:szCs w:val="22"/>
        </w:rPr>
        <w:tab/>
      </w:r>
      <w:r>
        <w:rPr>
          <w:rStyle w:val="51"/>
          <w:rFonts w:hint="eastAsia" w:ascii="宋体" w:hAnsi="宋体"/>
          <w:b/>
          <w:bCs/>
          <w:color w:val="auto"/>
          <w:kern w:val="0"/>
        </w:rPr>
        <w:t>投标人的替代方案</w:t>
      </w:r>
      <w:r>
        <w:tab/>
      </w:r>
      <w:r>
        <w:fldChar w:fldCharType="begin"/>
      </w:r>
      <w:r>
        <w:instrText xml:space="preserve"> PAGEREF _Toc129094544 \h </w:instrText>
      </w:r>
      <w:r>
        <w:fldChar w:fldCharType="separate"/>
      </w:r>
      <w:r>
        <w:t>13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"_Toc129094545" </w:instrText>
      </w:r>
      <w:r>
        <w:fldChar w:fldCharType="separate"/>
      </w:r>
      <w:r>
        <w:rPr>
          <w:rStyle w:val="51"/>
          <w:rFonts w:ascii="宋体" w:hAnsi="宋体"/>
          <w:b/>
          <w:bCs/>
          <w:color w:val="auto"/>
          <w:kern w:val="0"/>
        </w:rPr>
        <w:t>21.</w:t>
      </w:r>
      <w:r>
        <w:rPr>
          <w:rFonts w:asciiTheme="minorHAnsi" w:hAnsiTheme="minorHAnsi" w:eastAsiaTheme="minorEastAsia" w:cstheme="minorBidi"/>
          <w:szCs w:val="22"/>
        </w:rPr>
        <w:tab/>
      </w:r>
      <w:r>
        <w:rPr>
          <w:rStyle w:val="51"/>
          <w:rFonts w:hint="eastAsia" w:ascii="宋体" w:hAnsi="宋体"/>
          <w:b/>
          <w:bCs/>
          <w:color w:val="auto"/>
          <w:kern w:val="0"/>
        </w:rPr>
        <w:t>投标文件的装订和签署</w:t>
      </w:r>
      <w:r>
        <w:tab/>
      </w:r>
      <w:r>
        <w:fldChar w:fldCharType="begin"/>
      </w:r>
      <w:r>
        <w:instrText xml:space="preserve"> PAGEREF _Toc129094545 \h </w:instrText>
      </w:r>
      <w:r>
        <w:fldChar w:fldCharType="separate"/>
      </w:r>
      <w:r>
        <w:t>13</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"_Toc129094546" </w:instrText>
      </w:r>
      <w:r>
        <w:fldChar w:fldCharType="separate"/>
      </w:r>
      <w:r>
        <w:rPr>
          <w:rStyle w:val="51"/>
          <w:rFonts w:hint="eastAsia"/>
          <w:bCs/>
          <w:color w:val="auto"/>
          <w:kern w:val="44"/>
        </w:rPr>
        <w:t>第四章</w:t>
      </w:r>
      <w:r>
        <w:rPr>
          <w:rFonts w:asciiTheme="minorHAnsi" w:hAnsiTheme="minorHAnsi" w:eastAsiaTheme="minorEastAsia" w:cstheme="minorBidi"/>
          <w:b w:val="0"/>
          <w:szCs w:val="22"/>
        </w:rPr>
        <w:tab/>
      </w:r>
      <w:r>
        <w:rPr>
          <w:rStyle w:val="51"/>
          <w:rFonts w:hint="eastAsia"/>
          <w:bCs/>
          <w:color w:val="auto"/>
          <w:kern w:val="44"/>
        </w:rPr>
        <w:t>投标文件的递交</w:t>
      </w:r>
      <w:r>
        <w:tab/>
      </w:r>
      <w:r>
        <w:fldChar w:fldCharType="begin"/>
      </w:r>
      <w:r>
        <w:instrText xml:space="preserve"> PAGEREF _Toc129094546 \h </w:instrText>
      </w:r>
      <w:r>
        <w:fldChar w:fldCharType="separate"/>
      </w:r>
      <w:r>
        <w:t>14</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"_Toc129094547" </w:instrText>
      </w:r>
      <w:r>
        <w:fldChar w:fldCharType="separate"/>
      </w:r>
      <w:r>
        <w:rPr>
          <w:rStyle w:val="51"/>
          <w:rFonts w:ascii="宋体" w:hAnsi="宋体"/>
          <w:b/>
          <w:bCs/>
          <w:color w:val="auto"/>
          <w:kern w:val="0"/>
        </w:rPr>
        <w:t>22.</w:t>
      </w:r>
      <w:r>
        <w:rPr>
          <w:rFonts w:asciiTheme="minorHAnsi" w:hAnsiTheme="minorHAnsi" w:eastAsiaTheme="minorEastAsia" w:cstheme="minorBidi"/>
          <w:szCs w:val="22"/>
        </w:rPr>
        <w:tab/>
      </w:r>
      <w:r>
        <w:rPr>
          <w:rStyle w:val="51"/>
          <w:rFonts w:hint="eastAsia" w:ascii="宋体" w:hAnsi="宋体"/>
          <w:b/>
          <w:bCs/>
          <w:color w:val="auto"/>
          <w:kern w:val="0"/>
        </w:rPr>
        <w:t>投标文件的密封和标记</w:t>
      </w:r>
      <w:r>
        <w:tab/>
      </w:r>
      <w:r>
        <w:fldChar w:fldCharType="begin"/>
      </w:r>
      <w:r>
        <w:instrText xml:space="preserve"> PAGEREF _Toc129094547 \h </w:instrText>
      </w:r>
      <w:r>
        <w:fldChar w:fldCharType="separate"/>
      </w:r>
      <w:r>
        <w:t>14</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"_Toc129094548" </w:instrText>
      </w:r>
      <w:r>
        <w:fldChar w:fldCharType="separate"/>
      </w:r>
      <w:r>
        <w:rPr>
          <w:rStyle w:val="51"/>
          <w:rFonts w:ascii="宋体" w:hAnsi="宋体"/>
          <w:b/>
          <w:bCs/>
          <w:color w:val="auto"/>
          <w:kern w:val="0"/>
        </w:rPr>
        <w:t>23.</w:t>
      </w:r>
      <w:r>
        <w:rPr>
          <w:rFonts w:asciiTheme="minorHAnsi" w:hAnsiTheme="minorHAnsi" w:eastAsiaTheme="minorEastAsia" w:cstheme="minorBidi"/>
          <w:szCs w:val="22"/>
        </w:rPr>
        <w:tab/>
      </w:r>
      <w:r>
        <w:rPr>
          <w:rStyle w:val="51"/>
          <w:rFonts w:hint="eastAsia" w:ascii="宋体" w:hAnsi="宋体"/>
          <w:b/>
          <w:bCs/>
          <w:color w:val="auto"/>
          <w:kern w:val="0"/>
        </w:rPr>
        <w:t>投标截止日期</w:t>
      </w:r>
      <w:r>
        <w:tab/>
      </w:r>
      <w:r>
        <w:fldChar w:fldCharType="begin"/>
      </w:r>
      <w:r>
        <w:instrText xml:space="preserve"> PAGEREF _Toc129094548 \h </w:instrText>
      </w:r>
      <w:r>
        <w:fldChar w:fldCharType="separate"/>
      </w:r>
      <w:r>
        <w:t>14</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"_Toc129094549" </w:instrText>
      </w:r>
      <w:r>
        <w:fldChar w:fldCharType="separate"/>
      </w:r>
      <w:r>
        <w:rPr>
          <w:rStyle w:val="51"/>
          <w:rFonts w:ascii="宋体" w:hAnsi="宋体"/>
          <w:b/>
          <w:bCs/>
          <w:color w:val="auto"/>
          <w:kern w:val="0"/>
        </w:rPr>
        <w:t>24.</w:t>
      </w:r>
      <w:r>
        <w:rPr>
          <w:rFonts w:asciiTheme="minorHAnsi" w:hAnsiTheme="minorHAnsi" w:eastAsiaTheme="minorEastAsia" w:cstheme="minorBidi"/>
          <w:szCs w:val="22"/>
        </w:rPr>
        <w:tab/>
      </w:r>
      <w:r>
        <w:rPr>
          <w:rStyle w:val="51"/>
          <w:rFonts w:hint="eastAsia" w:ascii="宋体" w:hAnsi="宋体"/>
          <w:b/>
          <w:bCs/>
          <w:color w:val="auto"/>
          <w:kern w:val="0"/>
        </w:rPr>
        <w:t>现场演示（答辩）</w:t>
      </w:r>
      <w:r>
        <w:tab/>
      </w:r>
      <w:r>
        <w:fldChar w:fldCharType="begin"/>
      </w:r>
      <w:r>
        <w:instrText xml:space="preserve"> PAGEREF _Toc129094549 \h </w:instrText>
      </w:r>
      <w:r>
        <w:fldChar w:fldCharType="separate"/>
      </w:r>
      <w:r>
        <w:t>15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"_Toc129094550" </w:instrText>
      </w:r>
      <w:r>
        <w:fldChar w:fldCharType="separate"/>
      </w:r>
      <w:r>
        <w:rPr>
          <w:rStyle w:val="51"/>
          <w:rFonts w:ascii="宋体" w:hAnsi="宋体"/>
          <w:b/>
          <w:bCs/>
          <w:color w:val="auto"/>
          <w:kern w:val="0"/>
        </w:rPr>
        <w:t>25.</w:t>
      </w:r>
      <w:r>
        <w:rPr>
          <w:rFonts w:asciiTheme="minorHAnsi" w:hAnsiTheme="minorHAnsi" w:eastAsiaTheme="minorEastAsia" w:cstheme="minorBidi"/>
          <w:szCs w:val="22"/>
        </w:rPr>
        <w:tab/>
      </w:r>
      <w:r>
        <w:rPr>
          <w:rStyle w:val="51"/>
          <w:rFonts w:hint="eastAsia" w:ascii="宋体" w:hAnsi="宋体"/>
          <w:b/>
          <w:bCs/>
          <w:color w:val="auto"/>
          <w:kern w:val="0"/>
        </w:rPr>
        <w:t>投标文件的修改和撤销</w:t>
      </w:r>
      <w:r>
        <w:tab/>
      </w:r>
      <w:r>
        <w:fldChar w:fldCharType="begin"/>
      </w:r>
      <w:r>
        <w:instrText xml:space="preserve"> PAGEREF _Toc129094550 \h </w:instrText>
      </w:r>
      <w:r>
        <w:fldChar w:fldCharType="separate"/>
      </w:r>
      <w:r>
        <w:t>15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"_Toc129094551" </w:instrText>
      </w:r>
      <w:r>
        <w:fldChar w:fldCharType="separate"/>
      </w:r>
      <w:r>
        <w:rPr>
          <w:rStyle w:val="51"/>
          <w:rFonts w:hint="eastAsia"/>
          <w:bCs/>
          <w:color w:val="auto"/>
          <w:kern w:val="44"/>
        </w:rPr>
        <w:t>第五章</w:t>
      </w:r>
      <w:r>
        <w:rPr>
          <w:rFonts w:asciiTheme="minorHAnsi" w:hAnsiTheme="minorHAnsi" w:eastAsiaTheme="minorEastAsia" w:cstheme="minorBidi"/>
          <w:b w:val="0"/>
          <w:szCs w:val="22"/>
        </w:rPr>
        <w:tab/>
      </w:r>
      <w:r>
        <w:rPr>
          <w:rStyle w:val="51"/>
          <w:rFonts w:hint="eastAsia"/>
          <w:bCs/>
          <w:color w:val="auto"/>
          <w:kern w:val="44"/>
        </w:rPr>
        <w:t>开标</w:t>
      </w:r>
      <w:r>
        <w:tab/>
      </w:r>
      <w:r>
        <w:fldChar w:fldCharType="begin"/>
      </w:r>
      <w:r>
        <w:instrText xml:space="preserve"> PAGEREF _Toc129094551 \h </w:instrText>
      </w:r>
      <w:r>
        <w:fldChar w:fldCharType="separate"/>
      </w:r>
      <w:r>
        <w:t>15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"_Toc129094552" </w:instrText>
      </w:r>
      <w:r>
        <w:fldChar w:fldCharType="separate"/>
      </w:r>
      <w:r>
        <w:rPr>
          <w:rStyle w:val="51"/>
          <w:rFonts w:ascii="宋体" w:hAnsi="宋体"/>
          <w:b/>
          <w:bCs/>
          <w:color w:val="auto"/>
          <w:kern w:val="0"/>
        </w:rPr>
        <w:t>26.</w:t>
      </w:r>
      <w:r>
        <w:rPr>
          <w:rFonts w:asciiTheme="minorHAnsi" w:hAnsiTheme="minorHAnsi" w:eastAsiaTheme="minorEastAsia" w:cstheme="minorBidi"/>
          <w:szCs w:val="22"/>
        </w:rPr>
        <w:tab/>
      </w:r>
      <w:r>
        <w:rPr>
          <w:rStyle w:val="51"/>
          <w:rFonts w:hint="eastAsia" w:ascii="宋体" w:hAnsi="宋体"/>
          <w:b/>
          <w:bCs/>
          <w:color w:val="auto"/>
          <w:kern w:val="0"/>
        </w:rPr>
        <w:t>开标</w:t>
      </w:r>
      <w:r>
        <w:tab/>
      </w:r>
      <w:r>
        <w:fldChar w:fldCharType="begin"/>
      </w:r>
      <w:r>
        <w:instrText xml:space="preserve"> PAGEREF _Toc129094552 \h </w:instrText>
      </w:r>
      <w:r>
        <w:fldChar w:fldCharType="separate"/>
      </w:r>
      <w:r>
        <w:t>15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"_Toc129094553" </w:instrText>
      </w:r>
      <w:r>
        <w:fldChar w:fldCharType="separate"/>
      </w:r>
      <w:r>
        <w:rPr>
          <w:rStyle w:val="51"/>
          <w:rFonts w:hint="eastAsia"/>
          <w:bCs/>
          <w:color w:val="auto"/>
          <w:kern w:val="44"/>
        </w:rPr>
        <w:t>第六章</w:t>
      </w:r>
      <w:r>
        <w:rPr>
          <w:rFonts w:asciiTheme="minorHAnsi" w:hAnsiTheme="minorHAnsi" w:eastAsiaTheme="minorEastAsia" w:cstheme="minorBidi"/>
          <w:b w:val="0"/>
          <w:szCs w:val="22"/>
        </w:rPr>
        <w:tab/>
      </w:r>
      <w:r>
        <w:rPr>
          <w:rStyle w:val="51"/>
          <w:rFonts w:hint="eastAsia"/>
          <w:bCs/>
          <w:color w:val="auto"/>
          <w:kern w:val="44"/>
        </w:rPr>
        <w:t>评标</w:t>
      </w:r>
      <w:r>
        <w:tab/>
      </w:r>
      <w:r>
        <w:fldChar w:fldCharType="begin"/>
      </w:r>
      <w:r>
        <w:instrText xml:space="preserve"> PAGEREF _Toc129094553 \h </w:instrText>
      </w:r>
      <w:r>
        <w:fldChar w:fldCharType="separate"/>
      </w:r>
      <w:r>
        <w:t>16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"_Toc129094554" </w:instrText>
      </w:r>
      <w:r>
        <w:fldChar w:fldCharType="separate"/>
      </w:r>
      <w:r>
        <w:rPr>
          <w:rStyle w:val="51"/>
          <w:rFonts w:ascii="宋体" w:hAnsi="宋体"/>
          <w:b/>
          <w:bCs/>
          <w:color w:val="auto"/>
          <w:kern w:val="0"/>
        </w:rPr>
        <w:t>27.</w:t>
      </w:r>
      <w:r>
        <w:rPr>
          <w:rFonts w:asciiTheme="minorHAnsi" w:hAnsiTheme="minorHAnsi" w:eastAsiaTheme="minorEastAsia" w:cstheme="minorBidi"/>
          <w:szCs w:val="22"/>
        </w:rPr>
        <w:tab/>
      </w:r>
      <w:r>
        <w:rPr>
          <w:rStyle w:val="51"/>
          <w:rFonts w:hint="eastAsia" w:ascii="宋体" w:hAnsi="宋体"/>
          <w:b/>
          <w:bCs/>
          <w:color w:val="auto"/>
          <w:kern w:val="0"/>
        </w:rPr>
        <w:t>评标委员会组成</w:t>
      </w:r>
      <w:r>
        <w:tab/>
      </w:r>
      <w:r>
        <w:fldChar w:fldCharType="begin"/>
      </w:r>
      <w:r>
        <w:instrText xml:space="preserve"> PAGEREF _Toc129094554 \h </w:instrText>
      </w:r>
      <w:r>
        <w:fldChar w:fldCharType="separate"/>
      </w:r>
      <w:r>
        <w:t>16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"_Toc129094555" </w:instrText>
      </w:r>
      <w:r>
        <w:fldChar w:fldCharType="separate"/>
      </w:r>
      <w:r>
        <w:rPr>
          <w:rStyle w:val="51"/>
          <w:rFonts w:ascii="宋体" w:hAnsi="宋体"/>
          <w:b/>
          <w:bCs/>
          <w:color w:val="auto"/>
          <w:kern w:val="0"/>
        </w:rPr>
        <w:t>28.</w:t>
      </w:r>
      <w:r>
        <w:rPr>
          <w:rFonts w:asciiTheme="minorHAnsi" w:hAnsiTheme="minorHAnsi" w:eastAsiaTheme="minorEastAsia" w:cstheme="minorBidi"/>
          <w:szCs w:val="22"/>
        </w:rPr>
        <w:tab/>
      </w:r>
      <w:r>
        <w:rPr>
          <w:rStyle w:val="51"/>
          <w:rFonts w:hint="eastAsia" w:ascii="宋体" w:hAnsi="宋体"/>
          <w:b/>
          <w:bCs/>
          <w:color w:val="auto"/>
          <w:kern w:val="0"/>
        </w:rPr>
        <w:t>评标、定标程序及方法</w:t>
      </w:r>
      <w:r>
        <w:tab/>
      </w:r>
      <w:r>
        <w:fldChar w:fldCharType="begin"/>
      </w:r>
      <w:r>
        <w:instrText xml:space="preserve"> PAGEREF _Toc129094555 \h </w:instrText>
      </w:r>
      <w:r>
        <w:fldChar w:fldCharType="separate"/>
      </w:r>
      <w:r>
        <w:t>17</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"_Toc129094556" </w:instrText>
      </w:r>
      <w:r>
        <w:fldChar w:fldCharType="separate"/>
      </w:r>
      <w:r>
        <w:rPr>
          <w:rStyle w:val="51"/>
          <w:rFonts w:ascii="宋体" w:hAnsi="宋体"/>
          <w:b/>
          <w:bCs/>
          <w:color w:val="auto"/>
          <w:kern w:val="0"/>
        </w:rPr>
        <w:t>29.</w:t>
      </w:r>
      <w:r>
        <w:rPr>
          <w:rFonts w:asciiTheme="minorHAnsi" w:hAnsiTheme="minorHAnsi" w:eastAsiaTheme="minorEastAsia" w:cstheme="minorBidi"/>
          <w:szCs w:val="22"/>
        </w:rPr>
        <w:tab/>
      </w:r>
      <w:r>
        <w:rPr>
          <w:rStyle w:val="51"/>
          <w:rFonts w:hint="eastAsia" w:ascii="宋体" w:hAnsi="宋体"/>
          <w:b/>
          <w:bCs/>
          <w:color w:val="auto"/>
          <w:kern w:val="0"/>
        </w:rPr>
        <w:t>编写评标报告</w:t>
      </w:r>
      <w:r>
        <w:tab/>
      </w:r>
      <w:r>
        <w:fldChar w:fldCharType="begin"/>
      </w:r>
      <w:r>
        <w:instrText xml:space="preserve"> PAGEREF _Toc129094556 \h </w:instrText>
      </w:r>
      <w:r>
        <w:fldChar w:fldCharType="separate"/>
      </w:r>
      <w:r>
        <w:t>20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"_Toc129094557" </w:instrText>
      </w:r>
      <w:r>
        <w:fldChar w:fldCharType="separate"/>
      </w:r>
      <w:r>
        <w:rPr>
          <w:rStyle w:val="51"/>
          <w:rFonts w:ascii="宋体" w:hAnsi="宋体"/>
          <w:b/>
          <w:bCs/>
          <w:color w:val="auto"/>
          <w:kern w:val="0"/>
        </w:rPr>
        <w:t>30.</w:t>
      </w:r>
      <w:r>
        <w:rPr>
          <w:rFonts w:asciiTheme="minorHAnsi" w:hAnsiTheme="minorHAnsi" w:eastAsiaTheme="minorEastAsia" w:cstheme="minorBidi"/>
          <w:szCs w:val="22"/>
        </w:rPr>
        <w:tab/>
      </w:r>
      <w:r>
        <w:rPr>
          <w:rStyle w:val="51"/>
          <w:rFonts w:hint="eastAsia" w:ascii="宋体" w:hAnsi="宋体"/>
          <w:b/>
          <w:bCs/>
          <w:color w:val="auto"/>
          <w:kern w:val="0"/>
        </w:rPr>
        <w:t>中标结果</w:t>
      </w:r>
      <w:r>
        <w:tab/>
      </w:r>
      <w:r>
        <w:fldChar w:fldCharType="begin"/>
      </w:r>
      <w:r>
        <w:instrText xml:space="preserve"> PAGEREF _Toc129094557 \h </w:instrText>
      </w:r>
      <w:r>
        <w:fldChar w:fldCharType="separate"/>
      </w:r>
      <w:r>
        <w:t>20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"_Toc129094558" </w:instrText>
      </w:r>
      <w:r>
        <w:fldChar w:fldCharType="separate"/>
      </w:r>
      <w:r>
        <w:rPr>
          <w:rStyle w:val="51"/>
          <w:rFonts w:ascii="宋体" w:hAnsi="宋体"/>
          <w:b/>
          <w:bCs/>
          <w:color w:val="auto"/>
          <w:kern w:val="0"/>
        </w:rPr>
        <w:t>31.</w:t>
      </w:r>
      <w:r>
        <w:rPr>
          <w:rFonts w:asciiTheme="minorHAnsi" w:hAnsiTheme="minorHAnsi" w:eastAsiaTheme="minorEastAsia" w:cstheme="minorBidi"/>
          <w:szCs w:val="22"/>
        </w:rPr>
        <w:tab/>
      </w:r>
      <w:r>
        <w:rPr>
          <w:rStyle w:val="51"/>
          <w:rFonts w:hint="eastAsia" w:ascii="宋体" w:hAnsi="宋体"/>
          <w:b/>
          <w:bCs/>
          <w:color w:val="auto"/>
          <w:kern w:val="0"/>
        </w:rPr>
        <w:t>中标通知书</w:t>
      </w:r>
      <w:r>
        <w:tab/>
      </w:r>
      <w:r>
        <w:fldChar w:fldCharType="begin"/>
      </w:r>
      <w:r>
        <w:instrText xml:space="preserve"> PAGEREF _Toc129094558 \h </w:instrText>
      </w:r>
      <w:r>
        <w:fldChar w:fldCharType="separate"/>
      </w:r>
      <w:r>
        <w:t>21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"_Toc129094559" </w:instrText>
      </w:r>
      <w:r>
        <w:fldChar w:fldCharType="separate"/>
      </w:r>
      <w:r>
        <w:rPr>
          <w:rStyle w:val="51"/>
          <w:rFonts w:ascii="宋体" w:hAnsi="宋体"/>
          <w:b/>
          <w:bCs/>
          <w:color w:val="auto"/>
          <w:kern w:val="0"/>
        </w:rPr>
        <w:t>32.</w:t>
      </w:r>
      <w:r>
        <w:rPr>
          <w:rFonts w:asciiTheme="minorHAnsi" w:hAnsiTheme="minorHAnsi" w:eastAsiaTheme="minorEastAsia" w:cstheme="minorBidi"/>
          <w:szCs w:val="22"/>
        </w:rPr>
        <w:tab/>
      </w:r>
      <w:r>
        <w:rPr>
          <w:rStyle w:val="51"/>
          <w:rFonts w:hint="eastAsia" w:ascii="宋体" w:hAnsi="宋体"/>
          <w:b/>
          <w:bCs/>
          <w:color w:val="auto"/>
          <w:kern w:val="0"/>
        </w:rPr>
        <w:t>中标服务费</w:t>
      </w:r>
      <w:r>
        <w:tab/>
      </w:r>
      <w:r>
        <w:fldChar w:fldCharType="begin"/>
      </w:r>
      <w:r>
        <w:instrText xml:space="preserve"> PAGEREF _Toc129094559 \h </w:instrText>
      </w:r>
      <w:r>
        <w:fldChar w:fldCharType="separate"/>
      </w:r>
      <w:r>
        <w:t>21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"_Toc129094560" </w:instrText>
      </w:r>
      <w:r>
        <w:fldChar w:fldCharType="separate"/>
      </w:r>
      <w:r>
        <w:rPr>
          <w:rStyle w:val="51"/>
          <w:rFonts w:ascii="宋体" w:hAnsi="宋体"/>
          <w:b/>
          <w:bCs/>
          <w:color w:val="auto"/>
          <w:kern w:val="0"/>
        </w:rPr>
        <w:t>33.</w:t>
      </w:r>
      <w:r>
        <w:rPr>
          <w:rFonts w:asciiTheme="minorHAnsi" w:hAnsiTheme="minorHAnsi" w:eastAsiaTheme="minorEastAsia" w:cstheme="minorBidi"/>
          <w:szCs w:val="22"/>
        </w:rPr>
        <w:tab/>
      </w:r>
      <w:r>
        <w:rPr>
          <w:rStyle w:val="51"/>
          <w:rFonts w:hint="eastAsia" w:ascii="宋体" w:hAnsi="宋体"/>
          <w:b/>
          <w:bCs/>
          <w:color w:val="auto"/>
          <w:kern w:val="0"/>
        </w:rPr>
        <w:t>公开招标失败的后续处理</w:t>
      </w:r>
      <w:r>
        <w:tab/>
      </w:r>
      <w:r>
        <w:fldChar w:fldCharType="begin"/>
      </w:r>
      <w:r>
        <w:instrText xml:space="preserve"> PAGEREF _Toc129094560 \h </w:instrText>
      </w:r>
      <w:r>
        <w:fldChar w:fldCharType="separate"/>
      </w:r>
      <w:r>
        <w:t>21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"_Toc129094561" </w:instrText>
      </w:r>
      <w:r>
        <w:fldChar w:fldCharType="separate"/>
      </w:r>
      <w:r>
        <w:rPr>
          <w:rStyle w:val="51"/>
          <w:rFonts w:ascii="宋体" w:hAnsi="宋体"/>
          <w:b/>
          <w:bCs/>
          <w:color w:val="auto"/>
          <w:kern w:val="0"/>
        </w:rPr>
        <w:t>34.</w:t>
      </w:r>
      <w:r>
        <w:rPr>
          <w:rFonts w:asciiTheme="minorHAnsi" w:hAnsiTheme="minorHAnsi" w:eastAsiaTheme="minorEastAsia" w:cstheme="minorBidi"/>
          <w:szCs w:val="22"/>
        </w:rPr>
        <w:tab/>
      </w:r>
      <w:r>
        <w:rPr>
          <w:rStyle w:val="51"/>
          <w:rFonts w:hint="eastAsia" w:ascii="宋体" w:hAnsi="宋体"/>
          <w:b/>
          <w:bCs/>
          <w:color w:val="auto"/>
          <w:kern w:val="0"/>
        </w:rPr>
        <w:t>公开招标失败项目转为竞争性谈判方式采购的</w:t>
      </w:r>
      <w:r>
        <w:tab/>
      </w:r>
      <w:r>
        <w:fldChar w:fldCharType="begin"/>
      </w:r>
      <w:r>
        <w:instrText xml:space="preserve"> PAGEREF _Toc129094561 \h </w:instrText>
      </w:r>
      <w:r>
        <w:fldChar w:fldCharType="separate"/>
      </w:r>
      <w:r>
        <w:t>22</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"_Toc129094562" </w:instrText>
      </w:r>
      <w:r>
        <w:fldChar w:fldCharType="separate"/>
      </w:r>
      <w:r>
        <w:rPr>
          <w:rStyle w:val="51"/>
          <w:rFonts w:ascii="宋体" w:hAnsi="宋体"/>
          <w:b/>
          <w:bCs/>
          <w:color w:val="auto"/>
          <w:kern w:val="0"/>
        </w:rPr>
        <w:t>35.</w:t>
      </w:r>
      <w:r>
        <w:rPr>
          <w:rFonts w:asciiTheme="minorHAnsi" w:hAnsiTheme="minorHAnsi" w:eastAsiaTheme="minorEastAsia" w:cstheme="minorBidi"/>
          <w:szCs w:val="22"/>
        </w:rPr>
        <w:tab/>
      </w:r>
      <w:r>
        <w:rPr>
          <w:rStyle w:val="51"/>
          <w:rFonts w:hint="eastAsia" w:ascii="宋体" w:hAnsi="宋体"/>
          <w:b/>
          <w:bCs/>
          <w:color w:val="auto"/>
          <w:kern w:val="0"/>
        </w:rPr>
        <w:t>邀请招标失败项目转为单一来源谈判方式采购</w:t>
      </w:r>
      <w:r>
        <w:tab/>
      </w:r>
      <w:r>
        <w:fldChar w:fldCharType="begin"/>
      </w:r>
      <w:r>
        <w:instrText xml:space="preserve"> PAGEREF _Toc129094562 \h </w:instrText>
      </w:r>
      <w:r>
        <w:fldChar w:fldCharType="separate"/>
      </w:r>
      <w:r>
        <w:t>23</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"_Toc129094563" </w:instrText>
      </w:r>
      <w:r>
        <w:fldChar w:fldCharType="separate"/>
      </w:r>
      <w:r>
        <w:rPr>
          <w:rStyle w:val="51"/>
          <w:rFonts w:hint="eastAsia"/>
          <w:bCs/>
          <w:color w:val="auto"/>
          <w:kern w:val="44"/>
        </w:rPr>
        <w:t>第七章</w:t>
      </w:r>
      <w:r>
        <w:rPr>
          <w:rFonts w:asciiTheme="minorHAnsi" w:hAnsiTheme="minorHAnsi" w:eastAsiaTheme="minorEastAsia" w:cstheme="minorBidi"/>
          <w:b w:val="0"/>
          <w:szCs w:val="22"/>
        </w:rPr>
        <w:tab/>
      </w:r>
      <w:r>
        <w:rPr>
          <w:rStyle w:val="51"/>
          <w:rFonts w:hint="eastAsia"/>
          <w:bCs/>
          <w:color w:val="auto"/>
          <w:kern w:val="44"/>
        </w:rPr>
        <w:t>授予合同</w:t>
      </w:r>
      <w:r>
        <w:tab/>
      </w:r>
      <w:r>
        <w:fldChar w:fldCharType="begin"/>
      </w:r>
      <w:r>
        <w:instrText xml:space="preserve"> PAGEREF _Toc129094563 \h </w:instrText>
      </w:r>
      <w:r>
        <w:fldChar w:fldCharType="separate"/>
      </w:r>
      <w:r>
        <w:t>25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"_Toc129094564" </w:instrText>
      </w:r>
      <w:r>
        <w:fldChar w:fldCharType="separate"/>
      </w:r>
      <w:r>
        <w:rPr>
          <w:rStyle w:val="51"/>
          <w:rFonts w:ascii="宋体" w:hAnsi="宋体"/>
          <w:b/>
          <w:bCs/>
          <w:color w:val="auto"/>
          <w:kern w:val="0"/>
        </w:rPr>
        <w:t>36.</w:t>
      </w:r>
      <w:r>
        <w:rPr>
          <w:rFonts w:asciiTheme="minorHAnsi" w:hAnsiTheme="minorHAnsi" w:eastAsiaTheme="minorEastAsia" w:cstheme="minorBidi"/>
          <w:szCs w:val="22"/>
        </w:rPr>
        <w:tab/>
      </w:r>
      <w:r>
        <w:rPr>
          <w:rStyle w:val="51"/>
          <w:rFonts w:hint="eastAsia" w:ascii="宋体" w:hAnsi="宋体"/>
          <w:b/>
          <w:bCs/>
          <w:color w:val="auto"/>
          <w:kern w:val="0"/>
        </w:rPr>
        <w:t>签订合同</w:t>
      </w:r>
      <w:r>
        <w:tab/>
      </w:r>
      <w:r>
        <w:fldChar w:fldCharType="begin"/>
      </w:r>
      <w:r>
        <w:instrText xml:space="preserve"> PAGEREF _Toc129094564 \h </w:instrText>
      </w:r>
      <w:r>
        <w:fldChar w:fldCharType="separate"/>
      </w:r>
      <w:r>
        <w:t>25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"_Toc129094565" </w:instrText>
      </w:r>
      <w:r>
        <w:fldChar w:fldCharType="separate"/>
      </w:r>
      <w:r>
        <w:rPr>
          <w:rStyle w:val="51"/>
          <w:rFonts w:ascii="宋体" w:hAnsi="宋体"/>
          <w:b/>
          <w:bCs/>
          <w:color w:val="auto"/>
          <w:kern w:val="0"/>
        </w:rPr>
        <w:t>37.</w:t>
      </w:r>
      <w:r>
        <w:rPr>
          <w:rFonts w:asciiTheme="minorHAnsi" w:hAnsiTheme="minorHAnsi" w:eastAsiaTheme="minorEastAsia" w:cstheme="minorBidi"/>
          <w:szCs w:val="22"/>
        </w:rPr>
        <w:tab/>
      </w:r>
      <w:r>
        <w:rPr>
          <w:rStyle w:val="51"/>
          <w:rFonts w:hint="eastAsia" w:ascii="宋体" w:hAnsi="宋体"/>
          <w:b/>
          <w:bCs/>
          <w:color w:val="auto"/>
          <w:kern w:val="0"/>
        </w:rPr>
        <w:t>履约担保</w:t>
      </w:r>
      <w:r>
        <w:tab/>
      </w:r>
      <w:r>
        <w:fldChar w:fldCharType="begin"/>
      </w:r>
      <w:r>
        <w:instrText xml:space="preserve"> PAGEREF _Toc129094565 \h </w:instrText>
      </w:r>
      <w:r>
        <w:fldChar w:fldCharType="separate"/>
      </w:r>
      <w:r>
        <w:t>25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"_Toc129094566" </w:instrText>
      </w:r>
      <w:r>
        <w:fldChar w:fldCharType="separate"/>
      </w:r>
      <w:r>
        <w:rPr>
          <w:rStyle w:val="51"/>
          <w:rFonts w:hint="eastAsia"/>
          <w:bCs/>
          <w:color w:val="auto"/>
          <w:kern w:val="44"/>
        </w:rPr>
        <w:t>第八章</w:t>
      </w:r>
      <w:r>
        <w:rPr>
          <w:rFonts w:asciiTheme="minorHAnsi" w:hAnsiTheme="minorHAnsi" w:eastAsiaTheme="minorEastAsia" w:cstheme="minorBidi"/>
          <w:b w:val="0"/>
          <w:szCs w:val="22"/>
        </w:rPr>
        <w:tab/>
      </w:r>
      <w:r>
        <w:rPr>
          <w:rStyle w:val="51"/>
          <w:rFonts w:hint="eastAsia"/>
          <w:bCs/>
          <w:color w:val="auto"/>
          <w:kern w:val="44"/>
        </w:rPr>
        <w:t>质疑的受理及处理</w:t>
      </w:r>
      <w:r>
        <w:tab/>
      </w:r>
      <w:r>
        <w:fldChar w:fldCharType="begin"/>
      </w:r>
      <w:r>
        <w:instrText xml:space="preserve"> PAGEREF _Toc129094566 \h </w:instrText>
      </w:r>
      <w:r>
        <w:fldChar w:fldCharType="separate"/>
      </w:r>
      <w:r>
        <w:t>25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"_Toc129094567" </w:instrText>
      </w:r>
      <w:r>
        <w:fldChar w:fldCharType="separate"/>
      </w:r>
      <w:r>
        <w:rPr>
          <w:rStyle w:val="51"/>
          <w:rFonts w:ascii="宋体" w:hAnsi="宋体"/>
          <w:b/>
          <w:bCs/>
          <w:color w:val="auto"/>
          <w:kern w:val="0"/>
        </w:rPr>
        <w:t>38.</w:t>
      </w:r>
      <w:r>
        <w:rPr>
          <w:rFonts w:asciiTheme="minorHAnsi" w:hAnsiTheme="minorHAnsi" w:eastAsiaTheme="minorEastAsia" w:cstheme="minorBidi"/>
          <w:szCs w:val="22"/>
        </w:rPr>
        <w:tab/>
      </w:r>
      <w:r>
        <w:rPr>
          <w:rStyle w:val="51"/>
          <w:rFonts w:hint="eastAsia" w:ascii="宋体" w:hAnsi="宋体"/>
          <w:b/>
          <w:bCs/>
          <w:color w:val="auto"/>
          <w:kern w:val="0"/>
        </w:rPr>
        <w:t>质疑受理机构及原则</w:t>
      </w:r>
      <w:r>
        <w:tab/>
      </w:r>
      <w:r>
        <w:fldChar w:fldCharType="begin"/>
      </w:r>
      <w:r>
        <w:instrText xml:space="preserve"> PAGEREF _Toc129094567 \h </w:instrText>
      </w:r>
      <w:r>
        <w:fldChar w:fldCharType="separate"/>
      </w:r>
      <w:r>
        <w:t>25</w:t>
      </w:r>
      <w:r>
        <w:fldChar w:fldCharType="end"/>
      </w:r>
      <w:r>
        <w:fldChar w:fldCharType="end"/>
      </w:r>
    </w:p>
    <w:p>
      <w:pPr>
        <w:pStyle w:val="29"/>
        <w:rPr>
          <w:rStyle w:val="51"/>
          <w:rFonts w:ascii="Times New Roman" w:hAnsi="Times New Roman"/>
          <w:bCs/>
          <w:color w:val="auto"/>
          <w:kern w:val="44"/>
        </w:rPr>
      </w:pPr>
      <w:r>
        <w:fldChar w:fldCharType="begin"/>
      </w:r>
      <w:r>
        <w:instrText xml:space="preserve"> HYPERLINK \l "_Toc129094568" </w:instrText>
      </w:r>
      <w:r>
        <w:fldChar w:fldCharType="separate"/>
      </w:r>
      <w:r>
        <w:rPr>
          <w:rStyle w:val="51"/>
          <w:rFonts w:hint="eastAsia" w:ascii="Times New Roman" w:hAnsi="Times New Roman"/>
          <w:bCs/>
          <w:color w:val="auto"/>
          <w:kern w:val="44"/>
        </w:rPr>
        <w:t>第九章  中小企业划型标准规定</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_Toc129094568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27</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pPr>
        <w:pStyle w:val="29"/>
        <w:rPr>
          <w:rFonts w:asciiTheme="minorHAnsi" w:hAnsiTheme="minorHAnsi" w:eastAsiaTheme="minorEastAsia" w:cstheme="minorBidi"/>
          <w:b w:val="0"/>
          <w:szCs w:val="22"/>
        </w:rPr>
      </w:pPr>
      <w:r>
        <w:fldChar w:fldCharType="begin"/>
      </w:r>
      <w:r>
        <w:instrText xml:space="preserve"> HYPERLINK \l "_Toc129094569" </w:instrText>
      </w:r>
      <w:r>
        <w:fldChar w:fldCharType="separate"/>
      </w:r>
      <w:r>
        <w:rPr>
          <w:rStyle w:val="51"/>
          <w:rFonts w:hint="eastAsia" w:ascii="Times New Roman" w:hAnsi="Times New Roman"/>
          <w:bCs/>
          <w:color w:val="auto"/>
          <w:kern w:val="44"/>
        </w:rPr>
        <w:t>第二部分  合同格式</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_Toc129094569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31</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pPr>
        <w:pStyle w:val="29"/>
        <w:rPr>
          <w:rFonts w:asciiTheme="minorHAnsi" w:hAnsiTheme="minorHAnsi" w:eastAsiaTheme="minorEastAsia" w:cstheme="minorBidi"/>
          <w:b w:val="0"/>
          <w:szCs w:val="22"/>
        </w:rPr>
      </w:pPr>
      <w:r>
        <w:fldChar w:fldCharType="begin"/>
      </w:r>
      <w:r>
        <w:instrText xml:space="preserve"> HYPERLINK \l "_Toc129094570" </w:instrText>
      </w:r>
      <w:r>
        <w:fldChar w:fldCharType="separate"/>
      </w:r>
      <w:r>
        <w:rPr>
          <w:rStyle w:val="51"/>
          <w:rFonts w:hint="eastAsia"/>
          <w:bCs/>
          <w:color w:val="auto"/>
          <w:kern w:val="44"/>
        </w:rPr>
        <w:t>第三部分</w:t>
      </w:r>
      <w:r>
        <w:rPr>
          <w:rStyle w:val="51"/>
          <w:bCs/>
          <w:color w:val="auto"/>
          <w:kern w:val="44"/>
        </w:rPr>
        <w:t xml:space="preserve">  </w:t>
      </w:r>
      <w:r>
        <w:rPr>
          <w:rStyle w:val="51"/>
          <w:rFonts w:hint="eastAsia"/>
          <w:bCs/>
          <w:color w:val="auto"/>
          <w:kern w:val="44"/>
        </w:rPr>
        <w:t>投标文件格式</w:t>
      </w:r>
      <w:r>
        <w:tab/>
      </w:r>
      <w:r>
        <w:fldChar w:fldCharType="begin"/>
      </w:r>
      <w:r>
        <w:instrText xml:space="preserve"> PAGEREF _Toc129094570 \h </w:instrText>
      </w:r>
      <w:r>
        <w:fldChar w:fldCharType="separate"/>
      </w:r>
      <w:r>
        <w:t>2</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"_Toc129094571" </w:instrText>
      </w:r>
      <w:r>
        <w:fldChar w:fldCharType="separate"/>
      </w:r>
      <w:r>
        <w:rPr>
          <w:rStyle w:val="51"/>
          <w:rFonts w:hint="eastAsia"/>
          <w:bCs/>
          <w:color w:val="auto"/>
          <w:kern w:val="44"/>
        </w:rPr>
        <w:t>一、自查表</w:t>
      </w:r>
      <w:r>
        <w:tab/>
      </w:r>
      <w:r>
        <w:fldChar w:fldCharType="begin"/>
      </w:r>
      <w:r>
        <w:instrText xml:space="preserve"> PAGEREF _Toc129094571 \h </w:instrText>
      </w:r>
      <w:r>
        <w:fldChar w:fldCharType="separate"/>
      </w:r>
      <w:r>
        <w:t>3</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"_Toc129094572" </w:instrText>
      </w:r>
      <w:r>
        <w:fldChar w:fldCharType="separate"/>
      </w:r>
      <w:r>
        <w:rPr>
          <w:rStyle w:val="51"/>
          <w:rFonts w:hint="eastAsia"/>
          <w:bCs/>
          <w:color w:val="auto"/>
          <w:kern w:val="44"/>
        </w:rPr>
        <w:t>二、资格性文件</w:t>
      </w:r>
      <w:r>
        <w:tab/>
      </w:r>
      <w:r>
        <w:fldChar w:fldCharType="begin"/>
      </w:r>
      <w:r>
        <w:instrText xml:space="preserve"> PAGEREF _Toc129094572 \h </w:instrText>
      </w:r>
      <w:r>
        <w:fldChar w:fldCharType="separate"/>
      </w:r>
      <w:r>
        <w:t>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"_Toc129094573" </w:instrText>
      </w:r>
      <w:r>
        <w:fldChar w:fldCharType="separate"/>
      </w:r>
      <w:r>
        <w:rPr>
          <w:rStyle w:val="51"/>
          <w:rFonts w:hint="eastAsia"/>
          <w:bCs/>
          <w:color w:val="auto"/>
          <w:kern w:val="44"/>
        </w:rPr>
        <w:t>三、商务部分</w:t>
      </w:r>
      <w:r>
        <w:tab/>
      </w:r>
      <w:r>
        <w:fldChar w:fldCharType="begin"/>
      </w:r>
      <w:r>
        <w:instrText xml:space="preserve"> PAGEREF _Toc129094573 \h </w:instrText>
      </w:r>
      <w:r>
        <w:fldChar w:fldCharType="separate"/>
      </w:r>
      <w:r>
        <w:t>9</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"_Toc129094574" </w:instrText>
      </w:r>
      <w:r>
        <w:fldChar w:fldCharType="separate"/>
      </w:r>
      <w:r>
        <w:rPr>
          <w:rStyle w:val="51"/>
          <w:rFonts w:hint="eastAsia"/>
          <w:bCs/>
          <w:color w:val="auto"/>
          <w:kern w:val="44"/>
        </w:rPr>
        <w:t>四、技术部分</w:t>
      </w:r>
      <w:r>
        <w:tab/>
      </w:r>
      <w:r>
        <w:fldChar w:fldCharType="begin"/>
      </w:r>
      <w:r>
        <w:instrText xml:space="preserve"> PAGEREF _Toc129094574 \h </w:instrText>
      </w:r>
      <w:r>
        <w:fldChar w:fldCharType="separate"/>
      </w:r>
      <w:r>
        <w:t>13</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"_Toc129094575" </w:instrText>
      </w:r>
      <w:r>
        <w:fldChar w:fldCharType="separate"/>
      </w:r>
      <w:r>
        <w:rPr>
          <w:rStyle w:val="51"/>
          <w:rFonts w:hint="eastAsia"/>
          <w:bCs/>
          <w:color w:val="auto"/>
          <w:kern w:val="44"/>
        </w:rPr>
        <w:t>五、价格部分</w:t>
      </w:r>
      <w:r>
        <w:tab/>
      </w:r>
      <w:r>
        <w:fldChar w:fldCharType="begin"/>
      </w:r>
      <w:r>
        <w:instrText xml:space="preserve"> PAGEREF _Toc129094575 \h </w:instrText>
      </w:r>
      <w:r>
        <w:fldChar w:fldCharType="separate"/>
      </w:r>
      <w:r>
        <w:t>15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"_Toc129094576" </w:instrText>
      </w:r>
      <w:r>
        <w:fldChar w:fldCharType="separate"/>
      </w:r>
      <w:r>
        <w:rPr>
          <w:rStyle w:val="51"/>
          <w:rFonts w:hint="eastAsia"/>
          <w:bCs/>
          <w:color w:val="auto"/>
          <w:kern w:val="44"/>
        </w:rPr>
        <w:t>六、声明、投标人诚信承诺函及相关承诺函</w:t>
      </w:r>
      <w:r>
        <w:tab/>
      </w:r>
      <w:r>
        <w:fldChar w:fldCharType="begin"/>
      </w:r>
      <w:r>
        <w:instrText xml:space="preserve"> PAGEREF _Toc129094576 \h </w:instrText>
      </w:r>
      <w:r>
        <w:fldChar w:fldCharType="separate"/>
      </w:r>
      <w:r>
        <w:t>16</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"_Toc129094577" </w:instrText>
      </w:r>
      <w:r>
        <w:fldChar w:fldCharType="separate"/>
      </w:r>
      <w:r>
        <w:rPr>
          <w:rStyle w:val="51"/>
          <w:rFonts w:hint="eastAsia"/>
          <w:bCs/>
          <w:color w:val="auto"/>
          <w:kern w:val="44"/>
        </w:rPr>
        <w:t>七、招标文件要求的其他内容及投标人认为需要加以说明其他内容</w:t>
      </w:r>
      <w:r>
        <w:tab/>
      </w:r>
      <w:r>
        <w:fldChar w:fldCharType="begin"/>
      </w:r>
      <w:r>
        <w:instrText xml:space="preserve"> PAGEREF _Toc129094577 \h </w:instrText>
      </w:r>
      <w:r>
        <w:fldChar w:fldCharType="separate"/>
      </w:r>
      <w:r>
        <w:t>21</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"_Toc129094578" </w:instrText>
      </w:r>
      <w:r>
        <w:fldChar w:fldCharType="separate"/>
      </w:r>
      <w:r>
        <w:rPr>
          <w:rStyle w:val="51"/>
          <w:rFonts w:hint="eastAsia"/>
          <w:bCs/>
          <w:color w:val="auto"/>
          <w:kern w:val="44"/>
        </w:rPr>
        <w:t>第二册专用条款</w:t>
      </w:r>
      <w:r>
        <w:tab/>
      </w:r>
      <w:r>
        <w:fldChar w:fldCharType="begin"/>
      </w:r>
      <w:r>
        <w:instrText xml:space="preserve"> PAGEREF _Toc129094578 \h </w:instrText>
      </w:r>
      <w:r>
        <w:fldChar w:fldCharType="separate"/>
      </w:r>
      <w:r>
        <w:t>24</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"_Toc129094579" </w:instrText>
      </w:r>
      <w:r>
        <w:fldChar w:fldCharType="separate"/>
      </w:r>
      <w:r>
        <w:rPr>
          <w:rStyle w:val="51"/>
          <w:rFonts w:hint="eastAsia" w:ascii="宋体" w:hAnsi="宋体" w:cs="Arial"/>
          <w:b/>
          <w:bCs/>
          <w:color w:val="auto"/>
          <w:kern w:val="0"/>
        </w:rPr>
        <w:t>投标人须知前附表</w:t>
      </w:r>
      <w:r>
        <w:tab/>
      </w:r>
      <w:r>
        <w:fldChar w:fldCharType="begin"/>
      </w:r>
      <w:r>
        <w:instrText xml:space="preserve"> PAGEREF _Toc129094579 \h </w:instrText>
      </w:r>
      <w:r>
        <w:fldChar w:fldCharType="separate"/>
      </w:r>
      <w:r>
        <w:t>28</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"_Toc129094580" </w:instrText>
      </w:r>
      <w:r>
        <w:fldChar w:fldCharType="separate"/>
      </w:r>
      <w:r>
        <w:rPr>
          <w:rStyle w:val="51"/>
          <w:rFonts w:hint="eastAsia"/>
          <w:bCs/>
          <w:color w:val="auto"/>
          <w:kern w:val="44"/>
        </w:rPr>
        <w:t>第四部分</w:t>
      </w:r>
      <w:r>
        <w:rPr>
          <w:rStyle w:val="51"/>
          <w:bCs/>
          <w:color w:val="auto"/>
          <w:kern w:val="44"/>
        </w:rPr>
        <w:t xml:space="preserve">  </w:t>
      </w:r>
      <w:r>
        <w:rPr>
          <w:rStyle w:val="51"/>
          <w:rFonts w:hint="eastAsia"/>
          <w:bCs/>
          <w:color w:val="auto"/>
          <w:kern w:val="44"/>
        </w:rPr>
        <w:t>招标公告</w:t>
      </w:r>
      <w:r>
        <w:tab/>
      </w:r>
      <w:r>
        <w:fldChar w:fldCharType="begin"/>
      </w:r>
      <w:r>
        <w:instrText xml:space="preserve"> PAGEREF _Toc129094580 \h </w:instrText>
      </w:r>
      <w:r>
        <w:fldChar w:fldCharType="separate"/>
      </w:r>
      <w:r>
        <w:t>24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"_Toc129094581" </w:instrText>
      </w:r>
      <w:r>
        <w:fldChar w:fldCharType="separate"/>
      </w:r>
      <w:r>
        <w:rPr>
          <w:rStyle w:val="51"/>
          <w:rFonts w:hint="eastAsia"/>
          <w:bCs/>
          <w:color w:val="auto"/>
          <w:kern w:val="44"/>
        </w:rPr>
        <w:t>第五部分</w:t>
      </w:r>
      <w:r>
        <w:rPr>
          <w:rStyle w:val="51"/>
          <w:bCs/>
          <w:color w:val="auto"/>
          <w:kern w:val="44"/>
        </w:rPr>
        <w:t xml:space="preserve">  </w:t>
      </w:r>
      <w:r>
        <w:rPr>
          <w:rStyle w:val="51"/>
          <w:rFonts w:hint="eastAsia"/>
          <w:bCs/>
          <w:color w:val="auto"/>
          <w:kern w:val="44"/>
        </w:rPr>
        <w:t>招标项目需求</w:t>
      </w:r>
      <w:r>
        <w:tab/>
      </w:r>
      <w:r>
        <w:fldChar w:fldCharType="begin"/>
      </w:r>
      <w:r>
        <w:instrText xml:space="preserve"> PAGEREF _Toc129094581 \h </w:instrText>
      </w:r>
      <w:r>
        <w:fldChar w:fldCharType="separate"/>
      </w:r>
      <w:r>
        <w:t>30</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"_Toc129094582" </w:instrText>
      </w:r>
      <w:r>
        <w:fldChar w:fldCharType="separate"/>
      </w:r>
      <w:r>
        <w:rPr>
          <w:rStyle w:val="51"/>
          <w:rFonts w:hint="eastAsia"/>
          <w:bCs/>
          <w:color w:val="auto"/>
          <w:kern w:val="44"/>
        </w:rPr>
        <w:t>第六部分</w:t>
      </w:r>
      <w:r>
        <w:rPr>
          <w:rStyle w:val="51"/>
          <w:bCs/>
          <w:color w:val="auto"/>
          <w:kern w:val="44"/>
        </w:rPr>
        <w:t xml:space="preserve">  </w:t>
      </w:r>
      <w:r>
        <w:rPr>
          <w:rStyle w:val="51"/>
          <w:rFonts w:hint="eastAsia"/>
          <w:bCs/>
          <w:color w:val="auto"/>
          <w:kern w:val="44"/>
        </w:rPr>
        <w:t>评标信息</w:t>
      </w:r>
      <w:r>
        <w:tab/>
      </w:r>
      <w:r>
        <w:fldChar w:fldCharType="begin"/>
      </w:r>
      <w:r>
        <w:instrText xml:space="preserve"> PAGEREF _Toc129094582 \h </w:instrText>
      </w:r>
      <w:r>
        <w:fldChar w:fldCharType="separate"/>
      </w:r>
      <w:r>
        <w:t>35</w:t>
      </w:r>
      <w:r>
        <w:fldChar w:fldCharType="end"/>
      </w:r>
      <w:r>
        <w:fldChar w:fldCharType="end"/>
      </w:r>
    </w:p>
    <w:p>
      <w:pPr>
        <w:tabs>
          <w:tab w:val="right" w:leader="dot" w:pos="8296"/>
          <w:tab w:val="right" w:leader="dot" w:pos="8364"/>
        </w:tabs>
        <w:spacing w:line="360" w:lineRule="auto"/>
        <w:ind w:left="420" w:leftChars="200"/>
        <w:jc w:val="distribute"/>
        <w:rPr>
          <w:rFonts w:ascii="宋体" w:hAnsi="宋体" w:eastAsia="宋体" w:cs="Times New Roman"/>
        </w:rPr>
      </w:pPr>
      <w:r>
        <w:rPr>
          <w:rFonts w:ascii="宋体" w:hAnsi="宋体" w:eastAsia="宋体" w:cs="Times New Roman"/>
          <w:szCs w:val="24"/>
        </w:rPr>
        <w:fldChar w:fldCharType="end"/>
      </w:r>
    </w:p>
    <w:p>
      <w:pPr>
        <w:spacing w:line="360" w:lineRule="auto"/>
        <w:rPr>
          <w:rFonts w:ascii="宋体" w:hAnsi="宋体" w:eastAsia="宋体" w:cs="Times New Roman"/>
          <w:szCs w:val="21"/>
        </w:rPr>
      </w:pPr>
      <w:r>
        <w:rPr>
          <w:rFonts w:ascii="宋体" w:hAnsi="宋体" w:eastAsia="宋体" w:cs="Times New Roman"/>
          <w:szCs w:val="21"/>
        </w:rPr>
        <w:br w:type="page"/>
      </w:r>
    </w:p>
    <w:p>
      <w:pPr>
        <w:spacing w:line="360" w:lineRule="auto"/>
        <w:jc w:val="center"/>
        <w:rPr>
          <w:rFonts w:ascii="宋体" w:hAnsi="宋体" w:eastAsia="宋体" w:cs="Times New Roman"/>
          <w:sz w:val="72"/>
          <w:szCs w:val="72"/>
        </w:rPr>
      </w:pPr>
    </w:p>
    <w:p>
      <w:pPr>
        <w:keepNext/>
        <w:keepLines/>
        <w:spacing w:line="360" w:lineRule="auto"/>
        <w:jc w:val="center"/>
        <w:outlineLvl w:val="0"/>
        <w:rPr>
          <w:rFonts w:ascii="宋体" w:hAnsi="宋体" w:eastAsia="宋体" w:cs="Times New Roman"/>
          <w:b/>
          <w:bCs/>
          <w:kern w:val="44"/>
          <w:sz w:val="72"/>
          <w:szCs w:val="72"/>
        </w:rPr>
      </w:pPr>
      <w:bookmarkStart w:id="0" w:name="_Toc129094520"/>
      <w:r>
        <w:rPr>
          <w:rFonts w:hint="eastAsia" w:ascii="宋体" w:hAnsi="宋体" w:eastAsia="宋体" w:cs="Times New Roman"/>
          <w:b/>
          <w:bCs/>
          <w:kern w:val="44"/>
          <w:sz w:val="72"/>
          <w:szCs w:val="72"/>
        </w:rPr>
        <w:t>第一册通用条款</w:t>
      </w:r>
      <w:bookmarkEnd w:id="0"/>
    </w:p>
    <w:p>
      <w:pPr>
        <w:keepNext/>
        <w:keepLines/>
        <w:spacing w:line="360" w:lineRule="auto"/>
        <w:jc w:val="center"/>
        <w:outlineLvl w:val="0"/>
        <w:rPr>
          <w:rFonts w:ascii="宋体" w:hAnsi="宋体" w:eastAsia="宋体" w:cs="Times New Roman"/>
          <w:b/>
          <w:bCs/>
          <w:kern w:val="44"/>
          <w:sz w:val="44"/>
          <w:szCs w:val="44"/>
        </w:rPr>
      </w:pPr>
      <w:r>
        <w:rPr>
          <w:rFonts w:ascii="宋体" w:hAnsi="宋体" w:eastAsia="宋体" w:cs="Times New Roman"/>
          <w:szCs w:val="21"/>
        </w:rPr>
        <w:br w:type="page"/>
      </w:r>
      <w:bookmarkStart w:id="1" w:name="_Toc129094521"/>
      <w:r>
        <w:rPr>
          <w:rFonts w:hint="eastAsia" w:ascii="宋体" w:hAnsi="宋体" w:eastAsia="宋体" w:cs="Times New Roman"/>
          <w:b/>
          <w:bCs/>
          <w:kern w:val="44"/>
          <w:sz w:val="44"/>
          <w:szCs w:val="44"/>
        </w:rPr>
        <w:t>第一部分  投标人须知</w:t>
      </w:r>
      <w:bookmarkEnd w:id="1"/>
    </w:p>
    <w:p>
      <w:pPr>
        <w:spacing w:line="360" w:lineRule="auto"/>
        <w:rPr>
          <w:rFonts w:ascii="宋体" w:hAnsi="宋体" w:eastAsia="宋体" w:cs="Times New Roman"/>
          <w:szCs w:val="24"/>
        </w:rPr>
      </w:pPr>
    </w:p>
    <w:p>
      <w:pPr>
        <w:keepNext/>
        <w:keepLines/>
        <w:numPr>
          <w:ilvl w:val="0"/>
          <w:numId w:val="1"/>
        </w:numPr>
        <w:spacing w:line="360" w:lineRule="auto"/>
        <w:jc w:val="left"/>
        <w:outlineLvl w:val="0"/>
        <w:rPr>
          <w:rFonts w:ascii="宋体" w:hAnsi="宋体" w:eastAsia="宋体" w:cs="Times New Roman"/>
          <w:b/>
          <w:bCs/>
          <w:kern w:val="44"/>
          <w:sz w:val="28"/>
          <w:szCs w:val="28"/>
        </w:rPr>
      </w:pPr>
      <w:bookmarkStart w:id="2" w:name="_Toc129094522"/>
      <w:r>
        <w:rPr>
          <w:rFonts w:hint="eastAsia" w:ascii="宋体" w:hAnsi="宋体" w:eastAsia="宋体" w:cs="Times New Roman"/>
          <w:b/>
          <w:bCs/>
          <w:kern w:val="44"/>
          <w:sz w:val="28"/>
          <w:szCs w:val="28"/>
        </w:rPr>
        <w:t>总则</w:t>
      </w:r>
      <w:bookmarkEnd w:id="2"/>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 w:name="_Toc129094523"/>
      <w:bookmarkStart w:id="4" w:name="_Toc129094366"/>
      <w:r>
        <w:rPr>
          <w:rFonts w:hint="eastAsia" w:ascii="宋体" w:hAnsi="宋体" w:eastAsia="宋体" w:cs="Times New Roman"/>
          <w:b/>
          <w:bCs/>
          <w:kern w:val="0"/>
          <w:sz w:val="24"/>
          <w:szCs w:val="20"/>
        </w:rPr>
        <w:t>招标文件说明</w:t>
      </w:r>
      <w:bookmarkEnd w:id="3"/>
      <w:bookmarkEnd w:id="4"/>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招标文件参照</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的有关规定编制。本项目为自行采购项目，不纳入集中采购范围。</w:t>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招标文件分为《通用条款》及《专用条款》两部分。如《通用条款》与《专用条款》有冲突的，以《专用条款》为准。</w:t>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招标文件的修改性文件，如补充、澄清文件或招标文件修订说明同样具有法律效力。</w:t>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招标文件由深圳高星项目管理有限公司或采购人负责解释。</w:t>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本次招投标的最终解释权归采购人所有。本文件未作须知明示，而又有相关法律、法规规定的，采购人将对此解释为依据有关法律、法规的规定。</w:t>
      </w:r>
    </w:p>
    <w:p>
      <w:pPr>
        <w:spacing w:line="360" w:lineRule="auto"/>
        <w:ind w:firstLine="420" w:firstLineChars="200"/>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 w:name="_Toc73521550"/>
      <w:bookmarkStart w:id="6" w:name="_Toc60631623"/>
      <w:bookmarkStart w:id="7" w:name="_Toc73518120"/>
      <w:bookmarkStart w:id="8" w:name="_Toc129094524"/>
      <w:bookmarkStart w:id="9" w:name="_Toc73521638"/>
      <w:bookmarkStart w:id="10" w:name="_Toc100052367"/>
      <w:bookmarkStart w:id="11" w:name="_Toc129094367"/>
      <w:bookmarkStart w:id="12" w:name="_Toc73517642"/>
      <w:bookmarkStart w:id="13" w:name="_Toc60560628"/>
      <w:bookmarkStart w:id="14" w:name="_Toc60560629"/>
      <w:bookmarkStart w:id="15" w:name="_Toc60631624"/>
      <w:bookmarkStart w:id="16" w:name="_Toc73521639"/>
      <w:bookmarkStart w:id="17" w:name="_Toc73518121"/>
      <w:bookmarkStart w:id="18" w:name="_Toc100052368"/>
      <w:bookmarkStart w:id="19" w:name="_Toc73517643"/>
      <w:bookmarkStart w:id="20" w:name="_Toc73521551"/>
      <w:r>
        <w:rPr>
          <w:rFonts w:hint="eastAsia" w:ascii="宋体" w:hAnsi="宋体" w:eastAsia="宋体" w:cs="Times New Roman"/>
          <w:b/>
          <w:bCs/>
          <w:kern w:val="0"/>
          <w:sz w:val="24"/>
          <w:szCs w:val="20"/>
        </w:rPr>
        <w:t>定义</w:t>
      </w:r>
      <w:bookmarkEnd w:id="5"/>
      <w:bookmarkEnd w:id="6"/>
      <w:bookmarkEnd w:id="7"/>
      <w:bookmarkEnd w:id="8"/>
      <w:bookmarkEnd w:id="9"/>
      <w:bookmarkEnd w:id="10"/>
      <w:bookmarkEnd w:id="11"/>
      <w:bookmarkEnd w:id="12"/>
      <w:bookmarkEnd w:id="13"/>
    </w:p>
    <w:p>
      <w:pPr>
        <w:spacing w:line="360" w:lineRule="auto"/>
        <w:ind w:firstLine="420" w:firstLineChars="200"/>
        <w:rPr>
          <w:rFonts w:ascii="宋体" w:hAnsi="宋体" w:eastAsia="宋体" w:cs="Times New Roman"/>
          <w:szCs w:val="21"/>
        </w:rPr>
      </w:pPr>
      <w:r>
        <w:rPr>
          <w:rFonts w:ascii="宋体" w:hAnsi="宋体" w:eastAsia="宋体" w:cs="Times New Roman"/>
          <w:szCs w:val="21"/>
        </w:rPr>
        <w:t>招标文件中下列术语应解释为：</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“采购人”：</w:t>
      </w:r>
      <w:r>
        <w:rPr>
          <w:rFonts w:ascii="宋体" w:hAnsi="宋体" w:eastAsia="宋体" w:cs="Times New Roman"/>
          <w:szCs w:val="21"/>
        </w:rPr>
        <w:t>指</w:t>
      </w:r>
      <w:r>
        <w:rPr>
          <w:rFonts w:hint="eastAsia" w:ascii="宋体" w:hAnsi="宋体" w:eastAsia="宋体" w:cs="Times New Roman"/>
          <w:szCs w:val="21"/>
        </w:rPr>
        <w:t>具有相应</w:t>
      </w:r>
      <w:r>
        <w:rPr>
          <w:rFonts w:ascii="宋体" w:hAnsi="宋体" w:eastAsia="宋体" w:cs="Times New Roman"/>
          <w:szCs w:val="21"/>
        </w:rPr>
        <w:t>资金</w:t>
      </w:r>
      <w:r>
        <w:rPr>
          <w:rFonts w:hint="eastAsia" w:ascii="宋体" w:hAnsi="宋体" w:eastAsia="宋体" w:cs="Times New Roman"/>
          <w:szCs w:val="21"/>
        </w:rPr>
        <w:t>并提出招标项目、进行招标的法人或其他组</w:t>
      </w:r>
      <w:r>
        <w:rPr>
          <w:rFonts w:ascii="宋体" w:hAnsi="宋体" w:eastAsia="宋体" w:cs="Times New Roman"/>
          <w:szCs w:val="21"/>
        </w:rPr>
        <w:t>织。</w:t>
      </w:r>
      <w:r>
        <w:rPr>
          <w:rFonts w:hint="eastAsia" w:ascii="宋体" w:hAnsi="宋体" w:eastAsia="宋体" w:cs="Times New Roman"/>
          <w:szCs w:val="21"/>
        </w:rPr>
        <w:t>本项目</w:t>
      </w:r>
      <w:r>
        <w:rPr>
          <w:rFonts w:hint="eastAsia" w:ascii="宋体" w:hAnsi="宋体" w:eastAsia="宋体" w:cs="Times New Roman"/>
          <w:szCs w:val="24"/>
        </w:rPr>
        <w:t>采购人名称见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0"/>
        </w:rPr>
        <w:t>资金来源</w:t>
      </w:r>
      <w:r>
        <w:rPr>
          <w:rFonts w:hint="eastAsia" w:ascii="宋体" w:hAnsi="宋体" w:eastAsia="宋体" w:cs="Times New Roman"/>
          <w:szCs w:val="21"/>
        </w:rPr>
        <w:t>”：</w:t>
      </w:r>
      <w:r>
        <w:rPr>
          <w:rFonts w:hint="eastAsia" w:ascii="宋体" w:hAnsi="宋体" w:eastAsia="宋体" w:cs="Times New Roman"/>
          <w:szCs w:val="20"/>
        </w:rPr>
        <w:t>指</w:t>
      </w:r>
      <w:r>
        <w:rPr>
          <w:rFonts w:hint="eastAsia" w:ascii="宋体" w:hAnsi="宋体" w:eastAsia="宋体" w:cs="Times New Roman"/>
          <w:szCs w:val="21"/>
        </w:rPr>
        <w:t>采购人已获得一笔资金，采购人计划将一部分资金用于支付本次招标后所签订的合同项下的款项。本项目</w:t>
      </w:r>
      <w:r>
        <w:rPr>
          <w:rFonts w:hint="eastAsia" w:ascii="宋体" w:hAnsi="宋体" w:eastAsia="宋体" w:cs="Times New Roman"/>
          <w:szCs w:val="24"/>
        </w:rPr>
        <w:t>资金来源见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4"/>
        </w:rPr>
        <w:t>“</w:t>
      </w:r>
      <w:r>
        <w:rPr>
          <w:rFonts w:ascii="宋体" w:hAnsi="宋体" w:eastAsia="宋体" w:cs="Times New Roman"/>
          <w:szCs w:val="24"/>
        </w:rPr>
        <w:t>招标</w:t>
      </w:r>
      <w:r>
        <w:rPr>
          <w:rFonts w:hint="eastAsia" w:ascii="宋体" w:hAnsi="宋体" w:eastAsia="宋体" w:cs="Times New Roman"/>
          <w:szCs w:val="24"/>
        </w:rPr>
        <w:t>代理</w:t>
      </w:r>
      <w:r>
        <w:rPr>
          <w:rFonts w:ascii="宋体" w:hAnsi="宋体" w:eastAsia="宋体" w:cs="Times New Roman"/>
          <w:szCs w:val="24"/>
        </w:rPr>
        <w:t>机构</w:t>
      </w:r>
      <w:r>
        <w:rPr>
          <w:rFonts w:hint="eastAsia" w:ascii="宋体" w:hAnsi="宋体" w:eastAsia="宋体" w:cs="Times New Roman"/>
          <w:szCs w:val="24"/>
        </w:rPr>
        <w:t>”：</w:t>
      </w:r>
      <w:r>
        <w:rPr>
          <w:rFonts w:ascii="宋体" w:hAnsi="宋体" w:eastAsia="宋体" w:cs="Times New Roman"/>
          <w:szCs w:val="21"/>
        </w:rPr>
        <w:t>指依法</w:t>
      </w:r>
      <w:r>
        <w:rPr>
          <w:rFonts w:hint="eastAsia" w:ascii="宋体" w:hAnsi="宋体" w:eastAsia="宋体" w:cs="Times New Roman"/>
          <w:szCs w:val="21"/>
        </w:rPr>
        <w:t>设立</w:t>
      </w:r>
      <w:r>
        <w:rPr>
          <w:rFonts w:ascii="宋体" w:hAnsi="宋体" w:eastAsia="宋体" w:cs="Times New Roman"/>
          <w:szCs w:val="21"/>
        </w:rPr>
        <w:t>、从事招标代理业务并提供相关服务的专门机构。本</w:t>
      </w:r>
      <w:r>
        <w:rPr>
          <w:rFonts w:hint="eastAsia" w:ascii="宋体" w:hAnsi="宋体" w:eastAsia="宋体" w:cs="Times New Roman"/>
          <w:szCs w:val="21"/>
        </w:rPr>
        <w:t>次</w:t>
      </w:r>
      <w:r>
        <w:rPr>
          <w:rFonts w:ascii="宋体" w:hAnsi="宋体" w:eastAsia="宋体" w:cs="Times New Roman"/>
          <w:szCs w:val="21"/>
        </w:rPr>
        <w:t>招</w:t>
      </w:r>
      <w:r>
        <w:rPr>
          <w:rFonts w:hint="eastAsia" w:ascii="宋体" w:hAnsi="宋体" w:eastAsia="宋体" w:cs="Times New Roman"/>
          <w:szCs w:val="21"/>
        </w:rPr>
        <w:t>标</w:t>
      </w:r>
      <w:r>
        <w:rPr>
          <w:rFonts w:ascii="宋体" w:hAnsi="宋体" w:eastAsia="宋体" w:cs="Times New Roman"/>
          <w:szCs w:val="21"/>
        </w:rPr>
        <w:t>的招标</w:t>
      </w:r>
      <w:r>
        <w:rPr>
          <w:rFonts w:hint="eastAsia" w:ascii="宋体" w:hAnsi="宋体" w:eastAsia="宋体" w:cs="Times New Roman"/>
          <w:szCs w:val="21"/>
        </w:rPr>
        <w:t>代理</w:t>
      </w:r>
      <w:r>
        <w:rPr>
          <w:rFonts w:ascii="宋体" w:hAnsi="宋体" w:eastAsia="宋体" w:cs="Times New Roman"/>
          <w:szCs w:val="21"/>
        </w:rPr>
        <w:t>机构特指</w:t>
      </w:r>
      <w:r>
        <w:rPr>
          <w:rFonts w:hint="eastAsia" w:ascii="宋体" w:hAnsi="宋体" w:eastAsia="宋体" w:cs="Times New Roman"/>
          <w:szCs w:val="21"/>
        </w:rPr>
        <w:t>“深圳高星项目管理有限公司</w:t>
      </w:r>
      <w:r>
        <w:rPr>
          <w:rFonts w:ascii="宋体" w:hAnsi="宋体" w:eastAsia="宋体" w:cs="Times New Roman"/>
          <w:szCs w:val="21"/>
        </w:rPr>
        <w:t>”。</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“投标人”或“供应商”：系指参加投标竞争并愿意按照招标文件要求向采购人提供服务的依法成立的法人、其他组织或者自然人。</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“合格投标人”：系指必须符合下述所有条款的投标人：</w:t>
      </w:r>
    </w:p>
    <w:p>
      <w:pPr>
        <w:numPr>
          <w:ilvl w:val="2"/>
          <w:numId w:val="5"/>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在招标代理机构登记并购买了《招标文件》的投标人，且满足符合招标文件第2.4条规定；</w:t>
      </w:r>
    </w:p>
    <w:p>
      <w:pPr>
        <w:numPr>
          <w:ilvl w:val="2"/>
          <w:numId w:val="5"/>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按招标文件的规定递交了投标文件并符合招标文件中对投标资格的要求；</w:t>
      </w:r>
    </w:p>
    <w:p>
      <w:pPr>
        <w:numPr>
          <w:ilvl w:val="2"/>
          <w:numId w:val="5"/>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投标人及其制造商与招标代理机构、采购人不存在利害关系。</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4"/>
        </w:rPr>
        <w:t>候选中标</w:t>
      </w:r>
      <w:r>
        <w:rPr>
          <w:rFonts w:hint="eastAsia" w:ascii="宋体" w:hAnsi="宋体" w:eastAsia="宋体" w:cs="Times New Roman"/>
          <w:szCs w:val="21"/>
        </w:rPr>
        <w:t>供应商</w:t>
      </w:r>
      <w:r>
        <w:rPr>
          <w:rFonts w:hint="eastAsia" w:ascii="宋体" w:hAnsi="宋体" w:eastAsia="宋体" w:cs="Times New Roman"/>
          <w:szCs w:val="24"/>
        </w:rPr>
        <w:t>”：</w:t>
      </w:r>
      <w:r>
        <w:rPr>
          <w:rFonts w:hint="eastAsia" w:ascii="宋体" w:hAnsi="宋体" w:eastAsia="宋体" w:cs="Times New Roman"/>
          <w:szCs w:val="21"/>
        </w:rPr>
        <w:t>系指其</w:t>
      </w:r>
      <w:r>
        <w:rPr>
          <w:rFonts w:hint="eastAsia" w:ascii="宋体" w:hAnsi="宋体" w:eastAsia="宋体" w:cs="Times New Roman"/>
          <w:szCs w:val="24"/>
        </w:rPr>
        <w:t>投标被评标委员会推荐的</w:t>
      </w:r>
      <w:r>
        <w:rPr>
          <w:rFonts w:hint="eastAsia" w:ascii="宋体" w:hAnsi="宋体" w:eastAsia="宋体" w:cs="Times New Roman"/>
          <w:szCs w:val="21"/>
        </w:rPr>
        <w:t>投标人</w:t>
      </w:r>
      <w:r>
        <w:rPr>
          <w:rFonts w:hint="eastAsia" w:ascii="宋体" w:hAnsi="宋体" w:eastAsia="宋体" w:cs="Times New Roman"/>
          <w:szCs w:val="24"/>
        </w:rPr>
        <w:t>。</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“评标委员会”：是依据《深圳经济特区政府采购条例》有关规定组建的专门负责本项目评标工作的临时性机构。</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“合格的货物”：有关产品</w:t>
      </w:r>
      <w:r>
        <w:rPr>
          <w:rFonts w:ascii="宋体" w:hAnsi="宋体" w:eastAsia="宋体" w:cs="Times New Roman"/>
          <w:szCs w:val="21"/>
        </w:rPr>
        <w:t>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w:t>
      </w:r>
      <w:r>
        <w:rPr>
          <w:rFonts w:hint="eastAsia" w:ascii="宋体" w:hAnsi="宋体" w:eastAsia="宋体" w:cs="Times New Roman"/>
          <w:szCs w:val="21"/>
        </w:rPr>
        <w:t>产品</w:t>
      </w:r>
      <w:r>
        <w:rPr>
          <w:rFonts w:ascii="宋体" w:hAnsi="宋体" w:eastAsia="宋体" w:cs="Times New Roman"/>
          <w:szCs w:val="21"/>
        </w:rPr>
        <w:t>的任何一部分时，免受第三方提出的侵犯其专利权、商标权或工业设计权等的起诉。</w:t>
      </w:r>
    </w:p>
    <w:p>
      <w:pPr>
        <w:numPr>
          <w:ilvl w:val="0"/>
          <w:numId w:val="4"/>
        </w:numPr>
        <w:spacing w:line="360" w:lineRule="auto"/>
        <w:ind w:left="993" w:hanging="581"/>
        <w:rPr>
          <w:rFonts w:ascii="宋体" w:hAnsi="宋体" w:eastAsia="宋体" w:cs="Times New Roman"/>
          <w:szCs w:val="21"/>
        </w:rPr>
      </w:pPr>
      <w:r>
        <w:rPr>
          <w:rFonts w:hint="eastAsia" w:ascii="宋体" w:hAnsi="宋体" w:eastAsia="宋体" w:cs="Times New Roman"/>
          <w:szCs w:val="21"/>
        </w:rPr>
        <w:t>“合格的服务”：</w:t>
      </w:r>
      <w:r>
        <w:rPr>
          <w:rFonts w:ascii="宋体" w:hAnsi="宋体" w:eastAsia="宋体" w:cs="Times New Roman"/>
          <w:szCs w:val="21"/>
        </w:rPr>
        <w:t>有关服务必须符合中华人民共和国的国家标准、行业标准、企业标准和其它标准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须保证，采购人在中华人民共和国使用该服务成果或成果的任何一部分时，免受第三方提出的侵犯其专利权、商标权或工业设计权等的起诉。</w:t>
      </w:r>
    </w:p>
    <w:p>
      <w:pPr>
        <w:numPr>
          <w:ilvl w:val="0"/>
          <w:numId w:val="4"/>
        </w:numPr>
        <w:spacing w:line="360" w:lineRule="auto"/>
        <w:ind w:left="993" w:hanging="581"/>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工程</w:t>
      </w:r>
      <w:r>
        <w:rPr>
          <w:rFonts w:ascii="宋体" w:hAnsi="宋体" w:eastAsia="宋体" w:cs="Times New Roman"/>
          <w:szCs w:val="21"/>
        </w:rPr>
        <w:t>”</w:t>
      </w:r>
      <w:r>
        <w:rPr>
          <w:rFonts w:hint="eastAsia" w:ascii="宋体" w:hAnsi="宋体" w:eastAsia="宋体" w:cs="Times New Roman"/>
          <w:szCs w:val="21"/>
        </w:rPr>
        <w:t>:系指建设工程，包括建筑物和构筑物的新建、改建、扩建、装修、修缮、拆除、园林绿化、市政工程等。</w:t>
      </w:r>
    </w:p>
    <w:p>
      <w:pPr>
        <w:numPr>
          <w:ilvl w:val="0"/>
          <w:numId w:val="4"/>
        </w:numPr>
        <w:spacing w:line="360" w:lineRule="auto"/>
        <w:ind w:left="993" w:hanging="581"/>
        <w:rPr>
          <w:rFonts w:ascii="宋体" w:hAnsi="宋体" w:eastAsia="宋体" w:cs="Times New Roman"/>
          <w:szCs w:val="21"/>
        </w:rPr>
      </w:pPr>
      <w:r>
        <w:rPr>
          <w:rFonts w:hint="eastAsia" w:ascii="宋体" w:hAnsi="宋体" w:eastAsia="宋体" w:cs="Times New Roman"/>
          <w:szCs w:val="21"/>
        </w:rPr>
        <w:t>“日”：系</w:t>
      </w:r>
      <w:r>
        <w:rPr>
          <w:rFonts w:ascii="宋体" w:hAnsi="宋体" w:eastAsia="宋体" w:cs="Times New Roman"/>
          <w:szCs w:val="21"/>
        </w:rPr>
        <w:t>指</w:t>
      </w:r>
      <w:r>
        <w:rPr>
          <w:rFonts w:hint="eastAsia" w:ascii="宋体" w:hAnsi="宋体" w:eastAsia="宋体" w:cs="Times New Roman"/>
          <w:szCs w:val="21"/>
        </w:rPr>
        <w:t>自然日（日历日）。</w:t>
      </w:r>
    </w:p>
    <w:p>
      <w:pPr>
        <w:numPr>
          <w:ilvl w:val="0"/>
          <w:numId w:val="4"/>
        </w:numPr>
        <w:spacing w:line="360" w:lineRule="auto"/>
        <w:ind w:left="993" w:hanging="581"/>
        <w:rPr>
          <w:rFonts w:ascii="宋体" w:hAnsi="宋体" w:eastAsia="宋体" w:cs="Times New Roman"/>
          <w:szCs w:val="21"/>
        </w:rPr>
      </w:pPr>
      <w:r>
        <w:rPr>
          <w:rFonts w:hint="eastAsia" w:ascii="宋体" w:hAnsi="宋体" w:eastAsia="宋体" w:cs="Times New Roman"/>
          <w:szCs w:val="21"/>
        </w:rPr>
        <w:t>“工作日”：系指</w:t>
      </w:r>
      <w:r>
        <w:rPr>
          <w:rFonts w:ascii="宋体" w:hAnsi="宋体" w:eastAsia="宋体" w:cs="Times New Roman"/>
          <w:szCs w:val="21"/>
        </w:rPr>
        <w:t>在一昼夜内职工进行</w:t>
      </w:r>
      <w:r>
        <w:fldChar w:fldCharType="begin"/>
      </w:r>
      <w:r>
        <w:instrText xml:space="preserve"> HYPERLINK "http://baike.baidu.com/view/31290.htm" \t "_blank" </w:instrText>
      </w:r>
      <w:r>
        <w:fldChar w:fldCharType="separate"/>
      </w:r>
      <w:r>
        <w:rPr>
          <w:rFonts w:ascii="宋体" w:hAnsi="宋体" w:eastAsia="宋体" w:cs="Times New Roman"/>
          <w:szCs w:val="21"/>
        </w:rPr>
        <w:t>工作时间</w:t>
      </w:r>
      <w:r>
        <w:rPr>
          <w:rFonts w:ascii="宋体" w:hAnsi="宋体" w:eastAsia="宋体" w:cs="Times New Roman"/>
          <w:szCs w:val="21"/>
        </w:rPr>
        <w:fldChar w:fldCharType="end"/>
      </w:r>
      <w:r>
        <w:rPr>
          <w:rFonts w:ascii="宋体" w:hAnsi="宋体" w:eastAsia="宋体" w:cs="Times New Roman"/>
          <w:szCs w:val="21"/>
        </w:rPr>
        <w:t>的长度（小时数）</w:t>
      </w:r>
      <w:r>
        <w:rPr>
          <w:rFonts w:hint="eastAsia" w:ascii="宋体" w:hAnsi="宋体" w:eastAsia="宋体" w:cs="Times New Roman"/>
          <w:szCs w:val="21"/>
        </w:rPr>
        <w:t>，</w:t>
      </w:r>
      <w:r>
        <w:rPr>
          <w:rFonts w:ascii="宋体" w:hAnsi="宋体" w:eastAsia="宋体" w:cs="Times New Roman"/>
          <w:szCs w:val="21"/>
        </w:rPr>
        <w:t>是以日为计算单位的工作时间</w:t>
      </w:r>
    </w:p>
    <w:p>
      <w:pPr>
        <w:numPr>
          <w:ilvl w:val="0"/>
          <w:numId w:val="4"/>
        </w:numPr>
        <w:spacing w:line="360" w:lineRule="auto"/>
        <w:ind w:left="993" w:hanging="581"/>
        <w:rPr>
          <w:rFonts w:ascii="宋体" w:hAnsi="宋体" w:eastAsia="宋体" w:cs="Times New Roman"/>
          <w:szCs w:val="21"/>
        </w:rPr>
      </w:pPr>
      <w:r>
        <w:rPr>
          <w:rFonts w:hint="eastAsia" w:ascii="宋体" w:hAnsi="宋体" w:eastAsia="宋体" w:cs="Times New Roman"/>
          <w:szCs w:val="21"/>
        </w:rPr>
        <w:t>“合同”：系指由本次招标所产生的合同或合约文件。</w:t>
      </w:r>
    </w:p>
    <w:p>
      <w:pPr>
        <w:numPr>
          <w:ilvl w:val="0"/>
          <w:numId w:val="4"/>
        </w:numPr>
        <w:spacing w:line="360" w:lineRule="auto"/>
        <w:ind w:left="993" w:hanging="581"/>
        <w:rPr>
          <w:rFonts w:ascii="宋体" w:hAnsi="宋体" w:eastAsia="宋体" w:cs="Times New Roman"/>
          <w:szCs w:val="21"/>
        </w:rPr>
      </w:pPr>
      <w:r>
        <w:rPr>
          <w:rFonts w:hint="eastAsia" w:ascii="宋体" w:hAnsi="宋体" w:eastAsia="宋体" w:cs="Times New Roman"/>
          <w:szCs w:val="21"/>
        </w:rPr>
        <w:t>招标文件中的标题或题名仅起引导作用，而不应视为对招标文件内容的理解和解释。</w:t>
      </w:r>
    </w:p>
    <w:p>
      <w:pPr>
        <w:spacing w:line="360" w:lineRule="auto"/>
        <w:ind w:left="832"/>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 w:name="_Toc129094525"/>
      <w:bookmarkStart w:id="22" w:name="_Toc129094368"/>
      <w:r>
        <w:rPr>
          <w:rFonts w:hint="eastAsia" w:ascii="宋体" w:hAnsi="宋体" w:eastAsia="宋体" w:cs="Times New Roman"/>
          <w:b/>
          <w:bCs/>
          <w:kern w:val="0"/>
          <w:sz w:val="24"/>
          <w:szCs w:val="20"/>
        </w:rPr>
        <w:t>投标人责任</w:t>
      </w:r>
      <w:bookmarkEnd w:id="21"/>
      <w:bookmarkEnd w:id="22"/>
    </w:p>
    <w:p>
      <w:pPr>
        <w:numPr>
          <w:ilvl w:val="0"/>
          <w:numId w:val="6"/>
        </w:numPr>
        <w:spacing w:line="360" w:lineRule="auto"/>
        <w:rPr>
          <w:rFonts w:ascii="宋体" w:hAnsi="宋体" w:eastAsia="宋体" w:cs="Times New Roman"/>
          <w:szCs w:val="21"/>
        </w:rPr>
      </w:pPr>
      <w:r>
        <w:rPr>
          <w:rFonts w:hint="eastAsia" w:ascii="宋体" w:hAnsi="宋体" w:eastAsia="宋体" w:cs="Times New Roman"/>
          <w:szCs w:val="21"/>
        </w:rPr>
        <w:t>投标人在投标过程中应遵守相关法律法规，诚实守信，不弄虚作假，不隐瞒真实情况，不围标串标。如违反上述要求，经核实后，投标人的投标将作废。</w:t>
      </w:r>
    </w:p>
    <w:p>
      <w:pPr>
        <w:numPr>
          <w:ilvl w:val="0"/>
          <w:numId w:val="6"/>
        </w:numPr>
        <w:spacing w:line="360" w:lineRule="auto"/>
        <w:rPr>
          <w:rFonts w:ascii="宋体" w:hAnsi="宋体" w:eastAsia="宋体" w:cs="Times New Roman"/>
          <w:szCs w:val="21"/>
        </w:rPr>
      </w:pPr>
      <w:r>
        <w:rPr>
          <w:rFonts w:hint="eastAsia" w:ascii="宋体" w:hAnsi="宋体" w:eastAsia="宋体" w:cs="Times New Roman"/>
          <w:szCs w:val="21"/>
        </w:rPr>
        <w:t>投标人应详细阅读招标文件及其修改性文件，熟悉并理解各条款的内容和规定。</w:t>
      </w:r>
    </w:p>
    <w:p>
      <w:pPr>
        <w:numPr>
          <w:ilvl w:val="0"/>
          <w:numId w:val="6"/>
        </w:numPr>
        <w:spacing w:line="360" w:lineRule="auto"/>
        <w:rPr>
          <w:rFonts w:ascii="宋体" w:hAnsi="宋体" w:eastAsia="宋体" w:cs="Times New Roman"/>
          <w:szCs w:val="21"/>
        </w:rPr>
      </w:pPr>
      <w:r>
        <w:rPr>
          <w:rFonts w:hint="eastAsia" w:ascii="宋体" w:hAnsi="宋体" w:eastAsia="宋体" w:cs="Times New Roman"/>
          <w:szCs w:val="21"/>
        </w:rPr>
        <w:t>投标人须向采购人提供充分和有效的证明材料，证明其具备符合招标文件规定的资格和资质条件。所有证明材料须如实填写、提供。</w:t>
      </w:r>
    </w:p>
    <w:p>
      <w:pPr>
        <w:numPr>
          <w:ilvl w:val="0"/>
          <w:numId w:val="6"/>
        </w:numPr>
        <w:spacing w:line="360" w:lineRule="auto"/>
        <w:rPr>
          <w:rFonts w:ascii="宋体" w:hAnsi="宋体" w:eastAsia="宋体" w:cs="Times New Roman"/>
          <w:szCs w:val="21"/>
        </w:rPr>
      </w:pPr>
      <w:r>
        <w:rPr>
          <w:rFonts w:hint="eastAsia" w:ascii="宋体" w:hAnsi="宋体" w:eastAsia="宋体" w:cs="Times New Roman"/>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pPr>
        <w:spacing w:line="360" w:lineRule="auto"/>
        <w:ind w:left="832"/>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 w:name="_Toc129094526"/>
      <w:bookmarkStart w:id="24" w:name="_Toc129094369"/>
      <w:r>
        <w:rPr>
          <w:rFonts w:hint="eastAsia" w:ascii="宋体" w:hAnsi="宋体" w:eastAsia="宋体" w:cs="Times New Roman"/>
          <w:b/>
          <w:bCs/>
          <w:kern w:val="0"/>
          <w:sz w:val="24"/>
          <w:szCs w:val="20"/>
        </w:rPr>
        <w:t>投标费用</w:t>
      </w:r>
      <w:bookmarkEnd w:id="23"/>
      <w:bookmarkEnd w:id="24"/>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投标人应承担所有与准备和参加投标有关的费用。不论投标的结果如何，招标代理机构和采购人均无义务和责任承担这些费用。</w:t>
      </w:r>
    </w:p>
    <w:p>
      <w:pPr>
        <w:spacing w:line="360" w:lineRule="auto"/>
        <w:ind w:left="832"/>
        <w:rPr>
          <w:rFonts w:ascii="宋体" w:hAnsi="宋体" w:eastAsia="宋体" w:cs="Times New Roman"/>
          <w:szCs w:val="21"/>
        </w:rPr>
      </w:pPr>
    </w:p>
    <w:bookmarkEnd w:id="14"/>
    <w:bookmarkEnd w:id="15"/>
    <w:bookmarkEnd w:id="16"/>
    <w:bookmarkEnd w:id="17"/>
    <w:bookmarkEnd w:id="18"/>
    <w:bookmarkEnd w:id="19"/>
    <w:bookmarkEnd w:id="20"/>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5" w:name="_Toc129094527"/>
      <w:bookmarkStart w:id="26" w:name="_Toc129094370"/>
      <w:r>
        <w:rPr>
          <w:rFonts w:hint="eastAsia" w:ascii="宋体" w:hAnsi="宋体" w:eastAsia="宋体" w:cs="Times New Roman"/>
          <w:b/>
          <w:bCs/>
          <w:kern w:val="0"/>
          <w:sz w:val="24"/>
          <w:szCs w:val="20"/>
        </w:rPr>
        <w:t>投标人的合格条件</w:t>
      </w:r>
      <w:bookmarkEnd w:id="25"/>
      <w:bookmarkEnd w:id="26"/>
    </w:p>
    <w:p>
      <w:pPr>
        <w:numPr>
          <w:ilvl w:val="0"/>
          <w:numId w:val="7"/>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投标人的资格要求：投标人应具备的资格条件详见招标文件</w:t>
      </w:r>
      <w:r>
        <w:rPr>
          <w:rFonts w:hint="eastAsia" w:ascii="宋体" w:hAnsi="宋体" w:eastAsia="宋体" w:cs="Times New Roman"/>
          <w:szCs w:val="24"/>
        </w:rPr>
        <w:t>《专用条款》</w:t>
      </w:r>
      <w:r>
        <w:rPr>
          <w:rFonts w:hint="eastAsia" w:ascii="宋体" w:hAnsi="宋体" w:eastAsia="宋体" w:cs="Times New Roman"/>
          <w:szCs w:val="21"/>
        </w:rPr>
        <w:t>招标公告中“投标人资格要求”的内容。</w:t>
      </w:r>
    </w:p>
    <w:p>
      <w:pPr>
        <w:numPr>
          <w:ilvl w:val="0"/>
          <w:numId w:val="7"/>
        </w:numPr>
        <w:spacing w:line="360" w:lineRule="auto"/>
        <w:ind w:left="851" w:hanging="425"/>
        <w:rPr>
          <w:rFonts w:ascii="宋体" w:hAnsi="宋体" w:eastAsia="宋体" w:cs="Times New Roman"/>
          <w:szCs w:val="21"/>
        </w:rPr>
      </w:pPr>
      <w:r>
        <w:rPr>
          <w:rFonts w:hint="eastAsia" w:ascii="宋体" w:hAnsi="宋体" w:eastAsia="宋体" w:cs="Times New Roman"/>
          <w:szCs w:val="21"/>
        </w:rPr>
        <w:t>属于下列情形之一的，投标人不得参与本项目竞争，法律、法规另有规定的除外：</w:t>
      </w:r>
    </w:p>
    <w:p>
      <w:pPr>
        <w:numPr>
          <w:ilvl w:val="0"/>
          <w:numId w:val="8"/>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与采购人存在利益关系，会影响采购活动公平进行的；</w:t>
      </w:r>
    </w:p>
    <w:p>
      <w:pPr>
        <w:numPr>
          <w:ilvl w:val="0"/>
          <w:numId w:val="8"/>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与招标代理机构存在隶属、控股及其他共同利益关系的；</w:t>
      </w:r>
    </w:p>
    <w:p>
      <w:pPr>
        <w:numPr>
          <w:ilvl w:val="0"/>
          <w:numId w:val="8"/>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为采购项目需求方案或者前期准备工作提供设计、规划论证等服务的；</w:t>
      </w:r>
    </w:p>
    <w:p>
      <w:pPr>
        <w:numPr>
          <w:ilvl w:val="0"/>
          <w:numId w:val="8"/>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其他会影响采购活动公平进行的情形。</w:t>
      </w:r>
    </w:p>
    <w:p>
      <w:pPr>
        <w:numPr>
          <w:ilvl w:val="0"/>
          <w:numId w:val="7"/>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投标人有下列情形的，属于投标人相互串通投标：</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投标人之间协商投标报价等投标文件的实质性内容；</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投标人之间约定中标人；</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投标人之间约定部分投标人放弃投标或者中标；</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属于同一集团、协会、商会等组织成员的投标人按照该组织要求协同投标；</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投标人之间为谋取中标或者排斥特定投标人而采取的其他联合行动。</w:t>
      </w:r>
    </w:p>
    <w:p>
      <w:pPr>
        <w:numPr>
          <w:ilvl w:val="0"/>
          <w:numId w:val="7"/>
        </w:numPr>
        <w:spacing w:line="360" w:lineRule="auto"/>
        <w:ind w:left="851" w:hanging="425"/>
        <w:rPr>
          <w:rFonts w:ascii="宋体" w:hAnsi="宋体" w:eastAsia="宋体" w:cs="Times New Roman"/>
          <w:szCs w:val="21"/>
        </w:rPr>
      </w:pPr>
      <w:r>
        <w:rPr>
          <w:rFonts w:hint="eastAsia" w:ascii="宋体" w:hAnsi="宋体" w:eastAsia="宋体" w:cs="Times New Roman"/>
          <w:szCs w:val="21"/>
        </w:rPr>
        <w:t>有下列情形之一的，视为投标人相互串通投标：</w:t>
      </w:r>
    </w:p>
    <w:p>
      <w:pPr>
        <w:numPr>
          <w:ilvl w:val="0"/>
          <w:numId w:val="10"/>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不同投标人的投标文件由同一单位或者个人编制；</w:t>
      </w:r>
    </w:p>
    <w:p>
      <w:pPr>
        <w:numPr>
          <w:ilvl w:val="0"/>
          <w:numId w:val="10"/>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不同投标人委托同一单位或者个人办理投标事宜；</w:t>
      </w:r>
    </w:p>
    <w:p>
      <w:pPr>
        <w:numPr>
          <w:ilvl w:val="0"/>
          <w:numId w:val="10"/>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不同投标人的投标文件载明的项目管理成员为同一人；</w:t>
      </w:r>
    </w:p>
    <w:p>
      <w:pPr>
        <w:numPr>
          <w:ilvl w:val="0"/>
          <w:numId w:val="10"/>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不同投标人的投标文件异常一致或者投标报价呈规律性差异；</w:t>
      </w:r>
    </w:p>
    <w:p>
      <w:pPr>
        <w:numPr>
          <w:ilvl w:val="0"/>
          <w:numId w:val="10"/>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不同投标人的投标文件相互混装；</w:t>
      </w:r>
    </w:p>
    <w:p>
      <w:pPr>
        <w:spacing w:line="360" w:lineRule="auto"/>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7" w:name="_Toc129094528"/>
      <w:bookmarkStart w:id="28" w:name="_Toc129094371"/>
      <w:bookmarkStart w:id="29" w:name="_Toc60560631"/>
      <w:bookmarkStart w:id="30" w:name="_Toc73517645"/>
      <w:bookmarkStart w:id="31" w:name="_Toc73521553"/>
      <w:bookmarkStart w:id="32" w:name="_Toc73521641"/>
      <w:bookmarkStart w:id="33" w:name="_Toc73518123"/>
      <w:bookmarkStart w:id="34" w:name="_Toc100052370"/>
      <w:bookmarkStart w:id="35" w:name="_Toc60631626"/>
      <w:r>
        <w:rPr>
          <w:rFonts w:hint="eastAsia" w:ascii="宋体" w:hAnsi="宋体" w:eastAsia="宋体" w:cs="Times New Roman"/>
          <w:b/>
          <w:bCs/>
          <w:kern w:val="0"/>
          <w:sz w:val="24"/>
          <w:szCs w:val="20"/>
        </w:rPr>
        <w:t>联合体投标</w:t>
      </w:r>
      <w:bookmarkEnd w:id="27"/>
      <w:bookmarkEnd w:id="28"/>
    </w:p>
    <w:p>
      <w:pPr>
        <w:numPr>
          <w:ilvl w:val="0"/>
          <w:numId w:val="11"/>
        </w:numPr>
        <w:spacing w:line="360" w:lineRule="auto"/>
        <w:ind w:left="851" w:hanging="425"/>
        <w:rPr>
          <w:rFonts w:ascii="宋体" w:hAnsi="宋体" w:eastAsia="宋体" w:cs="Times New Roman"/>
          <w:szCs w:val="24"/>
        </w:rPr>
      </w:pPr>
      <w:r>
        <w:rPr>
          <w:rFonts w:hint="eastAsia" w:ascii="宋体" w:hAnsi="宋体" w:eastAsia="宋体" w:cs="Times New Roman"/>
          <w:szCs w:val="24"/>
        </w:rPr>
        <w:t>以下有关联合体投标的条款仅适用于允许投标人组成联合体投标的项目。</w:t>
      </w:r>
    </w:p>
    <w:p>
      <w:pPr>
        <w:numPr>
          <w:ilvl w:val="0"/>
          <w:numId w:val="11"/>
        </w:numPr>
        <w:spacing w:line="360" w:lineRule="auto"/>
        <w:ind w:left="851" w:hanging="425"/>
        <w:rPr>
          <w:rFonts w:ascii="宋体" w:hAnsi="宋体" w:eastAsia="宋体" w:cs="Times New Roman"/>
          <w:szCs w:val="24"/>
        </w:rPr>
      </w:pPr>
      <w:r>
        <w:rPr>
          <w:rFonts w:hint="eastAsia" w:ascii="宋体" w:hAnsi="宋体" w:eastAsia="宋体" w:cs="Times New Roman"/>
          <w:szCs w:val="24"/>
        </w:rPr>
        <w:t>由两个或两个以上的自然人、法人或者其他组织可以组成一个联合体，以一个投标人的身份共同投标时，应符合以下原则：</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联合体各方中至少应当有一方符合招标公告的</w:t>
      </w:r>
      <w:r>
        <w:rPr>
          <w:rFonts w:hint="eastAsia" w:ascii="宋体" w:hAnsi="宋体" w:eastAsia="宋体" w:cs="Times New Roman"/>
          <w:szCs w:val="21"/>
        </w:rPr>
        <w:t>投标人资格要求</w:t>
      </w:r>
      <w:r>
        <w:rPr>
          <w:rFonts w:hint="eastAsia" w:ascii="宋体" w:hAnsi="宋体" w:eastAsia="宋体" w:cs="Times New Roman"/>
          <w:szCs w:val="24"/>
        </w:rPr>
        <w:t>。对于招标公告</w:t>
      </w:r>
      <w:r>
        <w:rPr>
          <w:rFonts w:ascii="宋体" w:hAnsi="宋体" w:eastAsia="宋体" w:cs="Times New Roman"/>
          <w:szCs w:val="24"/>
        </w:rPr>
        <w:t>对投标人</w:t>
      </w:r>
      <w:r>
        <w:rPr>
          <w:rFonts w:hint="eastAsia" w:ascii="宋体" w:hAnsi="宋体" w:eastAsia="宋体" w:cs="Times New Roman"/>
          <w:szCs w:val="24"/>
        </w:rPr>
        <w:t>某一资格</w:t>
      </w:r>
      <w:r>
        <w:rPr>
          <w:rFonts w:ascii="宋体" w:hAnsi="宋体" w:eastAsia="宋体" w:cs="Times New Roman"/>
          <w:szCs w:val="24"/>
        </w:rPr>
        <w:t>有</w:t>
      </w:r>
      <w:r>
        <w:rPr>
          <w:rFonts w:hint="eastAsia" w:ascii="宋体" w:hAnsi="宋体" w:eastAsia="宋体" w:cs="Times New Roman"/>
          <w:szCs w:val="24"/>
        </w:rPr>
        <w:t>要求</w:t>
      </w:r>
      <w:r>
        <w:rPr>
          <w:rFonts w:ascii="宋体" w:hAnsi="宋体" w:eastAsia="宋体" w:cs="Times New Roman"/>
          <w:szCs w:val="24"/>
        </w:rPr>
        <w:t>的，</w:t>
      </w:r>
      <w:r>
        <w:rPr>
          <w:rFonts w:hint="eastAsia" w:ascii="宋体" w:hAnsi="宋体" w:eastAsia="宋体" w:cs="Times New Roman"/>
          <w:szCs w:val="24"/>
        </w:rPr>
        <w:t>按照联合体各方中最低资质等级确定联合体的资质等级；联合体各方的不同资质可优势互补。</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投标文件及中标后签署的合同协议对联合体各方均具法律约束力。</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联合体各方应当签订共同投标协议，明确约定各方拟承担的工作和责任，并将该共同投标协议随投标文件一并递交给招标代理机构。</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联合体中标后，联合体各方应当共同与采购人签订合同，就中标项目向采购人承担连带责任。</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联合体的各方应当共同推荐一联合体投标授权代表方，由联合体各方提交一份授权书，证明其有资格代表联合体各方签署投标文件，该授权书作为投标文件的组成部分一并提交给招标代理机构。</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pPr>
        <w:numPr>
          <w:ilvl w:val="0"/>
          <w:numId w:val="12"/>
        </w:numPr>
        <w:spacing w:line="360" w:lineRule="auto"/>
        <w:ind w:left="1428" w:hanging="560"/>
        <w:rPr>
          <w:rFonts w:ascii="宋体" w:hAnsi="宋体" w:eastAsia="宋体" w:cs="Times New Roman"/>
          <w:szCs w:val="24"/>
        </w:rPr>
      </w:pPr>
      <w:r>
        <w:rPr>
          <w:rFonts w:hint="eastAsia" w:ascii="宋体" w:hAnsi="宋体" w:eastAsia="宋体" w:cs="Times New Roman"/>
          <w:szCs w:val="24"/>
        </w:rPr>
        <w:t>除非另有规定或说明，本通用条款中“投标人”一词亦指联合体各方。</w:t>
      </w:r>
    </w:p>
    <w:p>
      <w:pPr>
        <w:numPr>
          <w:ilvl w:val="0"/>
          <w:numId w:val="11"/>
        </w:numPr>
        <w:spacing w:line="360" w:lineRule="auto"/>
        <w:ind w:left="851" w:hanging="425"/>
        <w:rPr>
          <w:rFonts w:ascii="宋体" w:hAnsi="宋体" w:eastAsia="宋体" w:cs="Times New Roman"/>
          <w:szCs w:val="24"/>
        </w:rPr>
      </w:pPr>
      <w:r>
        <w:rPr>
          <w:rFonts w:hint="eastAsia" w:ascii="宋体" w:hAnsi="宋体" w:eastAsia="宋体" w:cs="Times New Roman"/>
          <w:szCs w:val="24"/>
        </w:rPr>
        <w:t>允许投标人组成联合体投标的项目在招标文件《专用条款》有另行规定的，按规定执行。</w:t>
      </w:r>
    </w:p>
    <w:p>
      <w:pPr>
        <w:spacing w:line="360" w:lineRule="auto"/>
        <w:ind w:left="851"/>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6" w:name="_Toc129094529"/>
      <w:bookmarkStart w:id="37" w:name="_Toc129094372"/>
      <w:r>
        <w:rPr>
          <w:rFonts w:hint="eastAsia" w:ascii="宋体" w:hAnsi="宋体" w:eastAsia="宋体" w:cs="Times New Roman"/>
          <w:b/>
          <w:bCs/>
          <w:kern w:val="0"/>
          <w:sz w:val="24"/>
          <w:szCs w:val="20"/>
        </w:rPr>
        <w:t>采购标的</w:t>
      </w:r>
      <w:bookmarkEnd w:id="36"/>
      <w:bookmarkEnd w:id="37"/>
    </w:p>
    <w:p>
      <w:pPr>
        <w:numPr>
          <w:ilvl w:val="0"/>
          <w:numId w:val="13"/>
        </w:numPr>
        <w:spacing w:line="360" w:lineRule="auto"/>
        <w:ind w:left="851" w:hanging="425"/>
        <w:rPr>
          <w:rFonts w:ascii="宋体" w:hAnsi="宋体" w:eastAsia="宋体" w:cs="Times New Roman"/>
          <w:szCs w:val="24"/>
        </w:rPr>
      </w:pPr>
      <w:r>
        <w:rPr>
          <w:rFonts w:hint="eastAsia" w:ascii="宋体" w:hAnsi="宋体" w:eastAsia="宋体" w:cs="Times New Roman"/>
          <w:szCs w:val="24"/>
        </w:rPr>
        <w:t>如果服务项目有国家标准或者行业规定的，投标人应当符合该项规定。</w:t>
      </w:r>
    </w:p>
    <w:p>
      <w:pPr>
        <w:numPr>
          <w:ilvl w:val="0"/>
          <w:numId w:val="13"/>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投标人应保证其所提供的标的不会产生因第三方提出的包括但不限于侵犯其专利权、商标权等知识产权和侵犯其所有权、抵押权等物权及其他权利而引发的纠纷。如有纠纷，投标人应承担全部责任。</w:t>
      </w:r>
    </w:p>
    <w:p>
      <w:pPr>
        <w:numPr>
          <w:ilvl w:val="0"/>
          <w:numId w:val="13"/>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投标人必须承担提供服务过程中产生的配套设备、培训、技术资料等等其他相关义务。</w:t>
      </w:r>
    </w:p>
    <w:bookmarkEnd w:id="29"/>
    <w:bookmarkEnd w:id="30"/>
    <w:bookmarkEnd w:id="31"/>
    <w:bookmarkEnd w:id="32"/>
    <w:bookmarkEnd w:id="33"/>
    <w:bookmarkEnd w:id="34"/>
    <w:bookmarkEnd w:id="35"/>
    <w:p>
      <w:pPr>
        <w:spacing w:line="360" w:lineRule="auto"/>
        <w:ind w:firstLine="411" w:firstLineChars="196"/>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8" w:name="_Toc60560632"/>
      <w:bookmarkStart w:id="39" w:name="_Toc129094373"/>
      <w:bookmarkStart w:id="40" w:name="_Toc73517646"/>
      <w:bookmarkStart w:id="41" w:name="_Toc73518124"/>
      <w:bookmarkStart w:id="42" w:name="_Toc73521554"/>
      <w:bookmarkStart w:id="43" w:name="_Toc100052371"/>
      <w:bookmarkStart w:id="44" w:name="_Toc73521642"/>
      <w:bookmarkStart w:id="45" w:name="_Toc129094530"/>
      <w:bookmarkStart w:id="46" w:name="_Toc60631627"/>
      <w:r>
        <w:rPr>
          <w:rFonts w:hint="eastAsia" w:ascii="宋体" w:hAnsi="宋体" w:eastAsia="宋体" w:cs="Times New Roman"/>
          <w:b/>
          <w:bCs/>
          <w:kern w:val="0"/>
          <w:sz w:val="24"/>
          <w:szCs w:val="20"/>
        </w:rPr>
        <w:t>现场踏勘</w:t>
      </w:r>
      <w:bookmarkEnd w:id="38"/>
      <w:bookmarkEnd w:id="39"/>
      <w:bookmarkEnd w:id="40"/>
      <w:bookmarkEnd w:id="41"/>
      <w:bookmarkEnd w:id="42"/>
      <w:bookmarkEnd w:id="43"/>
      <w:bookmarkEnd w:id="44"/>
      <w:bookmarkEnd w:id="45"/>
      <w:bookmarkEnd w:id="46"/>
    </w:p>
    <w:p>
      <w:pPr>
        <w:numPr>
          <w:ilvl w:val="0"/>
          <w:numId w:val="14"/>
        </w:numPr>
        <w:spacing w:line="360" w:lineRule="auto"/>
        <w:rPr>
          <w:rFonts w:ascii="宋体" w:hAnsi="宋体" w:eastAsia="宋体" w:cs="Times New Roman"/>
          <w:szCs w:val="24"/>
        </w:rPr>
      </w:pPr>
      <w:bookmarkStart w:id="47" w:name="_Toc100052372"/>
      <w:bookmarkStart w:id="48" w:name="_Toc78260681"/>
      <w:r>
        <w:rPr>
          <w:rFonts w:hint="eastAsia" w:ascii="宋体" w:hAnsi="宋体" w:eastAsia="宋体" w:cs="Times New Roman"/>
          <w:szCs w:val="24"/>
        </w:rPr>
        <w:t>如有需要，采购人将组织投标人对项目现场及周围环境进行踏勘，以便投标人获取有关编制投标文件和签署合同所需的资料。投标人应按招标文件所约定的时间、地点统一现场踏勘。</w:t>
      </w:r>
    </w:p>
    <w:p>
      <w:pPr>
        <w:numPr>
          <w:ilvl w:val="0"/>
          <w:numId w:val="14"/>
        </w:numPr>
        <w:spacing w:line="360" w:lineRule="auto"/>
        <w:rPr>
          <w:rFonts w:ascii="宋体" w:hAnsi="宋体" w:eastAsia="宋体" w:cs="Times New Roman"/>
          <w:szCs w:val="24"/>
        </w:rPr>
      </w:pPr>
      <w:r>
        <w:rPr>
          <w:rFonts w:hint="eastAsia" w:ascii="宋体" w:hAnsi="宋体" w:eastAsia="宋体" w:cs="Times New Roman"/>
          <w:szCs w:val="24"/>
        </w:rPr>
        <w:t>未参与现场踏勘不作为否定投标人资格的理由。</w:t>
      </w:r>
    </w:p>
    <w:p>
      <w:pPr>
        <w:numPr>
          <w:ilvl w:val="0"/>
          <w:numId w:val="14"/>
        </w:numPr>
        <w:spacing w:line="360" w:lineRule="auto"/>
        <w:rPr>
          <w:rFonts w:ascii="宋体" w:hAnsi="宋体" w:eastAsia="宋体" w:cs="Times New Roman"/>
          <w:szCs w:val="24"/>
        </w:rPr>
      </w:pPr>
      <w:r>
        <w:rPr>
          <w:rFonts w:hint="eastAsia" w:ascii="宋体" w:hAnsi="宋体" w:eastAsia="宋体" w:cs="Times New Roman"/>
          <w:szCs w:val="24"/>
        </w:rPr>
        <w:t>是否组织现场踏勘，详见招标文件《专用条款》招标公告有关规定。</w:t>
      </w:r>
    </w:p>
    <w:p>
      <w:pPr>
        <w:spacing w:line="360" w:lineRule="auto"/>
        <w:ind w:left="832"/>
        <w:rPr>
          <w:rFonts w:ascii="宋体" w:hAnsi="宋体" w:eastAsia="宋体" w:cs="Times New Roman"/>
          <w:szCs w:val="24"/>
        </w:rPr>
      </w:pPr>
    </w:p>
    <w:bookmarkEnd w:id="47"/>
    <w:bookmarkEnd w:id="48"/>
    <w:p>
      <w:pPr>
        <w:keepNext/>
        <w:keepLines/>
        <w:numPr>
          <w:ilvl w:val="0"/>
          <w:numId w:val="1"/>
        </w:numPr>
        <w:spacing w:line="360" w:lineRule="auto"/>
        <w:jc w:val="left"/>
        <w:outlineLvl w:val="0"/>
        <w:rPr>
          <w:rFonts w:ascii="宋体" w:hAnsi="宋体" w:eastAsia="宋体" w:cs="Times New Roman"/>
          <w:b/>
          <w:bCs/>
          <w:kern w:val="44"/>
          <w:sz w:val="28"/>
          <w:szCs w:val="28"/>
        </w:rPr>
      </w:pPr>
      <w:bookmarkStart w:id="49" w:name="bt招标文件"/>
      <w:bookmarkEnd w:id="49"/>
      <w:bookmarkStart w:id="50" w:name="_Toc101074878"/>
      <w:bookmarkStart w:id="51" w:name="_Toc73517648"/>
      <w:bookmarkStart w:id="52" w:name="_Toc73518126"/>
      <w:bookmarkStart w:id="53" w:name="_Toc73521556"/>
      <w:bookmarkStart w:id="54" w:name="_Toc100052373"/>
      <w:bookmarkStart w:id="55" w:name="_Toc129094531"/>
      <w:bookmarkStart w:id="56" w:name="_Toc73521644"/>
      <w:r>
        <w:rPr>
          <w:rFonts w:hint="eastAsia" w:ascii="宋体" w:hAnsi="宋体" w:eastAsia="宋体" w:cs="Times New Roman"/>
          <w:b/>
          <w:bCs/>
          <w:kern w:val="44"/>
          <w:sz w:val="28"/>
          <w:szCs w:val="28"/>
        </w:rPr>
        <w:t>招标文件</w:t>
      </w:r>
      <w:bookmarkEnd w:id="50"/>
      <w:bookmarkEnd w:id="51"/>
      <w:bookmarkEnd w:id="52"/>
      <w:bookmarkEnd w:id="53"/>
      <w:bookmarkEnd w:id="54"/>
      <w:bookmarkEnd w:id="55"/>
      <w:bookmarkEnd w:id="56"/>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7" w:name="_Toc129094532"/>
      <w:bookmarkStart w:id="58" w:name="_Toc100052374"/>
      <w:bookmarkStart w:id="59" w:name="_Toc73518127"/>
      <w:bookmarkStart w:id="60" w:name="_Toc73521645"/>
      <w:bookmarkStart w:id="61" w:name="_Toc73517649"/>
      <w:bookmarkStart w:id="62" w:name="_Toc129094375"/>
      <w:bookmarkStart w:id="63" w:name="_Toc73521557"/>
      <w:r>
        <w:rPr>
          <w:rFonts w:hint="eastAsia" w:ascii="宋体" w:hAnsi="宋体" w:eastAsia="宋体" w:cs="Times New Roman"/>
          <w:b/>
          <w:bCs/>
          <w:kern w:val="0"/>
          <w:sz w:val="24"/>
          <w:szCs w:val="20"/>
        </w:rPr>
        <w:t>招标文件的编制与组成</w:t>
      </w:r>
      <w:bookmarkEnd w:id="57"/>
      <w:bookmarkEnd w:id="58"/>
      <w:bookmarkEnd w:id="59"/>
      <w:bookmarkEnd w:id="60"/>
      <w:bookmarkEnd w:id="61"/>
      <w:bookmarkEnd w:id="62"/>
      <w:bookmarkEnd w:id="63"/>
    </w:p>
    <w:p>
      <w:pPr>
        <w:numPr>
          <w:ilvl w:val="0"/>
          <w:numId w:val="15"/>
        </w:numPr>
        <w:snapToGrid w:val="0"/>
        <w:spacing w:line="360" w:lineRule="auto"/>
        <w:ind w:left="851" w:hanging="425"/>
        <w:rPr>
          <w:rFonts w:ascii="宋体" w:hAnsi="宋体" w:eastAsia="宋体" w:cs="Times New Roman"/>
          <w:szCs w:val="21"/>
        </w:rPr>
      </w:pPr>
      <w:r>
        <w:rPr>
          <w:rFonts w:hint="eastAsia" w:ascii="宋体" w:hAnsi="宋体" w:eastAsia="宋体" w:cs="Times New Roman"/>
          <w:szCs w:val="21"/>
        </w:rPr>
        <w:t>招标文件除以下内容外，招标代理机构在招标期间发出的修改性文件，均是招标文件的组成部分，对投标人起约束作用。招标文件包括下列内容：</w:t>
      </w:r>
    </w:p>
    <w:p>
      <w:pPr>
        <w:snapToGrid w:val="0"/>
        <w:spacing w:line="360" w:lineRule="auto"/>
        <w:ind w:left="426"/>
        <w:rPr>
          <w:rFonts w:ascii="宋体" w:hAnsi="宋体" w:eastAsia="宋体" w:cs="Times New Roman"/>
          <w:b/>
          <w:szCs w:val="21"/>
        </w:rPr>
      </w:pPr>
      <w:r>
        <w:rPr>
          <w:rFonts w:hint="eastAsia" w:ascii="宋体" w:hAnsi="宋体" w:eastAsia="宋体" w:cs="Times New Roman"/>
          <w:b/>
          <w:szCs w:val="21"/>
        </w:rPr>
        <w:t>第一册通用条款</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第一部分投标人须知</w:t>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第一章总则</w:t>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第二章</w:t>
      </w:r>
      <w:r>
        <w:rPr>
          <w:rFonts w:hint="eastAsia" w:ascii="宋体" w:hAnsi="宋体" w:eastAsia="宋体" w:cs="Times New Roman"/>
          <w:szCs w:val="21"/>
        </w:rPr>
        <w:tab/>
      </w:r>
      <w:r>
        <w:rPr>
          <w:rFonts w:hint="eastAsia" w:ascii="宋体" w:hAnsi="宋体" w:eastAsia="宋体" w:cs="Times New Roman"/>
          <w:szCs w:val="21"/>
        </w:rPr>
        <w:t>招标文件</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第三章</w:t>
      </w:r>
      <w:r>
        <w:rPr>
          <w:rFonts w:hint="eastAsia" w:ascii="宋体" w:hAnsi="宋体" w:eastAsia="宋体" w:cs="Times New Roman"/>
          <w:szCs w:val="21"/>
        </w:rPr>
        <w:tab/>
      </w:r>
      <w:r>
        <w:rPr>
          <w:rFonts w:hint="eastAsia" w:ascii="宋体" w:hAnsi="宋体" w:eastAsia="宋体" w:cs="Times New Roman"/>
          <w:szCs w:val="21"/>
        </w:rPr>
        <w:t>投标文件的编制</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第四章</w:t>
      </w:r>
      <w:r>
        <w:rPr>
          <w:rFonts w:hint="eastAsia" w:ascii="宋体" w:hAnsi="宋体" w:eastAsia="宋体" w:cs="Times New Roman"/>
          <w:szCs w:val="21"/>
        </w:rPr>
        <w:tab/>
      </w:r>
      <w:r>
        <w:rPr>
          <w:rFonts w:hint="eastAsia" w:ascii="宋体" w:hAnsi="宋体" w:eastAsia="宋体" w:cs="Times New Roman"/>
          <w:szCs w:val="21"/>
        </w:rPr>
        <w:t>投标文件的递交</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第五章</w:t>
      </w:r>
      <w:r>
        <w:rPr>
          <w:rFonts w:hint="eastAsia" w:ascii="宋体" w:hAnsi="宋体" w:eastAsia="宋体" w:cs="Times New Roman"/>
          <w:szCs w:val="21"/>
        </w:rPr>
        <w:tab/>
      </w:r>
      <w:r>
        <w:rPr>
          <w:rFonts w:hint="eastAsia" w:ascii="宋体" w:hAnsi="宋体" w:eastAsia="宋体" w:cs="Times New Roman"/>
          <w:szCs w:val="21"/>
        </w:rPr>
        <w:t>开标</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第六章</w:t>
      </w:r>
      <w:r>
        <w:rPr>
          <w:rFonts w:hint="eastAsia" w:ascii="宋体" w:hAnsi="宋体" w:eastAsia="宋体" w:cs="Times New Roman"/>
          <w:szCs w:val="21"/>
        </w:rPr>
        <w:tab/>
      </w:r>
      <w:r>
        <w:rPr>
          <w:rFonts w:hint="eastAsia" w:ascii="宋体" w:hAnsi="宋体" w:eastAsia="宋体" w:cs="Times New Roman"/>
          <w:szCs w:val="21"/>
        </w:rPr>
        <w:t>评标</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第七章</w:t>
      </w:r>
      <w:r>
        <w:rPr>
          <w:rFonts w:hint="eastAsia" w:ascii="宋体" w:hAnsi="宋体" w:eastAsia="宋体" w:cs="Times New Roman"/>
          <w:szCs w:val="21"/>
        </w:rPr>
        <w:tab/>
      </w:r>
      <w:r>
        <w:rPr>
          <w:rFonts w:hint="eastAsia" w:ascii="宋体" w:hAnsi="宋体" w:eastAsia="宋体" w:cs="Times New Roman"/>
          <w:szCs w:val="21"/>
        </w:rPr>
        <w:t>授予合同</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第八章</w:t>
      </w:r>
      <w:r>
        <w:rPr>
          <w:rFonts w:hint="eastAsia" w:ascii="宋体" w:hAnsi="宋体" w:eastAsia="宋体" w:cs="Times New Roman"/>
          <w:szCs w:val="21"/>
        </w:rPr>
        <w:tab/>
      </w:r>
      <w:r>
        <w:rPr>
          <w:rFonts w:hint="eastAsia" w:ascii="宋体" w:hAnsi="宋体" w:eastAsia="宋体" w:cs="Times New Roman"/>
          <w:szCs w:val="21"/>
        </w:rPr>
        <w:t>质疑的受理及处理</w:t>
      </w:r>
      <w:r>
        <w:rPr>
          <w:rFonts w:hint="eastAsia" w:ascii="宋体" w:hAnsi="宋体" w:eastAsia="宋体" w:cs="Times New Roman"/>
          <w:szCs w:val="21"/>
        </w:rPr>
        <w:tab/>
      </w:r>
      <w:r>
        <w:rPr>
          <w:rFonts w:hint="eastAsia" w:ascii="宋体" w:hAnsi="宋体" w:eastAsia="宋体" w:cs="Times New Roman"/>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第二部分合同格式</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第三部分投标文件格式</w:t>
      </w:r>
      <w:r>
        <w:rPr>
          <w:rFonts w:hint="eastAsia" w:ascii="宋体" w:hAnsi="宋体" w:eastAsia="宋体" w:cs="Times New Roman"/>
          <w:b/>
          <w:szCs w:val="21"/>
        </w:rPr>
        <w:tab/>
      </w:r>
    </w:p>
    <w:p>
      <w:pPr>
        <w:snapToGrid w:val="0"/>
        <w:spacing w:line="360" w:lineRule="auto"/>
        <w:rPr>
          <w:rFonts w:ascii="宋体" w:hAnsi="宋体" w:eastAsia="宋体" w:cs="Times New Roman"/>
          <w:b/>
          <w:szCs w:val="21"/>
        </w:rPr>
      </w:pPr>
      <w:r>
        <w:rPr>
          <w:rFonts w:hint="eastAsia" w:ascii="宋体" w:hAnsi="宋体" w:eastAsia="宋体" w:cs="Times New Roman"/>
          <w:b/>
          <w:szCs w:val="21"/>
        </w:rPr>
        <w:t>第二册专用条款</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投标人须知前附表</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第四部分招标公告</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第五部分招标项目需求</w:t>
      </w:r>
      <w:r>
        <w:rPr>
          <w:rFonts w:hint="eastAsia" w:ascii="宋体" w:hAnsi="宋体" w:eastAsia="宋体" w:cs="Times New Roman"/>
          <w:b/>
          <w:szCs w:val="21"/>
        </w:rPr>
        <w:tab/>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第六部分评标方法</w:t>
      </w:r>
    </w:p>
    <w:p>
      <w:pPr>
        <w:numPr>
          <w:ilvl w:val="0"/>
          <w:numId w:val="15"/>
        </w:numPr>
        <w:snapToGrid w:val="0"/>
        <w:spacing w:line="360" w:lineRule="auto"/>
        <w:ind w:left="848" w:leftChars="203" w:hanging="422" w:hangingChars="201"/>
        <w:rPr>
          <w:rFonts w:ascii="宋体" w:hAnsi="宋体" w:eastAsia="宋体" w:cs="Times New Roman"/>
          <w:szCs w:val="21"/>
        </w:rPr>
      </w:pPr>
      <w:bookmarkStart w:id="64" w:name="_Toc100052375"/>
      <w:bookmarkStart w:id="65" w:name="_Toc73521558"/>
      <w:bookmarkStart w:id="66" w:name="_Toc73521646"/>
      <w:bookmarkStart w:id="67" w:name="_Toc60631631"/>
      <w:bookmarkStart w:id="68" w:name="_Toc60560636"/>
      <w:bookmarkStart w:id="69" w:name="_Toc73517650"/>
      <w:bookmarkStart w:id="70" w:name="_Toc73518128"/>
      <w:bookmarkStart w:id="71" w:name="_Toc73521647"/>
      <w:bookmarkStart w:id="72" w:name="_Toc73518129"/>
      <w:bookmarkStart w:id="73" w:name="_Toc100052376"/>
      <w:bookmarkStart w:id="74" w:name="_Toc73521559"/>
      <w:bookmarkStart w:id="75" w:name="_Toc73517651"/>
      <w:bookmarkStart w:id="76" w:name="_Toc60631632"/>
      <w:bookmarkStart w:id="77" w:name="_Toc60560637"/>
      <w:r>
        <w:rPr>
          <w:rFonts w:hint="eastAsia" w:ascii="宋体" w:hAnsi="宋体" w:eastAsia="宋体" w:cs="Times New Roman"/>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pPr>
        <w:numPr>
          <w:ilvl w:val="0"/>
          <w:numId w:val="15"/>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招标文件在服务要求中指出的参照品牌仅起说明作用，并没有任何限制性。投标人在投标中可以选用替代产品，但这些替代产品要实质上满足招标文件中服务要求的要求。</w:t>
      </w:r>
    </w:p>
    <w:p>
      <w:pPr>
        <w:numPr>
          <w:ilvl w:val="0"/>
          <w:numId w:val="15"/>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招标文件中打“★”号的部分为实质性要求和条件，不允许负偏离。否则，将投标将被否决。</w:t>
      </w:r>
    </w:p>
    <w:p>
      <w:pPr>
        <w:snapToGrid w:val="0"/>
        <w:spacing w:line="360" w:lineRule="auto"/>
        <w:ind w:left="848"/>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78" w:name="_Toc129094533"/>
      <w:bookmarkStart w:id="79" w:name="_Toc129094376"/>
      <w:r>
        <w:rPr>
          <w:rFonts w:hint="eastAsia" w:ascii="宋体" w:hAnsi="宋体" w:eastAsia="宋体" w:cs="Times New Roman"/>
          <w:b/>
          <w:bCs/>
          <w:kern w:val="0"/>
          <w:sz w:val="24"/>
          <w:szCs w:val="20"/>
        </w:rPr>
        <w:t>招标答疑</w:t>
      </w:r>
      <w:bookmarkEnd w:id="78"/>
      <w:bookmarkEnd w:id="79"/>
    </w:p>
    <w:p>
      <w:pPr>
        <w:numPr>
          <w:ilvl w:val="0"/>
          <w:numId w:val="16"/>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招标答疑的目的是澄清、解答投标人在查阅招标文件后或现场踏勘中可能提出的与投标有关的疑问或询问。</w:t>
      </w:r>
    </w:p>
    <w:p>
      <w:pPr>
        <w:numPr>
          <w:ilvl w:val="0"/>
          <w:numId w:val="16"/>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pPr>
        <w:numPr>
          <w:ilvl w:val="0"/>
          <w:numId w:val="16"/>
        </w:numPr>
        <w:spacing w:line="360" w:lineRule="auto"/>
        <w:ind w:left="993" w:hanging="567"/>
        <w:rPr>
          <w:rFonts w:ascii="宋体" w:hAnsi="宋体" w:eastAsia="宋体" w:cs="Times New Roman"/>
          <w:szCs w:val="21"/>
        </w:rPr>
      </w:pPr>
      <w:r>
        <w:rPr>
          <w:rFonts w:hint="eastAsia" w:ascii="宋体" w:hAnsi="宋体" w:eastAsia="宋体" w:cs="Times New Roman"/>
          <w:szCs w:val="21"/>
        </w:rPr>
        <w:t>澄清文件作为招标文件的组成部分，对投标人起约束作用。</w:t>
      </w:r>
    </w:p>
    <w:p>
      <w:pPr>
        <w:numPr>
          <w:ilvl w:val="0"/>
          <w:numId w:val="16"/>
        </w:numPr>
        <w:spacing w:line="360" w:lineRule="auto"/>
        <w:ind w:left="993" w:hanging="567"/>
        <w:rPr>
          <w:rFonts w:ascii="宋体" w:hAnsi="宋体" w:eastAsia="宋体" w:cs="Times New Roman"/>
          <w:szCs w:val="21"/>
        </w:rPr>
      </w:pPr>
      <w:r>
        <w:rPr>
          <w:rFonts w:hint="eastAsia" w:ascii="宋体" w:hAnsi="宋体" w:eastAsia="宋体" w:cs="Times New Roman"/>
          <w:szCs w:val="21"/>
        </w:rPr>
        <w:t>对于没有提出澄清又参与投标的投标人将被视为完全认同招标文件（含修改性文件），投标截止日期后不再受理针对招标文件的相关质疑或投诉。</w:t>
      </w:r>
    </w:p>
    <w:p>
      <w:pPr>
        <w:spacing w:line="360" w:lineRule="auto"/>
        <w:ind w:left="993"/>
        <w:rPr>
          <w:rFonts w:ascii="宋体" w:hAnsi="宋体" w:eastAsia="宋体" w:cs="Times New Roman"/>
          <w:szCs w:val="21"/>
        </w:rPr>
      </w:pPr>
    </w:p>
    <w:bookmarkEnd w:id="64"/>
    <w:bookmarkEnd w:id="65"/>
    <w:bookmarkEnd w:id="66"/>
    <w:bookmarkEnd w:id="67"/>
    <w:bookmarkEnd w:id="68"/>
    <w:bookmarkEnd w:id="69"/>
    <w:bookmarkEnd w:id="70"/>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80" w:name="_Toc129094377"/>
      <w:bookmarkStart w:id="81" w:name="_Toc129094534"/>
      <w:r>
        <w:rPr>
          <w:rFonts w:hint="eastAsia" w:ascii="宋体" w:hAnsi="宋体" w:eastAsia="宋体" w:cs="Times New Roman"/>
          <w:b/>
          <w:bCs/>
          <w:kern w:val="0"/>
          <w:sz w:val="24"/>
          <w:szCs w:val="20"/>
        </w:rPr>
        <w:t>招标文件的修改</w:t>
      </w:r>
      <w:bookmarkEnd w:id="71"/>
      <w:bookmarkEnd w:id="72"/>
      <w:bookmarkEnd w:id="73"/>
      <w:bookmarkEnd w:id="74"/>
      <w:bookmarkEnd w:id="75"/>
      <w:bookmarkEnd w:id="76"/>
      <w:bookmarkEnd w:id="77"/>
      <w:bookmarkEnd w:id="80"/>
      <w:bookmarkEnd w:id="81"/>
    </w:p>
    <w:p>
      <w:pPr>
        <w:numPr>
          <w:ilvl w:val="0"/>
          <w:numId w:val="17"/>
        </w:numPr>
        <w:spacing w:line="360" w:lineRule="auto"/>
        <w:ind w:left="993" w:hanging="567"/>
        <w:rPr>
          <w:rFonts w:ascii="宋体" w:hAnsi="宋体" w:eastAsia="宋体" w:cs="Times New Roman"/>
          <w:szCs w:val="21"/>
        </w:rPr>
      </w:pPr>
      <w:bookmarkStart w:id="82" w:name="bt投标文件"/>
      <w:bookmarkEnd w:id="82"/>
      <w:bookmarkStart w:id="83" w:name="_Toc73518130"/>
      <w:bookmarkStart w:id="84" w:name="_Toc101074879"/>
      <w:bookmarkStart w:id="85" w:name="_Toc100052377"/>
      <w:bookmarkStart w:id="86" w:name="_Toc73521648"/>
      <w:bookmarkStart w:id="87" w:name="_Toc73521560"/>
      <w:bookmarkStart w:id="88" w:name="_Toc73517652"/>
      <w:r>
        <w:rPr>
          <w:rFonts w:hint="eastAsia" w:ascii="宋体" w:hAnsi="宋体" w:eastAsia="宋体" w:cs="Times New Roman"/>
          <w:szCs w:val="21"/>
        </w:rPr>
        <w:t>招标文件发出后，在投标截止日期前任何时候，确需变更招标内容的，招标代理机构可主动地或在解答投标人提出的澄清问题时对招标文件进行修改。</w:t>
      </w:r>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招标文件的修改以书面形式（或网站发布方式）发送给所有投标人，招标文件的修改内容作为招标文件的组成部分，并具有约束力。</w:t>
      </w:r>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招标文件及修改性文件均以书面（或网站公开发布方式）发布的内容为准。当招标文件及其修改性文件内容相互矛盾时，以最后发出的文件为准。</w:t>
      </w:r>
    </w:p>
    <w:p>
      <w:pPr>
        <w:spacing w:line="360" w:lineRule="auto"/>
        <w:ind w:left="993"/>
        <w:rPr>
          <w:rFonts w:ascii="宋体" w:hAnsi="宋体" w:eastAsia="宋体" w:cs="Times New Roman"/>
          <w:szCs w:val="21"/>
        </w:rPr>
      </w:pPr>
    </w:p>
    <w:p>
      <w:pPr>
        <w:keepNext/>
        <w:keepLines/>
        <w:numPr>
          <w:ilvl w:val="0"/>
          <w:numId w:val="1"/>
        </w:numPr>
        <w:spacing w:line="360" w:lineRule="auto"/>
        <w:jc w:val="left"/>
        <w:outlineLvl w:val="0"/>
        <w:rPr>
          <w:rFonts w:ascii="宋体" w:hAnsi="宋体" w:eastAsia="宋体" w:cs="Times New Roman"/>
          <w:b/>
          <w:bCs/>
          <w:kern w:val="44"/>
          <w:sz w:val="28"/>
          <w:szCs w:val="28"/>
        </w:rPr>
      </w:pPr>
      <w:bookmarkStart w:id="89" w:name="_Toc129094535"/>
      <w:r>
        <w:rPr>
          <w:rFonts w:hint="eastAsia" w:ascii="宋体" w:hAnsi="宋体" w:eastAsia="宋体" w:cs="Times New Roman"/>
          <w:b/>
          <w:bCs/>
          <w:kern w:val="44"/>
          <w:sz w:val="28"/>
          <w:szCs w:val="28"/>
        </w:rPr>
        <w:t>投标文件</w:t>
      </w:r>
      <w:bookmarkEnd w:id="83"/>
      <w:bookmarkEnd w:id="84"/>
      <w:bookmarkEnd w:id="85"/>
      <w:bookmarkEnd w:id="86"/>
      <w:bookmarkEnd w:id="87"/>
      <w:bookmarkEnd w:id="88"/>
      <w:r>
        <w:rPr>
          <w:rFonts w:hint="eastAsia" w:ascii="宋体" w:hAnsi="宋体" w:eastAsia="宋体" w:cs="Times New Roman"/>
          <w:b/>
          <w:bCs/>
          <w:kern w:val="44"/>
          <w:sz w:val="28"/>
          <w:szCs w:val="28"/>
        </w:rPr>
        <w:t>的编制</w:t>
      </w:r>
      <w:bookmarkEnd w:id="89"/>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0" w:name="_Toc129094379"/>
      <w:bookmarkStart w:id="91" w:name="_Toc73517653"/>
      <w:bookmarkStart w:id="92" w:name="_Toc73521649"/>
      <w:bookmarkStart w:id="93" w:name="_Toc129094536"/>
      <w:bookmarkStart w:id="94" w:name="_Toc73521561"/>
      <w:bookmarkStart w:id="95" w:name="_Toc73518131"/>
      <w:bookmarkStart w:id="96" w:name="_Toc100052378"/>
      <w:bookmarkStart w:id="97" w:name="_Toc60560639"/>
      <w:bookmarkStart w:id="98" w:name="_Toc60631634"/>
      <w:r>
        <w:rPr>
          <w:rFonts w:hint="eastAsia" w:ascii="宋体" w:hAnsi="宋体" w:eastAsia="宋体" w:cs="Times New Roman"/>
          <w:b/>
          <w:bCs/>
          <w:kern w:val="0"/>
          <w:sz w:val="24"/>
          <w:szCs w:val="20"/>
        </w:rPr>
        <w:t>投标文件的语言及度量单位</w:t>
      </w:r>
      <w:bookmarkEnd w:id="90"/>
      <w:bookmarkEnd w:id="91"/>
      <w:bookmarkEnd w:id="92"/>
      <w:bookmarkEnd w:id="93"/>
      <w:bookmarkEnd w:id="94"/>
      <w:bookmarkEnd w:id="95"/>
      <w:bookmarkEnd w:id="96"/>
      <w:bookmarkEnd w:id="97"/>
      <w:bookmarkEnd w:id="98"/>
    </w:p>
    <w:p>
      <w:pPr>
        <w:numPr>
          <w:ilvl w:val="0"/>
          <w:numId w:val="18"/>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投标人与招标代理机构之间与投标有关的所有往来通知、函件和投标文件均用中文表述。投标人随投标文件提供的证明文件和资料可为其它语言，但必须附中文译文。翻译的中文资料与外文资料如果出现差异时，以中文为准，但翻译错误的除外。</w:t>
      </w:r>
    </w:p>
    <w:p>
      <w:pPr>
        <w:numPr>
          <w:ilvl w:val="0"/>
          <w:numId w:val="18"/>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除服务要求中另有规定外，投标文件使用的度量单位，均采用中华人民共和国法定度量单位。</w:t>
      </w:r>
    </w:p>
    <w:p>
      <w:pPr>
        <w:spacing w:line="360" w:lineRule="auto"/>
        <w:ind w:left="991"/>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9" w:name="_Toc129094380"/>
      <w:bookmarkStart w:id="100" w:name="_Toc73517654"/>
      <w:bookmarkStart w:id="101" w:name="_Toc100052379"/>
      <w:bookmarkStart w:id="102" w:name="_Toc73521650"/>
      <w:bookmarkStart w:id="103" w:name="_Toc60560640"/>
      <w:bookmarkStart w:id="104" w:name="_Toc129094537"/>
      <w:bookmarkStart w:id="105" w:name="_Toc73518132"/>
      <w:bookmarkStart w:id="106" w:name="_Toc73521562"/>
      <w:bookmarkStart w:id="107" w:name="_Toc60631635"/>
      <w:r>
        <w:rPr>
          <w:rFonts w:hint="eastAsia" w:ascii="宋体" w:hAnsi="宋体" w:eastAsia="宋体" w:cs="Times New Roman"/>
          <w:b/>
          <w:bCs/>
          <w:kern w:val="0"/>
          <w:sz w:val="24"/>
          <w:szCs w:val="20"/>
        </w:rPr>
        <w:t>投标文件的组成</w:t>
      </w:r>
      <w:bookmarkEnd w:id="99"/>
      <w:bookmarkEnd w:id="100"/>
      <w:bookmarkEnd w:id="101"/>
      <w:bookmarkEnd w:id="102"/>
      <w:bookmarkEnd w:id="103"/>
      <w:bookmarkEnd w:id="104"/>
      <w:bookmarkEnd w:id="105"/>
      <w:bookmarkEnd w:id="106"/>
      <w:bookmarkEnd w:id="107"/>
    </w:p>
    <w:p>
      <w:pPr>
        <w:spacing w:line="360" w:lineRule="auto"/>
        <w:ind w:firstLine="413" w:firstLineChars="196"/>
        <w:rPr>
          <w:rFonts w:ascii="宋体" w:hAnsi="宋体" w:eastAsia="宋体" w:cs="Times New Roman"/>
          <w:b/>
          <w:szCs w:val="21"/>
        </w:rPr>
      </w:pPr>
      <w:r>
        <w:rPr>
          <w:rFonts w:hint="eastAsia" w:ascii="宋体" w:hAnsi="宋体" w:eastAsia="宋体" w:cs="Times New Roman"/>
          <w:b/>
          <w:szCs w:val="21"/>
        </w:rPr>
        <w:t>具体内容详见招标文件《专用条款》的有关规定。</w:t>
      </w:r>
      <w:bookmarkStart w:id="108" w:name="投标文件的组成"/>
      <w:bookmarkStart w:id="109" w:name="_Toc73517655"/>
      <w:bookmarkStart w:id="110" w:name="_Toc73521563"/>
      <w:bookmarkStart w:id="111" w:name="_Toc73521651"/>
      <w:bookmarkStart w:id="112" w:name="_Toc73518133"/>
      <w:bookmarkStart w:id="113" w:name="_Toc60560641"/>
      <w:bookmarkStart w:id="114" w:name="_Toc60631636"/>
    </w:p>
    <w:p>
      <w:pPr>
        <w:spacing w:line="360" w:lineRule="auto"/>
        <w:ind w:firstLine="413" w:firstLineChars="196"/>
        <w:rPr>
          <w:rFonts w:ascii="宋体" w:hAnsi="宋体" w:eastAsia="宋体" w:cs="Times New Roman"/>
          <w:b/>
          <w:szCs w:val="21"/>
        </w:rPr>
      </w:pPr>
    </w:p>
    <w:bookmarkEnd w:id="108"/>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15" w:name="_Toc100052380"/>
      <w:bookmarkStart w:id="116" w:name="_Toc129094381"/>
      <w:bookmarkStart w:id="117" w:name="_Toc129094538"/>
      <w:r>
        <w:rPr>
          <w:rFonts w:hint="eastAsia" w:ascii="宋体" w:hAnsi="宋体" w:eastAsia="宋体" w:cs="Times New Roman"/>
          <w:b/>
          <w:bCs/>
          <w:kern w:val="0"/>
          <w:sz w:val="24"/>
          <w:szCs w:val="20"/>
        </w:rPr>
        <w:t>投标文件格式</w:t>
      </w:r>
      <w:bookmarkEnd w:id="109"/>
      <w:bookmarkEnd w:id="110"/>
      <w:bookmarkEnd w:id="111"/>
      <w:bookmarkEnd w:id="112"/>
      <w:bookmarkEnd w:id="113"/>
      <w:bookmarkEnd w:id="114"/>
      <w:bookmarkEnd w:id="115"/>
      <w:bookmarkEnd w:id="116"/>
      <w:bookmarkEnd w:id="117"/>
    </w:p>
    <w:p>
      <w:pPr>
        <w:spacing w:line="360" w:lineRule="auto"/>
        <w:ind w:firstLine="411" w:firstLineChars="196"/>
        <w:rPr>
          <w:rFonts w:ascii="宋体" w:hAnsi="宋体" w:eastAsia="宋体" w:cs="Times New Roman"/>
          <w:szCs w:val="21"/>
        </w:rPr>
      </w:pPr>
      <w:r>
        <w:rPr>
          <w:rFonts w:hint="eastAsia" w:ascii="宋体" w:hAnsi="宋体" w:eastAsia="宋体" w:cs="Times New Roman"/>
          <w:bCs/>
          <w:szCs w:val="21"/>
        </w:rPr>
        <w:t>投标人应按照招标文件提供的参考格式编制投标文件</w:t>
      </w:r>
      <w:r>
        <w:rPr>
          <w:rFonts w:hint="eastAsia" w:ascii="宋体" w:hAnsi="宋体" w:eastAsia="宋体" w:cs="Times New Roman"/>
          <w:szCs w:val="21"/>
        </w:rPr>
        <w:t>（表格可以按同样格式扩展）。</w:t>
      </w:r>
      <w:bookmarkStart w:id="118" w:name="_Toc60631638"/>
      <w:bookmarkStart w:id="119" w:name="_Toc73521653"/>
      <w:bookmarkStart w:id="120" w:name="_Toc73521565"/>
      <w:bookmarkStart w:id="121" w:name="_Toc73518135"/>
      <w:bookmarkStart w:id="122" w:name="_Toc60560643"/>
      <w:bookmarkStart w:id="123" w:name="_Toc73517657"/>
      <w:r>
        <w:rPr>
          <w:rFonts w:hint="eastAsia" w:ascii="宋体" w:hAnsi="宋体" w:eastAsia="宋体" w:cs="Times New Roman"/>
          <w:szCs w:val="21"/>
        </w:rPr>
        <w:t>投标人未按参考格式填写的，应承担对评审过程造成的不利结果。</w:t>
      </w:r>
    </w:p>
    <w:p>
      <w:pPr>
        <w:spacing w:line="360" w:lineRule="auto"/>
        <w:ind w:firstLine="411" w:firstLineChars="196"/>
        <w:rPr>
          <w:rFonts w:ascii="宋体" w:hAnsi="宋体" w:eastAsia="宋体" w:cs="Times New Roman"/>
          <w:szCs w:val="21"/>
        </w:rPr>
      </w:pPr>
    </w:p>
    <w:bookmarkEnd w:id="118"/>
    <w:bookmarkEnd w:id="119"/>
    <w:bookmarkEnd w:id="120"/>
    <w:bookmarkEnd w:id="121"/>
    <w:bookmarkEnd w:id="122"/>
    <w:bookmarkEnd w:id="123"/>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4" w:name="_Toc129094382"/>
      <w:bookmarkStart w:id="125" w:name="_Toc129094539"/>
      <w:r>
        <w:rPr>
          <w:rFonts w:hint="eastAsia" w:ascii="宋体" w:hAnsi="宋体" w:eastAsia="宋体" w:cs="Times New Roman"/>
          <w:b/>
          <w:bCs/>
          <w:kern w:val="0"/>
          <w:sz w:val="24"/>
          <w:szCs w:val="21"/>
        </w:rPr>
        <w:t>投标</w:t>
      </w:r>
      <w:r>
        <w:rPr>
          <w:rFonts w:hint="eastAsia" w:ascii="宋体" w:hAnsi="宋体" w:eastAsia="宋体" w:cs="Times New Roman"/>
          <w:b/>
          <w:bCs/>
          <w:kern w:val="0"/>
          <w:sz w:val="24"/>
          <w:szCs w:val="20"/>
        </w:rPr>
        <w:t>报价和货币</w:t>
      </w:r>
      <w:bookmarkEnd w:id="124"/>
      <w:bookmarkEnd w:id="125"/>
    </w:p>
    <w:p>
      <w:pPr>
        <w:spacing w:line="360" w:lineRule="auto"/>
        <w:ind w:firstLine="411" w:firstLineChars="196"/>
        <w:rPr>
          <w:rFonts w:ascii="宋体" w:hAnsi="宋体" w:eastAsia="宋体" w:cs="Times New Roman"/>
          <w:bCs/>
          <w:szCs w:val="21"/>
        </w:rPr>
      </w:pPr>
      <w:r>
        <w:rPr>
          <w:rFonts w:hint="eastAsia" w:ascii="宋体" w:hAnsi="宋体" w:eastAsia="宋体" w:cs="Times New Roman"/>
          <w:bCs/>
          <w:szCs w:val="21"/>
        </w:rPr>
        <w:t>投标报价包括投标总价必须是完成该项目的一切费用总和，包括人工费、保险费、培训费、售后服务费及国家规定的各项税费等；以人民币为结算单位。如有变更，详见招标文件《专用条款》有关规定。</w:t>
      </w:r>
    </w:p>
    <w:p>
      <w:pPr>
        <w:spacing w:line="360" w:lineRule="auto"/>
        <w:ind w:firstLine="411" w:firstLineChars="196"/>
        <w:rPr>
          <w:rFonts w:ascii="宋体" w:hAnsi="宋体" w:eastAsia="宋体" w:cs="Times New Roman"/>
          <w:bCs/>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6" w:name="_Toc129094540"/>
      <w:bookmarkStart w:id="127" w:name="_Toc129094383"/>
      <w:r>
        <w:rPr>
          <w:rFonts w:hint="eastAsia" w:ascii="宋体" w:hAnsi="宋体" w:eastAsia="宋体" w:cs="Times New Roman"/>
          <w:b/>
          <w:bCs/>
          <w:kern w:val="0"/>
          <w:sz w:val="24"/>
          <w:szCs w:val="20"/>
        </w:rPr>
        <w:t>投标文件证明文件要求</w:t>
      </w:r>
      <w:bookmarkEnd w:id="126"/>
      <w:bookmarkEnd w:id="127"/>
    </w:p>
    <w:p>
      <w:pPr>
        <w:numPr>
          <w:ilvl w:val="0"/>
          <w:numId w:val="19"/>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投标人应提交证明文件证明其投标文件项下的服务的合格性符合招标文件规定。</w:t>
      </w:r>
    </w:p>
    <w:p>
      <w:pPr>
        <w:numPr>
          <w:ilvl w:val="0"/>
          <w:numId w:val="19"/>
        </w:numPr>
        <w:spacing w:line="360" w:lineRule="auto"/>
        <w:ind w:left="993" w:hanging="567"/>
        <w:rPr>
          <w:rFonts w:ascii="宋体" w:hAnsi="宋体" w:eastAsia="宋体" w:cs="Times New Roman"/>
          <w:szCs w:val="21"/>
        </w:rPr>
      </w:pPr>
      <w:r>
        <w:rPr>
          <w:rFonts w:hint="eastAsia" w:ascii="宋体" w:hAnsi="宋体" w:eastAsia="宋体" w:cs="Times New Roman"/>
          <w:szCs w:val="21"/>
        </w:rPr>
        <w:t>对招标文件《评标方法》评分项中涉及的评审内容以及《资格性检查表》、《</w:t>
      </w:r>
      <w:r>
        <w:rPr>
          <w:rFonts w:ascii="宋体" w:hAnsi="宋体" w:eastAsia="宋体" w:cs="Times New Roman"/>
          <w:szCs w:val="21"/>
        </w:rPr>
        <w:t>符合性检查</w:t>
      </w:r>
      <w:r>
        <w:rPr>
          <w:rFonts w:hint="eastAsia" w:ascii="宋体" w:hAnsi="宋体" w:eastAsia="宋体" w:cs="Times New Roman"/>
          <w:szCs w:val="21"/>
        </w:rPr>
        <w:t>表》中涉及的资格证书，投标人应按要求提供相关证明文件原件复印件，原件备查。</w:t>
      </w:r>
    </w:p>
    <w:p>
      <w:pPr>
        <w:numPr>
          <w:ilvl w:val="0"/>
          <w:numId w:val="19"/>
        </w:numPr>
        <w:spacing w:line="360" w:lineRule="auto"/>
        <w:ind w:left="993" w:hanging="567"/>
        <w:rPr>
          <w:rFonts w:ascii="宋体" w:hAnsi="宋体" w:eastAsia="宋体" w:cs="Times New Roman"/>
          <w:szCs w:val="21"/>
        </w:rPr>
      </w:pPr>
      <w:r>
        <w:rPr>
          <w:rFonts w:hint="eastAsia" w:ascii="宋体" w:hAnsi="宋体" w:eastAsia="宋体" w:cs="Times New Roman"/>
          <w:szCs w:val="21"/>
        </w:rPr>
        <w:t>相关资质的证明文件如处于发证部门审核期间，投标人应提供审核受理的证明。该资质按原等级进行评审。</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8" w:name="_Toc129094384"/>
      <w:bookmarkStart w:id="129" w:name="_Toc129094541"/>
      <w:r>
        <w:rPr>
          <w:rFonts w:hint="eastAsia" w:ascii="宋体" w:hAnsi="宋体" w:eastAsia="宋体" w:cs="Times New Roman"/>
          <w:b/>
          <w:bCs/>
          <w:kern w:val="0"/>
          <w:sz w:val="24"/>
          <w:szCs w:val="20"/>
        </w:rPr>
        <w:t>保密</w:t>
      </w:r>
      <w:bookmarkEnd w:id="128"/>
      <w:bookmarkEnd w:id="129"/>
    </w:p>
    <w:p>
      <w:pPr>
        <w:numPr>
          <w:ilvl w:val="0"/>
          <w:numId w:val="20"/>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投标人不得向任何第三方透露招标代理机构提供的涉密资料。</w:t>
      </w:r>
    </w:p>
    <w:p>
      <w:pPr>
        <w:numPr>
          <w:ilvl w:val="0"/>
          <w:numId w:val="20"/>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应招标代理机构要求，投标人须归还所有的涉密资料。</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0" w:name="_Toc60631639"/>
      <w:bookmarkStart w:id="131" w:name="_Toc73517658"/>
      <w:bookmarkStart w:id="132" w:name="_Toc60560644"/>
      <w:bookmarkStart w:id="133" w:name="_Toc73521654"/>
      <w:bookmarkStart w:id="134" w:name="_Toc73521566"/>
      <w:bookmarkStart w:id="135" w:name="_Toc129094385"/>
      <w:bookmarkStart w:id="136" w:name="_Toc129094542"/>
      <w:bookmarkStart w:id="137" w:name="_Toc73518136"/>
      <w:bookmarkStart w:id="138" w:name="_Toc100052383"/>
      <w:r>
        <w:rPr>
          <w:rFonts w:hint="eastAsia" w:ascii="宋体" w:hAnsi="宋体" w:eastAsia="宋体" w:cs="Times New Roman"/>
          <w:b/>
          <w:bCs/>
          <w:kern w:val="0"/>
          <w:sz w:val="24"/>
          <w:szCs w:val="20"/>
        </w:rPr>
        <w:t>投标有效期</w:t>
      </w:r>
      <w:bookmarkEnd w:id="130"/>
      <w:bookmarkEnd w:id="131"/>
      <w:bookmarkEnd w:id="132"/>
      <w:bookmarkEnd w:id="133"/>
      <w:bookmarkEnd w:id="134"/>
      <w:bookmarkEnd w:id="135"/>
      <w:bookmarkEnd w:id="136"/>
      <w:bookmarkEnd w:id="137"/>
      <w:bookmarkEnd w:id="138"/>
    </w:p>
    <w:p>
      <w:pPr>
        <w:numPr>
          <w:ilvl w:val="0"/>
          <w:numId w:val="21"/>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投标有效期起始日为</w:t>
      </w:r>
      <w:r>
        <w:rPr>
          <w:rFonts w:hint="eastAsia" w:ascii="宋体" w:hAnsi="宋体" w:eastAsia="宋体" w:cs="Arial"/>
          <w:szCs w:val="21"/>
        </w:rPr>
        <w:t>投标截止日，具体期限见招标文件《专用条款》有关</w:t>
      </w:r>
      <w:r>
        <w:rPr>
          <w:rFonts w:hint="eastAsia" w:ascii="宋体" w:hAnsi="宋体" w:eastAsia="宋体" w:cs="Times New Roman"/>
          <w:szCs w:val="24"/>
        </w:rPr>
        <w:t>规定</w:t>
      </w:r>
      <w:r>
        <w:rPr>
          <w:rFonts w:hint="eastAsia" w:ascii="宋体" w:hAnsi="宋体" w:eastAsia="宋体" w:cs="Arial"/>
          <w:szCs w:val="21"/>
        </w:rPr>
        <w:t>。</w:t>
      </w:r>
      <w:r>
        <w:rPr>
          <w:rFonts w:hint="eastAsia" w:ascii="宋体" w:hAnsi="宋体" w:eastAsia="宋体" w:cs="Times New Roman"/>
          <w:szCs w:val="21"/>
        </w:rPr>
        <w:t>在此期限内，所有投标文件均保持有效。</w:t>
      </w:r>
    </w:p>
    <w:p>
      <w:pPr>
        <w:numPr>
          <w:ilvl w:val="0"/>
          <w:numId w:val="21"/>
        </w:numPr>
        <w:spacing w:line="360" w:lineRule="auto"/>
        <w:ind w:left="993" w:hanging="567"/>
        <w:rPr>
          <w:rFonts w:ascii="宋体" w:hAnsi="宋体" w:eastAsia="宋体" w:cs="Times New Roman"/>
          <w:szCs w:val="21"/>
        </w:rPr>
      </w:pPr>
      <w:r>
        <w:rPr>
          <w:rFonts w:hint="eastAsia" w:ascii="宋体" w:hAnsi="宋体" w:eastAsia="宋体" w:cs="Times New Roman"/>
          <w:szCs w:val="21"/>
        </w:rPr>
        <w:t>在特殊的情况下，投标有效期满之前，招标代理机构可以以书面形式（包括网站公开发布方式）提出延长投标有效期的要求。投标人须以书面形式予以答复。</w:t>
      </w:r>
      <w:r>
        <w:rPr>
          <w:rFonts w:hint="eastAsia" w:ascii="宋体" w:hAnsi="宋体" w:eastAsia="宋体" w:cs="宋体"/>
          <w:kern w:val="0"/>
          <w:szCs w:val="21"/>
        </w:rPr>
        <w:t>同意延长投标有效期的投标人应当相应延长其投标担保的有效期，但不得修改投标文件的实质性内容。</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9" w:name="_Toc100052384"/>
      <w:bookmarkStart w:id="140" w:name="_Toc60560645"/>
      <w:bookmarkStart w:id="141" w:name="_Toc73521567"/>
      <w:bookmarkStart w:id="142" w:name="_Toc60631640"/>
      <w:bookmarkStart w:id="143" w:name="_Toc73517659"/>
      <w:bookmarkStart w:id="144" w:name="_Toc73521655"/>
      <w:bookmarkStart w:id="145" w:name="_Toc73518137"/>
      <w:bookmarkStart w:id="146" w:name="_Toc129094386"/>
      <w:bookmarkStart w:id="147" w:name="_Toc129094543"/>
      <w:r>
        <w:rPr>
          <w:rFonts w:hint="eastAsia" w:ascii="宋体" w:hAnsi="宋体" w:eastAsia="宋体" w:cs="Times New Roman"/>
          <w:b/>
          <w:bCs/>
          <w:kern w:val="0"/>
          <w:sz w:val="24"/>
          <w:szCs w:val="20"/>
        </w:rPr>
        <w:t>投标</w:t>
      </w:r>
      <w:bookmarkEnd w:id="139"/>
      <w:bookmarkEnd w:id="140"/>
      <w:bookmarkEnd w:id="141"/>
      <w:bookmarkEnd w:id="142"/>
      <w:bookmarkEnd w:id="143"/>
      <w:bookmarkEnd w:id="144"/>
      <w:bookmarkEnd w:id="145"/>
      <w:r>
        <w:rPr>
          <w:rFonts w:hint="eastAsia" w:ascii="宋体" w:hAnsi="宋体" w:eastAsia="宋体" w:cs="Times New Roman"/>
          <w:b/>
          <w:bCs/>
          <w:kern w:val="0"/>
          <w:sz w:val="24"/>
          <w:szCs w:val="20"/>
        </w:rPr>
        <w:t>保证金</w:t>
      </w:r>
      <w:bookmarkStart w:id="148" w:name="_Toc60631641"/>
      <w:bookmarkStart w:id="149" w:name="_Toc73517660"/>
      <w:bookmarkStart w:id="150" w:name="_Toc60560646"/>
      <w:bookmarkStart w:id="151" w:name="_Toc73518138"/>
      <w:bookmarkStart w:id="152" w:name="_Toc73521656"/>
      <w:bookmarkStart w:id="153" w:name="_Toc73521568"/>
      <w:bookmarkStart w:id="154" w:name="_Toc100052385"/>
      <w:r>
        <w:rPr>
          <w:rFonts w:hint="eastAsia" w:ascii="宋体" w:hAnsi="宋体" w:eastAsia="宋体" w:cs="Times New Roman"/>
          <w:b/>
          <w:bCs/>
          <w:kern w:val="0"/>
          <w:sz w:val="24"/>
          <w:szCs w:val="20"/>
        </w:rPr>
        <w:t>（本项目无需缴纳投标保证金，招标文件中所有涉及“投标保证金”条款均不适用）</w:t>
      </w:r>
      <w:bookmarkEnd w:id="146"/>
      <w:bookmarkEnd w:id="147"/>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投标人应以人民币提交一笔“</w:t>
      </w:r>
      <w:r>
        <w:rPr>
          <w:rFonts w:ascii="宋体" w:hAnsi="宋体" w:eastAsia="宋体" w:cs="Times New Roman"/>
          <w:szCs w:val="21"/>
        </w:rPr>
        <w:t>投标人</w:t>
      </w:r>
      <w:r>
        <w:rPr>
          <w:rFonts w:hint="eastAsia" w:ascii="宋体" w:hAnsi="宋体" w:eastAsia="宋体" w:cs="Times New Roman"/>
          <w:szCs w:val="21"/>
        </w:rPr>
        <w:t>须知前附表”规定的人民币金额的投标保证金，并作为其投标的一部分。</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投标保证金是为了保护采购人免遭因投标人的行为而蒙受的损失，采购人在因投标人的行为受到损害时可根据投标人须知第</w:t>
      </w:r>
      <w:r>
        <w:rPr>
          <w:rFonts w:ascii="宋体" w:hAnsi="宋体" w:eastAsia="宋体" w:cs="Times New Roman"/>
          <w:szCs w:val="21"/>
        </w:rPr>
        <w:t>1</w:t>
      </w:r>
      <w:r>
        <w:rPr>
          <w:rFonts w:hint="eastAsia" w:ascii="宋体" w:hAnsi="宋体" w:eastAsia="宋体" w:cs="Times New Roman"/>
          <w:szCs w:val="21"/>
        </w:rPr>
        <w:t>9</w:t>
      </w:r>
      <w:r>
        <w:rPr>
          <w:rFonts w:ascii="宋体" w:hAnsi="宋体" w:eastAsia="宋体" w:cs="Times New Roman"/>
          <w:szCs w:val="21"/>
        </w:rPr>
        <w:t>.8</w:t>
      </w:r>
      <w:r>
        <w:rPr>
          <w:rFonts w:hint="eastAsia" w:ascii="宋体" w:hAnsi="宋体" w:eastAsia="宋体" w:cs="Times New Roman"/>
          <w:szCs w:val="21"/>
        </w:rPr>
        <w:t>条的规定没收投标人的投标保证金。</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投标保证金一律从投标人基本账户转出，否则按隐瞒真实情况，提供虚假资料处理。取消现金汇款等交纳方式，禁止个人银行结算账户转出和第三方代交。如另有规定，详见招标文件《专用条款》规定。</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投标保证金应于开标前交于招标代理机构。</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在开标时，凡没有交纳投标保证金的投标，应视为非响应性投标予以拒绝（以到账时间为准）。</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未中标的投标人的投标保证金，须在交回招标代理机构开出的投标保证金收据后，招标代理机构将在不晚于中标通知书发出后5个工作日内原额不计息退还投标人。未到招标代理机构交回投标保证金收据而造成投标保证金逾期退还的，责任由投标人自负。受到质疑、投诉或正在被调查的投标人，在调查结束后，如没有发现违法违规行为后退回投标保证金。</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中标人的投标保证金，在中标人提交履约保函（如适用）并按规定签订合同且退回招标代理机构开出的投标保证金收据后5个工作日内予以不计息退还。因银行对提取现金有限制，招标代理机构收取的投标保证金一律用转账退还。</w:t>
      </w:r>
    </w:p>
    <w:p>
      <w:pPr>
        <w:numPr>
          <w:ilvl w:val="0"/>
          <w:numId w:val="22"/>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下列任何情况发生时，投标保证金将被没收：</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）投标人在投标函格式中规定的投标有效期内撤回其投标。</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）中标人在规定期限内未能根据本须知第34条规定签订合同或未按规定提供履约担保；</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）中标人在规定期限内未能根据本须知第32条规定交纳中标服务费；</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（4）隐瞒投标的真实情况、投标文件中提供虚假材料或者虚假补充文件或者故意进行无效投标或者质疑投诉提供虚假情况；</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（5）在投标人之间相互串通，事先商定投标价格或者合谋使特定投标人中标的；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（6）采用不正当手段妨碍、排挤其它投标人的；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（7）向采购人、招标代理机构行贿或者提供其它不正当利益的；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（8）与采购人和招标代理机构串通投标的；</w:t>
      </w:r>
    </w:p>
    <w:p>
      <w:pPr>
        <w:tabs>
          <w:tab w:val="left" w:pos="993"/>
        </w:tabs>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（9）其它严重违反《中华人民共和国招标投标法》、《中华人民共和国政府采购法》及其实施条例、</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等相关法律法规的。</w:t>
      </w:r>
    </w:p>
    <w:p>
      <w:pPr>
        <w:tabs>
          <w:tab w:val="left" w:pos="993"/>
        </w:tabs>
        <w:spacing w:line="360" w:lineRule="auto"/>
        <w:ind w:left="851"/>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5" w:name="_Toc129094544"/>
      <w:bookmarkStart w:id="156" w:name="_Toc129094387"/>
      <w:r>
        <w:rPr>
          <w:rFonts w:hint="eastAsia" w:ascii="宋体" w:hAnsi="宋体" w:eastAsia="宋体" w:cs="Times New Roman"/>
          <w:b/>
          <w:bCs/>
          <w:kern w:val="0"/>
          <w:sz w:val="24"/>
          <w:szCs w:val="20"/>
        </w:rPr>
        <w:t>投标人的替代方案</w:t>
      </w:r>
      <w:bookmarkEnd w:id="148"/>
      <w:bookmarkEnd w:id="149"/>
      <w:bookmarkEnd w:id="150"/>
      <w:bookmarkEnd w:id="151"/>
      <w:bookmarkEnd w:id="152"/>
      <w:bookmarkEnd w:id="153"/>
      <w:bookmarkEnd w:id="154"/>
      <w:bookmarkEnd w:id="155"/>
      <w:bookmarkEnd w:id="156"/>
    </w:p>
    <w:p>
      <w:pPr>
        <w:numPr>
          <w:ilvl w:val="0"/>
          <w:numId w:val="23"/>
        </w:numPr>
        <w:spacing w:line="360" w:lineRule="auto"/>
        <w:ind w:left="993" w:hanging="567"/>
        <w:rPr>
          <w:rFonts w:ascii="宋体" w:hAnsi="宋体" w:eastAsia="宋体" w:cs="Times New Roman"/>
          <w:szCs w:val="21"/>
        </w:rPr>
      </w:pPr>
      <w:r>
        <w:rPr>
          <w:rFonts w:hint="eastAsia" w:ascii="宋体" w:hAnsi="宋体" w:eastAsia="宋体" w:cs="Times New Roman"/>
          <w:szCs w:val="21"/>
        </w:rPr>
        <w:t>除非招标文件有明确规定，否则不接受投标人提交替代方案。</w:t>
      </w:r>
    </w:p>
    <w:p>
      <w:pPr>
        <w:numPr>
          <w:ilvl w:val="0"/>
          <w:numId w:val="23"/>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招标文件是否允许提交替代方案，详见招标文件《专用条款》有关规定。</w:t>
      </w:r>
    </w:p>
    <w:p>
      <w:pPr>
        <w:spacing w:line="360" w:lineRule="auto"/>
        <w:ind w:left="851"/>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7" w:name="_Toc129094545"/>
      <w:bookmarkStart w:id="158" w:name="_Toc129094388"/>
      <w:r>
        <w:rPr>
          <w:rFonts w:hint="eastAsia" w:ascii="宋体" w:hAnsi="宋体" w:eastAsia="宋体" w:cs="Times New Roman"/>
          <w:b/>
          <w:bCs/>
          <w:kern w:val="0"/>
          <w:sz w:val="24"/>
          <w:szCs w:val="20"/>
        </w:rPr>
        <w:t>投标文件的装订和签署</w:t>
      </w:r>
      <w:bookmarkEnd w:id="157"/>
      <w:bookmarkEnd w:id="158"/>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投标人应当按《投标须知前附表》中规定的份数制作，每套投标文件须清楚地标明“正本”、“副本”字样</w:t>
      </w:r>
      <w:r>
        <w:rPr>
          <w:rFonts w:ascii="宋体" w:hAnsi="宋体" w:eastAsia="宋体" w:cs="Arial"/>
          <w:szCs w:val="24"/>
        </w:rPr>
        <w:t>或</w:t>
      </w:r>
      <w:r>
        <w:rPr>
          <w:rFonts w:hint="eastAsia" w:ascii="宋体" w:hAnsi="宋体" w:eastAsia="宋体" w:cs="Arial"/>
          <w:szCs w:val="24"/>
        </w:rPr>
        <w:t>“</w:t>
      </w:r>
      <w:r>
        <w:rPr>
          <w:rFonts w:ascii="宋体" w:hAnsi="宋体" w:eastAsia="宋体" w:cs="Arial"/>
          <w:szCs w:val="24"/>
        </w:rPr>
        <w:t>电子标书</w:t>
      </w:r>
      <w:r>
        <w:rPr>
          <w:rFonts w:hint="eastAsia" w:ascii="宋体" w:hAnsi="宋体" w:eastAsia="宋体" w:cs="Arial"/>
          <w:szCs w:val="24"/>
        </w:rPr>
        <w:t>”</w:t>
      </w:r>
      <w:r>
        <w:rPr>
          <w:rFonts w:ascii="宋体" w:hAnsi="宋体" w:eastAsia="宋体" w:cs="Arial"/>
          <w:szCs w:val="24"/>
        </w:rPr>
        <w:t>字样。</w:t>
      </w:r>
      <w:r>
        <w:rPr>
          <w:rFonts w:hint="eastAsia" w:ascii="宋体" w:hAnsi="宋体" w:eastAsia="宋体" w:cs="Times New Roman"/>
          <w:szCs w:val="21"/>
        </w:rPr>
        <w:t>当正本与副本、电子标书内容不一致时，以正本为准。投标文件的副本可采用正本的复印件，电子标书提供正本的PDF格式文件（文字内容需与正本内容一致，不要求加盖公章，无需扫描）。</w:t>
      </w:r>
    </w:p>
    <w:p>
      <w:pPr>
        <w:numPr>
          <w:ilvl w:val="0"/>
          <w:numId w:val="24"/>
        </w:numPr>
        <w:spacing w:line="360" w:lineRule="auto"/>
        <w:rPr>
          <w:rFonts w:ascii="宋体" w:hAnsi="宋体" w:eastAsia="宋体" w:cs="Times New Roman"/>
          <w:szCs w:val="21"/>
        </w:rPr>
      </w:pPr>
      <w:r>
        <w:rPr>
          <w:rFonts w:hint="eastAsia" w:ascii="宋体" w:hAnsi="宋体" w:eastAsia="宋体" w:cs="Times New Roman"/>
          <w:szCs w:val="21"/>
        </w:rPr>
        <w:t>纸质投标文件须根据本招标文件中“第三部分投标文件格式”模板的内容编制完成。</w:t>
      </w:r>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除模板中要求填写、添加的内容外，不得对其他文字内容做任何改动。如果因操作失误而改动的，以模板中的文字叙述为准。</w:t>
      </w:r>
    </w:p>
    <w:p>
      <w:pPr>
        <w:numPr>
          <w:ilvl w:val="0"/>
          <w:numId w:val="24"/>
        </w:numPr>
        <w:spacing w:line="360" w:lineRule="auto"/>
        <w:rPr>
          <w:rFonts w:ascii="宋体" w:hAnsi="宋体" w:eastAsia="宋体" w:cs="Times New Roman"/>
          <w:szCs w:val="21"/>
        </w:rPr>
      </w:pPr>
      <w:r>
        <w:rPr>
          <w:rFonts w:hint="eastAsia" w:ascii="宋体" w:hAnsi="宋体" w:eastAsia="宋体" w:cs="Times New Roman"/>
          <w:szCs w:val="21"/>
        </w:rPr>
        <w:t>投标文件项目编号、包号应与招标文件项目编号、包号一致。</w:t>
      </w:r>
    </w:p>
    <w:p>
      <w:pPr>
        <w:numPr>
          <w:ilvl w:val="0"/>
          <w:numId w:val="24"/>
        </w:numPr>
        <w:spacing w:line="360" w:lineRule="auto"/>
        <w:rPr>
          <w:rFonts w:ascii="宋体" w:hAnsi="宋体" w:eastAsia="宋体" w:cs="Times New Roman"/>
          <w:szCs w:val="21"/>
        </w:rPr>
      </w:pPr>
      <w:r>
        <w:rPr>
          <w:rFonts w:hint="eastAsia" w:ascii="宋体" w:hAnsi="宋体" w:eastAsia="宋体" w:cs="Times New Roman"/>
          <w:szCs w:val="21"/>
        </w:rPr>
        <w:t>必须完整、准确填写标书文件模板要求填写内容，不能填写如“</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&amp;</w:t>
      </w:r>
      <w:r>
        <w:rPr>
          <w:rFonts w:hint="eastAsia" w:ascii="宋体" w:hAnsi="宋体" w:eastAsia="宋体" w:cs="Times New Roman"/>
          <w:szCs w:val="21"/>
        </w:rPr>
        <w:t>、”等特殊字符。模板固定的格式内容和文字叙述，不得改变，如果因改变叙述而与模板的原叙述相冲突者，以模板的叙述为准。</w:t>
      </w:r>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投标文件所提供的证明材料须清晰，若提供的证明材料不清晰，将以不利于投标人的判断进行处理。</w:t>
      </w:r>
    </w:p>
    <w:p>
      <w:pPr>
        <w:numPr>
          <w:ilvl w:val="0"/>
          <w:numId w:val="24"/>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投标文件的正本须打印，</w:t>
      </w:r>
      <w:r>
        <w:rPr>
          <w:rFonts w:ascii="宋体" w:hAnsi="宋体" w:eastAsia="宋体" w:cs="Arial"/>
          <w:szCs w:val="24"/>
        </w:rPr>
        <w:t>正本封面须</w:t>
      </w:r>
      <w:r>
        <w:rPr>
          <w:rFonts w:hint="eastAsia" w:ascii="宋体" w:hAnsi="宋体" w:eastAsia="宋体" w:cs="Arial"/>
          <w:szCs w:val="24"/>
        </w:rPr>
        <w:t>加盖公章，并由</w:t>
      </w:r>
      <w:r>
        <w:rPr>
          <w:rFonts w:ascii="宋体" w:hAnsi="宋体" w:eastAsia="宋体" w:cs="Arial"/>
          <w:szCs w:val="24"/>
        </w:rPr>
        <w:t>投标人</w:t>
      </w:r>
      <w:r>
        <w:rPr>
          <w:rFonts w:hint="eastAsia" w:ascii="宋体" w:hAnsi="宋体" w:eastAsia="宋体" w:cs="Arial"/>
          <w:szCs w:val="24"/>
        </w:rPr>
        <w:t>法定代表人或</w:t>
      </w:r>
      <w:r>
        <w:rPr>
          <w:rFonts w:hint="eastAsia" w:ascii="宋体" w:hAnsi="宋体" w:eastAsia="宋体" w:cs="Times New Roman"/>
          <w:szCs w:val="21"/>
        </w:rPr>
        <w:t>经正式授权并对投标人有约束力的代表</w:t>
      </w:r>
      <w:r>
        <w:rPr>
          <w:rFonts w:ascii="宋体" w:hAnsi="宋体" w:eastAsia="宋体" w:cs="Arial"/>
          <w:szCs w:val="24"/>
        </w:rPr>
        <w:t>签字</w:t>
      </w:r>
      <w:r>
        <w:rPr>
          <w:rFonts w:hint="eastAsia" w:ascii="宋体" w:hAnsi="宋体" w:eastAsia="宋体" w:cs="Arial"/>
          <w:szCs w:val="24"/>
        </w:rPr>
        <w:t>或加盖个人印鉴</w:t>
      </w:r>
      <w:r>
        <w:rPr>
          <w:rFonts w:ascii="宋体" w:hAnsi="宋体" w:eastAsia="宋体" w:cs="Arial"/>
          <w:szCs w:val="24"/>
        </w:rPr>
        <w:t>。投标文件须加盖骑缝章。</w:t>
      </w:r>
    </w:p>
    <w:p>
      <w:pPr>
        <w:numPr>
          <w:ilvl w:val="0"/>
          <w:numId w:val="24"/>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投标文件中所有表格，并由投标人或经正式授权并对投标人有约束力的代表签名或加盖个人印鉴。资质证明文件须加盖公章。授权文件须附在投标文件中。</w:t>
      </w:r>
    </w:p>
    <w:p>
      <w:pPr>
        <w:numPr>
          <w:ilvl w:val="0"/>
          <w:numId w:val="24"/>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投标文件的任何一页均不得涂改、行间插字或增删，如出现上述情况，不论何种原因造成，必须由投标文件签字人在改动处小签并盖章方为有效。</w:t>
      </w:r>
    </w:p>
    <w:p>
      <w:pPr>
        <w:numPr>
          <w:ilvl w:val="0"/>
          <w:numId w:val="24"/>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投标文件的正本与副本须分别装订成册，不得采用活页夹。投标文件须编制目录，并且逐页标注连续页码，否则，采购人对由于投标文件装订松散而造成的丢失或其他后果不承担任何责任。</w:t>
      </w:r>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不得以投标专用章、分公司章等任何其他形式印章代替公章，否则投标无效。</w:t>
      </w:r>
    </w:p>
    <w:p>
      <w:pPr>
        <w:spacing w:line="360" w:lineRule="auto"/>
        <w:rPr>
          <w:rFonts w:ascii="宋体" w:hAnsi="宋体" w:eastAsia="宋体" w:cs="Times New Roman"/>
          <w:szCs w:val="21"/>
        </w:rPr>
      </w:pPr>
    </w:p>
    <w:p>
      <w:pPr>
        <w:keepNext/>
        <w:keepLines/>
        <w:numPr>
          <w:ilvl w:val="0"/>
          <w:numId w:val="1"/>
        </w:numPr>
        <w:spacing w:line="360" w:lineRule="auto"/>
        <w:ind w:left="851" w:hanging="425"/>
        <w:jc w:val="center"/>
        <w:outlineLvl w:val="0"/>
        <w:rPr>
          <w:rFonts w:ascii="宋体" w:hAnsi="宋体" w:eastAsia="宋体" w:cs="Times New Roman"/>
          <w:b/>
          <w:bCs/>
          <w:kern w:val="44"/>
          <w:sz w:val="28"/>
          <w:szCs w:val="28"/>
        </w:rPr>
      </w:pPr>
      <w:bookmarkStart w:id="159" w:name="_Toc101074880"/>
      <w:bookmarkStart w:id="160" w:name="_Toc73518140"/>
      <w:bookmarkStart w:id="161" w:name="_Toc73517662"/>
      <w:bookmarkStart w:id="162" w:name="_Toc100052387"/>
      <w:bookmarkStart w:id="163" w:name="_Toc73521658"/>
      <w:bookmarkStart w:id="164" w:name="_Toc73521570"/>
      <w:bookmarkStart w:id="165" w:name="_Toc129094546"/>
      <w:r>
        <w:rPr>
          <w:rFonts w:hint="eastAsia" w:ascii="宋体" w:hAnsi="宋体" w:eastAsia="宋体" w:cs="Times New Roman"/>
          <w:b/>
          <w:bCs/>
          <w:kern w:val="44"/>
          <w:sz w:val="28"/>
          <w:szCs w:val="28"/>
        </w:rPr>
        <w:t>投标文件</w:t>
      </w:r>
      <w:bookmarkEnd w:id="159"/>
      <w:bookmarkEnd w:id="160"/>
      <w:bookmarkEnd w:id="161"/>
      <w:bookmarkEnd w:id="162"/>
      <w:bookmarkEnd w:id="163"/>
      <w:bookmarkEnd w:id="164"/>
      <w:r>
        <w:rPr>
          <w:rFonts w:hint="eastAsia" w:ascii="宋体" w:hAnsi="宋体" w:eastAsia="宋体" w:cs="Times New Roman"/>
          <w:b/>
          <w:bCs/>
          <w:kern w:val="44"/>
          <w:sz w:val="28"/>
          <w:szCs w:val="28"/>
        </w:rPr>
        <w:t>的递交</w:t>
      </w:r>
      <w:bookmarkEnd w:id="165"/>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66" w:name="_Toc129094547"/>
      <w:bookmarkStart w:id="167" w:name="_Toc129094390"/>
      <w:bookmarkStart w:id="168" w:name="_Toc73518141"/>
      <w:bookmarkStart w:id="169" w:name="_Toc60560649"/>
      <w:bookmarkStart w:id="170" w:name="_Toc73521571"/>
      <w:bookmarkStart w:id="171" w:name="_Toc73517663"/>
      <w:bookmarkStart w:id="172" w:name="_Toc100052388"/>
      <w:bookmarkStart w:id="173" w:name="_Toc60631644"/>
      <w:bookmarkStart w:id="174" w:name="_Toc73521659"/>
      <w:r>
        <w:rPr>
          <w:rFonts w:hint="eastAsia" w:ascii="宋体" w:hAnsi="宋体" w:eastAsia="宋体" w:cs="Times New Roman"/>
          <w:b/>
          <w:bCs/>
          <w:kern w:val="0"/>
          <w:sz w:val="24"/>
          <w:szCs w:val="20"/>
        </w:rPr>
        <w:t>投标文件的密封和标记</w:t>
      </w:r>
      <w:bookmarkEnd w:id="166"/>
      <w:bookmarkEnd w:id="167"/>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为方便唱标，《开标一览表》另行单独密封提交一份，</w:t>
      </w:r>
      <w:r>
        <w:rPr>
          <w:rFonts w:ascii="宋体" w:hAnsi="宋体" w:eastAsia="宋体" w:cs="Times New Roman"/>
          <w:szCs w:val="21"/>
        </w:rPr>
        <w:t>在封口密封处加盖公章，</w:t>
      </w:r>
      <w:r>
        <w:rPr>
          <w:rFonts w:hint="eastAsia" w:ascii="宋体" w:hAnsi="宋体" w:eastAsia="宋体" w:cs="Times New Roman"/>
          <w:szCs w:val="21"/>
        </w:rPr>
        <w:t>并在信封上标明“开标一览表”字样。</w:t>
      </w:r>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投标文件正本、所有的副本和电子标书应统一封装在一个信封中，信封密封封口处须加盖投标单位公章（或信封密封封口处粘贴封条并加盖投标单位公章）。</w:t>
      </w:r>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投标文件外层信封须：</w:t>
      </w:r>
    </w:p>
    <w:p>
      <w:pPr>
        <w:numPr>
          <w:ilvl w:val="0"/>
          <w:numId w:val="26"/>
        </w:numPr>
        <w:spacing w:line="360" w:lineRule="auto"/>
        <w:ind w:left="1701" w:hanging="708"/>
        <w:rPr>
          <w:rFonts w:ascii="宋体" w:hAnsi="宋体" w:eastAsia="宋体" w:cs="Times New Roman"/>
          <w:szCs w:val="21"/>
        </w:rPr>
      </w:pPr>
      <w:r>
        <w:rPr>
          <w:rFonts w:hint="eastAsia" w:ascii="宋体" w:hAnsi="宋体" w:eastAsia="宋体" w:cs="Times New Roman"/>
          <w:szCs w:val="21"/>
        </w:rPr>
        <w:t>清楚标明递交至：“投标人须知前附表”中对应的地点。</w:t>
      </w:r>
    </w:p>
    <w:p>
      <w:pPr>
        <w:numPr>
          <w:ilvl w:val="0"/>
          <w:numId w:val="26"/>
        </w:numPr>
        <w:spacing w:line="360" w:lineRule="auto"/>
        <w:ind w:left="1701" w:hanging="708"/>
        <w:rPr>
          <w:rFonts w:ascii="宋体" w:hAnsi="宋体" w:eastAsia="宋体" w:cs="Times New Roman"/>
          <w:szCs w:val="21"/>
        </w:rPr>
      </w:pPr>
      <w:r>
        <w:rPr>
          <w:rFonts w:hint="eastAsia" w:ascii="宋体" w:hAnsi="宋体" w:eastAsia="宋体" w:cs="Times New Roman"/>
          <w:szCs w:val="21"/>
        </w:rPr>
        <w:t>注明招标编号、包号、项目名称和“在XXXX</w:t>
      </w:r>
      <w:r>
        <w:rPr>
          <w:rFonts w:ascii="宋体" w:hAnsi="宋体" w:eastAsia="宋体" w:cs="Times New Roman"/>
          <w:szCs w:val="21"/>
        </w:rPr>
        <w:t>年</w:t>
      </w:r>
      <w:r>
        <w:rPr>
          <w:rFonts w:hint="eastAsia" w:ascii="宋体" w:hAnsi="宋体" w:eastAsia="宋体" w:cs="Times New Roman"/>
          <w:szCs w:val="21"/>
        </w:rPr>
        <w:t>XX</w:t>
      </w:r>
      <w:r>
        <w:rPr>
          <w:rFonts w:ascii="宋体" w:hAnsi="宋体" w:eastAsia="宋体" w:cs="Times New Roman"/>
          <w:szCs w:val="21"/>
        </w:rPr>
        <w:t>月</w:t>
      </w:r>
      <w:r>
        <w:rPr>
          <w:rFonts w:hint="eastAsia" w:ascii="宋体" w:hAnsi="宋体" w:eastAsia="宋体" w:cs="Times New Roman"/>
          <w:szCs w:val="21"/>
        </w:rPr>
        <w:t>XX</w:t>
      </w:r>
      <w:r>
        <w:rPr>
          <w:rFonts w:ascii="宋体" w:hAnsi="宋体" w:eastAsia="宋体" w:cs="Times New Roman"/>
          <w:szCs w:val="21"/>
        </w:rPr>
        <w:t>日</w:t>
      </w:r>
      <w:r>
        <w:rPr>
          <w:rFonts w:hint="eastAsia" w:ascii="宋体" w:hAnsi="宋体" w:eastAsia="宋体" w:cs="Times New Roman"/>
          <w:szCs w:val="21"/>
        </w:rPr>
        <w:t>XX</w:t>
      </w:r>
      <w:r>
        <w:rPr>
          <w:rFonts w:ascii="宋体" w:hAnsi="宋体" w:eastAsia="宋体" w:cs="Times New Roman"/>
          <w:szCs w:val="21"/>
        </w:rPr>
        <w:t>时</w:t>
      </w:r>
      <w:r>
        <w:rPr>
          <w:rFonts w:hint="eastAsia" w:ascii="宋体" w:hAnsi="宋体" w:eastAsia="宋体" w:cs="Times New Roman"/>
          <w:szCs w:val="21"/>
        </w:rPr>
        <w:t>XX</w:t>
      </w:r>
      <w:r>
        <w:rPr>
          <w:rFonts w:ascii="宋体" w:hAnsi="宋体" w:eastAsia="宋体" w:cs="Times New Roman"/>
          <w:szCs w:val="21"/>
        </w:rPr>
        <w:t>分</w:t>
      </w:r>
      <w:r>
        <w:rPr>
          <w:rFonts w:hint="eastAsia" w:ascii="宋体" w:hAnsi="宋体" w:eastAsia="宋体" w:cs="Times New Roman"/>
          <w:szCs w:val="21"/>
        </w:rPr>
        <w:t>之前不得启封”的字样，时间应为“投标人须知前附表”所规定的开标时间（指招标公告中规定的开标时间）。</w:t>
      </w:r>
    </w:p>
    <w:p>
      <w:pPr>
        <w:numPr>
          <w:ilvl w:val="0"/>
          <w:numId w:val="26"/>
        </w:numPr>
        <w:spacing w:line="360" w:lineRule="auto"/>
        <w:ind w:left="1701" w:hanging="708"/>
        <w:rPr>
          <w:rFonts w:ascii="宋体" w:hAnsi="宋体" w:eastAsia="宋体" w:cs="Times New Roman"/>
          <w:szCs w:val="21"/>
        </w:rPr>
      </w:pPr>
      <w:r>
        <w:rPr>
          <w:rFonts w:hint="eastAsia" w:ascii="宋体" w:hAnsi="宋体" w:eastAsia="宋体" w:cs="Times New Roman"/>
          <w:szCs w:val="21"/>
        </w:rPr>
        <w:t>外层信封应写明投标人名称和地址，以便其投标被宣布为“迟到”投标时，能原封退回。</w:t>
      </w:r>
    </w:p>
    <w:p>
      <w:pPr>
        <w:numPr>
          <w:ilvl w:val="0"/>
          <w:numId w:val="26"/>
        </w:numPr>
        <w:spacing w:line="360" w:lineRule="auto"/>
        <w:ind w:left="1701" w:hanging="708"/>
        <w:rPr>
          <w:rFonts w:ascii="宋体" w:hAnsi="宋体" w:eastAsia="宋体" w:cs="Times New Roman"/>
          <w:szCs w:val="21"/>
        </w:rPr>
      </w:pPr>
      <w:r>
        <w:rPr>
          <w:rFonts w:hint="eastAsia" w:ascii="宋体" w:hAnsi="宋体" w:eastAsia="宋体" w:cs="Times New Roman"/>
          <w:szCs w:val="21"/>
        </w:rPr>
        <w:t>如果外层信封未按本须知第22条要求加写标记和密封，招标代理机构对误投或过早启封概不负责。</w:t>
      </w:r>
    </w:p>
    <w:p>
      <w:pPr>
        <w:spacing w:line="360" w:lineRule="auto"/>
        <w:ind w:left="862"/>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5" w:name="_Toc129094391"/>
      <w:bookmarkStart w:id="176" w:name="_Toc129094548"/>
      <w:r>
        <w:rPr>
          <w:rFonts w:hint="eastAsia" w:ascii="宋体" w:hAnsi="宋体" w:eastAsia="宋体" w:cs="Times New Roman"/>
          <w:b/>
          <w:bCs/>
          <w:kern w:val="0"/>
          <w:sz w:val="24"/>
          <w:szCs w:val="20"/>
        </w:rPr>
        <w:t>投标截止日期</w:t>
      </w:r>
      <w:bookmarkEnd w:id="175"/>
      <w:bookmarkEnd w:id="176"/>
    </w:p>
    <w:p>
      <w:pPr>
        <w:numPr>
          <w:ilvl w:val="0"/>
          <w:numId w:val="2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招标代理机构在“投标人须知前附表”规定的地址收到投标的时间不迟于投标截止时间。</w:t>
      </w:r>
    </w:p>
    <w:p>
      <w:pPr>
        <w:numPr>
          <w:ilvl w:val="0"/>
          <w:numId w:val="2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招标代理机构可以按本须知第11条规定，通过修改招标文件决定酌情延长投标截止期。在此情况下，招标代理机构、采购人和投标人受投标截止期制约的所有权利和义务均延长至新的截止期。</w:t>
      </w:r>
    </w:p>
    <w:p>
      <w:pPr>
        <w:numPr>
          <w:ilvl w:val="0"/>
          <w:numId w:val="2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招标代理机构将在开标截止时间前30分钟开始接收投标文件。</w:t>
      </w:r>
    </w:p>
    <w:p>
      <w:pPr>
        <w:numPr>
          <w:ilvl w:val="0"/>
          <w:numId w:val="27"/>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按照投标人须知第23.1条规定，招标代理机构将拒绝并原封退回在其规定的投标截止期后收到的任何投标书。</w:t>
      </w:r>
    </w:p>
    <w:p>
      <w:pPr>
        <w:spacing w:line="360" w:lineRule="auto"/>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7" w:name="_Toc129094392"/>
      <w:bookmarkStart w:id="178" w:name="_Toc129094549"/>
      <w:r>
        <w:rPr>
          <w:rFonts w:hint="eastAsia" w:ascii="宋体" w:hAnsi="宋体" w:eastAsia="宋体" w:cs="Times New Roman"/>
          <w:b/>
          <w:bCs/>
          <w:kern w:val="0"/>
          <w:sz w:val="24"/>
          <w:szCs w:val="20"/>
        </w:rPr>
        <w:t>现场演示（答辩）</w:t>
      </w:r>
      <w:bookmarkEnd w:id="177"/>
      <w:bookmarkEnd w:id="178"/>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采购人可以要求投标人进行现场演示（答辩），现场演示（答辩）情况作为投标文件的一部分。</w:t>
      </w:r>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是否要求投标人进行现场演示（答辩），详见招标文件“投标人须知前附表”的有关规定。</w:t>
      </w:r>
    </w:p>
    <w:p>
      <w:pPr>
        <w:spacing w:line="360" w:lineRule="auto"/>
        <w:ind w:left="851"/>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9" w:name="_Toc129094393"/>
      <w:bookmarkStart w:id="180" w:name="_Toc129094550"/>
      <w:r>
        <w:rPr>
          <w:rFonts w:ascii="宋体" w:hAnsi="宋体" w:eastAsia="宋体" w:cs="Times New Roman"/>
          <w:b/>
          <w:bCs/>
          <w:kern w:val="0"/>
          <w:sz w:val="24"/>
          <w:szCs w:val="20"/>
        </w:rPr>
        <w:t>投标文件的修改和撤销</w:t>
      </w:r>
      <w:bookmarkEnd w:id="168"/>
      <w:bookmarkEnd w:id="169"/>
      <w:bookmarkEnd w:id="170"/>
      <w:bookmarkEnd w:id="171"/>
      <w:bookmarkEnd w:id="172"/>
      <w:bookmarkEnd w:id="173"/>
      <w:bookmarkEnd w:id="174"/>
      <w:bookmarkEnd w:id="179"/>
      <w:bookmarkEnd w:id="180"/>
      <w:bookmarkStart w:id="181" w:name="_Toc73521574"/>
      <w:bookmarkStart w:id="182" w:name="_Toc73517666"/>
      <w:bookmarkStart w:id="183" w:name="_Toc73521662"/>
      <w:bookmarkStart w:id="184" w:name="_Toc73518144"/>
      <w:bookmarkStart w:id="185" w:name="_Toc101074881"/>
      <w:bookmarkStart w:id="186" w:name="_Toc100052391"/>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投标人在递交投标书后，可以修改或撤回其投标书，但招标代理机构必须在规定的投标截止期之前，收到修改或撤回的书面通知。</w:t>
      </w:r>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投标人的修改或撤回通知书应按投标人须知第22条规定编制、密封、标记和发送，并应在封套上加注“修改”或“撤回”字样。</w:t>
      </w:r>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在投标截止期之后，投标人不得对其投标书做任何修改。</w:t>
      </w:r>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在投标人须知第23条规定的投标截止日期至投标人须知第</w:t>
      </w:r>
      <w:r>
        <w:rPr>
          <w:rFonts w:ascii="宋体" w:hAnsi="宋体" w:eastAsia="宋体" w:cs="Times New Roman"/>
          <w:szCs w:val="21"/>
        </w:rPr>
        <w:t>1</w:t>
      </w:r>
      <w:r>
        <w:rPr>
          <w:rFonts w:hint="eastAsia" w:ascii="宋体" w:hAnsi="宋体" w:eastAsia="宋体" w:cs="Times New Roman"/>
          <w:szCs w:val="21"/>
        </w:rPr>
        <w:t>8条规定的投标有效期期满之间的这段时间内，投标人不得撤回其投标，否则根据第19.8条规定，其投标保证金将被没收。</w:t>
      </w:r>
    </w:p>
    <w:p>
      <w:pPr>
        <w:spacing w:line="360" w:lineRule="auto"/>
        <w:ind w:left="851"/>
        <w:rPr>
          <w:rFonts w:ascii="宋体" w:hAnsi="宋体" w:eastAsia="宋体" w:cs="Times New Roman"/>
          <w:szCs w:val="21"/>
        </w:rPr>
      </w:pPr>
    </w:p>
    <w:p>
      <w:pPr>
        <w:keepNext/>
        <w:keepLines/>
        <w:numPr>
          <w:ilvl w:val="0"/>
          <w:numId w:val="1"/>
        </w:numPr>
        <w:spacing w:line="360" w:lineRule="auto"/>
        <w:ind w:left="851" w:hanging="425"/>
        <w:jc w:val="center"/>
        <w:outlineLvl w:val="0"/>
        <w:rPr>
          <w:rFonts w:ascii="宋体" w:hAnsi="宋体" w:eastAsia="宋体" w:cs="Times New Roman"/>
          <w:b/>
          <w:bCs/>
          <w:kern w:val="44"/>
          <w:sz w:val="28"/>
          <w:szCs w:val="28"/>
        </w:rPr>
      </w:pPr>
      <w:bookmarkStart w:id="187" w:name="_Toc129094551"/>
      <w:r>
        <w:rPr>
          <w:rFonts w:hint="eastAsia" w:ascii="宋体" w:hAnsi="宋体" w:eastAsia="宋体" w:cs="Times New Roman"/>
          <w:b/>
          <w:bCs/>
          <w:kern w:val="44"/>
          <w:sz w:val="28"/>
          <w:szCs w:val="28"/>
        </w:rPr>
        <w:t>开标</w:t>
      </w:r>
      <w:bookmarkEnd w:id="181"/>
      <w:bookmarkEnd w:id="182"/>
      <w:bookmarkEnd w:id="183"/>
      <w:bookmarkEnd w:id="184"/>
      <w:bookmarkEnd w:id="185"/>
      <w:bookmarkEnd w:id="186"/>
      <w:bookmarkEnd w:id="187"/>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88" w:name="_Toc73517667"/>
      <w:bookmarkStart w:id="189" w:name="_Toc129094552"/>
      <w:bookmarkStart w:id="190" w:name="_Toc73521663"/>
      <w:bookmarkStart w:id="191" w:name="_Toc129094395"/>
      <w:bookmarkStart w:id="192" w:name="_Toc60631650"/>
      <w:bookmarkStart w:id="193" w:name="_Toc73521575"/>
      <w:bookmarkStart w:id="194" w:name="_Toc100052392"/>
      <w:bookmarkStart w:id="195" w:name="_Toc73518145"/>
      <w:bookmarkStart w:id="196" w:name="_Toc60560655"/>
      <w:r>
        <w:rPr>
          <w:rFonts w:hint="eastAsia" w:ascii="宋体" w:hAnsi="宋体" w:eastAsia="宋体" w:cs="Times New Roman"/>
          <w:b/>
          <w:bCs/>
          <w:kern w:val="0"/>
          <w:sz w:val="24"/>
          <w:szCs w:val="20"/>
        </w:rPr>
        <w:t>开标</w:t>
      </w:r>
      <w:bookmarkEnd w:id="188"/>
      <w:bookmarkEnd w:id="189"/>
      <w:bookmarkEnd w:id="190"/>
      <w:bookmarkEnd w:id="191"/>
      <w:bookmarkEnd w:id="192"/>
      <w:bookmarkEnd w:id="193"/>
      <w:bookmarkEnd w:id="194"/>
      <w:bookmarkEnd w:id="195"/>
      <w:bookmarkEnd w:id="196"/>
    </w:p>
    <w:p>
      <w:pPr>
        <w:numPr>
          <w:ilvl w:val="0"/>
          <w:numId w:val="30"/>
        </w:numPr>
        <w:spacing w:line="360" w:lineRule="auto"/>
        <w:ind w:left="993" w:hanging="567"/>
        <w:rPr>
          <w:rFonts w:ascii="宋体" w:hAnsi="宋体" w:eastAsia="宋体" w:cs="Times New Roman"/>
          <w:szCs w:val="21"/>
        </w:rPr>
      </w:pPr>
      <w:bookmarkStart w:id="197" w:name="bt评标"/>
      <w:bookmarkEnd w:id="197"/>
      <w:bookmarkStart w:id="198" w:name="_Toc73521576"/>
      <w:bookmarkStart w:id="199" w:name="_Toc101074882"/>
      <w:bookmarkStart w:id="200" w:name="_Toc73518146"/>
      <w:bookmarkStart w:id="201" w:name="_Toc100052393"/>
      <w:bookmarkStart w:id="202" w:name="_Toc73521664"/>
      <w:bookmarkStart w:id="203" w:name="_Toc73517668"/>
      <w:r>
        <w:rPr>
          <w:rFonts w:hint="eastAsia" w:ascii="宋体" w:hAnsi="宋体" w:eastAsia="宋体" w:cs="Times New Roman"/>
          <w:szCs w:val="21"/>
        </w:rPr>
        <w:t>采购人和招标代理机构在规定的开标时间及开标地点准时组织公开开标仪式。投标人应委派代表参加，参加开标的代表应签名报到以证明出席。</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开标时，由投标供应商或投标代表查验投标文件密封情况，确认无误后由有关工作人员当众拆封进行唱标。</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除了按照投标人须知第25条规定原封退回的投标之外，开标时将不得拒绝任何投标书。</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开标时，招标代理机构仅拆封《开标一览表》。如投标人未单独密封包装《开标一览表》，招标代理机构有权拆封投标文件。</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w:t>
      </w:r>
      <w:r>
        <w:rPr>
          <w:rFonts w:ascii="宋体" w:hAnsi="宋体" w:eastAsia="宋体" w:cs="Times New Roman"/>
          <w:szCs w:val="21"/>
        </w:rPr>
        <w:t>2</w:t>
      </w:r>
      <w:r>
        <w:rPr>
          <w:rFonts w:hint="eastAsia" w:ascii="宋体" w:hAnsi="宋体" w:eastAsia="宋体" w:cs="Times New Roman"/>
          <w:szCs w:val="21"/>
        </w:rPr>
        <w:t>5.2条规定，提交了可接受的“撤回”通知的投标将不予开封。</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无论如何在开标时没有启封和读出的投标书在评标时将不予考虑。撤回的投标书将原封退回投标人。</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招标代理机构将做开标记录，开标记录包括按投标人须知第</w:t>
      </w:r>
      <w:r>
        <w:rPr>
          <w:rFonts w:ascii="宋体" w:hAnsi="宋体" w:eastAsia="宋体" w:cs="Times New Roman"/>
          <w:szCs w:val="21"/>
        </w:rPr>
        <w:t>2</w:t>
      </w:r>
      <w:r>
        <w:rPr>
          <w:rFonts w:hint="eastAsia" w:ascii="宋体" w:hAnsi="宋体" w:eastAsia="宋体" w:cs="Times New Roman"/>
          <w:szCs w:val="21"/>
        </w:rPr>
        <w:t>6.3的规定在开标时宣读的全部内容。</w:t>
      </w:r>
    </w:p>
    <w:p>
      <w:pPr>
        <w:spacing w:line="360" w:lineRule="auto"/>
        <w:ind w:left="851"/>
        <w:rPr>
          <w:rFonts w:ascii="宋体" w:hAnsi="宋体" w:eastAsia="宋体" w:cs="Times New Roman"/>
          <w:szCs w:val="21"/>
        </w:rPr>
      </w:pPr>
    </w:p>
    <w:bookmarkEnd w:id="198"/>
    <w:bookmarkEnd w:id="199"/>
    <w:bookmarkEnd w:id="200"/>
    <w:bookmarkEnd w:id="201"/>
    <w:bookmarkEnd w:id="202"/>
    <w:bookmarkEnd w:id="203"/>
    <w:p>
      <w:pPr>
        <w:keepNext/>
        <w:keepLines/>
        <w:numPr>
          <w:ilvl w:val="0"/>
          <w:numId w:val="1"/>
        </w:numPr>
        <w:spacing w:line="360" w:lineRule="auto"/>
        <w:ind w:left="851" w:hanging="425"/>
        <w:jc w:val="center"/>
        <w:outlineLvl w:val="0"/>
        <w:rPr>
          <w:rFonts w:ascii="宋体" w:hAnsi="宋体" w:eastAsia="宋体" w:cs="Times New Roman"/>
          <w:b/>
          <w:bCs/>
          <w:kern w:val="44"/>
          <w:sz w:val="28"/>
          <w:szCs w:val="28"/>
        </w:rPr>
      </w:pPr>
      <w:bookmarkStart w:id="204" w:name="_Toc129094553"/>
      <w:r>
        <w:rPr>
          <w:rFonts w:hint="eastAsia" w:ascii="宋体" w:hAnsi="宋体" w:eastAsia="宋体" w:cs="Times New Roman"/>
          <w:b/>
          <w:bCs/>
          <w:kern w:val="44"/>
          <w:sz w:val="28"/>
          <w:szCs w:val="28"/>
        </w:rPr>
        <w:t>评标</w:t>
      </w:r>
      <w:bookmarkEnd w:id="204"/>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05" w:name="bt评标会议"/>
      <w:bookmarkEnd w:id="205"/>
      <w:bookmarkStart w:id="206" w:name="_Toc129094554"/>
      <w:bookmarkStart w:id="207" w:name="_Toc129094397"/>
      <w:bookmarkStart w:id="208" w:name="_Toc73521577"/>
      <w:bookmarkStart w:id="209" w:name="_Toc100052394"/>
      <w:bookmarkStart w:id="210" w:name="_Toc73521665"/>
      <w:bookmarkStart w:id="211" w:name="_Toc73517669"/>
      <w:bookmarkStart w:id="212" w:name="_Toc73518147"/>
      <w:r>
        <w:rPr>
          <w:rFonts w:hint="eastAsia" w:ascii="宋体" w:hAnsi="宋体" w:eastAsia="宋体" w:cs="Times New Roman"/>
          <w:b/>
          <w:bCs/>
          <w:kern w:val="0"/>
          <w:sz w:val="24"/>
          <w:szCs w:val="20"/>
        </w:rPr>
        <w:t>评标委员会组成</w:t>
      </w:r>
      <w:bookmarkEnd w:id="206"/>
      <w:bookmarkEnd w:id="207"/>
    </w:p>
    <w:p>
      <w:pPr>
        <w:spacing w:line="360" w:lineRule="auto"/>
        <w:ind w:left="-2" w:leftChars="-1" w:firstLine="424" w:firstLineChars="202"/>
        <w:rPr>
          <w:rFonts w:ascii="宋体" w:hAnsi="宋体" w:eastAsia="宋体" w:cs="Times New Roman"/>
          <w:szCs w:val="24"/>
        </w:rPr>
      </w:pPr>
      <w:r>
        <w:rPr>
          <w:rFonts w:hint="eastAsia" w:ascii="宋体" w:hAnsi="宋体" w:eastAsia="宋体" w:cs="Times New Roman"/>
          <w:szCs w:val="21"/>
        </w:rPr>
        <w:t>评标是招标工作的重要环节，评标工作在评委会内独立进行。在开标、评标期间，投标人不得向评委询问情况，不得进行旨在影响评标结果的活动。</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评标委员会的组成及行为规范执行《关于印发</w:t>
      </w:r>
      <w:r>
        <w:rPr>
          <w:rFonts w:ascii="宋体" w:hAnsi="宋体" w:eastAsia="宋体" w:cs="Times New Roman"/>
          <w:szCs w:val="24"/>
        </w:rPr>
        <w:t>&lt;</w:t>
      </w:r>
      <w:r>
        <w:rPr>
          <w:rFonts w:hint="eastAsia" w:ascii="宋体" w:hAnsi="宋体" w:eastAsia="宋体" w:cs="Times New Roman"/>
          <w:szCs w:val="24"/>
        </w:rPr>
        <w:t>深圳市政府采购评标委员会和评标方法暂行规定</w:t>
      </w:r>
      <w:r>
        <w:rPr>
          <w:rFonts w:ascii="宋体" w:hAnsi="宋体" w:eastAsia="宋体" w:cs="Times New Roman"/>
          <w:szCs w:val="24"/>
        </w:rPr>
        <w:t>&gt;</w:t>
      </w:r>
      <w:r>
        <w:rPr>
          <w:rFonts w:hint="eastAsia" w:ascii="宋体" w:hAnsi="宋体" w:eastAsia="宋体" w:cs="Times New Roman"/>
          <w:szCs w:val="24"/>
        </w:rPr>
        <w:t>的通知》</w:t>
      </w:r>
      <w:r>
        <w:rPr>
          <w:rFonts w:ascii="宋体" w:hAnsi="宋体" w:eastAsia="宋体" w:cs="Times New Roman"/>
          <w:szCs w:val="24"/>
        </w:rPr>
        <w:t>(</w:t>
      </w:r>
      <w:r>
        <w:rPr>
          <w:rFonts w:hint="eastAsia" w:ascii="宋体" w:hAnsi="宋体" w:eastAsia="宋体" w:cs="Times New Roman"/>
          <w:szCs w:val="24"/>
        </w:rPr>
        <w:t>深财购</w:t>
      </w:r>
      <w:r>
        <w:rPr>
          <w:rFonts w:ascii="宋体" w:hAnsi="宋体" w:eastAsia="宋体" w:cs="Times New Roman"/>
          <w:szCs w:val="24"/>
        </w:rPr>
        <w:t>[2005]5</w:t>
      </w:r>
      <w:r>
        <w:rPr>
          <w:rFonts w:hint="eastAsia" w:ascii="宋体" w:hAnsi="宋体" w:eastAsia="宋体" w:cs="Times New Roman"/>
          <w:szCs w:val="24"/>
        </w:rPr>
        <w:t>号</w:t>
      </w:r>
      <w:r>
        <w:rPr>
          <w:rFonts w:ascii="宋体" w:hAnsi="宋体" w:eastAsia="宋体" w:cs="Times New Roman"/>
          <w:szCs w:val="24"/>
        </w:rPr>
        <w:t>)</w:t>
      </w:r>
      <w:r>
        <w:rPr>
          <w:rFonts w:hint="eastAsia" w:ascii="宋体" w:hAnsi="宋体" w:eastAsia="宋体" w:cs="Times New Roman"/>
          <w:szCs w:val="24"/>
        </w:rPr>
        <w:t>，评标委员会由采购单位代表和有关技术、经济等方面的专家组成，成员人数为</w:t>
      </w:r>
      <w:r>
        <w:rPr>
          <w:rFonts w:ascii="宋体" w:hAnsi="宋体" w:eastAsia="宋体" w:cs="Times New Roman"/>
          <w:szCs w:val="24"/>
        </w:rPr>
        <w:t>5</w:t>
      </w:r>
      <w:r>
        <w:rPr>
          <w:rFonts w:hint="eastAsia" w:ascii="宋体" w:hAnsi="宋体" w:eastAsia="宋体" w:cs="Times New Roman"/>
          <w:szCs w:val="24"/>
        </w:rPr>
        <w:t>人以上（含</w:t>
      </w:r>
      <w:r>
        <w:rPr>
          <w:rFonts w:ascii="宋体" w:hAnsi="宋体" w:eastAsia="宋体" w:cs="Times New Roman"/>
          <w:szCs w:val="24"/>
        </w:rPr>
        <w:t>5</w:t>
      </w:r>
      <w:r>
        <w:rPr>
          <w:rFonts w:hint="eastAsia" w:ascii="宋体" w:hAnsi="宋体" w:eastAsia="宋体" w:cs="Times New Roman"/>
          <w:szCs w:val="24"/>
        </w:rPr>
        <w:t>人）单数，其中技术、经济等方面的专家不少于成员总数的三分之二。</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为保证评委人选的专业性，以及评标中的公平公正性，评标委员会成员从深圳市财政委员会评标专家库中随机抽取。</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采购单位代表须持本单位签发的《评标授权书》参加评标。</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采购单位无代表参与评标，应在开标前一天提交《采购单位不派评委参与项目评标承诺书》给招标代理机构。</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评审专家与采购项目的投标人有下列利害关系之一的应当回避：</w:t>
      </w:r>
    </w:p>
    <w:p>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（一）投标人或者投标人主要负责人的近亲属；</w:t>
      </w:r>
    </w:p>
    <w:p>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（二）项目主管部门或者行政监督部门的人员；</w:t>
      </w:r>
    </w:p>
    <w:p>
      <w:pPr>
        <w:spacing w:line="360" w:lineRule="auto"/>
        <w:ind w:left="1417" w:leftChars="400" w:hanging="577" w:hangingChars="275"/>
        <w:rPr>
          <w:rFonts w:ascii="宋体" w:hAnsi="宋体" w:eastAsia="宋体" w:cs="Times New Roman"/>
          <w:szCs w:val="21"/>
        </w:rPr>
      </w:pPr>
      <w:r>
        <w:rPr>
          <w:rFonts w:ascii="宋体" w:hAnsi="宋体" w:eastAsia="宋体" w:cs="Arial"/>
          <w:szCs w:val="21"/>
          <w:shd w:val="clear" w:color="auto" w:fill="FFFFFF"/>
        </w:rPr>
        <w:t>（三）与投标人有经济利益关系，可能影响对投标公正评审的；</w:t>
      </w:r>
      <w:r>
        <w:rPr>
          <w:rFonts w:hint="eastAsia" w:ascii="宋体" w:hAnsi="宋体" w:eastAsia="宋体" w:cs="Times New Roman"/>
          <w:szCs w:val="21"/>
        </w:rPr>
        <w:t>其他与投标人存在影响或者可能影响政府采购活动公平进行的关系。</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评审专家的评审活动应当独立进行，并应完成招标文件规定的全部评审工作。</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招标文件描述有歧义的，招标代理机构或采购人有权进行解释，但对同一条款的解释适用于每个投标人。招标文件描述存在前后不一致的，评标委员会有权进行评判，但对同一条款的评判适用于每个投标人。</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pPr>
        <w:numPr>
          <w:ilvl w:val="0"/>
          <w:numId w:val="31"/>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评标委员会不直接向投标人解释落标原因。</w:t>
      </w:r>
    </w:p>
    <w:p>
      <w:pPr>
        <w:spacing w:line="360" w:lineRule="auto"/>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3" w:name="_Toc129094398"/>
      <w:bookmarkStart w:id="214" w:name="_Toc129094555"/>
      <w:r>
        <w:rPr>
          <w:rFonts w:hint="eastAsia" w:ascii="宋体" w:hAnsi="宋体" w:eastAsia="宋体" w:cs="Times New Roman"/>
          <w:b/>
          <w:bCs/>
          <w:kern w:val="0"/>
          <w:sz w:val="24"/>
          <w:szCs w:val="20"/>
        </w:rPr>
        <w:t>评标、定标程序及方法</w:t>
      </w:r>
      <w:bookmarkEnd w:id="213"/>
      <w:bookmarkEnd w:id="214"/>
    </w:p>
    <w:p>
      <w:pPr>
        <w:numPr>
          <w:ilvl w:val="0"/>
          <w:numId w:val="32"/>
        </w:numPr>
        <w:spacing w:line="360" w:lineRule="auto"/>
        <w:rPr>
          <w:rFonts w:ascii="宋体" w:hAnsi="宋体" w:eastAsia="宋体" w:cs="Times New Roman"/>
          <w:b/>
          <w:szCs w:val="24"/>
        </w:rPr>
      </w:pPr>
      <w:r>
        <w:rPr>
          <w:rFonts w:hint="eastAsia" w:ascii="宋体" w:hAnsi="宋体" w:eastAsia="宋体" w:cs="Times New Roman"/>
          <w:b/>
          <w:szCs w:val="24"/>
        </w:rPr>
        <w:t>投标文件的初审</w:t>
      </w:r>
    </w:p>
    <w:p>
      <w:pPr>
        <w:numPr>
          <w:ilvl w:val="0"/>
          <w:numId w:val="33"/>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pPr>
        <w:numPr>
          <w:ilvl w:val="0"/>
          <w:numId w:val="33"/>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投标文件中不构成实质性偏差的不正规、不一致或不规则的内容，评标委员会可以接受，但这种接受不能损害或影响任何投标人的相对排序。</w:t>
      </w:r>
    </w:p>
    <w:p>
      <w:pPr>
        <w:numPr>
          <w:ilvl w:val="0"/>
          <w:numId w:val="33"/>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pPr>
        <w:numPr>
          <w:ilvl w:val="0"/>
          <w:numId w:val="33"/>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投标文件初审内容请详见“资格、符合性审查表”。投标人若有一条审查不通过则按无效标处理。</w:t>
      </w:r>
    </w:p>
    <w:p>
      <w:pPr>
        <w:spacing w:line="360" w:lineRule="auto"/>
        <w:rPr>
          <w:rFonts w:ascii="宋体" w:hAnsi="宋体" w:eastAsia="宋体" w:cs="Times New Roman"/>
          <w:szCs w:val="21"/>
        </w:rPr>
      </w:pPr>
    </w:p>
    <w:p>
      <w:pPr>
        <w:numPr>
          <w:ilvl w:val="0"/>
          <w:numId w:val="32"/>
        </w:numPr>
        <w:spacing w:line="360" w:lineRule="auto"/>
        <w:rPr>
          <w:rFonts w:ascii="宋体" w:hAnsi="宋体" w:eastAsia="宋体" w:cs="Times New Roman"/>
          <w:b/>
          <w:szCs w:val="24"/>
        </w:rPr>
      </w:pPr>
      <w:r>
        <w:rPr>
          <w:rFonts w:hint="eastAsia" w:ascii="宋体" w:hAnsi="宋体" w:eastAsia="宋体" w:cs="Times New Roman"/>
          <w:b/>
          <w:szCs w:val="24"/>
        </w:rPr>
        <w:t>澄清有关问题</w:t>
      </w:r>
    </w:p>
    <w:p>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pPr>
        <w:spacing w:line="360" w:lineRule="auto"/>
        <w:ind w:left="424" w:leftChars="202" w:firstLine="426" w:firstLineChars="203"/>
        <w:rPr>
          <w:rFonts w:ascii="宋体" w:hAnsi="宋体" w:eastAsia="宋体" w:cs="Times New Roman"/>
          <w:szCs w:val="21"/>
        </w:rPr>
      </w:pPr>
    </w:p>
    <w:p>
      <w:pPr>
        <w:numPr>
          <w:ilvl w:val="0"/>
          <w:numId w:val="32"/>
        </w:numPr>
        <w:spacing w:line="360" w:lineRule="auto"/>
        <w:rPr>
          <w:rFonts w:ascii="宋体" w:hAnsi="宋体" w:eastAsia="宋体" w:cs="Times New Roman"/>
          <w:b/>
          <w:szCs w:val="24"/>
        </w:rPr>
      </w:pPr>
      <w:r>
        <w:rPr>
          <w:rFonts w:hint="eastAsia" w:ascii="宋体" w:hAnsi="宋体" w:eastAsia="宋体" w:cs="Times New Roman"/>
          <w:b/>
          <w:szCs w:val="24"/>
        </w:rPr>
        <w:t>错误的修正（次序排先者优先）</w:t>
      </w:r>
    </w:p>
    <w:p>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pPr>
        <w:numPr>
          <w:ilvl w:val="0"/>
          <w:numId w:val="34"/>
        </w:numPr>
        <w:spacing w:line="360" w:lineRule="auto"/>
        <w:ind w:left="1701" w:hanging="850"/>
        <w:rPr>
          <w:rFonts w:ascii="宋体" w:hAnsi="宋体" w:eastAsia="宋体" w:cs="Times New Roman"/>
          <w:szCs w:val="21"/>
        </w:rPr>
      </w:pPr>
      <w:r>
        <w:rPr>
          <w:rFonts w:ascii="宋体" w:hAnsi="宋体" w:eastAsia="宋体" w:cs="Times New Roman"/>
          <w:szCs w:val="21"/>
        </w:rPr>
        <w:t>若开标一览表内容与</w:t>
      </w:r>
      <w:r>
        <w:rPr>
          <w:rFonts w:hint="eastAsia" w:ascii="宋体" w:hAnsi="宋体" w:eastAsia="宋体" w:cs="Times New Roman"/>
          <w:szCs w:val="21"/>
        </w:rPr>
        <w:t>投标价格表</w:t>
      </w:r>
      <w:r>
        <w:rPr>
          <w:rFonts w:ascii="宋体" w:hAnsi="宋体" w:eastAsia="宋体" w:cs="Times New Roman"/>
          <w:szCs w:val="21"/>
        </w:rPr>
        <w:t>内容不一致，以开标一览表为准；</w:t>
      </w:r>
    </w:p>
    <w:p>
      <w:pPr>
        <w:numPr>
          <w:ilvl w:val="0"/>
          <w:numId w:val="34"/>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投标文件中的大写金额和小写金额不一致的，以大写金额为准；</w:t>
      </w:r>
    </w:p>
    <w:p>
      <w:pPr>
        <w:numPr>
          <w:ilvl w:val="0"/>
          <w:numId w:val="34"/>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总价金额与单价金额不一致的，以单价金额为准，但单价金额小数点有明显错误的除外；</w:t>
      </w:r>
    </w:p>
    <w:p>
      <w:pPr>
        <w:numPr>
          <w:ilvl w:val="0"/>
          <w:numId w:val="34"/>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对不同文字文本投标文件的解释发生异议的，以中文文本为准</w:t>
      </w:r>
      <w:r>
        <w:rPr>
          <w:rFonts w:hint="eastAsia" w:ascii="宋体" w:hAnsi="宋体" w:eastAsia="宋体" w:cs="Arial"/>
          <w:szCs w:val="21"/>
          <w:shd w:val="clear" w:color="auto" w:fill="FFFFFF"/>
        </w:rPr>
        <w:t>；</w:t>
      </w:r>
    </w:p>
    <w:p>
      <w:pPr>
        <w:numPr>
          <w:ilvl w:val="0"/>
          <w:numId w:val="34"/>
        </w:numPr>
        <w:spacing w:line="360" w:lineRule="auto"/>
        <w:ind w:left="1701" w:hanging="850"/>
        <w:rPr>
          <w:rFonts w:ascii="宋体" w:hAnsi="宋体" w:eastAsia="宋体" w:cs="Times New Roman"/>
          <w:szCs w:val="21"/>
        </w:rPr>
      </w:pPr>
      <w:r>
        <w:rPr>
          <w:rFonts w:ascii="宋体" w:hAnsi="宋体" w:eastAsia="宋体" w:cs="Times New Roman"/>
          <w:szCs w:val="21"/>
        </w:rPr>
        <w:t>按上述修正错误的原则及方法调整或修正投标文件的投标报价，投标人同意后，调整后的投标报价对投标人起约束作用。如果投标人不接受修正后的报价，则其投标将被拒绝，并不影响评标工作。</w:t>
      </w:r>
    </w:p>
    <w:p>
      <w:pPr>
        <w:numPr>
          <w:ilvl w:val="0"/>
          <w:numId w:val="32"/>
        </w:numPr>
        <w:spacing w:line="360" w:lineRule="auto"/>
        <w:rPr>
          <w:rFonts w:ascii="宋体" w:hAnsi="宋体" w:eastAsia="宋体" w:cs="Times New Roman"/>
          <w:b/>
          <w:szCs w:val="24"/>
        </w:rPr>
      </w:pPr>
      <w:r>
        <w:rPr>
          <w:rFonts w:hint="eastAsia" w:ascii="宋体" w:hAnsi="宋体" w:eastAsia="宋体" w:cs="Times New Roman"/>
          <w:b/>
          <w:szCs w:val="24"/>
        </w:rPr>
        <w:t>投标文件的比较与评价</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评标委员会将按照《深圳经济特区政府采购条例》及《深圳市政府采购评标委员会和评标方法暂行规定》，参照相关法律、法规、规定，仅对通过资格性审查和符合性审查的投标文件进行综合比较与评价。</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评标委员会应当根据招标文件，审查并逐项列出投标文件的全部投标偏离。投标偏离分为重大偏离和细微偏离。</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评标委员会应当对投标人的投标文件进行分析和比较。</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评标委员会应当根据招标文件规定，对投标文件中的每项评审内容进行评审。</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投标文件存在重大偏离的，应作废标处理。下列情况属于重大偏离：</w:t>
      </w:r>
    </w:p>
    <w:p>
      <w:pPr>
        <w:numPr>
          <w:ilvl w:val="0"/>
          <w:numId w:val="36"/>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投标人以他人的名义投标或出现下列串通投标、弄虚作假投标嫌疑的：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不同投标人的投标文件内容存在非正常一致</w:t>
      </w:r>
      <w:r>
        <w:rPr>
          <w:rFonts w:hint="eastAsia" w:ascii="宋体" w:hAnsi="宋体" w:eastAsia="宋体" w:cs="Times New Roman"/>
          <w:szCs w:val="21"/>
        </w:rPr>
        <w:t>的</w:t>
      </w:r>
      <w:r>
        <w:rPr>
          <w:rFonts w:ascii="宋体" w:hAnsi="宋体" w:eastAsia="宋体" w:cs="Times New Roman"/>
          <w:szCs w:val="21"/>
        </w:rPr>
        <w:t>；</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不同投标人的投标文件错漏之处一致的；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不同投标人的投标报价或者报价组成异常一致或者呈规律性变化的；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不同投标人的投标文件由同一单位或者同一个人编制的；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不同投标人的投标文件载明的</w:t>
      </w:r>
      <w:r>
        <w:rPr>
          <w:rFonts w:hint="eastAsia" w:ascii="宋体" w:hAnsi="宋体" w:eastAsia="宋体" w:cs="Times New Roman"/>
          <w:szCs w:val="21"/>
        </w:rPr>
        <w:t>项目负责人与主要技术人员</w:t>
      </w:r>
      <w:r>
        <w:rPr>
          <w:rFonts w:ascii="宋体" w:hAnsi="宋体" w:eastAsia="宋体" w:cs="Times New Roman"/>
          <w:szCs w:val="21"/>
        </w:rPr>
        <w:t>出现同一人的；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不同投标人的投标文件相互混装的；</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不同投标人委托同一人投标的</w:t>
      </w:r>
      <w:r>
        <w:rPr>
          <w:rFonts w:hint="eastAsia" w:ascii="宋体" w:hAnsi="宋体" w:eastAsia="宋体" w:cs="Times New Roman"/>
          <w:szCs w:val="21"/>
        </w:rPr>
        <w:t>；</w:t>
      </w:r>
    </w:p>
    <w:p>
      <w:pPr>
        <w:numPr>
          <w:ilvl w:val="0"/>
          <w:numId w:val="37"/>
        </w:numPr>
        <w:spacing w:line="360" w:lineRule="auto"/>
        <w:ind w:left="2937" w:leftChars="810" w:hanging="1236" w:hangingChars="589"/>
        <w:rPr>
          <w:rFonts w:ascii="宋体" w:hAnsi="宋体" w:eastAsia="宋体" w:cs="Times New Roman"/>
          <w:szCs w:val="21"/>
        </w:rPr>
      </w:pPr>
      <w:r>
        <w:rPr>
          <w:rFonts w:hint="eastAsia" w:ascii="宋体" w:hAnsi="宋体" w:eastAsia="宋体" w:cs="Times New Roman"/>
          <w:szCs w:val="21"/>
        </w:rPr>
        <w:t>不同投标人聘请同一人为其投标提供技术或者经济咨询服务的，但招标工程本身要求采用专有技术的除外；</w:t>
      </w:r>
    </w:p>
    <w:p>
      <w:pPr>
        <w:numPr>
          <w:ilvl w:val="0"/>
          <w:numId w:val="37"/>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评标委员会认定的其他串通投标情形。</w:t>
      </w:r>
    </w:p>
    <w:p>
      <w:pPr>
        <w:numPr>
          <w:ilvl w:val="0"/>
          <w:numId w:val="36"/>
        </w:numPr>
        <w:spacing w:line="360" w:lineRule="auto"/>
        <w:ind w:firstLine="600"/>
        <w:rPr>
          <w:rFonts w:ascii="宋体" w:hAnsi="宋体" w:eastAsia="宋体" w:cs="Times New Roman"/>
          <w:szCs w:val="21"/>
        </w:rPr>
      </w:pPr>
      <w:r>
        <w:rPr>
          <w:rFonts w:hint="eastAsia" w:ascii="宋体" w:hAnsi="宋体" w:eastAsia="宋体" w:cs="Times New Roman"/>
          <w:szCs w:val="21"/>
        </w:rPr>
        <w:t>投标文件不满足招标文件规定的任何一项实质性要求的；</w:t>
      </w:r>
    </w:p>
    <w:p>
      <w:pPr>
        <w:numPr>
          <w:ilvl w:val="0"/>
          <w:numId w:val="36"/>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投标文件对招标文件规定的非实质性要求的偏离，超出允许偏离的最大范围或最高项数的；</w:t>
      </w:r>
    </w:p>
    <w:p>
      <w:pPr>
        <w:numPr>
          <w:ilvl w:val="0"/>
          <w:numId w:val="36"/>
        </w:numPr>
        <w:spacing w:line="360" w:lineRule="auto"/>
        <w:ind w:left="2552" w:hanging="1112"/>
        <w:rPr>
          <w:rFonts w:ascii="宋体" w:hAnsi="宋体" w:eastAsia="宋体" w:cs="Times New Roman"/>
          <w:szCs w:val="21"/>
        </w:rPr>
      </w:pPr>
      <w:r>
        <w:rPr>
          <w:rFonts w:hint="eastAsia" w:ascii="宋体" w:hAnsi="宋体" w:eastAsia="宋体" w:cs="Times New Roman"/>
          <w:szCs w:val="21"/>
        </w:rPr>
        <w:t>评标委员会根据招标文件的规定对投标文件的投标价格进行调整，投标人不接受调整方式的，或不接受调整后的价格的。</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numPr>
          <w:ilvl w:val="0"/>
          <w:numId w:val="35"/>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评标委员会应书面要求存在细微偏离的投标人在评标结束前予以补正。拒不补正的，在详细评审时可以对细微偏离按照不利于该投标人的原则进行调整，且投标人不得因此提出任何异议。</w:t>
      </w:r>
    </w:p>
    <w:p>
      <w:pPr>
        <w:spacing w:line="360" w:lineRule="auto"/>
        <w:rPr>
          <w:rFonts w:ascii="宋体" w:hAnsi="宋体" w:eastAsia="宋体" w:cs="Times New Roman"/>
          <w:szCs w:val="21"/>
        </w:rPr>
      </w:pPr>
    </w:p>
    <w:p>
      <w:pPr>
        <w:numPr>
          <w:ilvl w:val="0"/>
          <w:numId w:val="32"/>
        </w:numPr>
        <w:spacing w:line="360" w:lineRule="auto"/>
        <w:rPr>
          <w:rFonts w:ascii="宋体" w:hAnsi="宋体" w:eastAsia="宋体" w:cs="Times New Roman"/>
          <w:b/>
          <w:szCs w:val="24"/>
        </w:rPr>
      </w:pPr>
      <w:r>
        <w:rPr>
          <w:rFonts w:hint="eastAsia" w:ascii="宋体" w:hAnsi="宋体" w:eastAsia="宋体" w:cs="Times New Roman"/>
          <w:b/>
          <w:szCs w:val="24"/>
        </w:rPr>
        <w:t>评标方法</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评标方法分为最低价法、综合评标法、定性评审法及法律、法规允许的其它评标办法。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28.5.1最低价法</w:t>
      </w:r>
    </w:p>
    <w:p>
      <w:pPr>
        <w:spacing w:line="400" w:lineRule="exact"/>
        <w:ind w:left="447" w:leftChars="213" w:firstLine="420" w:firstLineChars="200"/>
        <w:rPr>
          <w:rFonts w:ascii="宋体" w:hAnsi="宋体" w:eastAsia="宋体" w:cs="Times New Roman"/>
          <w:bCs/>
          <w:szCs w:val="21"/>
        </w:rPr>
      </w:pPr>
      <w:r>
        <w:rPr>
          <w:rFonts w:hint="eastAsia" w:ascii="宋体" w:hAnsi="宋体" w:eastAsia="宋体" w:cs="Times New Roman"/>
          <w:bCs/>
          <w:szCs w:val="21"/>
        </w:rPr>
        <w:t>最低价法，是指以价格因素确定候选中标供应商的评标方法，即在满足招标文件实质性要求前提下，以报价最低的投标供应商作为中标候选供应商或中标供应商的评标方法；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28.5.2综合评分法</w:t>
      </w:r>
    </w:p>
    <w:p>
      <w:pPr>
        <w:spacing w:line="400" w:lineRule="exact"/>
        <w:ind w:left="476" w:firstLine="363" w:firstLineChars="173"/>
        <w:rPr>
          <w:rFonts w:ascii="宋体" w:hAnsi="宋体" w:eastAsia="宋体" w:cs="Times New Roman"/>
          <w:bCs/>
          <w:szCs w:val="21"/>
        </w:rPr>
      </w:pPr>
      <w:r>
        <w:rPr>
          <w:rFonts w:hint="eastAsia" w:ascii="宋体" w:hAnsi="宋体" w:eastAsia="宋体" w:cs="Times New Roman"/>
          <w:bCs/>
          <w:szCs w:val="21"/>
        </w:rPr>
        <w:t>综合评分法，是指在最大限度地满足招标文件实质性要求前提下，按照招标文件中规定的各项因素进行量化打分,评审总得分由高到低排名并依据招标文件中规定的数量或者比例推荐候选中标供应商的评审方法。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28.5.3定性评审法</w:t>
      </w:r>
    </w:p>
    <w:p>
      <w:pPr>
        <w:spacing w:line="400" w:lineRule="exact"/>
        <w:ind w:left="490" w:firstLine="348" w:firstLineChars="166"/>
        <w:rPr>
          <w:rFonts w:ascii="宋体" w:hAnsi="宋体" w:eastAsia="宋体" w:cs="Times New Roman"/>
          <w:bCs/>
          <w:szCs w:val="21"/>
        </w:rPr>
      </w:pPr>
      <w:r>
        <w:rPr>
          <w:rFonts w:hint="eastAsia" w:ascii="宋体" w:hAnsi="宋体" w:eastAsia="宋体" w:cs="Times New Roman"/>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pPr>
        <w:spacing w:line="400" w:lineRule="exact"/>
        <w:ind w:firstLine="421" w:firstLineChars="200"/>
        <w:rPr>
          <w:rFonts w:ascii="宋体" w:hAnsi="宋体" w:eastAsia="宋体" w:cs="Times New Roman"/>
          <w:szCs w:val="21"/>
        </w:rPr>
      </w:pPr>
      <w:r>
        <w:rPr>
          <w:rFonts w:hint="eastAsia" w:ascii="宋体" w:hAnsi="宋体" w:eastAsia="宋体" w:cs="Times New Roman"/>
          <w:b/>
          <w:bCs/>
          <w:szCs w:val="21"/>
        </w:rPr>
        <w:t>28.5.4</w:t>
      </w:r>
      <w:r>
        <w:rPr>
          <w:rFonts w:hint="eastAsia" w:ascii="宋体" w:hAnsi="宋体" w:eastAsia="宋体" w:cs="Times New Roman"/>
          <w:szCs w:val="21"/>
        </w:rPr>
        <w:t>本次招标项目的评标方法</w:t>
      </w:r>
    </w:p>
    <w:p>
      <w:pPr>
        <w:spacing w:line="400" w:lineRule="exact"/>
        <w:ind w:left="504" w:firstLine="335" w:firstLineChars="159"/>
        <w:rPr>
          <w:rFonts w:ascii="宋体" w:hAnsi="宋体" w:eastAsia="宋体" w:cs="Times New Roman"/>
          <w:szCs w:val="21"/>
        </w:rPr>
      </w:pPr>
      <w:r>
        <w:rPr>
          <w:rFonts w:hint="eastAsia" w:ascii="宋体" w:hAnsi="宋体" w:eastAsia="宋体" w:cs="Times New Roman"/>
          <w:b/>
          <w:szCs w:val="21"/>
        </w:rPr>
        <w:t>详见招标文件第二册专用条款</w:t>
      </w:r>
      <w:r>
        <w:rPr>
          <w:rFonts w:hint="eastAsia" w:ascii="宋体" w:hAnsi="宋体" w:eastAsia="宋体" w:cs="Times New Roman"/>
          <w:szCs w:val="21"/>
        </w:rPr>
        <w:t>。</w:t>
      </w:r>
    </w:p>
    <w:p>
      <w:pPr>
        <w:spacing w:line="400" w:lineRule="exact"/>
        <w:ind w:left="840"/>
        <w:rPr>
          <w:rFonts w:ascii="宋体" w:hAnsi="宋体" w:eastAsia="宋体" w:cs="Times New Roman"/>
          <w:szCs w:val="24"/>
        </w:rPr>
      </w:pPr>
    </w:p>
    <w:p>
      <w:pPr>
        <w:numPr>
          <w:ilvl w:val="0"/>
          <w:numId w:val="32"/>
        </w:numPr>
        <w:spacing w:line="400" w:lineRule="exact"/>
        <w:rPr>
          <w:rFonts w:ascii="宋体" w:hAnsi="宋体" w:eastAsia="宋体" w:cs="Times New Roman"/>
          <w:b/>
          <w:szCs w:val="24"/>
        </w:rPr>
      </w:pPr>
      <w:r>
        <w:rPr>
          <w:rFonts w:hint="eastAsia" w:ascii="宋体" w:hAnsi="宋体" w:eastAsia="宋体" w:cs="Times New Roman"/>
          <w:b/>
          <w:szCs w:val="24"/>
        </w:rPr>
        <w:t>定标原则</w:t>
      </w:r>
    </w:p>
    <w:p>
      <w:pPr>
        <w:spacing w:line="360" w:lineRule="auto"/>
        <w:ind w:left="840"/>
        <w:rPr>
          <w:rFonts w:ascii="宋体" w:hAnsi="宋体" w:eastAsia="宋体" w:cs="Times New Roman"/>
          <w:szCs w:val="21"/>
        </w:rPr>
      </w:pPr>
      <w:r>
        <w:rPr>
          <w:rFonts w:hint="eastAsia" w:ascii="宋体" w:hAnsi="宋体" w:eastAsia="宋体" w:cs="Times New Roman"/>
          <w:szCs w:val="21"/>
        </w:rPr>
        <w:t>28.6.1评审委员会依据本招标文件所约定的评标方法进行评审和比较，向招标代理机构提交书面评审报告，并根据评标方法比较评价结果从优到劣进行排序，并推荐中标候选人或确定中标供应商；</w:t>
      </w:r>
    </w:p>
    <w:p>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.3采用综合评分法的，按评审后得分由高到低顺序排列。得分相同的，按投标报价由低到高顺序排列。得分且投标报价相同的，按技术指标优劣顺序排列。</w:t>
      </w:r>
    </w:p>
    <w:p>
      <w:pPr>
        <w:spacing w:before="60" w:beforeLines="25" w:after="60" w:afterLines="25" w:line="360" w:lineRule="auto"/>
        <w:ind w:left="1575" w:leftChars="400" w:hanging="735" w:hangingChars="350"/>
        <w:rPr>
          <w:rFonts w:ascii="宋体" w:hAnsi="宋体" w:eastAsia="宋体" w:cs="Times New Roman"/>
          <w:bCs/>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5" w:name="_Toc129094399"/>
      <w:bookmarkStart w:id="216" w:name="_Toc129094556"/>
      <w:r>
        <w:rPr>
          <w:rFonts w:hint="eastAsia" w:ascii="宋体" w:hAnsi="宋体" w:eastAsia="宋体" w:cs="Times New Roman"/>
          <w:b/>
          <w:bCs/>
          <w:kern w:val="0"/>
          <w:sz w:val="24"/>
          <w:szCs w:val="20"/>
        </w:rPr>
        <w:t>编写评标报告</w:t>
      </w:r>
      <w:bookmarkEnd w:id="215"/>
      <w:bookmarkEnd w:id="216"/>
    </w:p>
    <w:p>
      <w:pPr>
        <w:spacing w:line="360" w:lineRule="auto"/>
        <w:ind w:left="-2" w:leftChars="-1" w:firstLine="424" w:firstLineChars="202"/>
        <w:rPr>
          <w:rFonts w:ascii="宋体" w:hAnsi="宋体" w:eastAsia="宋体" w:cs="Times New Roman"/>
          <w:szCs w:val="21"/>
        </w:rPr>
      </w:pPr>
      <w:r>
        <w:rPr>
          <w:rFonts w:hint="eastAsia" w:ascii="宋体" w:hAnsi="宋体" w:eastAsia="宋体" w:cs="Times New Roman"/>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eastAsia="宋体" w:cs="Times New Roman"/>
          <w:b/>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7" w:name="_Toc129094400"/>
      <w:bookmarkStart w:id="218" w:name="_Toc100052405"/>
      <w:bookmarkStart w:id="219" w:name="_Toc129094557"/>
      <w:bookmarkStart w:id="220" w:name="_Toc73521588"/>
      <w:bookmarkStart w:id="221" w:name="_Toc73518159"/>
      <w:bookmarkStart w:id="222" w:name="_Toc73521676"/>
      <w:bookmarkStart w:id="223" w:name="_Toc73517681"/>
      <w:r>
        <w:rPr>
          <w:rFonts w:hint="eastAsia" w:ascii="宋体" w:hAnsi="宋体" w:eastAsia="宋体" w:cs="Times New Roman"/>
          <w:b/>
          <w:bCs/>
          <w:kern w:val="0"/>
          <w:sz w:val="24"/>
          <w:szCs w:val="20"/>
        </w:rPr>
        <w:t>中标结果</w:t>
      </w:r>
      <w:bookmarkEnd w:id="217"/>
      <w:bookmarkEnd w:id="218"/>
      <w:bookmarkEnd w:id="219"/>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30.1为体现“公开、公平、公正”的原则，评标结束后，政府招标代理机构将在主管部门指定的政府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30.2评标委员会不直接向未通过符合性检查的投标人或者未中标的投标人解释落标原因，也不退还投标文件。</w:t>
      </w:r>
    </w:p>
    <w:p>
      <w:pPr>
        <w:snapToGrid w:val="0"/>
        <w:spacing w:line="360" w:lineRule="auto"/>
        <w:ind w:firstLine="411" w:firstLineChars="196"/>
        <w:rPr>
          <w:rFonts w:ascii="宋体" w:hAnsi="宋体" w:eastAsia="宋体" w:cs="Times New Roman"/>
          <w:szCs w:val="21"/>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4" w:name="_Toc129094558"/>
      <w:bookmarkStart w:id="225" w:name="_Toc100052406"/>
      <w:bookmarkStart w:id="226" w:name="_Toc129094401"/>
      <w:r>
        <w:rPr>
          <w:rFonts w:hint="eastAsia" w:ascii="宋体" w:hAnsi="宋体" w:eastAsia="宋体" w:cs="Times New Roman"/>
          <w:b/>
          <w:bCs/>
          <w:kern w:val="0"/>
          <w:sz w:val="24"/>
          <w:szCs w:val="20"/>
        </w:rPr>
        <w:t>中标通知书</w:t>
      </w:r>
      <w:bookmarkEnd w:id="224"/>
      <w:bookmarkEnd w:id="225"/>
      <w:bookmarkEnd w:id="226"/>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31</w:t>
      </w:r>
      <w:r>
        <w:rPr>
          <w:rFonts w:ascii="宋体" w:hAnsi="宋体" w:eastAsia="宋体" w:cs="Times New Roman"/>
          <w:szCs w:val="21"/>
        </w:rPr>
        <w:t>.</w:t>
      </w:r>
      <w:r>
        <w:rPr>
          <w:rFonts w:hint="eastAsia" w:ascii="宋体" w:hAnsi="宋体" w:eastAsia="宋体" w:cs="Times New Roman"/>
          <w:szCs w:val="21"/>
        </w:rPr>
        <w:t>1</w:t>
      </w:r>
      <w:bookmarkStart w:id="227" w:name="OLE_LINK12"/>
      <w:r>
        <w:rPr>
          <w:rFonts w:hint="eastAsia" w:ascii="宋体" w:hAnsi="宋体" w:eastAsia="宋体" w:cs="Times New Roman"/>
          <w:szCs w:val="21"/>
        </w:rPr>
        <w:t>中标公告公示期结束后,公示期内无人投诉,招标代理机构将通知中标供应商和采购单位凭单位</w:t>
      </w:r>
      <w:r>
        <w:rPr>
          <w:rFonts w:hint="eastAsia" w:ascii="宋体" w:hAnsi="宋体" w:eastAsia="宋体" w:cs="Times New Roman"/>
          <w:szCs w:val="24"/>
        </w:rPr>
        <w:t>工作证明或法人授权证明</w:t>
      </w:r>
      <w:r>
        <w:rPr>
          <w:rFonts w:hint="eastAsia" w:ascii="宋体" w:hAnsi="宋体" w:eastAsia="宋体" w:cs="Times New Roman"/>
          <w:szCs w:val="21"/>
        </w:rPr>
        <w:t>及本人身份证领取《中标通知书》。</w:t>
      </w:r>
      <w:bookmarkEnd w:id="227"/>
    </w:p>
    <w:bookmarkEnd w:id="220"/>
    <w:bookmarkEnd w:id="221"/>
    <w:bookmarkEnd w:id="222"/>
    <w:bookmarkEnd w:id="223"/>
    <w:p>
      <w:pPr>
        <w:spacing w:line="360" w:lineRule="auto"/>
        <w:ind w:firstLine="420" w:firstLineChars="200"/>
        <w:rPr>
          <w:rFonts w:ascii="宋体" w:hAnsi="宋体" w:eastAsia="宋体" w:cs="Times New Roman"/>
          <w:b/>
          <w:szCs w:val="24"/>
        </w:rPr>
      </w:pPr>
      <w:r>
        <w:rPr>
          <w:rFonts w:ascii="宋体" w:hAnsi="宋体" w:eastAsia="宋体" w:cs="Times New Roman"/>
          <w:szCs w:val="21"/>
        </w:rPr>
        <w:t>3</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2 中标通知书是合同的重要组成部分。</w:t>
      </w:r>
    </w:p>
    <w:p>
      <w:pPr>
        <w:spacing w:line="360" w:lineRule="auto"/>
        <w:rPr>
          <w:rFonts w:ascii="宋体" w:hAnsi="宋体" w:eastAsia="宋体" w:cs="Times New Roman"/>
          <w:b/>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8" w:name="_Toc310965150"/>
      <w:bookmarkStart w:id="229" w:name="_Toc129094559"/>
      <w:bookmarkStart w:id="230" w:name="_Toc129094402"/>
      <w:r>
        <w:rPr>
          <w:rFonts w:hint="eastAsia" w:ascii="宋体" w:hAnsi="宋体" w:eastAsia="宋体" w:cs="Times New Roman"/>
          <w:b/>
          <w:bCs/>
          <w:kern w:val="0"/>
          <w:sz w:val="24"/>
          <w:szCs w:val="20"/>
        </w:rPr>
        <w:t>中标服务费</w:t>
      </w:r>
      <w:bookmarkEnd w:id="228"/>
      <w:bookmarkEnd w:id="229"/>
      <w:bookmarkEnd w:id="230"/>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32.1</w:t>
      </w: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中标金额</w:t>
      </w:r>
      <w:r>
        <w:rPr>
          <w:rFonts w:hint="eastAsia" w:ascii="宋体" w:hAnsi="宋体"/>
          <w:szCs w:val="21"/>
        </w:rPr>
        <w:t>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。（招标代理服务费最低按人民币柒仟伍佰整计取）</w:t>
      </w:r>
      <w:r>
        <w:rPr>
          <w:rFonts w:hint="eastAsia" w:ascii="宋体" w:hAnsi="宋体" w:eastAsia="宋体" w:cs="Times New Roman"/>
          <w:szCs w:val="21"/>
        </w:rPr>
        <w:t>。具体</w:t>
      </w:r>
      <w:r>
        <w:rPr>
          <w:rFonts w:ascii="宋体" w:hAnsi="宋体" w:eastAsia="宋体" w:cs="Times New Roman"/>
          <w:szCs w:val="21"/>
        </w:rPr>
        <w:t>计取费率标准</w:t>
      </w:r>
      <w:r>
        <w:rPr>
          <w:rFonts w:hint="eastAsia" w:ascii="宋体" w:hAnsi="宋体" w:eastAsia="宋体" w:cs="Times New Roman"/>
          <w:szCs w:val="21"/>
        </w:rPr>
        <w:t>如下表所示：</w:t>
      </w:r>
    </w:p>
    <w:tbl>
      <w:tblPr>
        <w:tblStyle w:val="44"/>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2447" w:type="dxa"/>
            <w:tcBorders>
              <w:tl2br w:val="single" w:color="auto" w:sz="8" w:space="0"/>
            </w:tcBorders>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服务类型中标金额(万元)</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货物招标</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服务招标</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工程招标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100以下</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100-500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1.10%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500-1000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0.45%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1000-5000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5000-10000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0.10%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10000-100000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1000000以上</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r>
    </w:tbl>
    <w:p>
      <w:pPr>
        <w:spacing w:line="360" w:lineRule="auto"/>
        <w:ind w:left="420"/>
        <w:rPr>
          <w:rFonts w:ascii="宋体" w:hAnsi="宋体" w:eastAsia="宋体" w:cs="Times New Roman"/>
          <w:szCs w:val="24"/>
        </w:rPr>
      </w:pPr>
      <w:r>
        <w:rPr>
          <w:rFonts w:hint="eastAsia" w:ascii="宋体" w:hAnsi="宋体" w:eastAsia="宋体" w:cs="Times New Roman"/>
          <w:szCs w:val="24"/>
        </w:rPr>
        <w:t>32.2中标服务费以现金或银行转账形式交付。</w:t>
      </w:r>
    </w:p>
    <w:p>
      <w:pPr>
        <w:spacing w:line="360" w:lineRule="auto"/>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1" w:name="关于招标失败"/>
      <w:bookmarkEnd w:id="231"/>
      <w:bookmarkStart w:id="232" w:name="_Toc129094403"/>
      <w:bookmarkStart w:id="233" w:name="_Toc129094560"/>
      <w:r>
        <w:rPr>
          <w:rFonts w:hint="eastAsia" w:ascii="宋体" w:hAnsi="宋体" w:eastAsia="宋体" w:cs="Times New Roman"/>
          <w:b/>
          <w:bCs/>
          <w:kern w:val="0"/>
          <w:sz w:val="24"/>
          <w:szCs w:val="20"/>
        </w:rPr>
        <w:t>公开招标失败的后续处理</w:t>
      </w:r>
      <w:bookmarkEnd w:id="232"/>
      <w:bookmarkEnd w:id="233"/>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33.1本项目公开招标过程中若由于投标截止后实际递交</w:t>
      </w:r>
      <w:r>
        <w:rPr>
          <w:rFonts w:ascii="宋体" w:hAnsi="宋体" w:eastAsia="宋体" w:cs="Times New Roman"/>
          <w:szCs w:val="24"/>
        </w:rPr>
        <w:t>投标</w:t>
      </w:r>
      <w:r>
        <w:rPr>
          <w:rFonts w:hint="eastAsia" w:ascii="宋体" w:hAnsi="宋体" w:eastAsia="宋体" w:cs="Times New Roman"/>
          <w:szCs w:val="24"/>
        </w:rPr>
        <w:t>文件的供应商数量不足、经评标委员会评审对招标文件作实质响应的供应商不足等原因造成公开招标失败，可由招标代理机构重新组织采购。</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33.2对公开招标失败的项目，评标委员会在出具该项目招标失败结论的同时，提出重新采购组织形式的建议，以及进一步完善招标文件的资格、技术、商务要求的修改建议。</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33.3重新组织采购有以下两种组织形式：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（1）由招标代理机构重新组织公开招标；</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（2）根据实际情况需要向采购监督管理部门提出非公开招标方式申请，经采购监督管理部门批准公开招标失败采购项目可转为竞争性谈判或单一来源谈判方式采购。</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33.4公开招标失败的采购项目重新组织公开招标，招标代理机构要重新按公开招标流程发布采购公告和招标文件、组成评标委员会等组织采购活动。</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33.5公开招标失败的采购项目经采购监督管理部门批准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4" w:name="_Toc129094561"/>
      <w:bookmarkStart w:id="235" w:name="_Toc129094404"/>
      <w:r>
        <w:rPr>
          <w:rFonts w:hint="eastAsia" w:ascii="宋体" w:hAnsi="宋体" w:eastAsia="宋体" w:cs="Times New Roman"/>
          <w:b/>
          <w:bCs/>
          <w:kern w:val="0"/>
          <w:sz w:val="24"/>
          <w:szCs w:val="20"/>
        </w:rPr>
        <w:t>公开招标失败项目转为竞争性谈判方式采购的</w:t>
      </w:r>
      <w:bookmarkEnd w:id="234"/>
      <w:bookmarkEnd w:id="235"/>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34.1.1公开招标失败项目转为竞争性谈判方式采购的，原招标文件转为谈判文件。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34.2谈判小组</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34.2.1公开招标失败项目转为竞争性谈判方式采购后，评标委员会转为谈判小组；专家可重新抽取也可继续采用评标委员会内专家。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34.2.2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34.3谈判程序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34.3.1参加谈判的供应商和谈判小组成员填写谈判登记表，并交验证明文件（法定代表人证明书、法人授权委托书、被授权的谈判代表身份证原件）。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原招标文件或谈判邀请文件有实质性变动的，谈判小组应当通过招标代理机构通知所有参加谈判的供应商。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34.3.4谈判小组可以用书面形式要求各供应商对其谈判应答文件含义不明确的内容作必要的澄清或者说明，重要问题供应商应以书面形式进行澄清、说明。</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34.3.8有下列情形之一的，该供应商的谈判结果按无效标或废标处理，具体内容见原招标文件中不符合“资格、符合性评审条款”部分以及谈判邀请中相应的变动部分。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34.3.10谈判小组将对谈判过程进行记录，以存档备查。</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34.4评标方法和定标原则</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34.4.1根据《深圳市政府采购评标委员会和评标方法暂行规定》（深财购[2005]5号），竞争性谈判采购项目的评标方法要比照最低评标价法规定执行。如确因实际情况需要采用其他评标方法的，应报经采购监督管理部门批准。原招标文件若采用最低评标价法以外的评标方法，转为竞争性谈判后，评标方法应采用最低评标价法。</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34.4.2对公开招标失败转为竞争性谈判方式采购的项目，谈判小组对谈判应答文件进行评审和比较，综合各家供应商最终的方案、服务和投资等谈判结果并按本通用条款第37.1.1款的最低评标价法进行评审。</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34.4.3若要采用其他评标方法的，必须报经采购监督管理部门批准，谈判小组按批准的评标方法进行评审。谈判邀请文件中应注明批准的评标方法。</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34.4.4谈判小组向招标代理机构提交书面评标报告，并推荐中标候选人或确定中标供应商。</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6" w:name="_Toc129094562"/>
      <w:bookmarkStart w:id="237" w:name="_Toc129094405"/>
      <w:r>
        <w:rPr>
          <w:rFonts w:hint="eastAsia" w:ascii="宋体" w:hAnsi="宋体" w:eastAsia="宋体" w:cs="Times New Roman"/>
          <w:b/>
          <w:bCs/>
          <w:kern w:val="0"/>
          <w:sz w:val="24"/>
          <w:szCs w:val="20"/>
        </w:rPr>
        <w:t>邀请招标失败项目转为单一来源谈判方式采购</w:t>
      </w:r>
      <w:bookmarkEnd w:id="236"/>
      <w:bookmarkEnd w:id="237"/>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35.1.1邀请招标失败项目转为单一来源谈判方式采购的，原招标文件转为谈判文件。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35.2谈判小组</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35.2.1邀请招标失败项目转为单一来源谈判方式采购后，评标委员会转为谈判小组，专家可重新抽取也可继续采用评标委员会内专家。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35.2.2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35.3谈判程序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35.3.1参加谈判的供应商和谈判小组成员填写谈判登记表，并交验证明文件（法定代表人证明书、法人授权委托书、被授权的谈判代表身份证原件）。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原招标文件或谈判邀请文件有实质性变动的，谈判小组应当通过招标代理机构通知供应商。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35.3.4谈判小组可以用书面形式要求供应商对其谈判应答文件含义不明确的内容作必要的澄清或者说明，重要问题供应商应以书面形式进行澄清、说明。</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35.3.7谈判小组与单一来源供应商进行谈判。供应商有两次更改机会；供应商应在规定的时间内提出最后更改及书面承诺。</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35.3.8有下列情形之一的，供应商的谈判结果作废标处理，具体内容见原招标文件中不符合“资格、符合性评审条款”部分以及谈判邀请中相应的变动部分。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35.3.10谈判小组将对谈判过程进行记录，以存档备查。</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35.4评标方法和定标原则</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35.4.1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35.4.2谈判小组向招标代理机构提交书面评标报告，并推荐中标候选人或确定中标供应商。</w:t>
      </w:r>
    </w:p>
    <w:bookmarkEnd w:id="208"/>
    <w:bookmarkEnd w:id="209"/>
    <w:bookmarkEnd w:id="210"/>
    <w:bookmarkEnd w:id="211"/>
    <w:bookmarkEnd w:id="212"/>
    <w:p>
      <w:pPr>
        <w:keepNext/>
        <w:keepLines/>
        <w:numPr>
          <w:ilvl w:val="0"/>
          <w:numId w:val="1"/>
        </w:numPr>
        <w:spacing w:line="360" w:lineRule="auto"/>
        <w:ind w:left="851" w:hanging="425"/>
        <w:jc w:val="center"/>
        <w:outlineLvl w:val="0"/>
        <w:rPr>
          <w:rFonts w:ascii="宋体" w:hAnsi="宋体" w:eastAsia="宋体" w:cs="Times New Roman"/>
          <w:b/>
          <w:bCs/>
          <w:kern w:val="44"/>
          <w:sz w:val="28"/>
          <w:szCs w:val="28"/>
        </w:rPr>
      </w:pPr>
      <w:bookmarkStart w:id="238" w:name="_Toc129094563"/>
      <w:r>
        <w:rPr>
          <w:rFonts w:hint="eastAsia" w:ascii="宋体" w:hAnsi="宋体" w:eastAsia="宋体" w:cs="Times New Roman"/>
          <w:b/>
          <w:bCs/>
          <w:kern w:val="44"/>
          <w:sz w:val="28"/>
          <w:szCs w:val="28"/>
        </w:rPr>
        <w:t>授予合同</w:t>
      </w:r>
      <w:bookmarkEnd w:id="238"/>
    </w:p>
    <w:p>
      <w:pPr>
        <w:spacing w:line="360" w:lineRule="auto"/>
        <w:rPr>
          <w:rFonts w:ascii="宋体" w:hAnsi="宋体" w:eastAsia="宋体" w:cs="Times New Roman"/>
          <w:szCs w:val="24"/>
        </w:rPr>
      </w:pP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9" w:name="_Toc129094407"/>
      <w:bookmarkStart w:id="240" w:name="_Ref179619520"/>
      <w:bookmarkStart w:id="241" w:name="_Toc129094564"/>
      <w:r>
        <w:rPr>
          <w:rFonts w:hint="eastAsia" w:ascii="宋体" w:hAnsi="宋体" w:eastAsia="宋体" w:cs="Times New Roman"/>
          <w:b/>
          <w:bCs/>
          <w:kern w:val="0"/>
          <w:sz w:val="24"/>
          <w:szCs w:val="20"/>
        </w:rPr>
        <w:t>签订合同</w:t>
      </w:r>
      <w:bookmarkEnd w:id="239"/>
      <w:bookmarkEnd w:id="240"/>
      <w:bookmarkEnd w:id="241"/>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36.1采购人和中标人应当按“投标人须知前附表”的规定，依据招标文件和中标人的投标文件订立书面合同。</w:t>
      </w:r>
    </w:p>
    <w:p>
      <w:pPr>
        <w:spacing w:line="360" w:lineRule="auto"/>
        <w:rPr>
          <w:rFonts w:ascii="宋体" w:hAnsi="宋体" w:eastAsia="宋体" w:cs="Times New Roman"/>
          <w:szCs w:val="24"/>
        </w:rPr>
      </w:pPr>
      <w:r>
        <w:rPr>
          <w:rFonts w:hint="eastAsia" w:ascii="宋体" w:hAnsi="宋体" w:eastAsia="宋体" w:cs="Times New Roman"/>
          <w:szCs w:val="24"/>
        </w:rPr>
        <w:t>　　36.2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2" w:name="_Toc129094565"/>
      <w:bookmarkStart w:id="243" w:name="_Toc129094408"/>
      <w:r>
        <w:rPr>
          <w:rFonts w:hint="eastAsia" w:ascii="宋体" w:hAnsi="宋体" w:eastAsia="宋体" w:cs="Times New Roman"/>
          <w:b/>
          <w:bCs/>
          <w:kern w:val="0"/>
          <w:sz w:val="24"/>
          <w:szCs w:val="20"/>
        </w:rPr>
        <w:t>履约担保</w:t>
      </w:r>
      <w:bookmarkEnd w:id="242"/>
      <w:bookmarkEnd w:id="243"/>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37.1本项目履约担保的相关要求：详见“投标人须知前附表”。</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37.2在签订合同前，中标人应按规定向采购人提交履约担保，采用履约保函形式的可参照使用本招标文件提供的格式。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37.3联合体中标的，其履约担保由联合体牵头人提交。</w:t>
      </w:r>
    </w:p>
    <w:p>
      <w:pPr>
        <w:spacing w:line="360" w:lineRule="auto"/>
        <w:ind w:left="426"/>
        <w:rPr>
          <w:rFonts w:ascii="宋体" w:hAnsi="宋体" w:eastAsia="宋体" w:cs="Times New Roman"/>
          <w:szCs w:val="24"/>
        </w:rPr>
      </w:pPr>
      <w:r>
        <w:rPr>
          <w:rFonts w:hint="eastAsia" w:ascii="宋体" w:hAnsi="宋体" w:eastAsia="宋体" w:cs="Times New Roman"/>
          <w:szCs w:val="24"/>
        </w:rPr>
        <w:t>37.4如果中标人拒不提交符合要求的履约担保的，采购人可取消其中标资格，并没收其投标担保。</w:t>
      </w:r>
    </w:p>
    <w:p>
      <w:pPr>
        <w:spacing w:line="360" w:lineRule="auto"/>
        <w:ind w:left="426"/>
        <w:rPr>
          <w:rFonts w:ascii="宋体" w:hAnsi="宋体" w:eastAsia="宋体" w:cs="Times New Roman"/>
          <w:szCs w:val="21"/>
        </w:rPr>
      </w:pPr>
    </w:p>
    <w:p>
      <w:pPr>
        <w:keepNext/>
        <w:keepLines/>
        <w:numPr>
          <w:ilvl w:val="0"/>
          <w:numId w:val="1"/>
        </w:numPr>
        <w:spacing w:line="360" w:lineRule="auto"/>
        <w:ind w:left="851" w:hanging="425"/>
        <w:jc w:val="center"/>
        <w:outlineLvl w:val="0"/>
        <w:rPr>
          <w:rFonts w:ascii="宋体" w:hAnsi="宋体" w:eastAsia="宋体" w:cs="Times New Roman"/>
          <w:b/>
          <w:bCs/>
          <w:kern w:val="44"/>
          <w:sz w:val="28"/>
          <w:szCs w:val="28"/>
        </w:rPr>
      </w:pPr>
      <w:bookmarkStart w:id="244" w:name="bt合同的授予"/>
      <w:bookmarkEnd w:id="244"/>
      <w:bookmarkStart w:id="245" w:name="_Toc129094566"/>
      <w:r>
        <w:rPr>
          <w:rFonts w:hint="eastAsia" w:ascii="宋体" w:hAnsi="宋体" w:eastAsia="宋体" w:cs="Times New Roman"/>
          <w:b/>
          <w:bCs/>
          <w:kern w:val="44"/>
          <w:sz w:val="28"/>
          <w:szCs w:val="28"/>
        </w:rPr>
        <w:t>质疑的受理及处理</w:t>
      </w:r>
      <w:bookmarkEnd w:id="245"/>
    </w:p>
    <w:p>
      <w:pPr>
        <w:keepNext/>
        <w:keepLines/>
        <w:numPr>
          <w:ilvl w:val="0"/>
          <w:numId w:val="2"/>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6" w:name="_Toc129094567"/>
      <w:bookmarkStart w:id="247" w:name="_Toc129094410"/>
      <w:r>
        <w:rPr>
          <w:rFonts w:hint="eastAsia" w:ascii="宋体" w:hAnsi="宋体" w:eastAsia="宋体" w:cs="Times New Roman"/>
          <w:b/>
          <w:bCs/>
          <w:kern w:val="0"/>
          <w:sz w:val="24"/>
          <w:szCs w:val="20"/>
        </w:rPr>
        <w:t>质疑受理机构及原则</w:t>
      </w:r>
      <w:bookmarkEnd w:id="246"/>
      <w:bookmarkEnd w:id="247"/>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38.1质疑受理机构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招标代理机构及采购人</w:t>
      </w:r>
      <w:r>
        <w:rPr>
          <w:rFonts w:ascii="宋体" w:hAnsi="宋体" w:eastAsia="宋体" w:cs="Times New Roman"/>
          <w:szCs w:val="24"/>
        </w:rPr>
        <w:t>负责受理和答复质疑。</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38.2质疑处理原则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38.2.1</w:t>
      </w:r>
      <w:r>
        <w:rPr>
          <w:rFonts w:ascii="宋体" w:hAnsi="宋体" w:eastAsia="宋体" w:cs="Times New Roman"/>
          <w:szCs w:val="24"/>
        </w:rPr>
        <w:t>质疑处理遵循公平、公正、规范、高效的原则。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38.2.2</w:t>
      </w:r>
      <w:r>
        <w:rPr>
          <w:rFonts w:ascii="宋体" w:hAnsi="宋体" w:eastAsia="宋体" w:cs="Times New Roman"/>
          <w:szCs w:val="24"/>
        </w:rPr>
        <w:t>供应商质疑实行实名制和“谁质疑，谁举证”的原则，质疑应有具体的事项及事实根据。</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38.3质疑受理的时效和范围</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38.3.1供应商认为采购文件、采购过程和中标、成交结果使自己权益受到损害的，可以在公示期内，以书面形式向招标代理机构提出质疑。</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38.3.2供应商对采购文件有疑问的，招标代理机构及采购人按答疑程序处理；供应商对采购文件有异议的，按质疑程序处理。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38.4质疑条件</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38.4.1提出质疑的应是直接参与相应采购项目的供应商。以联合体形式参与的，由联合体共同提出；</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38.4.2提供质疑的项目名称和编号、质疑供应商的单位名称、详细地址、邮政编码、联系人及联系电话等基本情况；</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38.4.3有质疑的具体事项、请求及理由，并附相关证据材料；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38.4.4质疑书加盖公章，被授权人进行质疑的同时提交法人授权委托书；</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38.4.5质疑材料中有外文资料的，应一并附上中文译本，并以中文译本为准。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38.4.6质疑不得超过质疑受理的时效和范围。</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不符合上述条件的，我招标代理机构不予受理。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38.5受理质疑办理程序</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38.5.1先与质疑供应商进行沟通，以消除因误解或对采购规则和程序的不了解而引起的质疑。对沟通情况满意的，供应商撤回质疑，质疑处理程序终止。</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38.5.2处理质疑一般进行书面审查；必要时听取各方当事人的陈述和申辩、进行相关调查；组织原评标委员会或谈判小组进行复议。</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38.5.3在质疑处理期间，招标代理机构视情形决定暂停采购活动。</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38.5.4招标代理机构原则上在质疑受理之日起七个工作日内书面答复质疑供应商。答复函以直接领取、传真或邮寄方式送达。</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38.5.5供应商向招标代理机构提出质疑后，在质疑处理期限内，不得同时向其他方面提起同一质疑。质疑供应商如已就同一事项提起投诉、提请行政复议或诉讼的，质疑程序终止。</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36.6相关责任与义务</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38.6.1采购单位、评标专家和相关供应商等当事人应积极配合招标代理机构进行质疑调查，如实反映情况，及时提供证明材料。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质疑供应商有下列情形之一的，属于虚假、恶意质疑，招标代理机构将有权力将质疑供应商虚假、恶意质疑的行为上报政府采购监督管理部门，并视情节提请政府采购监督管理部门给予一定年限内禁止参与政府采购活动资格或其他处罚：</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38.6.2.1捏造事实或提供虚假证明材料的；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38.6.2.2假冒他人名义进行质疑的；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38.6.2.3拒不配合进行有关调查、情节严重的。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  其他</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38.7.1  本招标文件的解释权归招标代理机构所有，招标代理机构在征得采购人或相关主管部门同意后，有权在法律允许范围内调整本次招标活动的细节及保留最终解释权。</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38.7.2 招标代理机构向投标人提供的资料和数据，是招标代理机构现有的能供投标人利用的资料，招标代理机构对投标人由此而作出的推论、理解和结论概不负责。</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38.7.3 如果投标人实质上不符合投标资格，即使已购买招标文件、参加投标并缴纳各种费用，招标代理机构或采购人可以随时取消其投标或中标资格，招标代理机构或采购人对该投标人的一切损失概不责任。</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38.7.4 中标无效的，发出的中标通知书和签订的合同自始没有法律约束力，但不影响合同中存在的有关解决争议方法的条款的效力。</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38.7.5 本招标文件所有的附件与本招标文件具有同等效力。</w:t>
      </w:r>
    </w:p>
    <w:p>
      <w:pPr>
        <w:keepNext/>
        <w:keepLines/>
        <w:spacing w:line="360" w:lineRule="auto"/>
        <w:jc w:val="center"/>
        <w:outlineLvl w:val="0"/>
        <w:rPr>
          <w:rFonts w:ascii="宋体" w:hAnsi="宋体" w:eastAsia="宋体" w:cs="Times New Roman"/>
          <w:b/>
          <w:bCs/>
          <w:kern w:val="44"/>
          <w:sz w:val="28"/>
          <w:szCs w:val="28"/>
        </w:rPr>
      </w:pPr>
      <w:bookmarkStart w:id="248" w:name="_Toc129094568"/>
      <w:r>
        <w:rPr>
          <w:rFonts w:hint="eastAsia" w:ascii="宋体" w:hAnsi="宋体" w:eastAsia="宋体" w:cs="Times New Roman"/>
          <w:b/>
          <w:bCs/>
          <w:kern w:val="44"/>
          <w:sz w:val="28"/>
          <w:szCs w:val="28"/>
        </w:rPr>
        <w:t xml:space="preserve">第九章  </w:t>
      </w:r>
      <w:r>
        <w:rPr>
          <w:rFonts w:ascii="宋体" w:hAnsi="宋体" w:eastAsia="宋体" w:cs="Times New Roman"/>
          <w:b/>
          <w:bCs/>
          <w:kern w:val="44"/>
          <w:sz w:val="28"/>
          <w:szCs w:val="28"/>
        </w:rPr>
        <w:t>中小企业划型标准规定</w:t>
      </w:r>
      <w:bookmarkEnd w:id="248"/>
    </w:p>
    <w:p>
      <w:pPr>
        <w:spacing w:after="60" w:line="360" w:lineRule="auto"/>
        <w:ind w:firstLine="420" w:firstLineChars="200"/>
        <w:rPr>
          <w:rFonts w:ascii="Times New Roman" w:hAnsi="Times New Roman" w:eastAsia="宋体" w:cs="Times New Roman"/>
          <w:szCs w:val="21"/>
        </w:rPr>
      </w:pPr>
      <w:r>
        <w:rPr>
          <w:rFonts w:ascii="宋体" w:hAnsi="宋体" w:eastAsia="宋体" w:cs="Times New Roman"/>
          <w:kern w:val="0"/>
          <w:szCs w:val="21"/>
        </w:rPr>
        <w:t>　　</w:t>
      </w:r>
      <w:r>
        <w:rPr>
          <w:rFonts w:ascii="Times New Roman" w:hAnsi="Times New Roman" w:eastAsia="宋体" w:cs="Times New Roman"/>
          <w:szCs w:val="21"/>
        </w:rPr>
        <w:t>一、根据《中华人民共和国中小企业促进法》和《国务院关于进一步促进中小企业发展的若干意见》(国发〔2009〕36号)，制定本规定。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二、中小企业划分为中型、小型、微型三种类型，具体标准根据企业从业人员、营业收入、资产总额等指标，结合行业特点制定。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四、各行业划型标准为：</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（一）农、林、牧、渔业。营业收入20000万元以下的为中小微型企业。其中，营业收入500万元及以上的为中型企业，营业收入50万元及以上的为小型企业，营业收入50万元以下的为微型企业。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（十六）其他未列明行业。从业人员300人以下的为中小微型企业。其中，从业人员100人及以上的为中型企业；从业人员10人及以上的为小型企业；从业人员10人以下的为微型企业。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五、企业类型的划分以统计部门的统计数据为依据。</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六、本规定适用于在中华人民共和国境内依法设立的各类所有制和各种组织形式的企业。个体工商户和本规定以外的行业，参照本规定进行划型。</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八、本规定由工业和信息化部、国家统计局会同有关部门根据《国民经济行业分类》修订情况和企业发展变化情况适时修订。</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九、本规定由工业和信息化部、国家统计局会同有关部门负责解释。</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　　十、本规定自发布之日起执行，原国家经贸委、原国家计委、财政部和国家统计局2003年颁布的《中小企业标准暂行规定》同时废止</w:t>
      </w:r>
      <w:r>
        <w:rPr>
          <w:rFonts w:hint="eastAsia" w:ascii="Times New Roman" w:hAnsi="Times New Roman" w:eastAsia="宋体" w:cs="Times New Roman"/>
          <w:szCs w:val="21"/>
        </w:rPr>
        <w:t>。</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ascii="宋体" w:hAnsi="宋体" w:eastAsia="宋体" w:cs="Times New Roman"/>
          <w:szCs w:val="21"/>
        </w:rPr>
        <w:br w:type="page"/>
      </w:r>
    </w:p>
    <w:p>
      <w:pPr>
        <w:keepNext/>
        <w:keepLines/>
        <w:spacing w:line="360" w:lineRule="auto"/>
        <w:jc w:val="center"/>
        <w:outlineLvl w:val="0"/>
        <w:rPr>
          <w:rFonts w:ascii="黑体" w:hAnsi="黑体" w:eastAsia="黑体" w:cs="Times New Roman"/>
          <w:b/>
          <w:bCs/>
          <w:kern w:val="44"/>
          <w:sz w:val="44"/>
          <w:szCs w:val="44"/>
        </w:rPr>
      </w:pPr>
      <w:bookmarkStart w:id="249" w:name="_Toc21620076"/>
      <w:bookmarkStart w:id="250" w:name="_Toc129094569"/>
      <w:r>
        <w:rPr>
          <w:rFonts w:hint="eastAsia" w:ascii="黑体" w:hAnsi="黑体" w:eastAsia="黑体" w:cs="Times New Roman"/>
          <w:b/>
          <w:bCs/>
          <w:kern w:val="44"/>
          <w:sz w:val="44"/>
          <w:szCs w:val="44"/>
        </w:rPr>
        <w:t>第二部分  合同格式</w:t>
      </w:r>
      <w:bookmarkEnd w:id="249"/>
      <w:bookmarkEnd w:id="250"/>
    </w:p>
    <w:p>
      <w:pPr>
        <w:tabs>
          <w:tab w:val="left" w:pos="4140"/>
          <w:tab w:val="left" w:pos="8820"/>
        </w:tabs>
        <w:spacing w:line="360" w:lineRule="auto"/>
        <w:ind w:firstLine="210" w:firstLineChars="100"/>
        <w:jc w:val="center"/>
        <w:rPr>
          <w:rFonts w:ascii="宋体" w:hAnsi="宋体" w:eastAsia="宋体" w:cs="Times New Roman"/>
          <w:szCs w:val="21"/>
        </w:rPr>
      </w:pPr>
      <w:r>
        <w:rPr>
          <w:rFonts w:hint="eastAsia" w:ascii="宋体" w:hAnsi="宋体" w:eastAsia="宋体" w:cs="Times New Roman"/>
          <w:szCs w:val="21"/>
        </w:rPr>
        <w:t>（仅供参考，在签订合同时要具体细化和修改）</w:t>
      </w:r>
    </w:p>
    <w:p>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ascii="黑体" w:eastAsia="黑体"/>
          <w:bCs/>
          <w:sz w:val="32"/>
          <w:szCs w:val="32"/>
        </w:rPr>
      </w:pPr>
    </w:p>
    <w:p>
      <w:pPr>
        <w:adjustRightInd w:val="0"/>
        <w:snapToGrid w:val="0"/>
        <w:spacing w:after="120" w:afterLines="50" w:line="560" w:lineRule="exact"/>
        <w:jc w:val="center"/>
        <w:rPr>
          <w:sz w:val="36"/>
          <w:szCs w:val="36"/>
        </w:rPr>
      </w:pPr>
      <w:r>
        <w:rPr>
          <w:rFonts w:hint="eastAsia" w:ascii="黑体" w:hAnsi="Times New Roman" w:eastAsia="黑体" w:cs="Times New Roman"/>
          <w:bCs/>
          <w:sz w:val="36"/>
          <w:szCs w:val="36"/>
        </w:rPr>
        <w:t xml:space="preserve">服 务 采 购 </w:t>
      </w:r>
      <w:r>
        <w:rPr>
          <w:rFonts w:hint="eastAsia" w:ascii="黑体" w:eastAsia="黑体"/>
          <w:bCs/>
          <w:sz w:val="36"/>
          <w:szCs w:val="36"/>
        </w:rPr>
        <w:t>合 同</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20" w:beforeLines="50" w:after="120" w:afterLines="50" w:line="300" w:lineRule="auto"/>
        <w:ind w:left="1964" w:leftChars="266" w:hanging="1405" w:hangingChars="500"/>
        <w:rPr>
          <w:b/>
          <w:sz w:val="28"/>
          <w:szCs w:val="28"/>
          <w:u w:val="single"/>
        </w:rPr>
      </w:pPr>
      <w:r>
        <w:rPr>
          <w:rFonts w:hint="eastAsia"/>
          <w:b/>
          <w:sz w:val="28"/>
          <w:szCs w:val="28"/>
        </w:rPr>
        <w:t>项目名称 ：</w:t>
      </w:r>
      <w:r>
        <w:rPr>
          <w:rFonts w:hint="eastAsia"/>
          <w:b/>
          <w:sz w:val="28"/>
          <w:szCs w:val="28"/>
          <w:u w:val="single"/>
        </w:rPr>
        <w:t xml:space="preserve">  住宅小区电动自行车充换电设施建设推广及规范化管理技术服务                                      </w:t>
      </w:r>
    </w:p>
    <w:p>
      <w:pPr>
        <w:tabs>
          <w:tab w:val="left" w:leader="underscore" w:pos="180"/>
          <w:tab w:val="left" w:pos="2160"/>
          <w:tab w:val="left" w:pos="6480"/>
        </w:tabs>
        <w:spacing w:before="120" w:beforeLines="50" w:after="120"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深圳市住房和建设局                                       </w:t>
      </w:r>
    </w:p>
    <w:p>
      <w:pPr>
        <w:tabs>
          <w:tab w:val="left" w:pos="180"/>
          <w:tab w:val="left" w:pos="7200"/>
        </w:tabs>
        <w:spacing w:before="120" w:beforeLines="50" w:after="120"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3780"/>
        </w:tabs>
        <w:spacing w:after="120"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pPr>
        <w:spacing w:before="120" w:beforeLines="50" w:after="120" w:afterLines="50" w:line="300" w:lineRule="auto"/>
        <w:ind w:left="180"/>
        <w:jc w:val="center"/>
        <w:rPr>
          <w:rFonts w:ascii="黑体" w:eastAsia="黑体"/>
          <w:sz w:val="24"/>
        </w:rPr>
      </w:pPr>
    </w:p>
    <w:p>
      <w:pPr>
        <w:spacing w:before="120" w:beforeLines="50" w:after="120" w:afterLines="50" w:line="300" w:lineRule="auto"/>
        <w:ind w:left="180"/>
        <w:jc w:val="center"/>
        <w:rPr>
          <w:rFonts w:ascii="黑体" w:eastAsia="黑体"/>
          <w:sz w:val="28"/>
          <w:szCs w:val="28"/>
        </w:rPr>
      </w:pPr>
      <w:r>
        <w:rPr>
          <w:rFonts w:hint="eastAsia" w:ascii="黑体" w:eastAsia="黑体"/>
          <w:sz w:val="28"/>
          <w:szCs w:val="28"/>
        </w:rPr>
        <w:br w:type="page"/>
      </w:r>
      <w:r>
        <w:rPr>
          <w:rFonts w:hint="eastAsia" w:ascii="黑体" w:eastAsia="黑体"/>
          <w:sz w:val="28"/>
          <w:szCs w:val="28"/>
        </w:rPr>
        <w:t>特别提示</w:t>
      </w:r>
    </w:p>
    <w:p>
      <w:pPr>
        <w:spacing w:before="120" w:beforeLines="50" w:after="120" w:afterLines="50" w:line="300" w:lineRule="auto"/>
        <w:ind w:firstLine="480" w:firstLineChars="20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pPr>
        <w:spacing w:before="120" w:beforeLines="50" w:after="120" w:afterLines="50" w:line="300" w:lineRule="auto"/>
        <w:ind w:firstLine="480" w:firstLineChars="200"/>
        <w:jc w:val="left"/>
        <w:rPr>
          <w:sz w:val="24"/>
        </w:rPr>
      </w:pPr>
      <w:r>
        <w:rPr>
          <w:rFonts w:hint="eastAsia"/>
          <w:sz w:val="24"/>
        </w:rPr>
        <w:t>二、关于封面的填写。封面显示的是项目名称、双方当事人的名称、合同编号等，供当事人在归档时甄别使用，其内容请与合同正文内容保持一致。</w:t>
      </w:r>
    </w:p>
    <w:p>
      <w:pPr>
        <w:spacing w:before="120" w:beforeLines="50" w:after="120" w:afterLines="50" w:line="300" w:lineRule="auto"/>
        <w:ind w:firstLine="480" w:firstLineChars="200"/>
        <w:jc w:val="left"/>
        <w:rPr>
          <w:sz w:val="24"/>
        </w:rPr>
      </w:pPr>
      <w:r>
        <w:rPr>
          <w:rFonts w:hint="eastAsia"/>
          <w:sz w:val="24"/>
        </w:rPr>
        <w:t>三、关于正文部分当事人基本情况的填写。当事人基本情况主要是供当事人在履行合同时通讯和付款使用，因此所填内容请确保信息准确。</w:t>
      </w:r>
    </w:p>
    <w:p>
      <w:pPr>
        <w:spacing w:before="120" w:beforeLines="50" w:after="120" w:afterLines="50" w:line="300" w:lineRule="auto"/>
        <w:ind w:firstLine="480" w:firstLineChars="200"/>
        <w:jc w:val="left"/>
        <w:rPr>
          <w:rFonts w:eastAsia="宋体"/>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pPr>
        <w:spacing w:before="120" w:beforeLines="50" w:after="120"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pPr>
        <w:spacing w:before="120" w:beforeLines="50" w:after="120" w:afterLines="50" w:line="300" w:lineRule="auto"/>
        <w:ind w:firstLine="480" w:firstLineChars="20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pPr>
        <w:spacing w:before="120" w:beforeLines="50" w:after="120" w:afterLines="50" w:line="300" w:lineRule="auto"/>
        <w:ind w:firstLine="480" w:firstLineChars="200"/>
        <w:jc w:val="left"/>
        <w:rPr>
          <w:sz w:val="24"/>
        </w:rPr>
      </w:pPr>
    </w:p>
    <w:p>
      <w:pPr>
        <w:tabs>
          <w:tab w:val="left" w:pos="4140"/>
          <w:tab w:val="left" w:pos="8820"/>
        </w:tabs>
        <w:adjustRightInd w:val="0"/>
        <w:snapToGrid w:val="0"/>
        <w:spacing w:line="560" w:lineRule="exact"/>
        <w:ind w:firstLine="602" w:firstLineChars="200"/>
        <w:jc w:val="left"/>
        <w:rPr>
          <w:b/>
          <w:sz w:val="30"/>
        </w:rPr>
      </w:pPr>
    </w:p>
    <w:p>
      <w:pPr>
        <w:spacing w:line="580" w:lineRule="exact"/>
        <w:ind w:firstLine="640" w:firstLineChars="200"/>
        <w:rPr>
          <w:rFonts w:ascii="仿宋_GB2312" w:eastAsia="仿宋_GB2312"/>
          <w:color w:val="000000"/>
          <w:sz w:val="32"/>
          <w:szCs w:val="32"/>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sz w:val="24"/>
        </w:rPr>
      </w:pPr>
      <w:r>
        <w:rPr>
          <w:rFonts w:hint="eastAsia"/>
          <w:b/>
          <w:sz w:val="24"/>
        </w:rPr>
        <w:br w:type="page"/>
      </w:r>
      <w:r>
        <w:rPr>
          <w:rFonts w:hint="eastAsia"/>
          <w:b/>
          <w:sz w:val="24"/>
        </w:rPr>
        <w:t>甲方（委托方）</w:t>
      </w:r>
      <w:r>
        <w:rPr>
          <w:rFonts w:hint="eastAsia"/>
          <w:sz w:val="24"/>
        </w:rPr>
        <w:t>：</w:t>
      </w:r>
      <w:r>
        <w:rPr>
          <w:rFonts w:hint="eastAsia"/>
          <w:sz w:val="24"/>
          <w:u w:val="single"/>
        </w:rPr>
        <w:t xml:space="preserve">        深圳市住房和建设局                                      </w:t>
      </w:r>
    </w:p>
    <w:p>
      <w:pPr>
        <w:tabs>
          <w:tab w:val="left" w:pos="7920"/>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深圳市福田区振华路8号设计大厦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朱恩平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深圳市福田区振华路8号设计大厦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518000    </w:t>
      </w:r>
      <w:r>
        <w:rPr>
          <w:rFonts w:hint="eastAsia"/>
          <w:sz w:val="24"/>
          <w:u w:val="single"/>
        </w:rPr>
        <w:tab/>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0755-            </w:t>
      </w:r>
      <w:r>
        <w:rPr>
          <w:rFonts w:hint="eastAsia"/>
          <w:b/>
          <w:sz w:val="24"/>
        </w:rPr>
        <w:t>传真：</w:t>
      </w:r>
      <w:r>
        <w:rPr>
          <w:rFonts w:hint="eastAsia"/>
          <w:sz w:val="24"/>
          <w:u w:val="single"/>
        </w:rPr>
        <w:t xml:space="preserve">   0755-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rFonts w:ascii="Times New Roman" w:hAnsi="Times New Roman" w:eastAsia="宋体" w:cs="Times New Roman"/>
          <w:b/>
          <w:sz w:val="24"/>
        </w:rPr>
      </w:pPr>
    </w:p>
    <w:p>
      <w:pPr>
        <w:tabs>
          <w:tab w:val="left" w:pos="8820"/>
        </w:tabs>
        <w:adjustRightInd w:val="0"/>
        <w:snapToGrid w:val="0"/>
        <w:spacing w:line="560" w:lineRule="exact"/>
        <w:rPr>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eastAsia="宋体"/>
          <w:b/>
          <w:sz w:val="24"/>
          <w:u w:val="single"/>
        </w:rPr>
      </w:pPr>
      <w:r>
        <w:rPr>
          <w:rFonts w:hint="eastAsia"/>
          <w:b/>
          <w:sz w:val="24"/>
        </w:rPr>
        <w:t>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adjustRightInd w:val="0"/>
        <w:snapToGrid w:val="0"/>
        <w:spacing w:after="120" w:afterLines="50" w:line="560" w:lineRule="exact"/>
        <w:rPr>
          <w:sz w:val="24"/>
        </w:rPr>
      </w:pPr>
    </w:p>
    <w:p>
      <w:pPr>
        <w:adjustRightInd w:val="0"/>
        <w:snapToGrid w:val="0"/>
        <w:spacing w:before="120" w:beforeLines="50" w:after="120" w:afterLines="50" w:line="360" w:lineRule="auto"/>
        <w:ind w:firstLine="360" w:firstLineChars="150"/>
        <w:rPr>
          <w:rFonts w:ascii="宋体" w:hAnsi="宋体"/>
          <w:sz w:val="24"/>
        </w:rPr>
      </w:pPr>
    </w:p>
    <w:p>
      <w:pPr>
        <w:adjustRightInd w:val="0"/>
        <w:snapToGrid w:val="0"/>
        <w:spacing w:before="120" w:beforeLines="50" w:after="120" w:afterLines="50" w:line="360" w:lineRule="auto"/>
        <w:rPr>
          <w:rFonts w:ascii="宋体" w:hAnsi="宋体"/>
          <w:sz w:val="24"/>
        </w:rPr>
      </w:pPr>
    </w:p>
    <w:p>
      <w:pPr>
        <w:adjustRightInd w:val="0"/>
        <w:snapToGrid w:val="0"/>
        <w:spacing w:before="120" w:beforeLines="50" w:after="120" w:afterLines="50" w:line="360" w:lineRule="auto"/>
        <w:rPr>
          <w:rFonts w:ascii="宋体" w:hAnsi="宋体"/>
          <w:sz w:val="24"/>
        </w:rPr>
      </w:pPr>
      <w:r>
        <w:rPr>
          <w:rFonts w:hint="eastAsia" w:ascii="宋体" w:hAnsi="宋体"/>
          <w:sz w:val="24"/>
        </w:rPr>
        <w:t>根据《中华人民共和国民法典》及相关法律、行政法规，并依据</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中标通知书（项目编号：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”项目事宜协商一致，签订本合同，双方承诺遵守并切实履行下列条款：</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jc w:val="left"/>
        <w:rPr>
          <w:rFonts w:ascii="宋体" w:hAnsi="宋体" w:eastAsia="宋体" w:cs="宋体"/>
          <w:b/>
          <w:bCs/>
          <w:sz w:val="24"/>
        </w:rPr>
      </w:pPr>
      <w:r>
        <w:rPr>
          <w:rFonts w:hint="eastAsia" w:ascii="宋体" w:hAnsi="宋体" w:eastAsia="宋体" w:cs="宋体"/>
          <w:b/>
          <w:bCs/>
          <w:sz w:val="24"/>
        </w:rPr>
        <w:t>第一条  项目基本情况</w:t>
      </w:r>
    </w:p>
    <w:p>
      <w:pPr>
        <w:tabs>
          <w:tab w:val="left" w:pos="7920"/>
        </w:tabs>
        <w:adjustRightInd w:val="0"/>
        <w:snapToGrid w:val="0"/>
        <w:spacing w:before="120" w:beforeLines="50" w:after="120" w:afterLines="50" w:line="360" w:lineRule="auto"/>
        <w:rPr>
          <w:rFonts w:ascii="宋体" w:hAnsi="宋体"/>
          <w:sz w:val="24"/>
          <w:u w:val="single"/>
          <w:lang w:val="en"/>
        </w:rPr>
      </w:pPr>
      <w:r>
        <w:rPr>
          <w:sz w:val="24"/>
        </w:rPr>
        <w:t>1.1</w:t>
      </w:r>
      <w:r>
        <w:rPr>
          <w:rFonts w:hint="eastAsia"/>
          <w:sz w:val="24"/>
        </w:rPr>
        <w:t>项目</w:t>
      </w:r>
      <w:r>
        <w:rPr>
          <w:rFonts w:hint="eastAsia" w:ascii="宋体" w:hAnsi="宋体"/>
          <w:sz w:val="24"/>
        </w:rPr>
        <w:t>名称：</w:t>
      </w:r>
      <w:r>
        <w:rPr>
          <w:rFonts w:hint="eastAsia" w:ascii="宋体" w:hAnsi="宋体"/>
          <w:sz w:val="24"/>
          <w:u w:val="single"/>
        </w:rPr>
        <w:t>住宅小区电动自行车充换电设施建设推广及规范化管理技术服务</w:t>
      </w:r>
    </w:p>
    <w:p>
      <w:pPr>
        <w:adjustRightInd w:val="0"/>
        <w:snapToGrid w:val="0"/>
        <w:spacing w:before="120" w:beforeLines="50" w:after="120" w:afterLines="50" w:line="360" w:lineRule="auto"/>
        <w:rPr>
          <w:rFonts w:ascii="宋体" w:hAnsi="宋体"/>
          <w:sz w:val="24"/>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（4）  </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20" w:beforeLines="50" w:after="120"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tabs>
          <w:tab w:val="left" w:pos="1080"/>
          <w:tab w:val="left" w:pos="1665"/>
          <w:tab w:val="left" w:pos="1995"/>
        </w:tabs>
        <w:adjustRightInd w:val="0"/>
        <w:snapToGrid w:val="0"/>
        <w:spacing w:before="120" w:beforeLines="50" w:after="120" w:afterLines="50" w:line="360" w:lineRule="auto"/>
        <w:rPr>
          <w:rFonts w:ascii="宋体" w:hAnsi="宋体" w:eastAsia="宋体" w:cs="Times New Roman"/>
          <w:sz w:val="24"/>
        </w:rPr>
      </w:pPr>
      <w:r>
        <w:rPr>
          <w:rFonts w:ascii="Times New Roman" w:hAnsi="Times New Roman" w:eastAsia="宋体" w:cs="Times New Roman"/>
          <w:sz w:val="24"/>
        </w:rPr>
        <w:t xml:space="preserve">1.3 </w:t>
      </w:r>
      <w:r>
        <w:rPr>
          <w:rFonts w:hint="eastAsia" w:ascii="宋体" w:hAnsi="宋体" w:eastAsia="宋体" w:cs="Times New Roman"/>
          <w:sz w:val="24"/>
        </w:rPr>
        <w:t>项目服务内容和要求</w:t>
      </w:r>
    </w:p>
    <w:p>
      <w:pPr>
        <w:adjustRightInd w:val="0"/>
        <w:snapToGrid w:val="0"/>
        <w:spacing w:before="120" w:beforeLines="50" w:after="120" w:afterLines="50"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（1）              。</w:t>
      </w:r>
    </w:p>
    <w:p>
      <w:pPr>
        <w:adjustRightInd w:val="0"/>
        <w:snapToGrid w:val="0"/>
        <w:spacing w:before="120" w:beforeLines="50" w:after="120" w:afterLines="50"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（2）              。</w:t>
      </w:r>
    </w:p>
    <w:p>
      <w:pPr>
        <w:adjustRightInd w:val="0"/>
        <w:snapToGrid w:val="0"/>
        <w:spacing w:before="120" w:beforeLines="50" w:after="120" w:afterLines="50"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（3）              。</w:t>
      </w:r>
    </w:p>
    <w:p>
      <w:pPr>
        <w:pStyle w:val="269"/>
        <w:spacing w:before="120" w:beforeLines="50" w:line="360" w:lineRule="auto"/>
        <w:rPr>
          <w:rFonts w:ascii="宋体" w:hAnsi="宋体"/>
          <w:szCs w:val="24"/>
        </w:rPr>
      </w:pPr>
      <w:r>
        <w:rPr>
          <w:rFonts w:hint="eastAsia" w:ascii="宋体" w:hAnsi="宋体"/>
          <w:szCs w:val="24"/>
        </w:rPr>
        <w:t>（详见附件：项目计划书）</w:t>
      </w:r>
    </w:p>
    <w:p>
      <w:pPr>
        <w:pStyle w:val="269"/>
        <w:spacing w:before="120" w:beforeLines="50" w:line="360" w:lineRule="auto"/>
        <w:rPr>
          <w:rFonts w:ascii="宋体" w:hAnsi="宋体"/>
          <w:szCs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第二条  合同履行期限</w:t>
      </w:r>
    </w:p>
    <w:p>
      <w:pPr>
        <w:tabs>
          <w:tab w:val="left" w:pos="1665"/>
        </w:tabs>
        <w:adjustRightInd w:val="0"/>
        <w:snapToGrid w:val="0"/>
        <w:spacing w:before="120" w:beforeLines="50" w:after="120" w:afterLines="50" w:line="360" w:lineRule="auto"/>
        <w:rPr>
          <w:rFonts w:ascii="宋体" w:hAnsi="宋体" w:eastAsia="宋体" w:cs="宋体"/>
          <w:bCs/>
          <w:sz w:val="24"/>
        </w:rPr>
      </w:pPr>
      <w:r>
        <w:rPr>
          <w:rFonts w:hint="eastAsia"/>
          <w:sz w:val="24"/>
        </w:rPr>
        <w:t>2.1</w:t>
      </w:r>
      <w:r>
        <w:rPr>
          <w:rFonts w:hint="eastAsia" w:ascii="宋体" w:hAnsi="宋体" w:cs="宋体"/>
          <w:bCs/>
          <w:sz w:val="24"/>
        </w:rPr>
        <w:t>本合同自合同生效之日起至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665"/>
        </w:tabs>
        <w:adjustRightInd w:val="0"/>
        <w:snapToGrid w:val="0"/>
        <w:spacing w:before="120" w:beforeLines="50" w:after="120" w:afterLines="50" w:line="360" w:lineRule="auto"/>
        <w:ind w:firstLine="3360" w:firstLineChars="1400"/>
        <w:rPr>
          <w:rFonts w:ascii="宋体" w:hAnsi="宋体" w:cs="宋体"/>
          <w:bCs/>
          <w:sz w:val="24"/>
        </w:rPr>
      </w:pPr>
      <w:r>
        <w:rPr>
          <w:rFonts w:hint="eastAsia" w:ascii="宋体" w:hAnsi="宋体"/>
          <w:bCs/>
          <w:sz w:val="24"/>
        </w:rPr>
        <w:t>☑甲乙双方约定义务履行完毕之日止</w:t>
      </w:r>
      <w:r>
        <w:rPr>
          <w:rFonts w:hint="eastAsia" w:ascii="宋体" w:hAnsi="宋体" w:cs="宋体"/>
          <w:bCs/>
          <w:sz w:val="24"/>
        </w:rPr>
        <w:t>。</w:t>
      </w:r>
    </w:p>
    <w:p>
      <w:pPr>
        <w:tabs>
          <w:tab w:val="left" w:pos="1995"/>
        </w:tabs>
        <w:adjustRightInd w:val="0"/>
        <w:snapToGrid w:val="0"/>
        <w:spacing w:before="120" w:beforeLines="50" w:after="120" w:afterLines="50" w:line="360" w:lineRule="auto"/>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pPr>
        <w:pStyle w:val="269"/>
        <w:spacing w:before="120" w:beforeLines="50" w:line="360" w:lineRule="auto"/>
        <w:rPr>
          <w:rFonts w:ascii="宋体" w:hAnsi="宋体"/>
          <w:szCs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第三条   项目研究进度及阶段成果要求</w:t>
      </w:r>
    </w:p>
    <w:p>
      <w:pPr>
        <w:adjustRightInd w:val="0"/>
        <w:snapToGrid w:val="0"/>
        <w:spacing w:before="120" w:beforeLines="50" w:after="120" w:afterLines="50" w:line="360" w:lineRule="auto"/>
        <w:rPr>
          <w:rFonts w:ascii="宋体" w:hAnsi="宋体"/>
          <w:sz w:val="24"/>
        </w:rPr>
      </w:pPr>
      <w:r>
        <w:rPr>
          <w:rFonts w:hint="eastAsia"/>
          <w:sz w:val="24"/>
        </w:rPr>
        <w:t>3.1</w:t>
      </w:r>
      <w:r>
        <w:rPr>
          <w:rFonts w:hint="eastAsia" w:ascii="宋体" w:hAnsi="宋体"/>
          <w:sz w:val="24"/>
        </w:rPr>
        <w:t>甲乙双方组成项目组，从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4"/>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r>
    </w:tbl>
    <w:p>
      <w:pPr>
        <w:adjustRightInd w:val="0"/>
        <w:snapToGrid w:val="0"/>
        <w:spacing w:before="120" w:beforeLines="50" w:after="120" w:afterLines="50" w:line="360" w:lineRule="auto"/>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pPr>
        <w:pStyle w:val="269"/>
        <w:spacing w:before="120" w:beforeLines="50" w:line="360" w:lineRule="auto"/>
        <w:rPr>
          <w:rFonts w:ascii="宋体" w:hAnsi="宋体"/>
          <w:szCs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eastAsia="宋体" w:cs="宋体"/>
          <w:b/>
          <w:bCs/>
          <w:sz w:val="24"/>
          <w:szCs w:val="24"/>
        </w:rPr>
        <w:t xml:space="preserve">第四条 </w:t>
      </w:r>
      <w:r>
        <w:rPr>
          <w:rFonts w:hint="eastAsia" w:ascii="宋体" w:hAnsi="宋体"/>
          <w:szCs w:val="24"/>
        </w:rPr>
        <w:t xml:space="preserve"> </w:t>
      </w:r>
      <w:r>
        <w:rPr>
          <w:rFonts w:hint="eastAsia" w:ascii="宋体" w:hAnsi="宋体" w:cs="宋体"/>
          <w:b/>
          <w:bCs/>
          <w:sz w:val="24"/>
        </w:rPr>
        <w:t>合同价款</w:t>
      </w:r>
    </w:p>
    <w:p>
      <w:pPr>
        <w:adjustRightInd w:val="0"/>
        <w:snapToGrid w:val="0"/>
        <w:spacing w:before="120" w:beforeLines="50" w:after="120" w:afterLines="50" w:line="360" w:lineRule="auto"/>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pPr>
        <w:tabs>
          <w:tab w:val="left" w:pos="1080"/>
          <w:tab w:val="left" w:pos="1455"/>
          <w:tab w:val="left" w:pos="1665"/>
        </w:tabs>
        <w:adjustRightInd w:val="0"/>
        <w:snapToGrid w:val="0"/>
        <w:spacing w:before="120" w:beforeLines="50" w:after="120" w:afterLines="50" w:line="360" w:lineRule="auto"/>
        <w:rPr>
          <w:rFonts w:ascii="宋体" w:hAnsi="宋体" w:cs="宋体"/>
          <w:b/>
          <w:bCs/>
          <w:sz w:val="24"/>
        </w:rPr>
      </w:pPr>
    </w:p>
    <w:p>
      <w:pPr>
        <w:tabs>
          <w:tab w:val="left" w:pos="1080"/>
          <w:tab w:val="left" w:pos="1455"/>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第五条  合同价款支付</w:t>
      </w:r>
    </w:p>
    <w:p>
      <w:pPr>
        <w:tabs>
          <w:tab w:val="left" w:pos="1665"/>
        </w:tabs>
        <w:adjustRightInd w:val="0"/>
        <w:snapToGrid w:val="0"/>
        <w:spacing w:before="120" w:beforeLines="50" w:after="120" w:afterLines="50" w:line="360" w:lineRule="auto"/>
        <w:rPr>
          <w:rFonts w:ascii="宋体" w:hAnsi="宋体" w:cs="宋体"/>
          <w:bCs/>
          <w:sz w:val="24"/>
        </w:rPr>
      </w:pPr>
      <w:r>
        <w:rPr>
          <w:rFonts w:hint="eastAsia" w:ascii="Times New Roman" w:hAnsi="Times New Roman" w:eastAsia="宋体" w:cs="Times New Roman"/>
          <w:sz w:val="24"/>
        </w:rPr>
        <w:t>5.1</w:t>
      </w:r>
      <w:r>
        <w:rPr>
          <w:rFonts w:hint="eastAsia" w:ascii="宋体" w:hAnsi="宋体" w:eastAsia="宋体" w:cs="Times New Roman"/>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20" w:beforeLines="50" w:after="120" w:afterLines="50" w:line="360" w:lineRule="auto"/>
        <w:rPr>
          <w:rFonts w:ascii="宋体" w:hAnsi="宋体" w:eastAsia="宋体" w:cs="Times New Roman"/>
          <w:sz w:val="24"/>
          <w:szCs w:val="24"/>
        </w:rPr>
      </w:pPr>
      <w:r>
        <w:rPr>
          <w:rFonts w:hint="eastAsia" w:ascii="Times New Roman" w:hAnsi="Times New Roman" w:eastAsia="宋体" w:cs="Times New Roman"/>
          <w:sz w:val="24"/>
        </w:rPr>
        <w:t>5.2</w:t>
      </w:r>
      <w:r>
        <w:rPr>
          <w:rFonts w:hint="eastAsia" w:ascii="宋体" w:hAnsi="宋体" w:eastAsia="宋体" w:cs="Times New Roman"/>
          <w:sz w:val="24"/>
          <w:szCs w:val="24"/>
        </w:rPr>
        <w:t>本合同采取以下第    种付款方式：</w:t>
      </w:r>
    </w:p>
    <w:p>
      <w:pPr>
        <w:adjustRightInd w:val="0"/>
        <w:snapToGrid w:val="0"/>
        <w:spacing w:before="120" w:beforeLines="50" w:after="120" w:afterLines="50"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rPr>
        <w:t xml:space="preserve"> 三   </w:t>
      </w:r>
      <w:r>
        <w:rPr>
          <w:rFonts w:hint="eastAsia" w:ascii="宋体" w:hAnsi="宋体"/>
          <w:sz w:val="24"/>
        </w:rPr>
        <w:t>期付款：</w:t>
      </w:r>
    </w:p>
    <w:p>
      <w:pPr>
        <w:adjustRightInd w:val="0"/>
        <w:snapToGrid w:val="0"/>
        <w:spacing w:before="120" w:beforeLines="50" w:after="120" w:afterLines="50" w:line="360" w:lineRule="auto"/>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个日内，根据乙方提出的付款申请，甲方支付乙方大写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u w:val="single"/>
        </w:rPr>
        <w:t>_</w:t>
      </w:r>
      <w:r>
        <w:rPr>
          <w:rFonts w:hint="eastAsia" w:ascii="宋体" w:hAnsi="宋体"/>
          <w:sz w:val="24"/>
          <w:u w:val="single"/>
        </w:rPr>
        <w:t>50</w:t>
      </w:r>
      <w:r>
        <w:rPr>
          <w:rFonts w:ascii="宋体" w:hAnsi="宋体"/>
          <w:sz w:val="24"/>
          <w:u w:val="single"/>
        </w:rPr>
        <w:t>_</w:t>
      </w:r>
      <w:r>
        <w:rPr>
          <w:sz w:val="24"/>
        </w:rPr>
        <w:t>%</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rFonts w:hint="eastAsia" w:ascii="宋体" w:hAnsi="宋体"/>
          <w:sz w:val="24"/>
        </w:rPr>
        <w:t>第</w:t>
      </w:r>
      <w:r>
        <w:rPr>
          <w:rFonts w:ascii="宋体" w:hAnsi="宋体"/>
          <w:sz w:val="24"/>
        </w:rPr>
        <w:t>_</w:t>
      </w:r>
      <w:r>
        <w:rPr>
          <w:rFonts w:hint="eastAsia" w:ascii="宋体" w:hAnsi="宋体"/>
          <w:sz w:val="24"/>
        </w:rPr>
        <w:t>二</w:t>
      </w:r>
      <w:r>
        <w:rPr>
          <w:rFonts w:ascii="宋体" w:hAnsi="宋体"/>
          <w:sz w:val="24"/>
        </w:rPr>
        <w:t>_</w:t>
      </w:r>
      <w:r>
        <w:rPr>
          <w:rFonts w:hint="eastAsia" w:ascii="宋体" w:hAnsi="宋体"/>
          <w:sz w:val="24"/>
        </w:rPr>
        <w:t>期：乙方提交</w:t>
      </w:r>
      <w:r>
        <w:rPr>
          <w:rFonts w:hint="eastAsia" w:ascii="宋体" w:hAnsi="宋体"/>
          <w:sz w:val="24"/>
          <w:u w:val="single"/>
        </w:rPr>
        <w:t xml:space="preserve">                     </w:t>
      </w:r>
      <w:r>
        <w:rPr>
          <w:rFonts w:hint="eastAsia" w:ascii="宋体" w:hAnsi="宋体"/>
          <w:sz w:val="24"/>
        </w:rPr>
        <w:t>，并通过甲方验收后</w:t>
      </w:r>
      <w:r>
        <w:rPr>
          <w:rFonts w:ascii="宋体" w:hAnsi="宋体"/>
          <w:sz w:val="24"/>
          <w:u w:val="single"/>
          <w:lang w:val="en"/>
        </w:rPr>
        <w:t xml:space="preserve">      </w:t>
      </w:r>
      <w:r>
        <w:rPr>
          <w:rFonts w:hint="eastAsia" w:ascii="宋体" w:hAnsi="宋体"/>
          <w:sz w:val="24"/>
        </w:rPr>
        <w:t>个日内，甲方支付乙方大写</w:t>
      </w:r>
      <w:r>
        <w:rPr>
          <w:rFonts w:ascii="宋体" w:hAnsi="宋体"/>
          <w:sz w:val="24"/>
          <w:u w:val="single"/>
          <w:lang w:val="en"/>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sz w:val="24"/>
          <w:u w:val="single"/>
        </w:rPr>
        <w:t>40</w:t>
      </w:r>
      <w:r>
        <w:rPr>
          <w:sz w:val="24"/>
        </w:rPr>
        <w:t>%</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rFonts w:hint="eastAsia" w:ascii="宋体" w:hAnsi="宋体"/>
          <w:sz w:val="24"/>
        </w:rPr>
        <w:t>末期：乙方提交合同约定的剩余项目成果，通过甲方最终验收后</w:t>
      </w:r>
      <w:r>
        <w:rPr>
          <w:rFonts w:hint="eastAsia" w:ascii="宋体" w:hAnsi="宋体"/>
          <w:sz w:val="24"/>
          <w:u w:val="single"/>
        </w:rPr>
        <w:t xml:space="preserve">    </w:t>
      </w:r>
      <w:r>
        <w:rPr>
          <w:rFonts w:hint="eastAsia" w:ascii="宋体" w:hAnsi="宋体"/>
          <w:sz w:val="24"/>
        </w:rPr>
        <w:t>个日内，甲方支付乙方大写</w:t>
      </w:r>
      <w:r>
        <w:rPr>
          <w:rFonts w:ascii="宋体" w:hAnsi="宋体"/>
          <w:sz w:val="24"/>
          <w:u w:val="single"/>
          <w:lang w:val="en"/>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eastAsia="宋体" w:cs="Times New Roman"/>
          <w:sz w:val="24"/>
          <w:u w:val="single"/>
        </w:rPr>
        <w:t>10</w:t>
      </w:r>
      <w:r>
        <w:rPr>
          <w:sz w:val="24"/>
        </w:rPr>
        <w:t>%</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rFonts w:hint="eastAsia" w:ascii="Times New Roman" w:hAnsi="Times New Roman" w:eastAsia="宋体" w:cs="Times New Roman"/>
          <w:sz w:val="24"/>
        </w:rPr>
        <w:t xml:space="preserve">5.3 </w:t>
      </w:r>
      <w:r>
        <w:rPr>
          <w:rFonts w:hint="eastAsia" w:ascii="宋体" w:hAnsi="宋体"/>
          <w:sz w:val="24"/>
        </w:rPr>
        <w:t>本合同以人民币进行结算。</w:t>
      </w:r>
    </w:p>
    <w:p>
      <w:pPr>
        <w:adjustRightInd w:val="0"/>
        <w:snapToGrid w:val="0"/>
        <w:spacing w:before="120" w:beforeLines="50" w:after="120" w:afterLines="50" w:line="360" w:lineRule="auto"/>
        <w:jc w:val="left"/>
        <w:rPr>
          <w:rFonts w:ascii="宋体" w:hAnsi="宋体" w:eastAsia="宋体" w:cs="宋体"/>
          <w:b/>
          <w:bCs/>
          <w:sz w:val="24"/>
          <w:szCs w:val="24"/>
        </w:rPr>
      </w:pPr>
    </w:p>
    <w:p>
      <w:pPr>
        <w:tabs>
          <w:tab w:val="left" w:pos="1080"/>
          <w:tab w:val="left" w:pos="1665"/>
          <w:tab w:val="left" w:pos="1995"/>
        </w:tabs>
        <w:adjustRightInd w:val="0"/>
        <w:snapToGrid w:val="0"/>
        <w:spacing w:before="120" w:beforeLines="50" w:after="120" w:afterLines="50" w:line="360" w:lineRule="auto"/>
        <w:rPr>
          <w:rFonts w:ascii="宋体" w:hAnsi="宋体" w:eastAsia="宋体" w:cs="宋体"/>
          <w:b/>
          <w:bCs/>
          <w:sz w:val="24"/>
        </w:rPr>
      </w:pPr>
    </w:p>
    <w:p>
      <w:pPr>
        <w:tabs>
          <w:tab w:val="left" w:pos="1080"/>
          <w:tab w:val="left" w:pos="1665"/>
          <w:tab w:val="left" w:pos="1995"/>
        </w:tabs>
        <w:adjustRightInd w:val="0"/>
        <w:snapToGrid w:val="0"/>
        <w:spacing w:before="120" w:beforeLines="50" w:after="120" w:afterLines="50" w:line="360" w:lineRule="auto"/>
        <w:rPr>
          <w:rFonts w:ascii="宋体" w:hAnsi="宋体" w:cs="宋体"/>
          <w:b/>
          <w:bCs/>
          <w:sz w:val="24"/>
        </w:rPr>
      </w:pPr>
      <w:r>
        <w:rPr>
          <w:rFonts w:hint="eastAsia" w:ascii="宋体" w:hAnsi="宋体" w:eastAsia="宋体" w:cs="宋体"/>
          <w:b/>
          <w:bCs/>
          <w:sz w:val="24"/>
        </w:rPr>
        <w:t xml:space="preserve">第六条  </w:t>
      </w:r>
      <w:r>
        <w:rPr>
          <w:rFonts w:hint="eastAsia" w:ascii="宋体" w:hAnsi="宋体" w:cs="宋体"/>
          <w:b/>
          <w:bCs/>
          <w:sz w:val="24"/>
        </w:rPr>
        <w:t>当事人的权利和义务</w:t>
      </w:r>
    </w:p>
    <w:p>
      <w:pPr>
        <w:adjustRightInd w:val="0"/>
        <w:snapToGrid w:val="0"/>
        <w:spacing w:before="120" w:beforeLines="50" w:after="120" w:afterLines="50"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20" w:beforeLines="50" w:after="120" w:afterLines="50" w:line="360" w:lineRule="auto"/>
        <w:rPr>
          <w:rFonts w:ascii="宋体" w:hAnsi="宋体" w:eastAsia="宋体" w:cs="Times New Roman"/>
          <w:sz w:val="24"/>
        </w:rPr>
      </w:pPr>
      <w:r>
        <w:rPr>
          <w:rFonts w:ascii="Times New Roman" w:hAnsi="Times New Roman" w:eastAsia="宋体" w:cs="Times New Roman"/>
          <w:sz w:val="24"/>
        </w:rPr>
        <w:t>（1）</w:t>
      </w:r>
      <w:r>
        <w:rPr>
          <w:rFonts w:ascii="宋体" w:hAnsi="宋体" w:eastAsia="宋体" w:cs="Times New Roman"/>
          <w:sz w:val="24"/>
        </w:rPr>
        <w:t>甲方应及时配合乙方，</w:t>
      </w:r>
      <w:r>
        <w:rPr>
          <w:rFonts w:hint="eastAsia" w:ascii="宋体" w:hAnsi="宋体" w:eastAsia="宋体" w:cs="Times New Roman"/>
          <w:sz w:val="24"/>
        </w:rPr>
        <w:t>为</w:t>
      </w:r>
      <w:r>
        <w:rPr>
          <w:rFonts w:ascii="宋体" w:hAnsi="宋体" w:eastAsia="宋体" w:cs="Times New Roman"/>
          <w:sz w:val="24"/>
        </w:rPr>
        <w:t>乙方在</w:t>
      </w:r>
      <w:r>
        <w:rPr>
          <w:rFonts w:hint="eastAsia" w:ascii="宋体" w:hAnsi="宋体" w:eastAsia="宋体" w:cs="Times New Roman"/>
          <w:sz w:val="24"/>
        </w:rPr>
        <w:t>服务</w:t>
      </w:r>
      <w:r>
        <w:rPr>
          <w:rFonts w:ascii="宋体" w:hAnsi="宋体" w:eastAsia="宋体" w:cs="Times New Roman"/>
          <w:sz w:val="24"/>
        </w:rPr>
        <w:t>项目研究过程中与相关部门的沟通提供</w:t>
      </w:r>
      <w:r>
        <w:rPr>
          <w:rFonts w:hint="eastAsia" w:ascii="宋体" w:hAnsi="宋体" w:eastAsia="宋体" w:cs="Times New Roman"/>
          <w:sz w:val="24"/>
        </w:rPr>
        <w:t>必要</w:t>
      </w:r>
      <w:r>
        <w:rPr>
          <w:rFonts w:ascii="宋体" w:hAnsi="宋体" w:eastAsia="宋体" w:cs="Times New Roman"/>
          <w:sz w:val="24"/>
        </w:rPr>
        <w:t>支持。</w:t>
      </w:r>
    </w:p>
    <w:p>
      <w:pPr>
        <w:adjustRightInd w:val="0"/>
        <w:snapToGrid w:val="0"/>
        <w:spacing w:before="120" w:beforeLines="50" w:after="120" w:afterLines="50"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2）</w:t>
      </w:r>
      <w:r>
        <w:rPr>
          <w:rFonts w:ascii="宋体" w:hAnsi="宋体" w:eastAsia="宋体" w:cs="Times New Roman"/>
          <w:sz w:val="24"/>
        </w:rPr>
        <w:t>甲方应按本合同第</w:t>
      </w:r>
      <w:r>
        <w:rPr>
          <w:rFonts w:hint="eastAsia" w:ascii="宋体" w:hAnsi="宋体" w:eastAsia="宋体" w:cs="Times New Roman"/>
          <w:sz w:val="24"/>
        </w:rPr>
        <w:t>五</w:t>
      </w:r>
      <w:r>
        <w:rPr>
          <w:rFonts w:ascii="宋体" w:hAnsi="宋体" w:eastAsia="宋体" w:cs="Times New Roman"/>
          <w:sz w:val="24"/>
        </w:rPr>
        <w:t>条规定的时间足额向乙方支付各阶段合同价款。</w:t>
      </w:r>
    </w:p>
    <w:p>
      <w:pPr>
        <w:adjustRightInd w:val="0"/>
        <w:snapToGrid w:val="0"/>
        <w:spacing w:before="120" w:beforeLines="50" w:after="120" w:afterLines="50"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3</w:t>
      </w:r>
      <w:r>
        <w:rPr>
          <w:rFonts w:ascii="宋体" w:hAnsi="宋体" w:eastAsia="宋体" w:cs="Times New Roman"/>
          <w:sz w:val="24"/>
        </w:rPr>
        <w:t>）甲方有权以合理方式检查、督促乙方</w:t>
      </w:r>
      <w:r>
        <w:rPr>
          <w:rFonts w:hint="eastAsia" w:ascii="宋体" w:hAnsi="宋体" w:eastAsia="宋体" w:cs="Times New Roman"/>
          <w:sz w:val="24"/>
        </w:rPr>
        <w:t>开展本合同约定服务</w:t>
      </w:r>
      <w:r>
        <w:rPr>
          <w:rFonts w:ascii="宋体" w:hAnsi="宋体" w:eastAsia="宋体" w:cs="Times New Roman"/>
          <w:sz w:val="24"/>
        </w:rPr>
        <w:t>。</w:t>
      </w:r>
    </w:p>
    <w:p>
      <w:pPr>
        <w:adjustRightInd w:val="0"/>
        <w:snapToGrid w:val="0"/>
        <w:spacing w:before="120" w:beforeLines="50" w:after="120" w:afterLines="50"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4</w:t>
      </w:r>
      <w:r>
        <w:rPr>
          <w:rFonts w:ascii="宋体" w:hAnsi="宋体" w:eastAsia="宋体" w:cs="Times New Roman"/>
          <w:sz w:val="24"/>
        </w:rPr>
        <w:t>）甲方</w:t>
      </w:r>
      <w:r>
        <w:rPr>
          <w:rFonts w:hint="eastAsia" w:ascii="宋体" w:hAnsi="宋体" w:eastAsia="宋体" w:cs="Times New Roman"/>
          <w:sz w:val="24"/>
        </w:rPr>
        <w:t>可</w:t>
      </w:r>
      <w:r>
        <w:rPr>
          <w:rFonts w:ascii="宋体" w:hAnsi="宋体" w:eastAsia="宋体" w:cs="Times New Roman"/>
          <w:sz w:val="24"/>
        </w:rPr>
        <w:t>指派专人负责与乙方联系，以及接受乙方就本项目的咨询；甲方变更联系人，应及时告知乙方。</w:t>
      </w:r>
    </w:p>
    <w:p>
      <w:pPr>
        <w:adjustRightInd w:val="0"/>
        <w:snapToGrid w:val="0"/>
        <w:spacing w:before="120" w:beforeLines="50" w:after="120" w:afterLines="50"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5</w:t>
      </w:r>
      <w:r>
        <w:rPr>
          <w:rFonts w:ascii="宋体" w:hAnsi="宋体" w:eastAsia="宋体" w:cs="Times New Roman"/>
          <w:sz w:val="24"/>
        </w:rPr>
        <w:t>）</w:t>
      </w:r>
      <w:r>
        <w:rPr>
          <w:rFonts w:hint="eastAsia" w:ascii="宋体" w:hAnsi="宋体" w:eastAsia="宋体" w:cs="Times New Roman"/>
          <w:sz w:val="24"/>
        </w:rPr>
        <w:t>甲方要求</w:t>
      </w:r>
      <w:r>
        <w:rPr>
          <w:rFonts w:ascii="宋体" w:hAnsi="宋体" w:eastAsia="宋体" w:cs="Times New Roman"/>
          <w:sz w:val="24"/>
        </w:rPr>
        <w:t>乙方提前交付成果时，须征得乙方同意。对因此而增加的工作量，乙方</w:t>
      </w:r>
      <w:r>
        <w:rPr>
          <w:rFonts w:hint="eastAsia" w:ascii="宋体" w:hAnsi="宋体" w:eastAsia="宋体" w:cs="Times New Roman"/>
          <w:sz w:val="24"/>
        </w:rPr>
        <w:t>可要求甲方</w:t>
      </w:r>
      <w:r>
        <w:rPr>
          <w:rFonts w:ascii="宋体" w:hAnsi="宋体" w:eastAsia="宋体" w:cs="Times New Roman"/>
          <w:sz w:val="24"/>
        </w:rPr>
        <w:t>支付必要的费用。</w:t>
      </w:r>
    </w:p>
    <w:p>
      <w:pPr>
        <w:adjustRightInd w:val="0"/>
        <w:snapToGrid w:val="0"/>
        <w:spacing w:before="120" w:beforeLines="50" w:after="120" w:afterLines="50"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6</w:t>
      </w:r>
      <w:r>
        <w:rPr>
          <w:rFonts w:ascii="宋体" w:hAnsi="宋体" w:eastAsia="宋体" w:cs="Times New Roman"/>
          <w:sz w:val="24"/>
        </w:rPr>
        <w:t>）</w:t>
      </w:r>
      <w:r>
        <w:rPr>
          <w:rFonts w:hint="eastAsia" w:ascii="宋体" w:hAnsi="宋体" w:eastAsia="宋体" w:cs="Times New Roman"/>
          <w:sz w:val="24"/>
        </w:rPr>
        <w:t>甲方有权要求乙方按照合同约定内容交付项目成果。</w:t>
      </w:r>
    </w:p>
    <w:p>
      <w:pPr>
        <w:adjustRightInd w:val="0"/>
        <w:snapToGrid w:val="0"/>
        <w:spacing w:before="120" w:beforeLines="50" w:after="120" w:afterLines="50"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rPr>
        <w:t xml:space="preserve">三 </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）乙方应依据合同规定的工作内容和技术要求，组织具有相应能力的各层次技术人员组成项目组。经双方约定的项目组主要成员名单见附件。本合同履行期间，乙方替换项目组主要成员必须征得甲方同意。</w:t>
      </w:r>
    </w:p>
    <w:p>
      <w:pPr>
        <w:tabs>
          <w:tab w:val="left" w:pos="180"/>
        </w:tabs>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20" w:beforeLines="50" w:after="120" w:afterLines="50" w:line="360" w:lineRule="auto"/>
        <w:rPr>
          <w:rFonts w:ascii="Times New Roman" w:hAnsi="Times New Roman" w:eastAsia="宋体" w:cs="Times New Roman"/>
          <w:sz w:val="24"/>
        </w:rPr>
      </w:pPr>
      <w:r>
        <w:rPr>
          <w:rFonts w:hint="eastAsia" w:ascii="Times New Roman" w:hAnsi="Times New Roman" w:eastAsia="宋体" w:cs="Times New Roman"/>
          <w:sz w:val="24"/>
        </w:rPr>
        <w:t>（11）若乙方当事人信息（如联系地址、联系方式、联系人、银行账号等）发生变更，乙方需以书面方式及时通知甲方。</w:t>
      </w:r>
    </w:p>
    <w:p>
      <w:pPr>
        <w:tabs>
          <w:tab w:val="left" w:pos="1080"/>
          <w:tab w:val="left" w:pos="1665"/>
        </w:tabs>
        <w:adjustRightInd w:val="0"/>
        <w:snapToGrid w:val="0"/>
        <w:spacing w:before="120" w:beforeLines="50" w:after="120" w:afterLines="50" w:line="360" w:lineRule="auto"/>
        <w:rPr>
          <w:rFonts w:ascii="宋体" w:hAnsi="宋体" w:cs="宋体"/>
          <w:b/>
          <w:bCs/>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第七条  项目最终成果</w:t>
      </w:r>
    </w:p>
    <w:p>
      <w:pPr>
        <w:adjustRightInd w:val="0"/>
        <w:snapToGrid w:val="0"/>
        <w:spacing w:before="120" w:beforeLines="50" w:after="120" w:afterLines="50" w:line="360" w:lineRule="auto"/>
        <w:jc w:val="left"/>
        <w:rPr>
          <w:rFonts w:ascii="宋体" w:hAnsi="宋体"/>
          <w:sz w:val="24"/>
        </w:rPr>
      </w:pPr>
      <w:r>
        <w:rPr>
          <w:rFonts w:hint="eastAsia"/>
          <w:sz w:val="24"/>
        </w:rPr>
        <w:t>7</w:t>
      </w:r>
      <w:r>
        <w:rPr>
          <w:sz w:val="24"/>
        </w:rPr>
        <w:t>.1</w:t>
      </w:r>
      <w:r>
        <w:rPr>
          <w:rFonts w:hint="eastAsia"/>
          <w:sz w:val="24"/>
        </w:rPr>
        <w:t>乙方须于</w:t>
      </w:r>
      <w:r>
        <w:rPr>
          <w:rFonts w:hint="eastAsia" w:ascii="宋体" w:hAnsi="宋体" w:eastAsia="宋体" w:cs="Times New Roman"/>
          <w:sz w:val="24"/>
          <w:szCs w:val="24"/>
          <w:u w:val="single"/>
        </w:rPr>
        <w:t xml:space="preserve">     </w:t>
      </w:r>
      <w:r>
        <w:rPr>
          <w:rFonts w:hint="eastAsia"/>
          <w:sz w:val="24"/>
        </w:rPr>
        <w:t>年</w:t>
      </w:r>
      <w:r>
        <w:rPr>
          <w:rFonts w:hint="eastAsia" w:ascii="宋体" w:hAnsi="宋体" w:eastAsia="宋体" w:cs="Times New Roman"/>
          <w:sz w:val="24"/>
          <w:szCs w:val="24"/>
          <w:u w:val="single"/>
        </w:rPr>
        <w:t xml:space="preserve">     </w:t>
      </w:r>
      <w:r>
        <w:rPr>
          <w:rFonts w:hint="eastAsia"/>
          <w:sz w:val="24"/>
        </w:rPr>
        <w:t>月</w:t>
      </w:r>
      <w:r>
        <w:rPr>
          <w:rFonts w:hint="eastAsia" w:ascii="宋体" w:hAnsi="宋体" w:eastAsia="宋体" w:cs="Times New Roman"/>
          <w:sz w:val="24"/>
          <w:szCs w:val="24"/>
          <w:u w:val="single"/>
        </w:rPr>
        <w:t xml:space="preserve">     </w:t>
      </w:r>
      <w:r>
        <w:rPr>
          <w:rFonts w:hint="eastAsia"/>
          <w:sz w:val="24"/>
        </w:rPr>
        <w:t>日前完成项目全部工作，并将全部成果提交甲方进行验收。</w:t>
      </w:r>
      <w:r>
        <w:rPr>
          <w:rFonts w:hint="eastAsia" w:ascii="宋体" w:hAnsi="宋体"/>
          <w:sz w:val="24"/>
        </w:rPr>
        <w:t>项目最终成果为：</w:t>
      </w:r>
    </w:p>
    <w:p>
      <w:pPr>
        <w:adjustRightInd w:val="0"/>
        <w:snapToGrid w:val="0"/>
        <w:spacing w:before="120" w:beforeLines="50" w:after="120" w:afterLines="50" w:line="360" w:lineRule="auto"/>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eastAsia="宋体" w:cs="Times New Roman"/>
          <w:sz w:val="24"/>
          <w:szCs w:val="24"/>
          <w:u w:val="single"/>
        </w:rPr>
        <w:t xml:space="preserve">              </w:t>
      </w:r>
      <w:r>
        <w:rPr>
          <w:rFonts w:hint="eastAsia" w:ascii="宋体" w:hAnsi="宋体"/>
          <w:sz w:val="24"/>
          <w:u w:val="single"/>
        </w:rPr>
        <w:t>；</w:t>
      </w:r>
    </w:p>
    <w:p>
      <w:pPr>
        <w:adjustRightInd w:val="0"/>
        <w:snapToGrid w:val="0"/>
        <w:spacing w:before="120" w:beforeLines="50" w:after="120" w:afterLines="50" w:line="360" w:lineRule="auto"/>
        <w:jc w:val="left"/>
        <w:rPr>
          <w:rFonts w:ascii="宋体" w:hAnsi="宋体"/>
          <w:sz w:val="24"/>
          <w:u w:val="single"/>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eastAsia="宋体" w:cs="Times New Roman"/>
          <w:sz w:val="24"/>
          <w:szCs w:val="24"/>
          <w:u w:val="single"/>
        </w:rPr>
        <w:t xml:space="preserve">              </w:t>
      </w:r>
      <w:r>
        <w:rPr>
          <w:rFonts w:hint="eastAsia" w:ascii="宋体" w:hAnsi="宋体"/>
          <w:sz w:val="24"/>
          <w:u w:val="single"/>
        </w:rPr>
        <w:t>；</w:t>
      </w:r>
    </w:p>
    <w:p>
      <w:pPr>
        <w:adjustRightInd w:val="0"/>
        <w:snapToGrid w:val="0"/>
        <w:spacing w:before="120" w:beforeLines="50" w:after="120" w:afterLines="50" w:line="360" w:lineRule="auto"/>
        <w:jc w:val="left"/>
        <w:rPr>
          <w:rFonts w:ascii="宋体" w:hAnsi="宋体"/>
          <w:sz w:val="24"/>
          <w:u w:val="single"/>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eastAsia="宋体" w:cs="Times New Roman"/>
          <w:sz w:val="24"/>
          <w:szCs w:val="24"/>
          <w:u w:val="single"/>
        </w:rPr>
        <w:t xml:space="preserve">              </w:t>
      </w:r>
      <w:r>
        <w:rPr>
          <w:rFonts w:hint="eastAsia" w:ascii="宋体" w:hAnsi="宋体"/>
          <w:sz w:val="24"/>
          <w:u w:val="single"/>
        </w:rPr>
        <w:t>；</w:t>
      </w:r>
    </w:p>
    <w:p>
      <w:pPr>
        <w:pStyle w:val="2"/>
      </w:pPr>
    </w:p>
    <w:p>
      <w:pPr>
        <w:adjustRightInd w:val="0"/>
        <w:snapToGrid w:val="0"/>
        <w:spacing w:before="120" w:beforeLines="50" w:after="120" w:afterLines="50"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rPr>
          <w:rFonts w:ascii="宋体" w:hAnsi="宋体"/>
          <w:b/>
          <w:sz w:val="24"/>
        </w:rPr>
      </w:pPr>
      <w:r>
        <w:rPr>
          <w:rFonts w:hint="eastAsia" w:ascii="宋体" w:hAnsi="宋体"/>
          <w:b/>
          <w:sz w:val="24"/>
        </w:rPr>
        <w:t>第八条  项目最终成果验收</w:t>
      </w:r>
    </w:p>
    <w:p>
      <w:pPr>
        <w:adjustRightInd w:val="0"/>
        <w:snapToGrid w:val="0"/>
        <w:spacing w:before="120" w:beforeLines="50" w:after="120" w:afterLines="50"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20" w:beforeLines="50" w:after="120" w:afterLines="50"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pPr>
        <w:tabs>
          <w:tab w:val="left" w:pos="180"/>
        </w:tabs>
        <w:adjustRightInd w:val="0"/>
        <w:snapToGrid w:val="0"/>
        <w:spacing w:before="120" w:beforeLines="50" w:after="120" w:afterLines="50"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p>
    <w:p>
      <w:pPr>
        <w:adjustRightInd w:val="0"/>
        <w:snapToGrid w:val="0"/>
        <w:spacing w:before="120" w:beforeLines="50" w:after="120" w:afterLines="50" w:line="360" w:lineRule="auto"/>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20" w:beforeLines="50" w:after="120" w:afterLines="50" w:line="360" w:lineRule="auto"/>
        <w:rPr>
          <w:rFonts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第九条   成果权属</w:t>
      </w:r>
    </w:p>
    <w:p>
      <w:pPr>
        <w:adjustRightInd w:val="0"/>
        <w:snapToGrid w:val="0"/>
        <w:spacing w:before="120" w:beforeLines="50" w:after="120" w:afterLines="50"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p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 本合同项下</w:t>
      </w:r>
      <w:r>
        <w:rPr>
          <w:rFonts w:hint="eastAsia" w:ascii="宋体" w:hAnsi="宋体"/>
          <w:sz w:val="24"/>
          <w:u w:val="single"/>
        </w:rPr>
        <w:t>7.1款所述的研究成果</w:t>
      </w:r>
      <w:r>
        <w:rPr>
          <w:rFonts w:hint="eastAsia" w:ascii="宋体" w:hAnsi="宋体"/>
          <w:sz w:val="24"/>
        </w:rPr>
        <w:t>成果的权属归甲方</w:t>
      </w:r>
      <w:r>
        <w:rPr>
          <w:rFonts w:hint="eastAsia" w:ascii="宋体" w:hAnsi="宋体" w:eastAsia="宋体" w:cs="Times New Roman"/>
          <w:sz w:val="24"/>
          <w:u w:val="single"/>
        </w:rPr>
        <w:t xml:space="preserve"> ①</w:t>
      </w:r>
      <w:r>
        <w:rPr>
          <w:rFonts w:hint="eastAsia" w:ascii="宋体" w:hAnsi="宋体"/>
          <w:sz w:val="24"/>
          <w:u w:val="single"/>
        </w:rPr>
        <w:t xml:space="preserve">单独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20" w:beforeLines="50" w:after="120" w:afterLines="50" w:line="360" w:lineRule="auto"/>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rPr>
          <w:rFonts w:ascii="宋体" w:hAnsi="宋体" w:eastAsia="宋体" w:cs="宋体"/>
          <w:b/>
          <w:bCs/>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eastAsia="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pPr>
        <w:adjustRightInd w:val="0"/>
        <w:snapToGrid w:val="0"/>
        <w:spacing w:before="120" w:beforeLines="50" w:after="120" w:afterLines="50"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20" w:beforeLines="50" w:after="120" w:afterLines="50"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w:t>
      </w:r>
      <w:r>
        <w:rPr>
          <w:rFonts w:hint="eastAsia" w:ascii="宋体" w:hAnsi="宋体"/>
          <w:sz w:val="24"/>
        </w:rPr>
        <w:t>10</w:t>
      </w:r>
      <w:r>
        <w:rPr>
          <w:rFonts w:ascii="宋体" w:hAnsi="宋体"/>
          <w:sz w:val="24"/>
        </w:rPr>
        <w:t>_</w:t>
      </w:r>
      <w:r>
        <w:rPr>
          <w:rFonts w:hint="eastAsia"/>
          <w:sz w:val="24"/>
        </w:rPr>
        <w:t>%</w:t>
      </w:r>
      <w:r>
        <w:rPr>
          <w:rFonts w:hint="eastAsia" w:ascii="宋体" w:hAnsi="宋体"/>
          <w:sz w:val="24"/>
        </w:rPr>
        <w:t>的违约金。</w:t>
      </w:r>
    </w:p>
    <w:p>
      <w:pPr>
        <w:adjustRightInd w:val="0"/>
        <w:snapToGrid w:val="0"/>
        <w:spacing w:before="120" w:beforeLines="50" w:after="120" w:afterLines="50"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10</w:t>
      </w:r>
      <w:r>
        <w:rPr>
          <w:sz w:val="24"/>
        </w:rPr>
        <w:t>%</w:t>
      </w:r>
      <w:r>
        <w:rPr>
          <w:rFonts w:hint="eastAsia" w:ascii="宋体" w:hAnsi="宋体"/>
          <w:sz w:val="24"/>
        </w:rPr>
        <w:t>的违约金。</w:t>
      </w:r>
    </w:p>
    <w:p>
      <w:pPr>
        <w:adjustRightInd w:val="0"/>
        <w:snapToGrid w:val="0"/>
        <w:spacing w:before="120" w:beforeLines="50" w:after="120" w:afterLines="50"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第十一条 合同违约责任</w:t>
      </w:r>
    </w:p>
    <w:p>
      <w:pPr>
        <w:adjustRightInd w:val="0"/>
        <w:snapToGrid w:val="0"/>
        <w:spacing w:before="120" w:beforeLines="50" w:after="120" w:afterLines="50"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10</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，且乙方提交成果的时间顺延。逾期超过</w:t>
      </w:r>
      <w:r>
        <w:rPr>
          <w:rFonts w:hint="eastAsia" w:ascii="宋体" w:hAnsi="宋体"/>
          <w:sz w:val="24"/>
          <w:u w:val="single"/>
        </w:rPr>
        <w:t>30</w:t>
      </w:r>
      <w:r>
        <w:rPr>
          <w:rFonts w:hint="eastAsia" w:ascii="宋体" w:hAnsi="宋体"/>
          <w:sz w:val="24"/>
        </w:rPr>
        <w:t>个工作日以上时，乙方有权暂停履行下阶段工作，并书面通知甲方。因政府内部工作或财政拨付导致甲方迟延付款的，乙方应给予最大程度的谅解。</w:t>
      </w:r>
    </w:p>
    <w:p>
      <w:pPr>
        <w:adjustRightInd w:val="0"/>
        <w:snapToGrid w:val="0"/>
        <w:spacing w:before="120" w:beforeLines="50" w:after="120" w:afterLines="50"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，乙方需按甲方要求采取及时有效的补救措施，并支付合同总价款</w:t>
      </w:r>
      <w:r>
        <w:rPr>
          <w:rFonts w:hint="eastAsia" w:ascii="宋体" w:hAnsi="宋体"/>
          <w:sz w:val="24"/>
          <w:u w:val="single"/>
        </w:rPr>
        <w:t>20</w:t>
      </w:r>
      <w:r>
        <w:rPr>
          <w:sz w:val="24"/>
        </w:rPr>
        <w:t>%</w:t>
      </w:r>
      <w:r>
        <w:rPr>
          <w:rFonts w:hint="eastAsia" w:ascii="宋体" w:hAnsi="宋体"/>
          <w:sz w:val="24"/>
        </w:rPr>
        <w:t>的违约金。</w:t>
      </w:r>
    </w:p>
    <w:p>
      <w:pPr>
        <w:adjustRightInd w:val="0"/>
        <w:snapToGrid w:val="0"/>
        <w:spacing w:before="120" w:beforeLines="50" w:after="120" w:afterLines="50" w:line="360" w:lineRule="auto"/>
        <w:rPr>
          <w:rFonts w:ascii="宋体" w:hAnsi="宋体"/>
          <w:sz w:val="24"/>
        </w:rPr>
      </w:pPr>
      <w:r>
        <w:rPr>
          <w:rFonts w:ascii="Times New Roman" w:hAnsi="Times New Roman" w:eastAsia="宋体" w:cs="Times New Roman"/>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20" w:beforeLines="50" w:after="120" w:afterLines="50" w:line="360" w:lineRule="auto"/>
        <w:rPr>
          <w:rFonts w:ascii="宋体" w:hAnsi="宋体"/>
          <w:sz w:val="24"/>
        </w:rPr>
      </w:pPr>
      <w:r>
        <w:rPr>
          <w:rFonts w:ascii="Times New Roman" w:hAnsi="Times New Roman" w:eastAsia="宋体" w:cs="Times New Roman"/>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rFonts w:ascii="Times New Roman" w:hAnsi="Times New Roman" w:eastAsia="宋体" w:cs="Times New Roman"/>
          <w:bCs/>
          <w:sz w:val="24"/>
        </w:rPr>
        <w:t>（4）</w:t>
      </w:r>
      <w:r>
        <w:rPr>
          <w:rFonts w:hint="eastAsia" w:ascii="宋体" w:hAnsi="宋体"/>
          <w:sz w:val="24"/>
        </w:rPr>
        <w:t>未经甲方同意，乙方擅自变更附件约定的项目组主要成员，甲方有权要求乙方采取补救措施或调整项目组主要成员构成。</w:t>
      </w:r>
    </w:p>
    <w:p>
      <w:pPr>
        <w:adjustRightInd w:val="0"/>
        <w:snapToGrid w:val="0"/>
        <w:spacing w:before="120" w:beforeLines="50" w:after="120" w:afterLines="50" w:line="360" w:lineRule="auto"/>
        <w:rPr>
          <w:rFonts w:ascii="宋体" w:hAnsi="宋体"/>
          <w:sz w:val="24"/>
        </w:rPr>
      </w:pPr>
      <w:r>
        <w:rPr>
          <w:rFonts w:ascii="Times New Roman" w:hAnsi="Times New Roman" w:eastAsia="宋体" w:cs="Times New Roman"/>
          <w:bCs/>
          <w:sz w:val="24"/>
        </w:rPr>
        <w:t>（5）</w:t>
      </w:r>
      <w:r>
        <w:rPr>
          <w:rFonts w:hint="eastAsia" w:ascii="宋体" w:hAnsi="宋体"/>
          <w:sz w:val="24"/>
        </w:rPr>
        <w:t>本项目最终成果验收后</w:t>
      </w:r>
      <w:r>
        <w:rPr>
          <w:rFonts w:hint="eastAsia" w:ascii="宋体" w:hAnsi="宋体"/>
          <w:sz w:val="24"/>
          <w:u w:val="single"/>
        </w:rPr>
        <w:t>3</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20</w:t>
      </w:r>
      <w:r>
        <w:rPr>
          <w:sz w:val="24"/>
        </w:rPr>
        <w:t>%</w:t>
      </w:r>
      <w:r>
        <w:rPr>
          <w:rFonts w:hint="eastAsia" w:ascii="宋体" w:hAnsi="宋体"/>
          <w:sz w:val="24"/>
        </w:rPr>
        <w:t>的费用。</w:t>
      </w:r>
    </w:p>
    <w:p>
      <w:pPr>
        <w:adjustRightInd w:val="0"/>
        <w:snapToGrid w:val="0"/>
        <w:spacing w:before="120" w:beforeLines="50" w:after="120" w:afterLines="50" w:line="360" w:lineRule="auto"/>
        <w:rPr>
          <w:rFonts w:ascii="宋体" w:hAnsi="宋体"/>
          <w:sz w:val="24"/>
        </w:rPr>
      </w:pPr>
      <w:r>
        <w:rPr>
          <w:rFonts w:ascii="Times New Roman" w:hAnsi="Times New Roman" w:eastAsia="宋体" w:cs="Times New Roman"/>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rPr>
        <w:t>20</w:t>
      </w:r>
      <w:r>
        <w:rPr>
          <w:sz w:val="24"/>
        </w:rPr>
        <w:t>%</w:t>
      </w:r>
      <w:r>
        <w:rPr>
          <w:rFonts w:hint="eastAsia" w:ascii="宋体" w:hAnsi="宋体"/>
          <w:sz w:val="24"/>
        </w:rPr>
        <w:t>的违约金。</w:t>
      </w:r>
    </w:p>
    <w:p>
      <w:pPr>
        <w:adjustRightInd w:val="0"/>
        <w:snapToGrid w:val="0"/>
        <w:spacing w:before="120" w:beforeLines="50" w:after="120" w:afterLines="50" w:line="360" w:lineRule="auto"/>
        <w:rPr>
          <w:rFonts w:ascii="宋体" w:hAnsi="宋体"/>
          <w:sz w:val="24"/>
          <w:u w:val="single"/>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第十二条     合同解除</w:t>
      </w:r>
    </w:p>
    <w:p>
      <w:pPr>
        <w:adjustRightInd w:val="0"/>
        <w:snapToGrid w:val="0"/>
        <w:spacing w:before="120" w:beforeLines="50" w:after="120" w:afterLines="50"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20" w:beforeLines="50" w:after="120" w:afterLines="50" w:line="360" w:lineRule="auto"/>
        <w:rPr>
          <w:rFonts w:ascii="宋体" w:hAnsi="宋体"/>
          <w:sz w:val="24"/>
        </w:rPr>
      </w:pPr>
      <w:r>
        <w:rPr>
          <w:rFonts w:hint="eastAsia" w:ascii="宋体" w:hAnsi="宋体"/>
          <w:sz w:val="24"/>
        </w:rPr>
        <w:t>☑ 非归责于合同双方的原因，项目取消的；</w:t>
      </w:r>
    </w:p>
    <w:p>
      <w:pPr>
        <w:adjustRightInd w:val="0"/>
        <w:snapToGrid w:val="0"/>
        <w:spacing w:before="120" w:beforeLines="50" w:after="120" w:afterLines="50" w:line="360" w:lineRule="auto"/>
        <w:rPr>
          <w:rFonts w:ascii="宋体" w:hAnsi="宋体"/>
          <w:sz w:val="24"/>
        </w:rPr>
      </w:pPr>
      <w:r>
        <w:rPr>
          <w:rFonts w:hint="eastAsia" w:ascii="宋体" w:hAnsi="宋体"/>
          <w:sz w:val="24"/>
        </w:rPr>
        <w:t>☑ 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180 </w:t>
      </w:r>
      <w:r>
        <w:rPr>
          <w:rFonts w:hint="eastAsia" w:ascii="宋体" w:hAnsi="宋体"/>
          <w:sz w:val="24"/>
        </w:rPr>
        <w:t>工作日；</w:t>
      </w:r>
    </w:p>
    <w:p>
      <w:pPr>
        <w:tabs>
          <w:tab w:val="left" w:pos="8100"/>
        </w:tabs>
        <w:adjustRightInd w:val="0"/>
        <w:snapToGrid w:val="0"/>
        <w:spacing w:before="120" w:beforeLines="50" w:after="120"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20" w:beforeLines="50" w:after="120"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20" w:beforeLines="50" w:after="120" w:afterLines="50"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pPr>
        <w:adjustRightInd w:val="0"/>
        <w:snapToGrid w:val="0"/>
        <w:spacing w:before="120" w:beforeLines="50" w:after="120" w:afterLines="50" w:line="360" w:lineRule="auto"/>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120" w:beforeLines="50" w:after="120" w:afterLines="50" w:line="360" w:lineRule="auto"/>
        <w:rPr>
          <w:rFonts w:ascii="宋体" w:hAnsi="宋体"/>
          <w:sz w:val="24"/>
        </w:rPr>
      </w:pPr>
      <w:r>
        <w:rPr>
          <w:rFonts w:hint="eastAsia" w:hAnsi="宋体"/>
          <w:sz w:val="24"/>
        </w:rPr>
        <w:t>（2）</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pPr>
        <w:adjustRightInd w:val="0"/>
        <w:snapToGrid w:val="0"/>
        <w:spacing w:before="120" w:beforeLines="50" w:after="120" w:afterLines="50"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2</w:t>
      </w:r>
      <w:r>
        <w:rPr>
          <w:rFonts w:hint="eastAsia" w:ascii="宋体" w:hAnsi="宋体"/>
          <w:sz w:val="24"/>
        </w:rPr>
        <w:t>次未能通过甲方验收的；</w:t>
      </w:r>
    </w:p>
    <w:p>
      <w:pPr>
        <w:adjustRightInd w:val="0"/>
        <w:snapToGrid w:val="0"/>
        <w:spacing w:before="120" w:beforeLines="50" w:after="120" w:afterLines="50" w:line="360" w:lineRule="auto"/>
        <w:rPr>
          <w:rFonts w:ascii="宋体" w:hAnsi="宋体"/>
          <w:sz w:val="24"/>
        </w:rPr>
      </w:pPr>
      <w:r>
        <w:rPr>
          <w:rFonts w:hint="eastAsia" w:hAnsi="宋体"/>
          <w:sz w:val="24"/>
        </w:rPr>
        <w:t>（4）</w:t>
      </w:r>
      <w:r>
        <w:rPr>
          <w:rFonts w:hint="eastAsia" w:ascii="宋体" w:hAnsi="宋体"/>
          <w:sz w:val="24"/>
        </w:rPr>
        <w:t>乙方未经甲方同意擅自更换附件规定的项目组主要成员，且未按甲方要求进行调整；</w:t>
      </w:r>
    </w:p>
    <w:p>
      <w:pPr>
        <w:adjustRightInd w:val="0"/>
        <w:snapToGrid w:val="0"/>
        <w:spacing w:before="120" w:beforeLines="50" w:after="120" w:afterLines="50"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20" w:beforeLines="50" w:after="120" w:afterLines="50"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pPr>
        <w:adjustRightInd w:val="0"/>
        <w:snapToGrid w:val="0"/>
        <w:spacing w:before="120" w:beforeLines="50" w:after="120" w:afterLines="50"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pPr>
        <w:adjustRightInd w:val="0"/>
        <w:snapToGrid w:val="0"/>
        <w:spacing w:before="120" w:beforeLines="50" w:after="120"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adjustRightInd w:val="0"/>
        <w:snapToGrid w:val="0"/>
        <w:spacing w:before="120" w:beforeLines="50" w:after="120"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adjustRightInd w:val="0"/>
        <w:snapToGrid w:val="0"/>
        <w:spacing w:before="120" w:beforeLines="50" w:after="120"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20" w:beforeLines="50" w:after="120"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的违约金。乙方应将已完成的阶段成果移交给甲方，并退还甲方有关资料。</w:t>
      </w:r>
    </w:p>
    <w:p>
      <w:pPr>
        <w:tabs>
          <w:tab w:val="left" w:pos="1080"/>
          <w:tab w:val="left" w:pos="1665"/>
        </w:tabs>
        <w:adjustRightInd w:val="0"/>
        <w:snapToGrid w:val="0"/>
        <w:spacing w:before="120" w:beforeLines="50" w:after="120" w:afterLines="50" w:line="360" w:lineRule="auto"/>
        <w:rPr>
          <w:rFonts w:ascii="宋体" w:hAnsi="宋体" w:cs="宋体"/>
          <w:b/>
          <w:bCs/>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第十三条    不可抗力</w:t>
      </w:r>
    </w:p>
    <w:p>
      <w:pPr>
        <w:adjustRightInd w:val="0"/>
        <w:snapToGrid w:val="0"/>
        <w:spacing w:before="120" w:beforeLines="50" w:after="120" w:afterLines="50"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rPr>
        <w:t>3</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20" w:beforeLines="50" w:after="120" w:afterLines="50" w:line="360" w:lineRule="auto"/>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30</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第十四条   合同争议的解决方式</w:t>
      </w:r>
    </w:p>
    <w:p>
      <w:pPr>
        <w:adjustRightInd w:val="0"/>
        <w:snapToGrid w:val="0"/>
        <w:spacing w:before="120" w:beforeLines="50" w:after="120" w:afterLines="50" w:line="360" w:lineRule="auto"/>
        <w:ind w:firstLine="480" w:firstLineChars="200"/>
        <w:rPr>
          <w:rFonts w:ascii="宋体" w:hAnsi="宋体" w:eastAsia="宋体"/>
          <w:sz w:val="24"/>
        </w:rPr>
      </w:pPr>
      <w:r>
        <w:rPr>
          <w:rFonts w:hint="eastAsia" w:ascii="宋体" w:hAnsi="宋体"/>
          <w:sz w:val="24"/>
        </w:rPr>
        <w:t>本合同履行期间，双方发生的争议，由双方当事人协商解决。协商不成的，可依法向甲方所在地人民法院起诉。</w:t>
      </w:r>
    </w:p>
    <w:p>
      <w:pPr>
        <w:tabs>
          <w:tab w:val="left" w:pos="1080"/>
          <w:tab w:val="left" w:pos="1665"/>
        </w:tabs>
        <w:adjustRightInd w:val="0"/>
        <w:snapToGrid w:val="0"/>
        <w:spacing w:before="120" w:beforeLines="50" w:after="120" w:afterLines="50" w:line="360" w:lineRule="auto"/>
        <w:rPr>
          <w:rFonts w:ascii="宋体" w:hAnsi="宋体"/>
          <w:b/>
          <w:sz w:val="24"/>
        </w:rPr>
      </w:pPr>
      <w:r>
        <w:rPr>
          <w:rFonts w:hint="eastAsia" w:ascii="宋体" w:hAnsi="宋体"/>
          <w:b/>
          <w:sz w:val="24"/>
        </w:rPr>
        <w:t>第十五条    其他条款</w:t>
      </w:r>
    </w:p>
    <w:p>
      <w:pPr>
        <w:adjustRightInd w:val="0"/>
        <w:snapToGrid w:val="0"/>
        <w:spacing w:before="120" w:beforeLines="50" w:after="120" w:afterLines="50" w:line="360" w:lineRule="auto"/>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1 </w:t>
      </w:r>
      <w:r>
        <w:rPr>
          <w:rFonts w:hint="eastAsia" w:ascii="宋体" w:hAnsi="宋体"/>
          <w:sz w:val="24"/>
        </w:rPr>
        <w:t>份附件，附件与本合同条款对双方具有同等效力。</w:t>
      </w:r>
    </w:p>
    <w:p>
      <w:pPr>
        <w:adjustRightInd w:val="0"/>
        <w:snapToGrid w:val="0"/>
        <w:spacing w:before="120" w:beforeLines="50" w:after="120" w:afterLines="50"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pPr>
        <w:adjustRightInd w:val="0"/>
        <w:snapToGrid w:val="0"/>
        <w:spacing w:before="120" w:beforeLines="50" w:after="120" w:afterLines="50" w:line="360" w:lineRule="auto"/>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肆</w:t>
      </w:r>
      <w:r>
        <w:rPr>
          <w:rFonts w:hint="eastAsia" w:ascii="宋体" w:hAnsi="宋体"/>
          <w:sz w:val="24"/>
        </w:rPr>
        <w:t>份，甲乙双方当事人各执</w:t>
      </w:r>
      <w:r>
        <w:rPr>
          <w:rFonts w:hint="eastAsia" w:ascii="宋体" w:hAnsi="宋体"/>
          <w:sz w:val="24"/>
          <w:u w:val="single"/>
        </w:rPr>
        <w:t>贰</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pPr>
        <w:adjustRightInd w:val="0"/>
        <w:snapToGrid w:val="0"/>
        <w:spacing w:before="240" w:beforeLines="100" w:after="240" w:afterLines="100" w:line="720" w:lineRule="auto"/>
        <w:rPr>
          <w:b/>
          <w:sz w:val="24"/>
        </w:rPr>
      </w:pPr>
    </w:p>
    <w:p>
      <w:pPr>
        <w:adjustRightInd w:val="0"/>
        <w:snapToGrid w:val="0"/>
        <w:spacing w:before="240" w:beforeLines="100" w:after="240" w:afterLines="100" w:line="720" w:lineRule="auto"/>
        <w:rPr>
          <w:b/>
          <w:sz w:val="24"/>
        </w:rPr>
      </w:pPr>
      <w:r>
        <w:rPr>
          <w:rFonts w:hint="eastAsia"/>
          <w:b/>
          <w:sz w:val="24"/>
        </w:rPr>
        <w:br w:type="page"/>
      </w: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240" w:beforeLines="100" w:after="240" w:afterLines="100" w:line="720" w:lineRule="auto"/>
        <w:rPr>
          <w:b/>
          <w:sz w:val="24"/>
        </w:rPr>
      </w:pPr>
      <w:r>
        <w:rPr>
          <w:rFonts w:hint="eastAsia"/>
          <w:b/>
          <w:sz w:val="24"/>
        </w:rPr>
        <w:t xml:space="preserve">（甲方）（盖章） </w:t>
      </w:r>
    </w:p>
    <w:p>
      <w:pPr>
        <w:adjustRightInd w:val="0"/>
        <w:snapToGrid w:val="0"/>
        <w:spacing w:before="240" w:beforeLines="100" w:after="240" w:afterLines="100" w:line="720" w:lineRule="auto"/>
        <w:rPr>
          <w:b/>
          <w:sz w:val="24"/>
        </w:rPr>
      </w:pPr>
      <w:r>
        <w:rPr>
          <w:rFonts w:hint="eastAsia"/>
          <w:b/>
          <w:sz w:val="24"/>
        </w:rPr>
        <w:t xml:space="preserve">法定代表人（签名）： </w:t>
      </w:r>
    </w:p>
    <w:p>
      <w:pPr>
        <w:adjustRightInd w:val="0"/>
        <w:snapToGrid w:val="0"/>
        <w:spacing w:before="240" w:beforeLines="100" w:after="240" w:afterLines="100" w:line="720" w:lineRule="auto"/>
        <w:rPr>
          <w:b/>
          <w:sz w:val="24"/>
        </w:rPr>
      </w:pPr>
      <w:r>
        <w:rPr>
          <w:rFonts w:hint="eastAsia"/>
          <w:b/>
          <w:sz w:val="24"/>
        </w:rPr>
        <w:t xml:space="preserve">委托代理人（签名）： </w:t>
      </w:r>
    </w:p>
    <w:p>
      <w:pPr>
        <w:adjustRightInd w:val="0"/>
        <w:snapToGrid w:val="0"/>
        <w:spacing w:before="240" w:beforeLines="100" w:after="240"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240" w:beforeLines="100" w:after="240" w:afterLines="100" w:line="720" w:lineRule="auto"/>
        <w:rPr>
          <w:b/>
          <w:sz w:val="24"/>
          <w:u w:val="single"/>
        </w:rPr>
      </w:pPr>
      <w:r>
        <w:rPr>
          <w:rFonts w:hint="eastAsia"/>
          <w:b/>
          <w:sz w:val="24"/>
        </w:rPr>
        <w:t>受托方：</w:t>
      </w:r>
      <w:r>
        <w:rPr>
          <w:rFonts w:hint="eastAsia"/>
          <w:b/>
          <w:sz w:val="24"/>
          <w:u w:val="single"/>
        </w:rPr>
        <w:t xml:space="preserve">                    </w:t>
      </w:r>
    </w:p>
    <w:p>
      <w:pPr>
        <w:adjustRightInd w:val="0"/>
        <w:snapToGrid w:val="0"/>
        <w:spacing w:before="240" w:beforeLines="100" w:after="240" w:afterLines="100" w:line="720" w:lineRule="auto"/>
        <w:rPr>
          <w:b/>
          <w:sz w:val="24"/>
        </w:rPr>
      </w:pPr>
      <w:r>
        <w:rPr>
          <w:rFonts w:hint="eastAsia"/>
          <w:b/>
          <w:sz w:val="24"/>
        </w:rPr>
        <w:t xml:space="preserve">（乙方）（盖章）   </w:t>
      </w:r>
    </w:p>
    <w:p>
      <w:pPr>
        <w:adjustRightInd w:val="0"/>
        <w:snapToGrid w:val="0"/>
        <w:spacing w:before="240" w:beforeLines="100" w:after="240" w:afterLines="100" w:line="720" w:lineRule="auto"/>
        <w:rPr>
          <w:b/>
          <w:sz w:val="24"/>
        </w:rPr>
      </w:pPr>
      <w:r>
        <w:rPr>
          <w:rFonts w:hint="eastAsia"/>
          <w:b/>
          <w:sz w:val="24"/>
        </w:rPr>
        <w:t>法定代表人（签名）：</w:t>
      </w:r>
    </w:p>
    <w:p>
      <w:pPr>
        <w:adjustRightInd w:val="0"/>
        <w:snapToGrid w:val="0"/>
        <w:spacing w:before="240" w:beforeLines="100" w:after="240" w:afterLines="100" w:line="720" w:lineRule="auto"/>
        <w:rPr>
          <w:b/>
          <w:sz w:val="24"/>
        </w:rPr>
      </w:pPr>
      <w:r>
        <w:rPr>
          <w:rFonts w:hint="eastAsia"/>
          <w:b/>
          <w:sz w:val="24"/>
        </w:rPr>
        <w:t>委托代理人（签名）：</w:t>
      </w:r>
    </w:p>
    <w:p>
      <w:pPr>
        <w:adjustRightInd w:val="0"/>
        <w:snapToGrid w:val="0"/>
        <w:spacing w:before="240" w:beforeLines="100" w:after="240" w:afterLines="100" w:line="720" w:lineRule="auto"/>
        <w:rPr>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adjustRightInd w:val="0"/>
        <w:snapToGrid w:val="0"/>
        <w:spacing w:before="240" w:beforeLines="100" w:after="240" w:afterLines="100" w:line="720" w:lineRule="auto"/>
        <w:rPr>
          <w:rFonts w:eastAsia="仿宋_GB2312"/>
          <w:color w:val="000000"/>
          <w:sz w:val="28"/>
          <w:szCs w:val="28"/>
        </w:rPr>
      </w:pPr>
      <w:r>
        <w:rPr>
          <w:rFonts w:hint="eastAsia"/>
          <w:b/>
          <w:sz w:val="24"/>
        </w:rPr>
        <w:br w:type="page"/>
      </w:r>
      <w:r>
        <w:rPr>
          <w:rFonts w:hint="eastAsia"/>
          <w:b/>
          <w:sz w:val="24"/>
        </w:rPr>
        <w:t>附</w:t>
      </w:r>
      <w:r>
        <w:rPr>
          <w:rFonts w:hint="eastAsia"/>
          <w:b/>
          <w:color w:val="000000"/>
          <w:sz w:val="24"/>
        </w:rPr>
        <w:t>件：项目计划书</w:t>
      </w:r>
      <w:r>
        <w:rPr>
          <w:b/>
          <w:color w:val="000000"/>
          <w:sz w:val="24"/>
        </w:rPr>
        <w:t xml:space="preserve">  </w:t>
      </w:r>
    </w:p>
    <w:p>
      <w:pPr>
        <w:spacing w:before="120" w:beforeLines="50" w:after="120"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20" w:beforeLines="50" w:after="120" w:afterLines="50" w:line="300" w:lineRule="auto"/>
        <w:rPr>
          <w:b/>
          <w:color w:val="000000"/>
          <w:sz w:val="24"/>
        </w:rPr>
      </w:pPr>
    </w:p>
    <w:p>
      <w:pPr>
        <w:adjustRightInd w:val="0"/>
        <w:snapToGrid w:val="0"/>
        <w:spacing w:before="120" w:beforeLines="50" w:after="120" w:afterLines="50" w:line="300" w:lineRule="auto"/>
      </w:pPr>
      <w:r>
        <w:rPr>
          <w:rFonts w:hint="eastAsia"/>
          <w:b/>
          <w:sz w:val="24"/>
        </w:rPr>
        <w:br w:type="page"/>
      </w:r>
    </w:p>
    <w:p>
      <w:pPr>
        <w:spacing w:line="360" w:lineRule="auto"/>
        <w:ind w:firstLine="420" w:firstLineChars="200"/>
      </w:pPr>
    </w:p>
    <w:p>
      <w:pPr>
        <w:keepNext/>
        <w:keepLines/>
        <w:jc w:val="center"/>
        <w:outlineLvl w:val="0"/>
        <w:rPr>
          <w:rFonts w:ascii="宋体" w:hAnsi="宋体" w:eastAsia="宋体" w:cs="Times New Roman"/>
          <w:b/>
          <w:bCs/>
          <w:kern w:val="44"/>
          <w:sz w:val="44"/>
          <w:szCs w:val="44"/>
        </w:rPr>
      </w:pPr>
      <w:bookmarkStart w:id="251" w:name="_Toc129094570"/>
      <w:r>
        <w:rPr>
          <w:rFonts w:hint="eastAsia" w:ascii="宋体" w:hAnsi="宋体" w:eastAsia="宋体" w:cs="Times New Roman"/>
          <w:b/>
          <w:bCs/>
          <w:kern w:val="44"/>
          <w:sz w:val="44"/>
          <w:szCs w:val="44"/>
        </w:rPr>
        <w:t>第三部分  投标文件格式</w:t>
      </w:r>
      <w:bookmarkEnd w:id="251"/>
    </w:p>
    <w:p>
      <w:pPr>
        <w:rPr>
          <w:rFonts w:ascii="宋体" w:hAnsi="宋体" w:eastAsia="宋体" w:cs="Times New Roman"/>
          <w:szCs w:val="24"/>
        </w:rPr>
      </w:pPr>
    </w:p>
    <w:p>
      <w:pPr>
        <w:tabs>
          <w:tab w:val="left" w:pos="1260"/>
        </w:tabs>
        <w:jc w:val="center"/>
        <w:rPr>
          <w:rFonts w:ascii="宋体" w:hAnsi="宋体" w:eastAsia="宋体" w:cs="Times New Roman"/>
          <w:b/>
          <w:spacing w:val="100"/>
          <w:w w:val="110"/>
          <w:kern w:val="0"/>
          <w:sz w:val="30"/>
          <w:szCs w:val="30"/>
        </w:rPr>
      </w:pPr>
      <w:r>
        <w:rPr>
          <w:rFonts w:hint="eastAsia" w:ascii="宋体" w:hAnsi="宋体" w:eastAsia="宋体" w:cs="Times New Roman"/>
          <w:b/>
          <w:spacing w:val="100"/>
          <w:w w:val="110"/>
          <w:kern w:val="0"/>
          <w:sz w:val="30"/>
          <w:szCs w:val="30"/>
        </w:rPr>
        <w:t>项目</w:t>
      </w:r>
    </w:p>
    <w:p>
      <w:pPr>
        <w:jc w:val="center"/>
        <w:rPr>
          <w:rFonts w:ascii="宋体" w:hAnsi="宋体" w:eastAsia="宋体" w:cs="Times New Roman"/>
          <w:b/>
          <w:sz w:val="30"/>
          <w:szCs w:val="30"/>
        </w:rPr>
      </w:pPr>
    </w:p>
    <w:p>
      <w:pPr>
        <w:tabs>
          <w:tab w:val="left" w:pos="1260"/>
        </w:tabs>
        <w:jc w:val="center"/>
        <w:rPr>
          <w:rFonts w:ascii="宋体" w:hAnsi="宋体" w:eastAsia="宋体" w:cs="Times New Roman"/>
          <w:b/>
          <w:spacing w:val="100"/>
          <w:w w:val="110"/>
          <w:sz w:val="30"/>
          <w:szCs w:val="30"/>
        </w:rPr>
      </w:pPr>
      <w:r>
        <w:rPr>
          <w:rFonts w:hint="eastAsia" w:ascii="宋体" w:hAnsi="宋体" w:eastAsia="宋体" w:cs="Times New Roman"/>
          <w:b/>
          <w:spacing w:val="100"/>
          <w:w w:val="110"/>
          <w:kern w:val="0"/>
          <w:sz w:val="30"/>
          <w:szCs w:val="30"/>
        </w:rPr>
        <w:t>投标文件</w:t>
      </w:r>
    </w:p>
    <w:p>
      <w:pPr>
        <w:jc w:val="center"/>
        <w:rPr>
          <w:rFonts w:ascii="宋体" w:hAnsi="宋体" w:eastAsia="宋体" w:cs="Times New Roman"/>
          <w:b/>
          <w:sz w:val="30"/>
          <w:szCs w:val="30"/>
        </w:rPr>
      </w:pPr>
      <w:r>
        <w:rPr>
          <w:rFonts w:hint="eastAsia" w:ascii="宋体" w:hAnsi="宋体" w:eastAsia="宋体" w:cs="Times New Roman"/>
          <w:b/>
          <w:sz w:val="30"/>
          <w:szCs w:val="30"/>
        </w:rPr>
        <w:t>（正本/副本）</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spacing w:line="360" w:lineRule="auto"/>
        <w:ind w:firstLine="1656" w:firstLineChars="550"/>
        <w:rPr>
          <w:rFonts w:ascii="宋体" w:hAnsi="宋体" w:eastAsia="宋体" w:cs="Times New Roman"/>
          <w:b/>
          <w:spacing w:val="100"/>
          <w:w w:val="110"/>
          <w:kern w:val="0"/>
          <w:sz w:val="30"/>
          <w:szCs w:val="30"/>
          <w:u w:val="single"/>
        </w:rPr>
      </w:pPr>
      <w:r>
        <w:rPr>
          <w:rFonts w:hint="eastAsia" w:ascii="宋体" w:hAnsi="宋体" w:eastAsia="宋体" w:cs="Times New Roman"/>
          <w:b/>
          <w:sz w:val="30"/>
          <w:szCs w:val="30"/>
        </w:rPr>
        <w:t>采购项目编号：</w:t>
      </w:r>
    </w:p>
    <w:p>
      <w:pPr>
        <w:spacing w:line="360" w:lineRule="auto"/>
        <w:ind w:firstLine="1656" w:firstLineChars="550"/>
        <w:rPr>
          <w:rFonts w:ascii="宋体" w:hAnsi="宋体" w:eastAsia="宋体" w:cs="Times New Roman"/>
          <w:b/>
          <w:sz w:val="30"/>
          <w:szCs w:val="30"/>
          <w:u w:val="single"/>
        </w:rPr>
      </w:pPr>
      <w:r>
        <w:rPr>
          <w:rFonts w:hint="eastAsia" w:ascii="宋体" w:hAnsi="宋体" w:eastAsia="宋体" w:cs="Times New Roman"/>
          <w:b/>
          <w:sz w:val="30"/>
          <w:szCs w:val="30"/>
        </w:rPr>
        <w:t>包号：</w:t>
      </w:r>
      <w:r>
        <w:rPr>
          <w:rFonts w:hint="eastAsia" w:ascii="宋体" w:hAnsi="宋体" w:eastAsia="宋体" w:cs="Times New Roman"/>
          <w:b/>
          <w:sz w:val="30"/>
          <w:szCs w:val="30"/>
          <w:u w:val="single"/>
        </w:rPr>
        <w:t>（如有）</w:t>
      </w: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投标人名称（盖公章）：</w:t>
      </w:r>
    </w:p>
    <w:p>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投标人法定代表人（或授权代表）签字：</w:t>
      </w:r>
    </w:p>
    <w:p>
      <w:pPr>
        <w:autoSpaceDE w:val="0"/>
        <w:autoSpaceDN w:val="0"/>
        <w:spacing w:line="240" w:lineRule="atLeast"/>
        <w:ind w:firstLine="141" w:firstLineChars="67"/>
        <w:jc w:val="left"/>
        <w:rPr>
          <w:rFonts w:ascii="宋体" w:hAnsi="宋体" w:eastAsia="宋体" w:cs="Times New Roman"/>
          <w:b/>
          <w:szCs w:val="21"/>
        </w:rPr>
      </w:pPr>
      <w:r>
        <w:rPr>
          <w:rFonts w:hint="eastAsia" w:ascii="宋体" w:hAnsi="宋体" w:eastAsia="宋体" w:cs="Times New Roman"/>
          <w:b/>
          <w:szCs w:val="21"/>
        </w:rPr>
        <w:t>日期：年月日</w:t>
      </w:r>
    </w:p>
    <w:p>
      <w:pPr>
        <w:autoSpaceDE w:val="0"/>
        <w:autoSpaceDN w:val="0"/>
        <w:spacing w:line="240" w:lineRule="atLeast"/>
        <w:ind w:firstLine="141" w:firstLineChars="67"/>
        <w:jc w:val="left"/>
        <w:rPr>
          <w:rFonts w:ascii="宋体" w:hAnsi="宋体" w:eastAsia="宋体" w:cs="Times New Roman"/>
          <w:b/>
          <w:szCs w:val="21"/>
        </w:rPr>
      </w:pPr>
    </w:p>
    <w:p>
      <w:pPr>
        <w:autoSpaceDE w:val="0"/>
        <w:autoSpaceDN w:val="0"/>
        <w:spacing w:line="240" w:lineRule="atLeast"/>
        <w:ind w:firstLine="141" w:firstLineChars="67"/>
        <w:jc w:val="left"/>
        <w:rPr>
          <w:rFonts w:ascii="宋体" w:hAnsi="宋体" w:eastAsia="宋体" w:cs="Times New Roman"/>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r>
        <w:rPr>
          <w:rFonts w:hint="eastAsia" w:asciiTheme="minorEastAsia" w:hAnsiTheme="minorEastAsia"/>
          <w:b/>
          <w:szCs w:val="21"/>
        </w:rPr>
        <w:t>投标文件递交至：</w:t>
      </w:r>
      <w:r>
        <w:rPr>
          <w:rFonts w:hint="eastAsia" w:cs="宋体" w:asciiTheme="minorEastAsia" w:hAnsiTheme="minorEastAsia"/>
          <w:spacing w:val="1"/>
          <w:kern w:val="0"/>
          <w:szCs w:val="21"/>
        </w:rPr>
        <w:t>深圳市福田区泰然九路天地源盛唐大厦东座1403开标室</w:t>
      </w: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宋体" w:hAnsi="宋体" w:eastAsia="宋体" w:cs="Times New Roman"/>
          <w:b/>
          <w:szCs w:val="21"/>
          <w:u w:val="single"/>
        </w:rPr>
      </w:pPr>
      <w:r>
        <w:rPr>
          <w:rFonts w:hint="eastAsia" w:asciiTheme="minorEastAsia" w:hAnsiTheme="minorEastAsia"/>
          <w:b/>
          <w:szCs w:val="21"/>
        </w:rPr>
        <w:t>（</w:t>
      </w:r>
      <w:r>
        <w:rPr>
          <w:rFonts w:hint="eastAsia" w:asciiTheme="minorEastAsia" w:hAnsiTheme="minorEastAsia"/>
          <w:szCs w:val="21"/>
        </w:rPr>
        <w:t>在XXXX</w:t>
      </w:r>
      <w:r>
        <w:rPr>
          <w:rFonts w:asciiTheme="minorEastAsia" w:hAnsiTheme="minorEastAsia"/>
          <w:szCs w:val="21"/>
        </w:rPr>
        <w:t>年</w:t>
      </w:r>
      <w:r>
        <w:rPr>
          <w:rFonts w:hint="eastAsia" w:asciiTheme="minorEastAsia" w:hAnsiTheme="minorEastAsia"/>
          <w:szCs w:val="21"/>
        </w:rPr>
        <w:t>XX</w:t>
      </w:r>
      <w:r>
        <w:rPr>
          <w:rFonts w:asciiTheme="minorEastAsia" w:hAnsiTheme="minorEastAsia"/>
          <w:szCs w:val="21"/>
        </w:rPr>
        <w:t>月</w:t>
      </w:r>
      <w:r>
        <w:rPr>
          <w:rFonts w:hint="eastAsia" w:asciiTheme="minorEastAsia" w:hAnsiTheme="minorEastAsia"/>
          <w:szCs w:val="21"/>
        </w:rPr>
        <w:t>XX</w:t>
      </w:r>
      <w:r>
        <w:rPr>
          <w:rFonts w:asciiTheme="minorEastAsia" w:hAnsiTheme="minorEastAsia"/>
          <w:szCs w:val="21"/>
        </w:rPr>
        <w:t>日</w:t>
      </w:r>
      <w:r>
        <w:rPr>
          <w:rFonts w:hint="eastAsia" w:asciiTheme="minorEastAsia" w:hAnsiTheme="minorEastAsia"/>
          <w:szCs w:val="21"/>
        </w:rPr>
        <w:t>XX</w:t>
      </w:r>
      <w:r>
        <w:rPr>
          <w:rFonts w:asciiTheme="minorEastAsia" w:hAnsiTheme="minorEastAsia"/>
          <w:szCs w:val="21"/>
        </w:rPr>
        <w:t>时</w:t>
      </w:r>
      <w:r>
        <w:rPr>
          <w:rFonts w:hint="eastAsia" w:asciiTheme="minorEastAsia" w:hAnsiTheme="minorEastAsia"/>
          <w:szCs w:val="21"/>
        </w:rPr>
        <w:t>XX</w:t>
      </w:r>
      <w:r>
        <w:rPr>
          <w:rFonts w:asciiTheme="minorEastAsia" w:hAnsiTheme="minorEastAsia"/>
          <w:szCs w:val="21"/>
        </w:rPr>
        <w:t>分</w:t>
      </w:r>
      <w:r>
        <w:rPr>
          <w:rFonts w:hint="eastAsia" w:asciiTheme="minorEastAsia" w:hAnsiTheme="minorEastAsia"/>
          <w:szCs w:val="21"/>
        </w:rPr>
        <w:t>之前不得启封</w:t>
      </w:r>
      <w:r>
        <w:rPr>
          <w:rFonts w:hint="eastAsia" w:asciiTheme="minorEastAsia" w:hAnsiTheme="minorEastAsia"/>
          <w:b/>
          <w:szCs w:val="21"/>
        </w:rPr>
        <w:t>）</w:t>
      </w:r>
    </w:p>
    <w:p>
      <w:pPr>
        <w:jc w:val="left"/>
        <w:rPr>
          <w:rFonts w:ascii="宋体" w:hAnsi="宋体" w:eastAsia="宋体" w:cs="Times New Roman"/>
          <w:szCs w:val="21"/>
        </w:rPr>
      </w:pPr>
    </w:p>
    <w:p>
      <w:pPr>
        <w:jc w:val="left"/>
        <w:rPr>
          <w:rFonts w:ascii="宋体" w:hAnsi="宋体" w:eastAsia="宋体" w:cs="Times New Roman"/>
          <w:szCs w:val="21"/>
        </w:rPr>
      </w:pPr>
    </w:p>
    <w:p>
      <w:pPr>
        <w:rPr>
          <w:rFonts w:ascii="宋体" w:hAnsi="宋体" w:eastAsia="宋体" w:cs="Times New Roman"/>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52" w:name="_Toc202251704"/>
      <w:bookmarkStart w:id="253" w:name="_Toc202252039"/>
      <w:bookmarkStart w:id="254" w:name="_Toc202819884"/>
      <w:bookmarkStart w:id="255" w:name="_Toc202251079"/>
      <w:bookmarkStart w:id="256" w:name="_Toc202817002"/>
      <w:bookmarkStart w:id="257" w:name="_Toc202820357"/>
      <w:bookmarkStart w:id="258" w:name="_Toc129094571"/>
      <w:bookmarkStart w:id="259" w:name="_Toc202254110"/>
      <w:r>
        <w:rPr>
          <w:rFonts w:hint="eastAsia" w:ascii="宋体" w:hAnsi="宋体" w:eastAsia="宋体" w:cs="Times New Roman"/>
          <w:b/>
          <w:bCs/>
          <w:kern w:val="44"/>
          <w:sz w:val="28"/>
          <w:szCs w:val="28"/>
        </w:rPr>
        <w:t>一、自查表</w:t>
      </w:r>
      <w:bookmarkEnd w:id="252"/>
      <w:bookmarkEnd w:id="253"/>
      <w:bookmarkEnd w:id="254"/>
      <w:bookmarkEnd w:id="255"/>
      <w:bookmarkEnd w:id="256"/>
      <w:bookmarkEnd w:id="257"/>
      <w:bookmarkEnd w:id="258"/>
      <w:bookmarkEnd w:id="259"/>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87"/>
        <w:gridCol w:w="3720"/>
        <w:gridCol w:w="184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821" w:type="dxa"/>
            <w:gridSpan w:val="3"/>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评审内容</w:t>
            </w:r>
          </w:p>
        </w:tc>
        <w:tc>
          <w:tcPr>
            <w:tcW w:w="1847" w:type="dxa"/>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自查结论</w:t>
            </w:r>
          </w:p>
        </w:tc>
        <w:tc>
          <w:tcPr>
            <w:tcW w:w="1837" w:type="dxa"/>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14" w:type="dxa"/>
            <w:vAlign w:val="center"/>
          </w:tcPr>
          <w:p>
            <w:pPr>
              <w:jc w:val="center"/>
              <w:rPr>
                <w:rFonts w:ascii="宋体" w:hAnsi="宋体" w:eastAsia="宋体" w:cs="Times New Roman"/>
                <w:b/>
                <w:szCs w:val="21"/>
              </w:rPr>
            </w:pPr>
            <w:r>
              <w:rPr>
                <w:rFonts w:hint="eastAsia" w:ascii="宋体" w:hAnsi="宋体" w:eastAsia="宋体" w:cs="Times New Roman"/>
                <w:b/>
                <w:szCs w:val="21"/>
              </w:rPr>
              <w:t>资格</w:t>
            </w:r>
          </w:p>
          <w:p>
            <w:pPr>
              <w:jc w:val="center"/>
              <w:rPr>
                <w:rFonts w:ascii="宋体" w:hAnsi="宋体" w:eastAsia="宋体" w:cs="Times New Roman"/>
                <w:b/>
                <w:szCs w:val="21"/>
              </w:rPr>
            </w:pPr>
            <w:r>
              <w:rPr>
                <w:rFonts w:hint="eastAsia" w:ascii="宋体" w:hAnsi="宋体" w:eastAsia="宋体" w:cs="Times New Roman"/>
                <w:b/>
                <w:szCs w:val="21"/>
              </w:rPr>
              <w:t>性检</w:t>
            </w:r>
          </w:p>
          <w:p>
            <w:pPr>
              <w:jc w:val="center"/>
              <w:rPr>
                <w:rFonts w:ascii="宋体" w:hAnsi="宋体" w:eastAsia="宋体" w:cs="Times New Roman"/>
                <w:b/>
                <w:szCs w:val="21"/>
              </w:rPr>
            </w:pPr>
            <w:r>
              <w:rPr>
                <w:rFonts w:hint="eastAsia" w:ascii="宋体" w:hAnsi="宋体" w:eastAsia="宋体" w:cs="Times New Roman"/>
                <w:b/>
                <w:szCs w:val="21"/>
              </w:rPr>
              <w:t>查项</w:t>
            </w:r>
          </w:p>
          <w:p>
            <w:pPr>
              <w:jc w:val="center"/>
              <w:rPr>
                <w:rFonts w:ascii="宋体" w:hAnsi="宋体" w:eastAsia="宋体" w:cs="Times New Roman"/>
                <w:szCs w:val="21"/>
              </w:rPr>
            </w:pPr>
            <w:r>
              <w:rPr>
                <w:rFonts w:hint="eastAsia" w:ascii="宋体" w:hAnsi="宋体" w:eastAsia="宋体" w:cs="Times New Roman"/>
                <w:b/>
                <w:szCs w:val="21"/>
              </w:rPr>
              <w:t>目</w:t>
            </w: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pPr>
              <w:spacing w:line="240" w:lineRule="exact"/>
              <w:ind w:left="178" w:leftChars="85" w:right="141" w:rightChars="67"/>
              <w:rPr>
                <w:rFonts w:ascii="宋体" w:hAnsi="宋体" w:eastAsia="宋体" w:cs="Times New Roman"/>
                <w:szCs w:val="21"/>
              </w:rPr>
            </w:pPr>
            <w:r>
              <w:rPr>
                <w:rFonts w:hint="eastAsia" w:ascii="宋体" w:hAnsi="宋体" w:eastAsia="宋体" w:cs="Times New Roman"/>
                <w:szCs w:val="24"/>
              </w:rPr>
              <w:t>投标人具备投标人资格要求，且提交相应证明材料</w:t>
            </w:r>
          </w:p>
        </w:tc>
        <w:tc>
          <w:tcPr>
            <w:tcW w:w="1847" w:type="dxa"/>
            <w:vAlign w:val="center"/>
          </w:tcPr>
          <w:p>
            <w:pPr>
              <w:ind w:left="-171"/>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40" w:leftChars="19"/>
              <w:rPr>
                <w:rFonts w:ascii="宋体" w:hAnsi="宋体" w:eastAsia="宋体" w:cs="Times New Roman"/>
                <w:szCs w:val="21"/>
              </w:rPr>
            </w:pPr>
            <w:r>
              <w:rPr>
                <w:rFonts w:hint="eastAsia" w:ascii="宋体" w:hAnsi="宋体" w:eastAsia="宋体" w:cs="Times New Roman"/>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714" w:type="dxa"/>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符合</w:t>
            </w:r>
          </w:p>
          <w:p>
            <w:pPr>
              <w:jc w:val="center"/>
              <w:rPr>
                <w:rFonts w:ascii="宋体" w:hAnsi="宋体" w:eastAsia="宋体" w:cs="Times New Roman"/>
                <w:b/>
                <w:szCs w:val="21"/>
              </w:rPr>
            </w:pPr>
            <w:r>
              <w:rPr>
                <w:rFonts w:hint="eastAsia" w:ascii="宋体" w:hAnsi="宋体" w:eastAsia="宋体" w:cs="Times New Roman"/>
                <w:b/>
                <w:szCs w:val="21"/>
              </w:rPr>
              <w:t>性检</w:t>
            </w:r>
          </w:p>
          <w:p>
            <w:pPr>
              <w:jc w:val="center"/>
              <w:rPr>
                <w:rFonts w:ascii="宋体" w:hAnsi="宋体" w:eastAsia="宋体" w:cs="Times New Roman"/>
                <w:b/>
                <w:szCs w:val="21"/>
              </w:rPr>
            </w:pPr>
            <w:r>
              <w:rPr>
                <w:rFonts w:hint="eastAsia" w:ascii="宋体" w:hAnsi="宋体" w:eastAsia="宋体" w:cs="Times New Roman"/>
                <w:b/>
                <w:szCs w:val="21"/>
              </w:rPr>
              <w:t>查指</w:t>
            </w:r>
          </w:p>
          <w:p>
            <w:pPr>
              <w:jc w:val="center"/>
              <w:rPr>
                <w:rFonts w:ascii="宋体" w:hAnsi="宋体" w:eastAsia="宋体" w:cs="Times New Roman"/>
                <w:szCs w:val="21"/>
              </w:rPr>
            </w:pPr>
            <w:r>
              <w:rPr>
                <w:rFonts w:hint="eastAsia" w:ascii="宋体" w:hAnsi="宋体" w:eastAsia="宋体" w:cs="Times New Roman"/>
                <w:b/>
                <w:szCs w:val="21"/>
              </w:rPr>
              <w:t>引</w:t>
            </w: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2</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3</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4</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5</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w:t>
            </w:r>
            <w:r>
              <w:rPr>
                <w:rFonts w:hint="eastAsia" w:ascii="宋体" w:hAnsi="宋体" w:eastAsia="宋体" w:cs="Times New Roman"/>
                <w:b/>
                <w:bCs/>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6</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投标总价或分项报价不高于财政预算限额；</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7</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8</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9</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10</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11</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12</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1847" w:type="dxa"/>
            <w:vAlign w:val="center"/>
          </w:tcPr>
          <w:p>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13</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1847" w:type="dxa"/>
            <w:vAlign w:val="center"/>
          </w:tcPr>
          <w:p>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bl>
    <w:p>
      <w:pPr>
        <w:rPr>
          <w:rFonts w:ascii="宋体" w:hAnsi="宋体" w:eastAsia="宋体" w:cs="Times New Roman"/>
          <w:szCs w:val="21"/>
        </w:rPr>
      </w:pPr>
    </w:p>
    <w:p>
      <w:pPr>
        <w:spacing w:after="120" w:line="360" w:lineRule="exact"/>
        <w:rPr>
          <w:rFonts w:ascii="宋体" w:hAnsi="宋体" w:eastAsia="宋体" w:cs="Times New Roman"/>
          <w:szCs w:val="21"/>
        </w:rPr>
      </w:pPr>
      <w:r>
        <w:rPr>
          <w:rFonts w:hint="eastAsia" w:ascii="宋体" w:hAnsi="宋体" w:eastAsia="宋体" w:cs="Times New Roman"/>
          <w:szCs w:val="21"/>
        </w:rPr>
        <w:t>注：以上材料将作为投标人合格性和有效性审核的重要内容之一，投标人必须严格按照其内容及序列要求在投标文件中对应如实提供，对缺漏和不符合项将会直接导致无效投标。</w:t>
      </w:r>
    </w:p>
    <w:p>
      <w:pPr>
        <w:spacing w:after="120" w:line="360" w:lineRule="exact"/>
        <w:rPr>
          <w:rFonts w:ascii="宋体" w:hAnsi="宋体" w:eastAsia="宋体" w:cs="Times New Roman"/>
          <w:szCs w:val="21"/>
        </w:rPr>
      </w:pPr>
    </w:p>
    <w:p>
      <w:pPr>
        <w:spacing w:after="120" w:line="360" w:lineRule="exact"/>
        <w:rPr>
          <w:rFonts w:ascii="宋体" w:hAnsi="宋体" w:eastAsia="宋体" w:cs="Times New Roman"/>
          <w:szCs w:val="21"/>
        </w:rPr>
        <w:sectPr>
          <w:headerReference r:id="rId3" w:type="default"/>
          <w:footerReference r:id="rId4" w:type="default"/>
          <w:pgSz w:w="11906" w:h="16838"/>
          <w:pgMar w:top="1440" w:right="1800" w:bottom="1440" w:left="1800" w:header="851" w:footer="992" w:gutter="0"/>
          <w:cols w:space="720" w:num="1"/>
          <w:titlePg/>
          <w:docGrid w:linePitch="312" w:charSpace="0"/>
        </w:sectPr>
      </w:pPr>
    </w:p>
    <w:tbl>
      <w:tblPr>
        <w:tblStyle w:val="44"/>
        <w:tblpPr w:leftFromText="180" w:rightFromText="180" w:vertAnchor="page" w:horzAnchor="margin" w:tblpXSpec="center" w:tblpY="22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449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7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评分因素</w:t>
            </w:r>
          </w:p>
        </w:tc>
        <w:tc>
          <w:tcPr>
            <w:tcW w:w="4498"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评分准则</w:t>
            </w:r>
          </w:p>
        </w:tc>
        <w:tc>
          <w:tcPr>
            <w:tcW w:w="153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7"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b/>
                <w:bCs/>
                <w:iCs/>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b/>
                <w:bCs/>
                <w:iCs/>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970" w:type="dxa"/>
            <w:vAlign w:val="center"/>
          </w:tcPr>
          <w:p>
            <w:pPr>
              <w:spacing w:line="3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2970" w:type="dxa"/>
            <w:vAlign w:val="center"/>
          </w:tcPr>
          <w:p>
            <w:pPr>
              <w:spacing w:line="3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bl>
    <w:p>
      <w:pPr>
        <w:jc w:val="center"/>
        <w:rPr>
          <w:rFonts w:ascii="宋体" w:hAnsi="宋体" w:eastAsia="宋体" w:cs="Times New Roman"/>
          <w:b/>
          <w:bCs/>
          <w:szCs w:val="21"/>
        </w:rPr>
      </w:pPr>
      <w:r>
        <w:rPr>
          <w:rFonts w:hint="eastAsia" w:ascii="宋体" w:hAnsi="宋体" w:eastAsia="宋体" w:cs="Times New Roman"/>
          <w:b/>
          <w:bCs/>
          <w:szCs w:val="21"/>
        </w:rPr>
        <w:t>2、</w:t>
      </w:r>
      <w:r>
        <w:rPr>
          <w:rFonts w:hint="eastAsia" w:ascii="宋体" w:hAnsi="宋体" w:eastAsia="宋体" w:cs="Times New Roman"/>
          <w:b/>
          <w:szCs w:val="21"/>
        </w:rPr>
        <w:t>综合评分指引</w:t>
      </w:r>
    </w:p>
    <w:p>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对于“</w:t>
      </w:r>
      <w:r>
        <w:rPr>
          <w:rFonts w:hint="eastAsia" w:ascii="宋体" w:hAnsi="宋体" w:eastAsia="宋体" w:cs="Times New Roman"/>
          <w:b/>
          <w:szCs w:val="21"/>
        </w:rPr>
        <w:t>综合评分指引”</w:t>
      </w:r>
      <w:r>
        <w:rPr>
          <w:rFonts w:hint="eastAsia" w:ascii="宋体" w:hAnsi="宋体" w:eastAsia="宋体" w:cs="Times New Roman"/>
          <w:szCs w:val="21"/>
        </w:rPr>
        <w:t>请投标人按照</w:t>
      </w:r>
      <w:r>
        <w:rPr>
          <w:rFonts w:hint="eastAsia" w:ascii="宋体" w:hAnsi="宋体" w:eastAsia="宋体" w:cs="Times New Roman"/>
          <w:b/>
          <w:szCs w:val="21"/>
        </w:rPr>
        <w:t>招标文件评标信息评分细则表</w:t>
      </w:r>
      <w:r>
        <w:rPr>
          <w:rFonts w:hint="eastAsia" w:ascii="宋体" w:hAnsi="宋体" w:eastAsia="宋体" w:cs="Times New Roman"/>
          <w:szCs w:val="21"/>
        </w:rPr>
        <w:t>内容，根据各评分项目以</w:t>
      </w:r>
      <w:r>
        <w:rPr>
          <w:rFonts w:hint="eastAsia" w:ascii="宋体" w:hAnsi="宋体" w:eastAsia="宋体" w:cs="Times New Roman"/>
          <w:b/>
          <w:szCs w:val="21"/>
        </w:rPr>
        <w:t>自上而下</w:t>
      </w:r>
      <w:r>
        <w:rPr>
          <w:rFonts w:hint="eastAsia" w:ascii="宋体" w:hAnsi="宋体" w:eastAsia="宋体" w:cs="Times New Roman"/>
          <w:szCs w:val="21"/>
        </w:rPr>
        <w:t>的顺序编制。因项目次序混乱而影响评标效率及评标结果者，投标人自负其责。</w:t>
      </w:r>
    </w:p>
    <w:p>
      <w:pPr>
        <w:adjustRightInd w:val="0"/>
        <w:snapToGrid w:val="0"/>
        <w:spacing w:line="300" w:lineRule="auto"/>
        <w:rPr>
          <w:rFonts w:ascii="宋体" w:hAnsi="宋体" w:eastAsia="宋体" w:cs="Times New Roman"/>
          <w:szCs w:val="21"/>
        </w:rPr>
      </w:pPr>
    </w:p>
    <w:p>
      <w:pPr>
        <w:adjustRightInd w:val="0"/>
        <w:snapToGrid w:val="0"/>
        <w:spacing w:line="300" w:lineRule="auto"/>
        <w:rPr>
          <w:rFonts w:ascii="宋体" w:hAnsi="宋体" w:eastAsia="宋体" w:cs="Times New Roman"/>
          <w:szCs w:val="21"/>
        </w:rPr>
      </w:pPr>
    </w:p>
    <w:p>
      <w:pPr>
        <w:spacing w:after="120" w:line="360" w:lineRule="exact"/>
        <w:rPr>
          <w:rFonts w:ascii="宋体" w:hAnsi="宋体" w:eastAsia="宋体" w:cs="Times New Roman"/>
          <w:szCs w:val="21"/>
        </w:rPr>
        <w:sectPr>
          <w:pgSz w:w="11906" w:h="16838"/>
          <w:pgMar w:top="1089" w:right="1559" w:bottom="1089" w:left="1559" w:header="851" w:footer="992" w:gutter="0"/>
          <w:cols w:space="720" w:num="1"/>
          <w:docGrid w:linePitch="312" w:charSpace="0"/>
        </w:sectPr>
      </w:pPr>
    </w:p>
    <w:p>
      <w:pPr>
        <w:keepNext/>
        <w:keepLines/>
        <w:spacing w:line="400" w:lineRule="exact"/>
        <w:jc w:val="center"/>
        <w:outlineLvl w:val="0"/>
        <w:rPr>
          <w:rFonts w:ascii="宋体" w:hAnsi="宋体" w:eastAsia="宋体" w:cs="Times New Roman"/>
          <w:b/>
          <w:bCs/>
          <w:kern w:val="44"/>
          <w:sz w:val="28"/>
          <w:szCs w:val="28"/>
        </w:rPr>
      </w:pPr>
      <w:bookmarkStart w:id="260" w:name="_Toc202251080"/>
      <w:bookmarkStart w:id="261" w:name="_Toc202251705"/>
      <w:bookmarkStart w:id="262" w:name="_Toc202254111"/>
      <w:bookmarkStart w:id="263" w:name="_Toc202820358"/>
      <w:bookmarkStart w:id="264" w:name="_Toc129094572"/>
      <w:bookmarkStart w:id="265" w:name="_Toc202819885"/>
      <w:bookmarkStart w:id="266" w:name="_Toc202252040"/>
      <w:bookmarkStart w:id="267" w:name="_Toc202817003"/>
      <w:r>
        <w:rPr>
          <w:rFonts w:hint="eastAsia" w:ascii="宋体" w:hAnsi="宋体" w:eastAsia="宋体" w:cs="Times New Roman"/>
          <w:b/>
          <w:bCs/>
          <w:kern w:val="44"/>
          <w:sz w:val="28"/>
          <w:szCs w:val="28"/>
        </w:rPr>
        <w:t>二、资格性文件</w:t>
      </w:r>
      <w:bookmarkEnd w:id="260"/>
      <w:bookmarkEnd w:id="261"/>
      <w:bookmarkEnd w:id="262"/>
      <w:bookmarkEnd w:id="263"/>
      <w:bookmarkEnd w:id="264"/>
      <w:bookmarkEnd w:id="265"/>
      <w:bookmarkEnd w:id="266"/>
      <w:bookmarkEnd w:id="267"/>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1、投标函</w:t>
      </w:r>
    </w:p>
    <w:p>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u w:val="single"/>
        </w:rPr>
        <w:t>致</w:t>
      </w:r>
      <w:r>
        <w:rPr>
          <w:rFonts w:hint="eastAsia" w:ascii="宋体" w:hAnsi="宋体" w:eastAsia="宋体" w:cs="Times New Roman"/>
          <w:szCs w:val="21"/>
        </w:rPr>
        <w:t>（</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autoSpaceDE w:val="0"/>
        <w:autoSpaceDN w:val="0"/>
        <w:adjustRightInd w:val="0"/>
        <w:spacing w:line="300" w:lineRule="auto"/>
        <w:ind w:right="26" w:firstLine="420" w:firstLineChars="200"/>
        <w:rPr>
          <w:rFonts w:ascii="宋体" w:hAnsi="宋体" w:eastAsia="宋体" w:cs="Times New Roman"/>
          <w:kern w:val="0"/>
          <w:szCs w:val="21"/>
        </w:rPr>
      </w:pPr>
      <w:r>
        <w:rPr>
          <w:rFonts w:hint="eastAsia" w:ascii="宋体" w:hAnsi="宋体" w:eastAsia="宋体" w:cs="Times New Roman"/>
          <w:kern w:val="0"/>
          <w:szCs w:val="21"/>
        </w:rPr>
        <w:t>依据贵方组织</w:t>
      </w:r>
      <w:r>
        <w:rPr>
          <w:rFonts w:hint="eastAsia" w:ascii="宋体" w:hAnsi="宋体" w:eastAsia="宋体" w:cs="Times New Roman"/>
          <w:szCs w:val="21"/>
        </w:rPr>
        <w:t>采购的</w:t>
      </w:r>
      <w:r>
        <w:rPr>
          <w:rFonts w:hint="eastAsia" w:ascii="宋体" w:hAnsi="宋体" w:eastAsia="宋体" w:cs="Times New Roman"/>
          <w:szCs w:val="21"/>
          <w:u w:val="single"/>
        </w:rPr>
        <w:t>（项目名称：   ） 、（项目编号：       )</w:t>
      </w:r>
      <w:r>
        <w:rPr>
          <w:rFonts w:hint="eastAsia" w:ascii="宋体" w:hAnsi="宋体" w:eastAsia="宋体" w:cs="Times New Roman"/>
          <w:kern w:val="0"/>
          <w:szCs w:val="21"/>
        </w:rPr>
        <w:t>项目，我方代表</w:t>
      </w:r>
      <w:r>
        <w:rPr>
          <w:rFonts w:hint="eastAsia" w:ascii="宋体" w:hAnsi="宋体" w:eastAsia="宋体" w:cs="Times New Roman"/>
          <w:szCs w:val="21"/>
          <w:u w:val="single"/>
        </w:rPr>
        <w:t>（姓名、职务）</w:t>
      </w:r>
      <w:r>
        <w:rPr>
          <w:rFonts w:hint="eastAsia" w:ascii="宋体" w:hAnsi="宋体" w:eastAsia="宋体" w:cs="Times New Roman"/>
          <w:kern w:val="0"/>
          <w:szCs w:val="21"/>
        </w:rPr>
        <w:t>经正式授权并代表</w:t>
      </w:r>
      <w:r>
        <w:rPr>
          <w:rFonts w:hint="eastAsia" w:ascii="宋体" w:hAnsi="宋体" w:eastAsia="宋体" w:cs="Times New Roman"/>
          <w:szCs w:val="21"/>
          <w:u w:val="single"/>
        </w:rPr>
        <w:t>（投标人名称、地址）</w:t>
      </w:r>
      <w:r>
        <w:rPr>
          <w:rFonts w:hint="eastAsia" w:ascii="宋体" w:hAnsi="宋体" w:eastAsia="宋体" w:cs="Times New Roman"/>
          <w:kern w:val="0"/>
          <w:szCs w:val="21"/>
        </w:rPr>
        <w:t>提交下述文件正本</w:t>
      </w:r>
      <w:r>
        <w:rPr>
          <w:rFonts w:hint="eastAsia" w:ascii="宋体" w:hAnsi="宋体" w:eastAsia="宋体" w:cs="Times New Roman"/>
          <w:kern w:val="0"/>
          <w:szCs w:val="21"/>
          <w:u w:val="single"/>
        </w:rPr>
        <w:t xml:space="preserve"> 1 </w:t>
      </w:r>
      <w:r>
        <w:rPr>
          <w:rFonts w:hint="eastAsia" w:ascii="宋体" w:hAnsi="宋体" w:eastAsia="宋体" w:cs="Times New Roman"/>
          <w:kern w:val="0"/>
          <w:szCs w:val="21"/>
        </w:rPr>
        <w:t>份，副本</w:t>
      </w:r>
      <w:r>
        <w:rPr>
          <w:rFonts w:hint="eastAsia" w:ascii="宋体" w:hAnsi="宋体" w:eastAsia="宋体" w:cs="Times New Roman"/>
          <w:kern w:val="0"/>
          <w:szCs w:val="21"/>
          <w:u w:val="single"/>
        </w:rPr>
        <w:t xml:space="preserve"> 5 </w:t>
      </w:r>
      <w:r>
        <w:rPr>
          <w:rFonts w:hint="eastAsia" w:ascii="宋体" w:hAnsi="宋体" w:eastAsia="宋体" w:cs="Times New Roman"/>
          <w:kern w:val="0"/>
          <w:szCs w:val="21"/>
        </w:rPr>
        <w:t>份。</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1. </w:t>
      </w:r>
      <w:r>
        <w:rPr>
          <w:rFonts w:hint="eastAsia" w:ascii="宋体" w:hAnsi="宋体" w:eastAsia="宋体" w:cs="Times New Roman"/>
          <w:szCs w:val="21"/>
        </w:rPr>
        <w:t>自查表</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 </w:t>
      </w:r>
      <w:r>
        <w:rPr>
          <w:rFonts w:hint="eastAsia" w:ascii="宋体" w:hAnsi="宋体" w:eastAsia="宋体" w:cs="Times New Roman"/>
          <w:szCs w:val="21"/>
        </w:rPr>
        <w:t>资格性文件</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 </w:t>
      </w:r>
      <w:r>
        <w:rPr>
          <w:rFonts w:hint="eastAsia" w:ascii="宋体" w:hAnsi="宋体" w:eastAsia="宋体" w:cs="Times New Roman"/>
          <w:szCs w:val="21"/>
        </w:rPr>
        <w:t>商务部分</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4. 技术部分；</w:t>
      </w:r>
    </w:p>
    <w:p>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kern w:val="0"/>
          <w:szCs w:val="21"/>
        </w:rPr>
        <w:t xml:space="preserve">5. </w:t>
      </w:r>
      <w:r>
        <w:rPr>
          <w:rFonts w:hint="eastAsia" w:ascii="宋体" w:hAnsi="宋体" w:eastAsia="宋体" w:cs="Times New Roman"/>
          <w:szCs w:val="21"/>
        </w:rPr>
        <w:t>价格部分；</w:t>
      </w:r>
    </w:p>
    <w:p>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szCs w:val="21"/>
        </w:rPr>
        <w:t>6．声明、投标人诚信承诺函及其他相关承诺函；</w:t>
      </w:r>
    </w:p>
    <w:p>
      <w:pPr>
        <w:autoSpaceDE w:val="0"/>
        <w:autoSpaceDN w:val="0"/>
        <w:adjustRightInd w:val="0"/>
        <w:spacing w:line="300" w:lineRule="auto"/>
        <w:ind w:right="32" w:firstLine="420" w:firstLineChars="200"/>
        <w:rPr>
          <w:rFonts w:ascii="宋体" w:hAnsi="宋体" w:eastAsia="宋体" w:cs="Times New Roman"/>
          <w:kern w:val="0"/>
          <w:szCs w:val="21"/>
        </w:rPr>
      </w:pPr>
      <w:r>
        <w:rPr>
          <w:rFonts w:hint="eastAsia" w:ascii="宋体" w:hAnsi="宋体" w:eastAsia="宋体" w:cs="Times New Roman"/>
          <w:szCs w:val="21"/>
        </w:rPr>
        <w:t>7.</w:t>
      </w:r>
      <w:r>
        <w:rPr>
          <w:rFonts w:ascii="宋体" w:hAnsi="宋体" w:eastAsia="宋体" w:cs="Times New Roman"/>
          <w:szCs w:val="21"/>
        </w:rPr>
        <w:t>……</w:t>
      </w:r>
      <w:r>
        <w:rPr>
          <w:rFonts w:hint="eastAsia" w:ascii="宋体" w:hAnsi="宋体" w:eastAsia="宋体" w:cs="Times New Roman"/>
          <w:szCs w:val="21"/>
        </w:rPr>
        <w:t>。</w:t>
      </w:r>
    </w:p>
    <w:p>
      <w:pPr>
        <w:autoSpaceDE w:val="0"/>
        <w:autoSpaceDN w:val="0"/>
        <w:adjustRightInd w:val="0"/>
        <w:spacing w:line="300" w:lineRule="auto"/>
        <w:ind w:right="246"/>
        <w:rPr>
          <w:rFonts w:ascii="宋体" w:hAnsi="宋体" w:eastAsia="宋体" w:cs="Times New Roman"/>
          <w:kern w:val="0"/>
          <w:szCs w:val="21"/>
        </w:rPr>
      </w:pPr>
      <w:r>
        <w:rPr>
          <w:rFonts w:hint="eastAsia" w:ascii="宋体" w:hAnsi="宋体" w:eastAsia="宋体" w:cs="Times New Roman"/>
          <w:kern w:val="0"/>
          <w:szCs w:val="21"/>
        </w:rPr>
        <w:t>在此，我方声明如下：</w:t>
      </w:r>
    </w:p>
    <w:p>
      <w:pPr>
        <w:spacing w:line="440" w:lineRule="exact"/>
        <w:ind w:firstLine="540"/>
        <w:rPr>
          <w:rFonts w:ascii="宋体" w:hAnsi="宋体" w:eastAsia="宋体" w:cs="Times New Roman"/>
          <w:szCs w:val="21"/>
        </w:rPr>
      </w:pPr>
      <w:r>
        <w:rPr>
          <w:rFonts w:hint="eastAsia" w:ascii="宋体" w:hAnsi="宋体" w:eastAsia="宋体" w:cs="Times New Roman"/>
          <w:szCs w:val="21"/>
        </w:rPr>
        <w:t>1.同意并接受招标文件的各项要求，遵守招标文件中的各项规定，按招标文件的要求提供报价。</w:t>
      </w:r>
    </w:p>
    <w:p>
      <w:pPr>
        <w:spacing w:line="440" w:lineRule="exact"/>
        <w:ind w:firstLine="540"/>
        <w:rPr>
          <w:rFonts w:ascii="宋体" w:hAnsi="宋体" w:eastAsia="宋体" w:cs="Times New Roman"/>
          <w:szCs w:val="21"/>
        </w:rPr>
      </w:pPr>
      <w:r>
        <w:rPr>
          <w:rFonts w:hint="eastAsia" w:ascii="宋体" w:hAnsi="宋体" w:eastAsia="宋体" w:cs="Times New Roman"/>
          <w:szCs w:val="21"/>
        </w:rPr>
        <w:t>2.投标有效期为递交投标/响应文件之日起</w:t>
      </w:r>
      <w:r>
        <w:rPr>
          <w:rFonts w:hint="eastAsia" w:ascii="宋体" w:hAnsi="宋体" w:eastAsia="宋体" w:cs="Times New Roman"/>
          <w:szCs w:val="21"/>
          <w:u w:val="single"/>
        </w:rPr>
        <w:t>90</w:t>
      </w:r>
      <w:r>
        <w:rPr>
          <w:rFonts w:hint="eastAsia" w:ascii="宋体" w:hAnsi="宋体" w:eastAsia="宋体" w:cs="Times New Roman"/>
          <w:szCs w:val="21"/>
        </w:rPr>
        <w:t>天，中标人投标有效期延至合同验收之日。</w:t>
      </w:r>
    </w:p>
    <w:p>
      <w:pPr>
        <w:spacing w:line="440" w:lineRule="exact"/>
        <w:ind w:firstLine="540"/>
        <w:rPr>
          <w:rFonts w:ascii="宋体" w:hAnsi="宋体" w:eastAsia="宋体" w:cs="Times New Roman"/>
          <w:szCs w:val="21"/>
        </w:rPr>
      </w:pPr>
      <w:r>
        <w:rPr>
          <w:rFonts w:hint="eastAsia" w:ascii="宋体" w:hAnsi="宋体" w:eastAsia="宋体" w:cs="Times New Roman"/>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440" w:lineRule="exact"/>
        <w:ind w:firstLine="540"/>
        <w:rPr>
          <w:rFonts w:ascii="宋体" w:hAnsi="宋体" w:eastAsia="宋体" w:cs="Times New Roman"/>
          <w:szCs w:val="21"/>
        </w:rPr>
      </w:pPr>
      <w:r>
        <w:rPr>
          <w:rFonts w:hint="eastAsia" w:ascii="宋体" w:hAnsi="宋体" w:eastAsia="宋体" w:cs="Times New Roman"/>
          <w:szCs w:val="21"/>
        </w:rPr>
        <w:t>4.我方已毫无保留地向贵方提供一切所需的证明材料。</w:t>
      </w:r>
    </w:p>
    <w:p>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5.我方承诺在本次投标响应中提供的一切文件，无论是原件还是复印件均为真实和准确的，绝无任何虚假、伪造和夸大的成份，否则，愿承担相应的后果和法律责任。</w:t>
      </w:r>
    </w:p>
    <w:p>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6.我方完全服从和尊重评委会所作的评定结果，同时清楚理解到报价最低并非意味着必定获得中标资格。</w:t>
      </w:r>
    </w:p>
    <w:p>
      <w:pPr>
        <w:spacing w:line="440" w:lineRule="exact"/>
        <w:ind w:firstLine="540"/>
        <w:rPr>
          <w:rFonts w:ascii="宋体" w:hAnsi="宋体" w:eastAsia="宋体" w:cs="Times New Roman"/>
          <w:szCs w:val="21"/>
        </w:rPr>
      </w:pPr>
      <w:r>
        <w:rPr>
          <w:rFonts w:hint="eastAsia" w:ascii="宋体" w:hAnsi="宋体" w:eastAsia="宋体" w:cs="Times New Roman"/>
          <w:szCs w:val="21"/>
        </w:rPr>
        <w:t>7.我方同意按招标文件规定向招标代理机构缴纳</w:t>
      </w:r>
      <w:r>
        <w:rPr>
          <w:rFonts w:hint="eastAsia" w:ascii="宋体" w:hAnsi="宋体" w:eastAsia="宋体" w:cs="Times New Roman"/>
          <w:szCs w:val="21"/>
          <w:lang w:val="en-GB"/>
        </w:rPr>
        <w:t>采购</w:t>
      </w:r>
      <w:r>
        <w:rPr>
          <w:rFonts w:hint="eastAsia" w:ascii="宋体" w:hAnsi="宋体" w:eastAsia="宋体" w:cs="Times New Roman"/>
          <w:szCs w:val="21"/>
        </w:rPr>
        <w:t>服务费。</w:t>
      </w:r>
    </w:p>
    <w:p>
      <w:pPr>
        <w:spacing w:line="440" w:lineRule="exact"/>
        <w:ind w:firstLine="540"/>
        <w:rPr>
          <w:rFonts w:ascii="宋体" w:hAnsi="宋体" w:eastAsia="宋体" w:cs="Times New Roman"/>
          <w:szCs w:val="21"/>
        </w:rPr>
      </w:pPr>
    </w:p>
    <w:p>
      <w:pPr>
        <w:adjustRightInd w:val="0"/>
        <w:snapToGrid w:val="0"/>
        <w:rPr>
          <w:rFonts w:ascii="宋体" w:hAnsi="宋体" w:eastAsia="宋体" w:cs="Times New Roman"/>
          <w:b/>
          <w:szCs w:val="21"/>
        </w:rPr>
      </w:pPr>
      <w:r>
        <w:rPr>
          <w:rFonts w:hint="eastAsia" w:ascii="宋体" w:hAnsi="宋体" w:eastAsia="宋体" w:cs="Times New Roman"/>
          <w:b/>
          <w:szCs w:val="21"/>
        </w:rPr>
        <w:t>投标人名称(公章)：</w:t>
      </w:r>
    </w:p>
    <w:p>
      <w:pPr>
        <w:adjustRightInd w:val="0"/>
        <w:snapToGrid w:val="0"/>
        <w:rPr>
          <w:rFonts w:ascii="宋体" w:hAnsi="宋体" w:eastAsia="宋体" w:cs="Times New Roman"/>
          <w:b/>
          <w:szCs w:val="21"/>
          <w:u w:val="single"/>
        </w:rPr>
      </w:pPr>
      <w:r>
        <w:rPr>
          <w:rFonts w:hint="eastAsia" w:ascii="宋体" w:hAnsi="宋体" w:eastAsia="宋体" w:cs="Times New Roman"/>
          <w:b/>
          <w:szCs w:val="21"/>
        </w:rPr>
        <w:t>投标人（法定代表人授权代表）代表签字：</w:t>
      </w:r>
    </w:p>
    <w:p>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地址：</w:t>
      </w:r>
    </w:p>
    <w:p>
      <w:pPr>
        <w:autoSpaceDE w:val="0"/>
        <w:autoSpaceDN w:val="0"/>
        <w:adjustRightInd w:val="0"/>
        <w:ind w:right="33"/>
        <w:rPr>
          <w:rFonts w:ascii="宋体" w:hAnsi="宋体" w:eastAsia="宋体" w:cs="Times New Roman"/>
          <w:kern w:val="0"/>
          <w:szCs w:val="21"/>
        </w:rPr>
      </w:pPr>
      <w:r>
        <w:rPr>
          <w:rFonts w:hint="eastAsia" w:ascii="宋体" w:hAnsi="宋体" w:eastAsia="宋体" w:cs="Times New Roman"/>
          <w:kern w:val="0"/>
          <w:szCs w:val="21"/>
        </w:rPr>
        <w:t>电话：</w:t>
      </w:r>
    </w:p>
    <w:p>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电子邮件：</w:t>
      </w:r>
    </w:p>
    <w:p>
      <w:pPr>
        <w:adjustRightInd w:val="0"/>
        <w:snapToGrid w:val="0"/>
        <w:rPr>
          <w:rFonts w:ascii="宋体" w:hAnsi="宋体" w:eastAsia="宋体" w:cs="Times New Roman"/>
          <w:szCs w:val="21"/>
          <w:u w:val="single"/>
        </w:rPr>
      </w:pPr>
      <w:r>
        <w:rPr>
          <w:rFonts w:hint="eastAsia" w:ascii="宋体" w:hAnsi="宋体" w:eastAsia="宋体" w:cs="Times New Roman"/>
          <w:szCs w:val="21"/>
        </w:rPr>
        <w:t>开户银行：</w:t>
      </w:r>
    </w:p>
    <w:p>
      <w:pPr>
        <w:autoSpaceDE w:val="0"/>
        <w:autoSpaceDN w:val="0"/>
        <w:rPr>
          <w:rFonts w:ascii="宋体" w:hAnsi="宋体" w:eastAsia="宋体" w:cs="Times New Roman"/>
          <w:szCs w:val="21"/>
          <w:u w:val="single"/>
        </w:rPr>
      </w:pPr>
      <w:r>
        <w:rPr>
          <w:rFonts w:hint="eastAsia" w:ascii="宋体" w:hAnsi="宋体" w:eastAsia="宋体" w:cs="Times New Roman"/>
          <w:szCs w:val="21"/>
        </w:rPr>
        <w:t>账号：</w:t>
      </w:r>
    </w:p>
    <w:p>
      <w:pPr>
        <w:adjustRightInd w:val="0"/>
        <w:snapToGrid w:val="0"/>
        <w:rPr>
          <w:rFonts w:ascii="宋体" w:hAnsi="宋体" w:eastAsia="宋体" w:cs="Times New Roman"/>
          <w:szCs w:val="21"/>
          <w:u w:val="single"/>
        </w:rPr>
      </w:pPr>
      <w:r>
        <w:rPr>
          <w:rFonts w:hint="eastAsia" w:ascii="宋体" w:hAnsi="宋体" w:eastAsia="宋体" w:cs="Times New Roman"/>
          <w:szCs w:val="21"/>
        </w:rPr>
        <w:t>日期：</w:t>
      </w:r>
    </w:p>
    <w:p>
      <w:pPr>
        <w:adjustRightInd w:val="0"/>
        <w:snapToGrid w:val="0"/>
        <w:rPr>
          <w:rFonts w:ascii="宋体" w:hAnsi="宋体" w:eastAsia="宋体" w:cs="Times New Roman"/>
          <w:szCs w:val="21"/>
        </w:rPr>
      </w:pPr>
      <w:r>
        <w:rPr>
          <w:rFonts w:ascii="宋体" w:hAnsi="宋体" w:eastAsia="宋体" w:cs="Times New Roman"/>
          <w:szCs w:val="21"/>
        </w:rPr>
        <w:br w:type="page"/>
      </w: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2、法定代表人/负责人资格证明书及授权委托书</w:t>
      </w:r>
    </w:p>
    <w:p>
      <w:pPr>
        <w:spacing w:line="480" w:lineRule="exact"/>
        <w:jc w:val="center"/>
        <w:rPr>
          <w:rFonts w:ascii="宋体" w:hAnsi="宋体" w:eastAsia="宋体" w:cs="Times New Roman"/>
          <w:b/>
          <w:szCs w:val="21"/>
        </w:rPr>
      </w:pPr>
      <w:r>
        <w:rPr>
          <w:rFonts w:hint="eastAsia" w:ascii="宋体" w:hAnsi="宋体" w:eastAsia="宋体" w:cs="Times New Roman"/>
          <w:b/>
          <w:szCs w:val="21"/>
        </w:rPr>
        <w:t>2.1法定代表人/负责人资格证明书</w:t>
      </w:r>
    </w:p>
    <w:p>
      <w:pPr>
        <w:spacing w:line="480" w:lineRule="exact"/>
        <w:rPr>
          <w:rFonts w:ascii="宋体" w:hAnsi="宋体" w:eastAsia="宋体" w:cs="Times New Roman"/>
          <w:szCs w:val="21"/>
        </w:rPr>
      </w:pPr>
    </w:p>
    <w:p>
      <w:pPr>
        <w:spacing w:line="480" w:lineRule="exact"/>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spacing w:line="480" w:lineRule="exact"/>
        <w:rPr>
          <w:rFonts w:ascii="宋体" w:hAnsi="宋体" w:eastAsia="宋体" w:cs="Times New Roman"/>
          <w:szCs w:val="21"/>
        </w:rPr>
      </w:pPr>
    </w:p>
    <w:p>
      <w:pPr>
        <w:spacing w:line="360" w:lineRule="auto"/>
        <w:rPr>
          <w:rFonts w:ascii="宋体" w:hAnsi="宋体" w:eastAsia="宋体" w:cs="Times New Roman"/>
          <w:b/>
          <w:szCs w:val="21"/>
        </w:rPr>
      </w:pPr>
      <w:r>
        <w:rPr>
          <w:rFonts w:hint="eastAsia" w:ascii="宋体" w:hAnsi="宋体" w:eastAsia="宋体" w:cs="Times New Roman"/>
          <w:b/>
          <w:szCs w:val="21"/>
        </w:rPr>
        <w:t>单位名称（加盖公章）：</w:t>
      </w:r>
    </w:p>
    <w:p>
      <w:pPr>
        <w:spacing w:line="360" w:lineRule="auto"/>
        <w:rPr>
          <w:rFonts w:ascii="宋体" w:hAnsi="宋体" w:eastAsia="宋体" w:cs="Times New Roman"/>
          <w:b/>
          <w:szCs w:val="21"/>
        </w:rPr>
      </w:pPr>
      <w:r>
        <w:rPr>
          <w:rFonts w:hint="eastAsia" w:ascii="宋体" w:hAnsi="宋体" w:eastAsia="宋体" w:cs="Times New Roman"/>
          <w:b/>
          <w:szCs w:val="21"/>
        </w:rPr>
        <w:t>地    址：</w:t>
      </w:r>
    </w:p>
    <w:p>
      <w:pPr>
        <w:spacing w:line="360" w:lineRule="auto"/>
        <w:rPr>
          <w:rFonts w:ascii="宋体" w:hAnsi="宋体" w:eastAsia="宋体" w:cs="Times New Roman"/>
          <w:b/>
          <w:szCs w:val="21"/>
        </w:rPr>
      </w:pPr>
      <w:r>
        <w:rPr>
          <w:rFonts w:hint="eastAsia" w:ascii="宋体" w:hAnsi="宋体" w:eastAsia="宋体" w:cs="Times New Roman"/>
          <w:b/>
          <w:szCs w:val="21"/>
        </w:rPr>
        <w:t>姓    名：    性别：   年龄：</w:t>
      </w:r>
    </w:p>
    <w:p>
      <w:pPr>
        <w:spacing w:line="360" w:lineRule="auto"/>
        <w:rPr>
          <w:rFonts w:ascii="宋体" w:hAnsi="宋体" w:eastAsia="宋体" w:cs="Times New Roman"/>
          <w:b/>
          <w:szCs w:val="21"/>
        </w:rPr>
      </w:pPr>
      <w:r>
        <w:rPr>
          <w:rFonts w:hint="eastAsia" w:ascii="宋体" w:hAnsi="宋体" w:eastAsia="宋体" w:cs="Times New Roman"/>
          <w:b/>
          <w:szCs w:val="21"/>
        </w:rPr>
        <w:t>身份证号码：   职务：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我系</w:t>
      </w:r>
      <w:r>
        <w:rPr>
          <w:rFonts w:hint="eastAsia" w:ascii="宋体" w:hAnsi="宋体" w:eastAsia="宋体" w:cs="Times New Roman"/>
          <w:b/>
          <w:szCs w:val="21"/>
          <w:u w:val="single"/>
        </w:rPr>
        <w:t xml:space="preserve">            （公司名称：）        </w:t>
      </w:r>
      <w:r>
        <w:rPr>
          <w:rFonts w:hint="eastAsia" w:ascii="宋体" w:hAnsi="宋体" w:eastAsia="宋体" w:cs="Times New Roman"/>
          <w:szCs w:val="21"/>
        </w:rPr>
        <w:t>的法定代表人。本证明书用于</w:t>
      </w:r>
      <w:r>
        <w:rPr>
          <w:rFonts w:hint="eastAsia" w:ascii="宋体" w:hAnsi="宋体" w:eastAsia="宋体" w:cs="Times New Roman"/>
          <w:szCs w:val="21"/>
          <w:u w:val="single"/>
        </w:rPr>
        <w:t xml:space="preserve"> </w:t>
      </w:r>
      <w:r>
        <w:rPr>
          <w:rFonts w:hint="eastAsia" w:ascii="宋体" w:hAnsi="宋体" w:eastAsia="宋体" w:cs="Times New Roman"/>
          <w:b/>
          <w:szCs w:val="21"/>
          <w:u w:val="single"/>
        </w:rPr>
        <w:t xml:space="preserve">     （公司名称）</w:t>
      </w:r>
      <w:r>
        <w:rPr>
          <w:rFonts w:hint="eastAsia" w:ascii="宋体" w:hAnsi="宋体" w:eastAsia="宋体" w:cs="Times New Roman"/>
          <w:szCs w:val="21"/>
        </w:rPr>
        <w:t>签署</w:t>
      </w:r>
      <w:r>
        <w:rPr>
          <w:rFonts w:hint="eastAsia" w:ascii="宋体" w:hAnsi="宋体" w:eastAsia="宋体" w:cs="Times New Roman"/>
          <w:b/>
          <w:szCs w:val="21"/>
          <w:u w:val="single"/>
        </w:rPr>
        <w:t xml:space="preserve"> （项目名称：）、（项目编号：）</w:t>
      </w:r>
      <w:r>
        <w:rPr>
          <w:rFonts w:hint="eastAsia" w:ascii="宋体" w:hAnsi="宋体" w:eastAsia="宋体" w:cs="Times New Roman"/>
          <w:szCs w:val="21"/>
        </w:rPr>
        <w:t>项目的投标文件、进行合同投标、签署合同和处理与之有关的一切事务。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特此证明。</w:t>
      </w:r>
    </w:p>
    <w:p>
      <w:pPr>
        <w:spacing w:line="440" w:lineRule="exact"/>
        <w:ind w:firstLine="210" w:firstLineChars="100"/>
        <w:rPr>
          <w:rFonts w:ascii="宋体" w:hAnsi="宋体" w:eastAsia="宋体" w:cs="Times New Roman"/>
          <w:szCs w:val="21"/>
        </w:rPr>
      </w:pPr>
      <w:r>
        <w:rPr>
          <w:rFonts w:hint="eastAsia" w:ascii="宋体" w:hAnsi="宋体" w:eastAsia="宋体" w:cs="Times New Roman"/>
          <w:szCs w:val="21"/>
        </w:rPr>
        <w:t>日  期：年月日</w:t>
      </w:r>
    </w:p>
    <w:p>
      <w:pPr>
        <w:spacing w:line="44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spacing w:line="44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spacing w:line="440" w:lineRule="exact"/>
        <w:ind w:firstLine="630" w:firstLineChars="300"/>
        <w:rPr>
          <w:rFonts w:ascii="宋体" w:hAnsi="宋体" w:eastAsia="宋体" w:cs="Times New Roman"/>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Cs w:val="21"/>
        </w:rPr>
      </w:pPr>
      <w:r>
        <w:rPr>
          <w:rFonts w:hint="eastAsia" w:ascii="宋体" w:hAnsi="宋体" w:eastAsia="宋体" w:cs="Times New Roman"/>
          <w:b/>
          <w:szCs w:val="21"/>
        </w:rPr>
        <w:t xml:space="preserve"> (为避免无效投标，请供应商务必提供本附件)</w:t>
      </w:r>
    </w:p>
    <w:p>
      <w:pPr>
        <w:rPr>
          <w:rFonts w:ascii="宋体" w:hAnsi="宋体" w:eastAsia="宋体" w:cs="Times New Roman"/>
          <w:b/>
          <w:szCs w:val="21"/>
        </w:rPr>
      </w:pPr>
    </w:p>
    <w:p>
      <w:pPr>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6350" t="6350" r="22225" b="9525"/>
                <wp:wrapNone/>
                <wp:docPr id="2" name="流程图: 可选过程 2"/>
                <wp:cNvGraphicFramePr/>
                <a:graphic xmlns:a="http://schemas.openxmlformats.org/drawingml/2006/main">
                  <a:graphicData uri="http://schemas.microsoft.com/office/word/2010/wordprocessingShape">
                    <wps:wsp>
                      <wps:cNvSpPr>
                        <a:spLocks noChangeArrowheads="true"/>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wps:txbx>
                      <wps:bodyPr rot="0" vert="horz" wrap="square" lIns="91440" tIns="45720" rIns="91440" bIns="45720" anchor="t" anchorCtr="false" upright="true">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VnK/a1wAAAAkBAAAPAAAAAAAAAAEAIAAAADgAAABkcnMvZG93bnJldi54bWxQSwECFAAUAAAA&#10;CACHTuJAcMDD5EsCAABrBAAADgAAAAAAAAABACAAAAA8AQAAZHJzL2Uyb0RvYy54bWxQSwUGAAAA&#10;AAYABgBZAQAA+Q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v:textbox>
              </v:shape>
            </w:pict>
          </mc:Fallback>
        </mc:AlternateContent>
      </w:r>
    </w:p>
    <w:p>
      <w:pPr>
        <w:rPr>
          <w:rFonts w:ascii="宋体" w:hAnsi="宋体" w:eastAsia="宋体" w:cs="Times New Roman"/>
          <w:b/>
          <w:szCs w:val="21"/>
        </w:rPr>
      </w:pPr>
    </w:p>
    <w:p>
      <w:pPr>
        <w:rPr>
          <w:rFonts w:ascii="宋体" w:hAnsi="宋体" w:eastAsia="宋体" w:cs="Times New Roman"/>
          <w:b/>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widowControl/>
        <w:jc w:val="left"/>
        <w:rPr>
          <w:rFonts w:ascii="宋体" w:hAnsi="宋体" w:eastAsia="宋体" w:cs="Times New Roman"/>
          <w:b/>
          <w:szCs w:val="21"/>
        </w:rPr>
      </w:pPr>
      <w:r>
        <w:rPr>
          <w:rFonts w:ascii="宋体" w:hAnsi="宋体" w:eastAsia="宋体" w:cs="Times New Roman"/>
          <w:b/>
          <w:szCs w:val="21"/>
        </w:rPr>
        <w:br w:type="page"/>
      </w:r>
    </w:p>
    <w:p>
      <w:pPr>
        <w:spacing w:line="480" w:lineRule="exact"/>
        <w:jc w:val="center"/>
        <w:rPr>
          <w:rFonts w:ascii="宋体" w:hAnsi="宋体" w:eastAsia="宋体" w:cs="Times New Roman"/>
          <w:b/>
          <w:szCs w:val="21"/>
        </w:rPr>
      </w:pPr>
      <w:r>
        <w:rPr>
          <w:rFonts w:hint="eastAsia" w:ascii="宋体" w:hAnsi="宋体" w:eastAsia="宋体" w:cs="Times New Roman"/>
          <w:b/>
          <w:szCs w:val="21"/>
        </w:rPr>
        <w:t>2.2、法定代表人/负责人授权委托书</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b/>
          <w:bCs/>
          <w:color w:val="FF0000"/>
          <w:sz w:val="24"/>
          <w:szCs w:val="24"/>
          <w:highlight w:val="yellow"/>
        </w:rPr>
        <w:t>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如投标签字代表为法定代表人，则无需提供）在投标单位缴纳的近三个月任意一个月的社保证明文件，如投标人为新成立企业且成立时间不足三个月或授权代表为新入职员工无法提供的社保证明的，应提供承诺函，承诺相关人员为供应商本单位员工。如供应商未按以上要求提供证明文件，则无法通过符合性检查。</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spacing w:line="360" w:lineRule="auto"/>
        <w:rPr>
          <w:rFonts w:ascii="宋体" w:hAnsi="宋体"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代理人无转委托权，特此委托。</w:t>
      </w:r>
    </w:p>
    <w:p>
      <w:pPr>
        <w:spacing w:line="360" w:lineRule="auto"/>
        <w:ind w:firstLine="420" w:firstLineChars="200"/>
        <w:rPr>
          <w:rFonts w:ascii="Calibri" w:hAnsi="Calibri"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法定代表人（签字或盖章）：</w:t>
      </w:r>
      <w:r>
        <w:rPr>
          <w:rFonts w:hint="eastAsia" w:ascii="Times New Roman" w:hAnsi="Times New Roman" w:eastAsia="宋体" w:cs="Times New Roman"/>
          <w:szCs w:val="21"/>
          <w:u w:val="single"/>
        </w:rPr>
        <w:t xml:space="preserve">                                     </w:t>
      </w:r>
    </w:p>
    <w:p>
      <w:pPr>
        <w:spacing w:line="480" w:lineRule="exact"/>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 xml:space="preserve">   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spacing w:line="480" w:lineRule="exact"/>
        <w:ind w:firstLine="421" w:firstLineChars="200"/>
        <w:rPr>
          <w:rFonts w:ascii="宋体" w:hAnsi="宋体" w:eastAsia="宋体" w:cs="Times New Roman"/>
          <w:b/>
          <w:szCs w:val="21"/>
        </w:rPr>
      </w:pPr>
    </w:p>
    <w:p>
      <w:pPr>
        <w:spacing w:line="48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spacing w:line="48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spacing w:line="480" w:lineRule="exact"/>
        <w:ind w:firstLine="630" w:firstLineChars="300"/>
        <w:rPr>
          <w:rFonts w:ascii="宋体" w:hAnsi="宋体" w:eastAsia="宋体" w:cs="Times New Roman"/>
          <w:b/>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pPr>
        <w:spacing w:line="480" w:lineRule="exact"/>
        <w:ind w:firstLine="630" w:firstLineChars="300"/>
        <w:rPr>
          <w:rFonts w:ascii="宋体" w:hAnsi="宋体" w:eastAsia="宋体" w:cs="Times New Roman"/>
          <w:szCs w:val="21"/>
        </w:rPr>
      </w:pPr>
      <w:r>
        <w:rPr>
          <w:rFonts w:hint="eastAsia" w:ascii="宋体" w:hAnsi="宋体" w:eastAsia="宋体" w:cs="Times New Roman"/>
          <w:szCs w:val="21"/>
        </w:rPr>
        <w:t>4.授权权限：全权代表本公司参与上述采购项目的投标，负责提供与签署确认一切文书资料，以及向贵方递交的任何补充承诺。</w:t>
      </w:r>
    </w:p>
    <w:p>
      <w:pPr>
        <w:spacing w:line="440" w:lineRule="exact"/>
        <w:ind w:firstLine="644" w:firstLineChars="307"/>
        <w:rPr>
          <w:rFonts w:ascii="宋体" w:hAnsi="宋体" w:eastAsia="宋体" w:cs="Times New Roman"/>
          <w:szCs w:val="21"/>
        </w:rPr>
      </w:pPr>
      <w:r>
        <w:rPr>
          <w:rFonts w:hint="eastAsia" w:ascii="宋体" w:hAnsi="宋体" w:eastAsia="宋体" w:cs="Times New Roman"/>
          <w:szCs w:val="21"/>
        </w:rPr>
        <w:t>5.有效期限：与本公司投标/响应文件中标注的投标有效期相同，自本单位盖公章之日起生效。</w:t>
      </w:r>
    </w:p>
    <w:p>
      <w:pPr>
        <w:spacing w:line="440" w:lineRule="exact"/>
        <w:ind w:firstLine="647" w:firstLineChars="307"/>
        <w:rPr>
          <w:rFonts w:ascii="宋体" w:hAnsi="宋体"/>
          <w:b/>
          <w:bCs/>
          <w:color w:val="FF0000"/>
          <w:szCs w:val="21"/>
        </w:rPr>
      </w:pPr>
      <w:r>
        <w:rPr>
          <w:rFonts w:hint="eastAsia" w:ascii="宋体" w:hAnsi="宋体"/>
          <w:b/>
          <w:bCs/>
          <w:color w:val="FF0000"/>
          <w:szCs w:val="21"/>
        </w:rPr>
        <w:t>6.投标签字代表为法定代表人，则本表不适用。</w:t>
      </w:r>
    </w:p>
    <w:p>
      <w:pPr>
        <w:rPr>
          <w:rFonts w:ascii="宋体" w:hAnsi="宋体"/>
          <w:b/>
          <w:szCs w:val="21"/>
        </w:rPr>
      </w:pPr>
    </w:p>
    <w:p>
      <w:pPr>
        <w:spacing w:line="440" w:lineRule="exact"/>
        <w:ind w:firstLine="647" w:firstLineChars="307"/>
        <w:rPr>
          <w:rFonts w:ascii="宋体" w:hAnsi="宋体" w:eastAsia="宋体" w:cs="Times New Roman"/>
          <w:szCs w:val="21"/>
        </w:rPr>
      </w:pPr>
      <w:r>
        <w:rPr>
          <w:rFonts w:hint="eastAsia" w:ascii="宋体" w:hAnsi="宋体"/>
          <w:b/>
          <w:szCs w:val="21"/>
          <w:highlight w:val="yellow"/>
        </w:rPr>
        <w:t>(</w:t>
      </w:r>
      <w:r>
        <w:rPr>
          <w:rFonts w:hint="eastAsia" w:ascii="宋体" w:hAnsi="宋体"/>
          <w:b/>
          <w:color w:val="FF0000"/>
          <w:szCs w:val="21"/>
          <w:highlight w:val="yellow"/>
        </w:rPr>
        <w:t>为避免无效投标，请供应商务必提供以下附件</w:t>
      </w:r>
      <w:r>
        <w:rPr>
          <w:rFonts w:hint="eastAsia" w:ascii="宋体" w:hAnsi="宋体"/>
          <w:b/>
          <w:szCs w:val="21"/>
          <w:highlight w:val="yellow"/>
        </w:rPr>
        <w:t>)</w:t>
      </w:r>
    </w:p>
    <w:p>
      <w:pPr>
        <w:spacing w:line="360" w:lineRule="auto"/>
        <w:ind w:firstLine="420"/>
        <w:rPr>
          <w:rFonts w:ascii="宋体" w:hAnsi="宋体" w:eastAsia="宋体" w:cs="Times New Roman"/>
          <w:szCs w:val="21"/>
          <w:u w:val="single"/>
        </w:rPr>
      </w:pPr>
      <w:r>
        <w:rPr>
          <w:rFonts w:ascii="宋体" w:hAnsi="宋体" w:eastAsia="宋体" w:cs="Times New Roman"/>
          <w:szCs w:val="21"/>
          <w:u w:val="single"/>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34290</wp:posOffset>
                </wp:positionV>
                <wp:extent cx="2167890" cy="1074420"/>
                <wp:effectExtent l="6350" t="6350" r="10160" b="11430"/>
                <wp:wrapNone/>
                <wp:docPr id="5" name="流程图: 可选过程 5"/>
                <wp:cNvGraphicFramePr/>
                <a:graphic xmlns:a="http://schemas.openxmlformats.org/drawingml/2006/main">
                  <a:graphicData uri="http://schemas.microsoft.com/office/word/2010/wordprocessingShape">
                    <wps:wsp>
                      <wps:cNvSpPr/>
                      <wps:spPr>
                        <a:xfrm>
                          <a:off x="0" y="0"/>
                          <a:ext cx="2168165" cy="10746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wrap="square" upright="true">
                        <a:noAutofit/>
                      </wps:bodyPr>
                    </wps:wsp>
                  </a:graphicData>
                </a:graphic>
              </wp:anchor>
            </w:drawing>
          </mc:Choice>
          <mc:Fallback>
            <w:pict>
              <v:shape id="_x0000_s1026" o:spid="_x0000_s1026" o:spt="176" type="#_x0000_t176" style="position:absolute;left:0pt;margin-left:115.8pt;margin-top:2.7pt;height:84.6pt;width:170.7pt;z-index:251659264;mso-width-relative:page;mso-height-relative:page;" fillcolor="#FFFFFF" filled="t" stroked="t" coordsize="21600,21600" o:gfxdata="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mwkQXXAAAACQEAAA8AAAAAAAAAAQAgAAAAOAAA&#10;AGRycy9kb3ducmV2LnhtbFBLAQIUABQAAAAIAIdO4kD1I96hLAIAADsEAAAOAAAAAAAAAAEAIAAA&#10;ADwBAABkcnMvZTJvRG9jLnhtbFBLBQYAAAAABgAGAFkBAADa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480" w:lineRule="exact"/>
        <w:rPr>
          <w:rFonts w:ascii="宋体" w:hAnsi="宋体" w:eastAsia="宋体" w:cs="Times New Roman"/>
          <w:szCs w:val="21"/>
          <w:u w:val="single"/>
        </w:rPr>
      </w:pPr>
    </w:p>
    <w:p>
      <w:pPr>
        <w:spacing w:line="480" w:lineRule="exact"/>
        <w:rPr>
          <w:rFonts w:ascii="宋体" w:hAnsi="宋体" w:eastAsia="宋体" w:cs="Times New Roman"/>
          <w:b/>
          <w:bCs/>
          <w:szCs w:val="21"/>
        </w:rPr>
      </w:pPr>
    </w:p>
    <w:p>
      <w:pPr>
        <w:spacing w:line="480" w:lineRule="exact"/>
        <w:rPr>
          <w:rFonts w:ascii="宋体" w:hAnsi="宋体" w:eastAsia="宋体" w:cs="Times New Roman"/>
          <w:b/>
          <w:bCs/>
          <w:szCs w:val="21"/>
        </w:rPr>
      </w:pPr>
    </w:p>
    <w:p>
      <w:pPr>
        <w:rPr>
          <w:rFonts w:ascii="Times New Roman" w:hAnsi="Times New Roman" w:eastAsia="宋体" w:cs="Times New Roman"/>
          <w:szCs w:val="24"/>
        </w:rPr>
      </w:pPr>
    </w:p>
    <w:p>
      <w:pPr>
        <w:spacing w:after="120"/>
        <w:rPr>
          <w:rFonts w:ascii="Times New Roman" w:hAnsi="Times New Roman" w:eastAsia="宋体" w:cs="Times New Roman"/>
          <w:b/>
          <w:szCs w:val="24"/>
        </w:rPr>
      </w:pPr>
    </w:p>
    <w:p>
      <w:pPr>
        <w:spacing w:after="120"/>
        <w:rPr>
          <w:rFonts w:ascii="Times New Roman" w:hAnsi="Times New Roman" w:eastAsia="宋体" w:cs="Times New Roman"/>
          <w:b/>
          <w:szCs w:val="24"/>
        </w:rPr>
      </w:pPr>
    </w:p>
    <w:p>
      <w:pPr>
        <w:spacing w:after="120"/>
        <w:rPr>
          <w:rFonts w:ascii="Times New Roman" w:hAnsi="Times New Roman" w:eastAsia="宋体" w:cs="Times New Roman"/>
          <w:b/>
          <w:szCs w:val="24"/>
        </w:rPr>
      </w:pPr>
    </w:p>
    <w:p>
      <w:pPr>
        <w:jc w:val="center"/>
        <w:rPr>
          <w:rFonts w:ascii="宋体" w:hAnsi="宋体"/>
          <w:b/>
          <w:color w:val="FF0000"/>
          <w:szCs w:val="21"/>
        </w:rPr>
      </w:pPr>
      <w:r>
        <w:rPr>
          <w:rFonts w:hint="eastAsia" w:ascii="宋体" w:hAnsi="宋体"/>
          <w:b/>
          <w:color w:val="FF0000"/>
          <w:szCs w:val="21"/>
          <w:highlight w:val="yellow"/>
        </w:rPr>
        <w:t>附件2：授权委托人在投标单位缴纳的近三个月任意一个月的社保证明文件或承诺函（承诺函格式如下）</w:t>
      </w:r>
    </w:p>
    <w:p>
      <w:pPr>
        <w:pStyle w:val="9"/>
      </w:pPr>
    </w:p>
    <w:p>
      <w:pPr>
        <w:pStyle w:val="9"/>
        <w:ind w:firstLine="3162" w:firstLineChars="1500"/>
      </w:pPr>
      <w:r>
        <w:rPr>
          <w:rFonts w:hint="eastAsia" w:hAnsi="宋体"/>
          <w:b/>
          <w:bCs/>
          <w:szCs w:val="21"/>
        </w:rPr>
        <w:t>授权委托人社保证明</w:t>
      </w:r>
    </w:p>
    <w:p>
      <w:pPr>
        <w:pStyle w:val="9"/>
      </w:pPr>
    </w:p>
    <w:p>
      <w:pPr>
        <w:pStyle w:val="9"/>
      </w:pPr>
    </w:p>
    <w:p>
      <w:pPr>
        <w:spacing w:after="120"/>
        <w:ind w:firstLine="420" w:firstLineChars="200"/>
      </w:pPr>
      <w:r>
        <w:rPr>
          <w:rFonts w:hint="eastAsia"/>
        </w:rPr>
        <w:t>附：承诺函格式</w:t>
      </w:r>
    </w:p>
    <w:p>
      <w:pPr>
        <w:pStyle w:val="9"/>
        <w:ind w:firstLine="3794" w:firstLineChars="1800"/>
        <w:rPr>
          <w:rFonts w:hAnsi="宋体"/>
          <w:b/>
          <w:bCs/>
          <w:szCs w:val="21"/>
        </w:rPr>
      </w:pPr>
      <w:r>
        <w:rPr>
          <w:rFonts w:hint="eastAsia" w:hAnsi="宋体"/>
          <w:b/>
          <w:bCs/>
          <w:szCs w:val="21"/>
        </w:rPr>
        <w:t>承诺函</w:t>
      </w:r>
    </w:p>
    <w:p>
      <w:pPr>
        <w:spacing w:after="120"/>
      </w:pPr>
    </w:p>
    <w:p>
      <w:pPr>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招标代理机构</w:t>
      </w:r>
    </w:p>
    <w:p>
      <w:pPr>
        <w:spacing w:line="360" w:lineRule="auto"/>
        <w:ind w:firstLine="420" w:firstLineChars="200"/>
        <w:rPr>
          <w:rFonts w:ascii="宋体" w:hAnsi="宋体"/>
          <w:color w:val="000000"/>
          <w:szCs w:val="21"/>
        </w:rPr>
      </w:pPr>
      <w:r>
        <w:rPr>
          <w:rFonts w:hint="eastAsia" w:ascii="宋体" w:hAnsi="宋体"/>
          <w:color w:val="000000"/>
          <w:szCs w:val="21"/>
          <w:u w:val="single"/>
        </w:rPr>
        <w:t xml:space="preserve">  （姓名，性别，身份证号码）   </w:t>
      </w:r>
      <w:r>
        <w:rPr>
          <w:rFonts w:hint="eastAsia" w:ascii="宋体" w:hAnsi="宋体"/>
          <w:color w:val="000000"/>
          <w:szCs w:val="21"/>
        </w:rPr>
        <w:t>同志，为我方签订经济合同及办理其他事务代理人，其权限是：</w:t>
      </w:r>
      <w:r>
        <w:rPr>
          <w:rFonts w:hint="eastAsia" w:ascii="宋体" w:hAnsi="宋体"/>
          <w:color w:val="000000"/>
          <w:szCs w:val="21"/>
          <w:u w:val="single"/>
        </w:rPr>
        <w:t xml:space="preserve">                                      </w:t>
      </w:r>
      <w:r>
        <w:rPr>
          <w:rFonts w:hint="eastAsia" w:ascii="宋体" w:hAnsi="宋体"/>
          <w:color w:val="000000"/>
          <w:szCs w:val="21"/>
        </w:rPr>
        <w:t>，为我方单位正式员工。</w:t>
      </w:r>
    </w:p>
    <w:p>
      <w:pPr>
        <w:spacing w:line="360" w:lineRule="auto"/>
        <w:ind w:firstLine="420" w:firstLineChars="200"/>
        <w:rPr>
          <w:rFonts w:ascii="宋体" w:hAnsi="宋体"/>
          <w:color w:val="000000"/>
          <w:szCs w:val="21"/>
        </w:rPr>
      </w:pPr>
      <w:r>
        <w:rPr>
          <w:rFonts w:hint="eastAsia" w:ascii="宋体" w:hAnsi="宋体"/>
          <w:color w:val="000000"/>
          <w:szCs w:val="21"/>
        </w:rPr>
        <w:t>特此承诺。</w:t>
      </w:r>
    </w:p>
    <w:p>
      <w:pPr>
        <w:spacing w:line="360" w:lineRule="auto"/>
        <w:ind w:firstLine="424" w:firstLineChars="202"/>
        <w:rPr>
          <w:rFonts w:ascii="宋体" w:hAnsi="宋体"/>
          <w:color w:val="000000"/>
          <w:szCs w:val="21"/>
        </w:rPr>
      </w:pPr>
    </w:p>
    <w:p>
      <w:pPr>
        <w:adjustRightInd w:val="0"/>
        <w:snapToGrid w:val="0"/>
        <w:spacing w:line="360" w:lineRule="auto"/>
        <w:rPr>
          <w:rFonts w:ascii="宋体" w:hAnsi="宋体"/>
          <w:color w:val="000000"/>
          <w:szCs w:val="21"/>
        </w:rPr>
      </w:pPr>
      <w:r>
        <w:rPr>
          <w:rFonts w:hint="eastAsia" w:ascii="宋体" w:hAnsi="宋体"/>
          <w:color w:val="000000"/>
          <w:szCs w:val="21"/>
        </w:rPr>
        <w:t>投标人法定代表人（或法定代表人授权代表）签字：</w:t>
      </w:r>
      <w:r>
        <w:rPr>
          <w:rFonts w:hint="eastAsia" w:ascii="宋体" w:hAnsi="宋体"/>
          <w:color w:val="000000"/>
          <w:szCs w:val="21"/>
          <w:u w:val="single"/>
        </w:rPr>
        <w:t xml:space="preserve">                   </w:t>
      </w:r>
    </w:p>
    <w:p>
      <w:pPr>
        <w:adjustRightInd w:val="0"/>
        <w:snapToGrid w:val="0"/>
        <w:spacing w:line="360" w:lineRule="auto"/>
        <w:rPr>
          <w:rFonts w:ascii="宋体" w:hAnsi="宋体"/>
          <w:color w:val="000000"/>
          <w:szCs w:val="21"/>
          <w:u w:val="single"/>
        </w:rPr>
      </w:pPr>
      <w:r>
        <w:rPr>
          <w:rFonts w:hint="eastAsia" w:ascii="宋体" w:hAnsi="宋体"/>
          <w:color w:val="000000"/>
          <w:szCs w:val="21"/>
        </w:rPr>
        <w:t>投标人名称（签章）：</w:t>
      </w:r>
      <w:r>
        <w:rPr>
          <w:rFonts w:hint="eastAsia" w:ascii="宋体" w:hAnsi="宋体"/>
          <w:color w:val="000000"/>
          <w:szCs w:val="21"/>
          <w:u w:val="single"/>
        </w:rPr>
        <w:t xml:space="preserve">                        </w:t>
      </w:r>
    </w:p>
    <w:p>
      <w:pPr>
        <w:widowControl/>
        <w:jc w:val="left"/>
        <w:rPr>
          <w:rFonts w:ascii="宋体" w:hAnsi="宋体" w:eastAsia="宋体" w:cs="Times New Roman"/>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pPr>
        <w:widowControl/>
        <w:jc w:val="left"/>
        <w:rPr>
          <w:rFonts w:ascii="宋体" w:hAnsi="宋体" w:eastAsia="宋体" w:cs="Times New Roman"/>
          <w:b/>
          <w:bCs/>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68" w:name="_Toc202817004"/>
      <w:bookmarkStart w:id="269" w:name="_Toc202820359"/>
      <w:bookmarkStart w:id="270" w:name="_Toc202254112"/>
      <w:bookmarkStart w:id="271" w:name="_Toc202251706"/>
      <w:bookmarkStart w:id="272" w:name="_Toc202252041"/>
      <w:bookmarkStart w:id="273" w:name="_Toc202251081"/>
      <w:bookmarkStart w:id="274" w:name="_Toc202819886"/>
      <w:bookmarkStart w:id="275" w:name="_Toc129094573"/>
      <w:r>
        <w:rPr>
          <w:rFonts w:hint="eastAsia" w:ascii="宋体" w:hAnsi="宋体" w:eastAsia="宋体" w:cs="Times New Roman"/>
          <w:b/>
          <w:bCs/>
          <w:kern w:val="44"/>
          <w:sz w:val="28"/>
          <w:szCs w:val="28"/>
        </w:rPr>
        <w:t>三、商务部分</w:t>
      </w:r>
      <w:bookmarkEnd w:id="268"/>
      <w:bookmarkEnd w:id="269"/>
      <w:bookmarkEnd w:id="270"/>
      <w:bookmarkEnd w:id="271"/>
      <w:bookmarkEnd w:id="272"/>
      <w:bookmarkEnd w:id="273"/>
      <w:bookmarkEnd w:id="274"/>
      <w:bookmarkEnd w:id="275"/>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（一）投标人概况</w:t>
      </w:r>
    </w:p>
    <w:p>
      <w:pPr>
        <w:tabs>
          <w:tab w:val="left" w:pos="540"/>
        </w:tabs>
        <w:rPr>
          <w:rFonts w:ascii="宋体" w:hAnsi="宋体" w:eastAsia="宋体" w:cs="Times New Roman"/>
          <w:b/>
          <w:szCs w:val="21"/>
        </w:rPr>
      </w:pPr>
      <w:r>
        <w:rPr>
          <w:rFonts w:hint="eastAsia" w:ascii="宋体" w:hAnsi="宋体" w:eastAsia="宋体" w:cs="Times New Roman"/>
          <w:b/>
          <w:szCs w:val="21"/>
        </w:rPr>
        <w:t>1、投标人情况介绍表</w:t>
      </w:r>
    </w:p>
    <w:p>
      <w:pPr>
        <w:spacing w:line="360" w:lineRule="auto"/>
        <w:rPr>
          <w:rFonts w:ascii="宋体" w:hAnsi="宋体" w:eastAsia="宋体" w:cs="Arial"/>
          <w:bCs/>
          <w:szCs w:val="21"/>
        </w:rPr>
      </w:pP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898" w:type="dxa"/>
            <w:vAlign w:val="center"/>
          </w:tcPr>
          <w:p>
            <w:pPr>
              <w:jc w:val="center"/>
              <w:rPr>
                <w:rFonts w:ascii="宋体" w:hAnsi="宋体" w:eastAsia="宋体" w:cs="Times New Roman"/>
                <w:szCs w:val="21"/>
              </w:rPr>
            </w:pPr>
            <w:r>
              <w:rPr>
                <w:rFonts w:hint="eastAsia" w:ascii="宋体" w:hAnsi="宋体" w:eastAsia="宋体" w:cs="Times New Roman"/>
                <w:szCs w:val="21"/>
              </w:rPr>
              <w:t>项目</w:t>
            </w:r>
          </w:p>
        </w:tc>
        <w:tc>
          <w:tcPr>
            <w:tcW w:w="2268" w:type="dxa"/>
            <w:vAlign w:val="center"/>
          </w:tcPr>
          <w:p>
            <w:pPr>
              <w:jc w:val="center"/>
              <w:rPr>
                <w:rFonts w:ascii="宋体" w:hAnsi="宋体" w:eastAsia="宋体" w:cs="Times New Roman"/>
                <w:szCs w:val="21"/>
              </w:rPr>
            </w:pPr>
            <w:r>
              <w:rPr>
                <w:rFonts w:hint="eastAsia" w:ascii="宋体" w:hAnsi="宋体" w:eastAsia="宋体" w:cs="Times New Roman"/>
                <w:szCs w:val="21"/>
              </w:rPr>
              <w:t>内容及说明</w:t>
            </w:r>
          </w:p>
        </w:tc>
        <w:tc>
          <w:tcPr>
            <w:tcW w:w="2602"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一</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营业执照/事业单位法人证明</w:t>
            </w:r>
          </w:p>
        </w:tc>
        <w:tc>
          <w:tcPr>
            <w:tcW w:w="2268" w:type="dxa"/>
            <w:vAlign w:val="center"/>
          </w:tcPr>
          <w:p>
            <w:pPr>
              <w:jc w:val="left"/>
              <w:rPr>
                <w:rFonts w:ascii="宋体" w:hAnsi="宋体" w:eastAsia="宋体" w:cs="Times New Roman"/>
                <w:szCs w:val="21"/>
              </w:rPr>
            </w:pPr>
          </w:p>
        </w:tc>
        <w:tc>
          <w:tcPr>
            <w:tcW w:w="2602" w:type="dxa"/>
            <w:vMerge w:val="restart"/>
          </w:tcPr>
          <w:p>
            <w:pPr>
              <w:jc w:val="left"/>
              <w:rPr>
                <w:rFonts w:ascii="宋体" w:hAnsi="宋体" w:eastAsia="宋体" w:cs="Times New Roman"/>
                <w:szCs w:val="21"/>
              </w:rPr>
            </w:pPr>
            <w:r>
              <w:rPr>
                <w:rFonts w:hint="eastAsia" w:ascii="宋体" w:hAnsi="宋体" w:eastAsia="宋体" w:cs="Times New Roman"/>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1.注册年度及注册编号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2.注册资金（万元）：</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3.经营场所：</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4.有效期：</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二</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税务登记证</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1.税务登记证编号：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三</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其他资格（质）证书</w:t>
            </w:r>
          </w:p>
        </w:tc>
        <w:tc>
          <w:tcPr>
            <w:tcW w:w="2268" w:type="dxa"/>
            <w:vAlign w:val="center"/>
          </w:tcPr>
          <w:p>
            <w:pPr>
              <w:jc w:val="left"/>
              <w:rPr>
                <w:rFonts w:ascii="宋体" w:hAnsi="宋体" w:eastAsia="宋体" w:cs="Times New Roman"/>
                <w:szCs w:val="21"/>
              </w:rPr>
            </w:pPr>
            <w:r>
              <w:rPr>
                <w:rFonts w:hint="eastAsia" w:ascii="宋体" w:hAnsi="宋体" w:eastAsia="宋体" w:cs="Times New Roman"/>
                <w:szCs w:val="21"/>
              </w:rPr>
              <w:t>（可按表格格式扩展）</w:t>
            </w:r>
          </w:p>
        </w:tc>
        <w:tc>
          <w:tcPr>
            <w:tcW w:w="2602" w:type="dxa"/>
            <w:vMerge w:val="restart"/>
          </w:tcPr>
          <w:p>
            <w:pPr>
              <w:jc w:val="left"/>
              <w:rPr>
                <w:rFonts w:ascii="宋体" w:hAnsi="宋体" w:eastAsia="宋体" w:cs="Times New Roman"/>
                <w:szCs w:val="21"/>
              </w:rPr>
            </w:pPr>
            <w:r>
              <w:rPr>
                <w:rFonts w:hint="eastAsia" w:ascii="宋体" w:hAnsi="宋体" w:eastAsia="宋体" w:cs="Times New Roman"/>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1.证书名称</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2.批准单位</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3.等级</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4.批准时间及编号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5.有效期</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r>
              <w:rPr>
                <w:rFonts w:hint="eastAsia" w:ascii="宋体" w:hAnsi="宋体" w:eastAsia="宋体" w:cs="Times New Roman"/>
                <w:szCs w:val="21"/>
              </w:rPr>
              <w:t>四</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其他</w:t>
            </w:r>
          </w:p>
        </w:tc>
        <w:tc>
          <w:tcPr>
            <w:tcW w:w="2268" w:type="dxa"/>
            <w:vAlign w:val="center"/>
          </w:tcPr>
          <w:p>
            <w:pPr>
              <w:jc w:val="left"/>
              <w:rPr>
                <w:rFonts w:ascii="宋体" w:hAnsi="宋体" w:eastAsia="宋体" w:cs="Times New Roman"/>
                <w:szCs w:val="21"/>
              </w:rPr>
            </w:pPr>
            <w:r>
              <w:rPr>
                <w:rFonts w:hint="eastAsia" w:ascii="宋体" w:hAnsi="宋体" w:eastAsia="宋体" w:cs="Times New Roman"/>
                <w:szCs w:val="21"/>
              </w:rPr>
              <w:t>投标人认为需补充的其他说明</w:t>
            </w:r>
          </w:p>
        </w:tc>
        <w:tc>
          <w:tcPr>
            <w:tcW w:w="2602" w:type="dxa"/>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w:t>
            </w:r>
          </w:p>
        </w:tc>
        <w:tc>
          <w:tcPr>
            <w:tcW w:w="2268" w:type="dxa"/>
            <w:vAlign w:val="center"/>
          </w:tcPr>
          <w:p>
            <w:pPr>
              <w:jc w:val="left"/>
              <w:rPr>
                <w:rFonts w:ascii="宋体" w:hAnsi="宋体" w:eastAsia="宋体" w:cs="Times New Roman"/>
                <w:szCs w:val="21"/>
              </w:rPr>
            </w:pPr>
          </w:p>
        </w:tc>
        <w:tc>
          <w:tcPr>
            <w:tcW w:w="2602" w:type="dxa"/>
          </w:tcPr>
          <w:p>
            <w:pPr>
              <w:jc w:val="left"/>
              <w:rPr>
                <w:rFonts w:ascii="宋体" w:hAnsi="宋体" w:eastAsia="宋体" w:cs="Times New Roman"/>
                <w:szCs w:val="21"/>
              </w:rPr>
            </w:pPr>
          </w:p>
        </w:tc>
      </w:tr>
    </w:tbl>
    <w:p>
      <w:pPr>
        <w:snapToGrid w:val="0"/>
        <w:rPr>
          <w:rFonts w:ascii="宋体" w:hAnsi="宋体" w:eastAsia="宋体" w:cs="Arial"/>
          <w:bCs/>
          <w:szCs w:val="21"/>
        </w:rPr>
      </w:pPr>
    </w:p>
    <w:p>
      <w:pPr>
        <w:snapToGrid w:val="0"/>
        <w:rPr>
          <w:rFonts w:ascii="宋体" w:hAnsi="宋体" w:eastAsia="宋体" w:cs="Arial"/>
          <w:bCs/>
          <w:szCs w:val="21"/>
        </w:rPr>
      </w:pPr>
      <w:r>
        <w:rPr>
          <w:rFonts w:ascii="宋体" w:hAnsi="宋体" w:eastAsia="宋体" w:cs="Arial"/>
          <w:bCs/>
          <w:szCs w:val="21"/>
        </w:rPr>
        <w:tab/>
      </w:r>
      <w:r>
        <w:rPr>
          <w:rFonts w:hint="eastAsia" w:ascii="宋体" w:hAnsi="宋体" w:eastAsia="宋体" w:cs="Arial"/>
          <w:bCs/>
          <w:szCs w:val="21"/>
        </w:rPr>
        <w:t>注：在按要求填写好此表格后，各投标单位可以用其它的方式，就</w:t>
      </w:r>
      <w:r>
        <w:rPr>
          <w:rFonts w:hint="eastAsia" w:ascii="宋体" w:hAnsi="宋体" w:eastAsia="宋体" w:cs="Times New Roman"/>
          <w:szCs w:val="21"/>
        </w:rPr>
        <w:t>法人单位</w:t>
      </w:r>
      <w:r>
        <w:rPr>
          <w:rFonts w:hint="eastAsia" w:ascii="宋体" w:hAnsi="宋体" w:eastAsia="宋体" w:cs="Arial"/>
          <w:bCs/>
          <w:szCs w:val="21"/>
        </w:rPr>
        <w:t>整体情况作出详细的介绍（可以提供相应文字、照片等）。</w:t>
      </w:r>
    </w:p>
    <w:p>
      <w:pPr>
        <w:widowControl/>
        <w:jc w:val="left"/>
        <w:rPr>
          <w:rFonts w:ascii="宋体" w:hAnsi="宋体" w:eastAsia="宋体" w:cs="Arial"/>
          <w:bCs/>
          <w:szCs w:val="21"/>
        </w:rPr>
      </w:pPr>
    </w:p>
    <w:p>
      <w:pPr>
        <w:pStyle w:val="2"/>
        <w:rPr>
          <w:rFonts w:ascii="宋体" w:hAnsi="宋体" w:cs="Arial"/>
          <w:bCs/>
          <w:szCs w:val="21"/>
        </w:rPr>
      </w:pPr>
    </w:p>
    <w:p/>
    <w:p>
      <w:pPr>
        <w:spacing w:before="25" w:after="25"/>
        <w:jc w:val="left"/>
        <w:rPr>
          <w:rFonts w:ascii="宋体" w:hAnsi="宋体" w:eastAsia="宋体" w:cs="Times New Roman"/>
          <w:bCs/>
          <w:spacing w:val="10"/>
          <w:kern w:val="0"/>
          <w:szCs w:val="21"/>
        </w:rPr>
      </w:pP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（二）供应商资格证明文件</w:t>
      </w:r>
    </w:p>
    <w:p>
      <w:pPr>
        <w:ind w:firstLine="424" w:firstLineChars="202"/>
        <w:rPr>
          <w:rFonts w:ascii="宋体" w:hAnsi="宋体" w:eastAsia="宋体" w:cs="Arial"/>
          <w:bCs/>
          <w:szCs w:val="21"/>
        </w:rPr>
      </w:pPr>
      <w:r>
        <w:rPr>
          <w:rFonts w:hint="eastAsia" w:ascii="宋体" w:hAnsi="宋体" w:eastAsia="宋体" w:cs="Arial"/>
          <w:bCs/>
          <w:szCs w:val="21"/>
        </w:rPr>
        <w:t>（1）营业执照复印件；</w:t>
      </w:r>
    </w:p>
    <w:p>
      <w:pPr>
        <w:ind w:firstLine="424" w:firstLineChars="202"/>
        <w:rPr>
          <w:rFonts w:ascii="宋体" w:hAnsi="宋体" w:eastAsia="宋体" w:cs="Arial"/>
          <w:bCs/>
          <w:szCs w:val="21"/>
        </w:rPr>
      </w:pPr>
      <w:r>
        <w:rPr>
          <w:rFonts w:hint="eastAsia" w:ascii="宋体" w:hAnsi="宋体" w:eastAsia="宋体" w:cs="Arial"/>
          <w:bCs/>
          <w:szCs w:val="21"/>
        </w:rPr>
        <w:t>（2）提供招标公告中关于投标人资格要求的相关资格证明文件复印件。</w:t>
      </w:r>
    </w:p>
    <w:p>
      <w:pPr>
        <w:widowControl/>
        <w:jc w:val="left"/>
        <w:rPr>
          <w:rFonts w:ascii="宋体" w:hAnsi="宋体" w:eastAsia="宋体" w:cs="Arial"/>
          <w:bCs/>
          <w:szCs w:val="21"/>
        </w:rPr>
      </w:pPr>
      <w:r>
        <w:rPr>
          <w:rFonts w:ascii="宋体" w:hAnsi="宋体" w:eastAsia="宋体" w:cs="Arial"/>
          <w:bCs/>
          <w:szCs w:val="21"/>
        </w:rPr>
        <w:br w:type="page"/>
      </w:r>
    </w:p>
    <w:p>
      <w:pPr>
        <w:keepNext/>
        <w:keepLines/>
        <w:spacing w:line="377" w:lineRule="auto"/>
        <w:jc w:val="center"/>
        <w:outlineLvl w:val="3"/>
        <w:rPr>
          <w:rFonts w:ascii="宋体" w:hAnsi="宋体" w:eastAsia="宋体" w:cs="Times New Roman"/>
          <w:b/>
          <w:bCs/>
          <w:szCs w:val="21"/>
        </w:rPr>
      </w:pPr>
      <w:r>
        <w:rPr>
          <w:rFonts w:hint="eastAsia" w:ascii="宋体" w:hAnsi="宋体" w:eastAsia="宋体" w:cs="Times New Roman"/>
          <w:b/>
          <w:bCs/>
          <w:szCs w:val="21"/>
        </w:rPr>
        <w:t>（三）商务评标信息</w:t>
      </w:r>
    </w:p>
    <w:p>
      <w:pPr>
        <w:keepNext/>
        <w:keepLines/>
        <w:spacing w:line="377" w:lineRule="auto"/>
        <w:outlineLvl w:val="3"/>
        <w:rPr>
          <w:rFonts w:ascii="宋体" w:hAnsi="宋体" w:eastAsia="宋体" w:cs="Times New Roman"/>
          <w:szCs w:val="21"/>
        </w:rPr>
      </w:pP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（1）投标人同类项目业绩情况</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（2）投标人的资质情况</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（3）拟派项目负责人情况（仅限一名）</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（4）拟安排的项目团队成员（项目负责人除外）情况</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（5）投标人获奖（荣誉）情况</w:t>
      </w:r>
    </w:p>
    <w:p>
      <w:pPr>
        <w:keepNext/>
        <w:keepLines/>
        <w:spacing w:line="377" w:lineRule="auto"/>
        <w:outlineLvl w:val="3"/>
        <w:rPr>
          <w:rFonts w:ascii="宋体" w:hAnsi="宋体" w:eastAsia="宋体" w:cs="Times New Roman"/>
          <w:szCs w:val="21"/>
        </w:rPr>
      </w:pPr>
    </w:p>
    <w:p>
      <w:pPr>
        <w:ind w:firstLine="420" w:firstLineChars="200"/>
        <w:rPr>
          <w:rFonts w:ascii="Times New Roman" w:hAnsi="Times New Roman" w:eastAsia="宋体" w:cs="Times New Roman"/>
          <w:szCs w:val="24"/>
        </w:rPr>
      </w:pPr>
    </w:p>
    <w:p>
      <w:pPr>
        <w:keepNext/>
        <w:keepLines/>
        <w:spacing w:before="280" w:after="290" w:line="376" w:lineRule="auto"/>
        <w:ind w:left="3545"/>
        <w:outlineLvl w:val="3"/>
        <w:rPr>
          <w:rFonts w:ascii="宋体" w:hAnsi="宋体" w:eastAsia="宋体" w:cs="Times New Roman"/>
          <w:b/>
          <w:bCs/>
          <w:szCs w:val="21"/>
        </w:rPr>
      </w:pPr>
      <w:r>
        <w:rPr>
          <w:rFonts w:hint="eastAsia" w:ascii="宋体" w:hAnsi="宋体" w:eastAsia="宋体" w:cs="Times New Roman"/>
          <w:b/>
          <w:bCs/>
          <w:szCs w:val="21"/>
        </w:rPr>
        <w:t>（四）</w:t>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t>商务要求响应表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pPr>
              <w:jc w:val="center"/>
              <w:rPr>
                <w:rFonts w:ascii="宋体" w:hAnsi="宋体" w:eastAsia="宋体" w:cs="Arial"/>
                <w:bCs/>
                <w:szCs w:val="21"/>
              </w:rPr>
            </w:pPr>
            <w:r>
              <w:rPr>
                <w:rFonts w:hint="eastAsia" w:ascii="宋体" w:hAnsi="宋体" w:eastAsia="宋体" w:cs="Arial"/>
                <w:bCs/>
                <w:szCs w:val="21"/>
              </w:rPr>
              <w:t>招标文件商务要求</w:t>
            </w:r>
          </w:p>
        </w:tc>
        <w:tc>
          <w:tcPr>
            <w:tcW w:w="1705" w:type="dxa"/>
            <w:vAlign w:val="center"/>
          </w:tcPr>
          <w:p>
            <w:pPr>
              <w:jc w:val="center"/>
              <w:rPr>
                <w:rFonts w:ascii="宋体" w:hAnsi="宋体" w:eastAsia="宋体" w:cs="Arial"/>
                <w:bCs/>
                <w:szCs w:val="21"/>
              </w:rPr>
            </w:pPr>
            <w:r>
              <w:rPr>
                <w:rFonts w:hint="eastAsia" w:ascii="宋体" w:hAnsi="宋体" w:eastAsia="宋体" w:cs="Times New Roman"/>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二、商务要求</w:t>
            </w:r>
            <w:r>
              <w:rPr>
                <w:rFonts w:hint="eastAsia" w:ascii="宋体" w:hAnsi="宋体" w:eastAsia="宋体" w:cs="Times New Roman"/>
                <w:bCs/>
                <w:szCs w:val="21"/>
              </w:rPr>
              <w:t>”所有内容</w:t>
            </w:r>
          </w:p>
        </w:tc>
        <w:tc>
          <w:tcPr>
            <w:tcW w:w="1705" w:type="dxa"/>
            <w:vAlign w:val="center"/>
          </w:tcPr>
          <w:p>
            <w:pPr>
              <w:rPr>
                <w:rFonts w:ascii="宋体" w:hAnsi="宋体" w:eastAsia="宋体" w:cs="Arial"/>
                <w:bCs/>
                <w:szCs w:val="21"/>
              </w:rPr>
            </w:pPr>
            <w:r>
              <w:rPr>
                <w:rFonts w:hint="eastAsia" w:ascii="宋体" w:hAnsi="宋体" w:eastAsia="宋体" w:cs="Arial"/>
                <w:bCs/>
                <w:szCs w:val="21"/>
              </w:rPr>
              <w:t>完全响应</w:t>
            </w:r>
          </w:p>
        </w:tc>
      </w:tr>
    </w:tbl>
    <w:p>
      <w:pPr>
        <w:adjustRightInd w:val="0"/>
        <w:snapToGrid w:val="0"/>
        <w:spacing w:line="300" w:lineRule="auto"/>
        <w:ind w:right="420" w:firstLine="420" w:firstLineChars="200"/>
        <w:jc w:val="center"/>
        <w:rPr>
          <w:rFonts w:ascii="宋体" w:hAnsi="宋体" w:eastAsia="宋体" w:cs="Times New Roman"/>
          <w:bCs/>
          <w:szCs w:val="21"/>
        </w:rPr>
      </w:pPr>
    </w:p>
    <w:p>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投标单位（盖章）：</w:t>
      </w:r>
    </w:p>
    <w:p>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年月日</w:t>
      </w:r>
    </w:p>
    <w:p>
      <w:pPr>
        <w:adjustRightInd w:val="0"/>
        <w:snapToGrid w:val="0"/>
        <w:spacing w:line="300" w:lineRule="auto"/>
        <w:ind w:right="420" w:firstLine="420" w:firstLineChars="200"/>
        <w:jc w:val="center"/>
        <w:rPr>
          <w:rFonts w:ascii="宋体" w:hAnsi="宋体" w:eastAsia="宋体" w:cs="Times New Roman"/>
          <w:bCs/>
          <w:szCs w:val="21"/>
        </w:rPr>
      </w:pPr>
    </w:p>
    <w:p>
      <w:pPr>
        <w:ind w:firstLine="420" w:firstLineChars="200"/>
        <w:jc w:val="right"/>
        <w:rPr>
          <w:rFonts w:ascii="宋体" w:hAnsi="宋体" w:eastAsia="宋体" w:cs="Times New Roman"/>
          <w:bCs/>
          <w:szCs w:val="21"/>
        </w:rPr>
      </w:pPr>
    </w:p>
    <w:p>
      <w:pPr>
        <w:adjustRightInd w:val="0"/>
        <w:snapToGrid w:val="0"/>
        <w:spacing w:line="300" w:lineRule="auto"/>
        <w:rPr>
          <w:rFonts w:ascii="宋体" w:hAnsi="宋体" w:eastAsia="宋体" w:cs="Times New Roman"/>
          <w:szCs w:val="21"/>
        </w:rPr>
      </w:pPr>
    </w:p>
    <w:p>
      <w:pPr>
        <w:adjustRightInd w:val="0"/>
        <w:snapToGrid w:val="0"/>
        <w:spacing w:line="300" w:lineRule="auto"/>
        <w:rPr>
          <w:rFonts w:ascii="宋体" w:hAnsi="宋体" w:eastAsia="宋体" w:cs="Times New Roman"/>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76" w:name="_Toc129094574"/>
      <w:r>
        <w:rPr>
          <w:rFonts w:hint="eastAsia" w:ascii="宋体" w:hAnsi="宋体" w:eastAsia="宋体" w:cs="Times New Roman"/>
          <w:b/>
          <w:bCs/>
          <w:kern w:val="44"/>
          <w:sz w:val="28"/>
          <w:szCs w:val="28"/>
        </w:rPr>
        <w:t>四、技术部分</w:t>
      </w:r>
      <w:bookmarkEnd w:id="276"/>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（一）技术要求响应表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pPr>
              <w:jc w:val="center"/>
              <w:rPr>
                <w:rFonts w:ascii="宋体" w:hAnsi="宋体" w:eastAsia="宋体" w:cs="Arial"/>
                <w:bCs/>
                <w:szCs w:val="21"/>
              </w:rPr>
            </w:pPr>
            <w:r>
              <w:rPr>
                <w:rFonts w:hint="eastAsia" w:ascii="宋体" w:hAnsi="宋体" w:eastAsia="宋体" w:cs="Arial"/>
                <w:bCs/>
                <w:szCs w:val="21"/>
              </w:rPr>
              <w:t>招标文件技术要求</w:t>
            </w:r>
          </w:p>
        </w:tc>
        <w:tc>
          <w:tcPr>
            <w:tcW w:w="1705" w:type="dxa"/>
            <w:vAlign w:val="center"/>
          </w:tcPr>
          <w:p>
            <w:pPr>
              <w:jc w:val="center"/>
              <w:rPr>
                <w:rFonts w:ascii="宋体" w:hAnsi="宋体" w:eastAsia="宋体" w:cs="Arial"/>
                <w:bCs/>
                <w:szCs w:val="21"/>
              </w:rPr>
            </w:pPr>
            <w:r>
              <w:rPr>
                <w:rFonts w:hint="eastAsia" w:ascii="宋体" w:hAnsi="宋体" w:eastAsia="宋体" w:cs="Times New Roman"/>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一、技术要求</w:t>
            </w:r>
            <w:r>
              <w:rPr>
                <w:rFonts w:hint="eastAsia" w:ascii="宋体" w:hAnsi="宋体" w:eastAsia="宋体" w:cs="Times New Roman"/>
                <w:bCs/>
                <w:szCs w:val="21"/>
              </w:rPr>
              <w:t>”所有内容</w:t>
            </w:r>
          </w:p>
        </w:tc>
        <w:tc>
          <w:tcPr>
            <w:tcW w:w="1705" w:type="dxa"/>
            <w:vAlign w:val="center"/>
          </w:tcPr>
          <w:p>
            <w:pPr>
              <w:rPr>
                <w:rFonts w:ascii="宋体" w:hAnsi="宋体" w:eastAsia="宋体" w:cs="Arial"/>
                <w:bCs/>
                <w:szCs w:val="21"/>
              </w:rPr>
            </w:pPr>
            <w:r>
              <w:rPr>
                <w:rFonts w:hint="eastAsia" w:ascii="宋体" w:hAnsi="宋体" w:eastAsia="宋体" w:cs="Arial"/>
                <w:bCs/>
                <w:szCs w:val="21"/>
              </w:rPr>
              <w:t>完全响应</w:t>
            </w:r>
          </w:p>
        </w:tc>
      </w:tr>
    </w:tbl>
    <w:p>
      <w:pPr>
        <w:rPr>
          <w:rFonts w:ascii="宋体" w:hAnsi="宋体" w:eastAsia="宋体" w:cs="Times New Roman"/>
          <w:szCs w:val="24"/>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（二）技术评标信息</w:t>
      </w:r>
    </w:p>
    <w:p>
      <w:pPr>
        <w:widowControl/>
        <w:jc w:val="left"/>
        <w:rPr>
          <w:rFonts w:ascii="宋体" w:hAnsi="宋体" w:eastAsia="宋体" w:cs="Arial"/>
          <w:bCs/>
          <w:szCs w:val="21"/>
        </w:rPr>
      </w:pPr>
      <w:bookmarkStart w:id="277" w:name="_Toc202254113"/>
      <w:bookmarkStart w:id="278" w:name="_Toc202251082"/>
      <w:bookmarkStart w:id="279" w:name="_Toc202817005"/>
      <w:bookmarkStart w:id="280" w:name="_Toc202252042"/>
      <w:bookmarkStart w:id="281" w:name="_Toc202251707"/>
      <w:bookmarkStart w:id="282" w:name="_Toc202819887"/>
      <w:bookmarkStart w:id="283" w:name="_Toc202820360"/>
      <w:r>
        <w:rPr>
          <w:rFonts w:hint="eastAsia" w:ascii="宋体" w:hAnsi="宋体" w:eastAsia="宋体" w:cs="Arial"/>
          <w:bCs/>
          <w:szCs w:val="21"/>
        </w:rPr>
        <w:t>（1）实施方案</w:t>
      </w:r>
    </w:p>
    <w:p>
      <w:pPr>
        <w:widowControl/>
        <w:jc w:val="left"/>
        <w:rPr>
          <w:rFonts w:ascii="宋体" w:hAnsi="宋体" w:eastAsia="宋体" w:cs="Arial"/>
          <w:bCs/>
          <w:szCs w:val="21"/>
        </w:rPr>
      </w:pPr>
      <w:r>
        <w:rPr>
          <w:rFonts w:hint="eastAsia" w:ascii="宋体" w:hAnsi="宋体" w:eastAsia="宋体" w:cs="Arial"/>
          <w:bCs/>
          <w:szCs w:val="21"/>
        </w:rPr>
        <w:t>（2）项目重点难点分析、应对措施及相关的合理化建议</w:t>
      </w:r>
    </w:p>
    <w:p>
      <w:pPr>
        <w:widowControl/>
        <w:jc w:val="left"/>
        <w:rPr>
          <w:rFonts w:ascii="宋体" w:hAnsi="宋体" w:eastAsia="宋体" w:cs="Arial"/>
          <w:bCs/>
          <w:szCs w:val="21"/>
        </w:rPr>
      </w:pPr>
      <w:r>
        <w:rPr>
          <w:rFonts w:hint="eastAsia" w:ascii="宋体" w:hAnsi="宋体" w:eastAsia="宋体" w:cs="Arial"/>
          <w:bCs/>
          <w:szCs w:val="21"/>
        </w:rPr>
        <w:t>（3）质量（完成时间、安全、环保）保障措施及方案</w:t>
      </w:r>
    </w:p>
    <w:p>
      <w:pPr>
        <w:widowControl/>
        <w:jc w:val="left"/>
        <w:rPr>
          <w:rFonts w:ascii="宋体" w:hAnsi="宋体" w:eastAsia="宋体" w:cs="Arial"/>
          <w:bCs/>
          <w:szCs w:val="21"/>
        </w:rPr>
      </w:pPr>
      <w:r>
        <w:rPr>
          <w:rFonts w:hint="eastAsia" w:ascii="宋体" w:hAnsi="宋体" w:eastAsia="宋体" w:cs="Arial"/>
          <w:bCs/>
          <w:szCs w:val="21"/>
        </w:rPr>
        <w:t>（4）项目完成（服务期满）后的服务承诺</w:t>
      </w:r>
    </w:p>
    <w:p>
      <w:pPr>
        <w:widowControl/>
        <w:jc w:val="left"/>
        <w:rPr>
          <w:rFonts w:ascii="宋体" w:hAnsi="宋体" w:eastAsia="宋体" w:cs="Arial"/>
          <w:bCs/>
          <w:szCs w:val="21"/>
        </w:rPr>
      </w:pPr>
      <w:r>
        <w:rPr>
          <w:rFonts w:hint="eastAsia" w:ascii="宋体" w:hAnsi="宋体" w:eastAsia="宋体" w:cs="Arial"/>
          <w:bCs/>
          <w:szCs w:val="21"/>
        </w:rPr>
        <w:t>（5）违约承诺</w:t>
      </w:r>
    </w:p>
    <w:p>
      <w:pPr>
        <w:widowControl/>
        <w:jc w:val="left"/>
        <w:rPr>
          <w:rFonts w:ascii="宋体" w:hAnsi="宋体" w:eastAsia="宋体" w:cs="Times New Roman"/>
          <w:b/>
          <w:bCs/>
          <w:kern w:val="44"/>
          <w:sz w:val="28"/>
          <w:szCs w:val="28"/>
        </w:rPr>
      </w:pPr>
      <w:r>
        <w:rPr>
          <w:rFonts w:ascii="宋体" w:hAnsi="宋体" w:eastAsia="宋体" w:cs="Times New Roman"/>
          <w:b/>
          <w:bCs/>
          <w:kern w:val="44"/>
          <w:sz w:val="28"/>
          <w:szCs w:val="28"/>
        </w:rPr>
        <w:br w:type="page"/>
      </w:r>
    </w:p>
    <w:p>
      <w:pPr>
        <w:keepNext/>
        <w:keepLines/>
        <w:spacing w:line="400" w:lineRule="exact"/>
        <w:jc w:val="center"/>
        <w:outlineLvl w:val="0"/>
        <w:rPr>
          <w:rFonts w:ascii="宋体" w:hAnsi="宋体" w:eastAsia="宋体" w:cs="Times New Roman"/>
          <w:b/>
          <w:bCs/>
          <w:kern w:val="44"/>
          <w:sz w:val="28"/>
          <w:szCs w:val="28"/>
        </w:rPr>
      </w:pPr>
      <w:bookmarkStart w:id="284" w:name="_Toc129094575"/>
      <w:r>
        <w:rPr>
          <w:rFonts w:hint="eastAsia" w:ascii="宋体" w:hAnsi="宋体" w:eastAsia="宋体" w:cs="Times New Roman"/>
          <w:b/>
          <w:bCs/>
          <w:kern w:val="44"/>
          <w:sz w:val="28"/>
          <w:szCs w:val="28"/>
        </w:rPr>
        <w:t>五、价格部分</w:t>
      </w:r>
      <w:bookmarkEnd w:id="277"/>
      <w:bookmarkEnd w:id="278"/>
      <w:bookmarkEnd w:id="279"/>
      <w:bookmarkEnd w:id="280"/>
      <w:bookmarkEnd w:id="281"/>
      <w:bookmarkEnd w:id="282"/>
      <w:bookmarkEnd w:id="283"/>
      <w:bookmarkEnd w:id="284"/>
    </w:p>
    <w:p>
      <w:pPr>
        <w:keepNext/>
        <w:keepLines/>
        <w:spacing w:before="280" w:after="290" w:line="376" w:lineRule="auto"/>
        <w:ind w:left="3828"/>
        <w:outlineLvl w:val="3"/>
        <w:rPr>
          <w:rFonts w:ascii="宋体" w:hAnsi="宋体" w:eastAsia="宋体" w:cs="Times New Roman"/>
          <w:b/>
          <w:bCs/>
          <w:szCs w:val="21"/>
        </w:rPr>
      </w:pPr>
      <w:r>
        <w:rPr>
          <w:rFonts w:hint="eastAsia" w:ascii="宋体" w:hAnsi="宋体" w:eastAsia="宋体" w:cs="Times New Roman"/>
          <w:b/>
          <w:bCs/>
          <w:szCs w:val="21"/>
        </w:rPr>
        <w:t>开标一览表</w:t>
      </w:r>
    </w:p>
    <w:p>
      <w:pPr>
        <w:spacing w:line="360" w:lineRule="auto"/>
        <w:rPr>
          <w:rFonts w:ascii="宋体" w:hAnsi="宋体" w:eastAsia="宋体" w:cs="Times New Roman"/>
          <w:szCs w:val="21"/>
        </w:rPr>
      </w:pPr>
      <w:r>
        <w:rPr>
          <w:rFonts w:hint="eastAsia" w:ascii="宋体" w:hAnsi="宋体" w:eastAsia="宋体" w:cs="Times New Roman"/>
          <w:szCs w:val="21"/>
        </w:rPr>
        <w:t>项目名称：</w:t>
      </w:r>
    </w:p>
    <w:p>
      <w:pPr>
        <w:spacing w:line="360" w:lineRule="auto"/>
        <w:rPr>
          <w:rFonts w:ascii="宋体" w:hAnsi="宋体" w:eastAsia="宋体" w:cs="Times New Roman"/>
          <w:szCs w:val="21"/>
        </w:rPr>
      </w:pPr>
      <w:r>
        <w:rPr>
          <w:rFonts w:hint="eastAsia" w:ascii="宋体" w:hAnsi="宋体" w:eastAsia="宋体" w:cs="Times New Roman"/>
          <w:szCs w:val="21"/>
        </w:rPr>
        <w:t>项目编号：</w:t>
      </w:r>
    </w:p>
    <w:p>
      <w:pPr>
        <w:spacing w:line="360" w:lineRule="auto"/>
        <w:rPr>
          <w:rFonts w:ascii="宋体" w:hAnsi="宋体" w:eastAsia="宋体" w:cs="Times New Roman"/>
          <w:szCs w:val="21"/>
          <w:u w:val="single"/>
        </w:rPr>
      </w:pPr>
      <w:r>
        <w:rPr>
          <w:rFonts w:hint="eastAsia" w:ascii="宋体" w:hAnsi="宋体" w:eastAsia="宋体" w:cs="Times New Roman"/>
          <w:szCs w:val="21"/>
        </w:rPr>
        <w:t>币种：</w:t>
      </w:r>
      <w:r>
        <w:rPr>
          <w:rFonts w:hint="eastAsia" w:ascii="宋体" w:hAnsi="宋体" w:eastAsia="宋体" w:cs="Times New Roman"/>
          <w:szCs w:val="24"/>
          <w:u w:val="single"/>
        </w:rPr>
        <w:t>人民币</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674"/>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5" w:type="pct"/>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2040" w:type="pc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b/>
                <w:bCs/>
                <w:szCs w:val="21"/>
              </w:rPr>
            </w:pPr>
            <w:r>
              <w:rPr>
                <w:rFonts w:hint="eastAsia" w:ascii="宋体" w:hAnsi="宋体" w:eastAsia="宋体" w:cs="Times New Roman"/>
                <w:b/>
                <w:bCs/>
                <w:szCs w:val="21"/>
              </w:rPr>
              <w:t>项目名称</w:t>
            </w:r>
          </w:p>
        </w:tc>
        <w:tc>
          <w:tcPr>
            <w:tcW w:w="4440"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495" w:type="pct"/>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1</w:t>
            </w:r>
          </w:p>
        </w:tc>
        <w:tc>
          <w:tcPr>
            <w:tcW w:w="2040" w:type="pc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szCs w:val="21"/>
              </w:rPr>
            </w:pPr>
          </w:p>
        </w:tc>
        <w:tc>
          <w:tcPr>
            <w:tcW w:w="4440" w:type="dxa"/>
          </w:tcPr>
          <w:p>
            <w:pPr>
              <w:rPr>
                <w:rFonts w:ascii="宋体" w:hAnsi="宋体" w:eastAsia="宋体" w:cs="Times New Roman"/>
                <w:szCs w:val="24"/>
              </w:rPr>
            </w:pPr>
            <w:r>
              <w:rPr>
                <w:rFonts w:hint="eastAsia" w:ascii="宋体" w:hAnsi="宋体" w:eastAsia="宋体" w:cs="Times New Roman"/>
                <w:szCs w:val="24"/>
              </w:rPr>
              <w:t>大写：</w:t>
            </w:r>
          </w:p>
          <w:p>
            <w:pPr>
              <w:rPr>
                <w:rFonts w:ascii="宋体" w:hAnsi="宋体" w:eastAsia="宋体" w:cs="Times New Roman"/>
                <w:szCs w:val="24"/>
              </w:rPr>
            </w:pPr>
          </w:p>
          <w:p>
            <w:pPr>
              <w:rPr>
                <w:rFonts w:ascii="宋体" w:hAnsi="宋体" w:eastAsia="宋体" w:cs="Times New Roman"/>
                <w:szCs w:val="24"/>
              </w:rPr>
            </w:pPr>
          </w:p>
          <w:p>
            <w:r>
              <w:rPr>
                <w:rFonts w:hint="eastAsia" w:ascii="宋体" w:hAnsi="宋体" w:eastAsia="宋体" w:cs="Times New Roman"/>
                <w:szCs w:val="24"/>
              </w:rPr>
              <w:t>小写：</w:t>
            </w:r>
          </w:p>
        </w:tc>
      </w:tr>
    </w:tbl>
    <w:p>
      <w:pPr>
        <w:rPr>
          <w:rFonts w:ascii="宋体" w:hAnsi="宋体" w:eastAsia="宋体" w:cs="Times New Roman"/>
          <w:szCs w:val="24"/>
        </w:rPr>
      </w:pPr>
    </w:p>
    <w:p>
      <w:pPr>
        <w:rPr>
          <w:rFonts w:ascii="宋体" w:hAnsi="宋体" w:eastAsia="宋体" w:cs="Times New Roman"/>
          <w:szCs w:val="24"/>
        </w:rPr>
      </w:pPr>
    </w:p>
    <w:p>
      <w:pPr>
        <w:adjustRightInd w:val="0"/>
        <w:snapToGrid w:val="0"/>
        <w:spacing w:line="300" w:lineRule="auto"/>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300" w:lineRule="auto"/>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jc w:val="right"/>
        <w:rPr>
          <w:rFonts w:ascii="宋体" w:hAnsi="宋体" w:eastAsia="宋体" w:cs="Times New Roman"/>
          <w:szCs w:val="21"/>
        </w:rPr>
      </w:pPr>
      <w:r>
        <w:rPr>
          <w:rFonts w:hint="eastAsia" w:ascii="宋体" w:hAnsi="宋体" w:eastAsia="宋体" w:cs="Times New Roman"/>
          <w:szCs w:val="21"/>
        </w:rPr>
        <w:t>日期：年月日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w:t>
      </w:r>
      <w:r>
        <w:rPr>
          <w:rFonts w:hint="eastAsia" w:ascii="宋体" w:hAnsi="宋体" w:eastAsia="宋体" w:cs="Times New Roman"/>
          <w:szCs w:val="21"/>
        </w:rPr>
        <w:t>1、为方便唱标，《开标一览表》单独密封一份递交。</w:t>
      </w:r>
    </w:p>
    <w:p>
      <w:pPr>
        <w:widowControl/>
        <w:spacing w:line="360" w:lineRule="auto"/>
        <w:rPr>
          <w:rFonts w:ascii="仿宋" w:hAnsi="仿宋" w:eastAsia="仿宋" w:cs="仿宋"/>
          <w:b/>
          <w:bCs/>
          <w:color w:val="FF0000"/>
          <w:kern w:val="0"/>
          <w:sz w:val="24"/>
          <w:szCs w:val="24"/>
        </w:rPr>
      </w:pPr>
      <w:r>
        <w:rPr>
          <w:rFonts w:hint="eastAsia" w:ascii="宋体" w:hAnsi="宋体" w:eastAsia="宋体" w:cs="Times New Roman"/>
          <w:szCs w:val="21"/>
        </w:rPr>
        <w:t>2、若开标一览表中大写金额和小写金额不一致的，以大写金额为准</w:t>
      </w:r>
    </w:p>
    <w:p>
      <w:pPr>
        <w:ind w:firstLine="420" w:firstLineChars="200"/>
        <w:rPr>
          <w:rFonts w:ascii="宋体" w:hAnsi="宋体" w:eastAsia="宋体" w:cs="Times New Roman"/>
          <w:szCs w:val="21"/>
        </w:rPr>
      </w:pPr>
    </w:p>
    <w:p>
      <w:pPr>
        <w:spacing w:line="480" w:lineRule="auto"/>
        <w:rPr>
          <w:rFonts w:ascii="宋体" w:hAnsi="宋体" w:eastAsia="宋体" w:cs="Times New Roman"/>
          <w:szCs w:val="21"/>
          <w:lang w:val="en-GB"/>
        </w:rPr>
      </w:pPr>
      <w:r>
        <w:rPr>
          <w:rFonts w:ascii="宋体" w:hAnsi="宋体" w:eastAsia="宋体" w:cs="Times New Roman"/>
          <w:szCs w:val="21"/>
          <w:lang w:val="en-GB"/>
        </w:rPr>
        <w:br w:type="page"/>
      </w:r>
    </w:p>
    <w:p>
      <w:pPr>
        <w:keepNext/>
        <w:keepLines/>
        <w:spacing w:line="400" w:lineRule="exact"/>
        <w:jc w:val="center"/>
        <w:outlineLvl w:val="0"/>
        <w:rPr>
          <w:rFonts w:ascii="宋体" w:hAnsi="宋体" w:eastAsia="宋体" w:cs="Times New Roman"/>
          <w:b/>
          <w:bCs/>
          <w:kern w:val="44"/>
          <w:sz w:val="28"/>
          <w:szCs w:val="28"/>
        </w:rPr>
      </w:pPr>
      <w:bookmarkStart w:id="285" w:name="_Toc129094576"/>
      <w:r>
        <w:rPr>
          <w:rFonts w:hint="eastAsia" w:ascii="宋体" w:hAnsi="宋体" w:eastAsia="宋体" w:cs="Times New Roman"/>
          <w:b/>
          <w:bCs/>
          <w:kern w:val="44"/>
          <w:sz w:val="28"/>
          <w:szCs w:val="28"/>
        </w:rPr>
        <w:t>六、声明、投标人诚信承诺函及相关承诺函</w:t>
      </w:r>
      <w:bookmarkEnd w:id="285"/>
    </w:p>
    <w:p>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1、声明</w:t>
      </w:r>
    </w:p>
    <w:p>
      <w:pPr>
        <w:widowControl/>
        <w:snapToGrid w:val="0"/>
        <w:spacing w:line="400" w:lineRule="exact"/>
        <w:jc w:val="left"/>
        <w:rPr>
          <w:rFonts w:ascii="宋体" w:hAnsi="宋体" w:eastAsia="宋体" w:cs="Times New Roman"/>
          <w:kern w:val="0"/>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kern w:val="0"/>
          <w:szCs w:val="21"/>
        </w:rPr>
        <w:t>：</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投标人就参加</w:t>
      </w:r>
      <w:r>
        <w:rPr>
          <w:rFonts w:hint="eastAsia" w:ascii="宋体" w:hAnsi="宋体" w:eastAsia="宋体" w:cs="Times New Roman"/>
          <w:szCs w:val="21"/>
          <w:u w:val="single"/>
        </w:rPr>
        <w:t>项目名称：（项目编号：     )</w:t>
      </w:r>
      <w:r>
        <w:rPr>
          <w:rFonts w:hint="eastAsia" w:ascii="宋体" w:hAnsi="宋体" w:eastAsia="宋体" w:cs="Times New Roman"/>
          <w:kern w:val="0"/>
          <w:szCs w:val="21"/>
        </w:rPr>
        <w:t>项目投标工作，作出郑重声明：</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1．投标人已完全理解该项目招标公告所列明的全部条件，亦保证投标人完全符合本项目的投标条件。</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2．投标人已认真核实可</w:t>
      </w:r>
      <w:r>
        <w:rPr>
          <w:rFonts w:hint="eastAsia" w:ascii="宋体" w:hAnsi="宋体" w:eastAsia="宋体" w:cs="Times New Roman"/>
          <w:szCs w:val="24"/>
        </w:rPr>
        <w:t>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3．保证遵守招标文件的规定，放弃提出对招标文件误解的权利。</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以上声明若有违反，一经查实，本人和</w:t>
      </w:r>
      <w:r>
        <w:rPr>
          <w:rFonts w:hint="eastAsia" w:ascii="宋体" w:hAnsi="宋体" w:eastAsia="宋体" w:cs="Times New Roman"/>
          <w:kern w:val="0"/>
          <w:szCs w:val="21"/>
        </w:rPr>
        <w:t>投标人</w:t>
      </w:r>
      <w:r>
        <w:rPr>
          <w:rFonts w:hint="eastAsia" w:ascii="宋体" w:hAnsi="宋体" w:eastAsia="宋体" w:cs="Times New Roman"/>
          <w:szCs w:val="21"/>
        </w:rPr>
        <w:t>愿意接受有关部门的相应处罚，并愿意承担由此带来的法律后果。</w:t>
      </w:r>
    </w:p>
    <w:p>
      <w:pPr>
        <w:snapToGrid w:val="0"/>
        <w:spacing w:line="400" w:lineRule="exact"/>
        <w:ind w:firstLine="420" w:firstLineChars="200"/>
        <w:rPr>
          <w:rFonts w:ascii="宋体" w:hAnsi="宋体" w:eastAsia="宋体" w:cs="Times New Roman"/>
          <w:szCs w:val="21"/>
        </w:rPr>
      </w:pPr>
    </w:p>
    <w:p>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pPr>
        <w:keepNext/>
        <w:keepLines/>
        <w:spacing w:before="280" w:after="290" w:line="400" w:lineRule="exact"/>
        <w:jc w:val="center"/>
        <w:outlineLvl w:val="3"/>
        <w:rPr>
          <w:rFonts w:ascii="宋体" w:hAnsi="宋体" w:eastAsia="宋体" w:cs="Times New Roman"/>
          <w:b/>
          <w:bCs/>
          <w:szCs w:val="21"/>
        </w:rPr>
      </w:pPr>
      <w:r>
        <w:rPr>
          <w:rFonts w:ascii="宋体" w:hAnsi="宋体" w:eastAsia="宋体" w:cs="Times New Roman"/>
          <w:szCs w:val="21"/>
        </w:rPr>
        <w:br w:type="page"/>
      </w:r>
      <w:r>
        <w:rPr>
          <w:rFonts w:hint="eastAsia" w:ascii="宋体" w:hAnsi="宋体" w:eastAsia="宋体" w:cs="Times New Roman"/>
          <w:b/>
          <w:bCs/>
          <w:szCs w:val="21"/>
        </w:rPr>
        <w:t>2、投标人诚信承诺函</w:t>
      </w:r>
    </w:p>
    <w:p>
      <w:pPr>
        <w:rPr>
          <w:rFonts w:ascii="宋体" w:hAnsi="宋体" w:eastAsia="宋体" w:cs="Times New Roman"/>
          <w:szCs w:val="24"/>
        </w:rPr>
      </w:pPr>
      <w:r>
        <w:rPr>
          <w:rFonts w:hint="eastAsia" w:ascii="宋体" w:hAnsi="宋体" w:eastAsia="宋体" w:cs="Times New Roman"/>
          <w:szCs w:val="24"/>
        </w:rPr>
        <w:t>致（招标代理机构）：</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投标人承诺近三年在政府采购招标投标活动中，不存在以下情形：</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（一）被纪检监察部门立案调查，违法违规事实成立的；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（三）隐瞒真实情况，提供虚假资料的；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（四）以非法手段排斥其他供应商参与竞争的；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（五）与其他采购参加人串通投标的；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（六）在采购活动中应当回避而未回避的；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（七）恶意投诉的；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（八）向采购项目相关人行贿或者提供其他不当利益的；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（九）阻碍、抗拒主管部门监督检查的；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（十）履约检查不合格或者评价为差的；</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（十一）主管部门认定的其他情形。</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特此承诺。</w:t>
      </w:r>
    </w:p>
    <w:p>
      <w:pPr>
        <w:spacing w:line="400" w:lineRule="exact"/>
        <w:jc w:val="right"/>
        <w:rPr>
          <w:rFonts w:ascii="宋体" w:hAnsi="宋体" w:eastAsia="宋体" w:cs="Times New Roman"/>
          <w:szCs w:val="21"/>
        </w:rPr>
      </w:pPr>
    </w:p>
    <w:p>
      <w:pPr>
        <w:spacing w:line="400" w:lineRule="exact"/>
        <w:jc w:val="right"/>
        <w:rPr>
          <w:rFonts w:ascii="宋体" w:hAnsi="宋体" w:eastAsia="宋体" w:cs="Times New Roman"/>
          <w:szCs w:val="21"/>
        </w:rPr>
      </w:pPr>
    </w:p>
    <w:p>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pPr>
        <w:widowControl/>
        <w:jc w:val="left"/>
        <w:rPr>
          <w:rFonts w:ascii="宋体" w:hAnsi="宋体" w:eastAsia="宋体" w:cs="Times New Roman"/>
          <w:szCs w:val="21"/>
        </w:rPr>
      </w:pPr>
      <w:r>
        <w:rPr>
          <w:rFonts w:ascii="宋体" w:hAnsi="宋体" w:eastAsia="宋体" w:cs="Times New Roman"/>
          <w:szCs w:val="21"/>
        </w:rPr>
        <w:br w:type="page"/>
      </w:r>
    </w:p>
    <w:p>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3、投标及履约承诺函</w:t>
      </w:r>
    </w:p>
    <w:p>
      <w:pPr>
        <w:spacing w:line="360" w:lineRule="auto"/>
        <w:jc w:val="left"/>
        <w:rPr>
          <w:rFonts w:ascii="宋体" w:hAnsi="宋体" w:eastAsia="宋体" w:cs="Times New Roman"/>
          <w:szCs w:val="21"/>
        </w:rPr>
      </w:pPr>
      <w:r>
        <w:rPr>
          <w:rFonts w:hint="eastAsia" w:ascii="宋体" w:hAnsi="宋体" w:eastAsia="宋体" w:cs="Times New Roman"/>
          <w:szCs w:val="21"/>
        </w:rPr>
        <w:t>致（招标代理机构）：</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我单位承诺：</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1.对本招标项目所提供的服务未侵犯知识产权。</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2. 投标人参与该项目投标，严格遵守政府采购相关法律，投标做到诚实，不造假，不围标、串标、陪标。投标人已清楚，如违反上述要求，其投标将作废，被没收投标保证金，被列入不良记录名单并在网上曝光，同时将被提请政府采购监督管理部门给予一定年限内禁止参与政府采购活动或其他处罚。</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3.如果中标，做到守信，不偷工减料，依照本项目招标文件需求内容、签署的采购合同及投标人在投标中所作的一切承诺履约。项目验收达到全部指标合格，力争优良。</w:t>
      </w:r>
    </w:p>
    <w:p>
      <w:pPr>
        <w:spacing w:line="360" w:lineRule="auto"/>
        <w:ind w:firstLine="495" w:firstLineChars="236"/>
        <w:jc w:val="left"/>
        <w:rPr>
          <w:rFonts w:ascii="宋体" w:hAnsi="宋体" w:eastAsia="宋体" w:cs="Times New Roman"/>
          <w:szCs w:val="21"/>
        </w:rPr>
      </w:pPr>
      <w:r>
        <w:rPr>
          <w:rFonts w:hint="eastAsia" w:ascii="宋体" w:hAnsi="宋体" w:eastAsia="宋体" w:cs="宋体"/>
          <w:szCs w:val="21"/>
        </w:rPr>
        <w:t>4.参与本项目投标前三年内，在经营活动中没有重大违法记录。</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cs="宋体"/>
          <w:szCs w:val="21"/>
        </w:rPr>
        <w:t>参与本项目政府采购活动时不存在被有关部门禁止参与政府采购活动且在有效期内的情况。</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bCs/>
          <w:szCs w:val="21"/>
        </w:rPr>
        <w:t>6.</w:t>
      </w:r>
      <w:r>
        <w:rPr>
          <w:rFonts w:hint="eastAsia" w:ascii="宋体" w:hAnsi="宋体" w:eastAsia="宋体" w:cs="宋体"/>
          <w:kern w:val="0"/>
          <w:szCs w:val="21"/>
        </w:rPr>
        <w:t>参与</w:t>
      </w:r>
      <w:r>
        <w:rPr>
          <w:rFonts w:hint="eastAsia" w:ascii="宋体" w:hAnsi="宋体" w:eastAsia="宋体" w:cs="宋体"/>
          <w:szCs w:val="21"/>
        </w:rPr>
        <w:t>本项目政府采购活动时</w:t>
      </w:r>
      <w:r>
        <w:rPr>
          <w:rFonts w:hint="eastAsia" w:ascii="宋体" w:hAnsi="宋体" w:eastAsia="宋体" w:cs="Times New Roman"/>
          <w:szCs w:val="24"/>
        </w:rPr>
        <w:t>未被列入失信被执行人、重大税收违法案件当事人名单、政府采购严重违法失信行为记录名单。</w:t>
      </w:r>
    </w:p>
    <w:p>
      <w:pPr>
        <w:spacing w:line="360" w:lineRule="auto"/>
        <w:ind w:firstLine="495" w:firstLineChars="236"/>
        <w:jc w:val="left"/>
        <w:rPr>
          <w:rFonts w:ascii="宋体" w:hAnsi="宋体" w:eastAsia="宋体" w:cs="Times New Roman"/>
          <w:szCs w:val="24"/>
        </w:rPr>
      </w:pPr>
      <w:r>
        <w:rPr>
          <w:rFonts w:hint="eastAsia" w:ascii="宋体" w:hAnsi="宋体" w:eastAsia="宋体" w:cs="Times New Roman"/>
          <w:szCs w:val="24"/>
        </w:rPr>
        <w:t>7.</w:t>
      </w:r>
      <w:r>
        <w:rPr>
          <w:rFonts w:ascii="Times New Roman" w:hAnsi="Times New Roman" w:eastAsia="宋体" w:cs="Times New Roman"/>
          <w:szCs w:val="24"/>
        </w:rPr>
        <w:t>满足《中华人民共和国政府采购法》第二十二条规定</w:t>
      </w:r>
      <w:r>
        <w:rPr>
          <w:rFonts w:hint="eastAsia" w:ascii="宋体" w:hAnsi="宋体" w:eastAsia="宋体" w:cs="Times New Roman"/>
          <w:szCs w:val="24"/>
        </w:rPr>
        <w:t>。</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4"/>
        </w:rPr>
        <w:t>8.</w:t>
      </w:r>
      <w:r>
        <w:rPr>
          <w:rFonts w:hint="eastAsia" w:ascii="宋体" w:hAnsi="宋体" w:eastAsia="宋体" w:cs="Times New Roman"/>
          <w:szCs w:val="21"/>
        </w:rPr>
        <w:t>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9.投标人承诺不</w:t>
      </w:r>
      <w:r>
        <w:rPr>
          <w:rFonts w:hint="eastAsia" w:ascii="宋体" w:hAnsi="宋体" w:eastAsia="宋体" w:cs="Times New Roman"/>
          <w:bCs/>
          <w:szCs w:val="21"/>
        </w:rPr>
        <w:t>将本项目招标内容以任何方式进行</w:t>
      </w:r>
      <w:r>
        <w:rPr>
          <w:rFonts w:hint="eastAsia" w:ascii="宋体" w:hAnsi="宋体" w:eastAsia="宋体" w:cs="Times New Roman"/>
          <w:szCs w:val="21"/>
        </w:rPr>
        <w:t>非法转包、分包，未以联合体形式参与投标。</w:t>
      </w:r>
    </w:p>
    <w:p>
      <w:pPr>
        <w:pStyle w:val="9"/>
        <w:spacing w:line="360" w:lineRule="auto"/>
        <w:rPr>
          <w:rFonts w:ascii="宋体" w:hAnsi="宋体"/>
        </w:rPr>
      </w:pPr>
      <w:r>
        <w:rPr>
          <w:rFonts w:hint="eastAsia" w:ascii="宋体" w:hAnsi="宋体"/>
        </w:rPr>
        <w:t>10.我单位清楚:单位负责人为同一人或者存在直接控股、管理关系的不同供应商，不得参加同一合同项下的政府采购活动。</w:t>
      </w:r>
    </w:p>
    <w:p>
      <w:pPr>
        <w:pStyle w:val="9"/>
        <w:spacing w:line="360" w:lineRule="auto"/>
        <w:rPr>
          <w:rFonts w:ascii="宋体" w:hAnsi="宋体"/>
        </w:rPr>
      </w:pPr>
      <w:r>
        <w:rPr>
          <w:rFonts w:hint="eastAsia" w:ascii="宋体" w:hAnsi="宋体"/>
        </w:rPr>
        <w:t>11.我司参与本项目不存在《深圳市财政局政府采购供应商信用信息管理办法》（深财规[2023]3号）列明的严重违法失信行为。</w:t>
      </w:r>
    </w:p>
    <w:p>
      <w:pPr>
        <w:adjustRightInd w:val="0"/>
        <w:snapToGrid w:val="0"/>
        <w:spacing w:line="400" w:lineRule="exact"/>
        <w:jc w:val="right"/>
        <w:rPr>
          <w:rFonts w:ascii="宋体" w:hAnsi="宋体" w:eastAsia="宋体" w:cs="Times New Roman"/>
          <w:szCs w:val="21"/>
        </w:rPr>
      </w:pPr>
      <w:bookmarkStart w:id="286" w:name="_Hlk23765153"/>
      <w:r>
        <w:rPr>
          <w:rFonts w:hint="eastAsia" w:ascii="宋体" w:hAnsi="宋体" w:eastAsia="宋体" w:cs="Times New Roman"/>
          <w:szCs w:val="21"/>
        </w:rPr>
        <w:t>投标人</w:t>
      </w:r>
      <w:bookmarkEnd w:id="286"/>
      <w:r>
        <w:rPr>
          <w:rFonts w:hint="eastAsia" w:ascii="宋体" w:hAnsi="宋体" w:eastAsia="宋体" w:cs="Times New Roman"/>
          <w:szCs w:val="21"/>
        </w:rPr>
        <w:t>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pPr>
        <w:rPr>
          <w:rFonts w:ascii="宋体" w:hAnsi="宋体" w:eastAsia="宋体" w:cs="Times New Roman"/>
          <w:szCs w:val="24"/>
        </w:rPr>
      </w:pPr>
      <w:bookmarkStart w:id="287" w:name="_Toc26802745"/>
      <w:bookmarkStart w:id="288" w:name="_Toc89243531"/>
    </w:p>
    <w:p>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其他</w:t>
      </w:r>
      <w:bookmarkEnd w:id="287"/>
      <w:bookmarkEnd w:id="288"/>
      <w:r>
        <w:rPr>
          <w:rFonts w:hint="eastAsia" w:ascii="宋体" w:hAnsi="宋体" w:eastAsia="宋体" w:cs="Times New Roman"/>
          <w:b/>
          <w:bCs/>
          <w:szCs w:val="21"/>
        </w:rPr>
        <w:t>政府采购违法行为风险知悉确认书</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一、本公司已充分知悉“隐瞒真实情况，提供虚假资料”的法定情形，相关情形包括但不限于：</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（一）通过转让或者租借等方式从其他单位获取资格或者资质证书投标的。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（二）由其他单位或者其他单位负责人在投标供应商编制的投标文件上加盖印章或者签字的。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（三）项目负责人或者主要技术人员不是本单位人员的。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（四）投标保证金不是从投标供应商基本账户转出的。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（五）其他隐瞒真实情况、提供虚假资料的行为。 </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二、本公司已充分知悉“与其他采购参加人串通投标”的法定情形，相关情形包括但不限于：</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（一）投标供应商之间相互约定给予未中标的供应商利益补偿。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（三）不同投标供应商的投标文件由同一单位或者同一人编制，或者由同一人分阶段参与编制的。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（四）不同投标供应商的投标文件或部分投标文件相互混装。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（五）不同投标供应商的投标文件内容存在非正常一致。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（六）由同一单位工作人员为两家以上（含两家）供应商进行同一项投标活动的。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（七）不同投标人的投标报价呈规律性差异。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（八）不同投标人的投标保证金从同一单位或者个人的账户转出。</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（九）主管部门依照法律、法规认定的其他情形。 </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三、本公司已充分知悉下列情形所对应的法律风险，并在投标前已对相关风险事项进行排查。</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（一）对于从其他主体获取的投标资料，供应商应审慎核查，确保投标资料的真实性。</w:t>
      </w:r>
      <w:r>
        <w:rPr>
          <w:rFonts w:hint="eastAsia" w:ascii="宋体" w:hAnsi="宋体" w:eastAsia="宋体" w:cs="Times New Roman"/>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1" w:firstLineChars="200"/>
        <w:rPr>
          <w:rFonts w:ascii="宋体" w:hAnsi="宋体" w:eastAsia="宋体" w:cs="Times New Roman"/>
          <w:szCs w:val="21"/>
        </w:rPr>
      </w:pPr>
      <w:r>
        <w:rPr>
          <w:rFonts w:hint="eastAsia" w:ascii="宋体" w:hAnsi="宋体" w:eastAsia="宋体" w:cs="Times New Roman"/>
          <w:b/>
          <w:szCs w:val="21"/>
        </w:rPr>
        <w:t>四、本公司已充分知悉政府采购违法、违规行为的法律后果。</w:t>
      </w:r>
      <w:r>
        <w:rPr>
          <w:rFonts w:hint="eastAsia" w:ascii="宋体" w:hAnsi="宋体" w:eastAsia="宋体" w:cs="Times New Roman"/>
          <w:szCs w:val="21"/>
        </w:rPr>
        <w:t xml:space="preserve"> 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1" w:firstLineChars="200"/>
        <w:rPr>
          <w:rFonts w:ascii="宋体" w:hAnsi="宋体" w:eastAsia="宋体" w:cs="Times New Roman"/>
          <w:szCs w:val="21"/>
        </w:rPr>
      </w:pPr>
      <w:r>
        <w:rPr>
          <w:rFonts w:hint="eastAsia" w:ascii="宋体" w:hAnsi="宋体" w:eastAsia="宋体" w:cs="Times New Roman"/>
          <w:b/>
          <w:szCs w:val="21"/>
        </w:rPr>
        <w:t>以下文字请投标供应商抄写并确认：</w:t>
      </w:r>
      <w:r>
        <w:rPr>
          <w:rFonts w:hint="eastAsia" w:ascii="宋体" w:hAnsi="宋体" w:eastAsia="宋体" w:cs="Times New Roman"/>
          <w:szCs w:val="21"/>
        </w:rPr>
        <w:t>“本公司已仔细阅读《政府采购违法行为风险知悉确认书》，充分知悉违法行为的法律后果，并承诺将严谨、诚信、依法依规参与政府采购活动”。</w:t>
      </w:r>
    </w:p>
    <w:p>
      <w:pPr>
        <w:spacing w:line="360" w:lineRule="auto"/>
        <w:ind w:firstLine="309" w:firstLineChars="147"/>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ind w:firstLine="308" w:firstLineChars="147"/>
        <w:rPr>
          <w:rFonts w:ascii="宋体" w:hAnsi="宋体" w:eastAsia="宋体" w:cs="Times New Roman"/>
          <w:szCs w:val="21"/>
          <w:u w:val="single"/>
        </w:rPr>
      </w:pPr>
    </w:p>
    <w:p>
      <w:pPr>
        <w:adjustRightInd w:val="0"/>
        <w:snapToGrid w:val="0"/>
        <w:spacing w:line="400" w:lineRule="exact"/>
        <w:jc w:val="right"/>
        <w:rPr>
          <w:rFonts w:ascii="宋体" w:hAnsi="宋体" w:eastAsia="宋体" w:cs="Times New Roman"/>
          <w:b/>
          <w:szCs w:val="21"/>
        </w:rPr>
      </w:pPr>
      <w:r>
        <w:rPr>
          <w:rFonts w:hint="eastAsia" w:ascii="宋体" w:hAnsi="宋体" w:eastAsia="宋体" w:cs="Times New Roman"/>
          <w:b/>
          <w:szCs w:val="21"/>
        </w:rPr>
        <w:t>负责人/投标授权代表：</w:t>
      </w:r>
    </w:p>
    <w:p>
      <w:pPr>
        <w:adjustRightInd w:val="0"/>
        <w:snapToGrid w:val="0"/>
        <w:spacing w:line="400" w:lineRule="exact"/>
        <w:ind w:right="210"/>
        <w:jc w:val="right"/>
        <w:rPr>
          <w:rFonts w:ascii="宋体" w:hAnsi="宋体" w:eastAsia="宋体" w:cs="Times New Roman"/>
          <w:b/>
          <w:szCs w:val="21"/>
          <w:u w:val="single"/>
        </w:rPr>
      </w:pPr>
      <w:r>
        <w:rPr>
          <w:rFonts w:hint="eastAsia" w:ascii="宋体" w:hAnsi="宋体" w:eastAsia="宋体" w:cs="Times New Roman"/>
          <w:b/>
          <w:szCs w:val="21"/>
        </w:rPr>
        <w:t>投标人名称：</w:t>
      </w:r>
    </w:p>
    <w:p>
      <w:pPr>
        <w:spacing w:line="360" w:lineRule="auto"/>
        <w:ind w:firstLine="421" w:firstLineChars="200"/>
        <w:jc w:val="right"/>
        <w:rPr>
          <w:rFonts w:ascii="宋体" w:hAnsi="宋体" w:eastAsia="宋体" w:cs="Times New Roman"/>
          <w:b/>
          <w:szCs w:val="21"/>
        </w:rPr>
      </w:pPr>
      <w:r>
        <w:rPr>
          <w:rFonts w:hint="eastAsia" w:ascii="宋体" w:hAnsi="宋体" w:eastAsia="宋体" w:cs="Times New Roman"/>
          <w:b/>
          <w:szCs w:val="21"/>
        </w:rPr>
        <w:t>日期：   年   月   日</w:t>
      </w:r>
    </w:p>
    <w:p>
      <w:pPr>
        <w:spacing w:line="360" w:lineRule="auto"/>
        <w:ind w:firstLine="421" w:firstLineChars="200"/>
        <w:jc w:val="right"/>
        <w:rPr>
          <w:rFonts w:ascii="宋体" w:hAnsi="宋体" w:eastAsia="宋体" w:cs="Times New Roman"/>
          <w:b/>
          <w:szCs w:val="21"/>
        </w:rPr>
      </w:pPr>
    </w:p>
    <w:p>
      <w:pPr>
        <w:spacing w:line="360" w:lineRule="auto"/>
        <w:ind w:firstLine="421" w:firstLineChars="200"/>
        <w:jc w:val="right"/>
        <w:rPr>
          <w:rFonts w:ascii="宋体" w:hAnsi="宋体" w:eastAsia="宋体" w:cs="Times New Roman"/>
          <w:b/>
          <w:szCs w:val="21"/>
        </w:rPr>
      </w:pPr>
    </w:p>
    <w:p>
      <w:pPr>
        <w:spacing w:line="400" w:lineRule="exact"/>
        <w:jc w:val="left"/>
        <w:rPr>
          <w:rFonts w:ascii="宋体" w:hAnsi="宋体" w:eastAsia="宋体" w:cs="Times New Roman"/>
          <w:szCs w:val="21"/>
        </w:rPr>
      </w:pPr>
      <w:r>
        <w:rPr>
          <w:rFonts w:hint="eastAsia" w:ascii="宋体" w:hAnsi="宋体" w:eastAsia="宋体" w:cs="Times New Roman"/>
          <w:b/>
          <w:szCs w:val="21"/>
        </w:rPr>
        <w:t>（说明：根据《深圳市财政局关于采购文件增加风险告知有关事项的通知  深财购【2022】22号》文件规定，</w:t>
      </w:r>
      <w:r>
        <w:rPr>
          <w:rFonts w:hint="eastAsia" w:ascii="Times New Roman" w:hAnsi="宋体" w:eastAsia="宋体" w:cs="Times New Roman"/>
          <w:b/>
          <w:kern w:val="0"/>
          <w:szCs w:val="21"/>
        </w:rPr>
        <w:t>风险知悉确认书用于对供应商违法行为的警示，不作为供应商资格性审查及符合性审查条件。</w:t>
      </w:r>
      <w:r>
        <w:rPr>
          <w:rFonts w:hint="eastAsia" w:ascii="宋体" w:hAnsi="宋体" w:eastAsia="宋体" w:cs="Times New Roman"/>
          <w:b/>
          <w:szCs w:val="21"/>
        </w:rPr>
        <w:t>）</w:t>
      </w:r>
    </w:p>
    <w:p>
      <w:pPr>
        <w:rPr>
          <w:rFonts w:ascii="宋体" w:hAnsi="宋体" w:eastAsia="宋体" w:cs="Times New Roman"/>
          <w:szCs w:val="21"/>
        </w:rPr>
      </w:pPr>
      <w:r>
        <w:rPr>
          <w:rFonts w:ascii="Times New Roman" w:hAnsi="Times New Roman" w:eastAsia="宋体" w:cs="Times New Roman"/>
          <w:szCs w:val="24"/>
        </w:rPr>
        <w:br w:type="page"/>
      </w:r>
    </w:p>
    <w:p>
      <w:pPr>
        <w:keepNext/>
        <w:keepLines/>
        <w:spacing w:line="400" w:lineRule="exact"/>
        <w:jc w:val="center"/>
        <w:outlineLvl w:val="0"/>
        <w:rPr>
          <w:rFonts w:ascii="宋体" w:hAnsi="宋体" w:eastAsia="宋体" w:cs="Times New Roman"/>
          <w:b/>
          <w:bCs/>
          <w:kern w:val="44"/>
          <w:sz w:val="28"/>
          <w:szCs w:val="28"/>
        </w:rPr>
      </w:pPr>
      <w:bookmarkStart w:id="289" w:name="_Toc129094577"/>
      <w:bookmarkStart w:id="290" w:name="_Toc55559514"/>
      <w:r>
        <w:rPr>
          <w:rFonts w:hint="eastAsia" w:ascii="宋体" w:hAnsi="宋体" w:eastAsia="宋体" w:cs="Times New Roman"/>
          <w:b/>
          <w:bCs/>
          <w:kern w:val="44"/>
          <w:sz w:val="28"/>
          <w:szCs w:val="28"/>
        </w:rPr>
        <w:t>七、招标文件要求的其他内容及投标人认为需要加以说明其他内容</w:t>
      </w:r>
      <w:bookmarkEnd w:id="289"/>
      <w:bookmarkEnd w:id="290"/>
    </w:p>
    <w:p>
      <w:pPr>
        <w:spacing w:line="360" w:lineRule="auto"/>
        <w:rPr>
          <w:rFonts w:ascii="Times New Roman" w:hAnsi="Times New Roman" w:eastAsia="宋体" w:cs="Times New Roman"/>
          <w:b/>
          <w:szCs w:val="24"/>
        </w:rPr>
      </w:pPr>
    </w:p>
    <w:p>
      <w:pPr>
        <w:spacing w:after="60" w:line="360" w:lineRule="auto"/>
        <w:rPr>
          <w:b/>
          <w:bCs/>
          <w:szCs w:val="21"/>
        </w:rPr>
      </w:pPr>
      <w:r>
        <w:rPr>
          <w:rFonts w:hint="eastAsia"/>
          <w:b/>
          <w:szCs w:val="21"/>
        </w:rPr>
        <w:t>特别说明：</w:t>
      </w:r>
      <w:r>
        <w:rPr>
          <w:rFonts w:hint="eastAsia"/>
          <w:b/>
          <w:bCs/>
          <w:szCs w:val="21"/>
        </w:rPr>
        <w:t>供应商提供《中小企业声明函》内容不实的，属于</w:t>
      </w:r>
      <w:r>
        <w:rPr>
          <w:b/>
          <w:bCs/>
          <w:szCs w:val="21"/>
        </w:rPr>
        <w:t>“</w:t>
      </w:r>
      <w:r>
        <w:rPr>
          <w:rFonts w:hint="eastAsia"/>
          <w:b/>
          <w:bCs/>
          <w:szCs w:val="21"/>
        </w:rPr>
        <w:t>隐瞒真实情况，提供虚假资料的</w:t>
      </w:r>
      <w:r>
        <w:rPr>
          <w:b/>
          <w:bCs/>
          <w:szCs w:val="21"/>
        </w:rPr>
        <w:t>”</w:t>
      </w:r>
      <w:r>
        <w:rPr>
          <w:rFonts w:hint="eastAsia"/>
          <w:b/>
          <w:bCs/>
          <w:szCs w:val="21"/>
        </w:rPr>
        <w:t>情形，依照《深圳经济特区政府采购条例》的有关规定追究相应责任。</w:t>
      </w:r>
    </w:p>
    <w:p>
      <w:pPr>
        <w:spacing w:after="60" w:line="360" w:lineRule="auto"/>
        <w:rPr>
          <w:b/>
          <w:bCs/>
          <w:szCs w:val="21"/>
        </w:rPr>
      </w:pPr>
      <w:r>
        <w:rPr>
          <w:rFonts w:hint="eastAsia"/>
          <w:b/>
          <w:bCs/>
          <w:szCs w:val="21"/>
        </w:rPr>
        <w:t>填写指引：</w:t>
      </w:r>
    </w:p>
    <w:p>
      <w:pPr>
        <w:spacing w:after="60" w:line="360" w:lineRule="auto"/>
        <w:rPr>
          <w:rFonts w:ascii="宋体" w:hAnsi="宋体"/>
          <w:b/>
        </w:rPr>
      </w:pPr>
      <w:r>
        <w:rPr>
          <w:rFonts w:hint="eastAsia" w:ascii="宋体" w:hAnsi="宋体"/>
          <w:b/>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after="60" w:line="360" w:lineRule="auto"/>
        <w:rPr>
          <w:rFonts w:ascii="宋体" w:hAnsi="宋体"/>
          <w:b/>
        </w:rPr>
      </w:pPr>
      <w:r>
        <w:rPr>
          <w:rFonts w:hint="eastAsia" w:ascii="宋体" w:hAnsi="宋体"/>
          <w:b/>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pPr>
        <w:spacing w:after="60" w:line="360" w:lineRule="auto"/>
        <w:rPr>
          <w:rFonts w:ascii="宋体" w:hAnsi="宋体"/>
          <w:b/>
        </w:rPr>
      </w:pPr>
      <w:r>
        <w:rPr>
          <w:rFonts w:hint="eastAsia" w:ascii="宋体" w:hAnsi="宋体"/>
          <w:b/>
        </w:rPr>
        <w:t>3、请依照提供的格式和内容填写声明函，不要随意变更格式；满足多项优惠政策的投标人，不重复享受多项价格扣除政策。</w:t>
      </w:r>
    </w:p>
    <w:p>
      <w:pPr>
        <w:spacing w:after="60" w:line="360" w:lineRule="auto"/>
        <w:rPr>
          <w:rFonts w:ascii="宋体" w:hAnsi="宋体"/>
          <w:b/>
        </w:rPr>
      </w:pPr>
      <w:r>
        <w:rPr>
          <w:rFonts w:hint="eastAsia" w:ascii="宋体" w:hAnsi="宋体"/>
          <w:b/>
        </w:rPr>
        <w:t>4、声明函具体填写要求：</w:t>
      </w:r>
    </w:p>
    <w:p>
      <w:pPr>
        <w:spacing w:after="60" w:line="360" w:lineRule="auto"/>
        <w:rPr>
          <w:rFonts w:ascii="宋体" w:hAnsi="宋体"/>
          <w:b/>
        </w:rPr>
      </w:pPr>
      <w:r>
        <w:rPr>
          <w:rFonts w:hint="eastAsia" w:ascii="宋体" w:hAnsi="宋体"/>
          <w:b/>
        </w:rPr>
        <w:t>（1）声明是中小企业须填写《中小企业声明函》的以下内容：</w:t>
      </w:r>
    </w:p>
    <w:p>
      <w:pPr>
        <w:spacing w:after="60" w:line="360" w:lineRule="auto"/>
        <w:rPr>
          <w:rFonts w:ascii="宋体" w:hAnsi="宋体"/>
          <w:b/>
        </w:rPr>
      </w:pPr>
      <w:r>
        <w:rPr>
          <w:rFonts w:hint="eastAsia" w:ascii="宋体" w:hAnsi="宋体"/>
          <w:b/>
        </w:rPr>
        <w:t>第一处，在“采购单位名称”下划线处如实填写采购人名称（招标机构不是本项目的采购人，而是组织实施机构）；</w:t>
      </w:r>
    </w:p>
    <w:p>
      <w:pPr>
        <w:spacing w:after="60" w:line="360" w:lineRule="auto"/>
        <w:rPr>
          <w:rFonts w:ascii="宋体" w:hAnsi="宋体"/>
          <w:b/>
        </w:rPr>
      </w:pPr>
      <w:r>
        <w:rPr>
          <w:rFonts w:hint="eastAsia" w:ascii="宋体" w:hAnsi="宋体"/>
          <w:b/>
        </w:rPr>
        <w:t>第二处，在“项目名称”下划线处如实填写采购项目名称；</w:t>
      </w:r>
    </w:p>
    <w:p>
      <w:pPr>
        <w:spacing w:after="60" w:line="360" w:lineRule="auto"/>
        <w:rPr>
          <w:rFonts w:ascii="宋体" w:hAnsi="宋体"/>
          <w:b/>
        </w:rPr>
      </w:pPr>
      <w:r>
        <w:rPr>
          <w:rFonts w:hint="eastAsia" w:ascii="宋体" w:hAnsi="宋体"/>
          <w:b/>
        </w:rPr>
        <w:t>第三处，在“货物名称”下划线处填写所采购货物（标的）的具体名称（以招标文件“采购清单”的“货物名称”一栏为准）；如果涉及多个货物名称（标的）由同一企业承接，“货物名称”下划线处可以如实填写多个货物名称（标的）；</w:t>
      </w:r>
    </w:p>
    <w:p>
      <w:pPr>
        <w:spacing w:after="60" w:line="360" w:lineRule="auto"/>
        <w:rPr>
          <w:rFonts w:ascii="宋体" w:hAnsi="宋体"/>
          <w:b/>
        </w:rPr>
      </w:pPr>
      <w:r>
        <w:rPr>
          <w:rFonts w:hint="eastAsia" w:ascii="宋体" w:hAnsi="宋体"/>
          <w:b/>
        </w:rPr>
        <w:t>第四处，在“招标文件中明确的所属行业”下划线处填写采购项目对应的中小企业划分标准所属行业（所属行业可在招标文件采购清单/评标信息中查看）；</w:t>
      </w:r>
    </w:p>
    <w:p>
      <w:pPr>
        <w:spacing w:after="60" w:line="360" w:lineRule="auto"/>
        <w:rPr>
          <w:rFonts w:ascii="宋体" w:hAnsi="宋体"/>
          <w:b/>
        </w:rPr>
      </w:pPr>
      <w:r>
        <w:rPr>
          <w:rFonts w:hint="eastAsia" w:ascii="宋体" w:hAnsi="宋体"/>
          <w:b/>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after="60" w:line="360" w:lineRule="auto"/>
        <w:rPr>
          <w:rFonts w:ascii="宋体" w:hAnsi="宋体"/>
          <w:b/>
        </w:rPr>
      </w:pPr>
      <w:r>
        <w:rPr>
          <w:rFonts w:hint="eastAsia" w:ascii="宋体" w:hAnsi="宋体"/>
          <w:b/>
        </w:rPr>
        <w:t>（2）声明是残疾人福利性单位须填写《残疾人福利性单位声明函》的相关内容（填写位置的字体已加粗），具体参照以上《中小企业声明函》填写要求执行。</w:t>
      </w:r>
    </w:p>
    <w:p>
      <w:pPr>
        <w:spacing w:after="60" w:line="360" w:lineRule="auto"/>
        <w:rPr>
          <w:rFonts w:ascii="宋体" w:hAnsi="宋体"/>
          <w:b/>
        </w:rPr>
      </w:pPr>
      <w:r>
        <w:rPr>
          <w:rFonts w:hint="eastAsia" w:ascii="宋体" w:hAnsi="宋体"/>
          <w:b/>
        </w:rPr>
        <w:t>（3）声明是监狱企业须填写《监狱企业声明函》的相关内容（填写位置的字体已加粗），具体参照以上《中小企业声明函》填写要求执行。</w:t>
      </w:r>
    </w:p>
    <w:p>
      <w:pPr>
        <w:spacing w:line="360" w:lineRule="auto"/>
        <w:rPr>
          <w:rFonts w:ascii="宋体" w:hAnsi="宋体"/>
          <w:b/>
        </w:rPr>
      </w:pPr>
      <w:r>
        <w:rPr>
          <w:rFonts w:hint="eastAsia" w:ascii="宋体" w:hAnsi="宋体"/>
          <w:b/>
        </w:rPr>
        <w:t>5、声明函的有效性最终由评审委员会判定；如评审委员会判定声明函无效，相关供应商不享受价格扣除（但不作投标无效处理）。</w:t>
      </w:r>
    </w:p>
    <w:p>
      <w:pPr>
        <w:spacing w:line="360" w:lineRule="auto"/>
        <w:rPr>
          <w:b/>
        </w:rPr>
      </w:pPr>
    </w:p>
    <w:p>
      <w:pPr>
        <w:spacing w:line="360" w:lineRule="auto"/>
        <w:rPr>
          <w:b/>
        </w:rPr>
      </w:pPr>
      <w:r>
        <w:rPr>
          <w:rFonts w:hint="eastAsia"/>
          <w:b/>
        </w:rPr>
        <w:t>附件 （本附件中内容如适合可根据自身情况填写完整后放进投标文件，如不适用，则无须提供）</w:t>
      </w:r>
    </w:p>
    <w:p>
      <w:pPr>
        <w:adjustRightInd w:val="0"/>
        <w:spacing w:line="480" w:lineRule="atLeast"/>
        <w:ind w:firstLine="420" w:firstLineChars="200"/>
        <w:textAlignment w:val="baseline"/>
        <w:rPr>
          <w:rFonts w:ascii="长城仿宋" w:hAnsi="Times New Roman"/>
          <w:kern w:val="0"/>
          <w:szCs w:val="20"/>
        </w:rPr>
      </w:pPr>
    </w:p>
    <w:p>
      <w:pPr>
        <w:jc w:val="center"/>
        <w:rPr>
          <w:rFonts w:ascii="宋体" w:hAnsi="宋体"/>
          <w:b/>
          <w:bCs/>
          <w:szCs w:val="21"/>
        </w:rPr>
      </w:pPr>
      <w:r>
        <w:rPr>
          <w:rFonts w:hint="eastAsia" w:ascii="宋体" w:hAnsi="宋体"/>
          <w:b/>
          <w:bCs/>
          <w:szCs w:val="21"/>
        </w:rPr>
        <w:t>（</w:t>
      </w:r>
      <w:r>
        <w:rPr>
          <w:rFonts w:hint="eastAsia" w:ascii="宋体" w:hAnsi="宋体"/>
          <w:b/>
          <w:szCs w:val="21"/>
        </w:rPr>
        <w:t>一）中小企业声明函</w:t>
      </w:r>
    </w:p>
    <w:p>
      <w:pPr>
        <w:rPr>
          <w:rFonts w:ascii="黑体" w:eastAsia="黑体"/>
          <w:bCs/>
          <w:kern w:val="0"/>
          <w:sz w:val="24"/>
          <w:szCs w:val="32"/>
        </w:rPr>
      </w:pPr>
    </w:p>
    <w:p>
      <w:pPr>
        <w:spacing w:after="60" w:line="360" w:lineRule="auto"/>
        <w:ind w:firstLine="420" w:firstLineChars="200"/>
        <w:rPr>
          <w:rFonts w:ascii="Times New Roman" w:hAnsi="Times New Roman"/>
          <w:szCs w:val="21"/>
        </w:rPr>
      </w:pPr>
      <w:r>
        <w:rPr>
          <w:rFonts w:hint="eastAsia" w:ascii="Times New Roman" w:hAnsi="Times New Roman"/>
          <w:szCs w:val="21"/>
        </w:rPr>
        <w:t>本公司郑重声明，根据《</w:t>
      </w:r>
      <w:r>
        <w:rPr>
          <w:rFonts w:hint="eastAsia" w:ascii="宋体" w:hAnsi="宋体"/>
          <w:szCs w:val="21"/>
        </w:rPr>
        <w:t>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w:t>
      </w:r>
      <w:r>
        <w:rPr>
          <w:rFonts w:hint="eastAsia" w:ascii="Times New Roman" w:hAnsi="Times New Roman"/>
          <w:szCs w:val="21"/>
        </w:rPr>
        <w:t>）的规定，本公司参加（</w:t>
      </w:r>
      <w:r>
        <w:rPr>
          <w:rFonts w:hint="eastAsia" w:ascii="Times New Roman" w:hAnsi="Times New Roman"/>
          <w:szCs w:val="21"/>
          <w:u w:val="single"/>
        </w:rPr>
        <w:t xml:space="preserve">采购单位名称：           </w:t>
      </w:r>
      <w:r>
        <w:rPr>
          <w:rFonts w:hint="eastAsia" w:ascii="Times New Roman" w:hAnsi="Times New Roman"/>
          <w:szCs w:val="21"/>
        </w:rPr>
        <w:t>）的（</w:t>
      </w:r>
      <w:r>
        <w:rPr>
          <w:rFonts w:hint="eastAsia" w:ascii="Times New Roman" w:hAnsi="Times New Roman"/>
          <w:szCs w:val="21"/>
          <w:u w:val="single"/>
        </w:rPr>
        <w:t xml:space="preserve">项目名称：        </w:t>
      </w:r>
      <w:r>
        <w:rPr>
          <w:rFonts w:hint="eastAsia" w:ascii="Times New Roman" w:hAnsi="Times New Roman"/>
          <w:szCs w:val="21"/>
        </w:rPr>
        <w:t>）采购活动，服务全部由符合政策要求的中小企业承接。相关企业的具体情况如下：</w:t>
      </w:r>
    </w:p>
    <w:p>
      <w:pPr>
        <w:spacing w:after="60" w:line="360" w:lineRule="auto"/>
        <w:ind w:firstLine="421" w:firstLineChars="200"/>
        <w:rPr>
          <w:rFonts w:ascii="Times New Roman" w:hAnsi="Times New Roman"/>
          <w:szCs w:val="21"/>
        </w:rPr>
      </w:pPr>
      <w:r>
        <w:rPr>
          <w:rFonts w:hint="eastAsia" w:ascii="Times New Roman" w:hAnsi="Times New Roman"/>
          <w:b/>
          <w:szCs w:val="21"/>
          <w:u w:val="single"/>
        </w:rPr>
        <w:t>（项目名称：</w:t>
      </w:r>
      <w:r>
        <w:rPr>
          <w:rFonts w:hint="eastAsia" w:ascii="Times New Roman" w:hAnsi="Times New Roman"/>
          <w:b/>
          <w:bCs/>
          <w:szCs w:val="21"/>
          <w:u w:val="single"/>
        </w:rPr>
        <w:t xml:space="preserve">             </w:t>
      </w:r>
      <w:r>
        <w:rPr>
          <w:rFonts w:hint="eastAsia" w:ascii="Times New Roman" w:hAnsi="Times New Roman"/>
          <w:b/>
          <w:szCs w:val="21"/>
          <w:u w:val="single"/>
        </w:rPr>
        <w:t>）</w:t>
      </w:r>
      <w:r>
        <w:rPr>
          <w:rFonts w:ascii="Times New Roman" w:hAnsi="Times New Roman"/>
          <w:b/>
          <w:szCs w:val="21"/>
          <w:u w:val="single"/>
        </w:rPr>
        <w:t xml:space="preserve"> </w:t>
      </w:r>
      <w:r>
        <w:rPr>
          <w:rFonts w:hint="eastAsia" w:ascii="Times New Roman" w:hAnsi="Times New Roman"/>
          <w:b/>
          <w:szCs w:val="21"/>
        </w:rPr>
        <w:t>，属于</w:t>
      </w:r>
      <w:r>
        <w:rPr>
          <w:rFonts w:hint="eastAsia" w:ascii="Times New Roman" w:hAnsi="Times New Roman"/>
          <w:b/>
          <w:szCs w:val="21"/>
          <w:u w:val="single"/>
        </w:rPr>
        <w:t>（招标文件列明的所属行业：       ）</w:t>
      </w:r>
      <w:r>
        <w:rPr>
          <w:rFonts w:hint="eastAsia" w:ascii="Times New Roman" w:hAnsi="Times New Roman"/>
          <w:b/>
          <w:szCs w:val="21"/>
        </w:rPr>
        <w:t>；承接企业为</w:t>
      </w:r>
      <w:r>
        <w:rPr>
          <w:rFonts w:hint="eastAsia" w:ascii="Times New Roman" w:hAnsi="Times New Roman"/>
          <w:b/>
          <w:szCs w:val="21"/>
          <w:u w:val="single"/>
        </w:rPr>
        <w:t>（企业名称：    ）</w:t>
      </w:r>
      <w:r>
        <w:rPr>
          <w:rFonts w:hint="eastAsia" w:ascii="Times New Roman" w:hAnsi="Times New Roman"/>
          <w:b/>
          <w:szCs w:val="21"/>
        </w:rPr>
        <w:t>，从业人员</w:t>
      </w:r>
      <w:r>
        <w:rPr>
          <w:rFonts w:hint="eastAsia" w:ascii="Times New Roman" w:hAnsi="Times New Roman"/>
          <w:b/>
          <w:szCs w:val="21"/>
          <w:u w:val="single"/>
        </w:rPr>
        <w:t xml:space="preserve">        </w:t>
      </w:r>
      <w:r>
        <w:rPr>
          <w:rFonts w:hint="eastAsia" w:ascii="Times New Roman" w:hAnsi="Times New Roman"/>
          <w:b/>
          <w:szCs w:val="21"/>
        </w:rPr>
        <w:t>人，营业收入为</w:t>
      </w:r>
      <w:r>
        <w:rPr>
          <w:rFonts w:hint="eastAsia" w:ascii="Times New Roman" w:hAnsi="Times New Roman"/>
          <w:b/>
          <w:szCs w:val="21"/>
          <w:u w:val="single"/>
        </w:rPr>
        <w:t xml:space="preserve">          </w:t>
      </w:r>
      <w:r>
        <w:rPr>
          <w:rFonts w:hint="eastAsia" w:ascii="Times New Roman" w:hAnsi="Times New Roman"/>
          <w:b/>
          <w:szCs w:val="21"/>
        </w:rPr>
        <w:t>万元，资产总额为</w:t>
      </w:r>
      <w:r>
        <w:rPr>
          <w:rFonts w:hint="eastAsia" w:ascii="Times New Roman" w:hAnsi="Times New Roman"/>
          <w:b/>
          <w:szCs w:val="21"/>
          <w:u w:val="single"/>
        </w:rPr>
        <w:t xml:space="preserve">      </w:t>
      </w:r>
      <w:r>
        <w:rPr>
          <w:rFonts w:hint="eastAsia" w:ascii="Times New Roman" w:hAnsi="Times New Roman"/>
          <w:b/>
          <w:szCs w:val="21"/>
        </w:rPr>
        <w:t>万元，属于</w:t>
      </w:r>
      <w:r>
        <w:rPr>
          <w:rFonts w:hint="eastAsia" w:ascii="Times New Roman" w:hAnsi="Times New Roman"/>
          <w:b/>
          <w:szCs w:val="21"/>
          <w:u w:val="single"/>
        </w:rPr>
        <w:t>（□中型企业/□小型企业/□微型企业）（承诺人在□处打√）</w:t>
      </w:r>
      <w:r>
        <w:rPr>
          <w:rFonts w:hint="eastAsia" w:ascii="Times New Roman" w:hAnsi="Times New Roman"/>
          <w:szCs w:val="21"/>
        </w:rPr>
        <w:t>；</w:t>
      </w:r>
    </w:p>
    <w:p>
      <w:pPr>
        <w:spacing w:line="360" w:lineRule="auto"/>
        <w:ind w:firstLine="420" w:firstLineChars="200"/>
        <w:jc w:val="left"/>
        <w:rPr>
          <w:rFonts w:ascii="宋体" w:hAnsi="宋体"/>
        </w:rPr>
      </w:pPr>
      <w:r>
        <w:rPr>
          <w:rFonts w:hint="eastAsia" w:ascii="宋体" w:hAnsi="宋体"/>
        </w:rPr>
        <w:t>以上企业，不属于大企业的分支机构，不存在控股股东为大企业的情形，也不存在与大企业的负责人为同一人的情形。</w:t>
      </w:r>
    </w:p>
    <w:p>
      <w:pPr>
        <w:spacing w:after="60" w:line="360" w:lineRule="auto"/>
        <w:ind w:firstLine="420" w:firstLineChars="200"/>
        <w:rPr>
          <w:rFonts w:ascii="Times New Roman" w:hAnsi="Times New Roman"/>
          <w:szCs w:val="21"/>
        </w:rPr>
      </w:pPr>
      <w:r>
        <w:rPr>
          <w:rFonts w:hint="eastAsia" w:ascii="宋体" w:hAnsi="宋体"/>
          <w:kern w:val="0"/>
          <w:szCs w:val="21"/>
        </w:rPr>
        <w:t>本单位已知悉《政府采购促进中小企业发展管理办法》（财库〔2020〕46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hint="eastAsia" w:ascii="宋体" w:hAnsi="宋体"/>
          <w:szCs w:val="21"/>
        </w:rPr>
        <w:t>。</w:t>
      </w:r>
    </w:p>
    <w:p>
      <w:pPr>
        <w:spacing w:after="60" w:line="360" w:lineRule="auto"/>
        <w:ind w:firstLine="420" w:firstLineChars="200"/>
        <w:rPr>
          <w:rFonts w:ascii="Times New Roman" w:hAnsi="Times New Roman"/>
          <w:szCs w:val="21"/>
        </w:rPr>
      </w:pPr>
      <w:r>
        <w:rPr>
          <w:rFonts w:hint="eastAsia" w:ascii="Times New Roman" w:hAnsi="Times New Roman"/>
          <w:szCs w:val="21"/>
        </w:rPr>
        <w:t>本企业对上述声明内容的真实性负责。如有虚假，将依法承担相应责任。</w:t>
      </w:r>
    </w:p>
    <w:p>
      <w:pPr>
        <w:spacing w:after="60" w:line="360" w:lineRule="auto"/>
        <w:ind w:firstLine="420" w:firstLineChars="200"/>
        <w:jc w:val="right"/>
        <w:rPr>
          <w:rFonts w:ascii="Times New Roman" w:hAnsi="Times New Roman"/>
          <w:szCs w:val="21"/>
        </w:rPr>
      </w:pPr>
      <w:r>
        <w:rPr>
          <w:rFonts w:hint="eastAsia" w:ascii="Times New Roman" w:hAnsi="Times New Roman"/>
          <w:szCs w:val="21"/>
        </w:rPr>
        <w:t>企业名称（盖章）：</w:t>
      </w:r>
    </w:p>
    <w:p>
      <w:pPr>
        <w:spacing w:after="60" w:line="360" w:lineRule="auto"/>
        <w:ind w:firstLine="420" w:firstLineChars="200"/>
        <w:jc w:val="right"/>
        <w:rPr>
          <w:szCs w:val="21"/>
        </w:rPr>
      </w:pPr>
      <w:r>
        <w:rPr>
          <w:rFonts w:hint="eastAsia" w:ascii="Times New Roman" w:hAnsi="Times New Roman"/>
          <w:szCs w:val="21"/>
        </w:rPr>
        <w:t>日期</w:t>
      </w:r>
      <w:r>
        <w:rPr>
          <w:rFonts w:hint="eastAsia"/>
          <w:szCs w:val="21"/>
        </w:rPr>
        <w:t>：</w:t>
      </w:r>
    </w:p>
    <w:p>
      <w:pPr>
        <w:rPr>
          <w:b/>
          <w:szCs w:val="21"/>
        </w:rPr>
      </w:pPr>
      <w:r>
        <w:rPr>
          <w:rFonts w:hint="eastAsia"/>
          <w:b/>
          <w:szCs w:val="21"/>
        </w:rPr>
        <w:t>注：从业人员、营业收入、资产总额填报上一年度数据，无上一年度数据的新成立企业可不填报。</w:t>
      </w:r>
    </w:p>
    <w:p>
      <w:pPr>
        <w:widowControl/>
        <w:jc w:val="left"/>
        <w:rPr>
          <w:b/>
          <w:szCs w:val="21"/>
        </w:rPr>
      </w:pPr>
      <w:r>
        <w:rPr>
          <w:b/>
          <w:szCs w:val="21"/>
        </w:rPr>
        <w:br w:type="page"/>
      </w:r>
    </w:p>
    <w:p>
      <w:pPr>
        <w:jc w:val="center"/>
        <w:rPr>
          <w:rFonts w:ascii="宋体" w:hAnsi="宋体"/>
          <w:b/>
          <w:bCs/>
          <w:szCs w:val="21"/>
        </w:rPr>
      </w:pPr>
      <w:r>
        <w:rPr>
          <w:rFonts w:hint="eastAsia" w:ascii="宋体" w:hAnsi="宋体"/>
          <w:b/>
          <w:bCs/>
          <w:szCs w:val="21"/>
        </w:rPr>
        <w:t>（二）残疾人福利性单位声明函</w:t>
      </w:r>
    </w:p>
    <w:p>
      <w:pPr>
        <w:rPr>
          <w:b/>
          <w:sz w:val="24"/>
        </w:rPr>
      </w:pPr>
    </w:p>
    <w:p>
      <w:pPr>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pPr>
      <w:r>
        <w:rPr>
          <w:rFonts w:hint="eastAsia"/>
        </w:rPr>
        <w:t>本单位对上述声明的真实性负责。如有虚假，将依法承担相应责任。</w:t>
      </w:r>
    </w:p>
    <w:p>
      <w:pPr>
        <w:spacing w:line="360" w:lineRule="auto"/>
      </w:pPr>
    </w:p>
    <w:p>
      <w:pPr>
        <w:spacing w:after="60" w:line="360" w:lineRule="auto"/>
        <w:ind w:firstLine="420" w:firstLineChars="200"/>
        <w:jc w:val="right"/>
        <w:rPr>
          <w:szCs w:val="21"/>
        </w:rPr>
      </w:pPr>
      <w:r>
        <w:rPr>
          <w:rFonts w:hint="eastAsia"/>
          <w:szCs w:val="21"/>
        </w:rPr>
        <w:t xml:space="preserve">单位名称： </w:t>
      </w:r>
    </w:p>
    <w:p>
      <w:pPr>
        <w:spacing w:line="360" w:lineRule="auto"/>
        <w:jc w:val="right"/>
        <w:rPr>
          <w:szCs w:val="21"/>
        </w:rPr>
      </w:pPr>
      <w:r>
        <w:rPr>
          <w:rFonts w:hint="eastAsia"/>
          <w:szCs w:val="21"/>
        </w:rPr>
        <w:t>日期：</w:t>
      </w:r>
    </w:p>
    <w:p>
      <w:pPr>
        <w:jc w:val="right"/>
      </w:pPr>
    </w:p>
    <w:p>
      <w:pPr>
        <w:pStyle w:val="22"/>
      </w:pPr>
    </w:p>
    <w:p>
      <w:pPr>
        <w:pStyle w:val="22"/>
      </w:pPr>
    </w:p>
    <w:p/>
    <w:p>
      <w:pPr>
        <w:jc w:val="center"/>
        <w:rPr>
          <w:rFonts w:ascii="宋体" w:hAnsi="宋体"/>
          <w:b/>
          <w:bCs/>
          <w:szCs w:val="21"/>
        </w:rPr>
      </w:pPr>
      <w:r>
        <w:rPr>
          <w:rFonts w:hint="eastAsia" w:ascii="宋体" w:hAnsi="宋体"/>
          <w:b/>
          <w:bCs/>
          <w:szCs w:val="21"/>
        </w:rPr>
        <w:t>（三）监狱企业声明函</w:t>
      </w:r>
    </w:p>
    <w:p>
      <w:pPr>
        <w:spacing w:after="60" w:line="360" w:lineRule="auto"/>
        <w:ind w:firstLine="420" w:firstLineChars="200"/>
        <w:rPr>
          <w:szCs w:val="21"/>
        </w:rPr>
      </w:pPr>
    </w:p>
    <w:p>
      <w:pPr>
        <w:spacing w:after="60" w:line="360" w:lineRule="auto"/>
        <w:ind w:firstLine="420" w:firstLineChars="200"/>
        <w:rPr>
          <w:szCs w:val="21"/>
        </w:rPr>
      </w:pPr>
      <w:r>
        <w:rPr>
          <w:rFonts w:hint="eastAsia"/>
          <w:szCs w:val="21"/>
        </w:rPr>
        <w:t>本单位郑重声明，根据《财政部 司法部 关于政府采 购支持监狱企业发展有关问题的通知》（财库〔2014〕68号）的规定，本单位为符合条件的监狱企业，且本单位参加</w:t>
      </w:r>
      <w:r>
        <w:rPr>
          <w:rFonts w:hint="eastAsia"/>
          <w:szCs w:val="21"/>
          <w:u w:val="single"/>
        </w:rPr>
        <w:t>（采购单位名称）</w:t>
      </w:r>
      <w:r>
        <w:rPr>
          <w:rFonts w:hint="eastAsia"/>
          <w:szCs w:val="21"/>
        </w:rPr>
        <w:t>单位的（</w:t>
      </w:r>
      <w:r>
        <w:rPr>
          <w:rFonts w:hint="eastAsia"/>
          <w:szCs w:val="21"/>
          <w:u w:val="single"/>
        </w:rPr>
        <w:t xml:space="preserve">采购项目名称：      </w:t>
      </w:r>
      <w:r>
        <w:rPr>
          <w:rFonts w:hint="eastAsia"/>
          <w:szCs w:val="21"/>
        </w:rPr>
        <w:t>）项目采购活动，并提供:</w:t>
      </w:r>
      <w:r>
        <w:rPr>
          <w:rFonts w:hint="eastAsia"/>
          <w:szCs w:val="21"/>
          <w:u w:val="single"/>
        </w:rPr>
        <w:t>□本单位制造的货物；□由本单位承担的工程、提供服务；□提供其他监狱企业制造的货物（承诺人在□处打√）</w:t>
      </w:r>
      <w:r>
        <w:rPr>
          <w:rFonts w:hint="eastAsia"/>
          <w:szCs w:val="21"/>
        </w:rPr>
        <w:t>。本条所称货物是指单一产品采购项目中的货物，或者非单一产品采购项目中的核心产品（货物）。</w:t>
      </w:r>
    </w:p>
    <w:p>
      <w:pPr>
        <w:spacing w:after="60" w:line="360" w:lineRule="auto"/>
        <w:ind w:firstLine="420" w:firstLineChars="200"/>
        <w:rPr>
          <w:szCs w:val="21"/>
        </w:rPr>
      </w:pPr>
      <w:r>
        <w:rPr>
          <w:rFonts w:hint="eastAsia"/>
          <w:szCs w:val="21"/>
        </w:rPr>
        <w:t>本单位对上述声明的真实性负责。如有虚假，将依法承担相应责任。</w:t>
      </w:r>
    </w:p>
    <w:p>
      <w:pPr>
        <w:spacing w:after="60" w:line="360" w:lineRule="auto"/>
        <w:ind w:firstLine="420" w:firstLineChars="200"/>
        <w:rPr>
          <w:szCs w:val="21"/>
        </w:rPr>
      </w:pPr>
      <w:r>
        <w:rPr>
          <w:rFonts w:hint="eastAsia"/>
          <w:szCs w:val="21"/>
        </w:rPr>
        <w:t>附：省级以上监狱管理局、戒毒管理局（含新疆生产建设兵团）出具的监狱企业证明文件。</w:t>
      </w:r>
    </w:p>
    <w:p>
      <w:pPr>
        <w:spacing w:line="360" w:lineRule="auto"/>
      </w:pPr>
    </w:p>
    <w:p>
      <w:pPr>
        <w:spacing w:line="360" w:lineRule="auto"/>
      </w:pPr>
    </w:p>
    <w:p>
      <w:pPr>
        <w:spacing w:after="60" w:line="360" w:lineRule="auto"/>
        <w:ind w:firstLine="420" w:firstLineChars="200"/>
        <w:jc w:val="right"/>
        <w:rPr>
          <w:szCs w:val="21"/>
        </w:rPr>
      </w:pPr>
      <w:r>
        <w:rPr>
          <w:rFonts w:hint="eastAsia"/>
          <w:szCs w:val="21"/>
        </w:rPr>
        <w:t>单位名称：</w:t>
      </w:r>
    </w:p>
    <w:p>
      <w:pPr>
        <w:spacing w:line="360" w:lineRule="auto"/>
        <w:ind w:firstLine="420" w:firstLineChars="200"/>
        <w:jc w:val="left"/>
        <w:rPr>
          <w:rFonts w:ascii="宋体" w:hAnsi="宋体" w:eastAsia="宋体" w:cs="Times New Roman"/>
          <w:szCs w:val="24"/>
        </w:rPr>
      </w:pPr>
      <w:r>
        <w:rPr>
          <w:rFonts w:hint="eastAsia"/>
          <w:szCs w:val="21"/>
        </w:rPr>
        <w:t>日期：</w:t>
      </w:r>
    </w:p>
    <w:p>
      <w:pPr>
        <w:spacing w:line="360" w:lineRule="auto"/>
        <w:rPr>
          <w:rFonts w:ascii="宋体" w:hAnsi="宋体" w:eastAsia="宋体" w:cs="Times New Roman"/>
          <w:szCs w:val="24"/>
        </w:rPr>
      </w:pPr>
      <w:r>
        <w:rPr>
          <w:rFonts w:ascii="宋体" w:hAnsi="宋体" w:eastAsia="宋体" w:cs="Times New Roman"/>
          <w:szCs w:val="24"/>
        </w:rPr>
        <w:t xml:space="preserve"> </w:t>
      </w:r>
    </w:p>
    <w:p>
      <w:pPr>
        <w:spacing w:line="360" w:lineRule="auto"/>
        <w:rPr>
          <w:rFonts w:ascii="宋体" w:hAnsi="宋体" w:eastAsia="宋体" w:cs="Times New Roman"/>
          <w:szCs w:val="24"/>
        </w:rPr>
      </w:pPr>
    </w:p>
    <w:p>
      <w:pPr>
        <w:widowControl/>
        <w:jc w:val="left"/>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44"/>
          <w:szCs w:val="44"/>
        </w:rPr>
      </w:pPr>
      <w:bookmarkStart w:id="291" w:name="_Toc129094580"/>
      <w:bookmarkStart w:id="292" w:name="_Toc129094578"/>
      <w:r>
        <w:rPr>
          <w:rFonts w:hint="eastAsia" w:ascii="宋体" w:hAnsi="宋体" w:eastAsia="宋体" w:cs="Times New Roman"/>
          <w:b/>
          <w:bCs/>
          <w:kern w:val="44"/>
          <w:sz w:val="44"/>
          <w:szCs w:val="44"/>
        </w:rPr>
        <w:t>第四部分  招标公告</w:t>
      </w:r>
      <w:bookmarkEnd w:id="291"/>
    </w:p>
    <w:p>
      <w:pPr>
        <w:spacing w:line="360" w:lineRule="auto"/>
        <w:rPr>
          <w:rFonts w:ascii="宋体" w:hAnsi="宋体" w:eastAsia="宋体" w:cs="Times New Roman"/>
          <w:szCs w:val="24"/>
        </w:rPr>
      </w:pP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一、项目概况</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bCs/>
          <w:szCs w:val="24"/>
          <w:u w:val="single"/>
        </w:rPr>
        <w:t>住宅小区电动自行车充换电设施建设推广及规范化管理技术服务</w:t>
      </w:r>
      <w:r>
        <w:rPr>
          <w:rFonts w:hint="eastAsia" w:ascii="宋体" w:hAnsi="宋体" w:eastAsia="宋体" w:cs="仿宋"/>
          <w:szCs w:val="24"/>
        </w:rPr>
        <w:t>的潜在投标人应在</w:t>
      </w:r>
      <w:r>
        <w:rPr>
          <w:rFonts w:hint="eastAsia" w:ascii="宋体" w:hAnsi="宋体" w:eastAsia="宋体" w:cs="仿宋"/>
          <w:b/>
          <w:szCs w:val="24"/>
          <w:u w:val="single"/>
        </w:rPr>
        <w:t>深圳高星项目管理有限公司（深圳市福田区泰然九路天地源盛唐大厦东座1403）</w:t>
      </w:r>
      <w:r>
        <w:rPr>
          <w:rFonts w:hint="eastAsia" w:ascii="宋体" w:hAnsi="宋体" w:eastAsia="宋体" w:cs="仿宋"/>
          <w:szCs w:val="24"/>
        </w:rPr>
        <w:t>获取招标文件，并于</w:t>
      </w:r>
      <w:r>
        <w:rPr>
          <w:rFonts w:hint="eastAsia" w:ascii="宋体" w:hAnsi="宋体" w:eastAsia="宋体" w:cs="仿宋"/>
          <w:b/>
          <w:szCs w:val="24"/>
          <w:u w:val="single"/>
        </w:rPr>
        <w:t>2024年07月**日15时00分</w:t>
      </w:r>
      <w:r>
        <w:rPr>
          <w:rFonts w:hint="eastAsia" w:ascii="宋体" w:hAnsi="宋体" w:eastAsia="宋体" w:cs="仿宋"/>
          <w:szCs w:val="24"/>
          <w:u w:val="single"/>
        </w:rPr>
        <w:t>（北京时间）</w:t>
      </w:r>
      <w:r>
        <w:rPr>
          <w:rFonts w:hint="eastAsia" w:ascii="宋体" w:hAnsi="宋体" w:eastAsia="宋体" w:cs="仿宋"/>
          <w:szCs w:val="24"/>
        </w:rPr>
        <w:t>前递交投标文件。</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二、项目基本情况</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1、项目编号：GXSZ-20240382SZGK</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2、项目名称：</w:t>
      </w:r>
      <w:r>
        <w:rPr>
          <w:rFonts w:hint="eastAsia" w:ascii="宋体" w:hAnsi="宋体" w:eastAsia="宋体" w:cs="仿宋"/>
          <w:bCs/>
          <w:szCs w:val="24"/>
        </w:rPr>
        <w:t>住宅小区电动自行车充换电设施建设推广及规范化管理技术服务</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3、预算金额：</w:t>
      </w:r>
      <w:r>
        <w:rPr>
          <w:rFonts w:hint="eastAsia" w:ascii="宋体" w:hAnsi="宋体" w:eastAsia="宋体" w:cs="Times New Roman"/>
          <w:bCs/>
          <w:szCs w:val="21"/>
        </w:rPr>
        <w:t>人民币</w:t>
      </w:r>
      <w:r>
        <w:rPr>
          <w:rFonts w:hint="eastAsia" w:ascii="宋体" w:hAnsi="宋体" w:eastAsia="宋体" w:cs="宋体"/>
          <w:szCs w:val="21"/>
        </w:rPr>
        <w:t>37.8万元</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4、最高限价：人民币</w:t>
      </w:r>
      <w:r>
        <w:rPr>
          <w:rFonts w:hint="eastAsia" w:ascii="宋体" w:hAnsi="宋体" w:eastAsia="宋体" w:cs="宋体"/>
          <w:szCs w:val="21"/>
        </w:rPr>
        <w:t>37.8</w:t>
      </w:r>
      <w:r>
        <w:rPr>
          <w:rFonts w:hint="eastAsia" w:ascii="宋体" w:hAnsi="宋体" w:eastAsia="宋体" w:cs="仿宋"/>
          <w:szCs w:val="24"/>
        </w:rPr>
        <w:t>万元</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5、采购需求：</w:t>
      </w:r>
      <w:r>
        <w:rPr>
          <w:rFonts w:hint="eastAsia" w:ascii="宋体" w:hAnsi="宋体" w:eastAsia="宋体" w:cs="Times New Roman"/>
          <w:bCs/>
          <w:szCs w:val="24"/>
        </w:rPr>
        <w:t>详见招标文件。</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6、合同履行期限：</w:t>
      </w:r>
      <w:r>
        <w:rPr>
          <w:rFonts w:hint="eastAsia" w:ascii="宋体" w:hAnsi="宋体" w:eastAsia="宋体" w:cs="Times New Roman"/>
          <w:szCs w:val="21"/>
        </w:rPr>
        <w:t>详见招标文件</w:t>
      </w:r>
      <w:r>
        <w:rPr>
          <w:rFonts w:hint="eastAsia" w:ascii="宋体" w:hAnsi="宋体" w:eastAsia="宋体" w:cs="仿宋"/>
          <w:szCs w:val="24"/>
        </w:rPr>
        <w:t>。</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7、本项目不接受联合体投标。</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三、申请人的资格要求：</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1、投标人具有独立法人资格或独立承担民事责任能力的其他组织（提供营业执照或事业单位法人证等法人证明复印件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满足《中华人民共和国政府采购法》第二十二条规定</w:t>
      </w:r>
      <w:r>
        <w:rPr>
          <w:rFonts w:hint="eastAsia" w:ascii="宋体" w:hAnsi="宋体" w:eastAsia="宋体" w:cs="Times New Roman"/>
          <w:szCs w:val="24"/>
        </w:rPr>
        <w:t>（</w:t>
      </w:r>
      <w:r>
        <w:rPr>
          <w:rFonts w:hint="eastAsia" w:ascii="宋体" w:hAnsi="宋体" w:eastAsia="宋体" w:cs="宋体"/>
          <w:kern w:val="0"/>
          <w:szCs w:val="24"/>
        </w:rPr>
        <w:t>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w:t>
      </w:r>
      <w:r>
        <w:rPr>
          <w:rFonts w:hint="eastAsia" w:ascii="宋体" w:hAnsi="宋体" w:eastAsia="宋体" w:cs="宋体"/>
          <w:szCs w:val="24"/>
        </w:rPr>
        <w:t>参与本项目投标前三年内，在经营活动中没有重大违法记录（由供应商在《投标及履约承诺函》中作出承诺）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宋体"/>
          <w:szCs w:val="24"/>
        </w:rPr>
      </w:pPr>
      <w:r>
        <w:rPr>
          <w:rFonts w:hint="eastAsia" w:ascii="宋体" w:hAnsi="宋体" w:eastAsia="宋体" w:cs="Times New Roman"/>
          <w:szCs w:val="24"/>
        </w:rPr>
        <w:t>4、</w:t>
      </w:r>
      <w:r>
        <w:rPr>
          <w:rFonts w:hint="eastAsia" w:ascii="宋体" w:hAnsi="宋体" w:eastAsia="宋体" w:cs="宋体"/>
          <w:szCs w:val="24"/>
        </w:rPr>
        <w:t>参与本项目政府采购活动时不存在被有关部门禁止参与政府采购活动且在有效期内的情况（由供应商在《投标及履约承诺函》中作出承诺）。</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bCs/>
          <w:szCs w:val="24"/>
        </w:rPr>
        <w:t>5、</w:t>
      </w:r>
      <w:r>
        <w:rPr>
          <w:rFonts w:hint="eastAsia" w:ascii="宋体" w:hAnsi="宋体" w:eastAsia="宋体" w:cs="宋体"/>
          <w:kern w:val="0"/>
          <w:szCs w:val="24"/>
        </w:rPr>
        <w:t>参与</w:t>
      </w:r>
      <w:r>
        <w:rPr>
          <w:rFonts w:hint="eastAsia" w:ascii="宋体" w:hAnsi="宋体" w:eastAsia="宋体" w:cs="宋体"/>
          <w:szCs w:val="24"/>
        </w:rPr>
        <w:t>本项目政府采购活动时</w:t>
      </w:r>
      <w:r>
        <w:rPr>
          <w:rFonts w:hint="eastAsia" w:ascii="宋体" w:hAnsi="宋体" w:eastAsia="宋体" w:cs="Times New Roman"/>
          <w:szCs w:val="24"/>
        </w:rPr>
        <w:t>未被列入失信被执行人、重大税收违法案件当事人名单、政府采购严重违法失信行为记录名单</w:t>
      </w:r>
      <w:r>
        <w:rPr>
          <w:rFonts w:hint="eastAsia" w:ascii="宋体" w:hAnsi="宋体" w:eastAsia="宋体" w:cs="宋体"/>
          <w:szCs w:val="24"/>
        </w:rPr>
        <w:t>（由供应商在《投标及履约承诺函》中作出承诺）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宋体"/>
          <w:kern w:val="0"/>
          <w:szCs w:val="24"/>
        </w:rPr>
        <w:t>6、本项目不接受联合体投标</w:t>
      </w:r>
      <w:r>
        <w:rPr>
          <w:rFonts w:hint="eastAsia" w:ascii="宋体" w:hAnsi="宋体" w:eastAsia="宋体" w:cs="Times New Roman"/>
          <w:szCs w:val="24"/>
        </w:rPr>
        <w:t>。</w:t>
      </w:r>
    </w:p>
    <w:p>
      <w:pPr>
        <w:pStyle w:val="9"/>
        <w:widowControl/>
        <w:spacing w:line="360" w:lineRule="auto"/>
        <w:jc w:val="left"/>
        <w:rPr>
          <w:rFonts w:ascii="宋体" w:hAnsi="宋体"/>
        </w:rPr>
      </w:pPr>
      <w:r>
        <w:rPr>
          <w:rFonts w:hint="eastAsia" w:ascii="宋体" w:hAnsi="宋体"/>
        </w:rPr>
        <w:t>7、单位负责人为同一人或者存在直接控股、管理关系的不同供应商，不得参加同一合同项下的政府采购活动。（由供应商在《投标及履约承诺函》中作出承诺）</w:t>
      </w:r>
    </w:p>
    <w:p>
      <w:pPr>
        <w:pStyle w:val="9"/>
        <w:widowControl/>
        <w:spacing w:line="360" w:lineRule="auto"/>
        <w:jc w:val="left"/>
        <w:rPr>
          <w:rFonts w:ascii="宋体" w:hAnsi="宋体"/>
          <w:szCs w:val="21"/>
        </w:rPr>
      </w:pPr>
      <w:r>
        <w:rPr>
          <w:rFonts w:hint="eastAsia" w:ascii="宋体" w:hAnsi="宋体"/>
        </w:rPr>
        <w:t>8、投标人不存在《深圳市财政局政府采购供应商信用信息管理办法》（深财规〔2023〕3 号）列明的严重违法失信行为。（由供应商在《投标及履约承诺函》中作出承诺）。</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注：</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1"/>
        </w:rPr>
        <w:t>（1）“信用中国”、“中国政府采购网”以及“深圳市政府采购监管网”为供应商信用信息的查询渠道，相关信息以开标当日的查询结果为准</w:t>
      </w:r>
      <w:r>
        <w:rPr>
          <w:rFonts w:hint="eastAsia" w:ascii="宋体" w:hAnsi="宋体" w:eastAsia="宋体" w:cs="Times New Roman"/>
          <w:szCs w:val="24"/>
        </w:rPr>
        <w:t>。</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四、获取招标文件</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1、获取招标文件时间：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rPr>
        <w:t>07月**日至</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rPr>
        <w:t>07月**日</w:t>
      </w:r>
      <w:r>
        <w:rPr>
          <w:rFonts w:hint="eastAsia" w:ascii="宋体" w:hAnsi="宋体" w:eastAsia="宋体" w:cs="Times New Roman"/>
          <w:szCs w:val="24"/>
        </w:rPr>
        <w:t>（公休日及法定节假日除外），</w:t>
      </w:r>
      <w:r>
        <w:rPr>
          <w:rFonts w:hint="eastAsia" w:ascii="宋体" w:hAnsi="宋体" w:eastAsia="宋体" w:cs="Times New Roman"/>
          <w:szCs w:val="24"/>
          <w:u w:val="single"/>
        </w:rPr>
        <w:t>上午</w:t>
      </w:r>
      <w:r>
        <w:rPr>
          <w:rFonts w:ascii="宋体" w:hAnsi="宋体" w:eastAsia="宋体" w:cs="Times New Roman"/>
          <w:szCs w:val="24"/>
          <w:u w:val="single"/>
        </w:rPr>
        <w:t>9</w:t>
      </w:r>
      <w:r>
        <w:rPr>
          <w:rFonts w:hint="eastAsia" w:ascii="宋体" w:hAnsi="宋体" w:eastAsia="宋体" w:cs="Times New Roman"/>
          <w:szCs w:val="24"/>
          <w:u w:val="single"/>
        </w:rPr>
        <w:t>:</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2:</w:t>
      </w:r>
      <w:r>
        <w:rPr>
          <w:rFonts w:hint="eastAsia" w:ascii="宋体" w:hAnsi="宋体" w:eastAsia="宋体" w:cs="Times New Roman"/>
          <w:bCs/>
          <w:szCs w:val="24"/>
          <w:u w:val="single"/>
        </w:rPr>
        <w:t>00，下午</w:t>
      </w:r>
      <w:r>
        <w:rPr>
          <w:rFonts w:hint="eastAsia" w:ascii="宋体" w:hAnsi="宋体" w:eastAsia="宋体" w:cs="Times New Roman"/>
          <w:szCs w:val="24"/>
          <w:u w:val="single"/>
        </w:rPr>
        <w:t>14:</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7:</w:t>
      </w:r>
      <w:r>
        <w:rPr>
          <w:rFonts w:hint="eastAsia" w:ascii="宋体" w:hAnsi="宋体" w:eastAsia="宋体" w:cs="Times New Roman"/>
          <w:bCs/>
          <w:szCs w:val="24"/>
          <w:u w:val="single"/>
        </w:rPr>
        <w:t>00</w:t>
      </w:r>
      <w:r>
        <w:rPr>
          <w:rFonts w:hint="eastAsia" w:ascii="宋体" w:hAnsi="宋体" w:eastAsia="宋体" w:cs="Times New Roman"/>
          <w:szCs w:val="24"/>
        </w:rPr>
        <w:t>（北京时间）。</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2、获取招标文件</w:t>
      </w:r>
      <w:r>
        <w:rPr>
          <w:rFonts w:hint="eastAsia" w:ascii="宋体" w:hAnsi="宋体" w:eastAsia="宋体" w:cs="Times New Roman"/>
          <w:szCs w:val="24"/>
        </w:rPr>
        <w:t>和投标报名地点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3、获取招标文件方式：现场购买和网上购买（电联我司）。</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4、招标文件售价：</w:t>
      </w:r>
      <w:r>
        <w:rPr>
          <w:rFonts w:hint="eastAsia" w:ascii="宋体" w:hAnsi="宋体" w:eastAsia="宋体" w:cs="Times New Roman"/>
          <w:szCs w:val="24"/>
        </w:rPr>
        <w:t>人民币600元/份，可接收现金、微信、支付宝支付。招标文件售后不退。采购人同时提供WORD版与PDF版的电子招标文件，如WORD版与PDF版有差异，以PDF版招标文件为准。</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五、提交投标文件截止时间、开标时间和地点</w:t>
      </w:r>
    </w:p>
    <w:p>
      <w:pPr>
        <w:widowControl/>
        <w:spacing w:line="360" w:lineRule="auto"/>
        <w:ind w:firstLine="421" w:firstLineChars="200"/>
        <w:jc w:val="left"/>
        <w:rPr>
          <w:rFonts w:ascii="宋体" w:hAnsi="宋体" w:eastAsia="宋体" w:cs="Times New Roman"/>
          <w:szCs w:val="24"/>
        </w:rPr>
      </w:pPr>
      <w:r>
        <w:rPr>
          <w:rFonts w:hint="eastAsia" w:ascii="宋体" w:hAnsi="宋体" w:eastAsia="宋体" w:cs="仿宋"/>
          <w:b/>
          <w:szCs w:val="24"/>
        </w:rPr>
        <w:t>1、</w:t>
      </w:r>
      <w:r>
        <w:rPr>
          <w:rFonts w:hint="eastAsia" w:ascii="宋体" w:hAnsi="宋体" w:eastAsia="宋体" w:cs="Times New Roman"/>
          <w:b/>
          <w:szCs w:val="24"/>
        </w:rPr>
        <w:t>投标文件递交时间：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rPr>
        <w:t>07月**</w:t>
      </w:r>
      <w:r>
        <w:rPr>
          <w:rFonts w:ascii="宋体" w:hAnsi="宋体" w:eastAsia="宋体" w:cs="Times New Roman"/>
          <w:b/>
          <w:szCs w:val="24"/>
          <w:u w:val="single"/>
        </w:rPr>
        <w:t>日</w:t>
      </w:r>
      <w:r>
        <w:rPr>
          <w:rFonts w:hint="eastAsia" w:ascii="宋体" w:hAnsi="宋体" w:eastAsia="宋体" w:cs="Times New Roman"/>
          <w:b/>
          <w:szCs w:val="24"/>
          <w:u w:val="single"/>
        </w:rPr>
        <w:t>14:30至15:00</w:t>
      </w:r>
      <w:r>
        <w:rPr>
          <w:rFonts w:ascii="宋体" w:hAnsi="宋体" w:eastAsia="宋体" w:cs="Times New Roman"/>
          <w:b/>
          <w:szCs w:val="21"/>
        </w:rPr>
        <w:t>（北京时间）</w:t>
      </w:r>
      <w:r>
        <w:rPr>
          <w:rFonts w:hint="eastAsia" w:ascii="宋体" w:hAnsi="宋体" w:eastAsia="宋体" w:cs="Times New Roman"/>
          <w:szCs w:val="24"/>
        </w:rPr>
        <w:t>；</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Times New Roman"/>
          <w:b/>
          <w:szCs w:val="24"/>
        </w:rPr>
        <w:t>2、投标文件递交地点：</w:t>
      </w:r>
      <w:r>
        <w:rPr>
          <w:rFonts w:hint="eastAsia" w:ascii="宋体" w:hAnsi="宋体" w:eastAsia="宋体" w:cs="Times New Roman"/>
          <w:szCs w:val="24"/>
        </w:rPr>
        <w:t>深圳市福田区泰然九路天地源盛唐大厦东座1403开标室</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szCs w:val="24"/>
        </w:rPr>
        <w:t>3、递交投标文件截止时间：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rPr>
        <w:t>07月**</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所有投标文件应于</w:t>
      </w:r>
      <w:r>
        <w:rPr>
          <w:rFonts w:hint="eastAsia" w:ascii="宋体" w:hAnsi="宋体" w:eastAsia="宋体" w:cs="Times New Roman"/>
          <w:bCs/>
          <w:szCs w:val="21"/>
        </w:rPr>
        <w:t>投标截止时间</w:t>
      </w:r>
      <w:r>
        <w:rPr>
          <w:rFonts w:hint="eastAsia" w:ascii="宋体" w:hAnsi="宋体" w:eastAsia="宋体" w:cs="Times New Roman"/>
          <w:szCs w:val="21"/>
        </w:rPr>
        <w:t>之前递交，迟交的投标文件将拒绝接收</w:t>
      </w:r>
      <w:r>
        <w:rPr>
          <w:rFonts w:hint="eastAsia" w:ascii="宋体" w:hAnsi="宋体" w:eastAsia="宋体" w:cs="仿宋"/>
          <w:szCs w:val="24"/>
        </w:rPr>
        <w:t>；</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4、开标时间：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rPr>
        <w:t>07月**</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，请投标人代表参加开标仪式</w:t>
      </w:r>
      <w:r>
        <w:rPr>
          <w:rFonts w:hint="eastAsia" w:ascii="宋体" w:hAnsi="宋体" w:eastAsia="宋体" w:cs="Times New Roman"/>
          <w:szCs w:val="24"/>
        </w:rPr>
        <w:t>；</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szCs w:val="24"/>
        </w:rPr>
        <w:t>5、开标地点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深圳市福田区泰然九路天地源盛唐大厦东座1403开标室。</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六、公告期限</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自本公告发布之日起</w:t>
      </w:r>
      <w:r>
        <w:rPr>
          <w:rFonts w:ascii="宋体" w:hAnsi="宋体" w:eastAsia="宋体" w:cs="仿宋"/>
          <w:szCs w:val="24"/>
        </w:rPr>
        <w:t>5</w:t>
      </w:r>
      <w:r>
        <w:rPr>
          <w:rFonts w:hint="eastAsia" w:ascii="宋体" w:hAnsi="宋体" w:eastAsia="宋体" w:cs="仿宋"/>
          <w:szCs w:val="24"/>
        </w:rPr>
        <w:t>个工作日。</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七、其他补充事宜</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仿宋"/>
          <w:szCs w:val="24"/>
        </w:rPr>
        <w:t>1、本项目为网下采购项目。</w:t>
      </w:r>
      <w:r>
        <w:rPr>
          <w:rFonts w:hint="eastAsia" w:ascii="宋体" w:hAnsi="宋体" w:eastAsia="宋体" w:cs="Times New Roman"/>
          <w:szCs w:val="21"/>
        </w:rPr>
        <w:t>凡愿意参加投标的合格投标人，必须备齐以下资料购买招标文件和投标报名：</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）法定代表人证明书原件（加盖公章）；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）法人授权委托证明书原件（加盖公章）；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）法定代表人身份证复印件（加盖公章）；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）被授权人身份证复印件（加盖公章、原件备查）；</w:t>
      </w:r>
    </w:p>
    <w:p>
      <w:pPr>
        <w:widowControl/>
        <w:spacing w:line="360" w:lineRule="auto"/>
        <w:ind w:firstLine="420" w:firstLineChars="200"/>
        <w:jc w:val="left"/>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）《营业执照》或法人证书复印件（加盖公章）</w:t>
      </w:r>
      <w:r>
        <w:rPr>
          <w:rFonts w:hint="eastAsia" w:ascii="宋体" w:hAnsi="宋体" w:eastAsia="宋体" w:cs="宋体"/>
          <w:kern w:val="0"/>
          <w:szCs w:val="24"/>
        </w:rPr>
        <w:t>；</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宋体"/>
          <w:kern w:val="0"/>
          <w:szCs w:val="24"/>
        </w:rPr>
        <w:t>2、</w:t>
      </w:r>
      <w:r>
        <w:rPr>
          <w:rFonts w:ascii="宋体" w:hAnsi="宋体" w:eastAsia="宋体" w:cs="Times New Roman"/>
          <w:szCs w:val="24"/>
        </w:rPr>
        <w:t>答疑事项：</w:t>
      </w:r>
      <w:r>
        <w:rPr>
          <w:rFonts w:hint="eastAsia" w:ascii="宋体" w:hAnsi="宋体" w:eastAsia="宋体" w:cs="Times New Roman"/>
          <w:szCs w:val="24"/>
        </w:rPr>
        <w:t>投标人若有疑问，请于</w:t>
      </w:r>
      <w:r>
        <w:rPr>
          <w:rFonts w:hint="eastAsia" w:ascii="宋体" w:hAnsi="宋体" w:eastAsia="宋体" w:cs="Times New Roman"/>
          <w:b/>
          <w:szCs w:val="24"/>
          <w:u w:val="single"/>
        </w:rPr>
        <w:t>2024年07月**</w:t>
      </w:r>
      <w:r>
        <w:rPr>
          <w:rFonts w:ascii="宋体" w:hAnsi="宋体" w:eastAsia="宋体" w:cs="Times New Roman"/>
          <w:b/>
          <w:szCs w:val="24"/>
          <w:u w:val="single"/>
        </w:rPr>
        <w:t>日1</w:t>
      </w:r>
      <w:r>
        <w:rPr>
          <w:rFonts w:hint="eastAsia" w:ascii="宋体" w:hAnsi="宋体" w:eastAsia="宋体" w:cs="Times New Roman"/>
          <w:b/>
          <w:szCs w:val="24"/>
          <w:u w:val="single"/>
        </w:rPr>
        <w:t>7</w:t>
      </w:r>
      <w:r>
        <w:rPr>
          <w:rFonts w:ascii="宋体" w:hAnsi="宋体" w:eastAsia="宋体" w:cs="Times New Roman"/>
          <w:b/>
          <w:szCs w:val="24"/>
          <w:u w:val="single"/>
        </w:rPr>
        <w:t>:00</w:t>
      </w:r>
      <w:r>
        <w:rPr>
          <w:rFonts w:hint="eastAsia" w:ascii="宋体" w:hAnsi="宋体" w:eastAsia="宋体" w:cs="Times New Roman"/>
          <w:b/>
          <w:szCs w:val="24"/>
        </w:rPr>
        <w:t>（北京时间）</w:t>
      </w:r>
      <w:r>
        <w:rPr>
          <w:rFonts w:ascii="宋体" w:hAnsi="宋体" w:eastAsia="宋体" w:cs="Times New Roman"/>
          <w:szCs w:val="24"/>
        </w:rPr>
        <w:t>前将对</w:t>
      </w:r>
      <w:r>
        <w:rPr>
          <w:rFonts w:hint="eastAsia" w:ascii="宋体" w:hAnsi="宋体" w:eastAsia="宋体" w:cs="Times New Roman"/>
          <w:szCs w:val="24"/>
        </w:rPr>
        <w:t>《招标文件》</w:t>
      </w:r>
      <w:r>
        <w:rPr>
          <w:rFonts w:ascii="宋体" w:hAnsi="宋体" w:eastAsia="宋体" w:cs="Times New Roman"/>
          <w:szCs w:val="24"/>
        </w:rPr>
        <w:t>的疑问</w:t>
      </w:r>
      <w:r>
        <w:rPr>
          <w:rFonts w:hint="eastAsia" w:ascii="宋体" w:hAnsi="宋体" w:eastAsia="宋体" w:cs="Times New Roman"/>
          <w:szCs w:val="24"/>
        </w:rPr>
        <w:t>以书面方式（加盖公章）</w:t>
      </w:r>
      <w:r>
        <w:rPr>
          <w:rFonts w:hint="eastAsia" w:ascii="宋体" w:hAnsi="宋体" w:eastAsia="宋体" w:cs="Times New Roman"/>
          <w:szCs w:val="21"/>
        </w:rPr>
        <w:t>送达我司</w:t>
      </w:r>
      <w:r>
        <w:rPr>
          <w:rFonts w:hint="eastAsia" w:ascii="宋体" w:hAnsi="宋体" w:eastAsia="宋体" w:cs="Times New Roman"/>
          <w:szCs w:val="24"/>
        </w:rPr>
        <w:t>或原件扫描发送至我司邮箱</w:t>
      </w:r>
      <w:r>
        <w:rPr>
          <w:rFonts w:hint="eastAsia" w:ascii="宋体" w:hAnsi="宋体" w:eastAsia="宋体" w:cs="Times New Roman"/>
          <w:szCs w:val="21"/>
        </w:rPr>
        <w:t>，逾期不予受理。</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3、凡购买《招标文件》后决定不参加投标的投标人，请在开标前</w:t>
      </w:r>
      <w:r>
        <w:rPr>
          <w:rFonts w:hint="eastAsia" w:ascii="宋体" w:hAnsi="宋体" w:eastAsia="宋体" w:cs="Times New Roman"/>
          <w:bCs/>
          <w:szCs w:val="24"/>
          <w:u w:val="single"/>
        </w:rPr>
        <w:t>3</w:t>
      </w:r>
      <w:r>
        <w:rPr>
          <w:rFonts w:hint="eastAsia" w:ascii="宋体" w:hAnsi="宋体" w:eastAsia="宋体" w:cs="Times New Roman"/>
          <w:szCs w:val="24"/>
        </w:rPr>
        <w:t>日以书面形式通知招标代理机构。</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4、投标人有义务在招标活动期间浏览招标代理机构网站（www.gxsz.com），采购人在以上网站上公布的与本次招标项目有关的信息视为已送达各投标人。采购人恕不再行电话通知各投标人。</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w:t>
      </w:r>
      <w:r>
        <w:rPr>
          <w:rFonts w:hint="eastAsia" w:ascii="宋体" w:hAnsi="宋体" w:eastAsia="宋体" w:cs="Times New Roman"/>
          <w:szCs w:val="24"/>
        </w:rPr>
        <w:t>招标信息发布网站：中国政府采购网（</w:t>
      </w:r>
      <w:r>
        <w:rPr>
          <w:rFonts w:ascii="宋体" w:hAnsi="宋体" w:eastAsia="宋体" w:cs="Times New Roman"/>
          <w:szCs w:val="24"/>
        </w:rPr>
        <w:t>http://www.ccgp.gov.cn/</w:t>
      </w:r>
      <w:r>
        <w:rPr>
          <w:rFonts w:hint="eastAsia" w:ascii="宋体" w:hAnsi="宋体" w:eastAsia="宋体" w:cs="Times New Roman"/>
          <w:szCs w:val="24"/>
        </w:rPr>
        <w:t>）、深圳交易集团有限公司网（http://www.szggzy.com/）、</w:t>
      </w:r>
      <w:r>
        <w:rPr>
          <w:rFonts w:hint="eastAsia" w:ascii="宋体" w:hAnsi="宋体" w:eastAsia="宋体" w:cs="Times New Roman"/>
          <w:szCs w:val="21"/>
        </w:rPr>
        <w:t>深圳高星项目管理有限公司</w:t>
      </w:r>
      <w:r>
        <w:rPr>
          <w:rFonts w:hint="eastAsia" w:ascii="宋体" w:hAnsi="宋体" w:eastAsia="宋体" w:cs="Times New Roman"/>
          <w:szCs w:val="24"/>
        </w:rPr>
        <w:t>（www.gxsz.com）。</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八、对本次招标提出询问，请按以下方式联系。</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1</w:t>
      </w:r>
      <w:r>
        <w:rPr>
          <w:rFonts w:hint="eastAsia" w:ascii="宋体" w:hAnsi="宋体" w:eastAsia="宋体" w:cs="仿宋"/>
          <w:b/>
          <w:szCs w:val="24"/>
        </w:rPr>
        <w:t>、采购人信息</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4"/>
        </w:rPr>
        <w:t>深圳市住房和建设局</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深圳市福田区振华路8号设计大厦7-9楼</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2</w:t>
      </w:r>
      <w:r>
        <w:rPr>
          <w:rFonts w:hint="eastAsia" w:ascii="宋体" w:hAnsi="宋体" w:eastAsia="宋体" w:cs="仿宋"/>
          <w:b/>
          <w:szCs w:val="24"/>
        </w:rPr>
        <w:t>、采购代理机构信息</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1"/>
        </w:rPr>
        <w:t>深圳高星项目管理有限公司</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深圳市福田区泰然九路天地源盛唐大厦东座1403</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联系方式：</w:t>
      </w:r>
      <w:r>
        <w:rPr>
          <w:rFonts w:ascii="宋体" w:hAnsi="宋体" w:eastAsia="宋体" w:cs="Times New Roman"/>
          <w:szCs w:val="24"/>
        </w:rPr>
        <w:t>0755-8891822</w:t>
      </w:r>
      <w:r>
        <w:rPr>
          <w:rFonts w:hint="eastAsia" w:ascii="宋体" w:hAnsi="宋体" w:eastAsia="宋体" w:cs="Times New Roman"/>
          <w:szCs w:val="24"/>
        </w:rPr>
        <w:t>6</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3</w:t>
      </w:r>
      <w:r>
        <w:rPr>
          <w:rFonts w:hint="eastAsia" w:ascii="宋体" w:hAnsi="宋体" w:eastAsia="宋体" w:cs="仿宋"/>
          <w:b/>
          <w:szCs w:val="24"/>
        </w:rPr>
        <w:t>、项目联系方式</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 xml:space="preserve">项目联系人：陈工 </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电　话：0755-88918226</w:t>
      </w:r>
    </w:p>
    <w:p>
      <w:pPr>
        <w:pStyle w:val="9"/>
      </w:pPr>
    </w:p>
    <w:p>
      <w:pPr>
        <w:widowControl/>
        <w:spacing w:line="360" w:lineRule="auto"/>
        <w:ind w:firstLine="420" w:firstLineChars="200"/>
        <w:jc w:val="left"/>
        <w:rPr>
          <w:rFonts w:ascii="宋体" w:hAnsi="宋体" w:eastAsia="宋体" w:cs="仿宋"/>
          <w:szCs w:val="24"/>
        </w:rPr>
      </w:pPr>
    </w:p>
    <w:p>
      <w:pPr>
        <w:widowControl/>
        <w:spacing w:line="360" w:lineRule="auto"/>
        <w:ind w:firstLine="420" w:firstLineChars="200"/>
        <w:jc w:val="right"/>
        <w:rPr>
          <w:rFonts w:ascii="宋体" w:hAnsi="宋体" w:eastAsia="宋体" w:cs="仿宋"/>
          <w:szCs w:val="24"/>
        </w:rPr>
      </w:pPr>
      <w:r>
        <w:rPr>
          <w:rFonts w:hint="eastAsia" w:ascii="宋体" w:hAnsi="宋体" w:eastAsia="宋体" w:cs="仿宋"/>
          <w:szCs w:val="24"/>
        </w:rPr>
        <w:t>深圳高星项目管理有限公司</w:t>
      </w:r>
    </w:p>
    <w:p>
      <w:pPr>
        <w:wordWrap w:val="0"/>
        <w:adjustRightInd w:val="0"/>
        <w:spacing w:line="360" w:lineRule="auto"/>
        <w:jc w:val="right"/>
        <w:rPr>
          <w:rFonts w:ascii="宋体" w:hAnsi="宋体" w:eastAsia="宋体" w:cs="Times New Roman"/>
          <w:szCs w:val="24"/>
        </w:rPr>
      </w:pPr>
      <w:r>
        <w:rPr>
          <w:rFonts w:hint="eastAsia" w:ascii="宋体" w:hAnsi="宋体" w:eastAsia="宋体" w:cs="仿宋"/>
          <w:szCs w:val="24"/>
        </w:rPr>
        <w:t>2024年07月**日</w:t>
      </w:r>
    </w:p>
    <w:p>
      <w:pPr>
        <w:spacing w:line="360" w:lineRule="auto"/>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r>
        <w:rPr>
          <w:rFonts w:hint="eastAsia" w:ascii="宋体" w:hAnsi="宋体" w:eastAsia="宋体" w:cs="Times New Roman"/>
          <w:b/>
          <w:bCs/>
          <w:kern w:val="44"/>
          <w:sz w:val="72"/>
          <w:szCs w:val="72"/>
        </w:rPr>
        <w:t>第二册专用条款</w:t>
      </w:r>
      <w:bookmarkEnd w:id="292"/>
    </w:p>
    <w:p>
      <w:pPr>
        <w:keepNext/>
        <w:keepLines/>
        <w:spacing w:line="360" w:lineRule="auto"/>
        <w:jc w:val="center"/>
        <w:textAlignment w:val="baseline"/>
        <w:outlineLvl w:val="1"/>
        <w:rPr>
          <w:rFonts w:ascii="宋体" w:hAnsi="宋体" w:eastAsia="宋体" w:cs="Arial"/>
          <w:b/>
          <w:bCs/>
          <w:kern w:val="0"/>
          <w:sz w:val="28"/>
          <w:szCs w:val="28"/>
        </w:rPr>
      </w:pPr>
      <w:bookmarkStart w:id="293" w:name="_Toc440183407"/>
      <w:r>
        <w:rPr>
          <w:rFonts w:ascii="宋体" w:hAnsi="宋体" w:eastAsia="宋体" w:cs="Times New Roman"/>
          <w:szCs w:val="24"/>
        </w:rPr>
        <w:br w:type="page"/>
      </w:r>
      <w:bookmarkStart w:id="294" w:name="_Toc129094579"/>
      <w:r>
        <w:rPr>
          <w:rFonts w:ascii="宋体" w:hAnsi="宋体" w:eastAsia="宋体" w:cs="Arial"/>
          <w:b/>
          <w:bCs/>
          <w:kern w:val="0"/>
          <w:sz w:val="28"/>
          <w:szCs w:val="28"/>
        </w:rPr>
        <w:t>投标人须知前附表</w:t>
      </w:r>
      <w:bookmarkEnd w:id="293"/>
      <w:bookmarkEnd w:id="294"/>
    </w:p>
    <w:tbl>
      <w:tblPr>
        <w:tblStyle w:val="44"/>
        <w:tblW w:w="52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2081"/>
        <w:gridCol w:w="6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条款号</w:t>
            </w:r>
          </w:p>
        </w:tc>
        <w:tc>
          <w:tcPr>
            <w:tcW w:w="1103"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条款名称</w:t>
            </w:r>
          </w:p>
        </w:tc>
        <w:tc>
          <w:tcPr>
            <w:tcW w:w="3419"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采购人</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名称：深圳市住房和建设局</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地址：深圳市福田区振华路8号设计大厦7-9楼</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联系人：雷先生</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电话：</w:t>
            </w:r>
            <w:r>
              <w:rPr>
                <w:rFonts w:ascii="宋体" w:hAnsi="宋体" w:eastAsia="宋体" w:cs="宋体"/>
                <w:spacing w:val="1"/>
                <w:kern w:val="0"/>
                <w:szCs w:val="21"/>
              </w:rPr>
              <w:t>0755-</w:t>
            </w:r>
            <w:r>
              <w:rPr>
                <w:rFonts w:hint="eastAsia" w:ascii="宋体" w:hAnsi="宋体" w:eastAsia="宋体" w:cs="宋体"/>
                <w:spacing w:val="1"/>
                <w:kern w:val="0"/>
                <w:szCs w:val="21"/>
              </w:rPr>
              <w:t>83780012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招标代理机构</w:t>
            </w:r>
          </w:p>
        </w:tc>
        <w:tc>
          <w:tcPr>
            <w:tcW w:w="3419" w:type="pct"/>
            <w:vAlign w:val="center"/>
          </w:tcPr>
          <w:p>
            <w:pPr>
              <w:autoSpaceDE w:val="0"/>
              <w:autoSpaceDN w:val="0"/>
              <w:spacing w:line="360" w:lineRule="auto"/>
              <w:rPr>
                <w:rFonts w:ascii="宋体" w:hAnsi="宋体" w:eastAsia="宋体" w:cs="Times New Roman"/>
                <w:bCs/>
                <w:szCs w:val="21"/>
              </w:rPr>
            </w:pPr>
            <w:r>
              <w:rPr>
                <w:rFonts w:hint="eastAsia" w:ascii="宋体" w:hAnsi="宋体" w:eastAsia="宋体" w:cs="Times New Roman"/>
                <w:bCs/>
                <w:szCs w:val="21"/>
              </w:rPr>
              <w:t>名称：深圳高星项目管理有限公司</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联系地址：深圳市福田区泰然九路天地源盛唐大厦东座1403</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联系人：陈工</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电话：</w:t>
            </w:r>
            <w:r>
              <w:rPr>
                <w:rFonts w:ascii="宋体" w:hAnsi="宋体" w:eastAsia="宋体" w:cs="宋体"/>
                <w:spacing w:val="1"/>
                <w:kern w:val="0"/>
                <w:szCs w:val="21"/>
              </w:rPr>
              <w:t>0755-8891822</w:t>
            </w:r>
            <w:r>
              <w:rPr>
                <w:rFonts w:hint="eastAsia" w:ascii="宋体" w:hAnsi="宋体" w:eastAsia="宋体" w:cs="宋体"/>
                <w:spacing w:val="1"/>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项目名称</w:t>
            </w:r>
          </w:p>
        </w:tc>
        <w:tc>
          <w:tcPr>
            <w:tcW w:w="3419" w:type="pct"/>
            <w:vAlign w:val="center"/>
          </w:tcPr>
          <w:p>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住宅小区电动自行车充换电设施建设推广及规范化管理技术服务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项目地点</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资金情况</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ascii="宋体" w:hAnsi="宋体" w:eastAsia="宋体" w:cs="Arial"/>
                <w:bCs/>
                <w:kern w:val="0"/>
                <w:szCs w:val="21"/>
              </w:rPr>
              <w:t>审查方式</w:t>
            </w:r>
          </w:p>
        </w:tc>
        <w:tc>
          <w:tcPr>
            <w:tcW w:w="3419" w:type="pct"/>
            <w:vAlign w:val="center"/>
          </w:tcPr>
          <w:p>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资格</w:t>
            </w:r>
            <w:r>
              <w:rPr>
                <w:rFonts w:hint="eastAsia" w:ascii="宋体" w:hAnsi="宋体" w:eastAsia="宋体" w:cs="Arial"/>
                <w:bCs/>
                <w:kern w:val="0"/>
                <w:szCs w:val="21"/>
              </w:rPr>
              <w:t>后</w:t>
            </w:r>
            <w:r>
              <w:rPr>
                <w:rFonts w:ascii="宋体" w:hAnsi="宋体" w:eastAsia="宋体" w:cs="Arial"/>
                <w:bCs/>
                <w:kern w:val="0"/>
                <w:szCs w:val="21"/>
              </w:rPr>
              <w:t>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投标人资格条件</w:t>
            </w:r>
          </w:p>
        </w:tc>
        <w:tc>
          <w:tcPr>
            <w:tcW w:w="3419" w:type="pct"/>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是否接受联合体资格预审申请</w:t>
            </w:r>
          </w:p>
        </w:tc>
        <w:tc>
          <w:tcPr>
            <w:tcW w:w="3419" w:type="pct"/>
            <w:vAlign w:val="center"/>
          </w:tcPr>
          <w:p>
            <w:pPr>
              <w:autoSpaceDE w:val="0"/>
              <w:autoSpaceDN w:val="0"/>
              <w:spacing w:line="360" w:lineRule="auto"/>
              <w:jc w:val="left"/>
              <w:rPr>
                <w:rFonts w:ascii="宋体" w:hAnsi="宋体" w:eastAsia="宋体" w:cs="宋体"/>
                <w:kern w:val="0"/>
                <w:szCs w:val="21"/>
              </w:rPr>
            </w:pPr>
            <w:r>
              <w:rPr>
                <w:rFonts w:ascii="宋体" w:hAnsi="宋体" w:eastAsia="宋体" w:cs="Times New Roman"/>
                <w:kern w:val="0"/>
                <w:szCs w:val="21"/>
              </w:rPr>
              <w:t>■</w:t>
            </w:r>
            <w:r>
              <w:rPr>
                <w:rFonts w:hint="eastAsia" w:ascii="宋体" w:hAnsi="宋体" w:eastAsia="宋体" w:cs="宋体"/>
                <w:kern w:val="0"/>
                <w:szCs w:val="21"/>
              </w:rPr>
              <w:t>不接受</w:t>
            </w:r>
          </w:p>
          <w:p>
            <w:pPr>
              <w:autoSpaceDE w:val="0"/>
              <w:autoSpaceDN w:val="0"/>
              <w:spacing w:line="360" w:lineRule="auto"/>
              <w:rPr>
                <w:rFonts w:ascii="宋体" w:hAnsi="宋体" w:eastAsia="宋体" w:cs="宋体"/>
                <w:spacing w:val="1"/>
                <w:kern w:val="0"/>
                <w:szCs w:val="21"/>
              </w:rPr>
            </w:pPr>
            <w:r>
              <w:rPr>
                <w:rFonts w:ascii="宋体" w:hAnsi="宋体" w:eastAsia="宋体" w:cs="Times New Roman"/>
                <w:kern w:val="0"/>
                <w:szCs w:val="21"/>
              </w:rPr>
              <w:t>□</w:t>
            </w:r>
            <w:r>
              <w:rPr>
                <w:rFonts w:hint="eastAsia" w:ascii="宋体" w:hAnsi="宋体" w:eastAsia="宋体" w:cs="宋体"/>
                <w:kern w:val="0"/>
                <w:szCs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交货期/服务期限</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77" w:type="pct"/>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spacing w:line="360" w:lineRule="auto"/>
              <w:jc w:val="left"/>
              <w:rPr>
                <w:rFonts w:ascii="宋体" w:hAnsi="宋体" w:eastAsia="宋体" w:cs="Arial"/>
                <w:bCs/>
                <w:kern w:val="0"/>
                <w:szCs w:val="21"/>
              </w:rPr>
            </w:pPr>
            <w:r>
              <w:rPr>
                <w:rFonts w:hint="eastAsia" w:ascii="宋体" w:hAnsi="宋体" w:eastAsia="宋体" w:cs="宋体"/>
                <w:spacing w:val="1"/>
                <w:kern w:val="0"/>
                <w:szCs w:val="21"/>
              </w:rPr>
              <w:t>投标人要求澄清招标文件的截止时间</w:t>
            </w:r>
          </w:p>
        </w:tc>
        <w:tc>
          <w:tcPr>
            <w:tcW w:w="3419" w:type="pct"/>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财政预算限额</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投标报价</w:t>
            </w:r>
          </w:p>
        </w:tc>
        <w:tc>
          <w:tcPr>
            <w:tcW w:w="3419" w:type="pct"/>
            <w:tcBorders>
              <w:top w:val="single" w:color="auto" w:sz="4" w:space="0"/>
              <w:bottom w:val="single" w:color="auto" w:sz="4" w:space="0"/>
            </w:tcBorders>
            <w:vAlign w:val="center"/>
          </w:tcPr>
          <w:p>
            <w:pPr>
              <w:tabs>
                <w:tab w:val="left" w:pos="72"/>
              </w:tabs>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报价采用的币种</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Arial"/>
                <w:bCs/>
                <w:kern w:val="0"/>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投标有效期</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从投标截止之日起 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投标保证金</w:t>
            </w:r>
          </w:p>
        </w:tc>
        <w:tc>
          <w:tcPr>
            <w:tcW w:w="3419" w:type="pct"/>
            <w:tcBorders>
              <w:top w:val="single" w:color="auto" w:sz="4" w:space="0"/>
              <w:bottom w:val="single" w:color="auto" w:sz="4" w:space="0"/>
            </w:tcBorders>
            <w:vAlign w:val="center"/>
          </w:tcPr>
          <w:p>
            <w:pPr>
              <w:tabs>
                <w:tab w:val="left" w:pos="498"/>
              </w:tabs>
              <w:spacing w:line="360" w:lineRule="auto"/>
              <w:rPr>
                <w:rFonts w:ascii="宋体" w:hAnsi="宋体" w:eastAsia="宋体" w:cs="Times New Roman"/>
                <w:szCs w:val="21"/>
              </w:rPr>
            </w:pPr>
            <w:r>
              <w:rPr>
                <w:rFonts w:hint="eastAsia" w:ascii="宋体" w:hAnsi="宋体" w:eastAsia="宋体" w:cs="Arial"/>
                <w:bCs/>
                <w:kern w:val="0"/>
                <w:szCs w:val="21"/>
              </w:rPr>
              <w:t>本项目无须缴纳投标保证金。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付款方法和条件</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是否允许提交备选方案</w:t>
            </w:r>
          </w:p>
        </w:tc>
        <w:tc>
          <w:tcPr>
            <w:tcW w:w="3419"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w:t>
            </w:r>
            <w:r>
              <w:rPr>
                <w:rFonts w:ascii="宋体" w:hAnsi="宋体" w:eastAsia="宋体" w:cs="Arial"/>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投标文件份数</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Times New Roman"/>
                <w:szCs w:val="21"/>
              </w:rPr>
              <w:t>正本1份、副本5份（附电子光盘，内容采用PDF格式）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装订及密封要求</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见通用条款 22条规定。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hint="eastAsia" w:ascii="宋体" w:hAnsi="宋体" w:eastAsia="宋体" w:cs="Times New Roman"/>
                <w:szCs w:val="21"/>
              </w:rPr>
              <w:t>递交的投标文件时间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Times New Roman"/>
                <w:szCs w:val="21"/>
              </w:rPr>
            </w:pPr>
            <w:r>
              <w:rPr>
                <w:rFonts w:hint="eastAsia" w:ascii="宋体" w:hAnsi="宋体" w:eastAsia="宋体" w:cs="Times New Roman"/>
                <w:szCs w:val="21"/>
              </w:rPr>
              <w:t>投标截止时间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hint="eastAsia" w:ascii="宋体" w:hAnsi="宋体" w:eastAsia="宋体" w:cs="宋体"/>
                <w:spacing w:val="1"/>
                <w:kern w:val="0"/>
                <w:szCs w:val="21"/>
              </w:rPr>
              <w:t>递交</w:t>
            </w:r>
            <w:r>
              <w:rPr>
                <w:rFonts w:hint="eastAsia" w:ascii="宋体" w:hAnsi="宋体" w:eastAsia="宋体" w:cs="Times New Roman"/>
                <w:szCs w:val="21"/>
              </w:rPr>
              <w:t>投标文件</w:t>
            </w:r>
            <w:r>
              <w:rPr>
                <w:rFonts w:hint="eastAsia" w:ascii="宋体" w:hAnsi="宋体" w:eastAsia="宋体" w:cs="宋体"/>
                <w:spacing w:val="1"/>
                <w:kern w:val="0"/>
                <w:szCs w:val="21"/>
              </w:rPr>
              <w:t>地点</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深圳市福田区泰然九路天地源盛唐大厦东座1403开标室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开标地点</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rPr>
                <w:rFonts w:ascii="宋体" w:hAnsi="宋体" w:eastAsia="宋体" w:cs="Times New Roman"/>
                <w:bCs/>
                <w:szCs w:val="21"/>
              </w:rPr>
            </w:pPr>
            <w:r>
              <w:rPr>
                <w:rFonts w:hint="eastAsia" w:ascii="宋体" w:hAnsi="宋体" w:eastAsia="宋体" w:cs="Times New Roman"/>
                <w:bCs/>
                <w:szCs w:val="21"/>
              </w:rPr>
              <w:t>评标方法</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■综合评分法；口定性评审法；口最低价法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中标公示和通知</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ascii="宋体" w:hAnsi="宋体" w:eastAsia="宋体" w:cs="Arial"/>
                <w:bCs/>
                <w:kern w:val="0"/>
                <w:szCs w:val="21"/>
              </w:rPr>
              <w:t>评标工作结束后，招标代理机构将在发布招标公告的媒体公示评标结果，公示期为3个</w:t>
            </w:r>
            <w:r>
              <w:rPr>
                <w:rFonts w:hint="eastAsia" w:ascii="宋体" w:hAnsi="宋体" w:eastAsia="宋体" w:cs="Arial"/>
                <w:bCs/>
                <w:kern w:val="0"/>
                <w:szCs w:val="21"/>
              </w:rPr>
              <w:t>日历天</w:t>
            </w:r>
            <w:r>
              <w:rPr>
                <w:rFonts w:ascii="宋体" w:hAnsi="宋体" w:eastAsia="宋体" w:cs="Arial"/>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招标代理</w:t>
            </w:r>
            <w:r>
              <w:rPr>
                <w:rFonts w:ascii="宋体" w:hAnsi="宋体" w:eastAsia="宋体" w:cs="Times New Roman"/>
                <w:szCs w:val="21"/>
              </w:rPr>
              <w:t>服务费</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w:t>
            </w:r>
            <w:r>
              <w:rPr>
                <w:rFonts w:hint="eastAsia" w:ascii="宋体" w:hAnsi="宋体"/>
                <w:szCs w:val="21"/>
              </w:rPr>
              <w:t>金额为计算基数，根据《深圳市财政委员会关于规范深圳市社会采购代理机构的管理有关事项的补充通知（深财购[2018]27号）》文件相关规定，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w:t>
            </w:r>
            <w:r>
              <w:rPr>
                <w:rFonts w:hint="eastAsia" w:ascii="宋体" w:hAnsi="宋体"/>
                <w:b/>
                <w:bCs/>
                <w:color w:val="FF0000"/>
                <w:szCs w:val="21"/>
                <w:highlight w:val="yellow"/>
              </w:rPr>
              <w:t>招标代理服务费最低按人民币陆仟元整计取</w:t>
            </w:r>
            <w:r>
              <w:rPr>
                <w:rFonts w:hint="eastAsia" w:ascii="宋体" w:hAnsi="宋体"/>
                <w:szCs w:val="21"/>
              </w:rPr>
              <w:t>）</w:t>
            </w:r>
            <w:r>
              <w:rPr>
                <w:rFonts w:hint="eastAsia" w:ascii="宋体" w:hAnsi="宋体" w:eastAsia="宋体" w:cs="Times New Roman"/>
                <w:szCs w:val="21"/>
              </w:rPr>
              <w:t>。</w:t>
            </w:r>
          </w:p>
          <w:p>
            <w:pPr>
              <w:spacing w:line="360" w:lineRule="auto"/>
              <w:rPr>
                <w:rFonts w:ascii="宋体" w:hAnsi="宋体" w:eastAsia="宋体" w:cs="Times New Roman"/>
                <w:szCs w:val="21"/>
              </w:rPr>
            </w:pPr>
            <w:r>
              <w:rPr>
                <w:rFonts w:hint="eastAsia" w:ascii="宋体" w:hAnsi="宋体" w:eastAsia="宋体" w:cs="Times New Roman"/>
                <w:szCs w:val="21"/>
              </w:rPr>
              <w:t>招标代理服务费采用转账的方式，账户信息如下：</w:t>
            </w:r>
          </w:p>
          <w:p>
            <w:pPr>
              <w:spacing w:line="360" w:lineRule="auto"/>
              <w:rPr>
                <w:rFonts w:ascii="宋体" w:hAnsi="宋体" w:eastAsia="宋体" w:cs="Times New Roman"/>
                <w:szCs w:val="21"/>
              </w:rPr>
            </w:pPr>
            <w:r>
              <w:rPr>
                <w:rFonts w:hint="eastAsia" w:ascii="宋体" w:hAnsi="宋体" w:eastAsia="宋体" w:cs="Times New Roman"/>
                <w:szCs w:val="21"/>
              </w:rPr>
              <w:t>户名：深圳高星项目管理有限公司</w:t>
            </w:r>
          </w:p>
          <w:p>
            <w:pPr>
              <w:spacing w:line="360" w:lineRule="auto"/>
              <w:rPr>
                <w:rFonts w:ascii="宋体" w:hAnsi="宋体" w:eastAsia="宋体" w:cs="Times New Roman"/>
                <w:szCs w:val="21"/>
              </w:rPr>
            </w:pPr>
            <w:r>
              <w:rPr>
                <w:rFonts w:hint="eastAsia" w:ascii="宋体" w:hAnsi="宋体" w:eastAsia="宋体" w:cs="Times New Roman"/>
                <w:szCs w:val="21"/>
              </w:rPr>
              <w:t>账号：</w:t>
            </w:r>
            <w:r>
              <w:rPr>
                <w:rFonts w:ascii="宋体" w:hAnsi="宋体" w:eastAsia="宋体" w:cs="Times New Roman"/>
                <w:szCs w:val="21"/>
              </w:rPr>
              <w:t>755943550310901</w:t>
            </w:r>
          </w:p>
          <w:p>
            <w:pPr>
              <w:spacing w:line="360" w:lineRule="auto"/>
              <w:rPr>
                <w:rFonts w:ascii="宋体" w:hAnsi="宋体" w:eastAsia="宋体" w:cs="Times New Roman"/>
                <w:szCs w:val="21"/>
              </w:rPr>
            </w:pPr>
            <w:r>
              <w:rPr>
                <w:rFonts w:hint="eastAsia" w:ascii="宋体" w:hAnsi="宋体" w:eastAsia="宋体" w:cs="Times New Roman"/>
                <w:szCs w:val="21"/>
              </w:rPr>
              <w:t>开户行：招商银行股份有限公司深圳车公庙支行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Times New Roman"/>
                <w:snapToGrid w:val="0"/>
                <w:kern w:val="0"/>
                <w:szCs w:val="21"/>
              </w:rPr>
            </w:pPr>
            <w:r>
              <w:rPr>
                <w:rFonts w:hint="eastAsia" w:ascii="宋体" w:hAnsi="宋体" w:eastAsia="宋体" w:cs="Times New Roman"/>
                <w:snapToGrid w:val="0"/>
                <w:kern w:val="0"/>
                <w:szCs w:val="21"/>
              </w:rPr>
              <w:t>履约担保</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按招标人及合同要求提交</w:t>
            </w:r>
          </w:p>
          <w:p>
            <w:pPr>
              <w:spacing w:line="360" w:lineRule="auto"/>
              <w:rPr>
                <w:rFonts w:ascii="宋体" w:hAnsi="宋体" w:eastAsia="宋体" w:cs="Times New Roman"/>
                <w:szCs w:val="21"/>
              </w:rPr>
            </w:pPr>
            <w:r>
              <w:rPr>
                <w:rFonts w:hint="eastAsia" w:ascii="宋体" w:hAnsi="宋体" w:eastAsia="宋体" w:cs="Times New Roman"/>
                <w:szCs w:val="21"/>
              </w:rPr>
              <w:t>担保金额：为中标价的% 或</w:t>
            </w:r>
            <w:r>
              <w:rPr>
                <w:rFonts w:hint="eastAsia" w:ascii="宋体" w:hAnsi="宋体" w:eastAsia="宋体" w:cs="Times New Roman"/>
                <w:szCs w:val="21"/>
                <w:u w:val="single"/>
              </w:rPr>
              <w:t xml:space="preserve"> / </w:t>
            </w:r>
            <w:r>
              <w:rPr>
                <w:rFonts w:hint="eastAsia" w:ascii="宋体" w:hAnsi="宋体" w:eastAsia="宋体" w:cs="Times New Roman"/>
                <w:szCs w:val="21"/>
              </w:rPr>
              <w:t>万元</w:t>
            </w:r>
          </w:p>
          <w:p>
            <w:pPr>
              <w:spacing w:line="360" w:lineRule="auto"/>
              <w:jc w:val="left"/>
              <w:rPr>
                <w:rFonts w:ascii="宋体" w:hAnsi="宋体" w:eastAsia="宋体" w:cs="Times New Roman"/>
                <w:snapToGrid w:val="0"/>
                <w:kern w:val="0"/>
                <w:szCs w:val="21"/>
              </w:rPr>
            </w:pPr>
            <w:r>
              <w:rPr>
                <w:rFonts w:hint="eastAsia" w:ascii="宋体" w:hAnsi="宋体" w:eastAsia="宋体" w:cs="Times New Roman"/>
                <w:szCs w:val="21"/>
              </w:rPr>
              <w:t>担保提交时间：收到中标通知书后，并在签订合同前提交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是否退还投标文件</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ascii="宋体" w:hAnsi="宋体" w:eastAsia="宋体" w:cs="Arial"/>
                <w:bCs/>
                <w:kern w:val="0"/>
                <w:szCs w:val="21"/>
              </w:rPr>
              <w:sym w:font="Wingdings 2" w:char="F052"/>
            </w:r>
            <w:r>
              <w:rPr>
                <w:rFonts w:ascii="宋体" w:hAnsi="宋体" w:eastAsia="宋体" w:cs="Arial"/>
                <w:bCs/>
                <w:kern w:val="0"/>
                <w:szCs w:val="21"/>
              </w:rPr>
              <w:t>否，所有响应招标文件要求合格投标人的投标文件包括随文件同时递交的图纸、</w:t>
            </w:r>
            <w:r>
              <w:rPr>
                <w:rFonts w:hint="eastAsia" w:ascii="宋体" w:hAnsi="宋体" w:eastAsia="宋体" w:cs="Arial"/>
                <w:bCs/>
                <w:kern w:val="0"/>
                <w:szCs w:val="21"/>
              </w:rPr>
              <w:t>电子文件</w:t>
            </w:r>
            <w:r>
              <w:rPr>
                <w:rFonts w:ascii="宋体" w:hAnsi="宋体" w:eastAsia="宋体" w:cs="Arial"/>
                <w:bCs/>
                <w:kern w:val="0"/>
                <w:szCs w:val="21"/>
              </w:rPr>
              <w:t>等附件均不予退回。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Arial"/>
                <w:bCs/>
                <w:kern w:val="0"/>
                <w:szCs w:val="21"/>
              </w:rPr>
              <w:t>现场踏勘</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Arial"/>
                <w:bCs/>
                <w:kern w:val="0"/>
                <w:szCs w:val="21"/>
              </w:rPr>
              <w:t>是否允许替代方案</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现场演示（答辩）</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解释权：本招标文件由招标代理机构负责解释，最终解释权归采购人所有。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采购人补充的约定内容：无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8"/>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本项目所属行业：其他未列明行业。</w:t>
            </w:r>
          </w:p>
        </w:tc>
      </w:tr>
    </w:tbl>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44"/>
          <w:szCs w:val="44"/>
        </w:rPr>
      </w:pPr>
      <w:bookmarkStart w:id="295" w:name="_Toc129094581"/>
      <w:bookmarkStart w:id="296" w:name="_Toc336262104"/>
      <w:bookmarkStart w:id="297" w:name="_Toc308613868"/>
      <w:r>
        <w:rPr>
          <w:rFonts w:hint="eastAsia" w:ascii="宋体" w:hAnsi="宋体" w:eastAsia="宋体" w:cs="Times New Roman"/>
          <w:b/>
          <w:bCs/>
          <w:kern w:val="44"/>
          <w:sz w:val="44"/>
          <w:szCs w:val="44"/>
        </w:rPr>
        <w:t xml:space="preserve">第五部分  </w:t>
      </w:r>
      <w:r>
        <w:fldChar w:fldCharType="begin"/>
      </w:r>
      <w:r>
        <w:instrText xml:space="preserve"> HYPERLINK \l "_Toc488762883" </w:instrText>
      </w:r>
      <w:r>
        <w:fldChar w:fldCharType="separate"/>
      </w:r>
      <w:r>
        <w:rPr>
          <w:rFonts w:hint="eastAsia" w:ascii="宋体" w:hAnsi="宋体" w:eastAsia="宋体" w:cs="Times New Roman"/>
          <w:b/>
          <w:bCs/>
          <w:kern w:val="44"/>
          <w:sz w:val="44"/>
          <w:szCs w:val="44"/>
        </w:rPr>
        <w:t>招标项目需求</w:t>
      </w:r>
      <w:bookmarkEnd w:id="295"/>
      <w:r>
        <w:rPr>
          <w:rFonts w:hint="eastAsia" w:ascii="宋体" w:hAnsi="宋体" w:eastAsia="宋体" w:cs="Times New Roman"/>
          <w:b/>
          <w:bCs/>
          <w:kern w:val="44"/>
          <w:sz w:val="44"/>
          <w:szCs w:val="44"/>
        </w:rPr>
        <w:fldChar w:fldCharType="end"/>
      </w:r>
    </w:p>
    <w:p>
      <w:pPr>
        <w:spacing w:line="360" w:lineRule="auto"/>
        <w:rPr>
          <w:rFonts w:ascii="宋体" w:hAnsi="宋体" w:eastAsia="宋体" w:cs="Times New Roman"/>
          <w:b/>
          <w:szCs w:val="24"/>
        </w:rPr>
      </w:pPr>
      <w:bookmarkStart w:id="298" w:name="_Toc266949377"/>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一、项目概况</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根据深圳市公安交警局、深圳市消防救援支队及各区政府等各方数据，截至2023年12月，我市电动自行车总量规模约500万辆，其中，合标车约350万辆，超标车约150万辆；合标车中已上牌约318万辆，未上牌约32万辆；已上牌的合标车中普通牌照(白牌)约312.1万辆，民生行业专用牌照(蓝牌)约6.2万辆。</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2024年6月，深圳市交通运输局牵头制定了《实施方案》，深圳市住房和建设局需牵头督促物业服务企业推进既有小区增设充换电设施，并督促物业服务企业按照合同约定对服务区域内电动自行车堵塞占用疏散通道、安全出口、“进楼入户”“人车同屋”“飞线充电”等违规行为及时采取措施制止。</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为加快推进既有住宅小区增设充电设施，切实加强我市既有小区电动自行车停放充电场所消防安全管理，建立科学、全面的制度保障体系，降低电动自行车消防安全火灾风险，现急需委托第三方技术服务机构予以支撑，协助开展相关工作。</w:t>
      </w:r>
    </w:p>
    <w:p>
      <w:pPr>
        <w:spacing w:line="360" w:lineRule="auto"/>
        <w:ind w:firstLine="481" w:firstLineChars="200"/>
        <w:outlineLvl w:val="1"/>
        <w:rPr>
          <w:rFonts w:ascii="仿宋" w:hAnsi="仿宋" w:eastAsia="仿宋" w:cs="仿宋"/>
          <w:b/>
          <w:sz w:val="24"/>
          <w:szCs w:val="24"/>
        </w:rPr>
      </w:pPr>
    </w:p>
    <w:p>
      <w:pPr>
        <w:spacing w:line="360" w:lineRule="auto"/>
        <w:outlineLvl w:val="1"/>
        <w:rPr>
          <w:rFonts w:ascii="宋体" w:hAnsi="宋体" w:eastAsia="宋体" w:cs="Times New Roman"/>
          <w:b/>
          <w:sz w:val="28"/>
          <w:szCs w:val="28"/>
        </w:rPr>
      </w:pPr>
      <w:r>
        <w:rPr>
          <w:rFonts w:hint="eastAsia" w:ascii="仿宋" w:hAnsi="仿宋" w:eastAsia="仿宋" w:cs="仿宋"/>
          <w:b/>
          <w:sz w:val="28"/>
          <w:szCs w:val="28"/>
        </w:rPr>
        <w:t>二、技术需求</w:t>
      </w:r>
    </w:p>
    <w:p>
      <w:pPr>
        <w:widowControl/>
        <w:spacing w:line="360" w:lineRule="auto"/>
        <w:jc w:val="left"/>
        <w:rPr>
          <w:rFonts w:ascii="仿宋" w:hAnsi="仿宋" w:eastAsia="仿宋"/>
          <w:b/>
          <w:bCs/>
          <w:sz w:val="24"/>
        </w:rPr>
      </w:pPr>
      <w:r>
        <w:rPr>
          <w:rFonts w:hint="eastAsia" w:ascii="仿宋" w:hAnsi="仿宋" w:eastAsia="仿宋"/>
          <w:b/>
          <w:bCs/>
          <w:sz w:val="24"/>
        </w:rPr>
        <w:t>（一）</w:t>
      </w:r>
      <w:r>
        <w:rPr>
          <w:rFonts w:hint="eastAsia" w:ascii="仿宋" w:hAnsi="仿宋" w:eastAsia="仿宋" w:cs="仿宋"/>
          <w:b/>
          <w:bCs/>
          <w:sz w:val="24"/>
        </w:rPr>
        <w:t>开展现状调查</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开展既有居民住宅小区电动自行车充换电设施建设管理现状调查，理清充换电设施在建设、使用和管理过程中的主要问题、居民诉求、各参与角色的利益和职责情况等。就深圳市住宅小区建设的充换电设施技术水平、消防安全管理情况、既有充换电设施实施消防安全改造条件等进行分析，形成住宅小区电动自行车充换电设施调研报告。</w:t>
      </w:r>
    </w:p>
    <w:p>
      <w:pPr>
        <w:widowControl/>
        <w:spacing w:line="360" w:lineRule="auto"/>
        <w:jc w:val="left"/>
        <w:rPr>
          <w:rFonts w:ascii="仿宋" w:hAnsi="仿宋" w:eastAsia="仿宋"/>
          <w:b/>
          <w:bCs/>
          <w:sz w:val="24"/>
        </w:rPr>
      </w:pPr>
      <w:r>
        <w:rPr>
          <w:rFonts w:hint="eastAsia" w:ascii="仿宋" w:hAnsi="仿宋" w:eastAsia="仿宋"/>
          <w:b/>
          <w:bCs/>
          <w:sz w:val="24"/>
        </w:rPr>
        <w:t>（二）收集典型案例</w:t>
      </w:r>
    </w:p>
    <w:p>
      <w:pPr>
        <w:widowControl/>
        <w:spacing w:line="360" w:lineRule="auto"/>
        <w:ind w:firstLine="480" w:firstLineChars="200"/>
        <w:jc w:val="left"/>
        <w:rPr>
          <w:rFonts w:ascii="仿宋" w:hAnsi="仿宋" w:eastAsia="仿宋"/>
          <w:sz w:val="24"/>
        </w:rPr>
      </w:pPr>
      <w:r>
        <w:rPr>
          <w:rFonts w:hint="eastAsia" w:ascii="仿宋" w:hAnsi="仿宋" w:eastAsia="仿宋" w:cs="仿宋"/>
          <w:sz w:val="24"/>
        </w:rPr>
        <w:t>协助统计全市住宅小区电动自行车</w:t>
      </w:r>
      <w:r>
        <w:rPr>
          <w:rFonts w:hint="eastAsia" w:ascii="仿宋" w:hAnsi="仿宋" w:eastAsia="仿宋"/>
          <w:sz w:val="24"/>
        </w:rPr>
        <w:t>充换电</w:t>
      </w:r>
      <w:r>
        <w:rPr>
          <w:rFonts w:hint="eastAsia" w:ascii="仿宋" w:hAnsi="仿宋" w:eastAsia="仿宋" w:cs="仿宋"/>
          <w:sz w:val="24"/>
        </w:rPr>
        <w:t>设施相关数据，掌握既有设施建设情况，收集既有住宅小区电动自行车</w:t>
      </w:r>
      <w:r>
        <w:rPr>
          <w:rFonts w:hint="eastAsia" w:ascii="仿宋" w:hAnsi="仿宋" w:eastAsia="仿宋"/>
          <w:sz w:val="24"/>
        </w:rPr>
        <w:t>充换电</w:t>
      </w:r>
      <w:r>
        <w:rPr>
          <w:rFonts w:hint="eastAsia" w:ascii="仿宋" w:hAnsi="仿宋" w:eastAsia="仿宋" w:cs="仿宋"/>
          <w:sz w:val="24"/>
        </w:rPr>
        <w:t>设施建设、运营、管理方面好的经验做法，形成典型案例汇编</w:t>
      </w:r>
      <w:r>
        <w:rPr>
          <w:rFonts w:hint="eastAsia" w:ascii="仿宋" w:hAnsi="仿宋" w:eastAsia="仿宋"/>
          <w:sz w:val="24"/>
        </w:rPr>
        <w:t>。</w:t>
      </w:r>
    </w:p>
    <w:p>
      <w:pPr>
        <w:widowControl/>
        <w:spacing w:line="360" w:lineRule="auto"/>
        <w:jc w:val="left"/>
        <w:rPr>
          <w:rFonts w:ascii="仿宋" w:hAnsi="仿宋" w:eastAsia="仿宋"/>
          <w:b/>
          <w:bCs/>
          <w:sz w:val="24"/>
        </w:rPr>
      </w:pPr>
      <w:r>
        <w:rPr>
          <w:rFonts w:hint="eastAsia" w:ascii="仿宋" w:hAnsi="仿宋" w:eastAsia="仿宋"/>
          <w:b/>
          <w:bCs/>
          <w:sz w:val="24"/>
        </w:rPr>
        <w:t>（三）编制相关工作指引</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召集各行业专家举办新增电动自行车停放充电设施研讨会，协助编制《深圳市住宅小区电动自行车充换电设施建设管理工作指引》，为小区物业服务企业、充电设施运营企业建设安装充换电设施提供指导。</w:t>
      </w:r>
    </w:p>
    <w:p>
      <w:pPr>
        <w:widowControl/>
        <w:spacing w:line="360" w:lineRule="auto"/>
        <w:jc w:val="left"/>
        <w:rPr>
          <w:rFonts w:ascii="仿宋" w:hAnsi="仿宋" w:eastAsia="仿宋"/>
          <w:sz w:val="24"/>
        </w:rPr>
      </w:pPr>
    </w:p>
    <w:p>
      <w:pPr>
        <w:spacing w:line="360" w:lineRule="auto"/>
        <w:rPr>
          <w:rFonts w:ascii="宋体" w:hAnsi="宋体" w:eastAsia="宋体" w:cs="Times New Roman"/>
          <w:b/>
          <w:szCs w:val="21"/>
          <w:highlight w:val="yellow"/>
        </w:rPr>
      </w:pPr>
      <w:r>
        <w:rPr>
          <w:rFonts w:hint="eastAsia" w:ascii="仿宋" w:hAnsi="仿宋" w:eastAsia="仿宋" w:cs="仿宋"/>
          <w:b/>
          <w:sz w:val="28"/>
          <w:szCs w:val="28"/>
          <w:highlight w:val="yellow"/>
        </w:rPr>
        <w:t>★三、商务要求（说明：标注★条款为实质性条款，不允许负偏离，否则按无效投标处理）</w:t>
      </w:r>
    </w:p>
    <w:p>
      <w:pPr>
        <w:widowControl/>
        <w:spacing w:line="360" w:lineRule="auto"/>
        <w:jc w:val="left"/>
        <w:rPr>
          <w:rFonts w:ascii="仿宋" w:hAnsi="仿宋" w:eastAsia="仿宋"/>
          <w:b/>
          <w:bCs/>
          <w:sz w:val="24"/>
        </w:rPr>
      </w:pPr>
      <w:r>
        <w:rPr>
          <w:rFonts w:hint="eastAsia" w:ascii="仿宋" w:hAnsi="仿宋" w:eastAsia="仿宋"/>
          <w:b/>
          <w:bCs/>
          <w:sz w:val="24"/>
        </w:rPr>
        <w:t>（一）服务期限（完成期限）</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自合同签订之日起，至2024年11月30日交付成果文件。</w:t>
      </w:r>
    </w:p>
    <w:p>
      <w:pPr>
        <w:widowControl/>
        <w:spacing w:line="360" w:lineRule="auto"/>
        <w:jc w:val="left"/>
        <w:rPr>
          <w:rFonts w:ascii="仿宋" w:hAnsi="仿宋" w:eastAsia="仿宋"/>
          <w:b/>
          <w:bCs/>
          <w:sz w:val="24"/>
        </w:rPr>
      </w:pPr>
      <w:r>
        <w:rPr>
          <w:rFonts w:hint="eastAsia" w:ascii="仿宋" w:hAnsi="仿宋" w:eastAsia="仿宋"/>
          <w:b/>
          <w:bCs/>
          <w:sz w:val="24"/>
        </w:rPr>
        <w:t>（二）项目进度安排</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中标单位在服务期限内按合同要求完成全部工作内容。</w:t>
      </w:r>
    </w:p>
    <w:p>
      <w:pPr>
        <w:widowControl/>
        <w:spacing w:line="360" w:lineRule="auto"/>
        <w:jc w:val="left"/>
        <w:rPr>
          <w:rFonts w:ascii="仿宋" w:hAnsi="仿宋" w:eastAsia="仿宋"/>
          <w:sz w:val="24"/>
        </w:rPr>
      </w:pPr>
      <w:r>
        <w:rPr>
          <w:rFonts w:hint="eastAsia" w:ascii="仿宋" w:hAnsi="仿宋" w:eastAsia="仿宋"/>
          <w:b/>
          <w:bCs/>
          <w:sz w:val="24"/>
        </w:rPr>
        <w:t>（三）付款方式</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本项目分三期支付合同款。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本合同总价款分三期付款。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首期：自双方签订合同之日起15个日内，根据中标人提出的付款申请，采购方按合同要求向中标人支付合同总价款的50%，此笔款项为预付款，待合同履行完毕后，预付款抵作合同价款；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中期款：中标人提交住宅小区电动自行车充换电设施调查报告初稿后15个日内，根据中标人提出的付款申请，采购方按合同要求向中标人支付40%的项目进度款；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末期款：中标人完成各项工作内容，提交全部成果并通过最终成果验收后15个日内，根据中标人提出的付款申请，采购方按合同要求向中标人支付10%的项目余款。</w:t>
      </w:r>
    </w:p>
    <w:p>
      <w:pPr>
        <w:widowControl/>
        <w:spacing w:line="360" w:lineRule="auto"/>
        <w:ind w:firstLine="481" w:firstLineChars="200"/>
        <w:jc w:val="left"/>
        <w:rPr>
          <w:rFonts w:ascii="仿宋" w:hAnsi="仿宋" w:eastAsia="仿宋"/>
          <w:b/>
          <w:bCs/>
          <w:sz w:val="24"/>
        </w:rPr>
      </w:pPr>
      <w:r>
        <w:rPr>
          <w:rFonts w:hint="eastAsia" w:ascii="仿宋" w:hAnsi="仿宋" w:eastAsia="仿宋"/>
          <w:b/>
          <w:bCs/>
          <w:color w:val="FF0000"/>
          <w:sz w:val="24"/>
        </w:rPr>
        <w:t>注：具体以合同约定为准。</w:t>
      </w:r>
    </w:p>
    <w:p>
      <w:pPr>
        <w:widowControl/>
        <w:spacing w:line="360" w:lineRule="auto"/>
        <w:jc w:val="left"/>
        <w:rPr>
          <w:rFonts w:ascii="仿宋" w:hAnsi="仿宋" w:eastAsia="仿宋"/>
          <w:b/>
          <w:bCs/>
          <w:sz w:val="24"/>
        </w:rPr>
      </w:pPr>
      <w:r>
        <w:rPr>
          <w:rFonts w:hint="eastAsia" w:ascii="仿宋" w:hAnsi="仿宋" w:eastAsia="仿宋"/>
          <w:b/>
          <w:bCs/>
          <w:sz w:val="24"/>
        </w:rPr>
        <w:t>（四）成果形式</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1、现状调研报告1份。</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2、《深圳市住宅小区电动自行车充换电设施建设管理工作指引》文件1份。</w:t>
      </w:r>
    </w:p>
    <w:p>
      <w:pPr>
        <w:widowControl/>
        <w:spacing w:line="360" w:lineRule="auto"/>
        <w:jc w:val="left"/>
        <w:rPr>
          <w:rFonts w:ascii="仿宋" w:hAnsi="仿宋" w:eastAsia="仿宋"/>
          <w:b/>
          <w:bCs/>
          <w:sz w:val="24"/>
        </w:rPr>
      </w:pPr>
      <w:r>
        <w:rPr>
          <w:rFonts w:hint="eastAsia" w:ascii="仿宋" w:hAnsi="仿宋" w:eastAsia="仿宋"/>
          <w:b/>
          <w:bCs/>
          <w:sz w:val="24"/>
        </w:rPr>
        <w:t>（五）验收要求</w:t>
      </w:r>
    </w:p>
    <w:p>
      <w:pPr>
        <w:widowControl/>
        <w:spacing w:line="360" w:lineRule="auto"/>
        <w:ind w:firstLine="480" w:firstLineChars="200"/>
        <w:jc w:val="left"/>
        <w:rPr>
          <w:rFonts w:ascii="仿宋" w:hAnsi="仿宋" w:eastAsia="仿宋"/>
          <w:sz w:val="24"/>
        </w:rPr>
      </w:pPr>
      <w:r>
        <w:rPr>
          <w:rFonts w:ascii="仿宋" w:hAnsi="仿宋" w:eastAsia="仿宋"/>
          <w:sz w:val="24"/>
        </w:rPr>
        <w:t>由深圳市住房和建设局组织专家组对中标人完成的项目成果进行验收</w:t>
      </w:r>
      <w:r>
        <w:rPr>
          <w:rFonts w:hint="eastAsia" w:ascii="仿宋" w:hAnsi="仿宋" w:eastAsia="仿宋"/>
          <w:sz w:val="24"/>
        </w:rPr>
        <w:t>。</w:t>
      </w:r>
    </w:p>
    <w:p>
      <w:pPr>
        <w:widowControl/>
        <w:spacing w:line="360" w:lineRule="auto"/>
        <w:jc w:val="left"/>
        <w:rPr>
          <w:rFonts w:ascii="仿宋" w:hAnsi="仿宋" w:eastAsia="仿宋"/>
          <w:b/>
          <w:bCs/>
          <w:sz w:val="24"/>
        </w:rPr>
      </w:pPr>
      <w:r>
        <w:rPr>
          <w:rFonts w:hint="eastAsia" w:ascii="仿宋" w:hAnsi="仿宋" w:eastAsia="仿宋"/>
          <w:b/>
          <w:bCs/>
          <w:sz w:val="24"/>
        </w:rPr>
        <w:t>（六）报价要求</w:t>
      </w:r>
    </w:p>
    <w:p>
      <w:pPr>
        <w:widowControl/>
        <w:spacing w:line="360" w:lineRule="auto"/>
        <w:ind w:firstLine="481" w:firstLineChars="200"/>
        <w:jc w:val="left"/>
        <w:rPr>
          <w:rFonts w:ascii="仿宋" w:hAnsi="仿宋" w:eastAsia="仿宋"/>
          <w:b/>
          <w:bCs/>
          <w:color w:val="FF0000"/>
          <w:sz w:val="24"/>
        </w:rPr>
      </w:pPr>
      <w:r>
        <w:rPr>
          <w:rFonts w:hint="eastAsia" w:ascii="仿宋" w:hAnsi="仿宋" w:eastAsia="仿宋"/>
          <w:b/>
          <w:bCs/>
          <w:color w:val="FF0000"/>
          <w:sz w:val="24"/>
        </w:rPr>
        <w:t>1、项目服务价格上限：本次项目服务的控制金额为人民币37.8万元整，参加单位的报价不可高于控制金额，否则参加单位的投标文件视同无效。</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除非招标代理机构通过修改招标文件予以更正，否则，投标人应毫无例外地按招标文件所列的清单中项目和数量填报综合单价或总价。投标人未填综合单价或总价的项目，在实施后，将不予支付，并视作该项费用已包括在其它有价款的综合单价或总价内。</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5、投标人应充分了解项目的位置、情况、道路及任何其它足以影响投标报价的情况，任何因忽视或误解项目情况而导致的索赔或服务期限延长申请将不获批准。</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7、投标人应根据本企业的成本自行决定报价。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p>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br w:type="page"/>
      </w:r>
    </w:p>
    <w:p>
      <w:pPr>
        <w:keepNext/>
        <w:keepLines/>
        <w:spacing w:line="360" w:lineRule="auto"/>
        <w:jc w:val="center"/>
        <w:outlineLvl w:val="0"/>
        <w:rPr>
          <w:rFonts w:ascii="宋体" w:hAnsi="宋体" w:eastAsia="宋体" w:cs="Times New Roman"/>
          <w:b/>
          <w:bCs/>
          <w:kern w:val="44"/>
          <w:sz w:val="44"/>
          <w:szCs w:val="44"/>
        </w:rPr>
      </w:pPr>
      <w:bookmarkStart w:id="299" w:name="_Toc129094582"/>
      <w:r>
        <w:rPr>
          <w:rFonts w:hint="eastAsia" w:ascii="宋体" w:hAnsi="宋体" w:eastAsia="宋体" w:cs="Times New Roman"/>
          <w:b/>
          <w:bCs/>
          <w:kern w:val="44"/>
          <w:sz w:val="44"/>
          <w:szCs w:val="44"/>
        </w:rPr>
        <w:t>第六部分  评标</w:t>
      </w:r>
      <w:bookmarkEnd w:id="298"/>
      <w:bookmarkStart w:id="300" w:name="评标办法"/>
      <w:bookmarkEnd w:id="300"/>
      <w:r>
        <w:rPr>
          <w:rFonts w:hint="eastAsia" w:ascii="宋体" w:hAnsi="宋体" w:eastAsia="宋体" w:cs="Times New Roman"/>
          <w:b/>
          <w:bCs/>
          <w:kern w:val="44"/>
          <w:sz w:val="44"/>
          <w:szCs w:val="44"/>
        </w:rPr>
        <w:t>信息</w:t>
      </w:r>
      <w:bookmarkEnd w:id="299"/>
    </w:p>
    <w:bookmarkEnd w:id="296"/>
    <w:bookmarkEnd w:id="297"/>
    <w:p>
      <w:pPr>
        <w:spacing w:before="120" w:beforeLines="50" w:after="120" w:afterLines="50" w:line="400" w:lineRule="exact"/>
        <w:ind w:firstLine="425" w:firstLineChars="202"/>
        <w:jc w:val="left"/>
        <w:rPr>
          <w:rFonts w:ascii="宋体" w:hAnsi="宋体" w:eastAsia="宋体" w:cs="Times New Roman"/>
          <w:b/>
          <w:szCs w:val="21"/>
        </w:rPr>
      </w:pPr>
      <w:bookmarkStart w:id="301" w:name="Sixpingbiaobanfa9"/>
      <w:bookmarkEnd w:id="301"/>
      <w:r>
        <w:rPr>
          <w:rFonts w:hint="eastAsia" w:ascii="宋体" w:hAnsi="宋体" w:eastAsia="宋体" w:cs="Times New Roman"/>
          <w:b/>
          <w:szCs w:val="21"/>
        </w:rPr>
        <w:t>1、评标方法</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本次评标采用“综合评分法”，</w:t>
      </w:r>
      <w:r>
        <w:rPr>
          <w:rFonts w:hint="eastAsia" w:ascii="ˎ̥" w:hAnsi="ˎ̥" w:eastAsia="宋体" w:cs="Times New Roman"/>
          <w:szCs w:val="24"/>
        </w:rPr>
        <w:t>是指投标文件满足招标文件全部实质性要求，且按照评审因素的量化指标评审得分最高的投标人为中标候选人的评标方法</w:t>
      </w:r>
      <w:r>
        <w:rPr>
          <w:rFonts w:hint="eastAsia" w:ascii="宋体" w:hAnsi="宋体" w:eastAsia="宋体" w:cs="Times New Roman"/>
          <w:szCs w:val="21"/>
        </w:rPr>
        <w:t>。</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确定中标供应商按评审后得分由高到低顺序排列。得分相同的，按投标报价由低到高顺序排列。得分且投标报价相同的，按技术指标或服务方案优劣顺序排列。</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评审委员会对每个通过资格性检查和符合性检查且报价不超过预算控制金额的投标供应商进行评审、打分，然后汇总每个投标供应商每项评分因素的评分。</w:t>
      </w:r>
    </w:p>
    <w:p>
      <w:pPr>
        <w:spacing w:before="120" w:beforeLines="50" w:after="120" w:afterLines="50" w:line="400" w:lineRule="exact"/>
        <w:ind w:firstLine="425" w:firstLineChars="202"/>
        <w:rPr>
          <w:rFonts w:ascii="宋体" w:hAnsi="宋体"/>
          <w:b/>
          <w:bCs/>
          <w:szCs w:val="21"/>
        </w:rPr>
      </w:pPr>
      <w:r>
        <w:rPr>
          <w:rFonts w:hint="eastAsia" w:ascii="宋体" w:hAnsi="宋体" w:eastAsia="宋体" w:cs="Times New Roman"/>
          <w:b/>
          <w:szCs w:val="21"/>
        </w:rPr>
        <w:t>2、</w:t>
      </w:r>
      <w:r>
        <w:rPr>
          <w:rFonts w:hint="eastAsia" w:ascii="宋体" w:hAnsi="宋体"/>
          <w:b/>
          <w:bCs/>
          <w:szCs w:val="21"/>
        </w:rPr>
        <w:t>关于享受优惠政策的主体及价格扣除比例</w:t>
      </w:r>
    </w:p>
    <w:p>
      <w:pPr>
        <w:spacing w:before="120" w:beforeLines="50" w:after="120" w:afterLines="50" w:line="400" w:lineRule="exact"/>
        <w:ind w:firstLine="424" w:firstLineChars="202"/>
        <w:rPr>
          <w:rFonts w:ascii="宋体" w:hAnsi="宋体"/>
          <w:b/>
          <w:szCs w:val="21"/>
        </w:rPr>
      </w:pPr>
      <w:r>
        <w:rPr>
          <w:rFonts w:hint="eastAsia" w:ascii="宋体" w:hAnsi="宋体"/>
          <w:szCs w:val="21"/>
        </w:rPr>
        <w:t>（1）小型企业、微型企业、监狱企业、残疾人福利性单位提供本企业制造的货物，承担的工程或服务，或者提供其他符合优惠主体资格条件企业制造的货物，对其所投产品的价格</w:t>
      </w:r>
      <w:r>
        <w:rPr>
          <w:rFonts w:hint="eastAsia" w:ascii="宋体" w:hAnsi="宋体"/>
          <w:b/>
          <w:szCs w:val="21"/>
        </w:rPr>
        <w:t>给予10</w:t>
      </w:r>
      <w:r>
        <w:rPr>
          <w:rFonts w:ascii="宋体" w:hAnsi="宋体"/>
          <w:b/>
          <w:szCs w:val="21"/>
        </w:rPr>
        <w:t>%</w:t>
      </w:r>
      <w:r>
        <w:rPr>
          <w:rFonts w:hint="eastAsia" w:ascii="宋体" w:hAnsi="宋体"/>
          <w:szCs w:val="21"/>
        </w:rPr>
        <w:t>的扣除，用扣除后的价格参与评审，具体扣除比例由采购人或者招标机构确定。满足多项优惠政策的企业，不重复享受多项价格扣除政策</w:t>
      </w:r>
      <w:r>
        <w:rPr>
          <w:rFonts w:hint="eastAsia" w:ascii="宋体" w:hAnsi="宋体"/>
          <w:b/>
          <w:szCs w:val="21"/>
        </w:rPr>
        <w:t>（</w:t>
      </w:r>
      <w:r>
        <w:rPr>
          <w:rFonts w:hint="eastAsia" w:ascii="宋体" w:hAnsi="宋体"/>
          <w:b/>
          <w:color w:val="FF0000"/>
          <w:szCs w:val="21"/>
        </w:rPr>
        <w:t>本项目所属行业：其他未列明行业</w:t>
      </w:r>
      <w:r>
        <w:rPr>
          <w:rFonts w:hint="eastAsia" w:ascii="宋体" w:hAnsi="宋体"/>
          <w:b/>
          <w:szCs w:val="21"/>
        </w:rPr>
        <w:t>）</w:t>
      </w:r>
      <w:r>
        <w:rPr>
          <w:rFonts w:hint="eastAsia" w:ascii="宋体" w:hAnsi="宋体"/>
          <w:szCs w:val="21"/>
        </w:rPr>
        <w:t>。</w:t>
      </w:r>
    </w:p>
    <w:p>
      <w:pPr>
        <w:spacing w:before="120" w:beforeLines="50" w:after="120" w:afterLines="50" w:line="400" w:lineRule="exact"/>
        <w:ind w:firstLine="424" w:firstLineChars="202"/>
        <w:jc w:val="left"/>
        <w:rPr>
          <w:rFonts w:ascii="宋体" w:hAnsi="宋体"/>
          <w:szCs w:val="21"/>
        </w:rPr>
      </w:pPr>
      <w:r>
        <w:rPr>
          <w:rFonts w:hint="eastAsia" w:ascii="宋体" w:hAnsi="宋体"/>
          <w:szCs w:val="21"/>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pPr>
        <w:spacing w:before="120" w:beforeLines="50" w:after="120" w:afterLines="50" w:line="400" w:lineRule="exact"/>
        <w:ind w:firstLine="426"/>
        <w:jc w:val="left"/>
        <w:rPr>
          <w:rFonts w:ascii="宋体" w:hAnsi="宋体" w:eastAsia="宋体" w:cs="Times New Roman"/>
          <w:b/>
          <w:szCs w:val="21"/>
        </w:rPr>
      </w:pPr>
      <w:r>
        <w:rPr>
          <w:rFonts w:hint="eastAsia" w:ascii="宋体" w:hAnsi="宋体"/>
          <w:b/>
          <w:szCs w:val="21"/>
        </w:rPr>
        <w:t>3、</w:t>
      </w:r>
      <w:r>
        <w:rPr>
          <w:rFonts w:hint="eastAsia" w:ascii="宋体" w:hAnsi="宋体" w:eastAsia="宋体" w:cs="Times New Roman"/>
          <w:b/>
          <w:szCs w:val="21"/>
        </w:rPr>
        <w:t>关于投标报价的注意事项</w:t>
      </w:r>
    </w:p>
    <w:p>
      <w:pPr>
        <w:spacing w:before="120" w:beforeLines="50" w:after="120" w:afterLines="50" w:line="360" w:lineRule="auto"/>
        <w:ind w:firstLine="413" w:firstLineChars="196"/>
        <w:rPr>
          <w:rFonts w:ascii="宋体" w:hAnsi="宋体" w:eastAsia="宋体" w:cs="Times New Roman"/>
          <w:b/>
          <w:szCs w:val="21"/>
        </w:rPr>
      </w:pPr>
      <w:r>
        <w:rPr>
          <w:rFonts w:hint="eastAsia" w:ascii="宋体" w:hAnsi="宋体" w:eastAsia="宋体" w:cs="Times New Roman"/>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pPr>
        <w:spacing w:before="120" w:beforeLines="50" w:after="120" w:afterLines="50" w:line="360" w:lineRule="auto"/>
        <w:rPr>
          <w:rFonts w:ascii="宋体" w:hAnsi="宋体" w:eastAsia="宋体" w:cs="Times New Roman"/>
          <w:szCs w:val="21"/>
        </w:rPr>
      </w:pPr>
      <w:r>
        <w:rPr>
          <w:rFonts w:hint="eastAsia" w:ascii="宋体" w:hAnsi="宋体" w:eastAsia="宋体" w:cs="Times New Roman"/>
          <w:szCs w:val="21"/>
        </w:rPr>
        <w:t>评委会在评标时，按照以下量化的评审因素，对进入该阶段评审的各投标文件进行分析和比较：</w:t>
      </w:r>
    </w:p>
    <w:p>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1、资格性检查表</w:t>
      </w:r>
    </w:p>
    <w:tbl>
      <w:tblPr>
        <w:tblStyle w:val="44"/>
        <w:tblW w:w="8829"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187"/>
        <w:gridCol w:w="2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187"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913"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1"/>
              </w:rPr>
            </w:pPr>
            <w:r>
              <w:rPr>
                <w:rFonts w:hint="eastAsia" w:ascii="宋体" w:hAnsi="宋体" w:eastAsia="宋体" w:cs="Times New Roman"/>
                <w:szCs w:val="21"/>
              </w:rPr>
              <w:t>具备投标人资格要求，且提交相应证明材料</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eastAsia="宋体" w:cs="Times New Roman"/>
                <w:szCs w:val="21"/>
              </w:rPr>
            </w:pPr>
            <w:r>
              <w:rPr>
                <w:rFonts w:hint="eastAsia" w:ascii="宋体" w:hAnsi="宋体" w:eastAsia="宋体" w:cs="Times New Roman"/>
                <w:szCs w:val="21"/>
              </w:rPr>
              <w:t>结论</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pPr>
        <w:spacing w:before="120" w:beforeLines="50" w:after="120" w:afterLines="50" w:line="360" w:lineRule="auto"/>
        <w:ind w:firstLine="413" w:firstLineChars="196"/>
        <w:jc w:val="center"/>
        <w:rPr>
          <w:rFonts w:ascii="宋体" w:hAnsi="宋体" w:eastAsia="宋体" w:cs="Times New Roman"/>
          <w:b/>
          <w:bCs/>
          <w:szCs w:val="21"/>
        </w:rPr>
      </w:pPr>
    </w:p>
    <w:p>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2、符合性检查表</w:t>
      </w:r>
    </w:p>
    <w:tbl>
      <w:tblPr>
        <w:tblStyle w:val="44"/>
        <w:tblW w:w="8810"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246"/>
        <w:gridCol w:w="2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246"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835"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w:t>
            </w:r>
            <w:r>
              <w:rPr>
                <w:rFonts w:hint="eastAsia" w:ascii="宋体" w:hAnsi="宋体" w:eastAsia="宋体" w:cs="Times New Roman"/>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投标报价未按招标文件要求填写；</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39"/>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jc w:val="center"/>
              <w:rPr>
                <w:rFonts w:ascii="宋体" w:hAnsi="宋体" w:eastAsia="宋体" w:cs="Times New Roman"/>
                <w:szCs w:val="21"/>
              </w:rPr>
            </w:pPr>
            <w:r>
              <w:rPr>
                <w:rFonts w:hint="eastAsia" w:ascii="宋体" w:hAnsi="宋体" w:eastAsia="宋体" w:cs="Times New Roman"/>
                <w:szCs w:val="21"/>
              </w:rPr>
              <w:t>结论</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pPr>
        <w:spacing w:before="120" w:beforeLines="50" w:after="120" w:afterLines="50" w:line="360" w:lineRule="auto"/>
        <w:ind w:firstLine="413" w:firstLineChars="196"/>
        <w:jc w:val="center"/>
        <w:rPr>
          <w:rFonts w:ascii="宋体" w:hAnsi="宋体" w:eastAsia="宋体" w:cs="Times New Roman"/>
          <w:b/>
          <w:bCs/>
          <w:szCs w:val="21"/>
        </w:rPr>
      </w:pPr>
    </w:p>
    <w:p>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3、评分细则表</w:t>
      </w:r>
    </w:p>
    <w:tbl>
      <w:tblPr>
        <w:tblStyle w:val="44"/>
        <w:tblW w:w="10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0" w:type="dxa"/>
          <w:left w:w="108" w:type="dxa"/>
          <w:bottom w:w="20" w:type="dxa"/>
          <w:right w:w="108" w:type="dxa"/>
        </w:tblCellMar>
      </w:tblPr>
      <w:tblGrid>
        <w:gridCol w:w="831"/>
        <w:gridCol w:w="773"/>
        <w:gridCol w:w="1268"/>
        <w:gridCol w:w="1005"/>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046" w:type="dxa"/>
            <w:gridSpan w:val="3"/>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评分项</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831" w:type="dxa"/>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价格</w:t>
            </w:r>
          </w:p>
        </w:tc>
        <w:tc>
          <w:tcPr>
            <w:tcW w:w="6146" w:type="dxa"/>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10023" w:type="dxa"/>
            <w:gridSpan w:val="5"/>
            <w:vAlign w:val="center"/>
          </w:tcPr>
          <w:p>
            <w:pPr>
              <w:wordWrap w:val="0"/>
              <w:spacing w:line="360" w:lineRule="auto"/>
              <w:jc w:val="left"/>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价格分采用低价优先法计算，即满足招标文件要求且投标价格最低的投标报价为评标基准价，其价格分为满分。其他投标人的价格分统一按照下列公式计算：</w:t>
            </w:r>
          </w:p>
          <w:p>
            <w:pPr>
              <w:wordWrap w:val="0"/>
              <w:spacing w:line="360" w:lineRule="auto"/>
              <w:jc w:val="left"/>
              <w:rPr>
                <w:rFonts w:ascii="仿宋" w:hAnsi="仿宋" w:eastAsia="仿宋" w:cs="仿宋"/>
                <w:b/>
                <w:bCs/>
                <w:sz w:val="24"/>
              </w:rPr>
            </w:pPr>
            <w:r>
              <w:rPr>
                <w:rFonts w:hint="eastAsia" w:ascii="仿宋" w:hAnsi="仿宋" w:eastAsia="仿宋" w:cs="仿宋"/>
                <w:sz w:val="24"/>
              </w:rPr>
              <w:t>投标报价得分=(评标基准价／投标报价)×10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技术部分</w:t>
            </w:r>
          </w:p>
        </w:tc>
        <w:tc>
          <w:tcPr>
            <w:tcW w:w="6146" w:type="dxa"/>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jc w:val="center"/>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pPr>
              <w:spacing w:line="360" w:lineRule="auto"/>
              <w:jc w:val="center"/>
              <w:rPr>
                <w:rFonts w:ascii="仿宋" w:hAnsi="仿宋" w:eastAsia="仿宋" w:cs="仿宋"/>
                <w:sz w:val="24"/>
              </w:rPr>
            </w:pPr>
            <w:r>
              <w:rPr>
                <w:rFonts w:hint="eastAsia" w:ascii="仿宋" w:hAnsi="仿宋" w:eastAsia="仿宋" w:cs="仿宋"/>
                <w:sz w:val="24"/>
              </w:rPr>
              <w:t>实施方案</w:t>
            </w:r>
          </w:p>
        </w:tc>
        <w:tc>
          <w:tcPr>
            <w:tcW w:w="1005" w:type="dxa"/>
            <w:vAlign w:val="center"/>
          </w:tcPr>
          <w:p>
            <w:pPr>
              <w:spacing w:line="360" w:lineRule="auto"/>
              <w:jc w:val="center"/>
              <w:rPr>
                <w:rFonts w:ascii="仿宋" w:hAnsi="仿宋" w:eastAsia="仿宋" w:cs="仿宋"/>
                <w:sz w:val="24"/>
              </w:rPr>
            </w:pPr>
            <w:r>
              <w:rPr>
                <w:rFonts w:hint="eastAsia" w:ascii="仿宋" w:hAnsi="仿宋" w:eastAsia="仿宋" w:cs="仿宋"/>
                <w:kern w:val="0"/>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sz w:val="24"/>
              </w:rPr>
              <w:t>实施方案</w:t>
            </w:r>
            <w:r>
              <w:rPr>
                <w:rFonts w:hint="eastAsia" w:ascii="仿宋" w:hAnsi="仿宋" w:eastAsia="仿宋" w:cs="仿宋"/>
                <w:kern w:val="0"/>
                <w:sz w:val="24"/>
              </w:rPr>
              <w:t>进行评审，包括以下内容：</w:t>
            </w:r>
          </w:p>
          <w:p>
            <w:pPr>
              <w:numPr>
                <w:ilvl w:val="0"/>
                <w:numId w:val="0"/>
              </w:numPr>
              <w:spacing w:line="360" w:lineRule="auto"/>
              <w:rPr>
                <w:rFonts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对项目背景了解，掌握深圳市住宅小区电动自行车充换电设施建设及运营现状；</w:t>
            </w:r>
          </w:p>
          <w:p>
            <w:pPr>
              <w:spacing w:line="360" w:lineRule="auto"/>
              <w:rPr>
                <w:rFonts w:ascii="仿宋" w:hAnsi="仿宋" w:eastAsia="仿宋" w:cs="仿宋"/>
                <w:kern w:val="0"/>
                <w:sz w:val="24"/>
              </w:rPr>
            </w:pPr>
            <w:r>
              <w:rPr>
                <w:rFonts w:hint="eastAsia" w:ascii="仿宋" w:hAnsi="仿宋" w:eastAsia="仿宋" w:cs="仿宋"/>
                <w:kern w:val="0"/>
                <w:sz w:val="24"/>
              </w:rPr>
              <w:t>2、对项目工作意义、工作目的认识；</w:t>
            </w:r>
          </w:p>
          <w:p>
            <w:pPr>
              <w:spacing w:line="360" w:lineRule="auto"/>
              <w:rPr>
                <w:rFonts w:ascii="仿宋" w:hAnsi="仿宋" w:eastAsia="仿宋" w:cs="仿宋"/>
                <w:kern w:val="0"/>
                <w:sz w:val="24"/>
              </w:rPr>
            </w:pPr>
            <w:r>
              <w:rPr>
                <w:rFonts w:hint="eastAsia" w:ascii="仿宋" w:hAnsi="仿宋" w:eastAsia="仿宋" w:cs="仿宋"/>
                <w:kern w:val="0"/>
                <w:sz w:val="24"/>
              </w:rPr>
              <w:t>3、对本项目提出清晰、全面、合理、具有可实施性的工作方法和技术路线；</w:t>
            </w:r>
          </w:p>
          <w:p>
            <w:pPr>
              <w:spacing w:line="360" w:lineRule="auto"/>
              <w:rPr>
                <w:rFonts w:ascii="仿宋" w:hAnsi="仿宋" w:eastAsia="仿宋" w:cs="仿宋"/>
                <w:kern w:val="0"/>
                <w:sz w:val="24"/>
              </w:rPr>
            </w:pPr>
            <w:r>
              <w:rPr>
                <w:rFonts w:hint="eastAsia" w:ascii="仿宋" w:hAnsi="仿宋" w:eastAsia="仿宋" w:cs="仿宋"/>
                <w:kern w:val="0"/>
                <w:sz w:val="24"/>
              </w:rPr>
              <w:t>4、对本项目提出整体工作思路。</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方案包含以上四项内容得</w:t>
            </w:r>
            <w:r>
              <w:rPr>
                <w:rFonts w:ascii="仿宋" w:hAnsi="仿宋" w:eastAsia="仿宋" w:cs="仿宋"/>
                <w:kern w:val="0"/>
                <w:sz w:val="24"/>
                <w:szCs w:val="24"/>
              </w:rPr>
              <w:t>5</w:t>
            </w:r>
            <w:r>
              <w:rPr>
                <w:rFonts w:hint="eastAsia" w:ascii="仿宋" w:hAnsi="仿宋" w:eastAsia="仿宋" w:cs="仿宋"/>
                <w:kern w:val="0"/>
                <w:sz w:val="24"/>
                <w:szCs w:val="24"/>
              </w:rPr>
              <w:t>分；包含以上任意三项内容得3分；包含以上任意两项内容得1分；其他情况不得分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1、方案整体实操性高，结合深圳市实际情况，加5分；</w:t>
            </w:r>
          </w:p>
          <w:p>
            <w:pPr>
              <w:spacing w:line="360" w:lineRule="auto"/>
              <w:rPr>
                <w:rFonts w:ascii="仿宋" w:hAnsi="仿宋" w:eastAsia="仿宋" w:cs="仿宋"/>
                <w:kern w:val="0"/>
                <w:sz w:val="24"/>
              </w:rPr>
            </w:pPr>
            <w:r>
              <w:rPr>
                <w:rFonts w:hint="eastAsia" w:ascii="仿宋" w:hAnsi="仿宋" w:eastAsia="仿宋" w:cs="仿宋"/>
                <w:kern w:val="0"/>
                <w:sz w:val="24"/>
              </w:rPr>
              <w:t>2、方案整体实操性较高，贴近实际，加3分；</w:t>
            </w:r>
          </w:p>
          <w:p>
            <w:pPr>
              <w:spacing w:line="360" w:lineRule="auto"/>
              <w:rPr>
                <w:rFonts w:ascii="仿宋" w:hAnsi="仿宋" w:eastAsia="仿宋" w:cs="仿宋"/>
                <w:kern w:val="0"/>
                <w:sz w:val="24"/>
              </w:rPr>
            </w:pPr>
            <w:r>
              <w:rPr>
                <w:rFonts w:hint="eastAsia" w:ascii="仿宋" w:hAnsi="仿宋" w:eastAsia="仿宋" w:cs="仿宋"/>
                <w:kern w:val="0"/>
                <w:sz w:val="24"/>
              </w:rPr>
              <w:t>3、方案有一定实操性得，偏离实际要求，加1分；</w:t>
            </w:r>
          </w:p>
          <w:p>
            <w:pPr>
              <w:spacing w:line="360" w:lineRule="auto"/>
              <w:rPr>
                <w:rFonts w:ascii="仿宋" w:hAnsi="仿宋" w:eastAsia="仿宋" w:cs="仿宋"/>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项目重点难点分析、应对措施及相关的合理化建议</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投标人根据项目需求提供的项目重点难点分析、应对措施及相关的合理化建议进行评审，包括以下内容：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1、对重点问题的把握与分析；</w:t>
            </w:r>
          </w:p>
          <w:p>
            <w:pPr>
              <w:spacing w:line="360" w:lineRule="auto"/>
              <w:rPr>
                <w:rFonts w:ascii="仿宋" w:hAnsi="仿宋" w:eastAsia="仿宋" w:cs="仿宋"/>
                <w:kern w:val="0"/>
                <w:sz w:val="24"/>
              </w:rPr>
            </w:pPr>
            <w:r>
              <w:rPr>
                <w:rFonts w:hint="eastAsia" w:ascii="仿宋" w:hAnsi="仿宋" w:eastAsia="仿宋" w:cs="仿宋"/>
                <w:kern w:val="0"/>
                <w:sz w:val="24"/>
              </w:rPr>
              <w:t>2、对难点问题的把握与分析；</w:t>
            </w:r>
          </w:p>
          <w:p>
            <w:pPr>
              <w:spacing w:line="360" w:lineRule="auto"/>
              <w:rPr>
                <w:rFonts w:ascii="仿宋" w:hAnsi="仿宋" w:eastAsia="仿宋" w:cs="仿宋"/>
                <w:kern w:val="0"/>
                <w:sz w:val="24"/>
              </w:rPr>
            </w:pPr>
            <w:r>
              <w:rPr>
                <w:rFonts w:hint="eastAsia" w:ascii="仿宋" w:hAnsi="仿宋" w:eastAsia="仿宋" w:cs="仿宋"/>
                <w:kern w:val="0"/>
                <w:sz w:val="24"/>
              </w:rPr>
              <w:t>3、解决思路和方法。</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方案包含以上三项内容得4分；包含以上任意两项内容得3分；包含以上任意一项内容得2分；其他情况不得分。</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1、分析准确到位，建议合理可行，加6分；</w:t>
            </w:r>
          </w:p>
          <w:p>
            <w:pPr>
              <w:spacing w:line="360" w:lineRule="auto"/>
              <w:rPr>
                <w:rFonts w:ascii="仿宋" w:hAnsi="仿宋" w:eastAsia="仿宋" w:cs="仿宋"/>
                <w:kern w:val="0"/>
                <w:sz w:val="24"/>
              </w:rPr>
            </w:pPr>
            <w:r>
              <w:rPr>
                <w:rFonts w:hint="eastAsia" w:ascii="仿宋" w:hAnsi="仿宋" w:eastAsia="仿宋" w:cs="仿宋"/>
                <w:kern w:val="0"/>
                <w:sz w:val="24"/>
              </w:rPr>
              <w:t>2、分析准确到位，建议合理且具有一定可行性，加4分；</w:t>
            </w:r>
          </w:p>
          <w:p>
            <w:pPr>
              <w:spacing w:line="360" w:lineRule="auto"/>
              <w:rPr>
                <w:rFonts w:ascii="仿宋" w:hAnsi="仿宋" w:eastAsia="仿宋" w:cs="仿宋"/>
                <w:kern w:val="0"/>
                <w:sz w:val="24"/>
              </w:rPr>
            </w:pPr>
            <w:r>
              <w:rPr>
                <w:rFonts w:hint="eastAsia" w:ascii="仿宋" w:hAnsi="仿宋" w:eastAsia="仿宋" w:cs="仿宋"/>
                <w:kern w:val="0"/>
                <w:sz w:val="24"/>
              </w:rPr>
              <w:t>3、分析有缺漏但基本到位，建议可行性低，加2分；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质量（完成时间、安全、环保）保障措施及方案</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投标人根据项目需求提供的质量（完成时间、安全、环保）保障措施及方案进行评审，包括以下内容：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1、内容清晰完整；</w:t>
            </w:r>
          </w:p>
          <w:p>
            <w:pPr>
              <w:spacing w:line="360" w:lineRule="auto"/>
              <w:rPr>
                <w:rFonts w:ascii="仿宋" w:hAnsi="仿宋" w:eastAsia="仿宋" w:cs="仿宋"/>
                <w:kern w:val="0"/>
                <w:sz w:val="24"/>
              </w:rPr>
            </w:pPr>
            <w:r>
              <w:rPr>
                <w:rFonts w:hint="eastAsia" w:ascii="仿宋" w:hAnsi="仿宋" w:eastAsia="仿宋" w:cs="仿宋"/>
                <w:kern w:val="0"/>
                <w:sz w:val="24"/>
              </w:rPr>
              <w:t>2、制度措施；</w:t>
            </w:r>
          </w:p>
          <w:p>
            <w:pPr>
              <w:spacing w:line="360" w:lineRule="auto"/>
              <w:rPr>
                <w:rFonts w:ascii="仿宋" w:hAnsi="仿宋" w:eastAsia="仿宋" w:cs="仿宋"/>
                <w:kern w:val="0"/>
                <w:sz w:val="24"/>
              </w:rPr>
            </w:pPr>
            <w:r>
              <w:rPr>
                <w:rFonts w:hint="eastAsia" w:ascii="仿宋" w:hAnsi="仿宋" w:eastAsia="仿宋" w:cs="仿宋"/>
                <w:kern w:val="0"/>
                <w:sz w:val="24"/>
              </w:rPr>
              <w:t>3、进度安排。</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方案包含以上三项内容得3分；包含以上任意两项内容得2分；包含以上任意一项内容得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1、项目进度控制措施合理有效，措施合理、全面、有效，加7分；</w:t>
            </w:r>
          </w:p>
          <w:p>
            <w:pPr>
              <w:spacing w:line="360" w:lineRule="auto"/>
              <w:rPr>
                <w:rFonts w:ascii="仿宋" w:hAnsi="仿宋" w:eastAsia="仿宋" w:cs="仿宋"/>
                <w:kern w:val="0"/>
                <w:sz w:val="24"/>
              </w:rPr>
            </w:pPr>
            <w:r>
              <w:rPr>
                <w:rFonts w:hint="eastAsia" w:ascii="仿宋" w:hAnsi="仿宋" w:eastAsia="仿宋" w:cs="仿宋"/>
                <w:kern w:val="0"/>
                <w:sz w:val="24"/>
              </w:rPr>
              <w:t>2、项目进度控制措施及措施设置合理、有一定有效性，加4分；</w:t>
            </w:r>
          </w:p>
          <w:p>
            <w:pPr>
              <w:spacing w:line="360" w:lineRule="auto"/>
              <w:rPr>
                <w:rFonts w:ascii="仿宋" w:hAnsi="仿宋" w:eastAsia="仿宋" w:cs="仿宋"/>
                <w:kern w:val="0"/>
                <w:sz w:val="24"/>
              </w:rPr>
            </w:pPr>
            <w:r>
              <w:rPr>
                <w:rFonts w:hint="eastAsia" w:ascii="仿宋" w:hAnsi="仿宋" w:eastAsia="仿宋" w:cs="仿宋"/>
                <w:kern w:val="0"/>
                <w:sz w:val="24"/>
              </w:rPr>
              <w:t>3、项目进度控制措施不够合理，有效性低，保密安全措施不全面，加1分；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4</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项目完成（服务期满）后的服务承诺</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投标人根据项目需求提供的项目完成（服务期满）后的服务承诺进行评审，包括以下内容：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1、提供售后服务承诺书；</w:t>
            </w:r>
          </w:p>
          <w:p>
            <w:pPr>
              <w:spacing w:line="360" w:lineRule="auto"/>
              <w:rPr>
                <w:rFonts w:ascii="仿宋" w:hAnsi="仿宋" w:eastAsia="仿宋" w:cs="仿宋"/>
                <w:kern w:val="0"/>
                <w:sz w:val="24"/>
              </w:rPr>
            </w:pPr>
            <w:r>
              <w:rPr>
                <w:rFonts w:hint="eastAsia" w:ascii="仿宋" w:hAnsi="仿宋" w:eastAsia="仿宋" w:cs="仿宋"/>
                <w:kern w:val="0"/>
                <w:sz w:val="24"/>
              </w:rPr>
              <w:t>2、售后服务内容明确且符合项目需要；</w:t>
            </w:r>
          </w:p>
          <w:p>
            <w:pPr>
              <w:spacing w:line="360" w:lineRule="auto"/>
              <w:rPr>
                <w:rFonts w:ascii="仿宋" w:hAnsi="仿宋" w:eastAsia="仿宋" w:cs="仿宋"/>
                <w:kern w:val="0"/>
                <w:sz w:val="24"/>
              </w:rPr>
            </w:pPr>
            <w:r>
              <w:rPr>
                <w:rFonts w:hint="eastAsia" w:ascii="仿宋" w:hAnsi="仿宋" w:eastAsia="仿宋" w:cs="仿宋"/>
                <w:kern w:val="0"/>
                <w:sz w:val="24"/>
              </w:rPr>
              <w:t>3、安排专人负责标准技术咨询，并提供其联系手机、电话、传真、Email。</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方案包含以上三项内容得2分；包含以上任意两项内容得1.5分；包含以上任意一项内容得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1、服务承诺完整、完善，承诺内容全面可信，有明确的服务时限，加3分；</w:t>
            </w:r>
          </w:p>
          <w:p>
            <w:pPr>
              <w:spacing w:line="360" w:lineRule="auto"/>
              <w:rPr>
                <w:rFonts w:ascii="仿宋" w:hAnsi="仿宋" w:eastAsia="仿宋" w:cs="仿宋"/>
                <w:kern w:val="0"/>
                <w:sz w:val="24"/>
              </w:rPr>
            </w:pPr>
            <w:r>
              <w:rPr>
                <w:rFonts w:hint="eastAsia" w:ascii="仿宋" w:hAnsi="仿宋" w:eastAsia="仿宋" w:cs="仿宋"/>
                <w:kern w:val="0"/>
                <w:sz w:val="24"/>
              </w:rPr>
              <w:t>2、服务承诺完整，承诺内容可信，服务时限模糊，加2分；</w:t>
            </w:r>
          </w:p>
          <w:p>
            <w:pPr>
              <w:spacing w:line="360" w:lineRule="auto"/>
              <w:rPr>
                <w:rFonts w:ascii="仿宋" w:hAnsi="仿宋" w:eastAsia="仿宋" w:cs="仿宋"/>
                <w:kern w:val="0"/>
                <w:sz w:val="24"/>
              </w:rPr>
            </w:pPr>
            <w:r>
              <w:rPr>
                <w:rFonts w:hint="eastAsia" w:ascii="仿宋" w:hAnsi="仿宋" w:eastAsia="仿宋" w:cs="仿宋"/>
                <w:kern w:val="0"/>
                <w:sz w:val="24"/>
              </w:rPr>
              <w:t>3、服务承诺有缺漏，承诺可信度底，服务时限模糊甚至无标明，加1分；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szCs w:val="24"/>
              </w:rPr>
              <w:t>违约承诺</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kern w:val="0"/>
                <w:sz w:val="24"/>
                <w:szCs w:val="24"/>
              </w:rPr>
              <w:t>违约承诺</w:t>
            </w:r>
            <w:r>
              <w:rPr>
                <w:rFonts w:hint="eastAsia" w:ascii="仿宋" w:hAnsi="仿宋" w:eastAsia="仿宋" w:cs="仿宋"/>
                <w:kern w:val="0"/>
                <w:sz w:val="24"/>
              </w:rPr>
              <w:t>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1、有具体的违约责任承诺；</w:t>
            </w:r>
          </w:p>
          <w:p>
            <w:pPr>
              <w:spacing w:line="360" w:lineRule="auto"/>
              <w:rPr>
                <w:rFonts w:ascii="仿宋" w:hAnsi="仿宋" w:eastAsia="仿宋" w:cs="仿宋"/>
                <w:kern w:val="0"/>
                <w:sz w:val="24"/>
              </w:rPr>
            </w:pPr>
            <w:r>
              <w:rPr>
                <w:rFonts w:hint="eastAsia" w:ascii="仿宋" w:hAnsi="仿宋" w:eastAsia="仿宋" w:cs="仿宋"/>
                <w:kern w:val="0"/>
                <w:sz w:val="24"/>
              </w:rPr>
              <w:t>2、违约承诺满足招标文件要求；</w:t>
            </w:r>
          </w:p>
          <w:p>
            <w:pPr>
              <w:spacing w:line="360" w:lineRule="auto"/>
              <w:rPr>
                <w:rFonts w:ascii="仿宋" w:hAnsi="仿宋" w:eastAsia="仿宋" w:cs="仿宋"/>
                <w:kern w:val="0"/>
                <w:sz w:val="24"/>
              </w:rPr>
            </w:pPr>
            <w:r>
              <w:rPr>
                <w:rFonts w:hint="eastAsia" w:ascii="仿宋" w:hAnsi="仿宋" w:eastAsia="仿宋" w:cs="仿宋"/>
                <w:kern w:val="0"/>
                <w:sz w:val="24"/>
              </w:rPr>
              <w:t>3、违约措施合理且有针对性。</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方案包含以上三项内容得2分；包含以上两项内容得1.5分；包含以上任意一项内容得</w:t>
            </w:r>
            <w:r>
              <w:rPr>
                <w:rFonts w:ascii="仿宋" w:hAnsi="仿宋" w:eastAsia="仿宋" w:cs="仿宋"/>
                <w:kern w:val="0"/>
                <w:sz w:val="24"/>
              </w:rPr>
              <w:t>1</w:t>
            </w:r>
            <w:r>
              <w:rPr>
                <w:rFonts w:hint="eastAsia" w:ascii="仿宋" w:hAnsi="仿宋" w:eastAsia="仿宋" w:cs="仿宋"/>
                <w:kern w:val="0"/>
                <w:sz w:val="24"/>
              </w:rPr>
              <w:t>分；其他情况不得分。</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1、承诺内容真实可信，有明确的违约解决方法，加3分；</w:t>
            </w:r>
          </w:p>
          <w:p>
            <w:pPr>
              <w:spacing w:line="360" w:lineRule="auto"/>
              <w:rPr>
                <w:rFonts w:ascii="仿宋" w:hAnsi="仿宋" w:eastAsia="仿宋" w:cs="仿宋"/>
                <w:kern w:val="0"/>
                <w:sz w:val="24"/>
              </w:rPr>
            </w:pPr>
            <w:r>
              <w:rPr>
                <w:rFonts w:hint="eastAsia" w:ascii="仿宋" w:hAnsi="仿宋" w:eastAsia="仿宋" w:cs="仿宋"/>
                <w:kern w:val="0"/>
                <w:sz w:val="24"/>
              </w:rPr>
              <w:t>2、承诺内容真实可信，有违约解决方法但不够明确具体，加2分；</w:t>
            </w:r>
          </w:p>
          <w:p>
            <w:pPr>
              <w:spacing w:line="360" w:lineRule="auto"/>
              <w:rPr>
                <w:rFonts w:ascii="仿宋" w:hAnsi="仿宋" w:eastAsia="仿宋" w:cs="仿宋"/>
                <w:kern w:val="0"/>
                <w:sz w:val="24"/>
              </w:rPr>
            </w:pPr>
            <w:r>
              <w:rPr>
                <w:rFonts w:hint="eastAsia" w:ascii="仿宋" w:hAnsi="仿宋" w:eastAsia="仿宋" w:cs="仿宋"/>
                <w:kern w:val="0"/>
                <w:sz w:val="24"/>
              </w:rPr>
              <w:t>3、承诺可信度底，无违约解决方法，加1分；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3</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商务部分</w:t>
            </w:r>
          </w:p>
        </w:tc>
        <w:tc>
          <w:tcPr>
            <w:tcW w:w="6146" w:type="dxa"/>
          </w:tcPr>
          <w:p>
            <w:pPr>
              <w:wordWrap w:val="0"/>
              <w:spacing w:line="360" w:lineRule="auto"/>
              <w:jc w:val="center"/>
              <w:rPr>
                <w:rFonts w:ascii="仿宋" w:hAnsi="仿宋" w:eastAsia="仿宋" w:cs="仿宋"/>
                <w:b/>
                <w:bCs/>
                <w:sz w:val="24"/>
                <w:highlight w:val="yellow"/>
              </w:rPr>
            </w:pPr>
            <w:r>
              <w:rPr>
                <w:rFonts w:hint="eastAsia" w:ascii="仿宋" w:hAnsi="仿宋" w:eastAsia="仿宋" w:cs="仿宋"/>
                <w:b/>
                <w:bCs/>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szCs w:val="24"/>
              </w:rPr>
              <w:t>投标人同类项目业绩情况</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szCs w:val="24"/>
              </w:rPr>
              <w:t>15</w:t>
            </w:r>
          </w:p>
        </w:tc>
        <w:tc>
          <w:tcPr>
            <w:tcW w:w="6146" w:type="dxa"/>
            <w:vAlign w:val="center"/>
          </w:tcPr>
          <w:p>
            <w:pPr>
              <w:numPr>
                <w:ilvl w:val="0"/>
                <w:numId w:val="40"/>
              </w:numPr>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评审内容：</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b/>
                <w:bCs/>
                <w:kern w:val="0"/>
                <w:sz w:val="24"/>
                <w:szCs w:val="24"/>
              </w:rPr>
              <w:t>一、政策及安全研究项目业绩情况：</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投标人近三年（2021年7月1日至本项目截止投标之日，以合同签订时间为准）参与安全类标准编制的，其中至少有一项为消防电气安全类标准编制，每参与一项得5分，最高得10分。</w:t>
            </w:r>
          </w:p>
          <w:p>
            <w:pPr>
              <w:widowControl/>
              <w:spacing w:line="360" w:lineRule="auto"/>
              <w:jc w:val="left"/>
              <w:textAlignment w:val="center"/>
            </w:pPr>
            <w:r>
              <w:rPr>
                <w:rFonts w:hint="eastAsia" w:ascii="仿宋" w:hAnsi="仿宋" w:eastAsia="仿宋" w:cs="仿宋"/>
                <w:b/>
                <w:bCs/>
                <w:kern w:val="0"/>
                <w:sz w:val="24"/>
                <w:szCs w:val="24"/>
              </w:rPr>
              <w:t>二、消防安全评估或电气安全检测业绩情况：</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投标人近三年（2021年7月1日至本项目截止投标之日，以合同签订时间为准）具有行政机关</w:t>
            </w:r>
            <w:r>
              <w:rPr>
                <w:rFonts w:ascii="仿宋" w:hAnsi="仿宋" w:eastAsia="仿宋" w:cs="仿宋"/>
                <w:kern w:val="0"/>
                <w:sz w:val="24"/>
                <w:szCs w:val="24"/>
              </w:rPr>
              <w:t>或事业单位</w:t>
            </w:r>
            <w:bookmarkStart w:id="302" w:name="_GoBack"/>
            <w:bookmarkEnd w:id="302"/>
            <w:r>
              <w:rPr>
                <w:rFonts w:ascii="仿宋" w:hAnsi="仿宋" w:eastAsia="仿宋" w:cs="仿宋"/>
                <w:kern w:val="0"/>
                <w:sz w:val="24"/>
                <w:szCs w:val="24"/>
              </w:rPr>
              <w:t>的</w:t>
            </w:r>
            <w:r>
              <w:rPr>
                <w:rFonts w:hint="eastAsia" w:ascii="仿宋" w:hAnsi="仿宋" w:eastAsia="仿宋" w:cs="仿宋"/>
                <w:kern w:val="0"/>
                <w:sz w:val="24"/>
                <w:szCs w:val="24"/>
              </w:rPr>
              <w:t>消防安全评估或电气安全检测等同类项目</w:t>
            </w:r>
            <w:r>
              <w:rPr>
                <w:rFonts w:ascii="仿宋" w:hAnsi="仿宋" w:eastAsia="仿宋" w:cs="仿宋"/>
                <w:kern w:val="0"/>
                <w:sz w:val="24"/>
                <w:szCs w:val="24"/>
              </w:rPr>
              <w:t>业绩的，每提供一个业绩得</w:t>
            </w:r>
            <w:r>
              <w:rPr>
                <w:rFonts w:hint="eastAsia" w:ascii="仿宋" w:hAnsi="仿宋" w:eastAsia="仿宋" w:cs="仿宋"/>
                <w:kern w:val="0"/>
                <w:sz w:val="24"/>
                <w:szCs w:val="24"/>
              </w:rPr>
              <w:t>1分</w:t>
            </w:r>
            <w:r>
              <w:rPr>
                <w:rFonts w:ascii="仿宋" w:hAnsi="仿宋" w:eastAsia="仿宋" w:cs="仿宋"/>
                <w:kern w:val="0"/>
                <w:sz w:val="24"/>
                <w:szCs w:val="24"/>
              </w:rPr>
              <w:t>，本项最高得</w:t>
            </w:r>
            <w:r>
              <w:rPr>
                <w:rFonts w:hint="eastAsia" w:ascii="仿宋" w:hAnsi="仿宋" w:eastAsia="仿宋" w:cs="仿宋"/>
                <w:kern w:val="0"/>
                <w:sz w:val="24"/>
                <w:szCs w:val="24"/>
              </w:rPr>
              <w:t>5分</w:t>
            </w:r>
            <w:r>
              <w:rPr>
                <w:rFonts w:ascii="仿宋" w:hAnsi="仿宋" w:eastAsia="仿宋" w:cs="仿宋"/>
                <w:kern w:val="0"/>
                <w:sz w:val="24"/>
                <w:szCs w:val="24"/>
              </w:rPr>
              <w:t>。</w:t>
            </w:r>
          </w:p>
          <w:p>
            <w:pPr>
              <w:widowControl/>
              <w:spacing w:line="360" w:lineRule="auto"/>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（二）评分依据：</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szCs w:val="24"/>
              </w:rPr>
              <w:t>投标人提供书面证明材料扫描件，并加盖投标人公章，未按要求提供或提供不清晰导致专家无法判断的不得分。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投标人的资质情况</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szCs w:val="24"/>
              </w:rPr>
              <w:t>10</w:t>
            </w:r>
          </w:p>
        </w:tc>
        <w:tc>
          <w:tcPr>
            <w:tcW w:w="6146" w:type="dxa"/>
            <w:vAlign w:val="center"/>
          </w:tcPr>
          <w:p>
            <w:pPr>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1、投标人具有在有效期内的：质量管理体系认证证书（认证范围包含消防安全类）、环境管理体系认证证书（认证范围包含消防安全类）、职业健康安全管理体系证书（认证范围包含消防安全类），每提供一项体系认证得2分，本项最高得6分。</w:t>
            </w:r>
          </w:p>
          <w:p>
            <w:pPr>
              <w:widowControl/>
              <w:spacing w:line="360" w:lineRule="auto"/>
              <w:jc w:val="left"/>
              <w:textAlignment w:val="center"/>
              <w:rPr>
                <w:rFonts w:ascii="仿宋" w:hAnsi="仿宋" w:eastAsia="仿宋" w:cs="仿宋"/>
                <w:kern w:val="0"/>
                <w:sz w:val="24"/>
                <w:szCs w:val="24"/>
              </w:rPr>
            </w:pPr>
            <w:r>
              <w:rPr>
                <w:rFonts w:hint="eastAsia"/>
              </w:rPr>
              <w:t xml:space="preserve"> </w:t>
            </w:r>
            <w:r>
              <w:rPr>
                <w:rFonts w:hint="eastAsia" w:ascii="仿宋" w:hAnsi="仿宋" w:eastAsia="仿宋" w:cs="仿宋"/>
                <w:kern w:val="0"/>
                <w:sz w:val="24"/>
                <w:szCs w:val="24"/>
              </w:rPr>
              <w:t>2、投标人具有市级或以上应急管理部门备案登记安全培训机构资质的得4分，本项最高得4分。</w:t>
            </w:r>
          </w:p>
          <w:p>
            <w:pPr>
              <w:widowControl/>
              <w:spacing w:line="360" w:lineRule="auto"/>
              <w:jc w:val="left"/>
              <w:textAlignment w:val="center"/>
            </w:pPr>
            <w:r>
              <w:rPr>
                <w:rFonts w:hint="eastAsia" w:ascii="仿宋" w:hAnsi="仿宋" w:eastAsia="仿宋" w:cs="仿宋"/>
                <w:kern w:val="0"/>
                <w:sz w:val="24"/>
                <w:szCs w:val="24"/>
              </w:rPr>
              <w:t>以上两项总共最高可得10分。</w:t>
            </w:r>
          </w:p>
          <w:p>
            <w:pPr>
              <w:widowControl/>
              <w:spacing w:line="360" w:lineRule="auto"/>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（二）评分依据：</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要求提供在有效期内的相关证书和国家认证认可监督管理委员会官方网站（www.cnca.gov.cn）【</w:t>
            </w:r>
            <w:r>
              <w:rPr>
                <w:rFonts w:hint="eastAsia" w:ascii="仿宋" w:hAnsi="仿宋" w:eastAsia="仿宋" w:cs="仿宋"/>
                <w:b/>
                <w:bCs/>
                <w:color w:val="FF0000"/>
                <w:sz w:val="24"/>
                <w:szCs w:val="24"/>
              </w:rPr>
              <w:t>证书状态：有效</w:t>
            </w:r>
            <w:r>
              <w:rPr>
                <w:rFonts w:hint="eastAsia" w:ascii="仿宋" w:hAnsi="仿宋" w:eastAsia="仿宋" w:cs="仿宋"/>
                <w:sz w:val="24"/>
                <w:szCs w:val="24"/>
              </w:rPr>
              <w:t>】或相关网站查询截图等证明材料并加盖投标人公章，</w:t>
            </w:r>
            <w:r>
              <w:rPr>
                <w:rFonts w:hint="eastAsia" w:ascii="仿宋" w:hAnsi="仿宋" w:eastAsia="仿宋" w:cs="仿宋"/>
                <w:kern w:val="0"/>
                <w:sz w:val="24"/>
                <w:szCs w:val="24"/>
              </w:rPr>
              <w:t>原件备查，未提供或未按要求提供或提供的资料不清晰导致专家无法判断的不得分。</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szCs w:val="24"/>
              </w:rPr>
              <w:t>2、安全培训机构资质须提供网上截图及网址并加盖投标人公章；评分中出现无证明资料或专家无法凭所提供资料判断是否得分的情况，一律作不得分处理。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拟派项目负责人情况（仅限一名）</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8</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拟安排项目负责人具有副高（高级工程师、副教授、副研究员）及以上职称（职称专业为机电类相关专业）且近3年具有消防电气相关标准参编经验的得5分；在此基础上有同类项目业绩不少于3个的得3分；不具备副高（高级工程师、副教授、副研究员）及以上职称或不具有消防电气相关标准参编经验的此项不得分，本项最高得8分。</w:t>
            </w:r>
          </w:p>
          <w:p>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要求提供通过投标人缴纳的近三个月的任意一个月的社保证明作为本单位员工的证明依据。若供应商成立不足三个月的，需提供成立情况说明函（格式自拟），无需提供相关人员社保，亦可得分；若为退休返聘人员，需提供返聘合同，无需提供相关人员社保，亦可得分。</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2、提供相关证书的扫描件，并加盖投标人公章，原件备查；</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3、项目负责人消防类标准参编经验，提供相关证明文件。</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4、未按要求提供或提供不清晰导致专家无法判断的不得分。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ascii="仿宋" w:hAnsi="仿宋" w:eastAsia="仿宋" w:cs="仿宋"/>
                <w:kern w:val="44"/>
                <w:sz w:val="24"/>
              </w:rPr>
            </w:pPr>
            <w:r>
              <w:rPr>
                <w:rFonts w:hint="eastAsia" w:ascii="仿宋" w:hAnsi="仿宋" w:eastAsia="仿宋" w:cs="仿宋"/>
                <w:kern w:val="44"/>
                <w:sz w:val="24"/>
              </w:rPr>
              <w:t>4</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拟安排的项目团队成员（项目负责人除外）情况</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7</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拟安排项目团队人员不少于15人，否则本项不得分。</w:t>
            </w:r>
          </w:p>
          <w:p>
            <w:pPr>
              <w:spacing w:line="360" w:lineRule="auto"/>
              <w:rPr>
                <w:rFonts w:ascii="仿宋" w:hAnsi="仿宋" w:eastAsia="仿宋" w:cs="仿宋"/>
                <w:kern w:val="0"/>
                <w:sz w:val="24"/>
              </w:rPr>
            </w:pPr>
            <w:r>
              <w:rPr>
                <w:rFonts w:hint="eastAsia" w:ascii="仿宋" w:hAnsi="仿宋" w:eastAsia="仿宋" w:cs="仿宋"/>
                <w:kern w:val="0"/>
                <w:sz w:val="24"/>
              </w:rPr>
              <w:t>（1）团队中，每提供一名具有副高（高级工程师、副教授、副研究员）及以上职称的，得1分，本小项最高得5分；</w:t>
            </w:r>
          </w:p>
          <w:p>
            <w:pPr>
              <w:spacing w:line="360" w:lineRule="auto"/>
              <w:rPr>
                <w:rFonts w:ascii="仿宋" w:hAnsi="仿宋" w:eastAsia="仿宋" w:cs="仿宋"/>
                <w:kern w:val="0"/>
                <w:sz w:val="24"/>
              </w:rPr>
            </w:pPr>
            <w:r>
              <w:rPr>
                <w:rFonts w:hint="eastAsia" w:ascii="仿宋" w:hAnsi="仿宋" w:eastAsia="仿宋" w:cs="仿宋"/>
                <w:kern w:val="0"/>
                <w:sz w:val="24"/>
              </w:rPr>
              <w:t>（2）团队成员中，具有参与过国家规范或行业标准编制的，得2分；</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以上一人具有多个证书只能在其中一项得分，不重复计分，最高得7分。</w:t>
            </w:r>
          </w:p>
          <w:p>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要求提供通过投标人缴纳的近三个月的任意一个月的社保证明作为本单位员工的证明依据。若供应商成立不足三个月的，需提供成立情况说明函（格式自拟），无需提供相关人员社保，亦可得分；若为退休返聘人员，需提供返聘合同，无需提供相关人员社保，亦可得分。</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2、提供相关证书的扫描件，并加盖投标人公章，原件备查；</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3、未按要求提供或提供不清晰导致专家无法判断的不得分。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ascii="仿宋" w:hAnsi="仿宋" w:eastAsia="仿宋" w:cs="仿宋"/>
                <w:kern w:val="44"/>
                <w:sz w:val="24"/>
              </w:rPr>
            </w:pPr>
            <w:r>
              <w:rPr>
                <w:rFonts w:hint="eastAsia" w:ascii="仿宋" w:hAnsi="仿宋" w:eastAsia="仿宋" w:cs="仿宋"/>
                <w:kern w:val="44"/>
                <w:sz w:val="24"/>
              </w:rPr>
              <w:t>5</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投标人获奖（荣誉）情况</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1、投标人具有国家级奖项证书每个得3分，最高得3分。</w:t>
            </w:r>
          </w:p>
          <w:p>
            <w:pPr>
              <w:spacing w:line="360" w:lineRule="auto"/>
              <w:rPr>
                <w:rFonts w:ascii="仿宋" w:hAnsi="仿宋" w:eastAsia="仿宋" w:cs="仿宋"/>
                <w:kern w:val="0"/>
                <w:sz w:val="24"/>
              </w:rPr>
            </w:pPr>
            <w:r>
              <w:rPr>
                <w:rFonts w:hint="eastAsia" w:ascii="仿宋" w:hAnsi="仿宋" w:eastAsia="仿宋" w:cs="仿宋"/>
                <w:kern w:val="0"/>
                <w:sz w:val="24"/>
              </w:rPr>
              <w:t>2、投标人具有省部级奖项证书每个得2分，最高得2分。</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以上两项最高得5分。</w:t>
            </w:r>
          </w:p>
          <w:p>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提供书面证明材料扫描件，并加盖投标人公章。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ascii="仿宋" w:hAnsi="仿宋" w:eastAsia="仿宋" w:cs="仿宋"/>
                <w:b/>
                <w:bCs/>
                <w:kern w:val="44"/>
                <w:sz w:val="24"/>
              </w:rPr>
            </w:pPr>
            <w:r>
              <w:rPr>
                <w:rFonts w:hint="eastAsia" w:ascii="仿宋" w:hAnsi="仿宋" w:eastAsia="仿宋" w:cs="仿宋"/>
                <w:kern w:val="44"/>
                <w:sz w:val="24"/>
              </w:rPr>
              <w:t>6</w:t>
            </w:r>
          </w:p>
        </w:tc>
        <w:tc>
          <w:tcPr>
            <w:tcW w:w="1268"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诚信情况</w:t>
            </w:r>
          </w:p>
        </w:tc>
        <w:tc>
          <w:tcPr>
            <w:tcW w:w="1005"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6146" w:type="dxa"/>
          </w:tcPr>
          <w:p>
            <w:pPr>
              <w:wordWrap w:val="0"/>
              <w:spacing w:line="360" w:lineRule="auto"/>
              <w:rPr>
                <w:rFonts w:ascii="仿宋" w:hAnsi="仿宋" w:eastAsia="仿宋" w:cs="仿宋"/>
                <w:sz w:val="24"/>
              </w:rPr>
            </w:pPr>
            <w:r>
              <w:rPr>
                <w:rFonts w:hint="eastAsia" w:ascii="仿宋" w:hAnsi="仿宋" w:eastAsia="仿宋" w:cs="仿宋"/>
                <w:sz w:val="24"/>
              </w:rPr>
              <w:t>投标人在参与政府采购活动中存在诚信相关问题且在主管部门相关处理措施实施期限内的，本项不得分，否则得满分。投标人无需提供任何证明材料，由评审委员会现场系统查询相关信息。</w:t>
            </w:r>
          </w:p>
        </w:tc>
      </w:tr>
    </w:tbl>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1.每一项的得分均不能超过该项最高分值。</w:t>
      </w:r>
    </w:p>
    <w:p>
      <w:pPr>
        <w:spacing w:line="360" w:lineRule="auto"/>
        <w:rPr>
          <w:rFonts w:ascii="宋体" w:hAnsi="宋体"/>
          <w:szCs w:val="21"/>
        </w:rPr>
      </w:pPr>
      <w:r>
        <w:rPr>
          <w:rFonts w:hint="eastAsia" w:ascii="宋体" w:hAnsi="宋体"/>
          <w:szCs w:val="21"/>
        </w:rPr>
        <w:t>2.缺项则该项为0分或不合格为0分。</w:t>
      </w:r>
    </w:p>
    <w:p>
      <w:pPr>
        <w:spacing w:line="360" w:lineRule="auto"/>
        <w:rPr>
          <w:rFonts w:ascii="宋体" w:hAnsi="宋体"/>
          <w:szCs w:val="21"/>
        </w:rPr>
      </w:pPr>
      <w:r>
        <w:rPr>
          <w:rFonts w:hint="eastAsia" w:ascii="宋体" w:hAnsi="宋体"/>
          <w:szCs w:val="21"/>
        </w:rPr>
        <w:t>3.价格、技术、商务部分为针对项目具体情况设置项目，累加满分为100分。</w:t>
      </w:r>
    </w:p>
    <w:p>
      <w:pPr>
        <w:rPr>
          <w:rFonts w:ascii="宋体" w:hAnsi="宋体" w:cs="Arial"/>
          <w:b/>
          <w:bCs/>
          <w:snapToGrid w:val="0"/>
          <w:kern w:val="0"/>
          <w:szCs w:val="21"/>
        </w:rPr>
      </w:pPr>
      <w:r>
        <w:rPr>
          <w:rFonts w:hint="eastAsia" w:ascii="宋体" w:hAnsi="宋体"/>
          <w:szCs w:val="21"/>
        </w:rPr>
        <w:t>4.综合以上</w:t>
      </w:r>
      <w:r>
        <w:rPr>
          <w:rFonts w:hint="eastAsia" w:ascii="宋体" w:hAnsi="宋体"/>
          <w:snapToGrid w:val="0"/>
          <w:kern w:val="0"/>
          <w:szCs w:val="21"/>
        </w:rPr>
        <w:t>分析比较，评委会将对各投标文件进行书面的量化评定，得分</w:t>
      </w:r>
      <w:r>
        <w:rPr>
          <w:rFonts w:hint="eastAsia" w:ascii="宋体" w:hAnsi="宋体" w:cs="Arial"/>
          <w:snapToGrid w:val="0"/>
          <w:kern w:val="0"/>
          <w:szCs w:val="21"/>
        </w:rPr>
        <w:t>精确到小数点后两位。</w:t>
      </w:r>
    </w:p>
    <w:p/>
    <w:p>
      <w:pPr>
        <w:rPr>
          <w:rFonts w:ascii="宋体" w:hAnsi="宋体" w:eastAsia="宋体" w:cs="Arial"/>
          <w:b/>
          <w:bCs/>
          <w:snapToGrid w:val="0"/>
          <w:kern w:val="0"/>
          <w:szCs w:val="21"/>
        </w:rPr>
      </w:pPr>
    </w:p>
    <w:sectPr>
      <w:headerReference r:id="rId5" w:type="default"/>
      <w:footerReference r:id="rId6" w:type="default"/>
      <w:footnotePr>
        <w:numRestart w:val="eachPage"/>
      </w:footnotePr>
      <w:pgSz w:w="11907" w:h="16840"/>
      <w:pgMar w:top="1440" w:right="1559" w:bottom="1440" w:left="1559" w:header="907" w:footer="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隶书">
    <w:altName w:val="方正隶书_GBK"/>
    <w:panose1 w:val="02010509060101010101"/>
    <w:charset w:val="86"/>
    <w:family w:val="modern"/>
    <w:pitch w:val="default"/>
    <w:sig w:usb0="00000000" w:usb1="00000000" w:usb2="0000001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华文仿宋"/>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Arial (W1)">
    <w:altName w:val="DejaVu Sans"/>
    <w:panose1 w:val="00000000000000000000"/>
    <w:charset w:val="00"/>
    <w:family w:val="swiss"/>
    <w:pitch w:val="default"/>
    <w:sig w:usb0="00000000" w:usb1="00000000" w:usb2="00000009" w:usb3="00000000" w:csb0="000001FF" w:csb1="00000000"/>
  </w:font>
  <w:font w:name="汉仪细等线简">
    <w:altName w:val="仿宋_GB2312"/>
    <w:panose1 w:val="00000000000000000000"/>
    <w:charset w:val="86"/>
    <w:family w:val="modern"/>
    <w:pitch w:val="default"/>
    <w:sig w:usb0="00000000" w:usb1="00000000" w:usb2="00000012" w:usb3="00000000" w:csb0="00040000" w:csb1="00000000"/>
  </w:font>
  <w:font w:name="Arial Narrow">
    <w:altName w:val="DejaVu Sans"/>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方正书宋_GBK"/>
    <w:panose1 w:val="00000000000000000000"/>
    <w:charset w:val="86"/>
    <w:family w:val="script"/>
    <w:pitch w:val="default"/>
    <w:sig w:usb0="00000000" w:usb1="00000000" w:usb2="00000012" w:usb3="00000000" w:csb0="00040001"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pPr>
      <w:pStyle w:val="27"/>
    </w:pPr>
    <w:r>
      <w:rPr>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143000" cy="297180"/>
                      </a:xfrm>
                      <a:prstGeom prst="rect">
                        <a:avLst/>
                      </a:prstGeom>
                      <a:noFill/>
                      <a:ln>
                        <a:noFill/>
                      </a:ln>
                      <a:effectLst/>
                    </wps:spPr>
                    <wps:txb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450pt;margin-top:10.6pt;height:23.4pt;width:90pt;z-index:251660288;mso-width-relative:page;mso-height-relative:page;" filled="f" stroked="f" coordsize="21600,21600" o:gfxdata="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8n6K71gAAAAoB&#10;AAAPAAAAAAAAAAEAIAAAADgAAABkcnMvZG93bnJldi54bWxQSwECFAAUAAAACACHTuJAHEd3ewcC&#10;AADiAwAADgAAAAAAAAABACAAAAA7AQAAZHJzL2Uyb0RvYy54bWxQSwUGAAAAAAYABgBZAQAAtAUA&#10;AAAA&#10;">
              <v:fill on="f" focussize="0,0"/>
              <v:stroke on="f"/>
              <v:imagedata o:title=""/>
              <o:lock v:ext="edit" aspectratio="f"/>
              <v:textbo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28.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2"/>
    <w:multiLevelType w:val="multilevel"/>
    <w:tmpl w:val="00000002"/>
    <w:lvl w:ilvl="0" w:tentative="0">
      <w:start w:val="1"/>
      <w:numFmt w:val="decimal"/>
      <w:lvlText w:val="2.4.%1"/>
      <w:lvlJc w:val="left"/>
      <w:pPr>
        <w:ind w:left="832" w:hanging="420"/>
      </w:pPr>
      <w:rPr>
        <w:rFonts w:hint="eastAsia"/>
      </w:rPr>
    </w:lvl>
    <w:lvl w:ilvl="1" w:tentative="0">
      <w:start w:val="1"/>
      <w:numFmt w:val="lowerLetter"/>
      <w:lvlText w:val="%2)"/>
      <w:lvlJc w:val="left"/>
      <w:pPr>
        <w:ind w:left="840" w:hanging="420"/>
      </w:pPr>
    </w:lvl>
    <w:lvl w:ilvl="2" w:tentative="0">
      <w:start w:val="1"/>
      <w:numFmt w:val="decimal"/>
      <w:lvlText w:val="2.5.%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3.%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00000006"/>
    <w:multiLevelType w:val="multilevel"/>
    <w:tmpl w:val="00000006"/>
    <w:lvl w:ilvl="0" w:tentative="0">
      <w:start w:val="1"/>
      <w:numFmt w:val="decimal"/>
      <w:lvlText w:val="6.%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lvlText w:val="9.%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8"/>
    <w:multiLevelType w:val="multilevel"/>
    <w:tmpl w:val="00000008"/>
    <w:lvl w:ilvl="0" w:tentative="0">
      <w:start w:val="1"/>
      <w:numFmt w:val="decimal"/>
      <w:lvlText w:val="1.%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00000009"/>
    <w:multiLevelType w:val="multilevel"/>
    <w:tmpl w:val="00000009"/>
    <w:lvl w:ilvl="0" w:tentative="0">
      <w:start w:val="1"/>
      <w:numFmt w:val="japaneseCounting"/>
      <w:lvlText w:val="第%1章"/>
      <w:lvlJc w:val="left"/>
      <w:pPr>
        <w:ind w:left="4878"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5.2.%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8">
    <w:nsid w:val="0000000B"/>
    <w:multiLevelType w:val="multilevel"/>
    <w:tmpl w:val="0000000B"/>
    <w:lvl w:ilvl="0" w:tentative="0">
      <w:start w:val="1"/>
      <w:numFmt w:val="decimal"/>
      <w:lvlText w:val="26.%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D"/>
    <w:multiLevelType w:val="multilevel"/>
    <w:tmpl w:val="0000000D"/>
    <w:lvl w:ilvl="0" w:tentative="0">
      <w:start w:val="1"/>
      <w:numFmt w:val="decimal"/>
      <w:lvlText w:val="25.%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F"/>
    <w:multiLevelType w:val="multilevel"/>
    <w:tmpl w:val="0000000F"/>
    <w:lvl w:ilvl="0" w:tentative="0">
      <w:start w:val="1"/>
      <w:numFmt w:val="decimal"/>
      <w:lvlText w:val="11.%1"/>
      <w:lvlJc w:val="left"/>
      <w:pPr>
        <w:ind w:left="1238"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11">
    <w:nsid w:val="00000010"/>
    <w:multiLevelType w:val="multilevel"/>
    <w:tmpl w:val="00000010"/>
    <w:lvl w:ilvl="0" w:tentative="0">
      <w:start w:val="1"/>
      <w:numFmt w:val="decimal"/>
      <w:lvlText w:val="1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1"/>
    <w:multiLevelType w:val="multilevel"/>
    <w:tmpl w:val="00000011"/>
    <w:lvl w:ilvl="0" w:tentative="0">
      <w:start w:val="1"/>
      <w:numFmt w:val="decimal"/>
      <w:lvlText w:val="27.%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2"/>
    <w:multiLevelType w:val="multilevel"/>
    <w:tmpl w:val="00000012"/>
    <w:lvl w:ilvl="0" w:tentative="0">
      <w:start w:val="1"/>
      <w:numFmt w:val="decimal"/>
      <w:lvlText w:val="1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3"/>
    <w:multiLevelType w:val="multilevel"/>
    <w:tmpl w:val="00000013"/>
    <w:lvl w:ilvl="0" w:tentative="0">
      <w:start w:val="1"/>
      <w:numFmt w:val="decimal"/>
      <w:lvlText w:val="2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4"/>
    <w:multiLevelType w:val="multilevel"/>
    <w:tmpl w:val="0000001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suff w:val="nothing"/>
      <w:lvlText w:val="%1"/>
      <w:lvlJc w:val="left"/>
      <w:pPr>
        <w:ind w:left="704" w:hanging="420"/>
      </w:pPr>
      <w:rPr>
        <w:rFonts w:hint="eastAsia"/>
      </w:rPr>
    </w:lvl>
    <w:lvl w:ilvl="1" w:tentative="0">
      <w:start w:val="1"/>
      <w:numFmt w:val="lowerLetter"/>
      <w:lvlText w:val="%2)"/>
      <w:lvlJc w:val="left"/>
      <w:pPr>
        <w:tabs>
          <w:tab w:val="left" w:pos="1124"/>
        </w:tabs>
        <w:ind w:left="1124" w:hanging="420"/>
      </w:pPr>
      <w:rPr>
        <w:rFonts w:hint="eastAsia"/>
      </w:rPr>
    </w:lvl>
    <w:lvl w:ilvl="2" w:tentative="0">
      <w:start w:val="1"/>
      <w:numFmt w:val="lowerRoman"/>
      <w:lvlText w:val="%3."/>
      <w:lvlJc w:val="right"/>
      <w:pPr>
        <w:tabs>
          <w:tab w:val="left" w:pos="1544"/>
        </w:tabs>
        <w:ind w:left="1544" w:hanging="420"/>
      </w:pPr>
      <w:rPr>
        <w:rFonts w:hint="eastAsia"/>
      </w:rPr>
    </w:lvl>
    <w:lvl w:ilvl="3" w:tentative="0">
      <w:start w:val="1"/>
      <w:numFmt w:val="decimal"/>
      <w:lvlText w:val="%4."/>
      <w:lvlJc w:val="left"/>
      <w:pPr>
        <w:tabs>
          <w:tab w:val="left" w:pos="1964"/>
        </w:tabs>
        <w:ind w:left="1964" w:hanging="420"/>
      </w:pPr>
      <w:rPr>
        <w:rFonts w:hint="eastAsia"/>
      </w:rPr>
    </w:lvl>
    <w:lvl w:ilvl="4" w:tentative="0">
      <w:start w:val="1"/>
      <w:numFmt w:val="lowerLetter"/>
      <w:lvlText w:val="%5)"/>
      <w:lvlJc w:val="left"/>
      <w:pPr>
        <w:tabs>
          <w:tab w:val="left" w:pos="2384"/>
        </w:tabs>
        <w:ind w:left="2384" w:hanging="420"/>
      </w:pPr>
      <w:rPr>
        <w:rFonts w:hint="eastAsia"/>
      </w:rPr>
    </w:lvl>
    <w:lvl w:ilvl="5" w:tentative="0">
      <w:start w:val="1"/>
      <w:numFmt w:val="lowerRoman"/>
      <w:lvlText w:val="%6."/>
      <w:lvlJc w:val="right"/>
      <w:pPr>
        <w:tabs>
          <w:tab w:val="left" w:pos="2804"/>
        </w:tabs>
        <w:ind w:left="2804" w:hanging="420"/>
      </w:pPr>
      <w:rPr>
        <w:rFonts w:hint="eastAsia"/>
      </w:rPr>
    </w:lvl>
    <w:lvl w:ilvl="6" w:tentative="0">
      <w:start w:val="1"/>
      <w:numFmt w:val="decimal"/>
      <w:lvlText w:val="%7."/>
      <w:lvlJc w:val="left"/>
      <w:pPr>
        <w:tabs>
          <w:tab w:val="left" w:pos="3224"/>
        </w:tabs>
        <w:ind w:left="3224" w:hanging="420"/>
      </w:pPr>
      <w:rPr>
        <w:rFonts w:hint="eastAsia"/>
      </w:rPr>
    </w:lvl>
    <w:lvl w:ilvl="7" w:tentative="0">
      <w:start w:val="1"/>
      <w:numFmt w:val="lowerLetter"/>
      <w:lvlText w:val="%8)"/>
      <w:lvlJc w:val="left"/>
      <w:pPr>
        <w:tabs>
          <w:tab w:val="left" w:pos="3644"/>
        </w:tabs>
        <w:ind w:left="3644" w:hanging="420"/>
      </w:pPr>
      <w:rPr>
        <w:rFonts w:hint="eastAsia"/>
      </w:rPr>
    </w:lvl>
    <w:lvl w:ilvl="8" w:tentative="0">
      <w:start w:val="1"/>
      <w:numFmt w:val="lowerRoman"/>
      <w:lvlText w:val="%9."/>
      <w:lvlJc w:val="right"/>
      <w:pPr>
        <w:tabs>
          <w:tab w:val="left" w:pos="4064"/>
        </w:tabs>
        <w:ind w:left="4064" w:hanging="420"/>
      </w:pPr>
      <w:rPr>
        <w:rFonts w:hint="eastAsia"/>
      </w:rPr>
    </w:lvl>
  </w:abstractNum>
  <w:abstractNum w:abstractNumId="17">
    <w:nsid w:val="00000016"/>
    <w:multiLevelType w:val="multilevel"/>
    <w:tmpl w:val="00000016"/>
    <w:lvl w:ilvl="0" w:tentative="0">
      <w:start w:val="1"/>
      <w:numFmt w:val="decimal"/>
      <w:lvlText w:val="10.%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00000017"/>
    <w:multiLevelType w:val="multilevel"/>
    <w:tmpl w:val="00000017"/>
    <w:lvl w:ilvl="0" w:tentative="0">
      <w:start w:val="1"/>
      <w:numFmt w:val="decimal"/>
      <w:lvlText w:val="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8"/>
    <w:multiLevelType w:val="multilevel"/>
    <w:tmpl w:val="00000018"/>
    <w:lvl w:ilvl="0" w:tentative="0">
      <w:start w:val="1"/>
      <w:numFmt w:val="decimal"/>
      <w:lvlText w:val="7.%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9"/>
    <w:multiLevelType w:val="multilevel"/>
    <w:tmpl w:val="00000019"/>
    <w:lvl w:ilvl="0" w:tentative="0">
      <w:start w:val="1"/>
      <w:numFmt w:val="decimal"/>
      <w:lvlText w:val="2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000001B"/>
    <w:multiLevelType w:val="multilevel"/>
    <w:tmpl w:val="0000001B"/>
    <w:lvl w:ilvl="0" w:tentative="0">
      <w:start w:val="1"/>
      <w:numFmt w:val="decimal"/>
      <w:lvlText w:val="5.3.%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22">
    <w:nsid w:val="0000001C"/>
    <w:multiLevelType w:val="multilevel"/>
    <w:tmpl w:val="0000001C"/>
    <w:lvl w:ilvl="0" w:tentative="0">
      <w:start w:val="1"/>
      <w:numFmt w:val="decimal"/>
      <w:lvlText w:val="6.2.%1"/>
      <w:lvlJc w:val="left"/>
      <w:pPr>
        <w:ind w:left="1271" w:hanging="420"/>
      </w:pPr>
      <w:rPr>
        <w:rFonts w:hint="eastAsia"/>
      </w:rPr>
    </w:lvl>
    <w:lvl w:ilvl="1" w:tentative="0">
      <w:start w:val="1"/>
      <w:numFmt w:val="lowerLetter"/>
      <w:lvlText w:val="%2)"/>
      <w:lvlJc w:val="left"/>
      <w:pPr>
        <w:ind w:left="867" w:hanging="420"/>
      </w:pPr>
    </w:lvl>
    <w:lvl w:ilvl="2" w:tentative="0">
      <w:start w:val="1"/>
      <w:numFmt w:val="lowerRoman"/>
      <w:lvlText w:val="%3."/>
      <w:lvlJc w:val="right"/>
      <w:pPr>
        <w:ind w:left="1287" w:hanging="420"/>
      </w:pPr>
    </w:lvl>
    <w:lvl w:ilvl="3" w:tentative="0">
      <w:start w:val="1"/>
      <w:numFmt w:val="decimal"/>
      <w:lvlText w:val="%4."/>
      <w:lvlJc w:val="left"/>
      <w:pPr>
        <w:ind w:left="1707" w:hanging="420"/>
      </w:pPr>
    </w:lvl>
    <w:lvl w:ilvl="4" w:tentative="0">
      <w:start w:val="1"/>
      <w:numFmt w:val="lowerLetter"/>
      <w:lvlText w:val="%5)"/>
      <w:lvlJc w:val="left"/>
      <w:pPr>
        <w:ind w:left="2127" w:hanging="420"/>
      </w:pPr>
    </w:lvl>
    <w:lvl w:ilvl="5" w:tentative="0">
      <w:start w:val="1"/>
      <w:numFmt w:val="lowerRoman"/>
      <w:lvlText w:val="%6."/>
      <w:lvlJc w:val="right"/>
      <w:pPr>
        <w:ind w:left="2547" w:hanging="420"/>
      </w:pPr>
    </w:lvl>
    <w:lvl w:ilvl="6" w:tentative="0">
      <w:start w:val="1"/>
      <w:numFmt w:val="decimal"/>
      <w:lvlText w:val="%7."/>
      <w:lvlJc w:val="left"/>
      <w:pPr>
        <w:ind w:left="2967" w:hanging="420"/>
      </w:pPr>
    </w:lvl>
    <w:lvl w:ilvl="7" w:tentative="0">
      <w:start w:val="1"/>
      <w:numFmt w:val="lowerLetter"/>
      <w:lvlText w:val="%8)"/>
      <w:lvlJc w:val="left"/>
      <w:pPr>
        <w:ind w:left="3387" w:hanging="420"/>
      </w:pPr>
    </w:lvl>
    <w:lvl w:ilvl="8" w:tentative="0">
      <w:start w:val="1"/>
      <w:numFmt w:val="lowerRoman"/>
      <w:lvlText w:val="%9."/>
      <w:lvlJc w:val="right"/>
      <w:pPr>
        <w:ind w:left="3807" w:hanging="420"/>
      </w:pPr>
    </w:lvl>
  </w:abstractNum>
  <w:abstractNum w:abstractNumId="23">
    <w:nsid w:val="0000001D"/>
    <w:multiLevelType w:val="multilevel"/>
    <w:tmpl w:val="0000001D"/>
    <w:lvl w:ilvl="0" w:tentative="0">
      <w:start w:val="1"/>
      <w:numFmt w:val="decimal"/>
      <w:lvlText w:val="5.4.%1"/>
      <w:lvlJc w:val="left"/>
      <w:pPr>
        <w:ind w:left="1413" w:hanging="420"/>
      </w:pPr>
      <w:rPr>
        <w:rFonts w:hint="eastAsia" w:ascii="宋体" w:hAnsi="宋体" w:eastAsia="宋体"/>
      </w:rPr>
    </w:lvl>
    <w:lvl w:ilvl="1" w:tentative="0">
      <w:start w:val="1"/>
      <w:numFmt w:val="lowerLetter"/>
      <w:lvlText w:val="%2)"/>
      <w:lvlJc w:val="left"/>
      <w:pPr>
        <w:ind w:left="696" w:hanging="420"/>
      </w:pPr>
    </w:lvl>
    <w:lvl w:ilvl="2" w:tentative="0">
      <w:start w:val="1"/>
      <w:numFmt w:val="lowerRoman"/>
      <w:lvlText w:val="%3."/>
      <w:lvlJc w:val="right"/>
      <w:pPr>
        <w:ind w:left="1116" w:hanging="420"/>
      </w:pPr>
    </w:lvl>
    <w:lvl w:ilvl="3" w:tentative="0">
      <w:start w:val="1"/>
      <w:numFmt w:val="decimal"/>
      <w:lvlText w:val="%4."/>
      <w:lvlJc w:val="left"/>
      <w:pPr>
        <w:ind w:left="1536" w:hanging="420"/>
      </w:pPr>
    </w:lvl>
    <w:lvl w:ilvl="4" w:tentative="0">
      <w:start w:val="1"/>
      <w:numFmt w:val="lowerLetter"/>
      <w:lvlText w:val="%5)"/>
      <w:lvlJc w:val="left"/>
      <w:pPr>
        <w:ind w:left="1956" w:hanging="420"/>
      </w:pPr>
    </w:lvl>
    <w:lvl w:ilvl="5" w:tentative="0">
      <w:start w:val="1"/>
      <w:numFmt w:val="lowerRoman"/>
      <w:lvlText w:val="%6."/>
      <w:lvlJc w:val="right"/>
      <w:pPr>
        <w:ind w:left="2376" w:hanging="420"/>
      </w:pPr>
    </w:lvl>
    <w:lvl w:ilvl="6" w:tentative="0">
      <w:start w:val="1"/>
      <w:numFmt w:val="decimal"/>
      <w:lvlText w:val="%7."/>
      <w:lvlJc w:val="left"/>
      <w:pPr>
        <w:ind w:left="2796" w:hanging="420"/>
      </w:pPr>
    </w:lvl>
    <w:lvl w:ilvl="7" w:tentative="0">
      <w:start w:val="1"/>
      <w:numFmt w:val="lowerLetter"/>
      <w:lvlText w:val="%8)"/>
      <w:lvlJc w:val="left"/>
      <w:pPr>
        <w:ind w:left="3216" w:hanging="420"/>
      </w:pPr>
    </w:lvl>
    <w:lvl w:ilvl="8" w:tentative="0">
      <w:start w:val="1"/>
      <w:numFmt w:val="lowerRoman"/>
      <w:lvlText w:val="%9."/>
      <w:lvlJc w:val="right"/>
      <w:pPr>
        <w:ind w:left="3636" w:hanging="420"/>
      </w:pPr>
    </w:lvl>
  </w:abstractNum>
  <w:abstractNum w:abstractNumId="24">
    <w:nsid w:val="0000001F"/>
    <w:multiLevelType w:val="multilevel"/>
    <w:tmpl w:val="0000001F"/>
    <w:lvl w:ilvl="0" w:tentative="0">
      <w:start w:val="1"/>
      <w:numFmt w:val="decimal"/>
      <w:lvlText w:val="21.%1"/>
      <w:lvlJc w:val="left"/>
      <w:pPr>
        <w:ind w:left="948" w:hanging="420"/>
      </w:pPr>
      <w:rPr>
        <w:rFonts w:hint="eastAsia" w:ascii="宋体" w:hAnsi="宋体" w:eastAsia="宋体"/>
        <w:b w:val="0"/>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25">
    <w:nsid w:val="00000022"/>
    <w:multiLevelType w:val="multilevel"/>
    <w:tmpl w:val="00000022"/>
    <w:lvl w:ilvl="0" w:tentative="0">
      <w:start w:val="1"/>
      <w:numFmt w:val="decimal"/>
      <w:lvlText w:val="2.%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6">
    <w:nsid w:val="00000023"/>
    <w:multiLevelType w:val="multilevel"/>
    <w:tmpl w:val="00000023"/>
    <w:lvl w:ilvl="0" w:tentative="0">
      <w:start w:val="1"/>
      <w:numFmt w:val="decimal"/>
      <w:lvlText w:val="20.%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4"/>
    <w:multiLevelType w:val="multilevel"/>
    <w:tmpl w:val="00000024"/>
    <w:lvl w:ilvl="0" w:tentative="0">
      <w:start w:val="1"/>
      <w:numFmt w:val="decimal"/>
      <w:lvlText w:val="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5"/>
    <w:multiLevelType w:val="multilevel"/>
    <w:tmpl w:val="00000025"/>
    <w:lvl w:ilvl="0" w:tentative="0">
      <w:start w:val="1"/>
      <w:numFmt w:val="decimal"/>
      <w:lvlText w:val="28.%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8"/>
    <w:multiLevelType w:val="multilevel"/>
    <w:tmpl w:val="00000028"/>
    <w:lvl w:ilvl="0" w:tentative="0">
      <w:start w:val="1"/>
      <w:numFmt w:val="decimal"/>
      <w:lvlText w:val="%1."/>
      <w:lvlJc w:val="left"/>
      <w:pPr>
        <w:ind w:left="1134" w:hanging="420"/>
      </w:pPr>
      <w:rPr>
        <w:rFonts w:hint="eastAsia"/>
      </w:rPr>
    </w:lvl>
    <w:lvl w:ilvl="1" w:tentative="0">
      <w:start w:val="5"/>
      <w:numFmt w:val="decimal"/>
      <w:isLgl/>
      <w:lvlText w:val="%1.%2"/>
      <w:lvlJc w:val="left"/>
      <w:pPr>
        <w:ind w:left="2137" w:hanging="855"/>
      </w:pPr>
      <w:rPr>
        <w:rFonts w:hint="default"/>
      </w:rPr>
    </w:lvl>
    <w:lvl w:ilvl="2" w:tentative="0">
      <w:start w:val="1"/>
      <w:numFmt w:val="decimal"/>
      <w:isLgl/>
      <w:lvlText w:val="%1.%2.%3"/>
      <w:lvlJc w:val="left"/>
      <w:pPr>
        <w:ind w:left="2137" w:hanging="855"/>
      </w:pPr>
      <w:rPr>
        <w:rFonts w:hint="default"/>
      </w:rPr>
    </w:lvl>
    <w:lvl w:ilvl="3" w:tentative="0">
      <w:start w:val="1"/>
      <w:numFmt w:val="decimal"/>
      <w:isLgl/>
      <w:lvlText w:val="%1.%2.%3.%4"/>
      <w:lvlJc w:val="left"/>
      <w:pPr>
        <w:ind w:left="2362" w:hanging="1080"/>
      </w:pPr>
      <w:rPr>
        <w:rFonts w:hint="default"/>
      </w:rPr>
    </w:lvl>
    <w:lvl w:ilvl="4" w:tentative="0">
      <w:start w:val="1"/>
      <w:numFmt w:val="decimal"/>
      <w:isLgl/>
      <w:lvlText w:val="%1.%2.%3.%4.%5"/>
      <w:lvlJc w:val="left"/>
      <w:pPr>
        <w:ind w:left="2362" w:hanging="1080"/>
      </w:pPr>
      <w:rPr>
        <w:rFonts w:hint="default"/>
      </w:rPr>
    </w:lvl>
    <w:lvl w:ilvl="5" w:tentative="0">
      <w:start w:val="1"/>
      <w:numFmt w:val="decimal"/>
      <w:isLgl/>
      <w:lvlText w:val="%1.%2.%3.%4.%5.%6"/>
      <w:lvlJc w:val="left"/>
      <w:pPr>
        <w:ind w:left="2722" w:hanging="1440"/>
      </w:pPr>
      <w:rPr>
        <w:rFonts w:hint="default"/>
      </w:rPr>
    </w:lvl>
    <w:lvl w:ilvl="6" w:tentative="0">
      <w:start w:val="1"/>
      <w:numFmt w:val="decimal"/>
      <w:isLgl/>
      <w:lvlText w:val="%1.%2.%3.%4.%5.%6.%7"/>
      <w:lvlJc w:val="left"/>
      <w:pPr>
        <w:ind w:left="2722" w:hanging="1440"/>
      </w:pPr>
      <w:rPr>
        <w:rFonts w:hint="default"/>
      </w:rPr>
    </w:lvl>
    <w:lvl w:ilvl="7" w:tentative="0">
      <w:start w:val="1"/>
      <w:numFmt w:val="decimal"/>
      <w:isLgl/>
      <w:lvlText w:val="%1.%2.%3.%4.%5.%6.%7.%8"/>
      <w:lvlJc w:val="left"/>
      <w:pPr>
        <w:ind w:left="3082" w:hanging="1800"/>
      </w:pPr>
      <w:rPr>
        <w:rFonts w:hint="default"/>
      </w:rPr>
    </w:lvl>
    <w:lvl w:ilvl="8" w:tentative="0">
      <w:start w:val="1"/>
      <w:numFmt w:val="decimal"/>
      <w:isLgl/>
      <w:lvlText w:val="%1.%2.%3.%4.%5.%6.%7.%8.%9"/>
      <w:lvlJc w:val="left"/>
      <w:pPr>
        <w:ind w:left="3082" w:hanging="1800"/>
      </w:pPr>
      <w:rPr>
        <w:rFonts w:hint="default"/>
      </w:rPr>
    </w:lvl>
  </w:abstractNum>
  <w:abstractNum w:abstractNumId="30">
    <w:nsid w:val="00000029"/>
    <w:multiLevelType w:val="multilevel"/>
    <w:tmpl w:val="00000029"/>
    <w:lvl w:ilvl="0" w:tentative="0">
      <w:start w:val="1"/>
      <w:numFmt w:val="decimal"/>
      <w:lvlText w:val="28.4.5.%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1">
    <w:nsid w:val="0000002C"/>
    <w:multiLevelType w:val="multilevel"/>
    <w:tmpl w:val="0000002C"/>
    <w:lvl w:ilvl="0" w:tentative="0">
      <w:start w:val="1"/>
      <w:numFmt w:val="decimal"/>
      <w:lvlText w:val="28.4.5.1.%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2">
    <w:nsid w:val="0000002E"/>
    <w:multiLevelType w:val="multilevel"/>
    <w:tmpl w:val="0000002E"/>
    <w:lvl w:ilvl="0" w:tentative="0">
      <w:start w:val="1"/>
      <w:numFmt w:val="decimal"/>
      <w:lvlText w:val="28.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F"/>
    <w:multiLevelType w:val="multilevel"/>
    <w:tmpl w:val="0000002F"/>
    <w:lvl w:ilvl="0" w:tentative="0">
      <w:start w:val="1"/>
      <w:numFmt w:val="decimal"/>
      <w:lvlText w:val="16.%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30"/>
    <w:multiLevelType w:val="multilevel"/>
    <w:tmpl w:val="00000030"/>
    <w:lvl w:ilvl="0" w:tentative="0">
      <w:start w:val="1"/>
      <w:numFmt w:val="decimal"/>
      <w:lvlText w:val="28.3.%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0000031"/>
    <w:multiLevelType w:val="multilevel"/>
    <w:tmpl w:val="00000031"/>
    <w:lvl w:ilvl="0" w:tentative="0">
      <w:start w:val="1"/>
      <w:numFmt w:val="decimal"/>
      <w:lvlText w:val="12.%1"/>
      <w:lvlJc w:val="left"/>
      <w:pPr>
        <w:ind w:left="988" w:hanging="420"/>
      </w:pPr>
      <w:rPr>
        <w:rFonts w:hint="eastAsia"/>
      </w:rPr>
    </w:lvl>
    <w:lvl w:ilvl="1" w:tentative="0">
      <w:start w:val="1"/>
      <w:numFmt w:val="lowerLetter"/>
      <w:lvlText w:val="%2)"/>
      <w:lvlJc w:val="left"/>
      <w:pPr>
        <w:ind w:left="172" w:hanging="420"/>
      </w:pPr>
    </w:lvl>
    <w:lvl w:ilvl="2" w:tentative="0">
      <w:start w:val="1"/>
      <w:numFmt w:val="lowerRoman"/>
      <w:lvlText w:val="%3."/>
      <w:lvlJc w:val="right"/>
      <w:pPr>
        <w:ind w:left="592" w:hanging="420"/>
      </w:pPr>
    </w:lvl>
    <w:lvl w:ilvl="3" w:tentative="0">
      <w:start w:val="1"/>
      <w:numFmt w:val="decimal"/>
      <w:lvlText w:val="%4."/>
      <w:lvlJc w:val="left"/>
      <w:pPr>
        <w:ind w:left="1012" w:hanging="420"/>
      </w:pPr>
    </w:lvl>
    <w:lvl w:ilvl="4" w:tentative="0">
      <w:start w:val="1"/>
      <w:numFmt w:val="lowerLetter"/>
      <w:lvlText w:val="%5)"/>
      <w:lvlJc w:val="left"/>
      <w:pPr>
        <w:ind w:left="1432" w:hanging="420"/>
      </w:pPr>
    </w:lvl>
    <w:lvl w:ilvl="5" w:tentative="0">
      <w:start w:val="1"/>
      <w:numFmt w:val="lowerRoman"/>
      <w:lvlText w:val="%6."/>
      <w:lvlJc w:val="right"/>
      <w:pPr>
        <w:ind w:left="1852" w:hanging="420"/>
      </w:pPr>
    </w:lvl>
    <w:lvl w:ilvl="6" w:tentative="0">
      <w:start w:val="1"/>
      <w:numFmt w:val="decimal"/>
      <w:lvlText w:val="%7."/>
      <w:lvlJc w:val="left"/>
      <w:pPr>
        <w:ind w:left="2272" w:hanging="420"/>
      </w:pPr>
    </w:lvl>
    <w:lvl w:ilvl="7" w:tentative="0">
      <w:start w:val="1"/>
      <w:numFmt w:val="lowerLetter"/>
      <w:lvlText w:val="%8)"/>
      <w:lvlJc w:val="left"/>
      <w:pPr>
        <w:ind w:left="2692" w:hanging="420"/>
      </w:pPr>
    </w:lvl>
    <w:lvl w:ilvl="8" w:tentative="0">
      <w:start w:val="1"/>
      <w:numFmt w:val="lowerRoman"/>
      <w:lvlText w:val="%9."/>
      <w:lvlJc w:val="right"/>
      <w:pPr>
        <w:ind w:left="3112" w:hanging="420"/>
      </w:pPr>
    </w:lvl>
  </w:abstractNum>
  <w:abstractNum w:abstractNumId="36">
    <w:nsid w:val="00000032"/>
    <w:multiLevelType w:val="multilevel"/>
    <w:tmpl w:val="00000032"/>
    <w:lvl w:ilvl="0" w:tentative="0">
      <w:start w:val="1"/>
      <w:numFmt w:val="decimal"/>
      <w:lvlText w:val="19.%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34"/>
    <w:multiLevelType w:val="multilevel"/>
    <w:tmpl w:val="00000034"/>
    <w:lvl w:ilvl="0" w:tentative="0">
      <w:start w:val="1"/>
      <w:numFmt w:val="decimal"/>
      <w:lvlText w:val="5.%1"/>
      <w:lvlJc w:val="left"/>
      <w:pPr>
        <w:ind w:left="704" w:hanging="420"/>
      </w:pPr>
      <w:rPr>
        <w:rFonts w:hint="eastAsia"/>
      </w:rPr>
    </w:lvl>
    <w:lvl w:ilvl="1" w:tentative="0">
      <w:start w:val="1"/>
      <w:numFmt w:val="lowerLetter"/>
      <w:lvlText w:val="%2)"/>
      <w:lvlJc w:val="left"/>
      <w:pPr>
        <w:ind w:left="300" w:hanging="420"/>
      </w:pPr>
    </w:lvl>
    <w:lvl w:ilvl="2" w:tentative="0">
      <w:start w:val="1"/>
      <w:numFmt w:val="lowerRoman"/>
      <w:lvlText w:val="%3."/>
      <w:lvlJc w:val="right"/>
      <w:pPr>
        <w:ind w:left="720" w:hanging="420"/>
      </w:pPr>
    </w:lvl>
    <w:lvl w:ilvl="3" w:tentative="0">
      <w:start w:val="1"/>
      <w:numFmt w:val="decimal"/>
      <w:lvlText w:val="%4."/>
      <w:lvlJc w:val="left"/>
      <w:pPr>
        <w:ind w:left="1140" w:hanging="420"/>
      </w:pPr>
    </w:lvl>
    <w:lvl w:ilvl="4" w:tentative="0">
      <w:start w:val="1"/>
      <w:numFmt w:val="lowerLetter"/>
      <w:lvlText w:val="%5)"/>
      <w:lvlJc w:val="left"/>
      <w:pPr>
        <w:ind w:left="1560" w:hanging="420"/>
      </w:pPr>
    </w:lvl>
    <w:lvl w:ilvl="5" w:tentative="0">
      <w:start w:val="1"/>
      <w:numFmt w:val="lowerRoman"/>
      <w:lvlText w:val="%6."/>
      <w:lvlJc w:val="right"/>
      <w:pPr>
        <w:ind w:left="1980" w:hanging="420"/>
      </w:pPr>
    </w:lvl>
    <w:lvl w:ilvl="6" w:tentative="0">
      <w:start w:val="1"/>
      <w:numFmt w:val="decimal"/>
      <w:lvlText w:val="%7."/>
      <w:lvlJc w:val="left"/>
      <w:pPr>
        <w:ind w:left="2400" w:hanging="420"/>
      </w:pPr>
    </w:lvl>
    <w:lvl w:ilvl="7" w:tentative="0">
      <w:start w:val="1"/>
      <w:numFmt w:val="lowerLetter"/>
      <w:lvlText w:val="%8)"/>
      <w:lvlJc w:val="left"/>
      <w:pPr>
        <w:ind w:left="2820" w:hanging="420"/>
      </w:pPr>
    </w:lvl>
    <w:lvl w:ilvl="8" w:tentative="0">
      <w:start w:val="1"/>
      <w:numFmt w:val="lowerRoman"/>
      <w:lvlText w:val="%9."/>
      <w:lvlJc w:val="right"/>
      <w:pPr>
        <w:ind w:left="3240" w:hanging="420"/>
      </w:pPr>
    </w:lvl>
  </w:abstractNum>
  <w:abstractNum w:abstractNumId="38">
    <w:nsid w:val="12840647"/>
    <w:multiLevelType w:val="multilevel"/>
    <w:tmpl w:val="12840647"/>
    <w:lvl w:ilvl="0" w:tentative="0">
      <w:start w:val="1"/>
      <w:numFmt w:val="decimal"/>
      <w:lvlText w:val="2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574979D"/>
    <w:multiLevelType w:val="singleLevel"/>
    <w:tmpl w:val="4574979D"/>
    <w:lvl w:ilvl="0" w:tentative="0">
      <w:start w:val="1"/>
      <w:numFmt w:val="chineseCounting"/>
      <w:suff w:val="nothing"/>
      <w:lvlText w:val="（%1）"/>
      <w:lvlJc w:val="left"/>
      <w:rPr>
        <w:rFonts w:hint="eastAsia"/>
      </w:rPr>
    </w:lvl>
  </w:abstractNum>
  <w:num w:numId="1">
    <w:abstractNumId w:val="6"/>
  </w:num>
  <w:num w:numId="2">
    <w:abstractNumId w:val="29"/>
  </w:num>
  <w:num w:numId="3">
    <w:abstractNumId w:val="5"/>
  </w:num>
  <w:num w:numId="4">
    <w:abstractNumId w:val="25"/>
  </w:num>
  <w:num w:numId="5">
    <w:abstractNumId w:val="1"/>
  </w:num>
  <w:num w:numId="6">
    <w:abstractNumId w:val="2"/>
  </w:num>
  <w:num w:numId="7">
    <w:abstractNumId w:val="37"/>
  </w:num>
  <w:num w:numId="8">
    <w:abstractNumId w:val="7"/>
  </w:num>
  <w:num w:numId="9">
    <w:abstractNumId w:val="21"/>
  </w:num>
  <w:num w:numId="10">
    <w:abstractNumId w:val="23"/>
  </w:num>
  <w:num w:numId="11">
    <w:abstractNumId w:val="3"/>
  </w:num>
  <w:num w:numId="12">
    <w:abstractNumId w:val="22"/>
  </w:num>
  <w:num w:numId="13">
    <w:abstractNumId w:val="19"/>
  </w:num>
  <w:num w:numId="14">
    <w:abstractNumId w:val="27"/>
  </w:num>
  <w:num w:numId="15">
    <w:abstractNumId w:val="4"/>
  </w:num>
  <w:num w:numId="16">
    <w:abstractNumId w:val="17"/>
  </w:num>
  <w:num w:numId="17">
    <w:abstractNumId w:val="10"/>
  </w:num>
  <w:num w:numId="18">
    <w:abstractNumId w:val="35"/>
  </w:num>
  <w:num w:numId="19">
    <w:abstractNumId w:val="33"/>
  </w:num>
  <w:num w:numId="20">
    <w:abstractNumId w:val="13"/>
  </w:num>
  <w:num w:numId="21">
    <w:abstractNumId w:val="11"/>
  </w:num>
  <w:num w:numId="22">
    <w:abstractNumId w:val="36"/>
  </w:num>
  <w:num w:numId="23">
    <w:abstractNumId w:val="26"/>
  </w:num>
  <w:num w:numId="24">
    <w:abstractNumId w:val="24"/>
  </w:num>
  <w:num w:numId="25">
    <w:abstractNumId w:val="20"/>
  </w:num>
  <w:num w:numId="26">
    <w:abstractNumId w:val="14"/>
  </w:num>
  <w:num w:numId="27">
    <w:abstractNumId w:val="18"/>
  </w:num>
  <w:num w:numId="28">
    <w:abstractNumId w:val="38"/>
  </w:num>
  <w:num w:numId="29">
    <w:abstractNumId w:val="9"/>
  </w:num>
  <w:num w:numId="30">
    <w:abstractNumId w:val="8"/>
  </w:num>
  <w:num w:numId="31">
    <w:abstractNumId w:val="12"/>
  </w:num>
  <w:num w:numId="32">
    <w:abstractNumId w:val="28"/>
  </w:num>
  <w:num w:numId="33">
    <w:abstractNumId w:val="32"/>
  </w:num>
  <w:num w:numId="34">
    <w:abstractNumId w:val="34"/>
  </w:num>
  <w:num w:numId="35">
    <w:abstractNumId w:val="0"/>
  </w:num>
  <w:num w:numId="36">
    <w:abstractNumId w:val="30"/>
  </w:num>
  <w:num w:numId="37">
    <w:abstractNumId w:val="31"/>
  </w:num>
  <w:num w:numId="38">
    <w:abstractNumId w:val="1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DQyMTdhMmY4NTRhNzRmMDNhN2ZkYzM3MDk0M2UifQ=="/>
  </w:docVars>
  <w:rsids>
    <w:rsidRoot w:val="009C6330"/>
    <w:rsid w:val="000030E4"/>
    <w:rsid w:val="00005945"/>
    <w:rsid w:val="000076AE"/>
    <w:rsid w:val="00010540"/>
    <w:rsid w:val="00020308"/>
    <w:rsid w:val="0002605E"/>
    <w:rsid w:val="000406E3"/>
    <w:rsid w:val="00042154"/>
    <w:rsid w:val="00045215"/>
    <w:rsid w:val="000454FE"/>
    <w:rsid w:val="00051CD9"/>
    <w:rsid w:val="000521B3"/>
    <w:rsid w:val="00056299"/>
    <w:rsid w:val="00064A44"/>
    <w:rsid w:val="000670BA"/>
    <w:rsid w:val="00067AA3"/>
    <w:rsid w:val="00075E0F"/>
    <w:rsid w:val="0008129C"/>
    <w:rsid w:val="00082165"/>
    <w:rsid w:val="0008243E"/>
    <w:rsid w:val="00084090"/>
    <w:rsid w:val="0008707F"/>
    <w:rsid w:val="00087C2E"/>
    <w:rsid w:val="000900D7"/>
    <w:rsid w:val="00090D7D"/>
    <w:rsid w:val="00094299"/>
    <w:rsid w:val="0009592E"/>
    <w:rsid w:val="000B6200"/>
    <w:rsid w:val="000C024B"/>
    <w:rsid w:val="000C2A29"/>
    <w:rsid w:val="000C3708"/>
    <w:rsid w:val="000D42FE"/>
    <w:rsid w:val="000E15D7"/>
    <w:rsid w:val="000E19AE"/>
    <w:rsid w:val="000E1D70"/>
    <w:rsid w:val="000E746F"/>
    <w:rsid w:val="000F167B"/>
    <w:rsid w:val="000F6903"/>
    <w:rsid w:val="000F7BE1"/>
    <w:rsid w:val="001052B4"/>
    <w:rsid w:val="00112A75"/>
    <w:rsid w:val="001202DB"/>
    <w:rsid w:val="00122CF8"/>
    <w:rsid w:val="001249AB"/>
    <w:rsid w:val="00127376"/>
    <w:rsid w:val="00131F8E"/>
    <w:rsid w:val="00133387"/>
    <w:rsid w:val="001342A0"/>
    <w:rsid w:val="00134901"/>
    <w:rsid w:val="0013794B"/>
    <w:rsid w:val="00137FD3"/>
    <w:rsid w:val="001422E5"/>
    <w:rsid w:val="00144CC1"/>
    <w:rsid w:val="00162D53"/>
    <w:rsid w:val="00163029"/>
    <w:rsid w:val="00167592"/>
    <w:rsid w:val="001678F6"/>
    <w:rsid w:val="00172633"/>
    <w:rsid w:val="00181EF4"/>
    <w:rsid w:val="001870E5"/>
    <w:rsid w:val="001B241A"/>
    <w:rsid w:val="001B25F3"/>
    <w:rsid w:val="001B565E"/>
    <w:rsid w:val="001B64FC"/>
    <w:rsid w:val="001B6D8C"/>
    <w:rsid w:val="001B7A38"/>
    <w:rsid w:val="001C0085"/>
    <w:rsid w:val="001C1B3A"/>
    <w:rsid w:val="001C4C44"/>
    <w:rsid w:val="001C4F98"/>
    <w:rsid w:val="001D30FA"/>
    <w:rsid w:val="001F2486"/>
    <w:rsid w:val="001F4358"/>
    <w:rsid w:val="001F5C68"/>
    <w:rsid w:val="00200417"/>
    <w:rsid w:val="0020087A"/>
    <w:rsid w:val="00202F25"/>
    <w:rsid w:val="002058BB"/>
    <w:rsid w:val="0020758E"/>
    <w:rsid w:val="00207852"/>
    <w:rsid w:val="002103DD"/>
    <w:rsid w:val="00211A79"/>
    <w:rsid w:val="00222642"/>
    <w:rsid w:val="00230D5E"/>
    <w:rsid w:val="002324B7"/>
    <w:rsid w:val="00233CF5"/>
    <w:rsid w:val="00240F95"/>
    <w:rsid w:val="00245A72"/>
    <w:rsid w:val="002464D0"/>
    <w:rsid w:val="00256937"/>
    <w:rsid w:val="00264666"/>
    <w:rsid w:val="002655C9"/>
    <w:rsid w:val="0026640B"/>
    <w:rsid w:val="00271B98"/>
    <w:rsid w:val="0027779A"/>
    <w:rsid w:val="002805DC"/>
    <w:rsid w:val="00280F16"/>
    <w:rsid w:val="00282347"/>
    <w:rsid w:val="00285085"/>
    <w:rsid w:val="00287AA0"/>
    <w:rsid w:val="00291E9F"/>
    <w:rsid w:val="002B6EE9"/>
    <w:rsid w:val="002B78A2"/>
    <w:rsid w:val="002C3E04"/>
    <w:rsid w:val="002C66AD"/>
    <w:rsid w:val="002D00EC"/>
    <w:rsid w:val="002D2EBA"/>
    <w:rsid w:val="002D3706"/>
    <w:rsid w:val="002E540E"/>
    <w:rsid w:val="002F14B7"/>
    <w:rsid w:val="002F1AD2"/>
    <w:rsid w:val="002F6934"/>
    <w:rsid w:val="00303A87"/>
    <w:rsid w:val="00307BD8"/>
    <w:rsid w:val="00311C06"/>
    <w:rsid w:val="00313A9A"/>
    <w:rsid w:val="0031754B"/>
    <w:rsid w:val="00324010"/>
    <w:rsid w:val="00326BE6"/>
    <w:rsid w:val="00331970"/>
    <w:rsid w:val="00335D51"/>
    <w:rsid w:val="00341EC7"/>
    <w:rsid w:val="00343C80"/>
    <w:rsid w:val="00344822"/>
    <w:rsid w:val="00351550"/>
    <w:rsid w:val="00366647"/>
    <w:rsid w:val="00380911"/>
    <w:rsid w:val="00382DEE"/>
    <w:rsid w:val="00385EBE"/>
    <w:rsid w:val="00391170"/>
    <w:rsid w:val="00391D01"/>
    <w:rsid w:val="003948F6"/>
    <w:rsid w:val="0039694E"/>
    <w:rsid w:val="003B2FBA"/>
    <w:rsid w:val="003C03BE"/>
    <w:rsid w:val="003C1159"/>
    <w:rsid w:val="003E3856"/>
    <w:rsid w:val="003E5E65"/>
    <w:rsid w:val="003E751C"/>
    <w:rsid w:val="00403DEE"/>
    <w:rsid w:val="00405765"/>
    <w:rsid w:val="0041297A"/>
    <w:rsid w:val="004277C9"/>
    <w:rsid w:val="00431C95"/>
    <w:rsid w:val="0044047D"/>
    <w:rsid w:val="00444EC7"/>
    <w:rsid w:val="00451D34"/>
    <w:rsid w:val="0045358B"/>
    <w:rsid w:val="00453610"/>
    <w:rsid w:val="004745CF"/>
    <w:rsid w:val="00474AB6"/>
    <w:rsid w:val="004814A7"/>
    <w:rsid w:val="00491BB5"/>
    <w:rsid w:val="004A55E6"/>
    <w:rsid w:val="004B0836"/>
    <w:rsid w:val="004B49B4"/>
    <w:rsid w:val="004C0647"/>
    <w:rsid w:val="004C1611"/>
    <w:rsid w:val="004D771D"/>
    <w:rsid w:val="004E00A2"/>
    <w:rsid w:val="004F1045"/>
    <w:rsid w:val="004F3C10"/>
    <w:rsid w:val="004F76F0"/>
    <w:rsid w:val="00501776"/>
    <w:rsid w:val="0050247C"/>
    <w:rsid w:val="005026A8"/>
    <w:rsid w:val="005074C0"/>
    <w:rsid w:val="00511252"/>
    <w:rsid w:val="00524FE0"/>
    <w:rsid w:val="005256D5"/>
    <w:rsid w:val="00535481"/>
    <w:rsid w:val="005402B9"/>
    <w:rsid w:val="00552F70"/>
    <w:rsid w:val="005539A0"/>
    <w:rsid w:val="0056369D"/>
    <w:rsid w:val="005666DB"/>
    <w:rsid w:val="00581941"/>
    <w:rsid w:val="005A06F1"/>
    <w:rsid w:val="005A2011"/>
    <w:rsid w:val="005A2D64"/>
    <w:rsid w:val="005B0596"/>
    <w:rsid w:val="005B3035"/>
    <w:rsid w:val="005B6D2B"/>
    <w:rsid w:val="005C31A7"/>
    <w:rsid w:val="005D4218"/>
    <w:rsid w:val="005D6DEE"/>
    <w:rsid w:val="005F114F"/>
    <w:rsid w:val="005F6152"/>
    <w:rsid w:val="0060652B"/>
    <w:rsid w:val="00612345"/>
    <w:rsid w:val="00616A47"/>
    <w:rsid w:val="006178B2"/>
    <w:rsid w:val="006350EE"/>
    <w:rsid w:val="00670C5E"/>
    <w:rsid w:val="00673EF8"/>
    <w:rsid w:val="006776F0"/>
    <w:rsid w:val="00680354"/>
    <w:rsid w:val="00686DBA"/>
    <w:rsid w:val="0068747E"/>
    <w:rsid w:val="006940F5"/>
    <w:rsid w:val="006A0623"/>
    <w:rsid w:val="006B1E81"/>
    <w:rsid w:val="006B2978"/>
    <w:rsid w:val="006B5FB4"/>
    <w:rsid w:val="006B7C29"/>
    <w:rsid w:val="006C533B"/>
    <w:rsid w:val="006D4993"/>
    <w:rsid w:val="006E0444"/>
    <w:rsid w:val="006E2994"/>
    <w:rsid w:val="006E2C8B"/>
    <w:rsid w:val="006E4F0E"/>
    <w:rsid w:val="006E53B8"/>
    <w:rsid w:val="006E5A05"/>
    <w:rsid w:val="007000C7"/>
    <w:rsid w:val="00702588"/>
    <w:rsid w:val="007062BA"/>
    <w:rsid w:val="0071266C"/>
    <w:rsid w:val="00714CD1"/>
    <w:rsid w:val="007151BE"/>
    <w:rsid w:val="00715853"/>
    <w:rsid w:val="0072229D"/>
    <w:rsid w:val="0072663C"/>
    <w:rsid w:val="007266E3"/>
    <w:rsid w:val="007311D5"/>
    <w:rsid w:val="00741B48"/>
    <w:rsid w:val="00742888"/>
    <w:rsid w:val="00743190"/>
    <w:rsid w:val="00753274"/>
    <w:rsid w:val="00754D8F"/>
    <w:rsid w:val="00755566"/>
    <w:rsid w:val="0075572A"/>
    <w:rsid w:val="00755B08"/>
    <w:rsid w:val="007566B9"/>
    <w:rsid w:val="00760211"/>
    <w:rsid w:val="00761CD1"/>
    <w:rsid w:val="007635FC"/>
    <w:rsid w:val="00765982"/>
    <w:rsid w:val="00767ADB"/>
    <w:rsid w:val="0077007E"/>
    <w:rsid w:val="007816CD"/>
    <w:rsid w:val="00784BF1"/>
    <w:rsid w:val="00792565"/>
    <w:rsid w:val="00793F59"/>
    <w:rsid w:val="00794BDC"/>
    <w:rsid w:val="0079531E"/>
    <w:rsid w:val="00795F79"/>
    <w:rsid w:val="007970F7"/>
    <w:rsid w:val="007A0011"/>
    <w:rsid w:val="007A7B44"/>
    <w:rsid w:val="007B6C70"/>
    <w:rsid w:val="007C0F2D"/>
    <w:rsid w:val="007C462F"/>
    <w:rsid w:val="007D15A7"/>
    <w:rsid w:val="007D34D6"/>
    <w:rsid w:val="007E0192"/>
    <w:rsid w:val="007E1D1E"/>
    <w:rsid w:val="007E21C8"/>
    <w:rsid w:val="007E7740"/>
    <w:rsid w:val="007F1ADE"/>
    <w:rsid w:val="007F242B"/>
    <w:rsid w:val="007F3F64"/>
    <w:rsid w:val="007F515F"/>
    <w:rsid w:val="007F7544"/>
    <w:rsid w:val="00802250"/>
    <w:rsid w:val="0080353D"/>
    <w:rsid w:val="008047F1"/>
    <w:rsid w:val="00804A51"/>
    <w:rsid w:val="0082745C"/>
    <w:rsid w:val="00834B42"/>
    <w:rsid w:val="00836860"/>
    <w:rsid w:val="00852BCE"/>
    <w:rsid w:val="00852C10"/>
    <w:rsid w:val="008545F3"/>
    <w:rsid w:val="008612E5"/>
    <w:rsid w:val="008648C3"/>
    <w:rsid w:val="00866197"/>
    <w:rsid w:val="008662DE"/>
    <w:rsid w:val="00866DC0"/>
    <w:rsid w:val="0087085E"/>
    <w:rsid w:val="008723D5"/>
    <w:rsid w:val="0087480C"/>
    <w:rsid w:val="008771B8"/>
    <w:rsid w:val="00877A6D"/>
    <w:rsid w:val="00877D2E"/>
    <w:rsid w:val="00882845"/>
    <w:rsid w:val="00887002"/>
    <w:rsid w:val="00887F14"/>
    <w:rsid w:val="008904E8"/>
    <w:rsid w:val="00897C1E"/>
    <w:rsid w:val="008A15A3"/>
    <w:rsid w:val="008A41DA"/>
    <w:rsid w:val="008B3F1C"/>
    <w:rsid w:val="008C4D6D"/>
    <w:rsid w:val="008C6760"/>
    <w:rsid w:val="008E0C60"/>
    <w:rsid w:val="008E1547"/>
    <w:rsid w:val="008E6649"/>
    <w:rsid w:val="008F2F13"/>
    <w:rsid w:val="0090403B"/>
    <w:rsid w:val="00904ECF"/>
    <w:rsid w:val="009106AB"/>
    <w:rsid w:val="00915CF8"/>
    <w:rsid w:val="00926179"/>
    <w:rsid w:val="00927D30"/>
    <w:rsid w:val="009354F0"/>
    <w:rsid w:val="00943A32"/>
    <w:rsid w:val="00944C8F"/>
    <w:rsid w:val="00945A2D"/>
    <w:rsid w:val="00952B96"/>
    <w:rsid w:val="009626D1"/>
    <w:rsid w:val="0096473E"/>
    <w:rsid w:val="009661CD"/>
    <w:rsid w:val="00967350"/>
    <w:rsid w:val="0098416C"/>
    <w:rsid w:val="00985800"/>
    <w:rsid w:val="0099159C"/>
    <w:rsid w:val="009915EC"/>
    <w:rsid w:val="00996EDA"/>
    <w:rsid w:val="009A1037"/>
    <w:rsid w:val="009B1B97"/>
    <w:rsid w:val="009C4A99"/>
    <w:rsid w:val="009C4BF2"/>
    <w:rsid w:val="009C629E"/>
    <w:rsid w:val="009C6330"/>
    <w:rsid w:val="009C7178"/>
    <w:rsid w:val="009D4022"/>
    <w:rsid w:val="009D786E"/>
    <w:rsid w:val="009F4531"/>
    <w:rsid w:val="009F615A"/>
    <w:rsid w:val="00A00E7A"/>
    <w:rsid w:val="00A163C6"/>
    <w:rsid w:val="00A16413"/>
    <w:rsid w:val="00A164D9"/>
    <w:rsid w:val="00A20F46"/>
    <w:rsid w:val="00A32002"/>
    <w:rsid w:val="00A32103"/>
    <w:rsid w:val="00A350A0"/>
    <w:rsid w:val="00A4566A"/>
    <w:rsid w:val="00A46E01"/>
    <w:rsid w:val="00A604C0"/>
    <w:rsid w:val="00A642A6"/>
    <w:rsid w:val="00A66E87"/>
    <w:rsid w:val="00A67D58"/>
    <w:rsid w:val="00A71BEC"/>
    <w:rsid w:val="00A72A71"/>
    <w:rsid w:val="00A74328"/>
    <w:rsid w:val="00A7611D"/>
    <w:rsid w:val="00A77503"/>
    <w:rsid w:val="00A86B29"/>
    <w:rsid w:val="00A90440"/>
    <w:rsid w:val="00A91143"/>
    <w:rsid w:val="00AA7719"/>
    <w:rsid w:val="00AB0A56"/>
    <w:rsid w:val="00AC5033"/>
    <w:rsid w:val="00AC52A0"/>
    <w:rsid w:val="00AC58D6"/>
    <w:rsid w:val="00AD0164"/>
    <w:rsid w:val="00AD4201"/>
    <w:rsid w:val="00AD457C"/>
    <w:rsid w:val="00AE7E5E"/>
    <w:rsid w:val="00AF0DD4"/>
    <w:rsid w:val="00AF21F7"/>
    <w:rsid w:val="00AF4941"/>
    <w:rsid w:val="00B0507A"/>
    <w:rsid w:val="00B070B2"/>
    <w:rsid w:val="00B113EE"/>
    <w:rsid w:val="00B11A45"/>
    <w:rsid w:val="00B30053"/>
    <w:rsid w:val="00B31A2B"/>
    <w:rsid w:val="00B358E1"/>
    <w:rsid w:val="00B37D21"/>
    <w:rsid w:val="00B55A2A"/>
    <w:rsid w:val="00B611B1"/>
    <w:rsid w:val="00B616A3"/>
    <w:rsid w:val="00B76409"/>
    <w:rsid w:val="00B76FC5"/>
    <w:rsid w:val="00B83284"/>
    <w:rsid w:val="00BA0B57"/>
    <w:rsid w:val="00BA152F"/>
    <w:rsid w:val="00BA3795"/>
    <w:rsid w:val="00BA3AA4"/>
    <w:rsid w:val="00BB2324"/>
    <w:rsid w:val="00BB30E6"/>
    <w:rsid w:val="00BB3D7C"/>
    <w:rsid w:val="00BB3DC9"/>
    <w:rsid w:val="00BB48BA"/>
    <w:rsid w:val="00BC0D5A"/>
    <w:rsid w:val="00BC10A4"/>
    <w:rsid w:val="00BC73BA"/>
    <w:rsid w:val="00BD1BC7"/>
    <w:rsid w:val="00BD3565"/>
    <w:rsid w:val="00BD3895"/>
    <w:rsid w:val="00BD5666"/>
    <w:rsid w:val="00BD6152"/>
    <w:rsid w:val="00BE2234"/>
    <w:rsid w:val="00BE33FA"/>
    <w:rsid w:val="00BF42EF"/>
    <w:rsid w:val="00BF6D8D"/>
    <w:rsid w:val="00BF706B"/>
    <w:rsid w:val="00C00937"/>
    <w:rsid w:val="00C02393"/>
    <w:rsid w:val="00C06197"/>
    <w:rsid w:val="00C074BE"/>
    <w:rsid w:val="00C11035"/>
    <w:rsid w:val="00C1508F"/>
    <w:rsid w:val="00C1531F"/>
    <w:rsid w:val="00C23DC8"/>
    <w:rsid w:val="00C23E1B"/>
    <w:rsid w:val="00C26210"/>
    <w:rsid w:val="00C30AE3"/>
    <w:rsid w:val="00C3565D"/>
    <w:rsid w:val="00C37DA8"/>
    <w:rsid w:val="00C55A9D"/>
    <w:rsid w:val="00C629A0"/>
    <w:rsid w:val="00C823DF"/>
    <w:rsid w:val="00C84526"/>
    <w:rsid w:val="00C84F6C"/>
    <w:rsid w:val="00C85370"/>
    <w:rsid w:val="00C85979"/>
    <w:rsid w:val="00C917F9"/>
    <w:rsid w:val="00C96EF7"/>
    <w:rsid w:val="00CA2177"/>
    <w:rsid w:val="00CA5ED6"/>
    <w:rsid w:val="00CB7D86"/>
    <w:rsid w:val="00CC0B62"/>
    <w:rsid w:val="00CC12FE"/>
    <w:rsid w:val="00CC4653"/>
    <w:rsid w:val="00CD14F6"/>
    <w:rsid w:val="00CD1554"/>
    <w:rsid w:val="00CD7C56"/>
    <w:rsid w:val="00CE2F2C"/>
    <w:rsid w:val="00CE733F"/>
    <w:rsid w:val="00CF04A8"/>
    <w:rsid w:val="00CF4AA0"/>
    <w:rsid w:val="00CF4BED"/>
    <w:rsid w:val="00D05905"/>
    <w:rsid w:val="00D1121A"/>
    <w:rsid w:val="00D15A86"/>
    <w:rsid w:val="00D2260A"/>
    <w:rsid w:val="00D24F38"/>
    <w:rsid w:val="00D26E1E"/>
    <w:rsid w:val="00D40D69"/>
    <w:rsid w:val="00D44BD8"/>
    <w:rsid w:val="00D47A8E"/>
    <w:rsid w:val="00D5114D"/>
    <w:rsid w:val="00D52F4F"/>
    <w:rsid w:val="00D64FC1"/>
    <w:rsid w:val="00D654B0"/>
    <w:rsid w:val="00D66421"/>
    <w:rsid w:val="00D6655C"/>
    <w:rsid w:val="00D77605"/>
    <w:rsid w:val="00D804C1"/>
    <w:rsid w:val="00D85A60"/>
    <w:rsid w:val="00DA30CD"/>
    <w:rsid w:val="00DA3EA5"/>
    <w:rsid w:val="00DA3FA5"/>
    <w:rsid w:val="00DA5E30"/>
    <w:rsid w:val="00DB206F"/>
    <w:rsid w:val="00DB3056"/>
    <w:rsid w:val="00DB426A"/>
    <w:rsid w:val="00DB50BC"/>
    <w:rsid w:val="00DB74FC"/>
    <w:rsid w:val="00DC03F2"/>
    <w:rsid w:val="00DC0B45"/>
    <w:rsid w:val="00DC14D4"/>
    <w:rsid w:val="00DD013A"/>
    <w:rsid w:val="00DE3BA6"/>
    <w:rsid w:val="00DE5743"/>
    <w:rsid w:val="00DE768D"/>
    <w:rsid w:val="00DF23DF"/>
    <w:rsid w:val="00DF70EE"/>
    <w:rsid w:val="00E039C9"/>
    <w:rsid w:val="00E07CF0"/>
    <w:rsid w:val="00E11B4E"/>
    <w:rsid w:val="00E12096"/>
    <w:rsid w:val="00E1651A"/>
    <w:rsid w:val="00E179F3"/>
    <w:rsid w:val="00E2033A"/>
    <w:rsid w:val="00E31E15"/>
    <w:rsid w:val="00E61D86"/>
    <w:rsid w:val="00E6592F"/>
    <w:rsid w:val="00E76C0D"/>
    <w:rsid w:val="00E87910"/>
    <w:rsid w:val="00E92FC7"/>
    <w:rsid w:val="00E931EB"/>
    <w:rsid w:val="00EA320A"/>
    <w:rsid w:val="00EA41D1"/>
    <w:rsid w:val="00EB2139"/>
    <w:rsid w:val="00EB45F7"/>
    <w:rsid w:val="00EB79D0"/>
    <w:rsid w:val="00EB7E60"/>
    <w:rsid w:val="00EE08C0"/>
    <w:rsid w:val="00EE0BD3"/>
    <w:rsid w:val="00EE2A90"/>
    <w:rsid w:val="00EE4C89"/>
    <w:rsid w:val="00EE5877"/>
    <w:rsid w:val="00EF16FF"/>
    <w:rsid w:val="00EF684B"/>
    <w:rsid w:val="00EF74AB"/>
    <w:rsid w:val="00F02FDA"/>
    <w:rsid w:val="00F05391"/>
    <w:rsid w:val="00F1235A"/>
    <w:rsid w:val="00F13D38"/>
    <w:rsid w:val="00F24F30"/>
    <w:rsid w:val="00F26878"/>
    <w:rsid w:val="00F27B87"/>
    <w:rsid w:val="00F31546"/>
    <w:rsid w:val="00F342E6"/>
    <w:rsid w:val="00F431B9"/>
    <w:rsid w:val="00F51C89"/>
    <w:rsid w:val="00F619D4"/>
    <w:rsid w:val="00F65FD9"/>
    <w:rsid w:val="00F67903"/>
    <w:rsid w:val="00F67E38"/>
    <w:rsid w:val="00F73DCB"/>
    <w:rsid w:val="00F74FF3"/>
    <w:rsid w:val="00F80866"/>
    <w:rsid w:val="00F86E62"/>
    <w:rsid w:val="00FA1B6C"/>
    <w:rsid w:val="00FA320F"/>
    <w:rsid w:val="00FD4C70"/>
    <w:rsid w:val="00FD6271"/>
    <w:rsid w:val="00FD7941"/>
    <w:rsid w:val="00FE294B"/>
    <w:rsid w:val="010333FC"/>
    <w:rsid w:val="01086C64"/>
    <w:rsid w:val="010F7FF3"/>
    <w:rsid w:val="011C626C"/>
    <w:rsid w:val="011E1FE4"/>
    <w:rsid w:val="01207B0A"/>
    <w:rsid w:val="01392AFC"/>
    <w:rsid w:val="013D4B60"/>
    <w:rsid w:val="014C16DC"/>
    <w:rsid w:val="01505F15"/>
    <w:rsid w:val="01510F5A"/>
    <w:rsid w:val="0159126E"/>
    <w:rsid w:val="0159301C"/>
    <w:rsid w:val="01671BDD"/>
    <w:rsid w:val="017C6D0A"/>
    <w:rsid w:val="017E0CD4"/>
    <w:rsid w:val="01861103"/>
    <w:rsid w:val="018D0F17"/>
    <w:rsid w:val="01957768"/>
    <w:rsid w:val="01A4698D"/>
    <w:rsid w:val="01A52705"/>
    <w:rsid w:val="01AA7D1B"/>
    <w:rsid w:val="01AC65E1"/>
    <w:rsid w:val="01AF0E8E"/>
    <w:rsid w:val="01B32CF1"/>
    <w:rsid w:val="01CD7566"/>
    <w:rsid w:val="01D23B8A"/>
    <w:rsid w:val="01F121F4"/>
    <w:rsid w:val="01F42D45"/>
    <w:rsid w:val="0204567E"/>
    <w:rsid w:val="020B07BA"/>
    <w:rsid w:val="021A27AB"/>
    <w:rsid w:val="021C29C7"/>
    <w:rsid w:val="02225B04"/>
    <w:rsid w:val="022A2A90"/>
    <w:rsid w:val="022A49B8"/>
    <w:rsid w:val="02315D47"/>
    <w:rsid w:val="02317AF5"/>
    <w:rsid w:val="023A109F"/>
    <w:rsid w:val="023A2E4D"/>
    <w:rsid w:val="024C492F"/>
    <w:rsid w:val="0250441F"/>
    <w:rsid w:val="02555DE0"/>
    <w:rsid w:val="02641C78"/>
    <w:rsid w:val="0264611C"/>
    <w:rsid w:val="026E6F9B"/>
    <w:rsid w:val="02767476"/>
    <w:rsid w:val="02783976"/>
    <w:rsid w:val="02810A7C"/>
    <w:rsid w:val="028247F4"/>
    <w:rsid w:val="0284056C"/>
    <w:rsid w:val="028E4F47"/>
    <w:rsid w:val="02922C89"/>
    <w:rsid w:val="0295277A"/>
    <w:rsid w:val="029702A0"/>
    <w:rsid w:val="029C1412"/>
    <w:rsid w:val="029D518A"/>
    <w:rsid w:val="02AB5AF9"/>
    <w:rsid w:val="02B3714D"/>
    <w:rsid w:val="02B7324F"/>
    <w:rsid w:val="02B7624C"/>
    <w:rsid w:val="02B96468"/>
    <w:rsid w:val="02BC3862"/>
    <w:rsid w:val="02BF15A4"/>
    <w:rsid w:val="02BF3353"/>
    <w:rsid w:val="02DA018C"/>
    <w:rsid w:val="02E5725D"/>
    <w:rsid w:val="02E96621"/>
    <w:rsid w:val="02EF1E8A"/>
    <w:rsid w:val="02F23728"/>
    <w:rsid w:val="02F97B00"/>
    <w:rsid w:val="030A6CC4"/>
    <w:rsid w:val="03127926"/>
    <w:rsid w:val="0316236D"/>
    <w:rsid w:val="031713E0"/>
    <w:rsid w:val="031A4A2D"/>
    <w:rsid w:val="031E276F"/>
    <w:rsid w:val="032338E1"/>
    <w:rsid w:val="03265180"/>
    <w:rsid w:val="032A3D5D"/>
    <w:rsid w:val="03327FC8"/>
    <w:rsid w:val="0334789D"/>
    <w:rsid w:val="03402295"/>
    <w:rsid w:val="03675EC4"/>
    <w:rsid w:val="03685798"/>
    <w:rsid w:val="037405E1"/>
    <w:rsid w:val="03741570"/>
    <w:rsid w:val="037B196F"/>
    <w:rsid w:val="037C7496"/>
    <w:rsid w:val="03881369"/>
    <w:rsid w:val="03B31109"/>
    <w:rsid w:val="03CC3F79"/>
    <w:rsid w:val="03E114D4"/>
    <w:rsid w:val="03E272F9"/>
    <w:rsid w:val="03F64C89"/>
    <w:rsid w:val="03F86B1C"/>
    <w:rsid w:val="03FF434E"/>
    <w:rsid w:val="0405748B"/>
    <w:rsid w:val="040A2CF3"/>
    <w:rsid w:val="04155920"/>
    <w:rsid w:val="041A1188"/>
    <w:rsid w:val="04212517"/>
    <w:rsid w:val="042C2C6A"/>
    <w:rsid w:val="042F4508"/>
    <w:rsid w:val="04310280"/>
    <w:rsid w:val="043833BC"/>
    <w:rsid w:val="043A0A9D"/>
    <w:rsid w:val="04407A53"/>
    <w:rsid w:val="044B7594"/>
    <w:rsid w:val="044C330C"/>
    <w:rsid w:val="04785EAF"/>
    <w:rsid w:val="048110D0"/>
    <w:rsid w:val="048C3708"/>
    <w:rsid w:val="048F5EAA"/>
    <w:rsid w:val="04935248"/>
    <w:rsid w:val="04A9250C"/>
    <w:rsid w:val="04B05649"/>
    <w:rsid w:val="04B50EB1"/>
    <w:rsid w:val="04BD1B14"/>
    <w:rsid w:val="04C74740"/>
    <w:rsid w:val="04CE3D21"/>
    <w:rsid w:val="04D07A99"/>
    <w:rsid w:val="051060E7"/>
    <w:rsid w:val="051756C8"/>
    <w:rsid w:val="05177476"/>
    <w:rsid w:val="0526590B"/>
    <w:rsid w:val="052B4CCF"/>
    <w:rsid w:val="0532605E"/>
    <w:rsid w:val="053D6174"/>
    <w:rsid w:val="0542447B"/>
    <w:rsid w:val="054D527E"/>
    <w:rsid w:val="054D733B"/>
    <w:rsid w:val="054E09BE"/>
    <w:rsid w:val="05500BDA"/>
    <w:rsid w:val="05595CE0"/>
    <w:rsid w:val="056401E1"/>
    <w:rsid w:val="056A1F45"/>
    <w:rsid w:val="05791EDF"/>
    <w:rsid w:val="058F34B0"/>
    <w:rsid w:val="05940AC6"/>
    <w:rsid w:val="059960DD"/>
    <w:rsid w:val="05AA02EA"/>
    <w:rsid w:val="05B253F0"/>
    <w:rsid w:val="05CE0012"/>
    <w:rsid w:val="05CF5FA2"/>
    <w:rsid w:val="05D42645"/>
    <w:rsid w:val="05DE7F94"/>
    <w:rsid w:val="05DF62C8"/>
    <w:rsid w:val="05E355AA"/>
    <w:rsid w:val="05E57574"/>
    <w:rsid w:val="05E97064"/>
    <w:rsid w:val="05FD48BE"/>
    <w:rsid w:val="06055520"/>
    <w:rsid w:val="060A6FDB"/>
    <w:rsid w:val="0616597F"/>
    <w:rsid w:val="0616772D"/>
    <w:rsid w:val="061D0ABC"/>
    <w:rsid w:val="0622253B"/>
    <w:rsid w:val="06222576"/>
    <w:rsid w:val="062A31D9"/>
    <w:rsid w:val="063522A9"/>
    <w:rsid w:val="06493C40"/>
    <w:rsid w:val="064D67D9"/>
    <w:rsid w:val="065A1D10"/>
    <w:rsid w:val="06652463"/>
    <w:rsid w:val="06712BB6"/>
    <w:rsid w:val="0673692E"/>
    <w:rsid w:val="067A7CBC"/>
    <w:rsid w:val="069845E6"/>
    <w:rsid w:val="06A20FC1"/>
    <w:rsid w:val="06A74829"/>
    <w:rsid w:val="06B17456"/>
    <w:rsid w:val="06B222FA"/>
    <w:rsid w:val="06BC6527"/>
    <w:rsid w:val="06C74ECC"/>
    <w:rsid w:val="06D80E87"/>
    <w:rsid w:val="06E31D05"/>
    <w:rsid w:val="06ED43D6"/>
    <w:rsid w:val="06F15AA5"/>
    <w:rsid w:val="06F35256"/>
    <w:rsid w:val="07155C37"/>
    <w:rsid w:val="071579E5"/>
    <w:rsid w:val="072365A6"/>
    <w:rsid w:val="07375BAD"/>
    <w:rsid w:val="073A38EF"/>
    <w:rsid w:val="074107DA"/>
    <w:rsid w:val="0744651C"/>
    <w:rsid w:val="07474B93"/>
    <w:rsid w:val="0749768F"/>
    <w:rsid w:val="075077D4"/>
    <w:rsid w:val="0753050D"/>
    <w:rsid w:val="07585B24"/>
    <w:rsid w:val="075D1DD8"/>
    <w:rsid w:val="07676428"/>
    <w:rsid w:val="07756781"/>
    <w:rsid w:val="07967398"/>
    <w:rsid w:val="07AE48F9"/>
    <w:rsid w:val="07B471FE"/>
    <w:rsid w:val="07BE007D"/>
    <w:rsid w:val="07CF7529"/>
    <w:rsid w:val="07D04716"/>
    <w:rsid w:val="07DB29DD"/>
    <w:rsid w:val="07E01BEF"/>
    <w:rsid w:val="07ED2710"/>
    <w:rsid w:val="07F27D26"/>
    <w:rsid w:val="08000695"/>
    <w:rsid w:val="080041F1"/>
    <w:rsid w:val="080A32C2"/>
    <w:rsid w:val="08161C67"/>
    <w:rsid w:val="08297BEC"/>
    <w:rsid w:val="082D7464"/>
    <w:rsid w:val="082E5202"/>
    <w:rsid w:val="083F3A9B"/>
    <w:rsid w:val="08412A9A"/>
    <w:rsid w:val="084E1401"/>
    <w:rsid w:val="08514A4D"/>
    <w:rsid w:val="085D7896"/>
    <w:rsid w:val="085F360E"/>
    <w:rsid w:val="08607386"/>
    <w:rsid w:val="087370B9"/>
    <w:rsid w:val="08752E31"/>
    <w:rsid w:val="087A0447"/>
    <w:rsid w:val="0889068B"/>
    <w:rsid w:val="088C017B"/>
    <w:rsid w:val="088C1F29"/>
    <w:rsid w:val="088E476D"/>
    <w:rsid w:val="08940DDD"/>
    <w:rsid w:val="08955281"/>
    <w:rsid w:val="08A46BE7"/>
    <w:rsid w:val="08AE286A"/>
    <w:rsid w:val="08B03E69"/>
    <w:rsid w:val="08C416C3"/>
    <w:rsid w:val="08D062B9"/>
    <w:rsid w:val="08D13DE0"/>
    <w:rsid w:val="08D613F6"/>
    <w:rsid w:val="08F8136C"/>
    <w:rsid w:val="09047D11"/>
    <w:rsid w:val="090D12BC"/>
    <w:rsid w:val="090E72E7"/>
    <w:rsid w:val="091F0FEF"/>
    <w:rsid w:val="0922463B"/>
    <w:rsid w:val="092263E9"/>
    <w:rsid w:val="0926412B"/>
    <w:rsid w:val="09287EA3"/>
    <w:rsid w:val="09293C1C"/>
    <w:rsid w:val="092D370C"/>
    <w:rsid w:val="09336848"/>
    <w:rsid w:val="09383E5F"/>
    <w:rsid w:val="093F0D49"/>
    <w:rsid w:val="09436A8B"/>
    <w:rsid w:val="0949606C"/>
    <w:rsid w:val="095347F5"/>
    <w:rsid w:val="095567BF"/>
    <w:rsid w:val="09615163"/>
    <w:rsid w:val="0970184A"/>
    <w:rsid w:val="09717675"/>
    <w:rsid w:val="09862E1C"/>
    <w:rsid w:val="098A46BA"/>
    <w:rsid w:val="09C53944"/>
    <w:rsid w:val="09DC0C8E"/>
    <w:rsid w:val="09DE4A06"/>
    <w:rsid w:val="09DE67B4"/>
    <w:rsid w:val="09DE7C9B"/>
    <w:rsid w:val="09EF09C1"/>
    <w:rsid w:val="09F4422A"/>
    <w:rsid w:val="09F71624"/>
    <w:rsid w:val="09F935EE"/>
    <w:rsid w:val="0A140428"/>
    <w:rsid w:val="0A1F722F"/>
    <w:rsid w:val="0A2543E3"/>
    <w:rsid w:val="0A2763AD"/>
    <w:rsid w:val="0A2F5262"/>
    <w:rsid w:val="0A334D52"/>
    <w:rsid w:val="0A375EC4"/>
    <w:rsid w:val="0A4725AB"/>
    <w:rsid w:val="0A51342A"/>
    <w:rsid w:val="0A592759"/>
    <w:rsid w:val="0A5A7460"/>
    <w:rsid w:val="0A621193"/>
    <w:rsid w:val="0A622F41"/>
    <w:rsid w:val="0A6A629A"/>
    <w:rsid w:val="0A6C3DC0"/>
    <w:rsid w:val="0A6D7B38"/>
    <w:rsid w:val="0A6F38B0"/>
    <w:rsid w:val="0A7478C6"/>
    <w:rsid w:val="0A7D421F"/>
    <w:rsid w:val="0A7D5FCD"/>
    <w:rsid w:val="0A801619"/>
    <w:rsid w:val="0A83110A"/>
    <w:rsid w:val="0A890B8A"/>
    <w:rsid w:val="0A984BB5"/>
    <w:rsid w:val="0AA03A6A"/>
    <w:rsid w:val="0AA51080"/>
    <w:rsid w:val="0AAE43D8"/>
    <w:rsid w:val="0AC81475"/>
    <w:rsid w:val="0ACA3874"/>
    <w:rsid w:val="0ACE05D7"/>
    <w:rsid w:val="0AD57BB7"/>
    <w:rsid w:val="0AD90520"/>
    <w:rsid w:val="0AE0030A"/>
    <w:rsid w:val="0AE147AE"/>
    <w:rsid w:val="0AE20526"/>
    <w:rsid w:val="0AFD0EBC"/>
    <w:rsid w:val="0B016BFE"/>
    <w:rsid w:val="0B0E131B"/>
    <w:rsid w:val="0B0F299D"/>
    <w:rsid w:val="0B112BB9"/>
    <w:rsid w:val="0B183F48"/>
    <w:rsid w:val="0B1D155E"/>
    <w:rsid w:val="0B2428ED"/>
    <w:rsid w:val="0B287CB0"/>
    <w:rsid w:val="0B297F03"/>
    <w:rsid w:val="0B2D5723"/>
    <w:rsid w:val="0B386398"/>
    <w:rsid w:val="0B3A2110"/>
    <w:rsid w:val="0B3A5C6C"/>
    <w:rsid w:val="0B3F7726"/>
    <w:rsid w:val="0B422D73"/>
    <w:rsid w:val="0B460AB5"/>
    <w:rsid w:val="0B4B7E79"/>
    <w:rsid w:val="0B4D3BF1"/>
    <w:rsid w:val="0B55220A"/>
    <w:rsid w:val="0B584344"/>
    <w:rsid w:val="0B64718D"/>
    <w:rsid w:val="0B6727D9"/>
    <w:rsid w:val="0B887B56"/>
    <w:rsid w:val="0B8D2240"/>
    <w:rsid w:val="0B9A495D"/>
    <w:rsid w:val="0B9F1F73"/>
    <w:rsid w:val="0BA15CEB"/>
    <w:rsid w:val="0BAB6B6A"/>
    <w:rsid w:val="0BAE21B6"/>
    <w:rsid w:val="0BB73761"/>
    <w:rsid w:val="0BB7585C"/>
    <w:rsid w:val="0BB806BF"/>
    <w:rsid w:val="0BB84DE3"/>
    <w:rsid w:val="0BBA6DAD"/>
    <w:rsid w:val="0BBD2B5E"/>
    <w:rsid w:val="0BC8771C"/>
    <w:rsid w:val="0BD22349"/>
    <w:rsid w:val="0BDE0CED"/>
    <w:rsid w:val="0BE45BD8"/>
    <w:rsid w:val="0BE856C8"/>
    <w:rsid w:val="0BF57DE5"/>
    <w:rsid w:val="0C01398D"/>
    <w:rsid w:val="0C01678A"/>
    <w:rsid w:val="0C0555AD"/>
    <w:rsid w:val="0C097CD5"/>
    <w:rsid w:val="0C0A3890"/>
    <w:rsid w:val="0C1E558E"/>
    <w:rsid w:val="0C2A7A8F"/>
    <w:rsid w:val="0C394176"/>
    <w:rsid w:val="0C547201"/>
    <w:rsid w:val="0C5745FC"/>
    <w:rsid w:val="0C6311F3"/>
    <w:rsid w:val="0C767178"/>
    <w:rsid w:val="0C7D3AC0"/>
    <w:rsid w:val="0C831895"/>
    <w:rsid w:val="0C8A677F"/>
    <w:rsid w:val="0C9B273A"/>
    <w:rsid w:val="0CA21D1B"/>
    <w:rsid w:val="0CAF4438"/>
    <w:rsid w:val="0CB24D02"/>
    <w:rsid w:val="0CCC20BF"/>
    <w:rsid w:val="0CCF0636"/>
    <w:rsid w:val="0CD1621F"/>
    <w:rsid w:val="0D020A0B"/>
    <w:rsid w:val="0D0522AA"/>
    <w:rsid w:val="0D0C53E6"/>
    <w:rsid w:val="0D10137A"/>
    <w:rsid w:val="0D124B42"/>
    <w:rsid w:val="0D1424ED"/>
    <w:rsid w:val="0D166265"/>
    <w:rsid w:val="0D2941EA"/>
    <w:rsid w:val="0D417190"/>
    <w:rsid w:val="0D447276"/>
    <w:rsid w:val="0D501777"/>
    <w:rsid w:val="0D613984"/>
    <w:rsid w:val="0D632F5A"/>
    <w:rsid w:val="0D660F9A"/>
    <w:rsid w:val="0D662D48"/>
    <w:rsid w:val="0D933D59"/>
    <w:rsid w:val="0D9B3A90"/>
    <w:rsid w:val="0DB066B9"/>
    <w:rsid w:val="0DB461AA"/>
    <w:rsid w:val="0DBC505E"/>
    <w:rsid w:val="0DC21F49"/>
    <w:rsid w:val="0DC363ED"/>
    <w:rsid w:val="0DC70935"/>
    <w:rsid w:val="0DC9777B"/>
    <w:rsid w:val="0DD56120"/>
    <w:rsid w:val="0DE74532"/>
    <w:rsid w:val="0DEB76F2"/>
    <w:rsid w:val="0DF465A6"/>
    <w:rsid w:val="0DF50570"/>
    <w:rsid w:val="0DF625B5"/>
    <w:rsid w:val="0DFC36AD"/>
    <w:rsid w:val="0E016238"/>
    <w:rsid w:val="0E0B7D94"/>
    <w:rsid w:val="0E0D545D"/>
    <w:rsid w:val="0E0F33E0"/>
    <w:rsid w:val="0E1327A4"/>
    <w:rsid w:val="0E26072A"/>
    <w:rsid w:val="0E2A68D3"/>
    <w:rsid w:val="0E3177FA"/>
    <w:rsid w:val="0E362232"/>
    <w:rsid w:val="0E3C1CFB"/>
    <w:rsid w:val="0E4B63E2"/>
    <w:rsid w:val="0E511827"/>
    <w:rsid w:val="0E5723AE"/>
    <w:rsid w:val="0E63372C"/>
    <w:rsid w:val="0E682AF0"/>
    <w:rsid w:val="0E751E9B"/>
    <w:rsid w:val="0E7D2A40"/>
    <w:rsid w:val="0E8042DE"/>
    <w:rsid w:val="0E96765D"/>
    <w:rsid w:val="0E9733D5"/>
    <w:rsid w:val="0EA855E3"/>
    <w:rsid w:val="0EAD2BF9"/>
    <w:rsid w:val="0EB36461"/>
    <w:rsid w:val="0EE04D7C"/>
    <w:rsid w:val="0EE54141"/>
    <w:rsid w:val="0EEA1757"/>
    <w:rsid w:val="0EF10E84"/>
    <w:rsid w:val="0F296723"/>
    <w:rsid w:val="0F2D5755"/>
    <w:rsid w:val="0F3550C8"/>
    <w:rsid w:val="0F3F7CF5"/>
    <w:rsid w:val="0F44355D"/>
    <w:rsid w:val="0F474DFC"/>
    <w:rsid w:val="0F503CB0"/>
    <w:rsid w:val="0F557518"/>
    <w:rsid w:val="0F5A4B2F"/>
    <w:rsid w:val="0F84395A"/>
    <w:rsid w:val="0F847DFE"/>
    <w:rsid w:val="0F895414"/>
    <w:rsid w:val="0F984030"/>
    <w:rsid w:val="0F9B7DE0"/>
    <w:rsid w:val="0F9D4A1B"/>
    <w:rsid w:val="0FA1450C"/>
    <w:rsid w:val="0FAE6C29"/>
    <w:rsid w:val="0FBF4992"/>
    <w:rsid w:val="0FCD3553"/>
    <w:rsid w:val="0FD03043"/>
    <w:rsid w:val="0FD3668F"/>
    <w:rsid w:val="0FD50659"/>
    <w:rsid w:val="0FD52407"/>
    <w:rsid w:val="0FD85A54"/>
    <w:rsid w:val="0FDA7A1E"/>
    <w:rsid w:val="0FDD2A78"/>
    <w:rsid w:val="0FDF3286"/>
    <w:rsid w:val="0FE90846"/>
    <w:rsid w:val="10101691"/>
    <w:rsid w:val="1010343F"/>
    <w:rsid w:val="10161464"/>
    <w:rsid w:val="10207B26"/>
    <w:rsid w:val="103A04BC"/>
    <w:rsid w:val="103C2486"/>
    <w:rsid w:val="103C4234"/>
    <w:rsid w:val="103E5A9F"/>
    <w:rsid w:val="104457BF"/>
    <w:rsid w:val="104650B3"/>
    <w:rsid w:val="10593038"/>
    <w:rsid w:val="10596B94"/>
    <w:rsid w:val="10667503"/>
    <w:rsid w:val="10702130"/>
    <w:rsid w:val="10757746"/>
    <w:rsid w:val="108771A4"/>
    <w:rsid w:val="108A4FA0"/>
    <w:rsid w:val="108C5C64"/>
    <w:rsid w:val="108D4B4C"/>
    <w:rsid w:val="10945E1E"/>
    <w:rsid w:val="10991687"/>
    <w:rsid w:val="109B71AD"/>
    <w:rsid w:val="10B20503"/>
    <w:rsid w:val="10C20BDE"/>
    <w:rsid w:val="10C304B2"/>
    <w:rsid w:val="10CB7366"/>
    <w:rsid w:val="10CF32FA"/>
    <w:rsid w:val="10CF50A9"/>
    <w:rsid w:val="10D4446D"/>
    <w:rsid w:val="10D80401"/>
    <w:rsid w:val="10DD5A17"/>
    <w:rsid w:val="10E81EF1"/>
    <w:rsid w:val="10F246E4"/>
    <w:rsid w:val="11036AF9"/>
    <w:rsid w:val="11052B5A"/>
    <w:rsid w:val="11162CD7"/>
    <w:rsid w:val="11177B40"/>
    <w:rsid w:val="11365128"/>
    <w:rsid w:val="11370089"/>
    <w:rsid w:val="11381718"/>
    <w:rsid w:val="114C04A7"/>
    <w:rsid w:val="11537A88"/>
    <w:rsid w:val="115D0906"/>
    <w:rsid w:val="115D4462"/>
    <w:rsid w:val="11695CA6"/>
    <w:rsid w:val="116F23E8"/>
    <w:rsid w:val="118440E5"/>
    <w:rsid w:val="11847C41"/>
    <w:rsid w:val="11963E18"/>
    <w:rsid w:val="11A93B4C"/>
    <w:rsid w:val="11B2353F"/>
    <w:rsid w:val="11C05548"/>
    <w:rsid w:val="11C42733"/>
    <w:rsid w:val="11C93192"/>
    <w:rsid w:val="11CB1D14"/>
    <w:rsid w:val="11CB6784"/>
    <w:rsid w:val="11CD06B9"/>
    <w:rsid w:val="11CE5360"/>
    <w:rsid w:val="11CE710E"/>
    <w:rsid w:val="11CFDCCD"/>
    <w:rsid w:val="11D426DF"/>
    <w:rsid w:val="11E3705D"/>
    <w:rsid w:val="11F64BCE"/>
    <w:rsid w:val="11F8062F"/>
    <w:rsid w:val="11FC1ECD"/>
    <w:rsid w:val="12011292"/>
    <w:rsid w:val="121865DB"/>
    <w:rsid w:val="121C256F"/>
    <w:rsid w:val="121F3E0E"/>
    <w:rsid w:val="122356AC"/>
    <w:rsid w:val="122431D2"/>
    <w:rsid w:val="12353631"/>
    <w:rsid w:val="123A29F6"/>
    <w:rsid w:val="12455F47"/>
    <w:rsid w:val="12521AED"/>
    <w:rsid w:val="12582E7C"/>
    <w:rsid w:val="12614426"/>
    <w:rsid w:val="126B0E01"/>
    <w:rsid w:val="12713746"/>
    <w:rsid w:val="127557DC"/>
    <w:rsid w:val="127952CC"/>
    <w:rsid w:val="12810624"/>
    <w:rsid w:val="1283614B"/>
    <w:rsid w:val="1288550F"/>
    <w:rsid w:val="129C720C"/>
    <w:rsid w:val="12AD31C8"/>
    <w:rsid w:val="12B02AB5"/>
    <w:rsid w:val="12B24C82"/>
    <w:rsid w:val="12BC340B"/>
    <w:rsid w:val="12C7247D"/>
    <w:rsid w:val="12E30515"/>
    <w:rsid w:val="12F157AA"/>
    <w:rsid w:val="1303728B"/>
    <w:rsid w:val="130C4392"/>
    <w:rsid w:val="130F79DE"/>
    <w:rsid w:val="13146984"/>
    <w:rsid w:val="13252E99"/>
    <w:rsid w:val="13257202"/>
    <w:rsid w:val="13370CE3"/>
    <w:rsid w:val="13385187"/>
    <w:rsid w:val="134358DA"/>
    <w:rsid w:val="13441D7E"/>
    <w:rsid w:val="13453400"/>
    <w:rsid w:val="134C3FA9"/>
    <w:rsid w:val="135C2F5E"/>
    <w:rsid w:val="13897791"/>
    <w:rsid w:val="13904FC3"/>
    <w:rsid w:val="139A6975"/>
    <w:rsid w:val="13AC7923"/>
    <w:rsid w:val="13C521D8"/>
    <w:rsid w:val="13CF716E"/>
    <w:rsid w:val="13E75572"/>
    <w:rsid w:val="13EC5F71"/>
    <w:rsid w:val="13F32845"/>
    <w:rsid w:val="13F44FA5"/>
    <w:rsid w:val="13F97529"/>
    <w:rsid w:val="13FA41EA"/>
    <w:rsid w:val="14044A9A"/>
    <w:rsid w:val="14186D67"/>
    <w:rsid w:val="141C0605"/>
    <w:rsid w:val="14200F92"/>
    <w:rsid w:val="142259AD"/>
    <w:rsid w:val="14264FE0"/>
    <w:rsid w:val="14270D58"/>
    <w:rsid w:val="14305E5E"/>
    <w:rsid w:val="14321BD6"/>
    <w:rsid w:val="143C2A55"/>
    <w:rsid w:val="14425B91"/>
    <w:rsid w:val="14437C53"/>
    <w:rsid w:val="14472460"/>
    <w:rsid w:val="145C30F7"/>
    <w:rsid w:val="145E16ED"/>
    <w:rsid w:val="146124BC"/>
    <w:rsid w:val="146A5814"/>
    <w:rsid w:val="146E6986"/>
    <w:rsid w:val="147E306D"/>
    <w:rsid w:val="1485430C"/>
    <w:rsid w:val="148F7029"/>
    <w:rsid w:val="14AA20B4"/>
    <w:rsid w:val="14AB3737"/>
    <w:rsid w:val="14B163DC"/>
    <w:rsid w:val="14BE16BC"/>
    <w:rsid w:val="14C111AC"/>
    <w:rsid w:val="14C2077F"/>
    <w:rsid w:val="14C30A80"/>
    <w:rsid w:val="14D1683F"/>
    <w:rsid w:val="14D902A4"/>
    <w:rsid w:val="14E05AD6"/>
    <w:rsid w:val="14E07884"/>
    <w:rsid w:val="14E629C1"/>
    <w:rsid w:val="14EB6229"/>
    <w:rsid w:val="14ED1FA1"/>
    <w:rsid w:val="14EF7AC7"/>
    <w:rsid w:val="14F055ED"/>
    <w:rsid w:val="14FB2910"/>
    <w:rsid w:val="14FB46BE"/>
    <w:rsid w:val="14FE7D0A"/>
    <w:rsid w:val="150A66AF"/>
    <w:rsid w:val="151614F8"/>
    <w:rsid w:val="15205ED3"/>
    <w:rsid w:val="15211C4B"/>
    <w:rsid w:val="152534E9"/>
    <w:rsid w:val="15273705"/>
    <w:rsid w:val="15316AAE"/>
    <w:rsid w:val="15320F43"/>
    <w:rsid w:val="15363948"/>
    <w:rsid w:val="153656F6"/>
    <w:rsid w:val="1537321C"/>
    <w:rsid w:val="154A73F4"/>
    <w:rsid w:val="15612E9D"/>
    <w:rsid w:val="15630FC0"/>
    <w:rsid w:val="156D6C3E"/>
    <w:rsid w:val="157601E9"/>
    <w:rsid w:val="157B57FF"/>
    <w:rsid w:val="157D4BDF"/>
    <w:rsid w:val="15815C8A"/>
    <w:rsid w:val="158226E9"/>
    <w:rsid w:val="158A5A42"/>
    <w:rsid w:val="1594241D"/>
    <w:rsid w:val="159A4C5C"/>
    <w:rsid w:val="159D4B97"/>
    <w:rsid w:val="15AC0C45"/>
    <w:rsid w:val="15B01D6A"/>
    <w:rsid w:val="15B8435D"/>
    <w:rsid w:val="15C423F5"/>
    <w:rsid w:val="15C92BDC"/>
    <w:rsid w:val="15D867AD"/>
    <w:rsid w:val="15DA5621"/>
    <w:rsid w:val="15DD3DC4"/>
    <w:rsid w:val="15E37F2A"/>
    <w:rsid w:val="15F5110D"/>
    <w:rsid w:val="1606156C"/>
    <w:rsid w:val="160B6B83"/>
    <w:rsid w:val="160F7CF5"/>
    <w:rsid w:val="161377E5"/>
    <w:rsid w:val="16174936"/>
    <w:rsid w:val="162163A6"/>
    <w:rsid w:val="16227A29"/>
    <w:rsid w:val="163E2DAF"/>
    <w:rsid w:val="163F05DA"/>
    <w:rsid w:val="164200CB"/>
    <w:rsid w:val="16465E0D"/>
    <w:rsid w:val="164B0622"/>
    <w:rsid w:val="164E081E"/>
    <w:rsid w:val="16571DC8"/>
    <w:rsid w:val="166242C9"/>
    <w:rsid w:val="16646293"/>
    <w:rsid w:val="166B13D0"/>
    <w:rsid w:val="166D15EC"/>
    <w:rsid w:val="16783AEC"/>
    <w:rsid w:val="167E2E13"/>
    <w:rsid w:val="16810BF3"/>
    <w:rsid w:val="16930926"/>
    <w:rsid w:val="169C5A2D"/>
    <w:rsid w:val="16A86180"/>
    <w:rsid w:val="16A91EF8"/>
    <w:rsid w:val="16AF39B2"/>
    <w:rsid w:val="16B15CA2"/>
    <w:rsid w:val="16B56AEF"/>
    <w:rsid w:val="16C277AC"/>
    <w:rsid w:val="16CB1E6E"/>
    <w:rsid w:val="16D90A2F"/>
    <w:rsid w:val="16E30B31"/>
    <w:rsid w:val="16E53451"/>
    <w:rsid w:val="16E573D4"/>
    <w:rsid w:val="16E80C72"/>
    <w:rsid w:val="17076EDD"/>
    <w:rsid w:val="171A37D0"/>
    <w:rsid w:val="172D0D7B"/>
    <w:rsid w:val="172F4AF3"/>
    <w:rsid w:val="17342109"/>
    <w:rsid w:val="1739327C"/>
    <w:rsid w:val="17426E3F"/>
    <w:rsid w:val="1749343D"/>
    <w:rsid w:val="1752433D"/>
    <w:rsid w:val="17603394"/>
    <w:rsid w:val="176C3651"/>
    <w:rsid w:val="17740758"/>
    <w:rsid w:val="17771FF6"/>
    <w:rsid w:val="17800EAB"/>
    <w:rsid w:val="17896F7F"/>
    <w:rsid w:val="17910A86"/>
    <w:rsid w:val="1796247C"/>
    <w:rsid w:val="179761F4"/>
    <w:rsid w:val="17996410"/>
    <w:rsid w:val="17A0779F"/>
    <w:rsid w:val="17B0031C"/>
    <w:rsid w:val="17C05240"/>
    <w:rsid w:val="17C0574B"/>
    <w:rsid w:val="17C27715"/>
    <w:rsid w:val="17C3523B"/>
    <w:rsid w:val="17C76AD9"/>
    <w:rsid w:val="17CE2415"/>
    <w:rsid w:val="17DD62FD"/>
    <w:rsid w:val="17DF270A"/>
    <w:rsid w:val="17E01949"/>
    <w:rsid w:val="17E05DED"/>
    <w:rsid w:val="17EE2E8F"/>
    <w:rsid w:val="17FB2877"/>
    <w:rsid w:val="180970F2"/>
    <w:rsid w:val="180B10BC"/>
    <w:rsid w:val="181A12FF"/>
    <w:rsid w:val="18252F5E"/>
    <w:rsid w:val="182B350C"/>
    <w:rsid w:val="182E4DAB"/>
    <w:rsid w:val="18357EE7"/>
    <w:rsid w:val="18393FA5"/>
    <w:rsid w:val="183D4FEE"/>
    <w:rsid w:val="183F2B14"/>
    <w:rsid w:val="1844012A"/>
    <w:rsid w:val="18452548"/>
    <w:rsid w:val="184620F4"/>
    <w:rsid w:val="184D216A"/>
    <w:rsid w:val="185C1EE0"/>
    <w:rsid w:val="18626802"/>
    <w:rsid w:val="186407CC"/>
    <w:rsid w:val="18860743"/>
    <w:rsid w:val="18A961DF"/>
    <w:rsid w:val="18AD6BE6"/>
    <w:rsid w:val="18BC4164"/>
    <w:rsid w:val="18C0505C"/>
    <w:rsid w:val="18CD0120"/>
    <w:rsid w:val="18D07C10"/>
    <w:rsid w:val="18D94D16"/>
    <w:rsid w:val="18DA6CE0"/>
    <w:rsid w:val="18DF60A5"/>
    <w:rsid w:val="18E15979"/>
    <w:rsid w:val="18E94268"/>
    <w:rsid w:val="18EA6F23"/>
    <w:rsid w:val="18FE477D"/>
    <w:rsid w:val="1905668E"/>
    <w:rsid w:val="190873AA"/>
    <w:rsid w:val="190D2C12"/>
    <w:rsid w:val="190F4FF3"/>
    <w:rsid w:val="190F698A"/>
    <w:rsid w:val="19137AFC"/>
    <w:rsid w:val="197113F3"/>
    <w:rsid w:val="197267B0"/>
    <w:rsid w:val="19744A3F"/>
    <w:rsid w:val="19793E03"/>
    <w:rsid w:val="197C38F4"/>
    <w:rsid w:val="198804EA"/>
    <w:rsid w:val="19947A33"/>
    <w:rsid w:val="19A03A86"/>
    <w:rsid w:val="19A1335A"/>
    <w:rsid w:val="19A54BF8"/>
    <w:rsid w:val="19AC6690"/>
    <w:rsid w:val="19B97804"/>
    <w:rsid w:val="19C05B6F"/>
    <w:rsid w:val="19D21766"/>
    <w:rsid w:val="19D41982"/>
    <w:rsid w:val="19D63004"/>
    <w:rsid w:val="19E35721"/>
    <w:rsid w:val="19E63640"/>
    <w:rsid w:val="19E716B5"/>
    <w:rsid w:val="19E760BB"/>
    <w:rsid w:val="19E80F89"/>
    <w:rsid w:val="19F03933"/>
    <w:rsid w:val="19F8741E"/>
    <w:rsid w:val="1A0A7151"/>
    <w:rsid w:val="1A0B3B42"/>
    <w:rsid w:val="1A165AF6"/>
    <w:rsid w:val="1A182DF0"/>
    <w:rsid w:val="1A1D50D7"/>
    <w:rsid w:val="1A22449B"/>
    <w:rsid w:val="1A332204"/>
    <w:rsid w:val="1A3F329F"/>
    <w:rsid w:val="1A4A57A0"/>
    <w:rsid w:val="1A4F434F"/>
    <w:rsid w:val="1A512FD2"/>
    <w:rsid w:val="1A5B175B"/>
    <w:rsid w:val="1A8011C2"/>
    <w:rsid w:val="1A8268CC"/>
    <w:rsid w:val="1A8472A0"/>
    <w:rsid w:val="1A9133CF"/>
    <w:rsid w:val="1A951111"/>
    <w:rsid w:val="1AA43102"/>
    <w:rsid w:val="1AB01AA7"/>
    <w:rsid w:val="1AB07CF9"/>
    <w:rsid w:val="1AD339E7"/>
    <w:rsid w:val="1AD36735"/>
    <w:rsid w:val="1AE20C53"/>
    <w:rsid w:val="1AE856E5"/>
    <w:rsid w:val="1AEA0DCB"/>
    <w:rsid w:val="1AEB0D31"/>
    <w:rsid w:val="1AEB6F83"/>
    <w:rsid w:val="1AEF6A73"/>
    <w:rsid w:val="1AF000F5"/>
    <w:rsid w:val="1AF776D6"/>
    <w:rsid w:val="1AFA71C6"/>
    <w:rsid w:val="1B0B4F2F"/>
    <w:rsid w:val="1B0D6EF9"/>
    <w:rsid w:val="1B2129A5"/>
    <w:rsid w:val="1B213459"/>
    <w:rsid w:val="1B216501"/>
    <w:rsid w:val="1B391A9C"/>
    <w:rsid w:val="1B3E3557"/>
    <w:rsid w:val="1B446693"/>
    <w:rsid w:val="1B520DB0"/>
    <w:rsid w:val="1B5468D6"/>
    <w:rsid w:val="1B577516"/>
    <w:rsid w:val="1B634D6B"/>
    <w:rsid w:val="1B66485B"/>
    <w:rsid w:val="1B740D26"/>
    <w:rsid w:val="1B746F78"/>
    <w:rsid w:val="1B805C3C"/>
    <w:rsid w:val="1B826FFA"/>
    <w:rsid w:val="1B852F33"/>
    <w:rsid w:val="1B9C202B"/>
    <w:rsid w:val="1B9C64CF"/>
    <w:rsid w:val="1BA1672F"/>
    <w:rsid w:val="1BA3785E"/>
    <w:rsid w:val="1BA62EAA"/>
    <w:rsid w:val="1BAD5FE6"/>
    <w:rsid w:val="1BB43E1A"/>
    <w:rsid w:val="1BB455C7"/>
    <w:rsid w:val="1BC16CEB"/>
    <w:rsid w:val="1BCB46BE"/>
    <w:rsid w:val="1BE0460E"/>
    <w:rsid w:val="1BEF65FF"/>
    <w:rsid w:val="1BF43C15"/>
    <w:rsid w:val="1C0C71B1"/>
    <w:rsid w:val="1C0E7EC3"/>
    <w:rsid w:val="1C1213A6"/>
    <w:rsid w:val="1C146065"/>
    <w:rsid w:val="1C161DDD"/>
    <w:rsid w:val="1C213768"/>
    <w:rsid w:val="1C2775DA"/>
    <w:rsid w:val="1C3D55BC"/>
    <w:rsid w:val="1C471F7E"/>
    <w:rsid w:val="1C4E1577"/>
    <w:rsid w:val="1C4F3541"/>
    <w:rsid w:val="1C5D3C4D"/>
    <w:rsid w:val="1C784846"/>
    <w:rsid w:val="1C796955"/>
    <w:rsid w:val="1C7B4336"/>
    <w:rsid w:val="1C7D1E5D"/>
    <w:rsid w:val="1C817B9F"/>
    <w:rsid w:val="1C940F54"/>
    <w:rsid w:val="1C9571A6"/>
    <w:rsid w:val="1CA473E9"/>
    <w:rsid w:val="1CA86EA0"/>
    <w:rsid w:val="1CAC2742"/>
    <w:rsid w:val="1CB11B06"/>
    <w:rsid w:val="1CB66E24"/>
    <w:rsid w:val="1CBB4733"/>
    <w:rsid w:val="1CC45CDD"/>
    <w:rsid w:val="1CC950A2"/>
    <w:rsid w:val="1CC96E50"/>
    <w:rsid w:val="1CCE4466"/>
    <w:rsid w:val="1CD06430"/>
    <w:rsid w:val="1CD31A7D"/>
    <w:rsid w:val="1CE75528"/>
    <w:rsid w:val="1CFD2F9D"/>
    <w:rsid w:val="1D0969DA"/>
    <w:rsid w:val="1D2E0AC9"/>
    <w:rsid w:val="1D34536A"/>
    <w:rsid w:val="1D436C02"/>
    <w:rsid w:val="1D44297A"/>
    <w:rsid w:val="1D4D182F"/>
    <w:rsid w:val="1D702D6A"/>
    <w:rsid w:val="1D7A45EE"/>
    <w:rsid w:val="1D7E04F4"/>
    <w:rsid w:val="1D7F39B2"/>
    <w:rsid w:val="1D810BD4"/>
    <w:rsid w:val="1D81772B"/>
    <w:rsid w:val="1D885A81"/>
    <w:rsid w:val="1D976F4E"/>
    <w:rsid w:val="1D9A259A"/>
    <w:rsid w:val="1DA358F3"/>
    <w:rsid w:val="1DA9212D"/>
    <w:rsid w:val="1DAD0520"/>
    <w:rsid w:val="1DBE44DB"/>
    <w:rsid w:val="1DC75A85"/>
    <w:rsid w:val="1DCB6BF8"/>
    <w:rsid w:val="1DD97567"/>
    <w:rsid w:val="1DDA31E4"/>
    <w:rsid w:val="1DE5415D"/>
    <w:rsid w:val="1DE55F0B"/>
    <w:rsid w:val="1DF13F4F"/>
    <w:rsid w:val="1DF63C75"/>
    <w:rsid w:val="1DF75C3F"/>
    <w:rsid w:val="1E0A11C4"/>
    <w:rsid w:val="1E0A5972"/>
    <w:rsid w:val="1E0B5246"/>
    <w:rsid w:val="1E0C3498"/>
    <w:rsid w:val="1E135668"/>
    <w:rsid w:val="1E324BDA"/>
    <w:rsid w:val="1E450758"/>
    <w:rsid w:val="1E572B4B"/>
    <w:rsid w:val="1E5B3AC7"/>
    <w:rsid w:val="1E763007"/>
    <w:rsid w:val="1E797A5C"/>
    <w:rsid w:val="1E7E1EBC"/>
    <w:rsid w:val="1E8A6AB3"/>
    <w:rsid w:val="1E8F5E77"/>
    <w:rsid w:val="1E917E41"/>
    <w:rsid w:val="1E972EAB"/>
    <w:rsid w:val="1E9E5891"/>
    <w:rsid w:val="1E9F255E"/>
    <w:rsid w:val="1EA2204E"/>
    <w:rsid w:val="1EA57449"/>
    <w:rsid w:val="1EA90CE7"/>
    <w:rsid w:val="1EAE09F3"/>
    <w:rsid w:val="1EAF2075"/>
    <w:rsid w:val="1EC21DA9"/>
    <w:rsid w:val="1EC4217D"/>
    <w:rsid w:val="1ED81A83"/>
    <w:rsid w:val="1EE066D3"/>
    <w:rsid w:val="1EFB350D"/>
    <w:rsid w:val="1F0C1276"/>
    <w:rsid w:val="1F226CEB"/>
    <w:rsid w:val="1F242A63"/>
    <w:rsid w:val="1F3507CD"/>
    <w:rsid w:val="1F35643E"/>
    <w:rsid w:val="1F550E6F"/>
    <w:rsid w:val="1F760538"/>
    <w:rsid w:val="1F775289"/>
    <w:rsid w:val="1F8F4381"/>
    <w:rsid w:val="1F901EA7"/>
    <w:rsid w:val="1F923E71"/>
    <w:rsid w:val="1F965338"/>
    <w:rsid w:val="1FB43DE7"/>
    <w:rsid w:val="1FBA6F24"/>
    <w:rsid w:val="1FBE6A14"/>
    <w:rsid w:val="1FC14756"/>
    <w:rsid w:val="1FC35DD8"/>
    <w:rsid w:val="1FDB5818"/>
    <w:rsid w:val="20020FF7"/>
    <w:rsid w:val="20084133"/>
    <w:rsid w:val="200B6F8C"/>
    <w:rsid w:val="2010022D"/>
    <w:rsid w:val="20174376"/>
    <w:rsid w:val="201C373B"/>
    <w:rsid w:val="20210D51"/>
    <w:rsid w:val="20383FC2"/>
    <w:rsid w:val="203942EC"/>
    <w:rsid w:val="204333BD"/>
    <w:rsid w:val="20484530"/>
    <w:rsid w:val="2052571F"/>
    <w:rsid w:val="20607ACB"/>
    <w:rsid w:val="20623843"/>
    <w:rsid w:val="206C46C2"/>
    <w:rsid w:val="20704F98"/>
    <w:rsid w:val="207944D2"/>
    <w:rsid w:val="20841E8F"/>
    <w:rsid w:val="20863A7A"/>
    <w:rsid w:val="209854B7"/>
    <w:rsid w:val="20AA51EA"/>
    <w:rsid w:val="20BB11A5"/>
    <w:rsid w:val="20C444FE"/>
    <w:rsid w:val="20C462AC"/>
    <w:rsid w:val="20CA763A"/>
    <w:rsid w:val="20CC3E2F"/>
    <w:rsid w:val="20D364EF"/>
    <w:rsid w:val="20DF4E94"/>
    <w:rsid w:val="20F326ED"/>
    <w:rsid w:val="20FB77F4"/>
    <w:rsid w:val="210466A8"/>
    <w:rsid w:val="21117017"/>
    <w:rsid w:val="21222FD3"/>
    <w:rsid w:val="2123661E"/>
    <w:rsid w:val="212B00D9"/>
    <w:rsid w:val="212C5BFF"/>
    <w:rsid w:val="21366A7E"/>
    <w:rsid w:val="213A47C0"/>
    <w:rsid w:val="21423675"/>
    <w:rsid w:val="21464F13"/>
    <w:rsid w:val="214747E7"/>
    <w:rsid w:val="214B077B"/>
    <w:rsid w:val="21621621"/>
    <w:rsid w:val="217355DC"/>
    <w:rsid w:val="21780E44"/>
    <w:rsid w:val="21893052"/>
    <w:rsid w:val="219B4C15"/>
    <w:rsid w:val="21B55BF5"/>
    <w:rsid w:val="21BF4458"/>
    <w:rsid w:val="21BF6A73"/>
    <w:rsid w:val="21C127EB"/>
    <w:rsid w:val="21CA5B44"/>
    <w:rsid w:val="21CD73E2"/>
    <w:rsid w:val="21CF315A"/>
    <w:rsid w:val="21D544E9"/>
    <w:rsid w:val="21DE514B"/>
    <w:rsid w:val="21EE1107"/>
    <w:rsid w:val="22007FFE"/>
    <w:rsid w:val="22087FF3"/>
    <w:rsid w:val="22151481"/>
    <w:rsid w:val="22162B37"/>
    <w:rsid w:val="2228724C"/>
    <w:rsid w:val="222D60D3"/>
    <w:rsid w:val="223613C5"/>
    <w:rsid w:val="224376A4"/>
    <w:rsid w:val="2245341D"/>
    <w:rsid w:val="22597779"/>
    <w:rsid w:val="22625D7D"/>
    <w:rsid w:val="22644521"/>
    <w:rsid w:val="226B2757"/>
    <w:rsid w:val="22725EDB"/>
    <w:rsid w:val="227D2BB6"/>
    <w:rsid w:val="22960BED"/>
    <w:rsid w:val="229A52E8"/>
    <w:rsid w:val="22A04AF7"/>
    <w:rsid w:val="22A31EF1"/>
    <w:rsid w:val="22AD2D70"/>
    <w:rsid w:val="22B42350"/>
    <w:rsid w:val="22B770A2"/>
    <w:rsid w:val="22BD2FB3"/>
    <w:rsid w:val="22D447A0"/>
    <w:rsid w:val="22D64075"/>
    <w:rsid w:val="22EE5862"/>
    <w:rsid w:val="22F4274D"/>
    <w:rsid w:val="22F86AB7"/>
    <w:rsid w:val="22FD7853"/>
    <w:rsid w:val="23005595"/>
    <w:rsid w:val="230A01C2"/>
    <w:rsid w:val="230A5AD7"/>
    <w:rsid w:val="230E7CB2"/>
    <w:rsid w:val="231150AD"/>
    <w:rsid w:val="2318643B"/>
    <w:rsid w:val="23256DAA"/>
    <w:rsid w:val="23305E7B"/>
    <w:rsid w:val="233314C7"/>
    <w:rsid w:val="233F124C"/>
    <w:rsid w:val="23447230"/>
    <w:rsid w:val="23607DE2"/>
    <w:rsid w:val="2374352E"/>
    <w:rsid w:val="23812232"/>
    <w:rsid w:val="238735C1"/>
    <w:rsid w:val="23874E71"/>
    <w:rsid w:val="239161EE"/>
    <w:rsid w:val="23963804"/>
    <w:rsid w:val="23971A56"/>
    <w:rsid w:val="23C12F77"/>
    <w:rsid w:val="23C2284B"/>
    <w:rsid w:val="23C56DC7"/>
    <w:rsid w:val="23D74548"/>
    <w:rsid w:val="23DF51AB"/>
    <w:rsid w:val="23E40A13"/>
    <w:rsid w:val="23EB1DA2"/>
    <w:rsid w:val="23F724F4"/>
    <w:rsid w:val="24034E04"/>
    <w:rsid w:val="2409256C"/>
    <w:rsid w:val="240A10E9"/>
    <w:rsid w:val="240B2444"/>
    <w:rsid w:val="24174945"/>
    <w:rsid w:val="2418246B"/>
    <w:rsid w:val="242F7EE0"/>
    <w:rsid w:val="243E0123"/>
    <w:rsid w:val="243F4D56"/>
    <w:rsid w:val="244860B9"/>
    <w:rsid w:val="244A6AC8"/>
    <w:rsid w:val="246851A0"/>
    <w:rsid w:val="247753E3"/>
    <w:rsid w:val="24781BBF"/>
    <w:rsid w:val="247B3126"/>
    <w:rsid w:val="247D50F0"/>
    <w:rsid w:val="24855D52"/>
    <w:rsid w:val="24861ACA"/>
    <w:rsid w:val="24881E0B"/>
    <w:rsid w:val="248C5333"/>
    <w:rsid w:val="249E0BC2"/>
    <w:rsid w:val="249E5066"/>
    <w:rsid w:val="24A361D8"/>
    <w:rsid w:val="24A47E99"/>
    <w:rsid w:val="24B86128"/>
    <w:rsid w:val="24C34ACD"/>
    <w:rsid w:val="24C820E3"/>
    <w:rsid w:val="24CC1BD3"/>
    <w:rsid w:val="24CD76F9"/>
    <w:rsid w:val="24D942F0"/>
    <w:rsid w:val="24E76A0D"/>
    <w:rsid w:val="24F46A34"/>
    <w:rsid w:val="24FA6740"/>
    <w:rsid w:val="2500285A"/>
    <w:rsid w:val="250273A3"/>
    <w:rsid w:val="25132F85"/>
    <w:rsid w:val="251B0465"/>
    <w:rsid w:val="252C2672"/>
    <w:rsid w:val="25311A36"/>
    <w:rsid w:val="253B4663"/>
    <w:rsid w:val="25451805"/>
    <w:rsid w:val="25494795"/>
    <w:rsid w:val="25513E86"/>
    <w:rsid w:val="256040C9"/>
    <w:rsid w:val="256242E5"/>
    <w:rsid w:val="256B552A"/>
    <w:rsid w:val="25827978"/>
    <w:rsid w:val="258B55EA"/>
    <w:rsid w:val="25900E53"/>
    <w:rsid w:val="259049AF"/>
    <w:rsid w:val="25907F28"/>
    <w:rsid w:val="2593449F"/>
    <w:rsid w:val="25981AB5"/>
    <w:rsid w:val="259A582D"/>
    <w:rsid w:val="259D3570"/>
    <w:rsid w:val="259F1096"/>
    <w:rsid w:val="25A4045A"/>
    <w:rsid w:val="25A95A70"/>
    <w:rsid w:val="25AB7A3A"/>
    <w:rsid w:val="25C7239A"/>
    <w:rsid w:val="25E44CFA"/>
    <w:rsid w:val="25E90563"/>
    <w:rsid w:val="25EE7927"/>
    <w:rsid w:val="25F767DC"/>
    <w:rsid w:val="260B672B"/>
    <w:rsid w:val="260D7D6E"/>
    <w:rsid w:val="260E1D77"/>
    <w:rsid w:val="26190E48"/>
    <w:rsid w:val="261C6242"/>
    <w:rsid w:val="261E020C"/>
    <w:rsid w:val="26207C03"/>
    <w:rsid w:val="262127D4"/>
    <w:rsid w:val="26213859"/>
    <w:rsid w:val="262E5F76"/>
    <w:rsid w:val="2637307C"/>
    <w:rsid w:val="26385E8A"/>
    <w:rsid w:val="263B7010"/>
    <w:rsid w:val="26437C73"/>
    <w:rsid w:val="26502390"/>
    <w:rsid w:val="2650413E"/>
    <w:rsid w:val="26582678"/>
    <w:rsid w:val="265E11E3"/>
    <w:rsid w:val="26600825"/>
    <w:rsid w:val="26795443"/>
    <w:rsid w:val="26834A1B"/>
    <w:rsid w:val="26851904"/>
    <w:rsid w:val="26906C30"/>
    <w:rsid w:val="26971D6D"/>
    <w:rsid w:val="269E30FB"/>
    <w:rsid w:val="26A6639B"/>
    <w:rsid w:val="26A85D28"/>
    <w:rsid w:val="26AD333E"/>
    <w:rsid w:val="26B446CD"/>
    <w:rsid w:val="26C80178"/>
    <w:rsid w:val="26CF7759"/>
    <w:rsid w:val="26D20FF7"/>
    <w:rsid w:val="26DD1E76"/>
    <w:rsid w:val="26E07FCC"/>
    <w:rsid w:val="26E33204"/>
    <w:rsid w:val="26ED5E31"/>
    <w:rsid w:val="26F176CF"/>
    <w:rsid w:val="26F471BF"/>
    <w:rsid w:val="270C4509"/>
    <w:rsid w:val="270E2A3A"/>
    <w:rsid w:val="2714160F"/>
    <w:rsid w:val="27181100"/>
    <w:rsid w:val="27286E69"/>
    <w:rsid w:val="273E043A"/>
    <w:rsid w:val="273E668C"/>
    <w:rsid w:val="275D4D64"/>
    <w:rsid w:val="27651E6B"/>
    <w:rsid w:val="276911AA"/>
    <w:rsid w:val="276B56D3"/>
    <w:rsid w:val="276C4FA7"/>
    <w:rsid w:val="27912C60"/>
    <w:rsid w:val="27A04C51"/>
    <w:rsid w:val="27A961FC"/>
    <w:rsid w:val="27AC7A9A"/>
    <w:rsid w:val="27ADE217"/>
    <w:rsid w:val="27AF30E6"/>
    <w:rsid w:val="27BA5D13"/>
    <w:rsid w:val="27C72271"/>
    <w:rsid w:val="27CB7B5F"/>
    <w:rsid w:val="27DA4607"/>
    <w:rsid w:val="27E70AD2"/>
    <w:rsid w:val="27E92A9C"/>
    <w:rsid w:val="27EA5CB9"/>
    <w:rsid w:val="27F03E2A"/>
    <w:rsid w:val="27F54F9D"/>
    <w:rsid w:val="27FA57AE"/>
    <w:rsid w:val="28041431"/>
    <w:rsid w:val="28094EEC"/>
    <w:rsid w:val="282D2989"/>
    <w:rsid w:val="283C7070"/>
    <w:rsid w:val="284877C3"/>
    <w:rsid w:val="285717B4"/>
    <w:rsid w:val="285D746B"/>
    <w:rsid w:val="28610884"/>
    <w:rsid w:val="286363AA"/>
    <w:rsid w:val="28724840"/>
    <w:rsid w:val="28754330"/>
    <w:rsid w:val="2877796C"/>
    <w:rsid w:val="28814A83"/>
    <w:rsid w:val="289522DC"/>
    <w:rsid w:val="28972291"/>
    <w:rsid w:val="289C7B0E"/>
    <w:rsid w:val="28A40771"/>
    <w:rsid w:val="28AC5FA3"/>
    <w:rsid w:val="28B210E0"/>
    <w:rsid w:val="28B409B4"/>
    <w:rsid w:val="28B66BE5"/>
    <w:rsid w:val="28BA5566"/>
    <w:rsid w:val="28C3509B"/>
    <w:rsid w:val="28DB23E5"/>
    <w:rsid w:val="28DC615D"/>
    <w:rsid w:val="28DD71BF"/>
    <w:rsid w:val="28E82D54"/>
    <w:rsid w:val="28E868B0"/>
    <w:rsid w:val="28EA6ACC"/>
    <w:rsid w:val="28EF41A5"/>
    <w:rsid w:val="28F21696"/>
    <w:rsid w:val="28F50017"/>
    <w:rsid w:val="29023E15"/>
    <w:rsid w:val="290336EA"/>
    <w:rsid w:val="290F208E"/>
    <w:rsid w:val="290F378F"/>
    <w:rsid w:val="29114058"/>
    <w:rsid w:val="29183639"/>
    <w:rsid w:val="29235B3A"/>
    <w:rsid w:val="292B00E6"/>
    <w:rsid w:val="292F44DF"/>
    <w:rsid w:val="29393012"/>
    <w:rsid w:val="293A1610"/>
    <w:rsid w:val="29451F54"/>
    <w:rsid w:val="29530A33"/>
    <w:rsid w:val="29652E48"/>
    <w:rsid w:val="29656152"/>
    <w:rsid w:val="296A19BB"/>
    <w:rsid w:val="2987256D"/>
    <w:rsid w:val="29873611"/>
    <w:rsid w:val="298A3E0B"/>
    <w:rsid w:val="298F1421"/>
    <w:rsid w:val="298F34E4"/>
    <w:rsid w:val="29A50C45"/>
    <w:rsid w:val="29AB625B"/>
    <w:rsid w:val="29B35110"/>
    <w:rsid w:val="29BB5D72"/>
    <w:rsid w:val="29BF3AB4"/>
    <w:rsid w:val="29C56BF1"/>
    <w:rsid w:val="29C9048F"/>
    <w:rsid w:val="29CB1FF6"/>
    <w:rsid w:val="29D84B76"/>
    <w:rsid w:val="29DF4157"/>
    <w:rsid w:val="29E11C7D"/>
    <w:rsid w:val="29E21551"/>
    <w:rsid w:val="29E31DE1"/>
    <w:rsid w:val="29E90B31"/>
    <w:rsid w:val="29EC0622"/>
    <w:rsid w:val="29FF65A7"/>
    <w:rsid w:val="2A092F82"/>
    <w:rsid w:val="2A1C2CB5"/>
    <w:rsid w:val="2A3909A4"/>
    <w:rsid w:val="2A3A313B"/>
    <w:rsid w:val="2A3F4BF5"/>
    <w:rsid w:val="2A4144C9"/>
    <w:rsid w:val="2A4A348B"/>
    <w:rsid w:val="2A5A1A2F"/>
    <w:rsid w:val="2A613DAE"/>
    <w:rsid w:val="2A6603D4"/>
    <w:rsid w:val="2A693A20"/>
    <w:rsid w:val="2A697EC4"/>
    <w:rsid w:val="2A7C4A7E"/>
    <w:rsid w:val="2A834AE2"/>
    <w:rsid w:val="2A84085A"/>
    <w:rsid w:val="2A944F41"/>
    <w:rsid w:val="2A97058D"/>
    <w:rsid w:val="2A994305"/>
    <w:rsid w:val="2AA016B4"/>
    <w:rsid w:val="2AA25896"/>
    <w:rsid w:val="2AA91689"/>
    <w:rsid w:val="2ABA24CE"/>
    <w:rsid w:val="2AC60E73"/>
    <w:rsid w:val="2AC86999"/>
    <w:rsid w:val="2AE17A5A"/>
    <w:rsid w:val="2AE354C8"/>
    <w:rsid w:val="2AE412F9"/>
    <w:rsid w:val="2AE65071"/>
    <w:rsid w:val="2AF04849"/>
    <w:rsid w:val="2AF92FF6"/>
    <w:rsid w:val="2AFB6D6E"/>
    <w:rsid w:val="2B0C0F7B"/>
    <w:rsid w:val="2B1727EA"/>
    <w:rsid w:val="2B2636BF"/>
    <w:rsid w:val="2B45623B"/>
    <w:rsid w:val="2B4A3852"/>
    <w:rsid w:val="2B4C1378"/>
    <w:rsid w:val="2B595843"/>
    <w:rsid w:val="2B606BD1"/>
    <w:rsid w:val="2B7E34FB"/>
    <w:rsid w:val="2B942D1F"/>
    <w:rsid w:val="2B960845"/>
    <w:rsid w:val="2B996587"/>
    <w:rsid w:val="2B9D7E25"/>
    <w:rsid w:val="2BB84C5F"/>
    <w:rsid w:val="2BBF59F2"/>
    <w:rsid w:val="2BC03B14"/>
    <w:rsid w:val="2BCC070B"/>
    <w:rsid w:val="2BCE7FDF"/>
    <w:rsid w:val="2BD31A99"/>
    <w:rsid w:val="2BE07D12"/>
    <w:rsid w:val="2BE27F2E"/>
    <w:rsid w:val="2BFF463C"/>
    <w:rsid w:val="2C107FEF"/>
    <w:rsid w:val="2C262215"/>
    <w:rsid w:val="2C267E1B"/>
    <w:rsid w:val="2C2C11A9"/>
    <w:rsid w:val="2C477D91"/>
    <w:rsid w:val="2C4A7557"/>
    <w:rsid w:val="2C6D49AA"/>
    <w:rsid w:val="2C7A0167"/>
    <w:rsid w:val="2C7F3DC7"/>
    <w:rsid w:val="2C8114F5"/>
    <w:rsid w:val="2C9A6113"/>
    <w:rsid w:val="2C9D5C03"/>
    <w:rsid w:val="2CB2345D"/>
    <w:rsid w:val="2CB847EB"/>
    <w:rsid w:val="2CBC252D"/>
    <w:rsid w:val="2CBE62A5"/>
    <w:rsid w:val="2CD86C3B"/>
    <w:rsid w:val="2CDA0C05"/>
    <w:rsid w:val="2CF00429"/>
    <w:rsid w:val="2CF0667B"/>
    <w:rsid w:val="2CFF241A"/>
    <w:rsid w:val="2D0068BE"/>
    <w:rsid w:val="2D151C3D"/>
    <w:rsid w:val="2D1B54A6"/>
    <w:rsid w:val="2D1B777C"/>
    <w:rsid w:val="2D2500D2"/>
    <w:rsid w:val="2D3465E1"/>
    <w:rsid w:val="2D360531"/>
    <w:rsid w:val="2D376244"/>
    <w:rsid w:val="2D42250B"/>
    <w:rsid w:val="2D447E18"/>
    <w:rsid w:val="2D546C0A"/>
    <w:rsid w:val="2D5B7F98"/>
    <w:rsid w:val="2D687FBF"/>
    <w:rsid w:val="2D7758D2"/>
    <w:rsid w:val="2D7828F8"/>
    <w:rsid w:val="2D796670"/>
    <w:rsid w:val="2D80355B"/>
    <w:rsid w:val="2D811081"/>
    <w:rsid w:val="2D847999"/>
    <w:rsid w:val="2D8D0BF1"/>
    <w:rsid w:val="2D8D7A26"/>
    <w:rsid w:val="2D9139BA"/>
    <w:rsid w:val="2D9278AF"/>
    <w:rsid w:val="2D984D48"/>
    <w:rsid w:val="2D990AC0"/>
    <w:rsid w:val="2DA134D1"/>
    <w:rsid w:val="2DA273A4"/>
    <w:rsid w:val="2DA27975"/>
    <w:rsid w:val="2DA4204D"/>
    <w:rsid w:val="2DAA4A7C"/>
    <w:rsid w:val="2DAD00C8"/>
    <w:rsid w:val="2DC378EB"/>
    <w:rsid w:val="2DCE076A"/>
    <w:rsid w:val="2DD815E9"/>
    <w:rsid w:val="2DD90EBD"/>
    <w:rsid w:val="2DEA78B6"/>
    <w:rsid w:val="2DF14458"/>
    <w:rsid w:val="2DF47AA5"/>
    <w:rsid w:val="2E093550"/>
    <w:rsid w:val="2E0F14FA"/>
    <w:rsid w:val="2E1232CD"/>
    <w:rsid w:val="2E190967"/>
    <w:rsid w:val="2E1D1EB9"/>
    <w:rsid w:val="2E1D284D"/>
    <w:rsid w:val="2E291E44"/>
    <w:rsid w:val="2E2C3E41"/>
    <w:rsid w:val="2E2D19AE"/>
    <w:rsid w:val="2E424CB4"/>
    <w:rsid w:val="2E433BD4"/>
    <w:rsid w:val="2E56250D"/>
    <w:rsid w:val="2E5A0250"/>
    <w:rsid w:val="2E5D564A"/>
    <w:rsid w:val="2E6115DE"/>
    <w:rsid w:val="2E6966E5"/>
    <w:rsid w:val="2E6D4CAE"/>
    <w:rsid w:val="2E7035CF"/>
    <w:rsid w:val="2E734E6D"/>
    <w:rsid w:val="2E76495E"/>
    <w:rsid w:val="2E7A26A0"/>
    <w:rsid w:val="2E7D577C"/>
    <w:rsid w:val="2E84707B"/>
    <w:rsid w:val="2E870919"/>
    <w:rsid w:val="2E8928E3"/>
    <w:rsid w:val="2E8B665B"/>
    <w:rsid w:val="2E9144EF"/>
    <w:rsid w:val="2E964C51"/>
    <w:rsid w:val="2E975000"/>
    <w:rsid w:val="2E980D78"/>
    <w:rsid w:val="2E9A689E"/>
    <w:rsid w:val="2EB371C2"/>
    <w:rsid w:val="2EC61441"/>
    <w:rsid w:val="2EC90F31"/>
    <w:rsid w:val="2ECE02F6"/>
    <w:rsid w:val="2ECE4B4E"/>
    <w:rsid w:val="2ED26603"/>
    <w:rsid w:val="2ED51684"/>
    <w:rsid w:val="2ED973C6"/>
    <w:rsid w:val="2EE04163"/>
    <w:rsid w:val="2EE87609"/>
    <w:rsid w:val="2EE95130"/>
    <w:rsid w:val="2EED2E72"/>
    <w:rsid w:val="2EEE2746"/>
    <w:rsid w:val="2EF064BE"/>
    <w:rsid w:val="2F0A3A24"/>
    <w:rsid w:val="2F0D5F48"/>
    <w:rsid w:val="2F193C67"/>
    <w:rsid w:val="2F260132"/>
    <w:rsid w:val="2F3A3BDD"/>
    <w:rsid w:val="2F3D3B1D"/>
    <w:rsid w:val="2F5051AF"/>
    <w:rsid w:val="2F6E294B"/>
    <w:rsid w:val="2F7B222C"/>
    <w:rsid w:val="2F866E22"/>
    <w:rsid w:val="2F880DEC"/>
    <w:rsid w:val="2F8957C0"/>
    <w:rsid w:val="2F9105E1"/>
    <w:rsid w:val="2F972DDE"/>
    <w:rsid w:val="2F9C03F4"/>
    <w:rsid w:val="2FA200FA"/>
    <w:rsid w:val="2FB614B6"/>
    <w:rsid w:val="2FC040E2"/>
    <w:rsid w:val="2FC17E5A"/>
    <w:rsid w:val="2FCA31B3"/>
    <w:rsid w:val="2FDD4C94"/>
    <w:rsid w:val="2FE04785"/>
    <w:rsid w:val="2FF16992"/>
    <w:rsid w:val="2FFF02FA"/>
    <w:rsid w:val="30020B4E"/>
    <w:rsid w:val="300A1801"/>
    <w:rsid w:val="30137CF7"/>
    <w:rsid w:val="30197C97"/>
    <w:rsid w:val="301A2346"/>
    <w:rsid w:val="30241C05"/>
    <w:rsid w:val="302C5212"/>
    <w:rsid w:val="303C76AF"/>
    <w:rsid w:val="303D5733"/>
    <w:rsid w:val="30406FD1"/>
    <w:rsid w:val="304241C9"/>
    <w:rsid w:val="30446AC1"/>
    <w:rsid w:val="304545E8"/>
    <w:rsid w:val="304F5466"/>
    <w:rsid w:val="30526F2D"/>
    <w:rsid w:val="305558AE"/>
    <w:rsid w:val="306E3B3E"/>
    <w:rsid w:val="307373A7"/>
    <w:rsid w:val="307B625B"/>
    <w:rsid w:val="3089305D"/>
    <w:rsid w:val="308C15F5"/>
    <w:rsid w:val="30980BBB"/>
    <w:rsid w:val="30A752A2"/>
    <w:rsid w:val="30AB6B41"/>
    <w:rsid w:val="30BF083E"/>
    <w:rsid w:val="30BF9469"/>
    <w:rsid w:val="30C61BCC"/>
    <w:rsid w:val="30CE0A81"/>
    <w:rsid w:val="30D616E4"/>
    <w:rsid w:val="30DA11D4"/>
    <w:rsid w:val="30DD0CC4"/>
    <w:rsid w:val="30ED7159"/>
    <w:rsid w:val="30FC51C2"/>
    <w:rsid w:val="30FE1366"/>
    <w:rsid w:val="3102072B"/>
    <w:rsid w:val="310B3146"/>
    <w:rsid w:val="3113342F"/>
    <w:rsid w:val="312406A1"/>
    <w:rsid w:val="312608BD"/>
    <w:rsid w:val="312A6E39"/>
    <w:rsid w:val="312B7C81"/>
    <w:rsid w:val="31322DBE"/>
    <w:rsid w:val="3139239E"/>
    <w:rsid w:val="313A7EC4"/>
    <w:rsid w:val="313B47B1"/>
    <w:rsid w:val="31486DB5"/>
    <w:rsid w:val="31584276"/>
    <w:rsid w:val="315E1E05"/>
    <w:rsid w:val="31605B7D"/>
    <w:rsid w:val="31674F0F"/>
    <w:rsid w:val="31692558"/>
    <w:rsid w:val="316B4522"/>
    <w:rsid w:val="317F567A"/>
    <w:rsid w:val="318A0E4C"/>
    <w:rsid w:val="318D41A0"/>
    <w:rsid w:val="318D4498"/>
    <w:rsid w:val="3199108F"/>
    <w:rsid w:val="319C528E"/>
    <w:rsid w:val="319F3C0F"/>
    <w:rsid w:val="31A33CBC"/>
    <w:rsid w:val="31AC0DC2"/>
    <w:rsid w:val="31B5579D"/>
    <w:rsid w:val="31C14142"/>
    <w:rsid w:val="31DB5204"/>
    <w:rsid w:val="31DE2F46"/>
    <w:rsid w:val="31DE4CF4"/>
    <w:rsid w:val="31E340B8"/>
    <w:rsid w:val="31E85B72"/>
    <w:rsid w:val="31F167D5"/>
    <w:rsid w:val="31F462C5"/>
    <w:rsid w:val="32002EBC"/>
    <w:rsid w:val="3207249C"/>
    <w:rsid w:val="320A7897"/>
    <w:rsid w:val="322F435A"/>
    <w:rsid w:val="32356DF6"/>
    <w:rsid w:val="323D7C6C"/>
    <w:rsid w:val="324C6101"/>
    <w:rsid w:val="32502792"/>
    <w:rsid w:val="325713A9"/>
    <w:rsid w:val="325B0FE6"/>
    <w:rsid w:val="325E7BE3"/>
    <w:rsid w:val="3260395B"/>
    <w:rsid w:val="32717916"/>
    <w:rsid w:val="32866B73"/>
    <w:rsid w:val="328718AD"/>
    <w:rsid w:val="328A6C2A"/>
    <w:rsid w:val="32911D66"/>
    <w:rsid w:val="32931F82"/>
    <w:rsid w:val="32A01FA9"/>
    <w:rsid w:val="32A50F33"/>
    <w:rsid w:val="32B45061"/>
    <w:rsid w:val="32B83797"/>
    <w:rsid w:val="32BB4322"/>
    <w:rsid w:val="32C263C3"/>
    <w:rsid w:val="32D06D32"/>
    <w:rsid w:val="32D63C1D"/>
    <w:rsid w:val="32DE13AB"/>
    <w:rsid w:val="32F26CA9"/>
    <w:rsid w:val="32F80037"/>
    <w:rsid w:val="32F81DE5"/>
    <w:rsid w:val="32FD73FC"/>
    <w:rsid w:val="33010C9A"/>
    <w:rsid w:val="3304078A"/>
    <w:rsid w:val="33042538"/>
    <w:rsid w:val="330E785B"/>
    <w:rsid w:val="33134E71"/>
    <w:rsid w:val="33136C1F"/>
    <w:rsid w:val="33154028"/>
    <w:rsid w:val="33201EA2"/>
    <w:rsid w:val="33226E62"/>
    <w:rsid w:val="3330157F"/>
    <w:rsid w:val="333948D8"/>
    <w:rsid w:val="333A23FE"/>
    <w:rsid w:val="333E29F7"/>
    <w:rsid w:val="33437504"/>
    <w:rsid w:val="3344502A"/>
    <w:rsid w:val="33484B1B"/>
    <w:rsid w:val="334F40FB"/>
    <w:rsid w:val="335A484E"/>
    <w:rsid w:val="335C4122"/>
    <w:rsid w:val="338B4A07"/>
    <w:rsid w:val="338D077F"/>
    <w:rsid w:val="33922361"/>
    <w:rsid w:val="33945FB2"/>
    <w:rsid w:val="33947D60"/>
    <w:rsid w:val="33A414F8"/>
    <w:rsid w:val="33A45AC9"/>
    <w:rsid w:val="33B8407C"/>
    <w:rsid w:val="33C323F3"/>
    <w:rsid w:val="33C817B8"/>
    <w:rsid w:val="33CA19D4"/>
    <w:rsid w:val="33CC574C"/>
    <w:rsid w:val="33E32661"/>
    <w:rsid w:val="33ED56C2"/>
    <w:rsid w:val="33EF31E8"/>
    <w:rsid w:val="33F46A50"/>
    <w:rsid w:val="33F627C9"/>
    <w:rsid w:val="340842AA"/>
    <w:rsid w:val="341449FD"/>
    <w:rsid w:val="34180991"/>
    <w:rsid w:val="342033A2"/>
    <w:rsid w:val="342C7F98"/>
    <w:rsid w:val="34313801"/>
    <w:rsid w:val="34433534"/>
    <w:rsid w:val="34472436"/>
    <w:rsid w:val="34474DD2"/>
    <w:rsid w:val="34741452"/>
    <w:rsid w:val="347B0F20"/>
    <w:rsid w:val="347B5013"/>
    <w:rsid w:val="34871673"/>
    <w:rsid w:val="34931DC5"/>
    <w:rsid w:val="34967B08"/>
    <w:rsid w:val="349D0E96"/>
    <w:rsid w:val="34AA710F"/>
    <w:rsid w:val="34B1049E"/>
    <w:rsid w:val="34B65087"/>
    <w:rsid w:val="34B65AB4"/>
    <w:rsid w:val="34B87A7E"/>
    <w:rsid w:val="34CE72A2"/>
    <w:rsid w:val="34D81ECE"/>
    <w:rsid w:val="34DD5737"/>
    <w:rsid w:val="34DF2F1B"/>
    <w:rsid w:val="34E05D64"/>
    <w:rsid w:val="34EA5017"/>
    <w:rsid w:val="34EB1C02"/>
    <w:rsid w:val="35040F15"/>
    <w:rsid w:val="350D601C"/>
    <w:rsid w:val="35101668"/>
    <w:rsid w:val="351A4295"/>
    <w:rsid w:val="352275ED"/>
    <w:rsid w:val="35245113"/>
    <w:rsid w:val="352549E8"/>
    <w:rsid w:val="35270760"/>
    <w:rsid w:val="352C3FC8"/>
    <w:rsid w:val="354267BA"/>
    <w:rsid w:val="35472BB0"/>
    <w:rsid w:val="35491FA1"/>
    <w:rsid w:val="35531555"/>
    <w:rsid w:val="355D255E"/>
    <w:rsid w:val="355F7EFA"/>
    <w:rsid w:val="35633E8E"/>
    <w:rsid w:val="35683252"/>
    <w:rsid w:val="35731BF7"/>
    <w:rsid w:val="35753BC1"/>
    <w:rsid w:val="3577244E"/>
    <w:rsid w:val="357D4824"/>
    <w:rsid w:val="357E0CC8"/>
    <w:rsid w:val="357E73DA"/>
    <w:rsid w:val="3589141A"/>
    <w:rsid w:val="358D0D07"/>
    <w:rsid w:val="359A3628"/>
    <w:rsid w:val="359C114E"/>
    <w:rsid w:val="35B46497"/>
    <w:rsid w:val="35C0308E"/>
    <w:rsid w:val="35D501BC"/>
    <w:rsid w:val="35DE3514"/>
    <w:rsid w:val="35F03248"/>
    <w:rsid w:val="35F965A0"/>
    <w:rsid w:val="36034D29"/>
    <w:rsid w:val="36146F36"/>
    <w:rsid w:val="361915B2"/>
    <w:rsid w:val="36201D7F"/>
    <w:rsid w:val="362178A5"/>
    <w:rsid w:val="362566B0"/>
    <w:rsid w:val="36274EBB"/>
    <w:rsid w:val="362829E1"/>
    <w:rsid w:val="365B6913"/>
    <w:rsid w:val="368D0D27"/>
    <w:rsid w:val="369736C3"/>
    <w:rsid w:val="36A007CA"/>
    <w:rsid w:val="36A91D74"/>
    <w:rsid w:val="36AA33F6"/>
    <w:rsid w:val="36AD2EE7"/>
    <w:rsid w:val="36BB1AA7"/>
    <w:rsid w:val="36BB5604"/>
    <w:rsid w:val="36E025F7"/>
    <w:rsid w:val="36E0506A"/>
    <w:rsid w:val="36E96615"/>
    <w:rsid w:val="36EA5EE9"/>
    <w:rsid w:val="36F079A3"/>
    <w:rsid w:val="36F154C9"/>
    <w:rsid w:val="37092813"/>
    <w:rsid w:val="370E607B"/>
    <w:rsid w:val="37156433"/>
    <w:rsid w:val="37160A8C"/>
    <w:rsid w:val="37180CA8"/>
    <w:rsid w:val="37200081"/>
    <w:rsid w:val="37272C99"/>
    <w:rsid w:val="37296A11"/>
    <w:rsid w:val="372A370D"/>
    <w:rsid w:val="372B09DB"/>
    <w:rsid w:val="37321D6A"/>
    <w:rsid w:val="373D070E"/>
    <w:rsid w:val="373F6235"/>
    <w:rsid w:val="375F68D7"/>
    <w:rsid w:val="37691C60"/>
    <w:rsid w:val="376D2DA2"/>
    <w:rsid w:val="377C2FE5"/>
    <w:rsid w:val="37826121"/>
    <w:rsid w:val="378E4AC6"/>
    <w:rsid w:val="37903759"/>
    <w:rsid w:val="37976071"/>
    <w:rsid w:val="379876F3"/>
    <w:rsid w:val="37A10C9D"/>
    <w:rsid w:val="37AD13F0"/>
    <w:rsid w:val="37AF124F"/>
    <w:rsid w:val="37B24C58"/>
    <w:rsid w:val="37B564F7"/>
    <w:rsid w:val="37B95FE7"/>
    <w:rsid w:val="37CF11C7"/>
    <w:rsid w:val="37D366CE"/>
    <w:rsid w:val="37D50947"/>
    <w:rsid w:val="37DC0EC1"/>
    <w:rsid w:val="37DF17C6"/>
    <w:rsid w:val="37F708BD"/>
    <w:rsid w:val="37FA215C"/>
    <w:rsid w:val="37FC5ED4"/>
    <w:rsid w:val="38003C16"/>
    <w:rsid w:val="38194CD8"/>
    <w:rsid w:val="3825367C"/>
    <w:rsid w:val="3826627C"/>
    <w:rsid w:val="382B0567"/>
    <w:rsid w:val="383C09C6"/>
    <w:rsid w:val="383C2774"/>
    <w:rsid w:val="38471845"/>
    <w:rsid w:val="384A6801"/>
    <w:rsid w:val="38600F6C"/>
    <w:rsid w:val="38606463"/>
    <w:rsid w:val="38644903"/>
    <w:rsid w:val="38685317"/>
    <w:rsid w:val="387719FE"/>
    <w:rsid w:val="387B329C"/>
    <w:rsid w:val="387C0DC3"/>
    <w:rsid w:val="387E4B3B"/>
    <w:rsid w:val="38832151"/>
    <w:rsid w:val="38975BFC"/>
    <w:rsid w:val="38A547BD"/>
    <w:rsid w:val="38DB01DF"/>
    <w:rsid w:val="38E250CA"/>
    <w:rsid w:val="38EF24BC"/>
    <w:rsid w:val="390037A2"/>
    <w:rsid w:val="39070FD4"/>
    <w:rsid w:val="39094D4C"/>
    <w:rsid w:val="390B0AC4"/>
    <w:rsid w:val="390F482E"/>
    <w:rsid w:val="39167469"/>
    <w:rsid w:val="3917707D"/>
    <w:rsid w:val="39247160"/>
    <w:rsid w:val="392747CC"/>
    <w:rsid w:val="392C0A3B"/>
    <w:rsid w:val="39334084"/>
    <w:rsid w:val="39396CB4"/>
    <w:rsid w:val="394515AA"/>
    <w:rsid w:val="39455658"/>
    <w:rsid w:val="395064D7"/>
    <w:rsid w:val="39693A3D"/>
    <w:rsid w:val="397321C6"/>
    <w:rsid w:val="397475E6"/>
    <w:rsid w:val="397A13EA"/>
    <w:rsid w:val="397A79F8"/>
    <w:rsid w:val="39A64349"/>
    <w:rsid w:val="39A93E39"/>
    <w:rsid w:val="39B06F76"/>
    <w:rsid w:val="39BF18AF"/>
    <w:rsid w:val="39C779F1"/>
    <w:rsid w:val="39D0586A"/>
    <w:rsid w:val="39D47424"/>
    <w:rsid w:val="39E15381"/>
    <w:rsid w:val="39E44E71"/>
    <w:rsid w:val="3A045513"/>
    <w:rsid w:val="3A190FBF"/>
    <w:rsid w:val="3A1F5EA9"/>
    <w:rsid w:val="3A2D6818"/>
    <w:rsid w:val="3A6A35F5"/>
    <w:rsid w:val="3A7E0E22"/>
    <w:rsid w:val="3A8328DC"/>
    <w:rsid w:val="3A887EF3"/>
    <w:rsid w:val="3A8B06D0"/>
    <w:rsid w:val="3A8D5509"/>
    <w:rsid w:val="3A8F74D3"/>
    <w:rsid w:val="3A9C574C"/>
    <w:rsid w:val="3AAC3BE1"/>
    <w:rsid w:val="3AB66EE8"/>
    <w:rsid w:val="3ABB3E24"/>
    <w:rsid w:val="3ABC194A"/>
    <w:rsid w:val="3ABE1B66"/>
    <w:rsid w:val="3ADC3D9A"/>
    <w:rsid w:val="3ADE7B13"/>
    <w:rsid w:val="3AEA4709"/>
    <w:rsid w:val="3AEE41FA"/>
    <w:rsid w:val="3AF86E26"/>
    <w:rsid w:val="3B0C0B24"/>
    <w:rsid w:val="3B1078FF"/>
    <w:rsid w:val="3B253993"/>
    <w:rsid w:val="3B2A0FAA"/>
    <w:rsid w:val="3B2C6AD0"/>
    <w:rsid w:val="3B2C7D89"/>
    <w:rsid w:val="3B304812"/>
    <w:rsid w:val="3B312338"/>
    <w:rsid w:val="3B3140E6"/>
    <w:rsid w:val="3B337E5E"/>
    <w:rsid w:val="3B443E1A"/>
    <w:rsid w:val="3B471B5C"/>
    <w:rsid w:val="3B563B4D"/>
    <w:rsid w:val="3B5E2A01"/>
    <w:rsid w:val="3B6018BC"/>
    <w:rsid w:val="3B6049CB"/>
    <w:rsid w:val="3B64626A"/>
    <w:rsid w:val="3B6C15C2"/>
    <w:rsid w:val="3B765A19"/>
    <w:rsid w:val="3B7B66FA"/>
    <w:rsid w:val="3B9308FD"/>
    <w:rsid w:val="3B964177"/>
    <w:rsid w:val="3B9C1EA7"/>
    <w:rsid w:val="3B9C50CA"/>
    <w:rsid w:val="3B9E4D42"/>
    <w:rsid w:val="3BA05455"/>
    <w:rsid w:val="3BAB20EB"/>
    <w:rsid w:val="3BB0325D"/>
    <w:rsid w:val="3BB56AC5"/>
    <w:rsid w:val="3BCD02B3"/>
    <w:rsid w:val="3BD54C3E"/>
    <w:rsid w:val="3BD66A3C"/>
    <w:rsid w:val="3BD80A06"/>
    <w:rsid w:val="3BE524FA"/>
    <w:rsid w:val="3BE9676F"/>
    <w:rsid w:val="3BEE1FD7"/>
    <w:rsid w:val="3BEE64FB"/>
    <w:rsid w:val="3BF03FA1"/>
    <w:rsid w:val="3BFD221A"/>
    <w:rsid w:val="3BFE2921"/>
    <w:rsid w:val="3C096E11"/>
    <w:rsid w:val="3C0E2679"/>
    <w:rsid w:val="3C187054"/>
    <w:rsid w:val="3C1C08F2"/>
    <w:rsid w:val="3C241E9D"/>
    <w:rsid w:val="3C261771"/>
    <w:rsid w:val="3C5207B8"/>
    <w:rsid w:val="3C577B7C"/>
    <w:rsid w:val="3C591B47"/>
    <w:rsid w:val="3C5E19B0"/>
    <w:rsid w:val="3C5E5292"/>
    <w:rsid w:val="3C5F6A31"/>
    <w:rsid w:val="3C780A0A"/>
    <w:rsid w:val="3C7921E9"/>
    <w:rsid w:val="3C795D45"/>
    <w:rsid w:val="3C7A386B"/>
    <w:rsid w:val="3C8841DA"/>
    <w:rsid w:val="3C9E1C4F"/>
    <w:rsid w:val="3CAA23A2"/>
    <w:rsid w:val="3CAB60A8"/>
    <w:rsid w:val="3CAD59EE"/>
    <w:rsid w:val="3CB7686D"/>
    <w:rsid w:val="3CD13DD3"/>
    <w:rsid w:val="3CDB7AF6"/>
    <w:rsid w:val="3CE27D8E"/>
    <w:rsid w:val="3CF278A5"/>
    <w:rsid w:val="3CFB2BFE"/>
    <w:rsid w:val="3D000214"/>
    <w:rsid w:val="3D031AB2"/>
    <w:rsid w:val="3D163CE8"/>
    <w:rsid w:val="3D174255"/>
    <w:rsid w:val="3D1E4B3E"/>
    <w:rsid w:val="3D281519"/>
    <w:rsid w:val="3D2C1009"/>
    <w:rsid w:val="3D3D4FC4"/>
    <w:rsid w:val="3D4D6987"/>
    <w:rsid w:val="3D533C89"/>
    <w:rsid w:val="3D536596"/>
    <w:rsid w:val="3D5440BC"/>
    <w:rsid w:val="3D7E738B"/>
    <w:rsid w:val="3D7F0F73"/>
    <w:rsid w:val="3D826E7B"/>
    <w:rsid w:val="3D8A5D30"/>
    <w:rsid w:val="3D996535"/>
    <w:rsid w:val="3D9F7A2D"/>
    <w:rsid w:val="3DB50FFF"/>
    <w:rsid w:val="3DB55F0C"/>
    <w:rsid w:val="3DB87C91"/>
    <w:rsid w:val="3DC079A3"/>
    <w:rsid w:val="3DD0408A"/>
    <w:rsid w:val="3DE25B6C"/>
    <w:rsid w:val="3DF24001"/>
    <w:rsid w:val="3DF813E7"/>
    <w:rsid w:val="3E0E070F"/>
    <w:rsid w:val="3E0E4BB3"/>
    <w:rsid w:val="3E1A5306"/>
    <w:rsid w:val="3E247F32"/>
    <w:rsid w:val="3E2C4C8A"/>
    <w:rsid w:val="3E2C61B9"/>
    <w:rsid w:val="3E4509F4"/>
    <w:rsid w:val="3E491747"/>
    <w:rsid w:val="3E612F34"/>
    <w:rsid w:val="3E622809"/>
    <w:rsid w:val="3E686071"/>
    <w:rsid w:val="3E6B5A1B"/>
    <w:rsid w:val="3E7358B0"/>
    <w:rsid w:val="3E8135D7"/>
    <w:rsid w:val="3E854E75"/>
    <w:rsid w:val="3E88226F"/>
    <w:rsid w:val="3E9055C8"/>
    <w:rsid w:val="3E95498C"/>
    <w:rsid w:val="3E9C21BE"/>
    <w:rsid w:val="3E9E5F37"/>
    <w:rsid w:val="3E9E7CE5"/>
    <w:rsid w:val="3E9F14AA"/>
    <w:rsid w:val="3EAB0654"/>
    <w:rsid w:val="3EB43064"/>
    <w:rsid w:val="3EB76FF8"/>
    <w:rsid w:val="3ECF7E9E"/>
    <w:rsid w:val="3ED5122D"/>
    <w:rsid w:val="3EDE4E4F"/>
    <w:rsid w:val="3EE44090"/>
    <w:rsid w:val="3EEA2F2A"/>
    <w:rsid w:val="3EF2616B"/>
    <w:rsid w:val="3EF618CF"/>
    <w:rsid w:val="3F03223E"/>
    <w:rsid w:val="3F1F777E"/>
    <w:rsid w:val="3F2C3542"/>
    <w:rsid w:val="3F42403B"/>
    <w:rsid w:val="3F487C50"/>
    <w:rsid w:val="3F4B21EC"/>
    <w:rsid w:val="3F512FA9"/>
    <w:rsid w:val="3F516B05"/>
    <w:rsid w:val="3F544847"/>
    <w:rsid w:val="3F5D7BA0"/>
    <w:rsid w:val="3F67457A"/>
    <w:rsid w:val="3F6F8C8E"/>
    <w:rsid w:val="3F740A45"/>
    <w:rsid w:val="3F7D3D9E"/>
    <w:rsid w:val="3F890995"/>
    <w:rsid w:val="3F8C2233"/>
    <w:rsid w:val="3F8E1B07"/>
    <w:rsid w:val="3F980BD8"/>
    <w:rsid w:val="3F9904AC"/>
    <w:rsid w:val="3FA72BC9"/>
    <w:rsid w:val="3FAD7EE7"/>
    <w:rsid w:val="3FBB72A2"/>
    <w:rsid w:val="3FBF43B6"/>
    <w:rsid w:val="3FC1012F"/>
    <w:rsid w:val="3FCA62F7"/>
    <w:rsid w:val="3FCE63A8"/>
    <w:rsid w:val="3FDB0AC5"/>
    <w:rsid w:val="3FDD483D"/>
    <w:rsid w:val="3FDF05B5"/>
    <w:rsid w:val="3FEF5E29"/>
    <w:rsid w:val="3FF1653A"/>
    <w:rsid w:val="3FF57DD8"/>
    <w:rsid w:val="3FF76EC8"/>
    <w:rsid w:val="3FFB4CC3"/>
    <w:rsid w:val="3FFD6C8D"/>
    <w:rsid w:val="400718BA"/>
    <w:rsid w:val="40074037"/>
    <w:rsid w:val="400E49F6"/>
    <w:rsid w:val="402661E4"/>
    <w:rsid w:val="40385F17"/>
    <w:rsid w:val="403C77B5"/>
    <w:rsid w:val="404E74E8"/>
    <w:rsid w:val="40526FD9"/>
    <w:rsid w:val="40610FCA"/>
    <w:rsid w:val="40624D42"/>
    <w:rsid w:val="407056B1"/>
    <w:rsid w:val="407351B3"/>
    <w:rsid w:val="40776A3F"/>
    <w:rsid w:val="407C5E04"/>
    <w:rsid w:val="407C6265"/>
    <w:rsid w:val="40827192"/>
    <w:rsid w:val="40A67324"/>
    <w:rsid w:val="40B437EF"/>
    <w:rsid w:val="40B7508E"/>
    <w:rsid w:val="40BC4452"/>
    <w:rsid w:val="40C15F0C"/>
    <w:rsid w:val="40C813CB"/>
    <w:rsid w:val="40C854ED"/>
    <w:rsid w:val="40D07EFD"/>
    <w:rsid w:val="40D479EE"/>
    <w:rsid w:val="40D529D3"/>
    <w:rsid w:val="40DB5220"/>
    <w:rsid w:val="41022FFD"/>
    <w:rsid w:val="410C0D55"/>
    <w:rsid w:val="410F6C78"/>
    <w:rsid w:val="41272213"/>
    <w:rsid w:val="41320BB8"/>
    <w:rsid w:val="413C37E5"/>
    <w:rsid w:val="413D1A37"/>
    <w:rsid w:val="414032D5"/>
    <w:rsid w:val="4142704D"/>
    <w:rsid w:val="41452699"/>
    <w:rsid w:val="414C7ECC"/>
    <w:rsid w:val="414F3518"/>
    <w:rsid w:val="41597EF3"/>
    <w:rsid w:val="415D5C35"/>
    <w:rsid w:val="4162324B"/>
    <w:rsid w:val="416D399E"/>
    <w:rsid w:val="416E7E42"/>
    <w:rsid w:val="416F7716"/>
    <w:rsid w:val="417D221B"/>
    <w:rsid w:val="41815E93"/>
    <w:rsid w:val="418A27A2"/>
    <w:rsid w:val="4191600E"/>
    <w:rsid w:val="41AD023F"/>
    <w:rsid w:val="41B94E35"/>
    <w:rsid w:val="41C77552"/>
    <w:rsid w:val="41D34149"/>
    <w:rsid w:val="41D91034"/>
    <w:rsid w:val="41DF2AEE"/>
    <w:rsid w:val="41E33E91"/>
    <w:rsid w:val="41F45E6E"/>
    <w:rsid w:val="41F95891"/>
    <w:rsid w:val="41FA7928"/>
    <w:rsid w:val="41FB71FC"/>
    <w:rsid w:val="41FE425C"/>
    <w:rsid w:val="42044303"/>
    <w:rsid w:val="42072045"/>
    <w:rsid w:val="420A743F"/>
    <w:rsid w:val="421502BE"/>
    <w:rsid w:val="421A58D4"/>
    <w:rsid w:val="42224789"/>
    <w:rsid w:val="42246753"/>
    <w:rsid w:val="422A188F"/>
    <w:rsid w:val="422B7AE1"/>
    <w:rsid w:val="422E137F"/>
    <w:rsid w:val="42310E70"/>
    <w:rsid w:val="424741EF"/>
    <w:rsid w:val="42497F67"/>
    <w:rsid w:val="424B0183"/>
    <w:rsid w:val="424B3CDF"/>
    <w:rsid w:val="424E37D0"/>
    <w:rsid w:val="4253528A"/>
    <w:rsid w:val="425D1C65"/>
    <w:rsid w:val="4269060A"/>
    <w:rsid w:val="427174BE"/>
    <w:rsid w:val="42770F78"/>
    <w:rsid w:val="427A2817"/>
    <w:rsid w:val="427D5E63"/>
    <w:rsid w:val="427F1BDB"/>
    <w:rsid w:val="428D2F16"/>
    <w:rsid w:val="42903DE8"/>
    <w:rsid w:val="42980EEF"/>
    <w:rsid w:val="429A4C67"/>
    <w:rsid w:val="429C278D"/>
    <w:rsid w:val="429D02B3"/>
    <w:rsid w:val="42A15FF5"/>
    <w:rsid w:val="42A33B1C"/>
    <w:rsid w:val="42A70AE7"/>
    <w:rsid w:val="42B51AA1"/>
    <w:rsid w:val="42B850ED"/>
    <w:rsid w:val="42BA2C13"/>
    <w:rsid w:val="42BE0955"/>
    <w:rsid w:val="42BF647C"/>
    <w:rsid w:val="42C35F6C"/>
    <w:rsid w:val="42C43A92"/>
    <w:rsid w:val="42C972FA"/>
    <w:rsid w:val="42CD0B98"/>
    <w:rsid w:val="42CF2B62"/>
    <w:rsid w:val="42D31F27"/>
    <w:rsid w:val="42D53EF1"/>
    <w:rsid w:val="42DF5FDB"/>
    <w:rsid w:val="42E163F2"/>
    <w:rsid w:val="42E25935"/>
    <w:rsid w:val="42EF4FB3"/>
    <w:rsid w:val="42F8188F"/>
    <w:rsid w:val="43087E22"/>
    <w:rsid w:val="43104F29"/>
    <w:rsid w:val="431247FD"/>
    <w:rsid w:val="4322216B"/>
    <w:rsid w:val="43252782"/>
    <w:rsid w:val="43291B47"/>
    <w:rsid w:val="4335673E"/>
    <w:rsid w:val="433C5D1E"/>
    <w:rsid w:val="43421586"/>
    <w:rsid w:val="434F5A51"/>
    <w:rsid w:val="436239D7"/>
    <w:rsid w:val="43685444"/>
    <w:rsid w:val="436C44A5"/>
    <w:rsid w:val="43851473"/>
    <w:rsid w:val="438A0837"/>
    <w:rsid w:val="438C20BD"/>
    <w:rsid w:val="438C286B"/>
    <w:rsid w:val="43923B90"/>
    <w:rsid w:val="439A62FF"/>
    <w:rsid w:val="439D67BD"/>
    <w:rsid w:val="43A0005B"/>
    <w:rsid w:val="43A2454E"/>
    <w:rsid w:val="43A55671"/>
    <w:rsid w:val="43A85162"/>
    <w:rsid w:val="43AD2778"/>
    <w:rsid w:val="43B92ECB"/>
    <w:rsid w:val="43BA373D"/>
    <w:rsid w:val="43BE6733"/>
    <w:rsid w:val="43CF6B92"/>
    <w:rsid w:val="43D67301"/>
    <w:rsid w:val="43D67F21"/>
    <w:rsid w:val="43D877F5"/>
    <w:rsid w:val="43DD12AF"/>
    <w:rsid w:val="43E4263E"/>
    <w:rsid w:val="43E47415"/>
    <w:rsid w:val="43E50164"/>
    <w:rsid w:val="43E75C8A"/>
    <w:rsid w:val="43E91AB4"/>
    <w:rsid w:val="43EC504E"/>
    <w:rsid w:val="43EE7018"/>
    <w:rsid w:val="44021442"/>
    <w:rsid w:val="4420119C"/>
    <w:rsid w:val="44226CC2"/>
    <w:rsid w:val="443A04B0"/>
    <w:rsid w:val="443B6ACE"/>
    <w:rsid w:val="443C2B2F"/>
    <w:rsid w:val="44427364"/>
    <w:rsid w:val="44531571"/>
    <w:rsid w:val="445C6678"/>
    <w:rsid w:val="44615A3C"/>
    <w:rsid w:val="446D1ED1"/>
    <w:rsid w:val="446F07FE"/>
    <w:rsid w:val="44775260"/>
    <w:rsid w:val="447D039C"/>
    <w:rsid w:val="448E0C96"/>
    <w:rsid w:val="449C6A74"/>
    <w:rsid w:val="449E2919"/>
    <w:rsid w:val="44A66CC7"/>
    <w:rsid w:val="44AC2D8E"/>
    <w:rsid w:val="44AD0C81"/>
    <w:rsid w:val="44AE67A8"/>
    <w:rsid w:val="44B042CE"/>
    <w:rsid w:val="44B55D88"/>
    <w:rsid w:val="44B6565C"/>
    <w:rsid w:val="44BC7116"/>
    <w:rsid w:val="44BD4C3D"/>
    <w:rsid w:val="44C24001"/>
    <w:rsid w:val="44C47D79"/>
    <w:rsid w:val="44CB1108"/>
    <w:rsid w:val="44CD30D2"/>
    <w:rsid w:val="44CE0BF8"/>
    <w:rsid w:val="44D97CC8"/>
    <w:rsid w:val="44DC3315"/>
    <w:rsid w:val="44E4041B"/>
    <w:rsid w:val="44F05012"/>
    <w:rsid w:val="450B3BFA"/>
    <w:rsid w:val="450B7471"/>
    <w:rsid w:val="45107462"/>
    <w:rsid w:val="451C1963"/>
    <w:rsid w:val="452627E2"/>
    <w:rsid w:val="45390767"/>
    <w:rsid w:val="455235D7"/>
    <w:rsid w:val="45575091"/>
    <w:rsid w:val="45736708"/>
    <w:rsid w:val="45742769"/>
    <w:rsid w:val="45763769"/>
    <w:rsid w:val="45790B64"/>
    <w:rsid w:val="457D238B"/>
    <w:rsid w:val="457E617A"/>
    <w:rsid w:val="458B0897"/>
    <w:rsid w:val="45990B3E"/>
    <w:rsid w:val="459B4F7E"/>
    <w:rsid w:val="459E4A6E"/>
    <w:rsid w:val="45A801C9"/>
    <w:rsid w:val="45A8769B"/>
    <w:rsid w:val="45D35D56"/>
    <w:rsid w:val="45D479D3"/>
    <w:rsid w:val="45DB181E"/>
    <w:rsid w:val="45E16709"/>
    <w:rsid w:val="45E22BAD"/>
    <w:rsid w:val="45E71F71"/>
    <w:rsid w:val="45EA1A61"/>
    <w:rsid w:val="45F12DF0"/>
    <w:rsid w:val="45F4468E"/>
    <w:rsid w:val="45F4643C"/>
    <w:rsid w:val="460615EF"/>
    <w:rsid w:val="46164604"/>
    <w:rsid w:val="46313BA0"/>
    <w:rsid w:val="46386E2F"/>
    <w:rsid w:val="463D76E9"/>
    <w:rsid w:val="46445615"/>
    <w:rsid w:val="464C1B5B"/>
    <w:rsid w:val="46697BC3"/>
    <w:rsid w:val="468477C0"/>
    <w:rsid w:val="469F45FA"/>
    <w:rsid w:val="46A61E2C"/>
    <w:rsid w:val="46A63BDA"/>
    <w:rsid w:val="46B02CAB"/>
    <w:rsid w:val="46D149CF"/>
    <w:rsid w:val="46DB13AA"/>
    <w:rsid w:val="46EB3F0D"/>
    <w:rsid w:val="46F30DEA"/>
    <w:rsid w:val="46FD2955"/>
    <w:rsid w:val="470A192F"/>
    <w:rsid w:val="471072A6"/>
    <w:rsid w:val="472B40E0"/>
    <w:rsid w:val="47356D0C"/>
    <w:rsid w:val="474B29D4"/>
    <w:rsid w:val="475950F1"/>
    <w:rsid w:val="47597ADF"/>
    <w:rsid w:val="47685334"/>
    <w:rsid w:val="476B4E24"/>
    <w:rsid w:val="47777325"/>
    <w:rsid w:val="47794E4B"/>
    <w:rsid w:val="478A7058"/>
    <w:rsid w:val="478F0B12"/>
    <w:rsid w:val="478F466E"/>
    <w:rsid w:val="47963F38"/>
    <w:rsid w:val="479928B9"/>
    <w:rsid w:val="479E2B03"/>
    <w:rsid w:val="47B10A89"/>
    <w:rsid w:val="47B71E17"/>
    <w:rsid w:val="47BE31A6"/>
    <w:rsid w:val="47C84024"/>
    <w:rsid w:val="47CD33E9"/>
    <w:rsid w:val="47CF43F7"/>
    <w:rsid w:val="47CF53B3"/>
    <w:rsid w:val="47DB78B4"/>
    <w:rsid w:val="47DF0FED"/>
    <w:rsid w:val="47E0311C"/>
    <w:rsid w:val="47E32A9D"/>
    <w:rsid w:val="47E744AA"/>
    <w:rsid w:val="47F210A1"/>
    <w:rsid w:val="47F95F8C"/>
    <w:rsid w:val="47FC5750"/>
    <w:rsid w:val="47FE17F4"/>
    <w:rsid w:val="480C5CBF"/>
    <w:rsid w:val="48174664"/>
    <w:rsid w:val="482254E2"/>
    <w:rsid w:val="482C6361"/>
    <w:rsid w:val="48384D06"/>
    <w:rsid w:val="484418DC"/>
    <w:rsid w:val="48561630"/>
    <w:rsid w:val="48592672"/>
    <w:rsid w:val="485D476D"/>
    <w:rsid w:val="486A6E89"/>
    <w:rsid w:val="486C0E54"/>
    <w:rsid w:val="48700B8F"/>
    <w:rsid w:val="48761B9A"/>
    <w:rsid w:val="48790E7B"/>
    <w:rsid w:val="487B6CD6"/>
    <w:rsid w:val="489B5295"/>
    <w:rsid w:val="48AB372A"/>
    <w:rsid w:val="48AF2FAE"/>
    <w:rsid w:val="48B63E7D"/>
    <w:rsid w:val="48C60564"/>
    <w:rsid w:val="48C77E38"/>
    <w:rsid w:val="48CB1236"/>
    <w:rsid w:val="48CE7418"/>
    <w:rsid w:val="48D863B4"/>
    <w:rsid w:val="48DD6C86"/>
    <w:rsid w:val="48E409EA"/>
    <w:rsid w:val="48EB3DD0"/>
    <w:rsid w:val="48EE6F7C"/>
    <w:rsid w:val="48F11ADE"/>
    <w:rsid w:val="48F549A5"/>
    <w:rsid w:val="48FA020D"/>
    <w:rsid w:val="48FD1ECC"/>
    <w:rsid w:val="4904108C"/>
    <w:rsid w:val="49042E3A"/>
    <w:rsid w:val="49281B4A"/>
    <w:rsid w:val="492E6109"/>
    <w:rsid w:val="49301F2D"/>
    <w:rsid w:val="49311755"/>
    <w:rsid w:val="49374FBE"/>
    <w:rsid w:val="493F20C4"/>
    <w:rsid w:val="49415E3C"/>
    <w:rsid w:val="49507E2D"/>
    <w:rsid w:val="4961203A"/>
    <w:rsid w:val="49675177"/>
    <w:rsid w:val="49690EEF"/>
    <w:rsid w:val="496B2EB9"/>
    <w:rsid w:val="49725FF6"/>
    <w:rsid w:val="497E2BEC"/>
    <w:rsid w:val="497F6F81"/>
    <w:rsid w:val="49811327"/>
    <w:rsid w:val="498B355B"/>
    <w:rsid w:val="498F4DFA"/>
    <w:rsid w:val="49926426"/>
    <w:rsid w:val="49951CE4"/>
    <w:rsid w:val="49957F36"/>
    <w:rsid w:val="49961C68"/>
    <w:rsid w:val="499917D4"/>
    <w:rsid w:val="499A0A2D"/>
    <w:rsid w:val="49AC5A24"/>
    <w:rsid w:val="49B54134"/>
    <w:rsid w:val="49BC3715"/>
    <w:rsid w:val="49DC05BD"/>
    <w:rsid w:val="49E07403"/>
    <w:rsid w:val="4A0B35B5"/>
    <w:rsid w:val="4A11580F"/>
    <w:rsid w:val="4A1946C3"/>
    <w:rsid w:val="4A396B13"/>
    <w:rsid w:val="4A3B6D2F"/>
    <w:rsid w:val="4A4000A3"/>
    <w:rsid w:val="4A4756D4"/>
    <w:rsid w:val="4A4D0811"/>
    <w:rsid w:val="4A5B2F2E"/>
    <w:rsid w:val="4A6135FC"/>
    <w:rsid w:val="4A621AA2"/>
    <w:rsid w:val="4A630034"/>
    <w:rsid w:val="4A635BBB"/>
    <w:rsid w:val="4A712751"/>
    <w:rsid w:val="4A7F558F"/>
    <w:rsid w:val="4A834233"/>
    <w:rsid w:val="4A857FAB"/>
    <w:rsid w:val="4A9D3546"/>
    <w:rsid w:val="4AA743C5"/>
    <w:rsid w:val="4AA85A47"/>
    <w:rsid w:val="4AA95536"/>
    <w:rsid w:val="4AD625B4"/>
    <w:rsid w:val="4AD8632C"/>
    <w:rsid w:val="4AE9678B"/>
    <w:rsid w:val="4AEA6060"/>
    <w:rsid w:val="4B007631"/>
    <w:rsid w:val="4B0435C5"/>
    <w:rsid w:val="4B045373"/>
    <w:rsid w:val="4B0709C0"/>
    <w:rsid w:val="4B090BDC"/>
    <w:rsid w:val="4B0A7451"/>
    <w:rsid w:val="4B0B6702"/>
    <w:rsid w:val="4B0D743B"/>
    <w:rsid w:val="4B1E1B01"/>
    <w:rsid w:val="4B2E0642"/>
    <w:rsid w:val="4B3612A5"/>
    <w:rsid w:val="4B3814C1"/>
    <w:rsid w:val="4B49130A"/>
    <w:rsid w:val="4B493B26"/>
    <w:rsid w:val="4B5E0F27"/>
    <w:rsid w:val="4B6127C6"/>
    <w:rsid w:val="4B6776B0"/>
    <w:rsid w:val="4B773D97"/>
    <w:rsid w:val="4B7818BD"/>
    <w:rsid w:val="4B7C315C"/>
    <w:rsid w:val="4B8B339F"/>
    <w:rsid w:val="4B9D898A"/>
    <w:rsid w:val="4B9E1324"/>
    <w:rsid w:val="4BA426B2"/>
    <w:rsid w:val="4BB943B0"/>
    <w:rsid w:val="4BBA0130"/>
    <w:rsid w:val="4BCF3BD3"/>
    <w:rsid w:val="4BD05255"/>
    <w:rsid w:val="4BDE7972"/>
    <w:rsid w:val="4BE11211"/>
    <w:rsid w:val="4BF43ADF"/>
    <w:rsid w:val="4BF54CBC"/>
    <w:rsid w:val="4BF7788F"/>
    <w:rsid w:val="4BF947AC"/>
    <w:rsid w:val="4C0F2222"/>
    <w:rsid w:val="4C15535E"/>
    <w:rsid w:val="4C1B2975"/>
    <w:rsid w:val="4C211F55"/>
    <w:rsid w:val="4C2D4456"/>
    <w:rsid w:val="4C3457E4"/>
    <w:rsid w:val="4C3E6663"/>
    <w:rsid w:val="4C431ECB"/>
    <w:rsid w:val="4C4874E2"/>
    <w:rsid w:val="4C4F261E"/>
    <w:rsid w:val="4C4F6AC2"/>
    <w:rsid w:val="4C5145E8"/>
    <w:rsid w:val="4C586C2C"/>
    <w:rsid w:val="4C6205A3"/>
    <w:rsid w:val="4C6836E0"/>
    <w:rsid w:val="4C771B75"/>
    <w:rsid w:val="4C7B030A"/>
    <w:rsid w:val="4C871DB8"/>
    <w:rsid w:val="4C8C73CE"/>
    <w:rsid w:val="4C8F5111"/>
    <w:rsid w:val="4C9149E5"/>
    <w:rsid w:val="4CAD5597"/>
    <w:rsid w:val="4CBA03DF"/>
    <w:rsid w:val="4CCC1EC1"/>
    <w:rsid w:val="4CD34FFD"/>
    <w:rsid w:val="4CD40D75"/>
    <w:rsid w:val="4CE978CE"/>
    <w:rsid w:val="4CEC2563"/>
    <w:rsid w:val="4CEC4311"/>
    <w:rsid w:val="4CF82CB6"/>
    <w:rsid w:val="4D07114B"/>
    <w:rsid w:val="4D07739D"/>
    <w:rsid w:val="4D0A29E9"/>
    <w:rsid w:val="4D0E24D9"/>
    <w:rsid w:val="4D137AF0"/>
    <w:rsid w:val="4D19039B"/>
    <w:rsid w:val="4D1D271C"/>
    <w:rsid w:val="4D260FE9"/>
    <w:rsid w:val="4D2770F7"/>
    <w:rsid w:val="4D317F76"/>
    <w:rsid w:val="4D3430C2"/>
    <w:rsid w:val="4D3A1520"/>
    <w:rsid w:val="4D404761"/>
    <w:rsid w:val="4D453A21"/>
    <w:rsid w:val="4D5325E2"/>
    <w:rsid w:val="4D616AAD"/>
    <w:rsid w:val="4D662315"/>
    <w:rsid w:val="4D8409ED"/>
    <w:rsid w:val="4D8448A4"/>
    <w:rsid w:val="4D8757B4"/>
    <w:rsid w:val="4D8E361A"/>
    <w:rsid w:val="4D92310A"/>
    <w:rsid w:val="4D9E5DE7"/>
    <w:rsid w:val="4D9F3131"/>
    <w:rsid w:val="4DB27309"/>
    <w:rsid w:val="4DBC3CE3"/>
    <w:rsid w:val="4DC31516"/>
    <w:rsid w:val="4DC55756"/>
    <w:rsid w:val="4DC96B69"/>
    <w:rsid w:val="4DCC29EB"/>
    <w:rsid w:val="4DD52FF7"/>
    <w:rsid w:val="4DD70B1D"/>
    <w:rsid w:val="4DD92AE7"/>
    <w:rsid w:val="4DE1374A"/>
    <w:rsid w:val="4DE72856"/>
    <w:rsid w:val="4DED0341"/>
    <w:rsid w:val="4DEE5E67"/>
    <w:rsid w:val="4DFE42FC"/>
    <w:rsid w:val="4E0833CC"/>
    <w:rsid w:val="4E2F2707"/>
    <w:rsid w:val="4E3441C2"/>
    <w:rsid w:val="4E3715BC"/>
    <w:rsid w:val="4E3E0B9C"/>
    <w:rsid w:val="4E6525CD"/>
    <w:rsid w:val="4E697FB9"/>
    <w:rsid w:val="4E6B6980"/>
    <w:rsid w:val="4E7740AE"/>
    <w:rsid w:val="4E7C16C5"/>
    <w:rsid w:val="4E8A3DE2"/>
    <w:rsid w:val="4E9B4388"/>
    <w:rsid w:val="4E9B7735"/>
    <w:rsid w:val="4E9C3B15"/>
    <w:rsid w:val="4EA30A98"/>
    <w:rsid w:val="4EA74993"/>
    <w:rsid w:val="4EAF1A9A"/>
    <w:rsid w:val="4EB33338"/>
    <w:rsid w:val="4EC70B92"/>
    <w:rsid w:val="4ECF5C98"/>
    <w:rsid w:val="4ED82D9F"/>
    <w:rsid w:val="4EE00483"/>
    <w:rsid w:val="4EFB6A8D"/>
    <w:rsid w:val="4F005E52"/>
    <w:rsid w:val="4F165675"/>
    <w:rsid w:val="4F251D5C"/>
    <w:rsid w:val="4F2C30EB"/>
    <w:rsid w:val="4F310701"/>
    <w:rsid w:val="4F602D94"/>
    <w:rsid w:val="4F644633"/>
    <w:rsid w:val="4F691C49"/>
    <w:rsid w:val="4F702FD7"/>
    <w:rsid w:val="4F7B197C"/>
    <w:rsid w:val="4F820463"/>
    <w:rsid w:val="4F924D5E"/>
    <w:rsid w:val="4F974B6F"/>
    <w:rsid w:val="4FAE3B00"/>
    <w:rsid w:val="4FB05ACA"/>
    <w:rsid w:val="4FB758F2"/>
    <w:rsid w:val="4FC40283"/>
    <w:rsid w:val="4FC9093A"/>
    <w:rsid w:val="4FCB2904"/>
    <w:rsid w:val="4FDC241B"/>
    <w:rsid w:val="4FEC63D6"/>
    <w:rsid w:val="4FF359B6"/>
    <w:rsid w:val="4FFC0D0F"/>
    <w:rsid w:val="50011E81"/>
    <w:rsid w:val="500D6A78"/>
    <w:rsid w:val="50152B62"/>
    <w:rsid w:val="501740DB"/>
    <w:rsid w:val="502838B2"/>
    <w:rsid w:val="505D789C"/>
    <w:rsid w:val="50681F00"/>
    <w:rsid w:val="506F14E1"/>
    <w:rsid w:val="508D7BB9"/>
    <w:rsid w:val="50A62A29"/>
    <w:rsid w:val="50A970CD"/>
    <w:rsid w:val="50AD025B"/>
    <w:rsid w:val="50AD3DB7"/>
    <w:rsid w:val="50B769E4"/>
    <w:rsid w:val="50B82E88"/>
    <w:rsid w:val="50CA4969"/>
    <w:rsid w:val="50D133DB"/>
    <w:rsid w:val="50D91050"/>
    <w:rsid w:val="50D94BAC"/>
    <w:rsid w:val="50ED0658"/>
    <w:rsid w:val="50F6750C"/>
    <w:rsid w:val="510936E3"/>
    <w:rsid w:val="510A7671"/>
    <w:rsid w:val="51143E36"/>
    <w:rsid w:val="51165E00"/>
    <w:rsid w:val="51167BAE"/>
    <w:rsid w:val="512651A9"/>
    <w:rsid w:val="512953B4"/>
    <w:rsid w:val="51295B34"/>
    <w:rsid w:val="51385D77"/>
    <w:rsid w:val="513D338D"/>
    <w:rsid w:val="514059E1"/>
    <w:rsid w:val="51450494"/>
    <w:rsid w:val="51475FBA"/>
    <w:rsid w:val="515D3A2F"/>
    <w:rsid w:val="51695F30"/>
    <w:rsid w:val="516C5A20"/>
    <w:rsid w:val="51710FD9"/>
    <w:rsid w:val="51786173"/>
    <w:rsid w:val="51A74466"/>
    <w:rsid w:val="51BE02C1"/>
    <w:rsid w:val="51BF10B4"/>
    <w:rsid w:val="51C159B6"/>
    <w:rsid w:val="51D13AD5"/>
    <w:rsid w:val="51DF4444"/>
    <w:rsid w:val="51F021AD"/>
    <w:rsid w:val="520619D1"/>
    <w:rsid w:val="52094756"/>
    <w:rsid w:val="521A1920"/>
    <w:rsid w:val="523320E9"/>
    <w:rsid w:val="523D116B"/>
    <w:rsid w:val="52466271"/>
    <w:rsid w:val="525A3ACB"/>
    <w:rsid w:val="52650DED"/>
    <w:rsid w:val="52666914"/>
    <w:rsid w:val="526861E8"/>
    <w:rsid w:val="526A0F22"/>
    <w:rsid w:val="5272350A"/>
    <w:rsid w:val="527A5E46"/>
    <w:rsid w:val="528A5526"/>
    <w:rsid w:val="528C4A01"/>
    <w:rsid w:val="529F5982"/>
    <w:rsid w:val="52A336A2"/>
    <w:rsid w:val="52B94C95"/>
    <w:rsid w:val="52BF7DD2"/>
    <w:rsid w:val="52C553E8"/>
    <w:rsid w:val="52CF44B9"/>
    <w:rsid w:val="52D41ACF"/>
    <w:rsid w:val="52E74EC7"/>
    <w:rsid w:val="52F932E4"/>
    <w:rsid w:val="52FB52AE"/>
    <w:rsid w:val="52FC1590"/>
    <w:rsid w:val="5307426A"/>
    <w:rsid w:val="53151B9C"/>
    <w:rsid w:val="53163E96"/>
    <w:rsid w:val="53204D14"/>
    <w:rsid w:val="532124AB"/>
    <w:rsid w:val="532A7941"/>
    <w:rsid w:val="532C2218"/>
    <w:rsid w:val="53424C8B"/>
    <w:rsid w:val="534C1EB7"/>
    <w:rsid w:val="534C4825"/>
    <w:rsid w:val="534C5B09"/>
    <w:rsid w:val="53605111"/>
    <w:rsid w:val="536270DB"/>
    <w:rsid w:val="53634C01"/>
    <w:rsid w:val="53690469"/>
    <w:rsid w:val="536B319B"/>
    <w:rsid w:val="53794425"/>
    <w:rsid w:val="5391176E"/>
    <w:rsid w:val="53982AFD"/>
    <w:rsid w:val="539F391C"/>
    <w:rsid w:val="53A05E55"/>
    <w:rsid w:val="53AE2320"/>
    <w:rsid w:val="53B13BBE"/>
    <w:rsid w:val="53B92A73"/>
    <w:rsid w:val="53CD6E0E"/>
    <w:rsid w:val="53D31D87"/>
    <w:rsid w:val="53D63625"/>
    <w:rsid w:val="53DA1367"/>
    <w:rsid w:val="53DD0E57"/>
    <w:rsid w:val="53E06252"/>
    <w:rsid w:val="53ED5308"/>
    <w:rsid w:val="53F561A1"/>
    <w:rsid w:val="541B4981"/>
    <w:rsid w:val="54322F51"/>
    <w:rsid w:val="544669FD"/>
    <w:rsid w:val="54482775"/>
    <w:rsid w:val="54493DF7"/>
    <w:rsid w:val="544B4013"/>
    <w:rsid w:val="5454111A"/>
    <w:rsid w:val="54556C40"/>
    <w:rsid w:val="546155E5"/>
    <w:rsid w:val="547370C6"/>
    <w:rsid w:val="54770964"/>
    <w:rsid w:val="54776BB6"/>
    <w:rsid w:val="54790B80"/>
    <w:rsid w:val="547C41CC"/>
    <w:rsid w:val="54853CAF"/>
    <w:rsid w:val="548E64A2"/>
    <w:rsid w:val="54971006"/>
    <w:rsid w:val="549C03CB"/>
    <w:rsid w:val="54A13488"/>
    <w:rsid w:val="54A51975"/>
    <w:rsid w:val="54A83213"/>
    <w:rsid w:val="54AB2D04"/>
    <w:rsid w:val="54BC6CBF"/>
    <w:rsid w:val="54C52883"/>
    <w:rsid w:val="54D77655"/>
    <w:rsid w:val="54DC2EBD"/>
    <w:rsid w:val="54DF75F1"/>
    <w:rsid w:val="54F621D1"/>
    <w:rsid w:val="550146D2"/>
    <w:rsid w:val="55045144"/>
    <w:rsid w:val="55050666"/>
    <w:rsid w:val="550F5041"/>
    <w:rsid w:val="551157A3"/>
    <w:rsid w:val="551268DF"/>
    <w:rsid w:val="55202DAA"/>
    <w:rsid w:val="5524472E"/>
    <w:rsid w:val="552D54C7"/>
    <w:rsid w:val="553B7DE4"/>
    <w:rsid w:val="553E0D3D"/>
    <w:rsid w:val="553E1482"/>
    <w:rsid w:val="5551374B"/>
    <w:rsid w:val="55540CA5"/>
    <w:rsid w:val="5559450E"/>
    <w:rsid w:val="556829A3"/>
    <w:rsid w:val="556F3D31"/>
    <w:rsid w:val="55782BE6"/>
    <w:rsid w:val="55785FA9"/>
    <w:rsid w:val="5579695E"/>
    <w:rsid w:val="557D01FC"/>
    <w:rsid w:val="55825812"/>
    <w:rsid w:val="558A3E64"/>
    <w:rsid w:val="55967510"/>
    <w:rsid w:val="559F4616"/>
    <w:rsid w:val="55A7171D"/>
    <w:rsid w:val="55AB03FB"/>
    <w:rsid w:val="55B47996"/>
    <w:rsid w:val="55B61960"/>
    <w:rsid w:val="55B654BC"/>
    <w:rsid w:val="55C91693"/>
    <w:rsid w:val="55EA4047"/>
    <w:rsid w:val="55EB785C"/>
    <w:rsid w:val="56066443"/>
    <w:rsid w:val="561074A3"/>
    <w:rsid w:val="561B7A15"/>
    <w:rsid w:val="56206DD9"/>
    <w:rsid w:val="562C577E"/>
    <w:rsid w:val="562E7748"/>
    <w:rsid w:val="56464A92"/>
    <w:rsid w:val="5664316A"/>
    <w:rsid w:val="56694C24"/>
    <w:rsid w:val="56705FB3"/>
    <w:rsid w:val="567A0BDF"/>
    <w:rsid w:val="567A298E"/>
    <w:rsid w:val="567E247E"/>
    <w:rsid w:val="56830C54"/>
    <w:rsid w:val="568F468B"/>
    <w:rsid w:val="56981066"/>
    <w:rsid w:val="569C0376"/>
    <w:rsid w:val="56A45C5C"/>
    <w:rsid w:val="56AF7F71"/>
    <w:rsid w:val="56B37C4E"/>
    <w:rsid w:val="56B714EC"/>
    <w:rsid w:val="56C1680E"/>
    <w:rsid w:val="56C5444C"/>
    <w:rsid w:val="56D71B8E"/>
    <w:rsid w:val="56EA18C1"/>
    <w:rsid w:val="56EA7B13"/>
    <w:rsid w:val="56EF3C74"/>
    <w:rsid w:val="56EF6ED8"/>
    <w:rsid w:val="56F664B8"/>
    <w:rsid w:val="570010E5"/>
    <w:rsid w:val="570404A9"/>
    <w:rsid w:val="57064221"/>
    <w:rsid w:val="570861EB"/>
    <w:rsid w:val="570D0312"/>
    <w:rsid w:val="571A6B22"/>
    <w:rsid w:val="571C3A45"/>
    <w:rsid w:val="571F7091"/>
    <w:rsid w:val="5726041F"/>
    <w:rsid w:val="57327A88"/>
    <w:rsid w:val="573945F7"/>
    <w:rsid w:val="57454D4A"/>
    <w:rsid w:val="574B60D8"/>
    <w:rsid w:val="575D60AD"/>
    <w:rsid w:val="576378C6"/>
    <w:rsid w:val="576C677A"/>
    <w:rsid w:val="57727B09"/>
    <w:rsid w:val="57825F9E"/>
    <w:rsid w:val="578C4726"/>
    <w:rsid w:val="57961210"/>
    <w:rsid w:val="5797131D"/>
    <w:rsid w:val="5798756F"/>
    <w:rsid w:val="579D2DD8"/>
    <w:rsid w:val="579D4B86"/>
    <w:rsid w:val="579D6934"/>
    <w:rsid w:val="57AA104B"/>
    <w:rsid w:val="57AA2DFF"/>
    <w:rsid w:val="57AF2B0B"/>
    <w:rsid w:val="57B1418D"/>
    <w:rsid w:val="57BB14B0"/>
    <w:rsid w:val="57BC36B3"/>
    <w:rsid w:val="57C06AC6"/>
    <w:rsid w:val="57C32112"/>
    <w:rsid w:val="57CC0FC7"/>
    <w:rsid w:val="57D85BBE"/>
    <w:rsid w:val="57D91936"/>
    <w:rsid w:val="57DB3900"/>
    <w:rsid w:val="57DB745C"/>
    <w:rsid w:val="57E722A5"/>
    <w:rsid w:val="58070251"/>
    <w:rsid w:val="580F5357"/>
    <w:rsid w:val="58117322"/>
    <w:rsid w:val="58201313"/>
    <w:rsid w:val="58226E39"/>
    <w:rsid w:val="58262DCD"/>
    <w:rsid w:val="58331046"/>
    <w:rsid w:val="58382B00"/>
    <w:rsid w:val="584559A7"/>
    <w:rsid w:val="5849381E"/>
    <w:rsid w:val="584C7FDD"/>
    <w:rsid w:val="585039A6"/>
    <w:rsid w:val="585F1E3B"/>
    <w:rsid w:val="58621BFF"/>
    <w:rsid w:val="58690F0C"/>
    <w:rsid w:val="58743C33"/>
    <w:rsid w:val="587578B0"/>
    <w:rsid w:val="5886386C"/>
    <w:rsid w:val="588C2EB7"/>
    <w:rsid w:val="5893000F"/>
    <w:rsid w:val="5898534D"/>
    <w:rsid w:val="589F0489"/>
    <w:rsid w:val="58A07A42"/>
    <w:rsid w:val="58AB32D2"/>
    <w:rsid w:val="58C919AA"/>
    <w:rsid w:val="58CF1278"/>
    <w:rsid w:val="58D36385"/>
    <w:rsid w:val="58D8399B"/>
    <w:rsid w:val="58D97E3F"/>
    <w:rsid w:val="58DB3C34"/>
    <w:rsid w:val="58DD0FB2"/>
    <w:rsid w:val="58E10AA2"/>
    <w:rsid w:val="58EA204C"/>
    <w:rsid w:val="58F83A7A"/>
    <w:rsid w:val="58F9403E"/>
    <w:rsid w:val="59084281"/>
    <w:rsid w:val="590F3861"/>
    <w:rsid w:val="59126EAD"/>
    <w:rsid w:val="59142C25"/>
    <w:rsid w:val="591C1ADA"/>
    <w:rsid w:val="5934151A"/>
    <w:rsid w:val="59372DB8"/>
    <w:rsid w:val="593C217C"/>
    <w:rsid w:val="59513E7A"/>
    <w:rsid w:val="59575208"/>
    <w:rsid w:val="595A2602"/>
    <w:rsid w:val="59637709"/>
    <w:rsid w:val="59701E26"/>
    <w:rsid w:val="597233C0"/>
    <w:rsid w:val="597638E0"/>
    <w:rsid w:val="5979517E"/>
    <w:rsid w:val="597A4A53"/>
    <w:rsid w:val="59814033"/>
    <w:rsid w:val="598A113A"/>
    <w:rsid w:val="598F6750"/>
    <w:rsid w:val="59975605"/>
    <w:rsid w:val="59A246D5"/>
    <w:rsid w:val="59A815C0"/>
    <w:rsid w:val="59D2663D"/>
    <w:rsid w:val="59DB3743"/>
    <w:rsid w:val="59F34F31"/>
    <w:rsid w:val="59F570F5"/>
    <w:rsid w:val="5A032C9A"/>
    <w:rsid w:val="5A040EEC"/>
    <w:rsid w:val="5A04713E"/>
    <w:rsid w:val="5A0802B0"/>
    <w:rsid w:val="5A0F3A5D"/>
    <w:rsid w:val="5A1976E0"/>
    <w:rsid w:val="5A2A0227"/>
    <w:rsid w:val="5A355549"/>
    <w:rsid w:val="5A366BCB"/>
    <w:rsid w:val="5A3A3464"/>
    <w:rsid w:val="5A3A490E"/>
    <w:rsid w:val="5A533C21"/>
    <w:rsid w:val="5A5A57AD"/>
    <w:rsid w:val="5A643739"/>
    <w:rsid w:val="5A6C6166"/>
    <w:rsid w:val="5A753B98"/>
    <w:rsid w:val="5A7A7400"/>
    <w:rsid w:val="5A8B33BB"/>
    <w:rsid w:val="5A9139ED"/>
    <w:rsid w:val="5AA93841"/>
    <w:rsid w:val="5AB0028C"/>
    <w:rsid w:val="5AB43F3C"/>
    <w:rsid w:val="5AB53A50"/>
    <w:rsid w:val="5AB75F5E"/>
    <w:rsid w:val="5ABF12B7"/>
    <w:rsid w:val="5AC71F19"/>
    <w:rsid w:val="5ACE14FA"/>
    <w:rsid w:val="5AD00DCE"/>
    <w:rsid w:val="5ADA39FB"/>
    <w:rsid w:val="5ADC35E7"/>
    <w:rsid w:val="5AE44879"/>
    <w:rsid w:val="5AE66ECB"/>
    <w:rsid w:val="5AF56A87"/>
    <w:rsid w:val="5B060C94"/>
    <w:rsid w:val="5B0B1E06"/>
    <w:rsid w:val="5B157129"/>
    <w:rsid w:val="5B241C70"/>
    <w:rsid w:val="5B2D7FCE"/>
    <w:rsid w:val="5B334D7E"/>
    <w:rsid w:val="5B3752F1"/>
    <w:rsid w:val="5B3E6680"/>
    <w:rsid w:val="5B402954"/>
    <w:rsid w:val="5B490B80"/>
    <w:rsid w:val="5B5E63DA"/>
    <w:rsid w:val="5B606F55"/>
    <w:rsid w:val="5B695D20"/>
    <w:rsid w:val="5B751975"/>
    <w:rsid w:val="5B7756EE"/>
    <w:rsid w:val="5B8322E4"/>
    <w:rsid w:val="5B865931"/>
    <w:rsid w:val="5B871DD5"/>
    <w:rsid w:val="5B8878FB"/>
    <w:rsid w:val="5B8D4F11"/>
    <w:rsid w:val="5BA504AD"/>
    <w:rsid w:val="5BB93F58"/>
    <w:rsid w:val="5BBE156E"/>
    <w:rsid w:val="5BC56459"/>
    <w:rsid w:val="5BC85F49"/>
    <w:rsid w:val="5BD448EE"/>
    <w:rsid w:val="5BF40AEC"/>
    <w:rsid w:val="5BFD2097"/>
    <w:rsid w:val="5C001B87"/>
    <w:rsid w:val="5C0A47B4"/>
    <w:rsid w:val="5C1271C4"/>
    <w:rsid w:val="5C1967A5"/>
    <w:rsid w:val="5C2A20F2"/>
    <w:rsid w:val="5C34538D"/>
    <w:rsid w:val="5C3D6937"/>
    <w:rsid w:val="5C3F445D"/>
    <w:rsid w:val="5C473312"/>
    <w:rsid w:val="5C4C0928"/>
    <w:rsid w:val="5C553C81"/>
    <w:rsid w:val="5C732359"/>
    <w:rsid w:val="5C734107"/>
    <w:rsid w:val="5C846314"/>
    <w:rsid w:val="5C8A31FF"/>
    <w:rsid w:val="5C8B76A2"/>
    <w:rsid w:val="5C9522CF"/>
    <w:rsid w:val="5C967DF5"/>
    <w:rsid w:val="5CB35043"/>
    <w:rsid w:val="5CB83E2C"/>
    <w:rsid w:val="5CBA1D36"/>
    <w:rsid w:val="5CBC3478"/>
    <w:rsid w:val="5CCE57E1"/>
    <w:rsid w:val="5CDD5A24"/>
    <w:rsid w:val="5CE368C3"/>
    <w:rsid w:val="5CE61362"/>
    <w:rsid w:val="5CEB0141"/>
    <w:rsid w:val="5CF1327E"/>
    <w:rsid w:val="5CF75A42"/>
    <w:rsid w:val="5D086F45"/>
    <w:rsid w:val="5D0B07E3"/>
    <w:rsid w:val="5D1458EA"/>
    <w:rsid w:val="5D235B2D"/>
    <w:rsid w:val="5D310209"/>
    <w:rsid w:val="5D366487"/>
    <w:rsid w:val="5D3E2967"/>
    <w:rsid w:val="5D417D61"/>
    <w:rsid w:val="5D4930BA"/>
    <w:rsid w:val="5D535CE6"/>
    <w:rsid w:val="5D5C0FB3"/>
    <w:rsid w:val="5D5C103F"/>
    <w:rsid w:val="5D5C2DED"/>
    <w:rsid w:val="5D6B74D4"/>
    <w:rsid w:val="5D6F2B20"/>
    <w:rsid w:val="5D775E79"/>
    <w:rsid w:val="5D7A14C5"/>
    <w:rsid w:val="5D821D20"/>
    <w:rsid w:val="5D83481E"/>
    <w:rsid w:val="5D9C768D"/>
    <w:rsid w:val="5D9F2CDA"/>
    <w:rsid w:val="5DA64068"/>
    <w:rsid w:val="5DAF2ACA"/>
    <w:rsid w:val="5DAF5613"/>
    <w:rsid w:val="5DB16193"/>
    <w:rsid w:val="5DB449D7"/>
    <w:rsid w:val="5DB91FED"/>
    <w:rsid w:val="5DBF512A"/>
    <w:rsid w:val="5DC15346"/>
    <w:rsid w:val="5DC53A9E"/>
    <w:rsid w:val="5DC7295C"/>
    <w:rsid w:val="5DD26CE9"/>
    <w:rsid w:val="5DD65183"/>
    <w:rsid w:val="5DDB01B6"/>
    <w:rsid w:val="5DDC3F2E"/>
    <w:rsid w:val="5DDE3B09"/>
    <w:rsid w:val="5DE66B5A"/>
    <w:rsid w:val="5DEA1796"/>
    <w:rsid w:val="5DF64FF0"/>
    <w:rsid w:val="5E005E6E"/>
    <w:rsid w:val="5E2558D5"/>
    <w:rsid w:val="5E3873B6"/>
    <w:rsid w:val="5E420235"/>
    <w:rsid w:val="5E4F2952"/>
    <w:rsid w:val="5E525F9E"/>
    <w:rsid w:val="5E60690D"/>
    <w:rsid w:val="5E6F6B50"/>
    <w:rsid w:val="5E7E17CB"/>
    <w:rsid w:val="5E8A5EC2"/>
    <w:rsid w:val="5E8B6B8D"/>
    <w:rsid w:val="5E927771"/>
    <w:rsid w:val="5E9345EC"/>
    <w:rsid w:val="5EB84469"/>
    <w:rsid w:val="5EC0115A"/>
    <w:rsid w:val="5EC23124"/>
    <w:rsid w:val="5EC52E82"/>
    <w:rsid w:val="5ECE3876"/>
    <w:rsid w:val="5ED54C05"/>
    <w:rsid w:val="5EDA221B"/>
    <w:rsid w:val="5EDF7832"/>
    <w:rsid w:val="5EF656A8"/>
    <w:rsid w:val="5EFA0B0F"/>
    <w:rsid w:val="5F076D88"/>
    <w:rsid w:val="5F0B0627"/>
    <w:rsid w:val="5F117C07"/>
    <w:rsid w:val="5F13397F"/>
    <w:rsid w:val="5F21609C"/>
    <w:rsid w:val="5F227739"/>
    <w:rsid w:val="5F230066"/>
    <w:rsid w:val="5F2D4A41"/>
    <w:rsid w:val="5F465B03"/>
    <w:rsid w:val="5F48187B"/>
    <w:rsid w:val="5F4E479B"/>
    <w:rsid w:val="5F5244A8"/>
    <w:rsid w:val="5F597808"/>
    <w:rsid w:val="5F5C70D4"/>
    <w:rsid w:val="5F73441E"/>
    <w:rsid w:val="5F7A57AC"/>
    <w:rsid w:val="5FA665A1"/>
    <w:rsid w:val="5FAF36A8"/>
    <w:rsid w:val="5FB539CC"/>
    <w:rsid w:val="5FCD1D80"/>
    <w:rsid w:val="5FD17AC2"/>
    <w:rsid w:val="5FD924D3"/>
    <w:rsid w:val="5FDC0215"/>
    <w:rsid w:val="5FDE4B10"/>
    <w:rsid w:val="5FE377F5"/>
    <w:rsid w:val="5FED5F7E"/>
    <w:rsid w:val="5FF13CC0"/>
    <w:rsid w:val="5FF358A6"/>
    <w:rsid w:val="5FFC4413"/>
    <w:rsid w:val="600A20CC"/>
    <w:rsid w:val="60110E2F"/>
    <w:rsid w:val="60172FFB"/>
    <w:rsid w:val="601C4AB5"/>
    <w:rsid w:val="601D2D07"/>
    <w:rsid w:val="602120CC"/>
    <w:rsid w:val="60681AA9"/>
    <w:rsid w:val="607D065B"/>
    <w:rsid w:val="60822B6A"/>
    <w:rsid w:val="608763D3"/>
    <w:rsid w:val="608A7C71"/>
    <w:rsid w:val="60996106"/>
    <w:rsid w:val="60A06F83"/>
    <w:rsid w:val="60A30D33"/>
    <w:rsid w:val="60A61919"/>
    <w:rsid w:val="60A725D1"/>
    <w:rsid w:val="60BB607C"/>
    <w:rsid w:val="60BD3BA3"/>
    <w:rsid w:val="60BF59C2"/>
    <w:rsid w:val="60CF38D6"/>
    <w:rsid w:val="60D33507"/>
    <w:rsid w:val="60D57568"/>
    <w:rsid w:val="60E47381"/>
    <w:rsid w:val="60F13276"/>
    <w:rsid w:val="61077514"/>
    <w:rsid w:val="610C0686"/>
    <w:rsid w:val="610D0751"/>
    <w:rsid w:val="613025C6"/>
    <w:rsid w:val="613434EE"/>
    <w:rsid w:val="613876CD"/>
    <w:rsid w:val="613C71BD"/>
    <w:rsid w:val="61500EBB"/>
    <w:rsid w:val="617A7850"/>
    <w:rsid w:val="618C17C7"/>
    <w:rsid w:val="618F19E3"/>
    <w:rsid w:val="61903972"/>
    <w:rsid w:val="61970898"/>
    <w:rsid w:val="61A42FB4"/>
    <w:rsid w:val="61AB7E9F"/>
    <w:rsid w:val="61B56F70"/>
    <w:rsid w:val="61BF394A"/>
    <w:rsid w:val="61C15914"/>
    <w:rsid w:val="61D2367E"/>
    <w:rsid w:val="61D94A0C"/>
    <w:rsid w:val="61DF6931"/>
    <w:rsid w:val="61E33F36"/>
    <w:rsid w:val="61E433B1"/>
    <w:rsid w:val="61E63FF8"/>
    <w:rsid w:val="61EA5313"/>
    <w:rsid w:val="61ED495B"/>
    <w:rsid w:val="61EF4230"/>
    <w:rsid w:val="61F32CAE"/>
    <w:rsid w:val="62135AE1"/>
    <w:rsid w:val="62157A0E"/>
    <w:rsid w:val="62172921"/>
    <w:rsid w:val="621E4B15"/>
    <w:rsid w:val="62214605"/>
    <w:rsid w:val="622814F0"/>
    <w:rsid w:val="62285994"/>
    <w:rsid w:val="622A34BA"/>
    <w:rsid w:val="6232236E"/>
    <w:rsid w:val="62353C0D"/>
    <w:rsid w:val="623B7475"/>
    <w:rsid w:val="623C143F"/>
    <w:rsid w:val="6247004A"/>
    <w:rsid w:val="624B3430"/>
    <w:rsid w:val="626369CC"/>
    <w:rsid w:val="62685D90"/>
    <w:rsid w:val="626F7786"/>
    <w:rsid w:val="627209BD"/>
    <w:rsid w:val="62775FD3"/>
    <w:rsid w:val="628030DA"/>
    <w:rsid w:val="62A3326C"/>
    <w:rsid w:val="62A73AFF"/>
    <w:rsid w:val="62BB05B6"/>
    <w:rsid w:val="62D53E20"/>
    <w:rsid w:val="62DE42A4"/>
    <w:rsid w:val="62E713AB"/>
    <w:rsid w:val="62EC4C13"/>
    <w:rsid w:val="62EE44E7"/>
    <w:rsid w:val="62F67840"/>
    <w:rsid w:val="62F92E8C"/>
    <w:rsid w:val="630006BE"/>
    <w:rsid w:val="630930CF"/>
    <w:rsid w:val="630C2BBF"/>
    <w:rsid w:val="63193AFD"/>
    <w:rsid w:val="63253C81"/>
    <w:rsid w:val="632C14B3"/>
    <w:rsid w:val="632E6FDA"/>
    <w:rsid w:val="63343EC4"/>
    <w:rsid w:val="633B489B"/>
    <w:rsid w:val="634470AA"/>
    <w:rsid w:val="635A1B7D"/>
    <w:rsid w:val="635D166D"/>
    <w:rsid w:val="635D78BF"/>
    <w:rsid w:val="63770981"/>
    <w:rsid w:val="63844E4C"/>
    <w:rsid w:val="63881760"/>
    <w:rsid w:val="63974B7F"/>
    <w:rsid w:val="63A63014"/>
    <w:rsid w:val="63A70B3A"/>
    <w:rsid w:val="63A92B04"/>
    <w:rsid w:val="63C139AA"/>
    <w:rsid w:val="63C92C54"/>
    <w:rsid w:val="63ED747E"/>
    <w:rsid w:val="64061D04"/>
    <w:rsid w:val="640E2967"/>
    <w:rsid w:val="641B57B0"/>
    <w:rsid w:val="641C6E32"/>
    <w:rsid w:val="642A59F3"/>
    <w:rsid w:val="64346872"/>
    <w:rsid w:val="644A7E43"/>
    <w:rsid w:val="6450287C"/>
    <w:rsid w:val="64540CC2"/>
    <w:rsid w:val="646802C9"/>
    <w:rsid w:val="647E7AED"/>
    <w:rsid w:val="64801AB7"/>
    <w:rsid w:val="6483783A"/>
    <w:rsid w:val="648D7D30"/>
    <w:rsid w:val="648F1CFA"/>
    <w:rsid w:val="64963088"/>
    <w:rsid w:val="649D4417"/>
    <w:rsid w:val="649D7742"/>
    <w:rsid w:val="64A77044"/>
    <w:rsid w:val="64BC23C3"/>
    <w:rsid w:val="64E078AA"/>
    <w:rsid w:val="64EA091A"/>
    <w:rsid w:val="650049A6"/>
    <w:rsid w:val="650F4BE9"/>
    <w:rsid w:val="65143FAD"/>
    <w:rsid w:val="65167D25"/>
    <w:rsid w:val="65181CEF"/>
    <w:rsid w:val="651B533C"/>
    <w:rsid w:val="651E4B62"/>
    <w:rsid w:val="65242442"/>
    <w:rsid w:val="652C12F7"/>
    <w:rsid w:val="65426D6C"/>
    <w:rsid w:val="654A5C21"/>
    <w:rsid w:val="65544D07"/>
    <w:rsid w:val="656A2DF5"/>
    <w:rsid w:val="657607C4"/>
    <w:rsid w:val="65766A16"/>
    <w:rsid w:val="657700A1"/>
    <w:rsid w:val="65801643"/>
    <w:rsid w:val="658253BB"/>
    <w:rsid w:val="65837903"/>
    <w:rsid w:val="659F7D1B"/>
    <w:rsid w:val="65AC068A"/>
    <w:rsid w:val="65AD68DC"/>
    <w:rsid w:val="65C07C91"/>
    <w:rsid w:val="65CE6852"/>
    <w:rsid w:val="65D75707"/>
    <w:rsid w:val="65DA51F7"/>
    <w:rsid w:val="65DB492F"/>
    <w:rsid w:val="65E2191B"/>
    <w:rsid w:val="65F067C8"/>
    <w:rsid w:val="65F30067"/>
    <w:rsid w:val="65FA7647"/>
    <w:rsid w:val="65FC33BF"/>
    <w:rsid w:val="660B3602"/>
    <w:rsid w:val="66157FDD"/>
    <w:rsid w:val="66173D55"/>
    <w:rsid w:val="661C136B"/>
    <w:rsid w:val="661D0C3C"/>
    <w:rsid w:val="661F2C0A"/>
    <w:rsid w:val="66252916"/>
    <w:rsid w:val="663669CA"/>
    <w:rsid w:val="663E7534"/>
    <w:rsid w:val="6663343E"/>
    <w:rsid w:val="66680A54"/>
    <w:rsid w:val="6673164D"/>
    <w:rsid w:val="667B50FD"/>
    <w:rsid w:val="66805D9E"/>
    <w:rsid w:val="66821A20"/>
    <w:rsid w:val="66855163"/>
    <w:rsid w:val="668A0DFC"/>
    <w:rsid w:val="668A2779"/>
    <w:rsid w:val="66974E96"/>
    <w:rsid w:val="66976C44"/>
    <w:rsid w:val="66A03D4A"/>
    <w:rsid w:val="66A17AC3"/>
    <w:rsid w:val="66A650D9"/>
    <w:rsid w:val="66C7577B"/>
    <w:rsid w:val="66C8504F"/>
    <w:rsid w:val="66DB4D83"/>
    <w:rsid w:val="66DC0AFB"/>
    <w:rsid w:val="66DC6D4D"/>
    <w:rsid w:val="66DE4873"/>
    <w:rsid w:val="66E005EB"/>
    <w:rsid w:val="66E02E06"/>
    <w:rsid w:val="66E225B5"/>
    <w:rsid w:val="66E55310"/>
    <w:rsid w:val="66E761D7"/>
    <w:rsid w:val="66FE3167"/>
    <w:rsid w:val="670C13E0"/>
    <w:rsid w:val="67184229"/>
    <w:rsid w:val="673152EA"/>
    <w:rsid w:val="673821D5"/>
    <w:rsid w:val="67386679"/>
    <w:rsid w:val="6744501E"/>
    <w:rsid w:val="67472418"/>
    <w:rsid w:val="67492634"/>
    <w:rsid w:val="674943E2"/>
    <w:rsid w:val="67650AF0"/>
    <w:rsid w:val="676B07FC"/>
    <w:rsid w:val="67790D0E"/>
    <w:rsid w:val="678B49FB"/>
    <w:rsid w:val="67931B01"/>
    <w:rsid w:val="67982C74"/>
    <w:rsid w:val="679A2E90"/>
    <w:rsid w:val="679B09B6"/>
    <w:rsid w:val="679E27B7"/>
    <w:rsid w:val="67A07D7A"/>
    <w:rsid w:val="67AC28B8"/>
    <w:rsid w:val="67B37AAD"/>
    <w:rsid w:val="67B51A77"/>
    <w:rsid w:val="67B6134C"/>
    <w:rsid w:val="67BA0E3C"/>
    <w:rsid w:val="67BF6452"/>
    <w:rsid w:val="67C038AA"/>
    <w:rsid w:val="67C223E6"/>
    <w:rsid w:val="67C73559"/>
    <w:rsid w:val="67CA4DF7"/>
    <w:rsid w:val="67D0240D"/>
    <w:rsid w:val="67D918D5"/>
    <w:rsid w:val="67E1461B"/>
    <w:rsid w:val="67EB5499"/>
    <w:rsid w:val="67EE4F89"/>
    <w:rsid w:val="67F307F2"/>
    <w:rsid w:val="67F500C6"/>
    <w:rsid w:val="68064081"/>
    <w:rsid w:val="68071BA7"/>
    <w:rsid w:val="680D3662"/>
    <w:rsid w:val="682664D1"/>
    <w:rsid w:val="682B4820"/>
    <w:rsid w:val="682F010D"/>
    <w:rsid w:val="683F3A37"/>
    <w:rsid w:val="6852376A"/>
    <w:rsid w:val="6853303E"/>
    <w:rsid w:val="68580655"/>
    <w:rsid w:val="685A68BE"/>
    <w:rsid w:val="685B6B1A"/>
    <w:rsid w:val="685F7C35"/>
    <w:rsid w:val="6861575B"/>
    <w:rsid w:val="68692862"/>
    <w:rsid w:val="68752887"/>
    <w:rsid w:val="68833924"/>
    <w:rsid w:val="688A2F04"/>
    <w:rsid w:val="688D352F"/>
    <w:rsid w:val="688F22C8"/>
    <w:rsid w:val="68906593"/>
    <w:rsid w:val="689C2C37"/>
    <w:rsid w:val="689F14E3"/>
    <w:rsid w:val="68A11FFC"/>
    <w:rsid w:val="68A85138"/>
    <w:rsid w:val="68AF64C7"/>
    <w:rsid w:val="68B0223F"/>
    <w:rsid w:val="68B22234"/>
    <w:rsid w:val="68C31F72"/>
    <w:rsid w:val="68CF6B69"/>
    <w:rsid w:val="68DB3760"/>
    <w:rsid w:val="68E02B24"/>
    <w:rsid w:val="690D7691"/>
    <w:rsid w:val="690F3409"/>
    <w:rsid w:val="691B3B5C"/>
    <w:rsid w:val="691E189E"/>
    <w:rsid w:val="69401815"/>
    <w:rsid w:val="69431305"/>
    <w:rsid w:val="69431F17"/>
    <w:rsid w:val="69763488"/>
    <w:rsid w:val="697E40EB"/>
    <w:rsid w:val="698C6808"/>
    <w:rsid w:val="698E07D2"/>
    <w:rsid w:val="69A578CA"/>
    <w:rsid w:val="69B30239"/>
    <w:rsid w:val="69B47B0D"/>
    <w:rsid w:val="69C064B2"/>
    <w:rsid w:val="69C441F4"/>
    <w:rsid w:val="69C73CE4"/>
    <w:rsid w:val="69D81A4D"/>
    <w:rsid w:val="69E161EB"/>
    <w:rsid w:val="69E228CC"/>
    <w:rsid w:val="69E5416A"/>
    <w:rsid w:val="69E860BE"/>
    <w:rsid w:val="69F50851"/>
    <w:rsid w:val="6A132A85"/>
    <w:rsid w:val="6A154A4F"/>
    <w:rsid w:val="6A1A2066"/>
    <w:rsid w:val="6A1D3904"/>
    <w:rsid w:val="6A1E27E4"/>
    <w:rsid w:val="6A244C92"/>
    <w:rsid w:val="6A2C1D99"/>
    <w:rsid w:val="6A3C1FDC"/>
    <w:rsid w:val="6A3F387A"/>
    <w:rsid w:val="6A413A96"/>
    <w:rsid w:val="6A4378D2"/>
    <w:rsid w:val="6A484E25"/>
    <w:rsid w:val="6A537326"/>
    <w:rsid w:val="6A5F3F1C"/>
    <w:rsid w:val="6A6361B3"/>
    <w:rsid w:val="6A6B466F"/>
    <w:rsid w:val="6A9362EF"/>
    <w:rsid w:val="6A941E18"/>
    <w:rsid w:val="6A95793E"/>
    <w:rsid w:val="6A975464"/>
    <w:rsid w:val="6A9A4F55"/>
    <w:rsid w:val="6AAD4C88"/>
    <w:rsid w:val="6AC16A1E"/>
    <w:rsid w:val="6ACB7804"/>
    <w:rsid w:val="6ACF2E50"/>
    <w:rsid w:val="6ADC731B"/>
    <w:rsid w:val="6AE461D0"/>
    <w:rsid w:val="6AE6019A"/>
    <w:rsid w:val="6AEF34F2"/>
    <w:rsid w:val="6B012A20"/>
    <w:rsid w:val="6B030D4C"/>
    <w:rsid w:val="6B036F9E"/>
    <w:rsid w:val="6B106FC5"/>
    <w:rsid w:val="6B1E16E2"/>
    <w:rsid w:val="6B20545A"/>
    <w:rsid w:val="6B2807B2"/>
    <w:rsid w:val="6B2904EB"/>
    <w:rsid w:val="6B3A1470"/>
    <w:rsid w:val="6B3E7FD6"/>
    <w:rsid w:val="6B4D1FC7"/>
    <w:rsid w:val="6B5415A7"/>
    <w:rsid w:val="6B5C220A"/>
    <w:rsid w:val="6B5E06CE"/>
    <w:rsid w:val="6B67752D"/>
    <w:rsid w:val="6B686E01"/>
    <w:rsid w:val="6B7457A6"/>
    <w:rsid w:val="6B7851DA"/>
    <w:rsid w:val="6B8267D6"/>
    <w:rsid w:val="6B8C6F93"/>
    <w:rsid w:val="6B930322"/>
    <w:rsid w:val="6B95409A"/>
    <w:rsid w:val="6B9C080D"/>
    <w:rsid w:val="6B9D6AAA"/>
    <w:rsid w:val="6B9F6CC6"/>
    <w:rsid w:val="6BDA5F51"/>
    <w:rsid w:val="6BDB3A77"/>
    <w:rsid w:val="6BDD334B"/>
    <w:rsid w:val="6BE91CF0"/>
    <w:rsid w:val="6BEC015A"/>
    <w:rsid w:val="6BEF307E"/>
    <w:rsid w:val="6BF30DC0"/>
    <w:rsid w:val="6BF31356"/>
    <w:rsid w:val="6BF84629"/>
    <w:rsid w:val="6C08348F"/>
    <w:rsid w:val="6C143822"/>
    <w:rsid w:val="6C1D45C3"/>
    <w:rsid w:val="6C215B5D"/>
    <w:rsid w:val="6C3B62C3"/>
    <w:rsid w:val="6C3F5DB4"/>
    <w:rsid w:val="6C4258A4"/>
    <w:rsid w:val="6C447394"/>
    <w:rsid w:val="6C494D21"/>
    <w:rsid w:val="6C53185F"/>
    <w:rsid w:val="6C575BE3"/>
    <w:rsid w:val="6C5C0714"/>
    <w:rsid w:val="6C635F46"/>
    <w:rsid w:val="6C6972D4"/>
    <w:rsid w:val="6C7672FB"/>
    <w:rsid w:val="6C922387"/>
    <w:rsid w:val="6C962089"/>
    <w:rsid w:val="6C975BF0"/>
    <w:rsid w:val="6CA42BEA"/>
    <w:rsid w:val="6CAA14EC"/>
    <w:rsid w:val="6CAB51F7"/>
    <w:rsid w:val="6CB95B66"/>
    <w:rsid w:val="6CCB038A"/>
    <w:rsid w:val="6CCE7137"/>
    <w:rsid w:val="6CDF30F3"/>
    <w:rsid w:val="6CE60925"/>
    <w:rsid w:val="6CFE17CB"/>
    <w:rsid w:val="6CFE5C6F"/>
    <w:rsid w:val="6D003795"/>
    <w:rsid w:val="6D0A2431"/>
    <w:rsid w:val="6D1F1741"/>
    <w:rsid w:val="6D1F29B0"/>
    <w:rsid w:val="6D34599B"/>
    <w:rsid w:val="6D4A0EB4"/>
    <w:rsid w:val="6D513FF0"/>
    <w:rsid w:val="6D5533B5"/>
    <w:rsid w:val="6D633D24"/>
    <w:rsid w:val="6D65184A"/>
    <w:rsid w:val="6D747CDF"/>
    <w:rsid w:val="6D7E46BA"/>
    <w:rsid w:val="6D997745"/>
    <w:rsid w:val="6DB97DE8"/>
    <w:rsid w:val="6DC9627D"/>
    <w:rsid w:val="6DD4077E"/>
    <w:rsid w:val="6DDA2238"/>
    <w:rsid w:val="6DDB2994"/>
    <w:rsid w:val="6DE035C6"/>
    <w:rsid w:val="6DE24C48"/>
    <w:rsid w:val="6DE44E65"/>
    <w:rsid w:val="6DE85FD7"/>
    <w:rsid w:val="6DE94229"/>
    <w:rsid w:val="6DEA7FA1"/>
    <w:rsid w:val="6DEE183F"/>
    <w:rsid w:val="6DF56252"/>
    <w:rsid w:val="6DF64B98"/>
    <w:rsid w:val="6DF8446C"/>
    <w:rsid w:val="6DFD6952"/>
    <w:rsid w:val="6DFD746F"/>
    <w:rsid w:val="6E0A05E3"/>
    <w:rsid w:val="6E0E5A3E"/>
    <w:rsid w:val="6E160D96"/>
    <w:rsid w:val="6E184077"/>
    <w:rsid w:val="6E1868BC"/>
    <w:rsid w:val="6E331948"/>
    <w:rsid w:val="6E3A2CD6"/>
    <w:rsid w:val="6E405E13"/>
    <w:rsid w:val="6E427DDD"/>
    <w:rsid w:val="6E46167B"/>
    <w:rsid w:val="6E4F6056"/>
    <w:rsid w:val="6E57007A"/>
    <w:rsid w:val="6E573888"/>
    <w:rsid w:val="6E5D0773"/>
    <w:rsid w:val="6E5D69C5"/>
    <w:rsid w:val="6E66587A"/>
    <w:rsid w:val="6E6E472E"/>
    <w:rsid w:val="6E70494A"/>
    <w:rsid w:val="6E71421E"/>
    <w:rsid w:val="6E82467D"/>
    <w:rsid w:val="6E833036"/>
    <w:rsid w:val="6E865F1C"/>
    <w:rsid w:val="6E8757F0"/>
    <w:rsid w:val="6E91666F"/>
    <w:rsid w:val="6E9E7C3E"/>
    <w:rsid w:val="6EA42846"/>
    <w:rsid w:val="6EAD16FA"/>
    <w:rsid w:val="6EB80153"/>
    <w:rsid w:val="6EBE6D82"/>
    <w:rsid w:val="6ECC76A7"/>
    <w:rsid w:val="6ED70525"/>
    <w:rsid w:val="6EDC1FE0"/>
    <w:rsid w:val="6EDF387E"/>
    <w:rsid w:val="6EF015E7"/>
    <w:rsid w:val="6F176B74"/>
    <w:rsid w:val="6F1B2B08"/>
    <w:rsid w:val="6F2614AD"/>
    <w:rsid w:val="6F2BFD35"/>
    <w:rsid w:val="6F3C00AD"/>
    <w:rsid w:val="6F4162E7"/>
    <w:rsid w:val="6F42021D"/>
    <w:rsid w:val="6F566693"/>
    <w:rsid w:val="6F5E47A3"/>
    <w:rsid w:val="6F655B31"/>
    <w:rsid w:val="6F6F075E"/>
    <w:rsid w:val="6F6F9BAE"/>
    <w:rsid w:val="6F863CF9"/>
    <w:rsid w:val="6F881C73"/>
    <w:rsid w:val="6F912DCA"/>
    <w:rsid w:val="6F9208F0"/>
    <w:rsid w:val="6F997ED1"/>
    <w:rsid w:val="6F9E7295"/>
    <w:rsid w:val="6FA10EE2"/>
    <w:rsid w:val="6FA220C9"/>
    <w:rsid w:val="6FB2304E"/>
    <w:rsid w:val="6FBD3BBF"/>
    <w:rsid w:val="6FD40F09"/>
    <w:rsid w:val="6FDB2297"/>
    <w:rsid w:val="6FE0340A"/>
    <w:rsid w:val="6FE27182"/>
    <w:rsid w:val="6FE3553D"/>
    <w:rsid w:val="6FF382DE"/>
    <w:rsid w:val="6FF670D1"/>
    <w:rsid w:val="6FFB0525"/>
    <w:rsid w:val="6FFB1844"/>
    <w:rsid w:val="70025A76"/>
    <w:rsid w:val="70052E70"/>
    <w:rsid w:val="701D640C"/>
    <w:rsid w:val="701F74FE"/>
    <w:rsid w:val="702A0B29"/>
    <w:rsid w:val="702F02E5"/>
    <w:rsid w:val="703025E3"/>
    <w:rsid w:val="70305F02"/>
    <w:rsid w:val="70310109"/>
    <w:rsid w:val="70384FF4"/>
    <w:rsid w:val="70455963"/>
    <w:rsid w:val="704E413F"/>
    <w:rsid w:val="705160B5"/>
    <w:rsid w:val="705A7660"/>
    <w:rsid w:val="705D2CAC"/>
    <w:rsid w:val="7060279C"/>
    <w:rsid w:val="70626515"/>
    <w:rsid w:val="706832EA"/>
    <w:rsid w:val="706933FF"/>
    <w:rsid w:val="70703B6E"/>
    <w:rsid w:val="70716758"/>
    <w:rsid w:val="70781894"/>
    <w:rsid w:val="707A1599"/>
    <w:rsid w:val="70814BED"/>
    <w:rsid w:val="708244C1"/>
    <w:rsid w:val="70877492"/>
    <w:rsid w:val="708A15C7"/>
    <w:rsid w:val="70903082"/>
    <w:rsid w:val="709A3F00"/>
    <w:rsid w:val="709B37D5"/>
    <w:rsid w:val="709F32C5"/>
    <w:rsid w:val="70A94143"/>
    <w:rsid w:val="70B05F54"/>
    <w:rsid w:val="70B07280"/>
    <w:rsid w:val="70C20D61"/>
    <w:rsid w:val="70C7280E"/>
    <w:rsid w:val="70E03D32"/>
    <w:rsid w:val="70E1568B"/>
    <w:rsid w:val="70EE7DA8"/>
    <w:rsid w:val="70FA499F"/>
    <w:rsid w:val="71025602"/>
    <w:rsid w:val="71096990"/>
    <w:rsid w:val="71123A97"/>
    <w:rsid w:val="71156D46"/>
    <w:rsid w:val="71184E25"/>
    <w:rsid w:val="711A34A8"/>
    <w:rsid w:val="711F61B4"/>
    <w:rsid w:val="71237A52"/>
    <w:rsid w:val="712437CA"/>
    <w:rsid w:val="71245578"/>
    <w:rsid w:val="7128436B"/>
    <w:rsid w:val="713954C7"/>
    <w:rsid w:val="71397275"/>
    <w:rsid w:val="7141437C"/>
    <w:rsid w:val="71502811"/>
    <w:rsid w:val="715045BF"/>
    <w:rsid w:val="71551BD5"/>
    <w:rsid w:val="71557E27"/>
    <w:rsid w:val="715A543E"/>
    <w:rsid w:val="715C2AFE"/>
    <w:rsid w:val="7161057A"/>
    <w:rsid w:val="716167CC"/>
    <w:rsid w:val="71681909"/>
    <w:rsid w:val="71685DAD"/>
    <w:rsid w:val="716D5171"/>
    <w:rsid w:val="716D6F1F"/>
    <w:rsid w:val="71807A85"/>
    <w:rsid w:val="71BB4E79"/>
    <w:rsid w:val="71BC3A02"/>
    <w:rsid w:val="71C70D25"/>
    <w:rsid w:val="71C8627B"/>
    <w:rsid w:val="71E16E22"/>
    <w:rsid w:val="71E60A7F"/>
    <w:rsid w:val="72071122"/>
    <w:rsid w:val="720E4D40"/>
    <w:rsid w:val="72121874"/>
    <w:rsid w:val="72141A90"/>
    <w:rsid w:val="721D26F3"/>
    <w:rsid w:val="72203F91"/>
    <w:rsid w:val="723E08BB"/>
    <w:rsid w:val="725974A3"/>
    <w:rsid w:val="726227FC"/>
    <w:rsid w:val="72693B8A"/>
    <w:rsid w:val="726C367A"/>
    <w:rsid w:val="727918F3"/>
    <w:rsid w:val="72AD261E"/>
    <w:rsid w:val="72B560F2"/>
    <w:rsid w:val="72B622DB"/>
    <w:rsid w:val="72C07522"/>
    <w:rsid w:val="72C60FDD"/>
    <w:rsid w:val="72C74D55"/>
    <w:rsid w:val="72C76B03"/>
    <w:rsid w:val="72D1172F"/>
    <w:rsid w:val="72D80D10"/>
    <w:rsid w:val="72D8486C"/>
    <w:rsid w:val="72DF209E"/>
    <w:rsid w:val="72F378F8"/>
    <w:rsid w:val="72F5541E"/>
    <w:rsid w:val="72FC0C75"/>
    <w:rsid w:val="7306587D"/>
    <w:rsid w:val="730833A3"/>
    <w:rsid w:val="730F7737"/>
    <w:rsid w:val="731E2BC7"/>
    <w:rsid w:val="732C6966"/>
    <w:rsid w:val="733028FA"/>
    <w:rsid w:val="73320420"/>
    <w:rsid w:val="73375A36"/>
    <w:rsid w:val="733C4DFB"/>
    <w:rsid w:val="733E0A28"/>
    <w:rsid w:val="73467A28"/>
    <w:rsid w:val="73482B68"/>
    <w:rsid w:val="73530396"/>
    <w:rsid w:val="735F6D3B"/>
    <w:rsid w:val="736E6F7E"/>
    <w:rsid w:val="73724CC1"/>
    <w:rsid w:val="73770529"/>
    <w:rsid w:val="738642C8"/>
    <w:rsid w:val="738D5656"/>
    <w:rsid w:val="739E6D8D"/>
    <w:rsid w:val="73AF7CC3"/>
    <w:rsid w:val="73B01345"/>
    <w:rsid w:val="73B32C53"/>
    <w:rsid w:val="73BF77DA"/>
    <w:rsid w:val="73C179F6"/>
    <w:rsid w:val="73C3551C"/>
    <w:rsid w:val="73C66DBA"/>
    <w:rsid w:val="73DB2866"/>
    <w:rsid w:val="73DE2356"/>
    <w:rsid w:val="73E949B6"/>
    <w:rsid w:val="73ED07EB"/>
    <w:rsid w:val="73F25E01"/>
    <w:rsid w:val="73FB4CB6"/>
    <w:rsid w:val="74017DF2"/>
    <w:rsid w:val="740A4EF9"/>
    <w:rsid w:val="74130252"/>
    <w:rsid w:val="741B2C62"/>
    <w:rsid w:val="741E09A4"/>
    <w:rsid w:val="74273CFD"/>
    <w:rsid w:val="742835D1"/>
    <w:rsid w:val="744228E5"/>
    <w:rsid w:val="74471CA9"/>
    <w:rsid w:val="74493C73"/>
    <w:rsid w:val="744F6DB0"/>
    <w:rsid w:val="74587B30"/>
    <w:rsid w:val="746D7236"/>
    <w:rsid w:val="746F2FAE"/>
    <w:rsid w:val="74720851"/>
    <w:rsid w:val="74793E2D"/>
    <w:rsid w:val="74796FDF"/>
    <w:rsid w:val="748051BB"/>
    <w:rsid w:val="748A428C"/>
    <w:rsid w:val="74942A15"/>
    <w:rsid w:val="749A211F"/>
    <w:rsid w:val="749D3FBF"/>
    <w:rsid w:val="749E5641"/>
    <w:rsid w:val="74B3733F"/>
    <w:rsid w:val="74BB61F3"/>
    <w:rsid w:val="74CA4688"/>
    <w:rsid w:val="74CB28DA"/>
    <w:rsid w:val="74CF694D"/>
    <w:rsid w:val="74D53759"/>
    <w:rsid w:val="74E13580"/>
    <w:rsid w:val="74E4399C"/>
    <w:rsid w:val="74E7523A"/>
    <w:rsid w:val="74EC2851"/>
    <w:rsid w:val="74F34607"/>
    <w:rsid w:val="74FF07D6"/>
    <w:rsid w:val="750D2EF3"/>
    <w:rsid w:val="751F6782"/>
    <w:rsid w:val="752B1E77"/>
    <w:rsid w:val="753C37D8"/>
    <w:rsid w:val="75466405"/>
    <w:rsid w:val="754B57C9"/>
    <w:rsid w:val="754E350B"/>
    <w:rsid w:val="75530B22"/>
    <w:rsid w:val="755E374E"/>
    <w:rsid w:val="755F74C6"/>
    <w:rsid w:val="75660855"/>
    <w:rsid w:val="75695C4F"/>
    <w:rsid w:val="75767A28"/>
    <w:rsid w:val="75785319"/>
    <w:rsid w:val="757EDA47"/>
    <w:rsid w:val="757F1917"/>
    <w:rsid w:val="758B206A"/>
    <w:rsid w:val="75963A07"/>
    <w:rsid w:val="75986535"/>
    <w:rsid w:val="759929D8"/>
    <w:rsid w:val="75AA3737"/>
    <w:rsid w:val="75B17106"/>
    <w:rsid w:val="75BA3E91"/>
    <w:rsid w:val="75BB2B51"/>
    <w:rsid w:val="75CF01A8"/>
    <w:rsid w:val="75E8126A"/>
    <w:rsid w:val="75F45E61"/>
    <w:rsid w:val="75FC4D15"/>
    <w:rsid w:val="76164029"/>
    <w:rsid w:val="761A519B"/>
    <w:rsid w:val="76242EF1"/>
    <w:rsid w:val="763147A1"/>
    <w:rsid w:val="763224E5"/>
    <w:rsid w:val="764364A0"/>
    <w:rsid w:val="76452218"/>
    <w:rsid w:val="765608C9"/>
    <w:rsid w:val="76592168"/>
    <w:rsid w:val="765A00C6"/>
    <w:rsid w:val="765B1E90"/>
    <w:rsid w:val="765D3A06"/>
    <w:rsid w:val="76636B42"/>
    <w:rsid w:val="76666DE7"/>
    <w:rsid w:val="76684159"/>
    <w:rsid w:val="766F6486"/>
    <w:rsid w:val="76720117"/>
    <w:rsid w:val="76746FA2"/>
    <w:rsid w:val="767C19B2"/>
    <w:rsid w:val="768865A9"/>
    <w:rsid w:val="76937428"/>
    <w:rsid w:val="76992564"/>
    <w:rsid w:val="76A038F3"/>
    <w:rsid w:val="76AC4B38"/>
    <w:rsid w:val="76B80C3C"/>
    <w:rsid w:val="76BB24DB"/>
    <w:rsid w:val="76BF671D"/>
    <w:rsid w:val="76CE0460"/>
    <w:rsid w:val="76D637B8"/>
    <w:rsid w:val="76E71B10"/>
    <w:rsid w:val="76E934EC"/>
    <w:rsid w:val="76F53C3E"/>
    <w:rsid w:val="76FF10D3"/>
    <w:rsid w:val="76FF4ABD"/>
    <w:rsid w:val="77020109"/>
    <w:rsid w:val="770519A8"/>
    <w:rsid w:val="7709593C"/>
    <w:rsid w:val="770C2D36"/>
    <w:rsid w:val="77147E3D"/>
    <w:rsid w:val="77167266"/>
    <w:rsid w:val="771D3195"/>
    <w:rsid w:val="77316A3F"/>
    <w:rsid w:val="774A385E"/>
    <w:rsid w:val="775C1F10"/>
    <w:rsid w:val="777367F2"/>
    <w:rsid w:val="77784870"/>
    <w:rsid w:val="77905715"/>
    <w:rsid w:val="77A15B74"/>
    <w:rsid w:val="77A6318B"/>
    <w:rsid w:val="77AB69F3"/>
    <w:rsid w:val="77AF2EFF"/>
    <w:rsid w:val="77B21B30"/>
    <w:rsid w:val="77B37656"/>
    <w:rsid w:val="77CA50CB"/>
    <w:rsid w:val="77CB2BF1"/>
    <w:rsid w:val="77CE4490"/>
    <w:rsid w:val="77E42C38"/>
    <w:rsid w:val="77E43CB3"/>
    <w:rsid w:val="77F008AA"/>
    <w:rsid w:val="77F4039A"/>
    <w:rsid w:val="77F647CF"/>
    <w:rsid w:val="78006D3F"/>
    <w:rsid w:val="780B56E4"/>
    <w:rsid w:val="78283BA0"/>
    <w:rsid w:val="782A7918"/>
    <w:rsid w:val="78307C29"/>
    <w:rsid w:val="783267CC"/>
    <w:rsid w:val="78340796"/>
    <w:rsid w:val="78370287"/>
    <w:rsid w:val="783A0CDB"/>
    <w:rsid w:val="783C3AEF"/>
    <w:rsid w:val="7844495E"/>
    <w:rsid w:val="78454752"/>
    <w:rsid w:val="78564BB1"/>
    <w:rsid w:val="78574FCE"/>
    <w:rsid w:val="785827DF"/>
    <w:rsid w:val="7859644F"/>
    <w:rsid w:val="785E5813"/>
    <w:rsid w:val="7860333A"/>
    <w:rsid w:val="78632E2A"/>
    <w:rsid w:val="786372CE"/>
    <w:rsid w:val="78686692"/>
    <w:rsid w:val="787212BF"/>
    <w:rsid w:val="78782D79"/>
    <w:rsid w:val="7879089F"/>
    <w:rsid w:val="7883527A"/>
    <w:rsid w:val="788E2390"/>
    <w:rsid w:val="78A43FAC"/>
    <w:rsid w:val="78B43685"/>
    <w:rsid w:val="78C0027C"/>
    <w:rsid w:val="78C80EDF"/>
    <w:rsid w:val="78CA10FB"/>
    <w:rsid w:val="78CA2EA9"/>
    <w:rsid w:val="78CF04BF"/>
    <w:rsid w:val="78D21D5D"/>
    <w:rsid w:val="78DA7590"/>
    <w:rsid w:val="78EB6C36"/>
    <w:rsid w:val="79030169"/>
    <w:rsid w:val="790B45EA"/>
    <w:rsid w:val="791C556F"/>
    <w:rsid w:val="792410CB"/>
    <w:rsid w:val="79257D62"/>
    <w:rsid w:val="79261977"/>
    <w:rsid w:val="792627D5"/>
    <w:rsid w:val="792978D0"/>
    <w:rsid w:val="79386064"/>
    <w:rsid w:val="794762A8"/>
    <w:rsid w:val="794C38BE"/>
    <w:rsid w:val="795F117B"/>
    <w:rsid w:val="797A48CF"/>
    <w:rsid w:val="797F1EE5"/>
    <w:rsid w:val="79871451"/>
    <w:rsid w:val="79894B12"/>
    <w:rsid w:val="79A272C8"/>
    <w:rsid w:val="79A27982"/>
    <w:rsid w:val="79D00993"/>
    <w:rsid w:val="79D10B6F"/>
    <w:rsid w:val="79D42231"/>
    <w:rsid w:val="79DC10E6"/>
    <w:rsid w:val="79DD67B7"/>
    <w:rsid w:val="79DF0BD6"/>
    <w:rsid w:val="79F8568C"/>
    <w:rsid w:val="7A010052"/>
    <w:rsid w:val="7A0348C4"/>
    <w:rsid w:val="7A044199"/>
    <w:rsid w:val="7A0B5527"/>
    <w:rsid w:val="7A124B07"/>
    <w:rsid w:val="7A181268"/>
    <w:rsid w:val="7A37631C"/>
    <w:rsid w:val="7A3C7DD6"/>
    <w:rsid w:val="7A3E7030"/>
    <w:rsid w:val="7A410F49"/>
    <w:rsid w:val="7A4A24F3"/>
    <w:rsid w:val="7A546ECE"/>
    <w:rsid w:val="7A5944E4"/>
    <w:rsid w:val="7A5C393B"/>
    <w:rsid w:val="7A707A80"/>
    <w:rsid w:val="7A720F00"/>
    <w:rsid w:val="7A777060"/>
    <w:rsid w:val="7A862E00"/>
    <w:rsid w:val="7A8B6668"/>
    <w:rsid w:val="7A8D0632"/>
    <w:rsid w:val="7A8F6158"/>
    <w:rsid w:val="7A965738"/>
    <w:rsid w:val="7A9876EC"/>
    <w:rsid w:val="7A9A2EA0"/>
    <w:rsid w:val="7AAE5307"/>
    <w:rsid w:val="7AB14320"/>
    <w:rsid w:val="7AB64546"/>
    <w:rsid w:val="7AB67B89"/>
    <w:rsid w:val="7ABB519F"/>
    <w:rsid w:val="7ACA3634"/>
    <w:rsid w:val="7ACF29F8"/>
    <w:rsid w:val="7AD61FD9"/>
    <w:rsid w:val="7AD9673C"/>
    <w:rsid w:val="7AE85868"/>
    <w:rsid w:val="7AF67F85"/>
    <w:rsid w:val="7B05641A"/>
    <w:rsid w:val="7B127A70"/>
    <w:rsid w:val="7B2A6109"/>
    <w:rsid w:val="7B34454B"/>
    <w:rsid w:val="7B3605DE"/>
    <w:rsid w:val="7B38234C"/>
    <w:rsid w:val="7B42141C"/>
    <w:rsid w:val="7B452CBB"/>
    <w:rsid w:val="7B4839E2"/>
    <w:rsid w:val="7B51340D"/>
    <w:rsid w:val="7B5B0730"/>
    <w:rsid w:val="7B5B603A"/>
    <w:rsid w:val="7B670E83"/>
    <w:rsid w:val="7B6850D9"/>
    <w:rsid w:val="7B6C067B"/>
    <w:rsid w:val="7B707D38"/>
    <w:rsid w:val="7B71585E"/>
    <w:rsid w:val="7B7B66DC"/>
    <w:rsid w:val="7B862F60"/>
    <w:rsid w:val="7BA07EF1"/>
    <w:rsid w:val="7BA75723"/>
    <w:rsid w:val="7BAE2FFF"/>
    <w:rsid w:val="7BB51BEE"/>
    <w:rsid w:val="7BB61791"/>
    <w:rsid w:val="7BB73BB8"/>
    <w:rsid w:val="7BBB4D2B"/>
    <w:rsid w:val="7BBD0AA3"/>
    <w:rsid w:val="7BBE5BA4"/>
    <w:rsid w:val="7BCE2CB0"/>
    <w:rsid w:val="7BD209F2"/>
    <w:rsid w:val="7BDD1145"/>
    <w:rsid w:val="7BEF1922"/>
    <w:rsid w:val="7BF87D2D"/>
    <w:rsid w:val="7BFA5EE7"/>
    <w:rsid w:val="7BFFD1DB"/>
    <w:rsid w:val="7C18217D"/>
    <w:rsid w:val="7C1E49A0"/>
    <w:rsid w:val="7C1E59E5"/>
    <w:rsid w:val="7C2428D0"/>
    <w:rsid w:val="7C2A25DC"/>
    <w:rsid w:val="7C3A3BB9"/>
    <w:rsid w:val="7C3E2849"/>
    <w:rsid w:val="7C3F770A"/>
    <w:rsid w:val="7C4349F2"/>
    <w:rsid w:val="7C63789C"/>
    <w:rsid w:val="7C670314"/>
    <w:rsid w:val="7C6C502D"/>
    <w:rsid w:val="7C6D4277"/>
    <w:rsid w:val="7C7C44BA"/>
    <w:rsid w:val="7C961A20"/>
    <w:rsid w:val="7CA73C2D"/>
    <w:rsid w:val="7CB21D4B"/>
    <w:rsid w:val="7CB7529B"/>
    <w:rsid w:val="7CB9570E"/>
    <w:rsid w:val="7CB974BC"/>
    <w:rsid w:val="7CC7607D"/>
    <w:rsid w:val="7CCD2F68"/>
    <w:rsid w:val="7CD07583"/>
    <w:rsid w:val="7CD12A58"/>
    <w:rsid w:val="7CD9190C"/>
    <w:rsid w:val="7CD97B5E"/>
    <w:rsid w:val="7CED360A"/>
    <w:rsid w:val="7D0420AA"/>
    <w:rsid w:val="7D086284"/>
    <w:rsid w:val="7D0C3A90"/>
    <w:rsid w:val="7D1868D9"/>
    <w:rsid w:val="7D341239"/>
    <w:rsid w:val="7D44147C"/>
    <w:rsid w:val="7D4C0002"/>
    <w:rsid w:val="7D586CD5"/>
    <w:rsid w:val="7D5A5E39"/>
    <w:rsid w:val="7D5D42EC"/>
    <w:rsid w:val="7D5F62B6"/>
    <w:rsid w:val="7D5F93D4"/>
    <w:rsid w:val="7D5FC824"/>
    <w:rsid w:val="7D6C452F"/>
    <w:rsid w:val="7D731D61"/>
    <w:rsid w:val="7D796C4C"/>
    <w:rsid w:val="7D7A30EF"/>
    <w:rsid w:val="7D7A4E9D"/>
    <w:rsid w:val="7D807847"/>
    <w:rsid w:val="7D8335F7"/>
    <w:rsid w:val="7D8555F0"/>
    <w:rsid w:val="7D985ACE"/>
    <w:rsid w:val="7DAB2803"/>
    <w:rsid w:val="7DB06B11"/>
    <w:rsid w:val="7DB303AF"/>
    <w:rsid w:val="7DCB56F9"/>
    <w:rsid w:val="7DCC321F"/>
    <w:rsid w:val="7DD10836"/>
    <w:rsid w:val="7DDBF796"/>
    <w:rsid w:val="7DDD4202"/>
    <w:rsid w:val="7DE20C95"/>
    <w:rsid w:val="7DEB7B49"/>
    <w:rsid w:val="7DEC566F"/>
    <w:rsid w:val="7DF35B67"/>
    <w:rsid w:val="7DF722EC"/>
    <w:rsid w:val="7DFA0069"/>
    <w:rsid w:val="7DFA5FDE"/>
    <w:rsid w:val="7DFC3B04"/>
    <w:rsid w:val="7DFD787D"/>
    <w:rsid w:val="7E096221"/>
    <w:rsid w:val="7E0A3D11"/>
    <w:rsid w:val="7E0B3D48"/>
    <w:rsid w:val="7E0D3F64"/>
    <w:rsid w:val="7E1150D6"/>
    <w:rsid w:val="7E1A042F"/>
    <w:rsid w:val="7E1D1CCD"/>
    <w:rsid w:val="7E2B6198"/>
    <w:rsid w:val="7E2E7A36"/>
    <w:rsid w:val="7E551467"/>
    <w:rsid w:val="7E5D031B"/>
    <w:rsid w:val="7E5E656D"/>
    <w:rsid w:val="7E6F077A"/>
    <w:rsid w:val="7E74391E"/>
    <w:rsid w:val="7E793EFC"/>
    <w:rsid w:val="7E834226"/>
    <w:rsid w:val="7EA54A49"/>
    <w:rsid w:val="7EA63A70"/>
    <w:rsid w:val="7EC54522"/>
    <w:rsid w:val="7EC64112"/>
    <w:rsid w:val="7ECA3C03"/>
    <w:rsid w:val="7ECB797B"/>
    <w:rsid w:val="7ED54355"/>
    <w:rsid w:val="7ED625A7"/>
    <w:rsid w:val="7EEA1BAF"/>
    <w:rsid w:val="7EEE0C91"/>
    <w:rsid w:val="7EF16182"/>
    <w:rsid w:val="7EF23159"/>
    <w:rsid w:val="7EF24F07"/>
    <w:rsid w:val="7EF50D7A"/>
    <w:rsid w:val="7EF78DAE"/>
    <w:rsid w:val="7F080287"/>
    <w:rsid w:val="7F0A3FFF"/>
    <w:rsid w:val="7F2350C1"/>
    <w:rsid w:val="7F2D4191"/>
    <w:rsid w:val="7F364DF4"/>
    <w:rsid w:val="7F3E1EFB"/>
    <w:rsid w:val="7F475253"/>
    <w:rsid w:val="7F5B2AAD"/>
    <w:rsid w:val="7F674918"/>
    <w:rsid w:val="7F6862B5"/>
    <w:rsid w:val="7F6F0306"/>
    <w:rsid w:val="7F6F1AA5"/>
    <w:rsid w:val="7F736048"/>
    <w:rsid w:val="7F7448FF"/>
    <w:rsid w:val="7F875650"/>
    <w:rsid w:val="7F8D0AFF"/>
    <w:rsid w:val="7F963EDC"/>
    <w:rsid w:val="7FA02BB5"/>
    <w:rsid w:val="7FA04FB5"/>
    <w:rsid w:val="7FA52933"/>
    <w:rsid w:val="7FA705A7"/>
    <w:rsid w:val="7FA93818"/>
    <w:rsid w:val="7FB04AAA"/>
    <w:rsid w:val="7FB14DC3"/>
    <w:rsid w:val="7FBB354B"/>
    <w:rsid w:val="7FC56178"/>
    <w:rsid w:val="7FC621A7"/>
    <w:rsid w:val="7FDA60C7"/>
    <w:rsid w:val="7FDB3A48"/>
    <w:rsid w:val="7FE64A6C"/>
    <w:rsid w:val="7FEE3921"/>
    <w:rsid w:val="7FF01447"/>
    <w:rsid w:val="7FF01F3D"/>
    <w:rsid w:val="7FF1F9DE"/>
    <w:rsid w:val="7FF5F497"/>
    <w:rsid w:val="7FF72009"/>
    <w:rsid w:val="7FF8479F"/>
    <w:rsid w:val="7FFD0588"/>
    <w:rsid w:val="97D02708"/>
    <w:rsid w:val="9ADBEA18"/>
    <w:rsid w:val="AFBEF3B3"/>
    <w:rsid w:val="B05F5F8A"/>
    <w:rsid w:val="B1F7912D"/>
    <w:rsid w:val="B3FA273E"/>
    <w:rsid w:val="B5FEDDAD"/>
    <w:rsid w:val="B7ED37EB"/>
    <w:rsid w:val="B7FB27B6"/>
    <w:rsid w:val="B9B58CA7"/>
    <w:rsid w:val="BF1BB8F3"/>
    <w:rsid w:val="BFFB3603"/>
    <w:rsid w:val="C9EF1E8D"/>
    <w:rsid w:val="CFBFA914"/>
    <w:rsid w:val="D6F77506"/>
    <w:rsid w:val="D7B76E95"/>
    <w:rsid w:val="D8CE7297"/>
    <w:rsid w:val="DB47ADE2"/>
    <w:rsid w:val="DBBF348C"/>
    <w:rsid w:val="DBE7F241"/>
    <w:rsid w:val="DCC35107"/>
    <w:rsid w:val="DFFDA3C9"/>
    <w:rsid w:val="E5AFF8F1"/>
    <w:rsid w:val="EAEBC2B4"/>
    <w:rsid w:val="EB3BB010"/>
    <w:rsid w:val="EBFDCEF1"/>
    <w:rsid w:val="EDF682D3"/>
    <w:rsid w:val="EE7581F8"/>
    <w:rsid w:val="EEEB0A87"/>
    <w:rsid w:val="EF8CD092"/>
    <w:rsid w:val="EFBF7546"/>
    <w:rsid w:val="EFBF8A04"/>
    <w:rsid w:val="F1799AE8"/>
    <w:rsid w:val="F5D76C31"/>
    <w:rsid w:val="F5EEB9B7"/>
    <w:rsid w:val="F7EECC1C"/>
    <w:rsid w:val="FA4FC94A"/>
    <w:rsid w:val="FBD90E77"/>
    <w:rsid w:val="FBDE01FF"/>
    <w:rsid w:val="FBDED2D9"/>
    <w:rsid w:val="FBFF78AD"/>
    <w:rsid w:val="FC7CBAAB"/>
    <w:rsid w:val="FCC8DDA0"/>
    <w:rsid w:val="FD7C97CD"/>
    <w:rsid w:val="FDB7FEA1"/>
    <w:rsid w:val="FE7DCDB1"/>
    <w:rsid w:val="FF597795"/>
    <w:rsid w:val="FFBC42FD"/>
    <w:rsid w:val="FFDEC1CC"/>
    <w:rsid w:val="FFDF5FD5"/>
    <w:rsid w:val="FFEF3608"/>
    <w:rsid w:val="FFF261E5"/>
    <w:rsid w:val="FFF5B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23"/>
    <w:qFormat/>
    <w:uiPriority w:val="0"/>
    <w:pPr>
      <w:adjustRightInd w:val="0"/>
      <w:jc w:val="center"/>
      <w:textAlignment w:val="baseline"/>
      <w:outlineLvl w:val="1"/>
    </w:pPr>
    <w:rPr>
      <w:rFonts w:ascii="宋体" w:hAnsi="宋体"/>
      <w:kern w:val="0"/>
      <w:sz w:val="24"/>
      <w:szCs w:val="20"/>
    </w:rPr>
  </w:style>
  <w:style w:type="paragraph" w:styleId="5">
    <w:name w:val="heading 3"/>
    <w:basedOn w:val="1"/>
    <w:next w:val="1"/>
    <w:link w:val="5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59"/>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9"/>
    <w:link w:val="60"/>
    <w:qFormat/>
    <w:uiPriority w:val="0"/>
    <w:pPr>
      <w:keepNext/>
      <w:keepLines/>
      <w:spacing w:before="240" w:after="64" w:line="320" w:lineRule="auto"/>
      <w:outlineLvl w:val="5"/>
    </w:pPr>
    <w:rPr>
      <w:rFonts w:ascii="Arial" w:hAnsi="Arial" w:eastAsia="黑体" w:cs="Times New Roman"/>
      <w:b/>
      <w:sz w:val="24"/>
      <w:szCs w:val="20"/>
    </w:rPr>
  </w:style>
  <w:style w:type="paragraph" w:styleId="10">
    <w:name w:val="heading 7"/>
    <w:basedOn w:val="1"/>
    <w:next w:val="9"/>
    <w:link w:val="61"/>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9"/>
    <w:link w:val="62"/>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9"/>
    <w:link w:val="63"/>
    <w:qFormat/>
    <w:uiPriority w:val="0"/>
    <w:pPr>
      <w:keepNext/>
      <w:keepLines/>
      <w:spacing w:before="240" w:after="64" w:line="320" w:lineRule="auto"/>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5"/>
    <w:qFormat/>
    <w:uiPriority w:val="0"/>
    <w:pPr>
      <w:spacing w:after="120"/>
    </w:pPr>
    <w:rPr>
      <w:rFonts w:ascii="Times New Roman" w:hAnsi="Times New Roman" w:eastAsia="宋体" w:cs="Times New Roman"/>
      <w:szCs w:val="24"/>
    </w:rPr>
  </w:style>
  <w:style w:type="paragraph" w:styleId="9">
    <w:name w:val="Normal Indent"/>
    <w:basedOn w:val="1"/>
    <w:next w:val="2"/>
    <w:link w:val="152"/>
    <w:qFormat/>
    <w:uiPriority w:val="99"/>
    <w:pPr>
      <w:ind w:firstLine="420" w:firstLineChars="200"/>
    </w:pPr>
    <w:rPr>
      <w:rFonts w:ascii="Times New Roman" w:hAnsi="Times New Roman" w:eastAsia="宋体" w:cs="Times New Roman"/>
      <w:szCs w:val="24"/>
    </w:rPr>
  </w:style>
  <w:style w:type="paragraph" w:styleId="13">
    <w:name w:val="toc 7"/>
    <w:basedOn w:val="1"/>
    <w:next w:val="1"/>
    <w:qFormat/>
    <w:uiPriority w:val="0"/>
    <w:pPr>
      <w:ind w:left="2520" w:leftChars="1200"/>
    </w:pPr>
    <w:rPr>
      <w:rFonts w:ascii="Calibri" w:hAnsi="Calibri" w:eastAsia="宋体" w:cs="Times New Roman"/>
    </w:rPr>
  </w:style>
  <w:style w:type="paragraph" w:styleId="14">
    <w:name w:val="caption"/>
    <w:basedOn w:val="1"/>
    <w:next w:val="1"/>
    <w:qFormat/>
    <w:uiPriority w:val="35"/>
    <w:rPr>
      <w:rFonts w:ascii="Arial" w:hAnsi="Arial" w:eastAsia="黑体" w:cs="Arial"/>
      <w:sz w:val="20"/>
      <w:szCs w:val="20"/>
    </w:rPr>
  </w:style>
  <w:style w:type="paragraph" w:styleId="15">
    <w:name w:val="List Bullet"/>
    <w:basedOn w:val="1"/>
    <w:qFormat/>
    <w:uiPriority w:val="0"/>
    <w:pPr>
      <w:tabs>
        <w:tab w:val="left" w:pos="360"/>
      </w:tabs>
      <w:ind w:left="360" w:hanging="360"/>
    </w:pPr>
    <w:rPr>
      <w:rFonts w:ascii="Times New Roman" w:hAnsi="Times New Roman" w:eastAsia="宋体" w:cs="Times New Roman"/>
      <w:szCs w:val="20"/>
    </w:rPr>
  </w:style>
  <w:style w:type="paragraph" w:styleId="16">
    <w:name w:val="Document Map"/>
    <w:basedOn w:val="1"/>
    <w:link w:val="64"/>
    <w:qFormat/>
    <w:uiPriority w:val="0"/>
    <w:rPr>
      <w:rFonts w:ascii="宋体" w:hAnsi="Times New Roman" w:eastAsia="宋体" w:cs="Times New Roman"/>
      <w:sz w:val="18"/>
      <w:szCs w:val="18"/>
    </w:rPr>
  </w:style>
  <w:style w:type="paragraph" w:styleId="17">
    <w:name w:val="annotation text"/>
    <w:basedOn w:val="1"/>
    <w:link w:val="65"/>
    <w:qFormat/>
    <w:uiPriority w:val="0"/>
    <w:pPr>
      <w:jc w:val="left"/>
    </w:pPr>
    <w:rPr>
      <w:rFonts w:ascii="Times New Roman" w:hAnsi="Times New Roman" w:eastAsia="宋体" w:cs="Times New Roman"/>
      <w:szCs w:val="24"/>
    </w:rPr>
  </w:style>
  <w:style w:type="paragraph" w:styleId="18">
    <w:name w:val="Body Text 3"/>
    <w:basedOn w:val="1"/>
    <w:link w:val="66"/>
    <w:qFormat/>
    <w:uiPriority w:val="0"/>
    <w:pPr>
      <w:spacing w:after="120"/>
    </w:pPr>
    <w:rPr>
      <w:rFonts w:ascii="Times New Roman" w:hAnsi="Times New Roman" w:eastAsia="宋体" w:cs="Times New Roman"/>
      <w:sz w:val="16"/>
      <w:szCs w:val="16"/>
    </w:rPr>
  </w:style>
  <w:style w:type="paragraph" w:styleId="19">
    <w:name w:val="Body Text Indent"/>
    <w:basedOn w:val="1"/>
    <w:link w:val="116"/>
    <w:qFormat/>
    <w:uiPriority w:val="0"/>
    <w:pPr>
      <w:ind w:left="2098"/>
    </w:pPr>
    <w:rPr>
      <w:rFonts w:ascii="Times New Roman" w:hAnsi="Times New Roman" w:eastAsia="宋体" w:cs="Times New Roman"/>
      <w:color w:val="000000"/>
      <w:sz w:val="24"/>
      <w:szCs w:val="24"/>
    </w:rPr>
  </w:style>
  <w:style w:type="paragraph" w:styleId="20">
    <w:name w:val="toc 5"/>
    <w:basedOn w:val="1"/>
    <w:next w:val="1"/>
    <w:qFormat/>
    <w:uiPriority w:val="0"/>
    <w:pPr>
      <w:ind w:left="1680" w:leftChars="800"/>
    </w:pPr>
    <w:rPr>
      <w:rFonts w:ascii="Calibri" w:hAnsi="Calibri" w:eastAsia="宋体" w:cs="Times New Roman"/>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27"/>
    <w:qFormat/>
    <w:uiPriority w:val="0"/>
    <w:rPr>
      <w:rFonts w:ascii="Courier New" w:hAnsi="Courier New" w:eastAsia="宋体" w:cs="Times New Roman"/>
      <w:szCs w:val="20"/>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71"/>
    <w:qFormat/>
    <w:uiPriority w:val="0"/>
    <w:pPr>
      <w:ind w:left="100" w:leftChars="2500"/>
    </w:pPr>
    <w:rPr>
      <w:rFonts w:ascii="Times New Roman" w:hAnsi="Times New Roman" w:eastAsia="宋体" w:cs="Times New Roman"/>
      <w:kern w:val="0"/>
      <w:sz w:val="20"/>
      <w:szCs w:val="24"/>
    </w:rPr>
  </w:style>
  <w:style w:type="paragraph" w:styleId="25">
    <w:name w:val="Body Text Indent 2"/>
    <w:basedOn w:val="1"/>
    <w:link w:val="72"/>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73"/>
    <w:qFormat/>
    <w:uiPriority w:val="0"/>
    <w:rPr>
      <w:rFonts w:ascii="Times New Roman" w:hAnsi="Times New Roman" w:eastAsia="宋体" w:cs="Times New Roman"/>
      <w:sz w:val="18"/>
      <w:szCs w:val="18"/>
    </w:rPr>
  </w:style>
  <w:style w:type="paragraph" w:styleId="27">
    <w:name w:val="footer"/>
    <w:basedOn w:val="1"/>
    <w:link w:val="7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39"/>
    <w:pPr>
      <w:tabs>
        <w:tab w:val="left" w:pos="1050"/>
        <w:tab w:val="right" w:leader="dot" w:pos="8296"/>
      </w:tabs>
    </w:pPr>
    <w:rPr>
      <w:rFonts w:ascii="宋体" w:hAnsi="宋体" w:eastAsia="宋体" w:cs="Times New Roman"/>
      <w:b/>
      <w:szCs w:val="24"/>
    </w:rPr>
  </w:style>
  <w:style w:type="paragraph" w:styleId="30">
    <w:name w:val="toc 4"/>
    <w:basedOn w:val="1"/>
    <w:next w:val="1"/>
    <w:qFormat/>
    <w:uiPriority w:val="0"/>
    <w:pPr>
      <w:ind w:left="1260" w:leftChars="600"/>
    </w:pPr>
    <w:rPr>
      <w:rFonts w:ascii="Calibri" w:hAnsi="Calibri" w:eastAsia="宋体" w:cs="Times New Roman"/>
    </w:rPr>
  </w:style>
  <w:style w:type="paragraph" w:styleId="31">
    <w:name w:val="index heading"/>
    <w:basedOn w:val="1"/>
    <w:next w:val="32"/>
    <w:qFormat/>
    <w:uiPriority w:val="0"/>
    <w:rPr>
      <w:rFonts w:ascii="Times New Roman" w:hAnsi="Times New Roman" w:eastAsia="宋体" w:cs="Times New Roman"/>
      <w:szCs w:val="20"/>
    </w:rPr>
  </w:style>
  <w:style w:type="paragraph" w:styleId="32">
    <w:name w:val="index 1"/>
    <w:basedOn w:val="1"/>
    <w:next w:val="1"/>
    <w:unhideWhenUsed/>
    <w:qFormat/>
    <w:uiPriority w:val="0"/>
  </w:style>
  <w:style w:type="paragraph" w:styleId="33">
    <w:name w:val="toc 6"/>
    <w:basedOn w:val="1"/>
    <w:next w:val="1"/>
    <w:qFormat/>
    <w:uiPriority w:val="0"/>
    <w:pPr>
      <w:ind w:left="2100" w:leftChars="1000"/>
    </w:pPr>
    <w:rPr>
      <w:rFonts w:ascii="Calibri" w:hAnsi="Calibri" w:eastAsia="宋体" w:cs="Times New Roman"/>
    </w:rPr>
  </w:style>
  <w:style w:type="paragraph" w:styleId="34">
    <w:name w:val="Body Text Indent 3"/>
    <w:basedOn w:val="1"/>
    <w:link w:val="76"/>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Calibri" w:hAnsi="Calibri" w:eastAsia="宋体" w:cs="Times New Roman"/>
    </w:rPr>
  </w:style>
  <w:style w:type="paragraph" w:styleId="37">
    <w:name w:val="Body Text 2"/>
    <w:basedOn w:val="1"/>
    <w:link w:val="77"/>
    <w:qFormat/>
    <w:uiPriority w:val="0"/>
    <w:pPr>
      <w:spacing w:line="360" w:lineRule="auto"/>
    </w:pPr>
    <w:rPr>
      <w:rFonts w:ascii="Times New Roman" w:hAnsi="Times New Roman" w:eastAsia="宋体" w:cs="Times New Roman"/>
      <w:sz w:val="24"/>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40">
    <w:name w:val="Title"/>
    <w:basedOn w:val="1"/>
    <w:next w:val="1"/>
    <w:link w:val="79"/>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7"/>
    <w:next w:val="17"/>
    <w:link w:val="80"/>
    <w:qFormat/>
    <w:uiPriority w:val="0"/>
    <w:rPr>
      <w:b/>
      <w:bCs/>
    </w:rPr>
  </w:style>
  <w:style w:type="paragraph" w:styleId="42">
    <w:name w:val="Body Text First Indent"/>
    <w:basedOn w:val="2"/>
    <w:link w:val="81"/>
    <w:qFormat/>
    <w:uiPriority w:val="0"/>
    <w:pPr>
      <w:ind w:firstLine="420" w:firstLineChars="100"/>
    </w:pPr>
  </w:style>
  <w:style w:type="paragraph" w:styleId="43">
    <w:name w:val="Body Text First Indent 2"/>
    <w:basedOn w:val="19"/>
    <w:qFormat/>
    <w:uiPriority w:val="0"/>
    <w:pPr>
      <w:ind w:firstLine="420" w:firstLineChars="2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basedOn w:val="46"/>
    <w:qFormat/>
    <w:uiPriority w:val="0"/>
    <w:rPr>
      <w:sz w:val="21"/>
      <w:szCs w:val="21"/>
    </w:rPr>
  </w:style>
  <w:style w:type="paragraph" w:customStyle="1" w:styleId="53">
    <w:name w:val="列出段落11"/>
    <w:basedOn w:val="1"/>
    <w:qFormat/>
    <w:uiPriority w:val="34"/>
    <w:pPr>
      <w:ind w:firstLine="420" w:firstLineChars="200"/>
    </w:pPr>
    <w:rPr>
      <w:rFonts w:ascii="Times New Roman" w:hAnsi="Times New Roman" w:eastAsia="宋体" w:cs="Times New Roman"/>
      <w:szCs w:val="24"/>
    </w:rPr>
  </w:style>
  <w:style w:type="paragraph" w:customStyle="1" w:styleId="54">
    <w:name w:val="样式1"/>
    <w:basedOn w:val="1"/>
    <w:link w:val="102"/>
    <w:qFormat/>
    <w:uiPriority w:val="0"/>
    <w:pPr>
      <w:adjustRightInd w:val="0"/>
      <w:spacing w:line="400" w:lineRule="atLeast"/>
      <w:textAlignment w:val="baseline"/>
    </w:pPr>
    <w:rPr>
      <w:sz w:val="24"/>
    </w:rPr>
  </w:style>
  <w:style w:type="character" w:customStyle="1" w:styleId="55">
    <w:name w:val="标题 3 字符"/>
    <w:basedOn w:val="46"/>
    <w:link w:val="5"/>
    <w:qFormat/>
    <w:uiPriority w:val="0"/>
    <w:rPr>
      <w:rFonts w:ascii="Times New Roman" w:hAnsi="Times New Roman" w:eastAsia="宋体" w:cs="Times New Roman"/>
      <w:b/>
      <w:bCs/>
      <w:sz w:val="32"/>
      <w:szCs w:val="32"/>
    </w:rPr>
  </w:style>
  <w:style w:type="character" w:customStyle="1" w:styleId="56">
    <w:name w:val="标题 1 Char"/>
    <w:basedOn w:val="46"/>
    <w:qFormat/>
    <w:uiPriority w:val="0"/>
    <w:rPr>
      <w:b/>
      <w:bCs/>
      <w:kern w:val="44"/>
      <w:sz w:val="44"/>
      <w:szCs w:val="44"/>
    </w:rPr>
  </w:style>
  <w:style w:type="character" w:customStyle="1" w:styleId="57">
    <w:name w:val="标题 2 Char"/>
    <w:basedOn w:val="46"/>
    <w:qFormat/>
    <w:uiPriority w:val="0"/>
    <w:rPr>
      <w:rFonts w:asciiTheme="majorHAnsi" w:hAnsiTheme="majorHAnsi" w:eastAsiaTheme="majorEastAsia" w:cstheme="majorBidi"/>
      <w:b/>
      <w:bCs/>
      <w:sz w:val="32"/>
      <w:szCs w:val="32"/>
    </w:rPr>
  </w:style>
  <w:style w:type="character" w:customStyle="1" w:styleId="58">
    <w:name w:val="标题 4 字符"/>
    <w:basedOn w:val="46"/>
    <w:link w:val="6"/>
    <w:qFormat/>
    <w:uiPriority w:val="0"/>
    <w:rPr>
      <w:rFonts w:ascii="Arial" w:hAnsi="Arial" w:eastAsia="黑体" w:cs="Times New Roman"/>
      <w:b/>
      <w:bCs/>
      <w:sz w:val="28"/>
      <w:szCs w:val="28"/>
    </w:rPr>
  </w:style>
  <w:style w:type="character" w:customStyle="1" w:styleId="59">
    <w:name w:val="标题 5 字符"/>
    <w:basedOn w:val="46"/>
    <w:link w:val="7"/>
    <w:qFormat/>
    <w:uiPriority w:val="0"/>
    <w:rPr>
      <w:rFonts w:ascii="Times New Roman" w:hAnsi="Times New Roman" w:eastAsia="宋体" w:cs="Times New Roman"/>
      <w:b/>
      <w:sz w:val="28"/>
      <w:szCs w:val="20"/>
    </w:rPr>
  </w:style>
  <w:style w:type="character" w:customStyle="1" w:styleId="60">
    <w:name w:val="标题 6 字符"/>
    <w:basedOn w:val="46"/>
    <w:link w:val="8"/>
    <w:qFormat/>
    <w:uiPriority w:val="0"/>
    <w:rPr>
      <w:rFonts w:ascii="Arial" w:hAnsi="Arial" w:eastAsia="黑体" w:cs="Times New Roman"/>
      <w:b/>
      <w:sz w:val="24"/>
      <w:szCs w:val="20"/>
    </w:rPr>
  </w:style>
  <w:style w:type="character" w:customStyle="1" w:styleId="61">
    <w:name w:val="标题 7 字符"/>
    <w:basedOn w:val="46"/>
    <w:link w:val="10"/>
    <w:qFormat/>
    <w:uiPriority w:val="0"/>
    <w:rPr>
      <w:rFonts w:ascii="Times New Roman" w:hAnsi="Times New Roman" w:eastAsia="宋体" w:cs="Times New Roman"/>
      <w:b/>
      <w:sz w:val="24"/>
      <w:szCs w:val="20"/>
    </w:rPr>
  </w:style>
  <w:style w:type="character" w:customStyle="1" w:styleId="62">
    <w:name w:val="标题 8 字符"/>
    <w:basedOn w:val="46"/>
    <w:link w:val="11"/>
    <w:qFormat/>
    <w:uiPriority w:val="0"/>
    <w:rPr>
      <w:rFonts w:ascii="Arial" w:hAnsi="Arial" w:eastAsia="黑体" w:cs="Times New Roman"/>
      <w:sz w:val="24"/>
      <w:szCs w:val="20"/>
    </w:rPr>
  </w:style>
  <w:style w:type="character" w:customStyle="1" w:styleId="63">
    <w:name w:val="标题 9 字符"/>
    <w:basedOn w:val="46"/>
    <w:link w:val="12"/>
    <w:qFormat/>
    <w:uiPriority w:val="0"/>
    <w:rPr>
      <w:rFonts w:ascii="Arial" w:hAnsi="Arial" w:eastAsia="黑体" w:cs="Times New Roman"/>
      <w:szCs w:val="20"/>
    </w:rPr>
  </w:style>
  <w:style w:type="character" w:customStyle="1" w:styleId="64">
    <w:name w:val="文档结构图 字符"/>
    <w:basedOn w:val="46"/>
    <w:link w:val="16"/>
    <w:qFormat/>
    <w:uiPriority w:val="0"/>
    <w:rPr>
      <w:rFonts w:ascii="宋体" w:hAnsi="Times New Roman" w:eastAsia="宋体" w:cs="Times New Roman"/>
      <w:sz w:val="18"/>
      <w:szCs w:val="18"/>
    </w:rPr>
  </w:style>
  <w:style w:type="character" w:customStyle="1" w:styleId="65">
    <w:name w:val="批注文字 字符1"/>
    <w:basedOn w:val="46"/>
    <w:link w:val="17"/>
    <w:qFormat/>
    <w:uiPriority w:val="0"/>
    <w:rPr>
      <w:rFonts w:ascii="Times New Roman" w:hAnsi="Times New Roman" w:eastAsia="宋体" w:cs="Times New Roman"/>
      <w:szCs w:val="24"/>
    </w:rPr>
  </w:style>
  <w:style w:type="character" w:customStyle="1" w:styleId="66">
    <w:name w:val="正文文本 3 字符"/>
    <w:basedOn w:val="46"/>
    <w:link w:val="18"/>
    <w:qFormat/>
    <w:uiPriority w:val="0"/>
    <w:rPr>
      <w:rFonts w:ascii="Times New Roman" w:hAnsi="Times New Roman" w:eastAsia="宋体" w:cs="Times New Roman"/>
      <w:sz w:val="16"/>
      <w:szCs w:val="16"/>
    </w:rPr>
  </w:style>
  <w:style w:type="character" w:customStyle="1" w:styleId="67">
    <w:name w:val="正文文本 Char"/>
    <w:basedOn w:val="46"/>
    <w:qFormat/>
    <w:uiPriority w:val="0"/>
  </w:style>
  <w:style w:type="character" w:customStyle="1" w:styleId="68">
    <w:name w:val="正文文本缩进 Char"/>
    <w:basedOn w:val="46"/>
    <w:link w:val="69"/>
    <w:qFormat/>
    <w:uiPriority w:val="0"/>
  </w:style>
  <w:style w:type="paragraph" w:customStyle="1" w:styleId="69">
    <w:name w:val="正文文本缩进1"/>
    <w:basedOn w:val="1"/>
    <w:link w:val="68"/>
    <w:qFormat/>
    <w:uiPriority w:val="0"/>
    <w:pPr>
      <w:spacing w:line="360" w:lineRule="auto"/>
      <w:ind w:firstLine="420" w:firstLineChars="200"/>
    </w:pPr>
  </w:style>
  <w:style w:type="character" w:customStyle="1" w:styleId="70">
    <w:name w:val="纯文本 Char"/>
    <w:basedOn w:val="46"/>
    <w:qFormat/>
    <w:uiPriority w:val="0"/>
    <w:rPr>
      <w:rFonts w:ascii="宋体" w:hAnsi="Courier New" w:eastAsia="宋体" w:cs="Courier New"/>
      <w:szCs w:val="21"/>
    </w:rPr>
  </w:style>
  <w:style w:type="character" w:customStyle="1" w:styleId="71">
    <w:name w:val="日期 字符"/>
    <w:basedOn w:val="46"/>
    <w:link w:val="24"/>
    <w:qFormat/>
    <w:uiPriority w:val="0"/>
    <w:rPr>
      <w:rFonts w:ascii="Times New Roman" w:hAnsi="Times New Roman" w:eastAsia="宋体" w:cs="Times New Roman"/>
      <w:kern w:val="0"/>
      <w:sz w:val="20"/>
      <w:szCs w:val="24"/>
    </w:rPr>
  </w:style>
  <w:style w:type="character" w:customStyle="1" w:styleId="72">
    <w:name w:val="正文文本缩进 2 字符"/>
    <w:basedOn w:val="46"/>
    <w:link w:val="25"/>
    <w:qFormat/>
    <w:uiPriority w:val="0"/>
    <w:rPr>
      <w:rFonts w:ascii="宋体" w:hAnsi="宋体" w:eastAsia="宋体" w:cs="Times New Roman"/>
      <w:szCs w:val="24"/>
    </w:rPr>
  </w:style>
  <w:style w:type="character" w:customStyle="1" w:styleId="73">
    <w:name w:val="批注框文本 字符"/>
    <w:basedOn w:val="46"/>
    <w:link w:val="26"/>
    <w:qFormat/>
    <w:uiPriority w:val="0"/>
    <w:rPr>
      <w:rFonts w:ascii="Times New Roman" w:hAnsi="Times New Roman" w:eastAsia="宋体" w:cs="Times New Roman"/>
      <w:sz w:val="18"/>
      <w:szCs w:val="18"/>
    </w:rPr>
  </w:style>
  <w:style w:type="character" w:customStyle="1" w:styleId="74">
    <w:name w:val="页脚 字符"/>
    <w:basedOn w:val="46"/>
    <w:link w:val="27"/>
    <w:qFormat/>
    <w:uiPriority w:val="0"/>
    <w:rPr>
      <w:rFonts w:ascii="Times New Roman" w:hAnsi="Times New Roman" w:eastAsia="宋体" w:cs="Times New Roman"/>
      <w:sz w:val="18"/>
      <w:szCs w:val="18"/>
    </w:rPr>
  </w:style>
  <w:style w:type="character" w:customStyle="1" w:styleId="75">
    <w:name w:val="页眉 字符"/>
    <w:basedOn w:val="46"/>
    <w:link w:val="28"/>
    <w:qFormat/>
    <w:uiPriority w:val="0"/>
    <w:rPr>
      <w:rFonts w:ascii="Times New Roman" w:hAnsi="Times New Roman" w:eastAsia="宋体" w:cs="Times New Roman"/>
      <w:sz w:val="18"/>
      <w:szCs w:val="18"/>
    </w:rPr>
  </w:style>
  <w:style w:type="character" w:customStyle="1" w:styleId="76">
    <w:name w:val="正文文本缩进 3 字符"/>
    <w:basedOn w:val="46"/>
    <w:link w:val="34"/>
    <w:qFormat/>
    <w:uiPriority w:val="0"/>
    <w:rPr>
      <w:rFonts w:ascii="Times New Roman" w:hAnsi="Times New Roman" w:eastAsia="宋体" w:cs="Times New Roman"/>
      <w:sz w:val="16"/>
      <w:szCs w:val="16"/>
    </w:rPr>
  </w:style>
  <w:style w:type="character" w:customStyle="1" w:styleId="77">
    <w:name w:val="正文文本 2 字符"/>
    <w:basedOn w:val="46"/>
    <w:link w:val="37"/>
    <w:qFormat/>
    <w:uiPriority w:val="0"/>
    <w:rPr>
      <w:rFonts w:ascii="Times New Roman" w:hAnsi="Times New Roman" w:eastAsia="宋体" w:cs="Times New Roman"/>
      <w:sz w:val="24"/>
      <w:szCs w:val="24"/>
    </w:rPr>
  </w:style>
  <w:style w:type="character" w:customStyle="1" w:styleId="78">
    <w:name w:val="HTML 预设格式 字符"/>
    <w:basedOn w:val="46"/>
    <w:link w:val="38"/>
    <w:qFormat/>
    <w:uiPriority w:val="0"/>
    <w:rPr>
      <w:rFonts w:ascii="宋体" w:hAnsi="宋体" w:eastAsia="宋体" w:cs="Times New Roman"/>
      <w:kern w:val="0"/>
      <w:sz w:val="24"/>
      <w:szCs w:val="24"/>
    </w:rPr>
  </w:style>
  <w:style w:type="character" w:customStyle="1" w:styleId="79">
    <w:name w:val="标题 字符"/>
    <w:basedOn w:val="46"/>
    <w:link w:val="40"/>
    <w:qFormat/>
    <w:uiPriority w:val="0"/>
    <w:rPr>
      <w:rFonts w:ascii="Cambria" w:hAnsi="Cambria" w:eastAsia="宋体" w:cs="Times New Roman"/>
      <w:b/>
      <w:bCs/>
      <w:sz w:val="32"/>
      <w:szCs w:val="32"/>
    </w:rPr>
  </w:style>
  <w:style w:type="character" w:customStyle="1" w:styleId="80">
    <w:name w:val="批注主题 字符"/>
    <w:basedOn w:val="65"/>
    <w:link w:val="41"/>
    <w:qFormat/>
    <w:uiPriority w:val="0"/>
    <w:rPr>
      <w:rFonts w:ascii="Times New Roman" w:hAnsi="Times New Roman" w:eastAsia="宋体" w:cs="Times New Roman"/>
      <w:b/>
      <w:bCs/>
      <w:szCs w:val="24"/>
    </w:rPr>
  </w:style>
  <w:style w:type="character" w:customStyle="1" w:styleId="81">
    <w:name w:val="正文文本首行缩进 字符"/>
    <w:basedOn w:val="67"/>
    <w:link w:val="42"/>
    <w:qFormat/>
    <w:uiPriority w:val="0"/>
    <w:rPr>
      <w:rFonts w:ascii="Times New Roman" w:hAnsi="Times New Roman" w:eastAsia="宋体" w:cs="Times New Roman"/>
      <w:szCs w:val="24"/>
    </w:rPr>
  </w:style>
  <w:style w:type="character" w:customStyle="1" w:styleId="82">
    <w:name w:val="unnamed3"/>
    <w:basedOn w:val="46"/>
    <w:qFormat/>
    <w:uiPriority w:val="0"/>
  </w:style>
  <w:style w:type="character" w:customStyle="1" w:styleId="83">
    <w:name w:val="批注文字 Char Char"/>
    <w:qFormat/>
    <w:uiPriority w:val="0"/>
    <w:rPr>
      <w:rFonts w:ascii="Times New Roman" w:hAnsi="Times New Roman" w:eastAsia="宋体" w:cs="Times New Roman"/>
      <w:szCs w:val="24"/>
    </w:rPr>
  </w:style>
  <w:style w:type="character" w:customStyle="1" w:styleId="84">
    <w:name w:val="批注框文本 Char1"/>
    <w:semiHidden/>
    <w:qFormat/>
    <w:uiPriority w:val="99"/>
    <w:rPr>
      <w:rFonts w:ascii="Times New Roman" w:hAnsi="Times New Roman" w:eastAsia="宋体" w:cs="Times New Roman"/>
      <w:sz w:val="18"/>
      <w:szCs w:val="18"/>
    </w:rPr>
  </w:style>
  <w:style w:type="character" w:customStyle="1" w:styleId="85">
    <w:name w:val="日期 Char2"/>
    <w:semiHidden/>
    <w:qFormat/>
    <w:uiPriority w:val="99"/>
    <w:rPr>
      <w:rFonts w:ascii="Times New Roman" w:hAnsi="Times New Roman" w:eastAsia="宋体" w:cs="Times New Roman"/>
      <w:szCs w:val="24"/>
    </w:rPr>
  </w:style>
  <w:style w:type="character" w:customStyle="1" w:styleId="86">
    <w:name w:val="HTML 预设格式 Char1"/>
    <w:qFormat/>
    <w:uiPriority w:val="0"/>
    <w:rPr>
      <w:rFonts w:ascii="Courier New" w:hAnsi="Courier New" w:cs="Courier New"/>
      <w:kern w:val="2"/>
    </w:rPr>
  </w:style>
  <w:style w:type="character" w:customStyle="1" w:styleId="87">
    <w:name w:val="正文缩进 Char"/>
    <w:link w:val="88"/>
    <w:qFormat/>
    <w:uiPriority w:val="0"/>
    <w:rPr>
      <w:szCs w:val="24"/>
    </w:rPr>
  </w:style>
  <w:style w:type="paragraph" w:customStyle="1" w:styleId="88">
    <w:name w:val="正文缩进1"/>
    <w:basedOn w:val="1"/>
    <w:link w:val="87"/>
    <w:qFormat/>
    <w:uiPriority w:val="0"/>
    <w:pPr>
      <w:ind w:firstLine="420" w:firstLineChars="200"/>
    </w:pPr>
    <w:rPr>
      <w:szCs w:val="24"/>
    </w:rPr>
  </w:style>
  <w:style w:type="character" w:customStyle="1" w:styleId="89">
    <w:name w:val="批注主题 Char1"/>
    <w:semiHidden/>
    <w:qFormat/>
    <w:uiPriority w:val="99"/>
    <w:rPr>
      <w:rFonts w:ascii="Times New Roman" w:hAnsi="Times New Roman" w:eastAsia="宋体" w:cs="Times New Roman"/>
      <w:b/>
      <w:bCs/>
      <w:szCs w:val="24"/>
    </w:rPr>
  </w:style>
  <w:style w:type="character" w:customStyle="1" w:styleId="90">
    <w:name w:val="标题 Char1"/>
    <w:qFormat/>
    <w:uiPriority w:val="10"/>
    <w:rPr>
      <w:rFonts w:ascii="Cambria" w:hAnsi="Cambria" w:eastAsia="宋体" w:cs="Times New Roman"/>
      <w:b/>
      <w:bCs/>
      <w:sz w:val="32"/>
      <w:szCs w:val="32"/>
    </w:rPr>
  </w:style>
  <w:style w:type="character" w:customStyle="1" w:styleId="91">
    <w:name w:val="unnamed4"/>
    <w:basedOn w:val="46"/>
    <w:qFormat/>
    <w:uiPriority w:val="0"/>
  </w:style>
  <w:style w:type="character" w:customStyle="1" w:styleId="92">
    <w:name w:val="grame"/>
    <w:basedOn w:val="46"/>
    <w:qFormat/>
    <w:uiPriority w:val="0"/>
  </w:style>
  <w:style w:type="character" w:customStyle="1" w:styleId="93">
    <w:name w:val="日期 Char1"/>
    <w:qFormat/>
    <w:uiPriority w:val="0"/>
    <w:rPr>
      <w:kern w:val="2"/>
      <w:sz w:val="21"/>
      <w:szCs w:val="24"/>
    </w:rPr>
  </w:style>
  <w:style w:type="character" w:customStyle="1" w:styleId="94">
    <w:name w:val="alt-edited1"/>
    <w:qFormat/>
    <w:uiPriority w:val="0"/>
    <w:rPr>
      <w:color w:val="4D90F0"/>
    </w:rPr>
  </w:style>
  <w:style w:type="character" w:customStyle="1" w:styleId="95">
    <w:name w:val="正文文本 Char2"/>
    <w:qFormat/>
    <w:uiPriority w:val="0"/>
    <w:rPr>
      <w:rFonts w:ascii="Times New Roman" w:hAnsi="Times New Roman" w:eastAsia="宋体" w:cs="Times New Roman"/>
      <w:szCs w:val="24"/>
    </w:rPr>
  </w:style>
  <w:style w:type="character" w:customStyle="1" w:styleId="96">
    <w:name w:val="prodheadlines"/>
    <w:basedOn w:val="46"/>
    <w:qFormat/>
    <w:uiPriority w:val="0"/>
  </w:style>
  <w:style w:type="character" w:customStyle="1" w:styleId="97">
    <w:name w:val="标题 Char Char"/>
    <w:qFormat/>
    <w:uiPriority w:val="0"/>
    <w:rPr>
      <w:rFonts w:ascii="Arial" w:hAnsi="Arial" w:eastAsia="隶书" w:cs="Arial"/>
      <w:b/>
      <w:bCs/>
      <w:sz w:val="32"/>
      <w:szCs w:val="32"/>
    </w:rPr>
  </w:style>
  <w:style w:type="character" w:customStyle="1" w:styleId="98">
    <w:name w:val="标题 3 Char1"/>
    <w:qFormat/>
    <w:uiPriority w:val="0"/>
    <w:rPr>
      <w:rFonts w:eastAsia="宋体"/>
      <w:b/>
      <w:bCs/>
      <w:kern w:val="2"/>
      <w:sz w:val="32"/>
      <w:szCs w:val="32"/>
      <w:lang w:val="en-US" w:eastAsia="zh-CN" w:bidi="ar-SA"/>
    </w:rPr>
  </w:style>
  <w:style w:type="character" w:customStyle="1" w:styleId="99">
    <w:name w:val="正文文字首行缩进 Char"/>
    <w:qFormat/>
    <w:uiPriority w:val="0"/>
    <w:rPr>
      <w:kern w:val="2"/>
      <w:sz w:val="21"/>
      <w:szCs w:val="24"/>
    </w:rPr>
  </w:style>
  <w:style w:type="character" w:customStyle="1" w:styleId="100">
    <w:name w:val="blue"/>
    <w:basedOn w:val="46"/>
    <w:qFormat/>
    <w:uiPriority w:val="0"/>
  </w:style>
  <w:style w:type="character" w:customStyle="1" w:styleId="101">
    <w:name w:val="HTML 预设格式 Char2"/>
    <w:semiHidden/>
    <w:qFormat/>
    <w:uiPriority w:val="99"/>
    <w:rPr>
      <w:rFonts w:ascii="Courier New" w:hAnsi="Courier New" w:eastAsia="宋体" w:cs="Courier New"/>
      <w:sz w:val="20"/>
      <w:szCs w:val="20"/>
    </w:rPr>
  </w:style>
  <w:style w:type="character" w:customStyle="1" w:styleId="102">
    <w:name w:val="样式1 Char Char Char Char Char"/>
    <w:link w:val="54"/>
    <w:qFormat/>
    <w:uiPriority w:val="0"/>
    <w:rPr>
      <w:sz w:val="24"/>
    </w:rPr>
  </w:style>
  <w:style w:type="character" w:customStyle="1" w:styleId="103">
    <w:name w:val="proddescription"/>
    <w:basedOn w:val="46"/>
    <w:qFormat/>
    <w:uiPriority w:val="0"/>
  </w:style>
  <w:style w:type="character" w:customStyle="1" w:styleId="104">
    <w:name w:val="正文文本缩进 Char2"/>
    <w:semiHidden/>
    <w:qFormat/>
    <w:uiPriority w:val="99"/>
    <w:rPr>
      <w:rFonts w:ascii="Times New Roman" w:hAnsi="Times New Roman" w:eastAsia="宋体" w:cs="Times New Roman"/>
      <w:szCs w:val="24"/>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mode"/>
    <w:basedOn w:val="46"/>
    <w:qFormat/>
    <w:uiPriority w:val="0"/>
  </w:style>
  <w:style w:type="character" w:customStyle="1" w:styleId="107">
    <w:name w:val="标题 1 字符"/>
    <w:link w:val="3"/>
    <w:qFormat/>
    <w:uiPriority w:val="0"/>
    <w:rPr>
      <w:rFonts w:ascii="Times New Roman" w:hAnsi="Times New Roman" w:eastAsia="宋体" w:cs="Times New Roman"/>
      <w:b/>
      <w:bCs/>
      <w:kern w:val="44"/>
      <w:sz w:val="44"/>
      <w:szCs w:val="44"/>
    </w:rPr>
  </w:style>
  <w:style w:type="character" w:customStyle="1" w:styleId="108">
    <w:name w:val="font11"/>
    <w:qFormat/>
    <w:uiPriority w:val="0"/>
    <w:rPr>
      <w:rFonts w:hint="default" w:ascii="ˎ̥" w:hAnsi="ˎ̥"/>
    </w:rPr>
  </w:style>
  <w:style w:type="character" w:customStyle="1" w:styleId="109">
    <w:name w:val="纯文本 字符"/>
    <w:qFormat/>
    <w:uiPriority w:val="0"/>
    <w:rPr>
      <w:rFonts w:ascii="宋体" w:hAnsi="Courier New" w:eastAsia="宋体" w:cs="Times New Roman"/>
      <w:szCs w:val="20"/>
    </w:rPr>
  </w:style>
  <w:style w:type="character" w:customStyle="1" w:styleId="110">
    <w:name w:val="apple-converted-space"/>
    <w:qFormat/>
    <w:uiPriority w:val="0"/>
  </w:style>
  <w:style w:type="character" w:customStyle="1" w:styleId="111">
    <w:name w:val="第*章 Char"/>
    <w:qFormat/>
    <w:uiPriority w:val="0"/>
    <w:rPr>
      <w:rFonts w:ascii="Arial" w:hAnsi="Arial" w:eastAsia="黑体"/>
      <w:b/>
      <w:bCs/>
      <w:kern w:val="2"/>
      <w:sz w:val="32"/>
      <w:szCs w:val="32"/>
    </w:rPr>
  </w:style>
  <w:style w:type="character" w:customStyle="1" w:styleId="112">
    <w:name w:val="纯文本 Char1"/>
    <w:qFormat/>
    <w:uiPriority w:val="0"/>
    <w:rPr>
      <w:rFonts w:ascii="宋体" w:hAnsi="Courier New" w:cs="Courier New"/>
      <w:kern w:val="2"/>
      <w:sz w:val="21"/>
      <w:szCs w:val="21"/>
    </w:rPr>
  </w:style>
  <w:style w:type="character" w:customStyle="1" w:styleId="113">
    <w:name w:val="标题1"/>
    <w:basedOn w:val="46"/>
    <w:qFormat/>
    <w:uiPriority w:val="0"/>
  </w:style>
  <w:style w:type="character" w:customStyle="1" w:styleId="114">
    <w:name w:val="批注文字 Char1"/>
    <w:semiHidden/>
    <w:qFormat/>
    <w:uiPriority w:val="99"/>
    <w:rPr>
      <w:rFonts w:ascii="Times New Roman" w:hAnsi="Times New Roman" w:eastAsia="宋体" w:cs="Times New Roman"/>
      <w:szCs w:val="24"/>
    </w:rPr>
  </w:style>
  <w:style w:type="character" w:customStyle="1" w:styleId="115">
    <w:name w:val="正文文本 字符"/>
    <w:link w:val="2"/>
    <w:qFormat/>
    <w:uiPriority w:val="0"/>
    <w:rPr>
      <w:rFonts w:ascii="Times New Roman" w:hAnsi="Times New Roman" w:eastAsia="宋体" w:cs="Times New Roman"/>
      <w:szCs w:val="24"/>
    </w:rPr>
  </w:style>
  <w:style w:type="character" w:customStyle="1" w:styleId="116">
    <w:name w:val="正文文本缩进 字符"/>
    <w:link w:val="19"/>
    <w:qFormat/>
    <w:uiPriority w:val="0"/>
    <w:rPr>
      <w:rFonts w:ascii="Times New Roman" w:hAnsi="Times New Roman" w:eastAsia="宋体" w:cs="Times New Roman"/>
      <w:color w:val="000000"/>
      <w:sz w:val="24"/>
      <w:szCs w:val="24"/>
    </w:rPr>
  </w:style>
  <w:style w:type="character" w:customStyle="1" w:styleId="117">
    <w:name w:val="--规划正文 Char Char"/>
    <w:qFormat/>
    <w:uiPriority w:val="0"/>
    <w:rPr>
      <w:rFonts w:eastAsia="宋体"/>
      <w:kern w:val="2"/>
      <w:sz w:val="24"/>
      <w:szCs w:val="24"/>
      <w:lang w:val="en-US" w:eastAsia="zh-CN" w:bidi="ar-SA"/>
    </w:rPr>
  </w:style>
  <w:style w:type="character" w:customStyle="1" w:styleId="118">
    <w:name w:val="body text Char1"/>
    <w:qFormat/>
    <w:uiPriority w:val="0"/>
    <w:rPr>
      <w:rFonts w:eastAsia="宋体"/>
      <w:kern w:val="2"/>
      <w:sz w:val="21"/>
      <w:lang w:val="en-US" w:eastAsia="zh-CN" w:bidi="ar-SA"/>
    </w:rPr>
  </w:style>
  <w:style w:type="character" w:customStyle="1" w:styleId="119">
    <w:name w:val="页脚 Char Char"/>
    <w:qFormat/>
    <w:uiPriority w:val="0"/>
    <w:rPr>
      <w:rFonts w:ascii="Times New Roman" w:hAnsi="Times New Roman" w:eastAsia="宋体" w:cs="Times New Roman"/>
      <w:sz w:val="18"/>
      <w:szCs w:val="18"/>
    </w:rPr>
  </w:style>
  <w:style w:type="character" w:customStyle="1" w:styleId="120">
    <w:name w:val="缩进正文 Char"/>
    <w:link w:val="121"/>
    <w:qFormat/>
    <w:uiPriority w:val="0"/>
    <w:rPr>
      <w:rFonts w:eastAsia="仿宋_GB2312" w:cs="宋体"/>
      <w:sz w:val="28"/>
    </w:rPr>
  </w:style>
  <w:style w:type="paragraph" w:customStyle="1" w:styleId="121">
    <w:name w:val="缩进正文"/>
    <w:basedOn w:val="1"/>
    <w:link w:val="120"/>
    <w:qFormat/>
    <w:uiPriority w:val="0"/>
    <w:pPr>
      <w:ind w:firstLine="560" w:firstLineChars="200"/>
    </w:pPr>
    <w:rPr>
      <w:rFonts w:eastAsia="仿宋_GB2312" w:cs="宋体"/>
      <w:sz w:val="28"/>
    </w:rPr>
  </w:style>
  <w:style w:type="character" w:customStyle="1" w:styleId="122">
    <w:name w:val="font2"/>
    <w:basedOn w:val="46"/>
    <w:qFormat/>
    <w:uiPriority w:val="0"/>
  </w:style>
  <w:style w:type="character" w:customStyle="1" w:styleId="123">
    <w:name w:val="标题 2 字符"/>
    <w:link w:val="4"/>
    <w:qFormat/>
    <w:uiPriority w:val="0"/>
    <w:rPr>
      <w:rFonts w:ascii="宋体" w:hAnsi="宋体" w:eastAsia="宋体" w:cs="Times New Roman"/>
      <w:b/>
      <w:bCs/>
      <w:kern w:val="0"/>
      <w:sz w:val="24"/>
      <w:szCs w:val="20"/>
    </w:rPr>
  </w:style>
  <w:style w:type="character" w:customStyle="1" w:styleId="124">
    <w:name w:val="font41"/>
    <w:qFormat/>
    <w:uiPriority w:val="0"/>
    <w:rPr>
      <w:color w:val="000000"/>
      <w:spacing w:val="260"/>
      <w:sz w:val="18"/>
      <w:szCs w:val="18"/>
      <w:u w:val="none"/>
    </w:rPr>
  </w:style>
  <w:style w:type="character" w:customStyle="1" w:styleId="125">
    <w:name w:val="页脚 Char1"/>
    <w:semiHidden/>
    <w:qFormat/>
    <w:uiPriority w:val="99"/>
    <w:rPr>
      <w:kern w:val="2"/>
      <w:sz w:val="18"/>
      <w:szCs w:val="18"/>
    </w:rPr>
  </w:style>
  <w:style w:type="character" w:customStyle="1" w:styleId="126">
    <w:name w:val="font"/>
    <w:basedOn w:val="46"/>
    <w:qFormat/>
    <w:uiPriority w:val="0"/>
  </w:style>
  <w:style w:type="character" w:customStyle="1" w:styleId="127">
    <w:name w:val="纯文本 字符1"/>
    <w:link w:val="22"/>
    <w:qFormat/>
    <w:uiPriority w:val="0"/>
    <w:rPr>
      <w:rFonts w:ascii="Courier New" w:hAnsi="Courier New" w:eastAsia="宋体" w:cs="Times New Roman"/>
      <w:szCs w:val="20"/>
    </w:rPr>
  </w:style>
  <w:style w:type="character" w:customStyle="1" w:styleId="128">
    <w:name w:val="批注主题 Char Char"/>
    <w:qFormat/>
    <w:uiPriority w:val="0"/>
    <w:rPr>
      <w:rFonts w:ascii="Times New Roman" w:hAnsi="Times New Roman" w:eastAsia="宋体" w:cs="Times New Roman"/>
      <w:b/>
      <w:bCs/>
      <w:szCs w:val="24"/>
    </w:rPr>
  </w:style>
  <w:style w:type="character" w:customStyle="1" w:styleId="129">
    <w:name w:val="Char"/>
    <w:qFormat/>
    <w:uiPriority w:val="0"/>
    <w:rPr>
      <w:rFonts w:ascii="宋体" w:hAnsi="Courier New" w:eastAsia="宋体"/>
      <w:kern w:val="2"/>
      <w:sz w:val="21"/>
      <w:lang w:val="en-US" w:eastAsia="zh-CN" w:bidi="ar-SA"/>
    </w:rPr>
  </w:style>
  <w:style w:type="character" w:customStyle="1" w:styleId="130">
    <w:name w:val="样式2 Char Char"/>
    <w:link w:val="131"/>
    <w:qFormat/>
    <w:uiPriority w:val="0"/>
    <w:rPr>
      <w:szCs w:val="24"/>
    </w:rPr>
  </w:style>
  <w:style w:type="paragraph" w:customStyle="1" w:styleId="131">
    <w:name w:val="样式2"/>
    <w:basedOn w:val="17"/>
    <w:link w:val="130"/>
    <w:qFormat/>
    <w:uiPriority w:val="0"/>
    <w:rPr>
      <w:rFonts w:asciiTheme="minorHAnsi" w:hAnsiTheme="minorHAnsi" w:eastAsiaTheme="minorEastAsia" w:cstheme="minorBidi"/>
    </w:rPr>
  </w:style>
  <w:style w:type="character" w:customStyle="1" w:styleId="132">
    <w:name w:val="content1"/>
    <w:qFormat/>
    <w:uiPriority w:val="0"/>
    <w:rPr>
      <w:rFonts w:hint="default" w:ascii="??" w:hAnsi="??"/>
      <w:sz w:val="16"/>
      <w:szCs w:val="16"/>
      <w:u w:val="none"/>
    </w:rPr>
  </w:style>
  <w:style w:type="character" w:customStyle="1" w:styleId="133">
    <w:name w:val="样式1 Char Char Char Char"/>
    <w:link w:val="134"/>
    <w:qFormat/>
    <w:uiPriority w:val="0"/>
    <w:rPr>
      <w:sz w:val="24"/>
    </w:rPr>
  </w:style>
  <w:style w:type="paragraph" w:customStyle="1" w:styleId="134">
    <w:name w:val="样式1 Char Char"/>
    <w:basedOn w:val="1"/>
    <w:next w:val="1"/>
    <w:link w:val="133"/>
    <w:qFormat/>
    <w:uiPriority w:val="0"/>
    <w:pPr>
      <w:spacing w:line="360" w:lineRule="auto"/>
      <w:ind w:firstLine="516" w:firstLineChars="215"/>
    </w:pPr>
    <w:rPr>
      <w:sz w:val="24"/>
    </w:rPr>
  </w:style>
  <w:style w:type="character" w:customStyle="1" w:styleId="135">
    <w:name w:val="页眉 Char Char"/>
    <w:qFormat/>
    <w:uiPriority w:val="0"/>
    <w:rPr>
      <w:rFonts w:ascii="Times New Roman" w:hAnsi="Times New Roman" w:eastAsia="宋体" w:cs="Times New Roman"/>
      <w:sz w:val="18"/>
      <w:szCs w:val="18"/>
    </w:rPr>
  </w:style>
  <w:style w:type="character" w:customStyle="1" w:styleId="136">
    <w:name w:val="批注框文本 Char Char"/>
    <w:qFormat/>
    <w:uiPriority w:val="0"/>
    <w:rPr>
      <w:rFonts w:ascii="Times New Roman" w:hAnsi="Times New Roman" w:eastAsia="宋体" w:cs="Times New Roman"/>
      <w:sz w:val="18"/>
      <w:szCs w:val="18"/>
    </w:rPr>
  </w:style>
  <w:style w:type="character" w:customStyle="1" w:styleId="137">
    <w:name w:val="H4 Char2"/>
    <w:qFormat/>
    <w:uiPriority w:val="0"/>
    <w:rPr>
      <w:rFonts w:ascii="Arial" w:hAnsi="Arial" w:eastAsia="黑体"/>
      <w:b/>
      <w:bCs/>
      <w:kern w:val="2"/>
      <w:sz w:val="28"/>
      <w:szCs w:val="28"/>
      <w:lang w:val="en-US" w:eastAsia="zh-CN" w:bidi="ar-SA"/>
    </w:rPr>
  </w:style>
  <w:style w:type="character" w:customStyle="1" w:styleId="138">
    <w:name w:val="样式 小三 加粗"/>
    <w:qFormat/>
    <w:uiPriority w:val="0"/>
    <w:rPr>
      <w:rFonts w:eastAsia="宋体"/>
      <w:b/>
      <w:bCs/>
      <w:sz w:val="32"/>
    </w:rPr>
  </w:style>
  <w:style w:type="character" w:customStyle="1" w:styleId="139">
    <w:name w:val="页眉 Char1"/>
    <w:semiHidden/>
    <w:qFormat/>
    <w:uiPriority w:val="99"/>
    <w:rPr>
      <w:kern w:val="2"/>
      <w:sz w:val="18"/>
      <w:szCs w:val="18"/>
    </w:rPr>
  </w:style>
  <w:style w:type="character" w:customStyle="1" w:styleId="140">
    <w:name w:val="正文缩进2格 Char Char"/>
    <w:link w:val="141"/>
    <w:qFormat/>
    <w:uiPriority w:val="0"/>
    <w:rPr>
      <w:rFonts w:ascii="仿宋_GB2312" w:hAnsi="宋体" w:eastAsia="仿宋_GB2312"/>
      <w:sz w:val="28"/>
    </w:rPr>
  </w:style>
  <w:style w:type="paragraph" w:customStyle="1" w:styleId="141">
    <w:name w:val="正文缩进2格"/>
    <w:basedOn w:val="1"/>
    <w:link w:val="140"/>
    <w:qFormat/>
    <w:uiPriority w:val="0"/>
    <w:pPr>
      <w:spacing w:line="600" w:lineRule="exact"/>
      <w:ind w:firstLine="639" w:firstLineChars="206"/>
    </w:pPr>
    <w:rPr>
      <w:rFonts w:ascii="仿宋_GB2312" w:hAnsi="宋体" w:eastAsia="仿宋_GB2312"/>
      <w:sz w:val="28"/>
    </w:rPr>
  </w:style>
  <w:style w:type="character" w:customStyle="1" w:styleId="142">
    <w:name w:val="font31"/>
    <w:qFormat/>
    <w:uiPriority w:val="0"/>
    <w:rPr>
      <w:rFonts w:hint="eastAsia" w:ascii="宋体" w:hAnsi="宋体" w:eastAsia="宋体" w:cs="宋体"/>
      <w:b/>
      <w:color w:val="000000"/>
      <w:sz w:val="24"/>
      <w:szCs w:val="24"/>
      <w:u w:val="none"/>
    </w:rPr>
  </w:style>
  <w:style w:type="character" w:customStyle="1" w:styleId="143">
    <w:name w:val="纯文本 Char3"/>
    <w:semiHidden/>
    <w:qFormat/>
    <w:uiPriority w:val="99"/>
    <w:rPr>
      <w:rFonts w:ascii="宋体" w:hAnsi="Courier New" w:eastAsia="宋体" w:cs="Courier New"/>
      <w:szCs w:val="21"/>
    </w:rPr>
  </w:style>
  <w:style w:type="character" w:customStyle="1" w:styleId="144">
    <w:name w:val="正文首行缩进 Char1"/>
    <w:basedOn w:val="95"/>
    <w:semiHidden/>
    <w:qFormat/>
    <w:uiPriority w:val="99"/>
    <w:rPr>
      <w:rFonts w:ascii="Times New Roman" w:hAnsi="Times New Roman" w:eastAsia="宋体" w:cs="Times New Roman"/>
      <w:szCs w:val="24"/>
    </w:rPr>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文档结构图 Char1"/>
    <w:semiHidden/>
    <w:qFormat/>
    <w:uiPriority w:val="99"/>
    <w:rPr>
      <w:rFonts w:ascii="宋体" w:hAnsi="Times New Roman" w:eastAsia="宋体" w:cs="Times New Roman"/>
      <w:sz w:val="18"/>
      <w:szCs w:val="18"/>
    </w:rPr>
  </w:style>
  <w:style w:type="character" w:customStyle="1" w:styleId="147">
    <w:name w:val="章标题1 Char"/>
    <w:qFormat/>
    <w:uiPriority w:val="0"/>
    <w:rPr>
      <w:rFonts w:eastAsia="宋体"/>
      <w:b/>
      <w:bCs/>
      <w:kern w:val="2"/>
      <w:sz w:val="32"/>
      <w:szCs w:val="32"/>
      <w:lang w:val="en-US" w:eastAsia="zh-CN" w:bidi="ar-SA"/>
    </w:rPr>
  </w:style>
  <w:style w:type="character" w:customStyle="1" w:styleId="148">
    <w:name w:val="gray6"/>
    <w:basedOn w:val="46"/>
    <w:qFormat/>
    <w:uiPriority w:val="0"/>
  </w:style>
  <w:style w:type="character" w:customStyle="1" w:styleId="149">
    <w:name w:val="font01"/>
    <w:qFormat/>
    <w:uiPriority w:val="0"/>
    <w:rPr>
      <w:rFonts w:hint="eastAsia" w:ascii="宋体" w:hAnsi="宋体" w:eastAsia="宋体" w:cs="宋体"/>
      <w:color w:val="000000"/>
      <w:sz w:val="20"/>
      <w:szCs w:val="20"/>
      <w:u w:val="none"/>
    </w:rPr>
  </w:style>
  <w:style w:type="character" w:customStyle="1" w:styleId="150">
    <w:name w:val="--规划正文 Char1"/>
    <w:qFormat/>
    <w:uiPriority w:val="0"/>
    <w:rPr>
      <w:rFonts w:eastAsia="宋体"/>
      <w:kern w:val="2"/>
      <w:sz w:val="21"/>
      <w:lang w:val="en-US" w:eastAsia="zh-CN" w:bidi="ar-SA"/>
    </w:rPr>
  </w:style>
  <w:style w:type="character" w:customStyle="1" w:styleId="151">
    <w:name w:val="标题11"/>
    <w:basedOn w:val="46"/>
    <w:qFormat/>
    <w:uiPriority w:val="0"/>
  </w:style>
  <w:style w:type="character" w:customStyle="1" w:styleId="152">
    <w:name w:val="正文缩进 字符"/>
    <w:link w:val="9"/>
    <w:qFormat/>
    <w:uiPriority w:val="0"/>
    <w:rPr>
      <w:rFonts w:ascii="Times New Roman" w:hAnsi="Times New Roman" w:eastAsia="宋体" w:cs="Times New Roman"/>
      <w:szCs w:val="24"/>
    </w:rPr>
  </w:style>
  <w:style w:type="character" w:customStyle="1" w:styleId="153">
    <w:name w:val="批注文字 字符"/>
    <w:semiHidden/>
    <w:qFormat/>
    <w:uiPriority w:val="0"/>
    <w:rPr>
      <w:rFonts w:ascii="Times New Roman" w:hAnsi="Times New Roman" w:eastAsia="宋体" w:cs="Times New Roman"/>
      <w:szCs w:val="24"/>
    </w:rPr>
  </w:style>
  <w:style w:type="character" w:customStyle="1" w:styleId="154">
    <w:name w:val="正文文本 3 Char1"/>
    <w:semiHidden/>
    <w:qFormat/>
    <w:uiPriority w:val="99"/>
    <w:rPr>
      <w:rFonts w:ascii="Times New Roman" w:hAnsi="Times New Roman" w:eastAsia="宋体" w:cs="Times New Roman"/>
      <w:sz w:val="16"/>
      <w:szCs w:val="16"/>
    </w:rPr>
  </w:style>
  <w:style w:type="character" w:customStyle="1" w:styleId="155">
    <w:name w:val="列出段落 Char"/>
    <w:link w:val="156"/>
    <w:qFormat/>
    <w:uiPriority w:val="34"/>
    <w:rPr>
      <w:szCs w:val="24"/>
    </w:rPr>
  </w:style>
  <w:style w:type="paragraph" w:customStyle="1" w:styleId="156">
    <w:name w:val="列出段落1"/>
    <w:basedOn w:val="1"/>
    <w:link w:val="155"/>
    <w:qFormat/>
    <w:uiPriority w:val="34"/>
    <w:pPr>
      <w:ind w:firstLine="420" w:firstLineChars="200"/>
    </w:pPr>
    <w:rPr>
      <w:szCs w:val="24"/>
    </w:rPr>
  </w:style>
  <w:style w:type="character" w:customStyle="1" w:styleId="157">
    <w:name w:val="正文文本缩进 3 Char Char"/>
    <w:qFormat/>
    <w:uiPriority w:val="0"/>
    <w:rPr>
      <w:rFonts w:ascii="Times New Roman" w:hAnsi="Times New Roman" w:eastAsia="宋体" w:cs="Times New Roman"/>
      <w:szCs w:val="20"/>
    </w:rPr>
  </w:style>
  <w:style w:type="paragraph" w:customStyle="1" w:styleId="158">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59">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0">
    <w:name w:val="方案要点"/>
    <w:basedOn w:val="1"/>
    <w:qFormat/>
    <w:uiPriority w:val="0"/>
    <w:pPr>
      <w:tabs>
        <w:tab w:val="left" w:pos="420"/>
      </w:tabs>
      <w:spacing w:line="360" w:lineRule="auto"/>
      <w:ind w:left="420" w:hanging="420"/>
    </w:pPr>
    <w:rPr>
      <w:rFonts w:ascii="仿宋_GB2312" w:hAnsi="宋体" w:eastAsia="仿宋_GB2312" w:cs="Times New Roman"/>
      <w:color w:val="000000"/>
      <w:sz w:val="28"/>
      <w:szCs w:val="28"/>
    </w:rPr>
  </w:style>
  <w:style w:type="paragraph" w:customStyle="1" w:styleId="161">
    <w:name w:val="题注4"/>
    <w:basedOn w:val="1"/>
    <w:next w:val="14"/>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63">
    <w:name w:val="TOC 标题1"/>
    <w:basedOn w:val="3"/>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164">
    <w:name w:val="评价"/>
    <w:basedOn w:val="1"/>
    <w:qFormat/>
    <w:uiPriority w:val="0"/>
    <w:pPr>
      <w:spacing w:afterLines="20"/>
      <w:ind w:firstLine="1446" w:firstLineChars="200"/>
    </w:pPr>
    <w:rPr>
      <w:rFonts w:ascii="Calibri" w:hAnsi="Calibri" w:eastAsia="宋体" w:cs="Times New Roman"/>
      <w:sz w:val="24"/>
      <w:szCs w:val="24"/>
    </w:rPr>
  </w:style>
  <w:style w:type="paragraph" w:customStyle="1" w:styleId="16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66">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8">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169">
    <w:name w:val="Char Char"/>
    <w:basedOn w:val="1"/>
    <w:qFormat/>
    <w:uiPriority w:val="0"/>
    <w:rPr>
      <w:rFonts w:ascii="Tahoma" w:hAnsi="Tahoma" w:eastAsia="宋体" w:cs="Times New Roman"/>
      <w:sz w:val="24"/>
      <w:szCs w:val="20"/>
    </w:rPr>
  </w:style>
  <w:style w:type="paragraph" w:customStyle="1" w:styleId="17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71">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72">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73">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4">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75">
    <w:name w:val="列表段落1"/>
    <w:basedOn w:val="1"/>
    <w:qFormat/>
    <w:uiPriority w:val="0"/>
    <w:pPr>
      <w:ind w:firstLine="420" w:firstLineChars="200"/>
    </w:pPr>
    <w:rPr>
      <w:rFonts w:ascii="Times New Roman" w:hAnsi="Times New Roman" w:eastAsia="宋体" w:cs="Times New Roman"/>
      <w:szCs w:val="24"/>
    </w:rPr>
  </w:style>
  <w:style w:type="paragraph" w:customStyle="1" w:styleId="176">
    <w:name w:val="msolistparagraph"/>
    <w:basedOn w:val="1"/>
    <w:qFormat/>
    <w:uiPriority w:val="0"/>
    <w:pPr>
      <w:ind w:firstLine="420" w:firstLineChars="200"/>
    </w:pPr>
    <w:rPr>
      <w:rFonts w:ascii="Times New Roman" w:hAnsi="Times New Roman" w:eastAsia="宋体" w:cs="Times New Roman"/>
      <w:szCs w:val="24"/>
    </w:rPr>
  </w:style>
  <w:style w:type="paragraph" w:customStyle="1" w:styleId="177">
    <w:name w:val="RFI text from 3rd Level"/>
    <w:basedOn w:val="1"/>
    <w:qFormat/>
    <w:uiPriority w:val="0"/>
    <w:pPr>
      <w:widowControl/>
      <w:tabs>
        <w:tab w:val="left" w:pos="1080"/>
      </w:tabs>
      <w:spacing w:beforeLines="50" w:line="360" w:lineRule="auto"/>
    </w:pPr>
    <w:rPr>
      <w:rFonts w:ascii="Arial (W1)" w:hAnsi="Arial (W1)" w:eastAsia="宋体" w:cs="Times New Roman"/>
      <w:bCs/>
      <w:kern w:val="0"/>
      <w:sz w:val="24"/>
      <w:szCs w:val="24"/>
      <w:lang w:val="en-GB"/>
    </w:rPr>
  </w:style>
  <w:style w:type="paragraph" w:customStyle="1" w:styleId="178">
    <w:name w:val="z-窗体顶端1"/>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17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8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81">
    <w:name w:val="Char Char Char"/>
    <w:basedOn w:val="1"/>
    <w:qFormat/>
    <w:uiPriority w:val="0"/>
    <w:pPr>
      <w:spacing w:line="360" w:lineRule="auto"/>
      <w:ind w:firstLine="560" w:firstLineChars="200"/>
    </w:pPr>
    <w:rPr>
      <w:rFonts w:ascii="Times New Roman" w:hAnsi="Times New Roman" w:eastAsia="宋体" w:cs="Times New Roman"/>
      <w:szCs w:val="20"/>
    </w:rPr>
  </w:style>
  <w:style w:type="paragraph" w:customStyle="1" w:styleId="182">
    <w:name w:val="--规划-小标题"/>
    <w:basedOn w:val="1"/>
    <w:next w:val="183"/>
    <w:qFormat/>
    <w:uiPriority w:val="0"/>
    <w:pPr>
      <w:keepNext/>
      <w:keepLines/>
      <w:spacing w:line="360" w:lineRule="auto"/>
      <w:outlineLvl w:val="4"/>
    </w:pPr>
    <w:rPr>
      <w:rFonts w:ascii="Times New Roman" w:hAnsi="Times New Roman" w:eastAsia="黑体" w:cs="Times New Roman"/>
      <w:szCs w:val="24"/>
    </w:rPr>
  </w:style>
  <w:style w:type="paragraph" w:customStyle="1" w:styleId="183">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84">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85">
    <w:name w:val="--规划-题注"/>
    <w:basedOn w:val="1"/>
    <w:next w:val="183"/>
    <w:qFormat/>
    <w:uiPriority w:val="0"/>
    <w:pPr>
      <w:spacing w:line="360" w:lineRule="auto"/>
      <w:jc w:val="center"/>
    </w:pPr>
    <w:rPr>
      <w:rFonts w:ascii="Times New Roman" w:hAnsi="Times New Roman" w:eastAsia="黑体" w:cs="Times New Roman"/>
      <w:szCs w:val="24"/>
    </w:rPr>
  </w:style>
  <w:style w:type="paragraph" w:customStyle="1" w:styleId="186">
    <w:name w:val="USE 1"/>
    <w:basedOn w:val="1"/>
    <w:qFormat/>
    <w:uiPriority w:val="0"/>
    <w:pPr>
      <w:spacing w:line="200" w:lineRule="atLeast"/>
      <w:jc w:val="left"/>
    </w:pPr>
    <w:rPr>
      <w:rFonts w:ascii="宋体" w:hAnsi="宋体" w:eastAsia="宋体" w:cs="Times New Roman"/>
      <w:b/>
      <w:sz w:val="24"/>
      <w:szCs w:val="28"/>
    </w:rPr>
  </w:style>
  <w:style w:type="paragraph" w:customStyle="1" w:styleId="187">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88">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89">
    <w:name w:val="列出段落2"/>
    <w:basedOn w:val="1"/>
    <w:qFormat/>
    <w:uiPriority w:val="0"/>
    <w:pPr>
      <w:ind w:firstLine="420" w:firstLineChars="200"/>
    </w:pPr>
    <w:rPr>
      <w:rFonts w:ascii="Times New Roman" w:hAnsi="Times New Roman" w:eastAsia="宋体" w:cs="Times New Roman"/>
      <w:szCs w:val="24"/>
    </w:rPr>
  </w:style>
  <w:style w:type="paragraph" w:customStyle="1" w:styleId="190">
    <w:name w:val="z-窗体底端1"/>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191">
    <w:name w:val="表格字"/>
    <w:basedOn w:val="1"/>
    <w:qFormat/>
    <w:uiPriority w:val="0"/>
    <w:pPr>
      <w:adjustRightInd w:val="0"/>
      <w:jc w:val="center"/>
    </w:pPr>
    <w:rPr>
      <w:rFonts w:ascii="宋体" w:hAnsi="Times New Roman" w:eastAsia="宋体" w:cs="Times New Roman"/>
      <w:sz w:val="24"/>
      <w:szCs w:val="20"/>
    </w:rPr>
  </w:style>
  <w:style w:type="paragraph" w:customStyle="1" w:styleId="19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3">
    <w:name w:val="CM2"/>
    <w:basedOn w:val="194"/>
    <w:next w:val="194"/>
    <w:qFormat/>
    <w:uiPriority w:val="0"/>
    <w:pPr>
      <w:spacing w:line="200" w:lineRule="atLeast"/>
    </w:pPr>
    <w:rPr>
      <w:rFonts w:ascii="Arial" w:hAnsi="Arial" w:cs="Times New Roman"/>
      <w:color w:val="auto"/>
    </w:rPr>
  </w:style>
  <w:style w:type="paragraph" w:customStyle="1" w:styleId="19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2"/>
      <w:lang w:val="en-US" w:eastAsia="zh-CN" w:bidi="ar-SA"/>
    </w:rPr>
  </w:style>
  <w:style w:type="paragraph" w:customStyle="1" w:styleId="196">
    <w:name w:val="设计依据"/>
    <w:basedOn w:val="2"/>
    <w:qFormat/>
    <w:uiPriority w:val="0"/>
    <w:pPr>
      <w:tabs>
        <w:tab w:val="left" w:pos="1440"/>
      </w:tabs>
      <w:adjustRightInd w:val="0"/>
      <w:spacing w:after="0" w:line="360" w:lineRule="auto"/>
      <w:ind w:left="1440" w:hanging="420"/>
      <w:textAlignment w:val="baseline"/>
    </w:pPr>
    <w:rPr>
      <w:rFonts w:ascii="宋体" w:hAnsi="宋体"/>
      <w:bCs/>
      <w:kern w:val="0"/>
      <w:sz w:val="28"/>
      <w:szCs w:val="18"/>
    </w:rPr>
  </w:style>
  <w:style w:type="paragraph" w:customStyle="1" w:styleId="19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8">
    <w:name w:val="编号1"/>
    <w:basedOn w:val="1"/>
    <w:qFormat/>
    <w:uiPriority w:val="0"/>
    <w:pPr>
      <w:tabs>
        <w:tab w:val="left" w:pos="360"/>
      </w:tabs>
      <w:adjustRightInd w:val="0"/>
      <w:spacing w:line="300" w:lineRule="auto"/>
      <w:ind w:left="360" w:right="210" w:hanging="360"/>
      <w:textAlignment w:val="center"/>
    </w:pPr>
    <w:rPr>
      <w:rFonts w:ascii="宋体" w:hAnsi="宋体" w:eastAsia="宋体" w:cs="Times New Roman"/>
      <w:snapToGrid w:val="0"/>
      <w:spacing w:val="10"/>
      <w:kern w:val="24"/>
      <w:szCs w:val="24"/>
    </w:rPr>
  </w:style>
  <w:style w:type="paragraph" w:customStyle="1" w:styleId="199">
    <w:name w:val="保留正文"/>
    <w:basedOn w:val="2"/>
    <w:qFormat/>
    <w:uiPriority w:val="0"/>
    <w:pPr>
      <w:keepNext/>
      <w:spacing w:after="160"/>
    </w:pPr>
  </w:style>
  <w:style w:type="paragraph" w:customStyle="1" w:styleId="200">
    <w:name w:val="办公自动化专用标题"/>
    <w:basedOn w:val="40"/>
    <w:qFormat/>
    <w:uiPriority w:val="0"/>
    <w:pPr>
      <w:spacing w:line="560" w:lineRule="atLeast"/>
    </w:pPr>
    <w:rPr>
      <w:rFonts w:ascii="宋体" w:hAnsi="Arial"/>
      <w:bCs w:val="0"/>
      <w:sz w:val="44"/>
      <w:szCs w:val="20"/>
    </w:rPr>
  </w:style>
  <w:style w:type="paragraph" w:customStyle="1" w:styleId="201">
    <w:name w:val="段落正文"/>
    <w:basedOn w:val="22"/>
    <w:qFormat/>
    <w:uiPriority w:val="0"/>
    <w:pPr>
      <w:ind w:firstLine="560" w:firstLineChars="200"/>
    </w:pPr>
    <w:rPr>
      <w:rFonts w:ascii="宋体"/>
      <w:sz w:val="28"/>
    </w:rPr>
  </w:style>
  <w:style w:type="paragraph" w:customStyle="1" w:styleId="202">
    <w:name w:val="默认段落字体 Para Char"/>
    <w:basedOn w:val="1"/>
    <w:qFormat/>
    <w:uiPriority w:val="0"/>
    <w:rPr>
      <w:rFonts w:ascii="宋体" w:hAnsi="宋体" w:eastAsia="宋体" w:cs="Times New Roman"/>
      <w:b/>
      <w:sz w:val="28"/>
      <w:szCs w:val="28"/>
    </w:rPr>
  </w:style>
  <w:style w:type="paragraph" w:customStyle="1" w:styleId="20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204">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205">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08">
    <w:name w:val="TOC 标题11"/>
    <w:basedOn w:val="3"/>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209">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210">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paragraph" w:customStyle="1" w:styleId="211">
    <w:name w:val="--规划-表格-居中"/>
    <w:basedOn w:val="183"/>
    <w:qFormat/>
    <w:uiPriority w:val="0"/>
    <w:pPr>
      <w:spacing w:line="240" w:lineRule="auto"/>
      <w:ind w:firstLine="0" w:firstLineChars="0"/>
      <w:jc w:val="center"/>
    </w:pPr>
    <w:rPr>
      <w:sz w:val="20"/>
    </w:rPr>
  </w:style>
  <w:style w:type="paragraph" w:customStyle="1" w:styleId="21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13">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214">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5">
    <w:name w:val="9"/>
    <w:basedOn w:val="1"/>
    <w:next w:val="9"/>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paragraph" w:customStyle="1" w:styleId="2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7">
    <w:name w:val="列表段落11"/>
    <w:basedOn w:val="1"/>
    <w:qFormat/>
    <w:uiPriority w:val="34"/>
    <w:pPr>
      <w:ind w:firstLine="420" w:firstLineChars="200"/>
    </w:pPr>
    <w:rPr>
      <w:rFonts w:ascii="Times New Roman" w:hAnsi="Times New Roman" w:eastAsia="宋体" w:cs="Times New Roman"/>
      <w:szCs w:val="20"/>
    </w:rPr>
  </w:style>
  <w:style w:type="paragraph" w:customStyle="1" w:styleId="218">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paragraph" w:customStyle="1" w:styleId="21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20">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221">
    <w:name w:val="p0"/>
    <w:basedOn w:val="1"/>
    <w:qFormat/>
    <w:uiPriority w:val="0"/>
    <w:pPr>
      <w:widowControl/>
    </w:pPr>
    <w:rPr>
      <w:rFonts w:ascii="宋体" w:hAnsi="宋体" w:eastAsia="宋体" w:cs="宋体"/>
      <w:kern w:val="0"/>
      <w:szCs w:val="21"/>
    </w:rPr>
  </w:style>
  <w:style w:type="paragraph" w:customStyle="1" w:styleId="222">
    <w:name w:val="Char Char2"/>
    <w:basedOn w:val="1"/>
    <w:qFormat/>
    <w:uiPriority w:val="0"/>
    <w:rPr>
      <w:rFonts w:ascii="宋体" w:hAnsi="宋体" w:eastAsia="宋体" w:cs="Times New Roman"/>
      <w:b/>
      <w:sz w:val="28"/>
      <w:szCs w:val="28"/>
    </w:rPr>
  </w:style>
  <w:style w:type="paragraph" w:customStyle="1" w:styleId="22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25">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paragraph" w:customStyle="1" w:styleId="226">
    <w:name w:val="文档正文"/>
    <w:basedOn w:val="1"/>
    <w:qFormat/>
    <w:uiPriority w:val="99"/>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22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2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9">
    <w:name w:val="--规划-表格-居左"/>
    <w:basedOn w:val="183"/>
    <w:qFormat/>
    <w:uiPriority w:val="0"/>
    <w:pPr>
      <w:spacing w:line="240" w:lineRule="auto"/>
      <w:ind w:firstLine="0" w:firstLineChars="0"/>
    </w:pPr>
    <w:rPr>
      <w:sz w:val="20"/>
    </w:rPr>
  </w:style>
  <w:style w:type="paragraph" w:customStyle="1" w:styleId="230">
    <w:name w:val="p19"/>
    <w:basedOn w:val="1"/>
    <w:qFormat/>
    <w:uiPriority w:val="0"/>
    <w:pPr>
      <w:spacing w:line="30" w:lineRule="atLeast"/>
      <w:jc w:val="left"/>
    </w:pPr>
    <w:rPr>
      <w:rFonts w:ascii="黑体" w:hAnsi="宋体" w:eastAsia="黑体" w:cs="黑体"/>
      <w:kern w:val="0"/>
      <w:sz w:val="28"/>
      <w:szCs w:val="28"/>
    </w:rPr>
  </w:style>
  <w:style w:type="paragraph" w:customStyle="1" w:styleId="231">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33">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234">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paragraph" w:customStyle="1" w:styleId="235">
    <w:name w:val="inf"/>
    <w:basedOn w:val="1"/>
    <w:qFormat/>
    <w:uiPriority w:val="0"/>
    <w:pPr>
      <w:widowControl/>
      <w:spacing w:before="100" w:beforeAutospacing="1" w:after="100" w:afterAutospacing="1" w:line="320" w:lineRule="atLeast"/>
      <w:jc w:val="left"/>
    </w:pPr>
    <w:rPr>
      <w:rFonts w:ascii="宋体" w:hAnsi="宋体" w:eastAsia="宋体" w:cs="宋体"/>
      <w:color w:val="000000"/>
      <w:kern w:val="0"/>
      <w:sz w:val="20"/>
      <w:szCs w:val="20"/>
    </w:rPr>
  </w:style>
  <w:style w:type="paragraph" w:customStyle="1" w:styleId="236">
    <w:name w:val="Char Char Char Char Char"/>
    <w:basedOn w:val="1"/>
    <w:qFormat/>
    <w:uiPriority w:val="0"/>
    <w:rPr>
      <w:rFonts w:ascii="Tahoma" w:hAnsi="Tahoma" w:eastAsia="宋体" w:cs="Times New Roman"/>
      <w:sz w:val="24"/>
      <w:szCs w:val="20"/>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Char1"/>
    <w:basedOn w:val="1"/>
    <w:qFormat/>
    <w:uiPriority w:val="0"/>
    <w:rPr>
      <w:rFonts w:ascii="仿宋_GB2312" w:hAnsi="Times New Roman" w:eastAsia="仿宋_GB2312" w:cs="Times New Roman"/>
      <w:b/>
      <w:sz w:val="32"/>
      <w:szCs w:val="32"/>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p8"/>
    <w:basedOn w:val="1"/>
    <w:qFormat/>
    <w:uiPriority w:val="0"/>
    <w:pPr>
      <w:spacing w:line="30" w:lineRule="atLeast"/>
      <w:jc w:val="left"/>
    </w:pPr>
    <w:rPr>
      <w:rFonts w:hint="eastAsia" w:ascii="宋体" w:hAnsi="宋体" w:eastAsia="宋体" w:cs="宋体"/>
      <w:kern w:val="0"/>
      <w:szCs w:val="21"/>
    </w:rPr>
  </w:style>
  <w:style w:type="paragraph" w:customStyle="1" w:styleId="241">
    <w:name w:val="无间隔1"/>
    <w:qFormat/>
    <w:uiPriority w:val="0"/>
    <w:rPr>
      <w:rFonts w:ascii="Times New Roman" w:hAnsi="Times New Roman" w:eastAsia="宋体" w:cs="Times New Roman"/>
      <w:sz w:val="24"/>
      <w:szCs w:val="24"/>
      <w:lang w:val="en-US" w:eastAsia="zh-CN" w:bidi="ar-SA"/>
    </w:rPr>
  </w:style>
  <w:style w:type="paragraph" w:customStyle="1" w:styleId="24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43">
    <w:name w:val="--规划-图和表"/>
    <w:next w:val="183"/>
    <w:qFormat/>
    <w:uiPriority w:val="0"/>
    <w:pPr>
      <w:jc w:val="center"/>
    </w:pPr>
    <w:rPr>
      <w:rFonts w:ascii="Times New Roman" w:hAnsi="Times New Roman" w:eastAsia="宋体" w:cs="Times New Roman"/>
      <w:kern w:val="2"/>
      <w:sz w:val="21"/>
      <w:lang w:val="en-US" w:eastAsia="zh-CN" w:bidi="ar-SA"/>
    </w:rPr>
  </w:style>
  <w:style w:type="paragraph" w:customStyle="1" w:styleId="244">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5">
    <w:name w:val="样式 标题 2 + 段前: 13 磅 段后: 13 磅 行距: 单倍行距"/>
    <w:basedOn w:val="4"/>
    <w:qFormat/>
    <w:uiPriority w:val="0"/>
    <w:pPr>
      <w:adjustRightInd/>
      <w:jc w:val="both"/>
      <w:textAlignment w:val="auto"/>
    </w:pPr>
    <w:rPr>
      <w:rFonts w:ascii="Cambria" w:hAnsi="Cambria" w:cs="宋体"/>
      <w:kern w:val="2"/>
      <w:sz w:val="32"/>
    </w:rPr>
  </w:style>
  <w:style w:type="paragraph" w:customStyle="1" w:styleId="246">
    <w:name w:val="样式41"/>
    <w:basedOn w:val="1"/>
    <w:qFormat/>
    <w:uiPriority w:val="0"/>
    <w:pPr>
      <w:tabs>
        <w:tab w:val="left" w:pos="945"/>
        <w:tab w:val="left" w:pos="2040"/>
      </w:tabs>
      <w:spacing w:line="360" w:lineRule="auto"/>
      <w:ind w:left="2040" w:hanging="360"/>
    </w:pPr>
    <w:rPr>
      <w:rFonts w:ascii="Times New Roman" w:hAnsi="Times New Roman" w:eastAsia="宋体" w:cs="Times New Roman"/>
      <w:b/>
      <w:color w:val="000000"/>
      <w:sz w:val="24"/>
      <w:szCs w:val="20"/>
    </w:rPr>
  </w:style>
  <w:style w:type="paragraph" w:customStyle="1" w:styleId="247">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8">
    <w:name w:val="正文文字缩进项目"/>
    <w:basedOn w:val="19"/>
    <w:qFormat/>
    <w:uiPriority w:val="0"/>
    <w:pPr>
      <w:tabs>
        <w:tab w:val="left" w:pos="840"/>
      </w:tabs>
      <w:spacing w:after="120"/>
      <w:ind w:left="840"/>
    </w:pPr>
    <w:rPr>
      <w:rFonts w:ascii="Tahoma" w:hAnsi="Tahoma"/>
      <w:color w:val="auto"/>
      <w:sz w:val="22"/>
      <w:szCs w:val="20"/>
    </w:rPr>
  </w:style>
  <w:style w:type="paragraph" w:customStyle="1" w:styleId="249">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50">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251">
    <w:name w:val="样式3"/>
    <w:basedOn w:val="3"/>
    <w:qFormat/>
    <w:uiPriority w:val="0"/>
    <w:pPr>
      <w:tabs>
        <w:tab w:val="left" w:pos="1290"/>
      </w:tabs>
      <w:spacing w:before="240" w:after="240" w:line="480" w:lineRule="auto"/>
      <w:ind w:left="630" w:right="210" w:rightChars="100" w:hanging="420"/>
      <w:jc w:val="left"/>
    </w:pPr>
    <w:rPr>
      <w:rFonts w:eastAsia="黑体"/>
      <w:sz w:val="32"/>
    </w:rPr>
  </w:style>
  <w:style w:type="paragraph" w:customStyle="1" w:styleId="252">
    <w:name w:val="6"/>
    <w:basedOn w:val="159"/>
    <w:qFormat/>
    <w:uiPriority w:val="0"/>
    <w:pPr>
      <w:spacing w:line="270" w:lineRule="atLeast"/>
      <w:jc w:val="both"/>
    </w:pPr>
    <w:rPr>
      <w:b w:val="0"/>
      <w:bCs w:val="0"/>
    </w:rPr>
  </w:style>
  <w:style w:type="paragraph" w:customStyle="1" w:styleId="253">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paragraph" w:customStyle="1" w:styleId="25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paragraph" w:customStyle="1" w:styleId="256">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257">
    <w:name w:val="p3"/>
    <w:basedOn w:val="1"/>
    <w:qFormat/>
    <w:uiPriority w:val="0"/>
    <w:pPr>
      <w:spacing w:line="30" w:lineRule="atLeast"/>
      <w:jc w:val="center"/>
    </w:pPr>
    <w:rPr>
      <w:rFonts w:hint="eastAsia" w:ascii="宋体" w:hAnsi="宋体" w:eastAsia="宋体" w:cs="宋体"/>
      <w:kern w:val="0"/>
      <w:sz w:val="36"/>
      <w:szCs w:val="36"/>
    </w:rPr>
  </w:style>
  <w:style w:type="paragraph" w:customStyle="1" w:styleId="258">
    <w:name w:val="题注5"/>
    <w:basedOn w:val="1"/>
    <w:next w:val="14"/>
    <w:qFormat/>
    <w:uiPriority w:val="0"/>
    <w:pPr>
      <w:jc w:val="center"/>
    </w:pPr>
    <w:rPr>
      <w:rFonts w:ascii="Times New Roman" w:hAnsi="Times New Roman" w:eastAsia="宋体" w:cs="Times New Roman"/>
      <w:b/>
      <w:color w:val="000000"/>
      <w:sz w:val="24"/>
      <w:szCs w:val="21"/>
    </w:rPr>
  </w:style>
  <w:style w:type="paragraph" w:customStyle="1" w:styleId="2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60">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261">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62">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263">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
    <w:name w:val="无间隔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65">
    <w:name w:val="列出段落3"/>
    <w:basedOn w:val="1"/>
    <w:qFormat/>
    <w:uiPriority w:val="0"/>
    <w:pPr>
      <w:ind w:firstLine="420" w:firstLineChars="200"/>
    </w:pPr>
    <w:rPr>
      <w:rFonts w:ascii="Times New Roman" w:hAnsi="Times New Roman" w:eastAsia="宋体" w:cs="Times New Roman"/>
      <w:szCs w:val="20"/>
    </w:rPr>
  </w:style>
  <w:style w:type="paragraph" w:styleId="266">
    <w:name w:val="List Paragraph"/>
    <w:basedOn w:val="1"/>
    <w:unhideWhenUsed/>
    <w:qFormat/>
    <w:uiPriority w:val="0"/>
    <w:pPr>
      <w:ind w:firstLine="420" w:firstLineChars="200"/>
    </w:pPr>
    <w:rPr>
      <w:rFonts w:ascii="Times New Roman" w:hAnsi="Times New Roman" w:eastAsia="宋体" w:cs="Times New Roman"/>
      <w:szCs w:val="24"/>
    </w:rPr>
  </w:style>
  <w:style w:type="paragraph" w:customStyle="1" w:styleId="26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8">
    <w:name w:val="正文缩进2"/>
    <w:basedOn w:val="1"/>
    <w:qFormat/>
    <w:uiPriority w:val="0"/>
    <w:pPr>
      <w:ind w:firstLine="420" w:firstLineChars="200"/>
    </w:pPr>
    <w:rPr>
      <w:rFonts w:ascii="Times New Roman" w:hAnsi="Times New Roman" w:eastAsia="宋体" w:cs="Times New Roman"/>
      <w:szCs w:val="24"/>
    </w:rPr>
  </w:style>
  <w:style w:type="paragraph" w:customStyle="1" w:styleId="269">
    <w:name w:val="样式 小四 加粗 黑色 段前: 7.8 磅 段后: 7.8 磅 行距: 多倍行距 1.25 字行"/>
    <w:qFormat/>
    <w:uiPriority w:val="0"/>
    <w:pPr>
      <w:widowControl w:val="0"/>
      <w:adjustRightInd w:val="0"/>
      <w:snapToGrid w:val="0"/>
      <w:spacing w:before="156" w:after="50" w:line="300" w:lineRule="auto"/>
      <w:jc w:val="both"/>
    </w:pPr>
    <w:rPr>
      <w:rFonts w:ascii="Times New Roman" w:hAnsi="Times New Roman" w:eastAsia="宋体" w:cs="宋体"/>
      <w:bCs/>
      <w:color w:val="000000"/>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77</Pages>
  <Words>7958</Words>
  <Characters>45363</Characters>
  <Lines>378</Lines>
  <Paragraphs>106</Paragraphs>
  <TotalTime>4</TotalTime>
  <ScaleCrop>false</ScaleCrop>
  <LinksUpToDate>false</LinksUpToDate>
  <CharactersWithSpaces>53215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2023-05-11T17:36:00Z</dcterms:created>
  <dc:creator>Administrator</dc:creator>
  <cp:lastModifiedBy>leijie</cp:lastModifiedBy>
  <cp:lastPrinted>2023-12-29T07:22:00Z</cp:lastPrinted>
  <dcterms:modified xsi:type="dcterms:W3CDTF">2024-07-15T10:49:11Z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05A382B6412343EFACD10FDC0CD37F43_13</vt:lpwstr>
  </property>
</Properties>
</file>