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color w:val="000000"/>
          <w:sz w:val="44"/>
          <w:szCs w:val="44"/>
          <w:lang w:bidi="ar"/>
        </w:rPr>
        <w:t>瑞璟湾居</w:t>
      </w:r>
      <w:r>
        <w:rPr>
          <w:rFonts w:hint="eastAsia" w:ascii="方正小标宋简体" w:hAnsi="方正小标宋简体" w:eastAsia="方正小标宋简体" w:cs="方正小标宋简体"/>
          <w:bCs/>
          <w:sz w:val="44"/>
          <w:szCs w:val="44"/>
        </w:rPr>
        <w:t>项目安居型商品房选房交通指引</w:t>
      </w:r>
    </w:p>
    <w:p>
      <w:pPr>
        <w:spacing w:line="560" w:lineRule="exact"/>
        <w:jc w:val="center"/>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Cs/>
          <w:sz w:val="44"/>
          <w:szCs w:val="44"/>
        </w:rPr>
        <w:t>和注意事项</w:t>
      </w:r>
    </w:p>
    <w:p>
      <w:pPr>
        <w:spacing w:line="560" w:lineRule="exact"/>
        <w:jc w:val="center"/>
        <w:rPr>
          <w:rFonts w:hint="eastAsia" w:ascii="方正小标宋简体" w:hAnsi="方正小标宋简体" w:eastAsia="方正小标宋简体" w:cs="方正小标宋简体"/>
          <w:bCs/>
          <w:sz w:val="44"/>
          <w:szCs w:val="44"/>
        </w:rPr>
      </w:pPr>
    </w:p>
    <w:p>
      <w:pPr>
        <w:spacing w:line="560" w:lineRule="exact"/>
        <w:ind w:firstLine="641"/>
        <w:rPr>
          <w:rFonts w:hint="eastAsia" w:ascii="仿宋_GB2312" w:hAnsi="仿宋_GB2312" w:eastAsia="仿宋_GB2312" w:cs="仿宋_GB2312"/>
          <w:sz w:val="32"/>
          <w:szCs w:val="32"/>
          <w:highlight w:val="yellow"/>
        </w:rPr>
      </w:pPr>
      <w:r>
        <w:rPr>
          <w:rFonts w:hint="eastAsia" w:ascii="仿宋_GB2312" w:hAnsi="仿宋_GB2312" w:eastAsia="仿宋_GB2312" w:cs="仿宋_GB2312"/>
          <w:sz w:val="32"/>
          <w:szCs w:val="32"/>
          <w:lang w:eastAsia="zh-Hans"/>
        </w:rPr>
        <w:t>选房</w:t>
      </w:r>
      <w:r>
        <w:rPr>
          <w:rFonts w:hint="eastAsia" w:ascii="仿宋_GB2312" w:hAnsi="仿宋_GB2312" w:eastAsia="仿宋_GB2312" w:cs="仿宋_GB2312"/>
          <w:sz w:val="32"/>
          <w:szCs w:val="32"/>
        </w:rPr>
        <w:t>现场提供</w:t>
      </w:r>
      <w:r>
        <w:rPr>
          <w:rFonts w:hint="eastAsia" w:ascii="仿宋_GB2312" w:hAnsi="仿宋_GB2312" w:eastAsia="仿宋_GB2312" w:cs="仿宋_GB2312"/>
          <w:sz w:val="32"/>
          <w:szCs w:val="32"/>
          <w:lang w:eastAsia="zh-Hans"/>
        </w:rPr>
        <w:t>少量</w:t>
      </w:r>
      <w:r>
        <w:rPr>
          <w:rFonts w:hint="eastAsia" w:ascii="仿宋_GB2312" w:hAnsi="仿宋_GB2312" w:eastAsia="仿宋_GB2312" w:cs="仿宋_GB2312"/>
          <w:sz w:val="32"/>
          <w:szCs w:val="32"/>
        </w:rPr>
        <w:t>停车位，为环保低碳，建议绿色出行。请</w:t>
      </w:r>
      <w:r>
        <w:rPr>
          <w:rFonts w:hint="eastAsia" w:ascii="仿宋_GB2312" w:hAnsi="仿宋_GB2312" w:eastAsia="仿宋_GB2312" w:cs="仿宋_GB2312"/>
          <w:sz w:val="32"/>
          <w:szCs w:val="32"/>
          <w:lang w:eastAsia="zh-Hans"/>
        </w:rPr>
        <w:t>选房</w:t>
      </w:r>
      <w:r>
        <w:rPr>
          <w:rFonts w:hint="eastAsia" w:ascii="仿宋_GB2312" w:hAnsi="仿宋_GB2312" w:eastAsia="仿宋_GB2312" w:cs="仿宋_GB2312"/>
          <w:sz w:val="32"/>
          <w:szCs w:val="32"/>
        </w:rPr>
        <w:t>家庭认真仔细阅读以下事项：</w:t>
      </w:r>
    </w:p>
    <w:p>
      <w:pPr>
        <w:spacing w:line="560" w:lineRule="exact"/>
        <w:ind w:firstLine="641"/>
        <w:rPr>
          <w:rFonts w:hint="eastAsia" w:ascii="黑体" w:hAnsi="黑体" w:eastAsia="黑体" w:cs="黑体"/>
          <w:sz w:val="32"/>
          <w:szCs w:val="32"/>
        </w:rPr>
      </w:pPr>
      <w:r>
        <w:rPr>
          <w:rFonts w:hint="eastAsia" w:ascii="黑体" w:hAnsi="黑体" w:eastAsia="黑体" w:cs="黑体"/>
          <w:sz w:val="32"/>
          <w:szCs w:val="32"/>
        </w:rPr>
        <w:t>一、选房交通指引</w:t>
      </w:r>
    </w:p>
    <w:p>
      <w:pPr>
        <w:spacing w:line="560" w:lineRule="exact"/>
        <w:ind w:firstLine="64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选房家庭可选择以下任意一种形式前往</w:t>
      </w:r>
      <w:r>
        <w:rPr>
          <w:rFonts w:hint="eastAsia" w:ascii="仿宋_GB2312" w:hAnsi="仿宋_GB2312" w:eastAsia="仿宋_GB2312" w:cs="仿宋_GB2312"/>
          <w:sz w:val="32"/>
          <w:szCs w:val="32"/>
          <w:lang w:eastAsia="zh-Hans"/>
        </w:rPr>
        <w:t>选房</w:t>
      </w:r>
      <w:r>
        <w:rPr>
          <w:rFonts w:hint="eastAsia" w:ascii="仿宋_GB2312" w:hAnsi="仿宋_GB2312" w:eastAsia="仿宋_GB2312" w:cs="仿宋_GB2312"/>
          <w:sz w:val="32"/>
          <w:szCs w:val="32"/>
        </w:rPr>
        <w:t>现场</w:t>
      </w:r>
      <w:bookmarkStart w:id="0" w:name="_Hlk115361940"/>
      <w:r>
        <w:rPr>
          <w:rFonts w:hint="eastAsia" w:ascii="仿宋_GB2312" w:hAnsi="仿宋_GB2312" w:eastAsia="仿宋_GB2312" w:cs="仿宋_GB2312"/>
          <w:sz w:val="32"/>
          <w:szCs w:val="32"/>
        </w:rPr>
        <w:t>：</w:t>
      </w:r>
    </w:p>
    <w:p>
      <w:pPr>
        <w:spacing w:line="560" w:lineRule="exact"/>
        <w:ind w:firstLine="641"/>
        <w:rPr>
          <w:rFonts w:hint="eastAsia" w:ascii="仿宋_GB2312" w:hAnsi="仿宋_GB2312" w:eastAsia="仿宋_GB2312" w:cs="仿宋_GB2312"/>
          <w:sz w:val="32"/>
          <w:szCs w:val="32"/>
          <w:lang w:bidi="ar"/>
        </w:rPr>
      </w:pPr>
      <w:r>
        <w:rPr>
          <w:rFonts w:hint="eastAsia" w:ascii="仿宋_GB2312" w:hAnsi="仿宋_GB2312" w:eastAsia="仿宋_GB2312" w:cs="仿宋_GB2312"/>
          <w:b/>
          <w:bCs/>
          <w:sz w:val="32"/>
          <w:szCs w:val="32"/>
        </w:rPr>
        <w:t> A队列（两房）和B队列（三房）选房地址：</w:t>
      </w:r>
      <w:r>
        <w:rPr>
          <w:rFonts w:hint="eastAsia" w:ascii="仿宋_GB2312" w:hAnsi="仿宋_GB2312" w:eastAsia="仿宋_GB2312" w:cs="仿宋_GB2312"/>
          <w:sz w:val="32"/>
          <w:szCs w:val="32"/>
          <w:lang w:bidi="ar"/>
        </w:rPr>
        <w:t>深圳市宝安区西乡街道新安四路198号宝立方中心4楼多功能演播厅</w:t>
      </w:r>
      <w:bookmarkStart w:id="4" w:name="_GoBack"/>
      <w:bookmarkEnd w:id="4"/>
      <w:r>
        <w:rPr>
          <w:rFonts w:hint="eastAsia" w:ascii="仿宋_GB2312" w:hAnsi="仿宋_GB2312" w:eastAsia="仿宋_GB2312" w:cs="仿宋_GB2312"/>
          <w:sz w:val="32"/>
          <w:szCs w:val="32"/>
          <w:lang w:bidi="ar"/>
        </w:rPr>
        <w:t>。</w:t>
      </w:r>
    </w:p>
    <w:bookmarkEnd w:id="0"/>
    <w:p>
      <w:pPr>
        <w:spacing w:line="560" w:lineRule="exact"/>
        <w:ind w:firstLine="64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Hans"/>
        </w:rPr>
        <w:t>定位地址：宝立方中心。</w:t>
      </w:r>
    </w:p>
    <w:p>
      <w:pPr>
        <w:spacing w:line="560" w:lineRule="exact"/>
        <w:ind w:firstLine="64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（一）乘坐地铁</w:t>
      </w:r>
    </w:p>
    <w:p>
      <w:pPr>
        <w:spacing w:line="560" w:lineRule="atLeast"/>
        <w:ind w:firstLine="64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4130040</wp:posOffset>
                </wp:positionH>
                <wp:positionV relativeFrom="paragraph">
                  <wp:posOffset>1807845</wp:posOffset>
                </wp:positionV>
                <wp:extent cx="1261110" cy="424180"/>
                <wp:effectExtent l="0" t="304800" r="0" b="319405"/>
                <wp:wrapNone/>
                <wp:docPr id="2015662767" name="矩形 11"/>
                <wp:cNvGraphicFramePr/>
                <a:graphic xmlns:a="http://schemas.openxmlformats.org/drawingml/2006/main">
                  <a:graphicData uri="http://schemas.microsoft.com/office/word/2010/wordprocessingShape">
                    <wps:wsp>
                      <wps:cNvSpPr/>
                      <wps:spPr>
                        <a:xfrm rot="2625443">
                          <a:off x="0" y="0"/>
                          <a:ext cx="1260845" cy="42416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hint="eastAsia" w:ascii="华文仿宋" w:hAnsi="华文仿宋" w:eastAsia="华文仿宋"/>
                                <w:b/>
                                <w:bCs/>
                                <w:color w:val="C00000"/>
                                <w:sz w:val="28"/>
                                <w:szCs w:val="32"/>
                              </w:rPr>
                            </w:pPr>
                            <w:r>
                              <w:rPr>
                                <w:rFonts w:hint="eastAsia" w:ascii="华文仿宋" w:hAnsi="华文仿宋" w:eastAsia="华文仿宋"/>
                                <w:b/>
                                <w:bCs/>
                                <w:color w:val="C00000"/>
                                <w:sz w:val="28"/>
                                <w:szCs w:val="32"/>
                              </w:rPr>
                              <w:t>步行约400米</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11" o:spid="_x0000_s1026" o:spt="1" style="position:absolute;left:0pt;margin-left:325.2pt;margin-top:142.35pt;height:33.4pt;width:99.3pt;rotation:2867684f;z-index:251663360;v-text-anchor:middle;mso-width-relative:page;mso-height-relative:page;" filled="f" stroked="f" coordsize="21600,21600" o:gfxdata="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BYJoED2wAAAAsBAAAPAAAAAAAAAAEAIAAAADgAAABkcnMv&#10;ZG93bnJldi54bWxQSwECFAAUAAAACACHTuJA2Vn3EVwCAACGBAAADgAAAAAAAAABACAAAABAAQAA&#10;ZHJzL2Uyb0RvYy54bWxQSwUGAAAAAAYABgBZAQAADgYAAAAA&#10;">
                <v:fill on="f" focussize="0,0"/>
                <v:stroke on="f" weight="1pt" miterlimit="8" joinstyle="miter"/>
                <v:imagedata o:title=""/>
                <o:lock v:ext="edit" aspectratio="f"/>
                <v:textbox>
                  <w:txbxContent>
                    <w:p>
                      <w:pPr>
                        <w:jc w:val="center"/>
                        <w:rPr>
                          <w:rFonts w:hint="eastAsia" w:ascii="华文仿宋" w:hAnsi="华文仿宋" w:eastAsia="华文仿宋"/>
                          <w:b/>
                          <w:bCs/>
                          <w:color w:val="C00000"/>
                          <w:sz w:val="28"/>
                          <w:szCs w:val="32"/>
                        </w:rPr>
                      </w:pPr>
                      <w:r>
                        <w:rPr>
                          <w:rFonts w:hint="eastAsia" w:ascii="华文仿宋" w:hAnsi="华文仿宋" w:eastAsia="华文仿宋"/>
                          <w:b/>
                          <w:bCs/>
                          <w:color w:val="C00000"/>
                          <w:sz w:val="28"/>
                          <w:szCs w:val="32"/>
                        </w:rPr>
                        <w:t>步行约400米</w:t>
                      </w:r>
                    </w:p>
                  </w:txbxContent>
                </v:textbox>
              </v: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2336" behindDoc="0" locked="0" layoutInCell="1" allowOverlap="1">
                <wp:simplePos x="0" y="0"/>
                <wp:positionH relativeFrom="margin">
                  <wp:posOffset>4640580</wp:posOffset>
                </wp:positionH>
                <wp:positionV relativeFrom="paragraph">
                  <wp:posOffset>2857500</wp:posOffset>
                </wp:positionV>
                <wp:extent cx="350520" cy="274320"/>
                <wp:effectExtent l="38100" t="0" r="30480" b="49530"/>
                <wp:wrapNone/>
                <wp:docPr id="931169976" name="直接箭头连接符 10"/>
                <wp:cNvGraphicFramePr/>
                <a:graphic xmlns:a="http://schemas.openxmlformats.org/drawingml/2006/main">
                  <a:graphicData uri="http://schemas.microsoft.com/office/word/2010/wordprocessingShape">
                    <wps:wsp>
                      <wps:cNvCnPr/>
                      <wps:spPr>
                        <a:xfrm flipH="true">
                          <a:off x="0" y="0"/>
                          <a:ext cx="350520" cy="274320"/>
                        </a:xfrm>
                        <a:prstGeom prst="straightConnector1">
                          <a:avLst/>
                        </a:prstGeom>
                        <a:ln w="254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10" o:spid="_x0000_s1026" o:spt="32" type="#_x0000_t32" style="position:absolute;left:0pt;flip:x;margin-left:365.4pt;margin-top:225pt;height:21.6pt;width:27.6pt;mso-position-horizontal-relative:margin;z-index:251662336;mso-width-relative:page;mso-height-relative:page;" filled="f" stroked="t" coordsize="21600,21600" o:gfxdata="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BYAAABkcnMvUEsBAhQAFAAAAAgAh07iQBeZ+arcAAAACwEA&#10;AA8AAAAAAAAAAQAgAAAAOAAAAGRycy9kb3ducmV2LnhtbFBLAQIUABQAAAAIAIdO4kDnaxNIAAIA&#10;AK4DAAAOAAAAAAAAAAEAIAAAAEEBAABkcnMvZTJvRG9jLnhtbFBLBQYAAAAABgAGAFkBAACzBQAA&#10;AAA=&#10;">
                <v:fill on="f" focussize="0,0"/>
                <v:stroke weight="2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1312" behindDoc="0" locked="0" layoutInCell="1" allowOverlap="1">
                <wp:simplePos x="0" y="0"/>
                <wp:positionH relativeFrom="column">
                  <wp:posOffset>3459480</wp:posOffset>
                </wp:positionH>
                <wp:positionV relativeFrom="paragraph">
                  <wp:posOffset>1295400</wp:posOffset>
                </wp:positionV>
                <wp:extent cx="1562100" cy="1569720"/>
                <wp:effectExtent l="0" t="0" r="57150" b="49530"/>
                <wp:wrapNone/>
                <wp:docPr id="1147397782" name="直接箭头连接符 9"/>
                <wp:cNvGraphicFramePr/>
                <a:graphic xmlns:a="http://schemas.openxmlformats.org/drawingml/2006/main">
                  <a:graphicData uri="http://schemas.microsoft.com/office/word/2010/wordprocessingShape">
                    <wps:wsp>
                      <wps:cNvCnPr/>
                      <wps:spPr>
                        <a:xfrm>
                          <a:off x="0" y="0"/>
                          <a:ext cx="1562100" cy="1569720"/>
                        </a:xfrm>
                        <a:prstGeom prst="straightConnector1">
                          <a:avLst/>
                        </a:prstGeom>
                        <a:ln w="1905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直接箭头连接符 9" o:spid="_x0000_s1026" o:spt="32" type="#_x0000_t32" style="position:absolute;left:0pt;margin-left:272.4pt;margin-top:102pt;height:123.6pt;width:123pt;z-index:251661312;mso-width-relative:page;mso-height-relative:page;" filled="f" stroked="t" coordsize="21600,21600" o:gfxdata="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BYAAABkcnMvUEsBAhQAFAAAAAgAh07iQL2jLS/YAAAACwEAAA8AAAAAAAAAAQAg&#10;AAAAOAAAAGRycy9kb3ducmV2LnhtbFBLAQIUABQAAAAIAIdO4kBawysp+AEAAKMDAAAOAAAAAAAA&#10;AAEAIAAAAD0BAABkcnMvZTJvRG9jLnhtbFBLBQYAAAAABgAGAFkBAACnBQAAAAA=&#10;">
                <v:fill on="f" focussize="0,0"/>
                <v:stroke weight="1.5pt" color="#C00000 [3204]" miterlimit="8" joinstyle="miter" endarrow="block"/>
                <v:imagedata o:title=""/>
                <o:lock v:ext="edit" aspectratio="f"/>
              </v:shape>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60288" behindDoc="0" locked="0" layoutInCell="1" allowOverlap="1">
                <wp:simplePos x="0" y="0"/>
                <wp:positionH relativeFrom="column">
                  <wp:posOffset>2971800</wp:posOffset>
                </wp:positionH>
                <wp:positionV relativeFrom="paragraph">
                  <wp:posOffset>2849880</wp:posOffset>
                </wp:positionV>
                <wp:extent cx="1028700" cy="472440"/>
                <wp:effectExtent l="0" t="0" r="19050" b="22860"/>
                <wp:wrapNone/>
                <wp:docPr id="626529567" name="矩形 8"/>
                <wp:cNvGraphicFramePr/>
                <a:graphic xmlns:a="http://schemas.openxmlformats.org/drawingml/2006/main">
                  <a:graphicData uri="http://schemas.microsoft.com/office/word/2010/wordprocessingShape">
                    <wps:wsp>
                      <wps:cNvSpPr/>
                      <wps:spPr>
                        <a:xfrm>
                          <a:off x="0" y="0"/>
                          <a:ext cx="1028700" cy="472440"/>
                        </a:xfrm>
                        <a:prstGeom prst="rect">
                          <a:avLst/>
                        </a:prstGeom>
                        <a:solidFill>
                          <a:srgbClr val="C00000"/>
                        </a:solidFill>
                        <a:ln w="12700" cap="flat" cmpd="sng" algn="ctr">
                          <a:solidFill>
                            <a:srgbClr val="4472C4">
                              <a:shade val="15000"/>
                            </a:srgbClr>
                          </a:solidFill>
                          <a:prstDash val="solid"/>
                          <a:miter lim="800000"/>
                        </a:ln>
                        <a:effectLst/>
                      </wps:spPr>
                      <wps:txbx>
                        <w:txbxContent>
                          <w:p>
                            <w:pPr>
                              <w:jc w:val="center"/>
                              <w:rPr>
                                <w:rFonts w:hint="eastAsia" w:ascii="华文仿宋" w:hAnsi="华文仿宋" w:eastAsia="华文仿宋" w:cs="微软雅黑"/>
                                <w:b/>
                                <w:bCs/>
                                <w:color w:val="FFFFFF" w:themeColor="background1"/>
                                <w:sz w:val="18"/>
                                <w:szCs w:val="18"/>
                                <w14:textFill>
                                  <w14:solidFill>
                                    <w14:schemeClr w14:val="bg1"/>
                                  </w14:solidFill>
                                </w14:textFill>
                              </w:rPr>
                            </w:pPr>
                            <w:r>
                              <w:rPr>
                                <w:rFonts w:hint="eastAsia" w:ascii="华文仿宋" w:hAnsi="华文仿宋" w:eastAsia="华文仿宋" w:cs="微软雅黑"/>
                                <w:b/>
                                <w:bCs/>
                                <w:color w:val="FFFFFF" w:themeColor="background1"/>
                                <w:sz w:val="18"/>
                                <w:szCs w:val="18"/>
                                <w14:textFill>
                                  <w14:solidFill>
                                    <w14:schemeClr w14:val="bg1"/>
                                  </w14:solidFill>
                                </w14:textFill>
                              </w:rPr>
                              <w:t>此次选房现场</w:t>
                            </w:r>
                          </w:p>
                          <w:p>
                            <w:pPr>
                              <w:jc w:val="center"/>
                              <w:rPr>
                                <w:rFonts w:hint="eastAsia" w:ascii="华文仿宋" w:hAnsi="华文仿宋" w:eastAsia="华文仿宋" w:cs="微软雅黑"/>
                                <w:b/>
                                <w:bCs/>
                                <w:color w:val="FFFFFF" w:themeColor="background1"/>
                                <w:sz w:val="18"/>
                                <w:szCs w:val="18"/>
                                <w14:textFill>
                                  <w14:solidFill>
                                    <w14:schemeClr w14:val="bg1"/>
                                  </w14:solidFill>
                                </w14:textFill>
                              </w:rPr>
                            </w:pPr>
                            <w:r>
                              <w:rPr>
                                <w:rFonts w:hint="eastAsia" w:ascii="华文仿宋" w:hAnsi="华文仿宋" w:eastAsia="华文仿宋" w:cs="微软雅黑"/>
                                <w:b/>
                                <w:bCs/>
                                <w:color w:val="FFFFFF" w:themeColor="background1"/>
                                <w:sz w:val="18"/>
                                <w:szCs w:val="18"/>
                                <w14:textFill>
                                  <w14:solidFill>
                                    <w14:schemeClr w14:val="bg1"/>
                                  </w14:solidFill>
                                </w14:textFill>
                              </w:rPr>
                              <w:t>（宝立方中心）</w:t>
                            </w:r>
                          </w:p>
                          <w:p>
                            <w:pPr>
                              <w:jc w:val="center"/>
                              <w:rPr>
                                <w:rFonts w:hint="eastAsia"/>
                                <w:b/>
                                <w:bCs/>
                                <w:sz w:val="16"/>
                                <w:szCs w:val="16"/>
                              </w:rPr>
                            </w:pP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8" o:spid="_x0000_s1026" o:spt="1" style="position:absolute;left:0pt;margin-left:234pt;margin-top:224.4pt;height:37.2pt;width:81pt;z-index:251660288;v-text-anchor:middle;mso-width-relative:page;mso-height-relative:page;" fillcolor="#C00000" filled="t" stroked="t" coordsize="21600,21600" o:gfxdata="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WAAAAZHJzL1BLAQIUABQAAAAIAIdO4kDP6vTS1wAA&#10;AAsBAAAPAAAAAAAAAAEAIAAAADgAAABkcnMvZG93bnJldi54bWxQSwECFAAUAAAACACHTuJACbib&#10;SHsCAAD3BAAADgAAAAAAAAABACAAAAA8AQAAZHJzL2Uyb0RvYy54bWxQSwUGAAAAAAYABgBZAQAA&#10;KQYAAAAA&#10;">
                <v:fill on="t" focussize="0,0"/>
                <v:stroke weight="1pt" color="#172C51" miterlimit="8" joinstyle="miter"/>
                <v:imagedata o:title=""/>
                <o:lock v:ext="edit" aspectratio="f"/>
                <v:textbox>
                  <w:txbxContent>
                    <w:p>
                      <w:pPr>
                        <w:jc w:val="center"/>
                        <w:rPr>
                          <w:rFonts w:hint="eastAsia" w:ascii="华文仿宋" w:hAnsi="华文仿宋" w:eastAsia="华文仿宋" w:cs="微软雅黑"/>
                          <w:b/>
                          <w:bCs/>
                          <w:color w:val="FFFFFF" w:themeColor="background1"/>
                          <w:sz w:val="18"/>
                          <w:szCs w:val="18"/>
                          <w14:textFill>
                            <w14:solidFill>
                              <w14:schemeClr w14:val="bg1"/>
                            </w14:solidFill>
                          </w14:textFill>
                        </w:rPr>
                      </w:pPr>
                      <w:r>
                        <w:rPr>
                          <w:rFonts w:hint="eastAsia" w:ascii="华文仿宋" w:hAnsi="华文仿宋" w:eastAsia="华文仿宋" w:cs="微软雅黑"/>
                          <w:b/>
                          <w:bCs/>
                          <w:color w:val="FFFFFF" w:themeColor="background1"/>
                          <w:sz w:val="18"/>
                          <w:szCs w:val="18"/>
                          <w14:textFill>
                            <w14:solidFill>
                              <w14:schemeClr w14:val="bg1"/>
                            </w14:solidFill>
                          </w14:textFill>
                        </w:rPr>
                        <w:t>此次选房现场</w:t>
                      </w:r>
                    </w:p>
                    <w:p>
                      <w:pPr>
                        <w:jc w:val="center"/>
                        <w:rPr>
                          <w:rFonts w:hint="eastAsia" w:ascii="华文仿宋" w:hAnsi="华文仿宋" w:eastAsia="华文仿宋" w:cs="微软雅黑"/>
                          <w:b/>
                          <w:bCs/>
                          <w:color w:val="FFFFFF" w:themeColor="background1"/>
                          <w:sz w:val="18"/>
                          <w:szCs w:val="18"/>
                          <w14:textFill>
                            <w14:solidFill>
                              <w14:schemeClr w14:val="bg1"/>
                            </w14:solidFill>
                          </w14:textFill>
                        </w:rPr>
                      </w:pPr>
                      <w:r>
                        <w:rPr>
                          <w:rFonts w:hint="eastAsia" w:ascii="华文仿宋" w:hAnsi="华文仿宋" w:eastAsia="华文仿宋" w:cs="微软雅黑"/>
                          <w:b/>
                          <w:bCs/>
                          <w:color w:val="FFFFFF" w:themeColor="background1"/>
                          <w:sz w:val="18"/>
                          <w:szCs w:val="18"/>
                          <w14:textFill>
                            <w14:solidFill>
                              <w14:schemeClr w14:val="bg1"/>
                            </w14:solidFill>
                          </w14:textFill>
                        </w:rPr>
                        <w:t>（宝立方中心）</w:t>
                      </w:r>
                    </w:p>
                    <w:p>
                      <w:pPr>
                        <w:jc w:val="center"/>
                        <w:rPr>
                          <w:rFonts w:hint="eastAsia"/>
                          <w:b/>
                          <w:bCs/>
                          <w:sz w:val="16"/>
                          <w:szCs w:val="16"/>
                        </w:rPr>
                      </w:pPr>
                    </w:p>
                  </w:txbxContent>
                </v:textbox>
              </v:rect>
            </w:pict>
          </mc:Fallback>
        </mc:AlternateContent>
      </w:r>
      <w:r>
        <w:rPr>
          <w:rFonts w:hint="eastAsia" w:ascii="仿宋_GB2312" w:hAnsi="仿宋_GB2312" w:eastAsia="仿宋_GB2312" w:cs="仿宋_GB2312"/>
          <w:sz w:val="32"/>
          <w:szCs w:val="32"/>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1112520</wp:posOffset>
                </wp:positionV>
                <wp:extent cx="914400" cy="472440"/>
                <wp:effectExtent l="0" t="0" r="19050" b="22860"/>
                <wp:wrapNone/>
                <wp:docPr id="1264922275" name="矩形 8"/>
                <wp:cNvGraphicFramePr/>
                <a:graphic xmlns:a="http://schemas.openxmlformats.org/drawingml/2006/main">
                  <a:graphicData uri="http://schemas.microsoft.com/office/word/2010/wordprocessingShape">
                    <wps:wsp>
                      <wps:cNvSpPr/>
                      <wps:spPr>
                        <a:xfrm>
                          <a:off x="0" y="0"/>
                          <a:ext cx="914400" cy="472440"/>
                        </a:xfrm>
                        <a:prstGeom prst="rect">
                          <a:avLst/>
                        </a:prstGeom>
                        <a:solidFill>
                          <a:srgbClr val="C00000"/>
                        </a:solidFill>
                      </wps:spPr>
                      <wps:style>
                        <a:lnRef idx="2">
                          <a:schemeClr val="accent1">
                            <a:shade val="15000"/>
                          </a:schemeClr>
                        </a:lnRef>
                        <a:fillRef idx="1">
                          <a:schemeClr val="accent1"/>
                        </a:fillRef>
                        <a:effectRef idx="0">
                          <a:schemeClr val="accent1"/>
                        </a:effectRef>
                        <a:fontRef idx="minor">
                          <a:schemeClr val="lt1"/>
                        </a:fontRef>
                      </wps:style>
                      <wps:txbx>
                        <w:txbxContent>
                          <w:p>
                            <w:pPr>
                              <w:jc w:val="center"/>
                              <w:rPr>
                                <w:rFonts w:hint="eastAsia" w:ascii="华文仿宋" w:hAnsi="华文仿宋" w:eastAsia="华文仿宋"/>
                                <w:b/>
                                <w:bCs/>
                                <w:sz w:val="20"/>
                                <w:szCs w:val="20"/>
                              </w:rPr>
                            </w:pPr>
                            <w:r>
                              <w:rPr>
                                <w:rFonts w:hint="eastAsia" w:ascii="华文仿宋" w:hAnsi="华文仿宋" w:eastAsia="华文仿宋"/>
                                <w:b/>
                                <w:bCs/>
                                <w:sz w:val="20"/>
                                <w:szCs w:val="20"/>
                              </w:rPr>
                              <w:t>流塘站</w:t>
                            </w:r>
                          </w:p>
                          <w:p>
                            <w:pPr>
                              <w:jc w:val="center"/>
                              <w:rPr>
                                <w:rFonts w:hint="eastAsia" w:ascii="华文仿宋" w:hAnsi="华文仿宋" w:eastAsia="华文仿宋"/>
                                <w:b/>
                                <w:bCs/>
                                <w:sz w:val="20"/>
                                <w:szCs w:val="20"/>
                              </w:rPr>
                            </w:pPr>
                            <w:r>
                              <w:rPr>
                                <w:rFonts w:hint="eastAsia" w:ascii="华文仿宋" w:hAnsi="华文仿宋" w:eastAsia="华文仿宋"/>
                                <w:b/>
                                <w:bCs/>
                                <w:sz w:val="20"/>
                                <w:szCs w:val="20"/>
                              </w:rPr>
                              <w:t>G口</w:t>
                            </w:r>
                          </w:p>
                        </w:txbxContent>
                      </wps:txbx>
                      <wps:bodyPr rot="0" spcFirstLastPara="0" vertOverflow="overflow" horzOverflow="overflow" vert="horz" wrap="square" lIns="91440" tIns="45720" rIns="91440" bIns="45720" numCol="1" spcCol="0" rtlCol="0" fromWordArt="false" anchor="ctr" anchorCtr="false" forceAA="false" compatLnSpc="true">
                        <a:noAutofit/>
                      </wps:bodyPr>
                    </wps:wsp>
                  </a:graphicData>
                </a:graphic>
              </wp:anchor>
            </w:drawing>
          </mc:Choice>
          <mc:Fallback>
            <w:pict>
              <v:rect id="矩形 8" o:spid="_x0000_s1026" o:spt="1" style="position:absolute;left:0pt;margin-left:180pt;margin-top:87.6pt;height:37.2pt;width:72pt;z-index:251659264;v-text-anchor:middle;mso-width-relative:page;mso-height-relative:page;" fillcolor="#C00000" filled="t" stroked="t" coordsize="21600,21600" o:gfxdata="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FgAAAGRycy9QSwECFAAUAAAACACHTuJAIyb609YAAAALAQAADwAA&#10;AAAAAAABACAAAAA4AAAAZHJzL2Rvd25yZXYueG1sUEsBAhQAFAAAAAgAh07iQHRdb/F0AgAA6QQA&#10;AA4AAAAAAAAAAQAgAAAAOwEAAGRycy9lMm9Eb2MueG1sUEsFBgAAAAAGAAYAWQEAACEGAAAAAA==&#10;">
                <v:fill on="t" focussize="0,0"/>
                <v:stroke weight="1pt" color="#172C51 [3204]" miterlimit="8" joinstyle="miter"/>
                <v:imagedata o:title=""/>
                <o:lock v:ext="edit" aspectratio="f"/>
                <v:textbox>
                  <w:txbxContent>
                    <w:p>
                      <w:pPr>
                        <w:jc w:val="center"/>
                        <w:rPr>
                          <w:rFonts w:hint="eastAsia" w:ascii="华文仿宋" w:hAnsi="华文仿宋" w:eastAsia="华文仿宋"/>
                          <w:b/>
                          <w:bCs/>
                          <w:sz w:val="20"/>
                          <w:szCs w:val="20"/>
                        </w:rPr>
                      </w:pPr>
                      <w:r>
                        <w:rPr>
                          <w:rFonts w:hint="eastAsia" w:ascii="华文仿宋" w:hAnsi="华文仿宋" w:eastAsia="华文仿宋"/>
                          <w:b/>
                          <w:bCs/>
                          <w:sz w:val="20"/>
                          <w:szCs w:val="20"/>
                        </w:rPr>
                        <w:t>流塘站</w:t>
                      </w:r>
                    </w:p>
                    <w:p>
                      <w:pPr>
                        <w:jc w:val="center"/>
                        <w:rPr>
                          <w:rFonts w:hint="eastAsia" w:ascii="华文仿宋" w:hAnsi="华文仿宋" w:eastAsia="华文仿宋"/>
                          <w:b/>
                          <w:bCs/>
                          <w:sz w:val="20"/>
                          <w:szCs w:val="20"/>
                        </w:rPr>
                      </w:pPr>
                      <w:r>
                        <w:rPr>
                          <w:rFonts w:hint="eastAsia" w:ascii="华文仿宋" w:hAnsi="华文仿宋" w:eastAsia="华文仿宋"/>
                          <w:b/>
                          <w:bCs/>
                          <w:sz w:val="20"/>
                          <w:szCs w:val="20"/>
                        </w:rPr>
                        <w:t>G口</w:t>
                      </w:r>
                    </w:p>
                  </w:txbxContent>
                </v:textbox>
              </v:rect>
            </w:pict>
          </mc:Fallback>
        </mc:AlternateContent>
      </w:r>
      <w:r>
        <w:rPr>
          <w:rFonts w:hint="eastAsia" w:ascii="仿宋_GB2312" w:hAnsi="仿宋_GB2312" w:eastAsia="仿宋_GB2312" w:cs="仿宋_GB2312"/>
          <w:sz w:val="32"/>
          <w:szCs w:val="32"/>
        </w:rPr>
        <w:t>您的位置——地铁12号线</w:t>
      </w:r>
      <w:bookmarkStart w:id="1" w:name="_Hlk178066063"/>
      <w:r>
        <w:rPr>
          <w:rFonts w:hint="eastAsia" w:ascii="仿宋_GB2312" w:hAnsi="仿宋_GB2312" w:eastAsia="仿宋_GB2312" w:cs="仿宋_GB2312"/>
          <w:sz w:val="32"/>
          <w:szCs w:val="32"/>
        </w:rPr>
        <w:t>流塘站G口</w:t>
      </w:r>
      <w:bookmarkEnd w:id="1"/>
      <w:r>
        <w:rPr>
          <w:rFonts w:hint="eastAsia" w:ascii="仿宋_GB2312" w:hAnsi="仿宋_GB2312" w:eastAsia="仿宋_GB2312" w:cs="仿宋_GB2312"/>
          <w:sz w:val="32"/>
          <w:szCs w:val="32"/>
        </w:rPr>
        <w:t>，向前步行约400米至宝立方中心前往选房现场。</w:t>
      </w:r>
      <w:r>
        <w:drawing>
          <wp:inline distT="0" distB="0" distL="0" distR="0">
            <wp:extent cx="6149340" cy="2750185"/>
            <wp:effectExtent l="0" t="0" r="3810" b="0"/>
            <wp:docPr id="944197859"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44197859" name="图片 1"/>
                    <pic:cNvPicPr>
                      <a:picLocks noChangeAspect="true"/>
                    </pic:cNvPicPr>
                  </pic:nvPicPr>
                  <pic:blipFill>
                    <a:blip r:embed="rId5"/>
                    <a:stretch>
                      <a:fillRect/>
                    </a:stretch>
                  </pic:blipFill>
                  <pic:spPr>
                    <a:xfrm>
                      <a:off x="0" y="0"/>
                      <a:ext cx="6159402" cy="2754897"/>
                    </a:xfrm>
                    <a:prstGeom prst="rect">
                      <a:avLst/>
                    </a:prstGeom>
                  </pic:spPr>
                </pic:pic>
              </a:graphicData>
            </a:graphic>
          </wp:inline>
        </w:drawing>
      </w:r>
    </w:p>
    <w:p>
      <w:pPr>
        <w:spacing w:line="560" w:lineRule="atLeast"/>
        <w:ind w:firstLine="640"/>
        <w:jc w:val="left"/>
        <w:rPr>
          <w:rFonts w:hint="eastAsia" w:ascii="仿宋_GB2312" w:hAnsi="仿宋_GB2312" w:eastAsia="仿宋_GB2312" w:cs="仿宋_GB2312"/>
          <w:sz w:val="32"/>
          <w:szCs w:val="32"/>
        </w:rPr>
      </w:pPr>
    </w:p>
    <w:p>
      <w:pPr>
        <w:spacing w:line="560" w:lineRule="atLeast"/>
        <w:ind w:firstLine="640"/>
        <w:jc w:val="left"/>
        <w:rPr>
          <w:rFonts w:hint="eastAsia" w:ascii="仿宋_GB2312" w:hAnsi="仿宋_GB2312" w:eastAsia="仿宋_GB2312" w:cs="仿宋_GB2312"/>
          <w:sz w:val="32"/>
          <w:szCs w:val="32"/>
        </w:rPr>
      </w:pPr>
    </w:p>
    <w:p>
      <w:pPr>
        <w:spacing w:line="560" w:lineRule="atLeast"/>
        <w:ind w:firstLine="64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（二）乘坐公交（请密切留意最新公共交通信息）</w:t>
      </w:r>
    </w:p>
    <w:p>
      <w:pPr>
        <w:spacing w:line="560" w:lineRule="atLeas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您的位置——流塘旧村（公交车站）（395路 ; 603路 ; 615路 ; M245路 ; M246路 ; M259路 ; M376路 ; M382路 ; M522路 ; M560路）</w:t>
      </w:r>
      <w:bookmarkStart w:id="2" w:name="_Hlk178071791"/>
      <w:r>
        <w:rPr>
          <w:rFonts w:hint="eastAsia" w:ascii="仿宋_GB2312" w:hAnsi="仿宋_GB2312" w:eastAsia="仿宋_GB2312" w:cs="仿宋_GB2312"/>
          <w:sz w:val="32"/>
          <w:szCs w:val="32"/>
        </w:rPr>
        <w:t>，到达后步行前往选房现场。</w:t>
      </w:r>
      <w:bookmarkEnd w:id="2"/>
    </w:p>
    <w:p>
      <w:pPr>
        <w:spacing w:line="560" w:lineRule="atLeas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2、您的位置-流塘公园南门(公交站)（M313路；M376路），到达后步行前往选房现场。</w:t>
      </w:r>
    </w:p>
    <w:p>
      <w:pPr>
        <w:spacing w:line="560" w:lineRule="atLeas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3、您的位置-流塘市场(公交站)（395路；603路；704路；707路；M245路；M246路），到达后步行前往选房现场。</w:t>
      </w:r>
    </w:p>
    <w:p>
      <w:pPr>
        <w:spacing w:line="560" w:lineRule="atLeas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w:t>
      </w:r>
      <w:bookmarkStart w:id="3" w:name="_Hlk178071941"/>
      <w:r>
        <w:rPr>
          <w:rFonts w:hint="eastAsia" w:ascii="仿宋_GB2312" w:hAnsi="仿宋_GB2312" w:eastAsia="仿宋_GB2312" w:cs="仿宋_GB2312"/>
          <w:sz w:val="32"/>
          <w:szCs w:val="32"/>
        </w:rPr>
        <w:t>您的位置-流塘地铁站南(公交站)（M313路；M376路），到达后步行前往选房现场。</w:t>
      </w:r>
      <w:bookmarkEnd w:id="3"/>
    </w:p>
    <w:p>
      <w:pPr>
        <w:spacing w:line="560" w:lineRule="atLeas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5、您的位置-上川地铁站(公交站)（395路；603路；615路；718路；M245路；M246路；M250路；M259路；M313路；M382路；M518路；M560路），到达后步行前往选房现场。</w:t>
      </w:r>
    </w:p>
    <w:p>
      <w:pPr>
        <w:spacing w:line="560" w:lineRule="atLeas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6、您的位置-弘雅小学(公交站)（629路；704路；B932路；M209路；M469路），到达后步行前往选房现场。</w:t>
      </w:r>
    </w:p>
    <w:p>
      <w:pPr>
        <w:spacing w:line="560" w:lineRule="atLeast"/>
        <w:ind w:firstLine="640" w:firstLineChars="200"/>
        <w:jc w:val="left"/>
        <w:rPr>
          <w:rFonts w:hint="eastAsia" w:ascii="仿宋_GB2312" w:hAnsi="仿宋_GB2312" w:eastAsia="仿宋_GB2312" w:cs="仿宋_GB2312"/>
          <w:sz w:val="32"/>
          <w:szCs w:val="32"/>
        </w:rPr>
      </w:pPr>
    </w:p>
    <w:p>
      <w:pPr>
        <w:spacing w:line="560" w:lineRule="atLeast"/>
        <w:ind w:firstLine="420" w:firstLineChars="200"/>
        <w:jc w:val="left"/>
        <w:rPr>
          <w:rFonts w:hint="eastAsia" w:ascii="仿宋_GB2312" w:hAnsi="仿宋_GB2312" w:eastAsia="仿宋_GB2312" w:cs="仿宋_GB2312"/>
          <w:sz w:val="32"/>
          <w:szCs w:val="32"/>
        </w:rPr>
      </w:pPr>
      <w:r>
        <w:drawing>
          <wp:inline distT="0" distB="0" distL="114300" distR="114300">
            <wp:extent cx="5261610" cy="2863215"/>
            <wp:effectExtent l="0" t="0" r="15240" b="13335"/>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6"/>
                    <a:stretch>
                      <a:fillRect/>
                    </a:stretch>
                  </pic:blipFill>
                  <pic:spPr>
                    <a:xfrm>
                      <a:off x="0" y="0"/>
                      <a:ext cx="5261610" cy="2863215"/>
                    </a:xfrm>
                    <a:prstGeom prst="rect">
                      <a:avLst/>
                    </a:prstGeom>
                    <a:noFill/>
                    <a:ln>
                      <a:noFill/>
                    </a:ln>
                  </pic:spPr>
                </pic:pic>
              </a:graphicData>
            </a:graphic>
          </wp:inline>
        </w:drawing>
      </w:r>
    </w:p>
    <w:p>
      <w:pPr>
        <w:numPr>
          <w:ilvl w:val="255"/>
          <w:numId w:val="0"/>
        </w:numPr>
        <w:spacing w:line="560" w:lineRule="atLeast"/>
        <w:ind w:firstLine="641"/>
        <w:rPr>
          <w:rFonts w:hint="eastAsia" w:ascii="楷体_GB2312" w:hAnsi="楷体_GB2312" w:eastAsia="楷体_GB2312" w:cs="楷体_GB2312"/>
          <w:sz w:val="32"/>
          <w:szCs w:val="32"/>
        </w:rPr>
      </w:pPr>
      <w:r>
        <w:rPr>
          <w:rFonts w:hint="eastAsia" w:ascii="楷体_GB2312" w:hAnsi="楷体_GB2312" w:eastAsia="楷体_GB2312" w:cs="楷体_GB2312"/>
          <w:sz w:val="32"/>
          <w:szCs w:val="32"/>
        </w:rPr>
        <w:t>（三）自驾</w:t>
      </w:r>
      <w:r>
        <w:rPr>
          <w:rFonts w:hint="eastAsia" w:ascii="楷体_GB2312" w:hAnsi="楷体_GB2312" w:eastAsia="楷体_GB2312" w:cs="楷体_GB2312"/>
          <w:color w:val="C00000"/>
          <w:sz w:val="32"/>
          <w:szCs w:val="32"/>
        </w:rPr>
        <w:t>（注：现场停车位数目较少，建议公共交通出行）</w:t>
      </w:r>
    </w:p>
    <w:p>
      <w:pPr>
        <w:spacing w:line="560" w:lineRule="atLeast"/>
        <w:ind w:firstLine="641"/>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Hans"/>
        </w:rPr>
        <w:t>导航搜索“宝立方中心”停车至地面停车场或立体停车场 。</w:t>
      </w:r>
    </w:p>
    <w:p>
      <w:pPr>
        <w:spacing w:line="560" w:lineRule="atLeast"/>
        <w:ind w:firstLine="641"/>
        <w:rPr>
          <w:rFonts w:hint="eastAsia" w:ascii="黑体" w:hAnsi="黑体" w:eastAsia="黑体" w:cs="黑体"/>
          <w:sz w:val="32"/>
          <w:szCs w:val="32"/>
        </w:rPr>
      </w:pPr>
      <w:r>
        <w:rPr>
          <w:rFonts w:hint="eastAsia" w:ascii="黑体" w:hAnsi="黑体" w:eastAsia="黑体" w:cs="黑体"/>
          <w:sz w:val="32"/>
          <w:szCs w:val="32"/>
          <w:lang w:eastAsia="zh-Hans"/>
        </w:rPr>
        <w:t>二</w:t>
      </w:r>
      <w:r>
        <w:rPr>
          <w:rFonts w:hint="eastAsia" w:ascii="黑体" w:hAnsi="黑体" w:eastAsia="黑体" w:cs="黑体"/>
          <w:sz w:val="32"/>
          <w:szCs w:val="32"/>
        </w:rPr>
        <w:t>、注意事项</w:t>
      </w:r>
    </w:p>
    <w:p>
      <w:pPr>
        <w:spacing w:line="560" w:lineRule="atLeas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w:t>
      </w:r>
      <w:r>
        <w:rPr>
          <w:rFonts w:hint="eastAsia" w:ascii="仿宋_GB2312" w:hAnsi="仿宋_GB2312" w:eastAsia="仿宋_GB2312" w:cs="仿宋_GB2312"/>
          <w:sz w:val="32"/>
          <w:szCs w:val="32"/>
          <w:lang w:eastAsia="zh-Hans"/>
        </w:rPr>
        <w:t>选</w:t>
      </w:r>
      <w:r>
        <w:rPr>
          <w:rFonts w:hint="eastAsia" w:ascii="仿宋_GB2312" w:hAnsi="仿宋_GB2312" w:eastAsia="仿宋_GB2312" w:cs="仿宋_GB2312"/>
          <w:sz w:val="32"/>
          <w:szCs w:val="32"/>
        </w:rPr>
        <w:t>房家庭须按约定的时间，凭申请人身份证、选房通知书参加</w:t>
      </w:r>
      <w:r>
        <w:rPr>
          <w:rFonts w:hint="eastAsia" w:ascii="仿宋_GB2312" w:hAnsi="仿宋_GB2312" w:eastAsia="仿宋_GB2312" w:cs="仿宋_GB2312"/>
          <w:sz w:val="32"/>
          <w:szCs w:val="32"/>
          <w:lang w:eastAsia="zh-Hans"/>
        </w:rPr>
        <w:t>选</w:t>
      </w:r>
      <w:r>
        <w:rPr>
          <w:rFonts w:hint="eastAsia" w:ascii="仿宋_GB2312" w:hAnsi="仿宋_GB2312" w:eastAsia="仿宋_GB2312" w:cs="仿宋_GB2312"/>
          <w:sz w:val="32"/>
          <w:szCs w:val="32"/>
        </w:rPr>
        <w:t>房活动。</w:t>
      </w:r>
    </w:p>
    <w:p>
      <w:pPr>
        <w:spacing w:line="560" w:lineRule="atLeas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（二）考虑到现场接待能力有限，为了营造顺畅、良好的看房环境，请每个</w:t>
      </w:r>
      <w:r>
        <w:rPr>
          <w:rFonts w:hint="eastAsia" w:ascii="仿宋_GB2312" w:hAnsi="仿宋_GB2312" w:eastAsia="仿宋_GB2312" w:cs="仿宋_GB2312"/>
          <w:sz w:val="32"/>
          <w:szCs w:val="32"/>
          <w:lang w:eastAsia="zh-Hans"/>
        </w:rPr>
        <w:t>选房</w:t>
      </w:r>
      <w:r>
        <w:rPr>
          <w:rFonts w:hint="eastAsia" w:ascii="仿宋_GB2312" w:hAnsi="仿宋_GB2312" w:eastAsia="仿宋_GB2312" w:cs="仿宋_GB2312"/>
          <w:sz w:val="32"/>
          <w:szCs w:val="32"/>
        </w:rPr>
        <w:t>家庭最多安排两人现场</w:t>
      </w:r>
      <w:r>
        <w:rPr>
          <w:rFonts w:hint="eastAsia" w:ascii="仿宋_GB2312" w:hAnsi="仿宋_GB2312" w:eastAsia="仿宋_GB2312" w:cs="仿宋_GB2312"/>
          <w:sz w:val="32"/>
          <w:szCs w:val="32"/>
          <w:lang w:eastAsia="zh-Hans"/>
        </w:rPr>
        <w:t>选</w:t>
      </w:r>
      <w:r>
        <w:rPr>
          <w:rFonts w:hint="eastAsia" w:ascii="仿宋_GB2312" w:hAnsi="仿宋_GB2312" w:eastAsia="仿宋_GB2312" w:cs="仿宋_GB2312"/>
          <w:sz w:val="32"/>
          <w:szCs w:val="32"/>
        </w:rPr>
        <w:t>房。</w:t>
      </w:r>
    </w:p>
    <w:p>
      <w:pPr>
        <w:spacing w:line="560" w:lineRule="atLeast"/>
        <w:ind w:firstLine="64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（三）为了保证选房家庭人身安全，请遵循现场工作人员统一安排，不要在</w:t>
      </w:r>
      <w:r>
        <w:rPr>
          <w:rFonts w:hint="eastAsia" w:ascii="仿宋_GB2312" w:hAnsi="仿宋_GB2312" w:eastAsia="仿宋_GB2312" w:cs="仿宋_GB2312"/>
          <w:sz w:val="32"/>
          <w:szCs w:val="32"/>
          <w:lang w:eastAsia="zh-Hans"/>
        </w:rPr>
        <w:t>选房</w:t>
      </w:r>
      <w:r>
        <w:rPr>
          <w:rFonts w:hint="eastAsia" w:ascii="仿宋_GB2312" w:hAnsi="仿宋_GB2312" w:eastAsia="仿宋_GB2312" w:cs="仿宋_GB2312"/>
          <w:sz w:val="32"/>
          <w:szCs w:val="32"/>
        </w:rPr>
        <w:t>现场随意走动，以免发生意外。</w:t>
      </w:r>
    </w:p>
    <w:p>
      <w:pPr>
        <w:wordWrap w:val="0"/>
        <w:spacing w:line="560" w:lineRule="atLeast"/>
        <w:ind w:firstLine="640"/>
        <w:rPr>
          <w:rFonts w:hint="eastAsia" w:ascii="仿宋_GB2312" w:hAnsi="仿宋_GB2312" w:eastAsia="仿宋_GB2312" w:cs="仿宋_GB2312"/>
          <w:sz w:val="32"/>
          <w:szCs w:val="32"/>
          <w:lang w:val="en"/>
        </w:rPr>
      </w:pPr>
      <w:r>
        <w:rPr>
          <w:rFonts w:hint="eastAsia" w:ascii="仿宋_GB2312" w:hAnsi="仿宋_GB2312" w:eastAsia="仿宋_GB2312" w:cs="仿宋_GB2312"/>
          <w:sz w:val="32"/>
          <w:szCs w:val="32"/>
          <w:lang w:eastAsia="zh-Hans"/>
        </w:rPr>
        <w:t>选房现场</w:t>
      </w:r>
      <w:r>
        <w:rPr>
          <w:rFonts w:hint="eastAsia" w:ascii="仿宋_GB2312" w:hAnsi="仿宋_GB2312" w:eastAsia="仿宋_GB2312" w:cs="仿宋_GB2312"/>
          <w:sz w:val="32"/>
          <w:szCs w:val="32"/>
        </w:rPr>
        <w:t xml:space="preserve">联系电话：186 2036 7201  </w:t>
      </w:r>
    </w:p>
    <w:p>
      <w:pPr>
        <w:spacing w:line="560" w:lineRule="atLeast"/>
        <w:ind w:firstLine="640"/>
        <w:jc w:val="right"/>
        <w:rPr>
          <w:rFonts w:hint="eastAsia" w:ascii="仿宋_GB2312" w:hAnsi="仿宋_GB2312" w:eastAsia="仿宋_GB2312" w:cs="仿宋_GB2312"/>
          <w:sz w:val="32"/>
          <w:szCs w:val="32"/>
        </w:rPr>
      </w:pPr>
    </w:p>
    <w:p>
      <w:pPr>
        <w:spacing w:line="560" w:lineRule="atLeast"/>
        <w:ind w:firstLine="640"/>
        <w:jc w:val="right"/>
        <w:rPr>
          <w:rFonts w:hint="eastAsia" w:ascii="仿宋_GB2312" w:hAnsi="仿宋_GB2312" w:eastAsia="仿宋_GB2312" w:cs="仿宋_GB2312"/>
          <w:sz w:val="32"/>
          <w:szCs w:val="32"/>
        </w:rPr>
      </w:pPr>
    </w:p>
    <w:p>
      <w:pPr>
        <w:spacing w:line="560" w:lineRule="atLeast"/>
        <w:ind w:firstLine="640"/>
        <w:jc w:val="right"/>
        <w:rPr>
          <w:rFonts w:hint="eastAsia" w:ascii="仿宋_GB2312" w:hAnsi="仿宋_GB2312" w:eastAsia="仿宋_GB2312" w:cs="仿宋_GB2312"/>
          <w:sz w:val="32"/>
          <w:szCs w:val="32"/>
          <w:lang w:val="en" w:bidi="ar"/>
        </w:rPr>
      </w:pPr>
      <w:r>
        <w:rPr>
          <w:rFonts w:hint="eastAsia" w:ascii="仿宋_GB2312" w:hAnsi="仿宋_GB2312" w:eastAsia="仿宋_GB2312" w:cs="仿宋_GB2312"/>
          <w:sz w:val="32"/>
          <w:szCs w:val="32"/>
          <w:lang w:val="en" w:bidi="ar"/>
        </w:rPr>
        <w:t>深圳市瑞伦房地产开发有限公司</w:t>
      </w:r>
    </w:p>
    <w:p>
      <w:pPr>
        <w:spacing w:line="560" w:lineRule="atLeast"/>
        <w:ind w:right="320" w:firstLine="640"/>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2024年9月</w:t>
      </w:r>
    </w:p>
    <w:p>
      <w:pPr>
        <w:spacing w:line="560" w:lineRule="atLeast"/>
        <w:ind w:firstLine="640"/>
        <w:jc w:val="right"/>
        <w:rPr>
          <w:rFonts w:hint="eastAsia" w:ascii="仿宋_GB2312" w:hAnsi="仿宋_GB2312" w:eastAsia="仿宋_GB2312" w:cs="仿宋_GB2312"/>
          <w:sz w:val="32"/>
          <w:szCs w:val="40"/>
        </w:rPr>
      </w:pPr>
    </w:p>
    <w:p>
      <w:pPr>
        <w:spacing w:line="560" w:lineRule="atLeast"/>
        <w:ind w:firstLine="640"/>
        <w:jc w:val="right"/>
        <w:rPr>
          <w:rFonts w:hint="eastAsia" w:ascii="仿宋_GB2312" w:hAnsi="仿宋_GB2312" w:eastAsia="仿宋_GB2312" w:cs="仿宋_GB2312"/>
          <w:sz w:val="32"/>
          <w:szCs w:val="40"/>
        </w:rPr>
      </w:pPr>
    </w:p>
    <w:sectPr>
      <w:footerReference r:id="rId3"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华文仿宋"/>
    <w:panose1 w:val="02010600030101010101"/>
    <w:charset w:val="86"/>
    <w:family w:val="auto"/>
    <w:pitch w:val="default"/>
    <w:sig w:usb0="00000000" w:usb1="00000000" w:usb2="00000016" w:usb3="00000000" w:csb0="0004000F" w:csb1="00000000"/>
  </w:font>
  <w:font w:name="等线">
    <w:altName w:val="仿宋_GB2312"/>
    <w:panose1 w:val="00000000000000000000"/>
    <w:charset w:val="86"/>
    <w:family w:val="auto"/>
    <w:pitch w:val="default"/>
    <w:sig w:usb0="00000000" w:usb1="00000000" w:usb2="00000000" w:usb3="00000000" w:csb0="00000000" w:csb1="00000000"/>
  </w:font>
  <w:font w:name="等线">
    <w:altName w:val="URW Bookman"/>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altName w:val="黑体"/>
    <w:panose1 w:val="020B0503020204020204"/>
    <w:charset w:val="86"/>
    <w:family w:val="swiss"/>
    <w:pitch w:val="default"/>
    <w:sig w:usb0="00000000" w:usb1="00000000" w:usb2="00000016" w:usb3="00000000" w:csb0="0004001F" w:csb1="00000000"/>
  </w:font>
  <w:font w:name="URW Bookman">
    <w:panose1 w:val="00000400000000000000"/>
    <w:charset w:val="00"/>
    <w:family w:val="auto"/>
    <w:pitch w:val="default"/>
    <w:sig w:usb0="00000287" w:usb1="00000800" w:usb2="00000000" w:usb3="00000000" w:csb0="6000009F" w:csb1="00000000"/>
  </w:font>
  <w:font w:name="方正宋体S-超大字符集">
    <w:panose1 w:val="02000000000000000000"/>
    <w:charset w:val="86"/>
    <w:family w:val="auto"/>
    <w:pitch w:val="default"/>
    <w:sig w:usb0="00000001" w:usb1="08000000" w:usb2="00000000" w:usb3="00000000" w:csb0="00040000" w:csb1="00000000"/>
  </w:font>
  <w:font w:name="DejaVu Math TeX Gyre">
    <w:panose1 w:val="02000503000000000000"/>
    <w:charset w:val="00"/>
    <w:family w:val="auto"/>
    <w:pitch w:val="default"/>
    <w:sig w:usb0="A10000EF" w:usb1="4201F9EE" w:usb2="02000000" w:usb3="00000000" w:csb0="60000193" w:csb1="0DD4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eastAsia"/>
      </w:rPr>
    </w:pPr>
    <w:r>
      <w:fldChar w:fldCharType="begin"/>
    </w:r>
    <w:r>
      <w:instrText xml:space="preserve"> PAGE   \* MERGEFORMAT </w:instrText>
    </w:r>
    <w:r>
      <w:fldChar w:fldCharType="separate"/>
    </w:r>
    <w:r>
      <w:t>4</w:t>
    </w:r>
    <w:r>
      <w:fldChar w:fldCharType="end"/>
    </w:r>
  </w:p>
  <w:p>
    <w:pPr>
      <w:pStyle w:val="4"/>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true"/>
  <w:bordersDoNotSurroundFooter w:val="true"/>
  <w:documentProtection w:enforcement="0"/>
  <w:defaultTabStop w:val="420"/>
  <w:drawingGridVerticalSpacing w:val="156"/>
  <w:noPunctuationKerning w:val="true"/>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QxMzJiNzIyYzUwZmFkOGVmMmJiYzViMjY5MTdkMjAifQ=="/>
  </w:docVars>
  <w:rsids>
    <w:rsidRoot w:val="00F46141"/>
    <w:rsid w:val="000A5369"/>
    <w:rsid w:val="000D6ADD"/>
    <w:rsid w:val="00103CE6"/>
    <w:rsid w:val="0013619C"/>
    <w:rsid w:val="001F3B34"/>
    <w:rsid w:val="00202481"/>
    <w:rsid w:val="00300FDA"/>
    <w:rsid w:val="003450E6"/>
    <w:rsid w:val="00357936"/>
    <w:rsid w:val="00361507"/>
    <w:rsid w:val="00380986"/>
    <w:rsid w:val="003E6B2A"/>
    <w:rsid w:val="0041303B"/>
    <w:rsid w:val="00417F28"/>
    <w:rsid w:val="0045245A"/>
    <w:rsid w:val="004C6A67"/>
    <w:rsid w:val="00714976"/>
    <w:rsid w:val="007544B8"/>
    <w:rsid w:val="00756546"/>
    <w:rsid w:val="007B6C01"/>
    <w:rsid w:val="007D7755"/>
    <w:rsid w:val="007E09A0"/>
    <w:rsid w:val="00801BED"/>
    <w:rsid w:val="00833636"/>
    <w:rsid w:val="008A6972"/>
    <w:rsid w:val="008D4D75"/>
    <w:rsid w:val="008E5A66"/>
    <w:rsid w:val="008F7376"/>
    <w:rsid w:val="00923CD7"/>
    <w:rsid w:val="00953CB5"/>
    <w:rsid w:val="00A4728D"/>
    <w:rsid w:val="00AA2B92"/>
    <w:rsid w:val="00B17B98"/>
    <w:rsid w:val="00B629F1"/>
    <w:rsid w:val="00BB46E8"/>
    <w:rsid w:val="00BF225F"/>
    <w:rsid w:val="00C83C4E"/>
    <w:rsid w:val="00CA215F"/>
    <w:rsid w:val="00D15F0B"/>
    <w:rsid w:val="00DA7507"/>
    <w:rsid w:val="00DA7BFC"/>
    <w:rsid w:val="00DF1D40"/>
    <w:rsid w:val="00E26270"/>
    <w:rsid w:val="00E26E37"/>
    <w:rsid w:val="00E466F8"/>
    <w:rsid w:val="00EE57CA"/>
    <w:rsid w:val="00F22CF4"/>
    <w:rsid w:val="00F31801"/>
    <w:rsid w:val="00F46141"/>
    <w:rsid w:val="00F8717B"/>
    <w:rsid w:val="00F93662"/>
    <w:rsid w:val="05972365"/>
    <w:rsid w:val="16573B76"/>
    <w:rsid w:val="16B0180C"/>
    <w:rsid w:val="17EF0C4F"/>
    <w:rsid w:val="18141625"/>
    <w:rsid w:val="1A16387D"/>
    <w:rsid w:val="1A8B27CC"/>
    <w:rsid w:val="1C896A53"/>
    <w:rsid w:val="1DBF097A"/>
    <w:rsid w:val="22C93D0B"/>
    <w:rsid w:val="243D19AC"/>
    <w:rsid w:val="24D03292"/>
    <w:rsid w:val="252360F2"/>
    <w:rsid w:val="27BF5B13"/>
    <w:rsid w:val="2ABD6F07"/>
    <w:rsid w:val="2BF64978"/>
    <w:rsid w:val="2D3C1C9B"/>
    <w:rsid w:val="2D7D0782"/>
    <w:rsid w:val="2F7F3EC8"/>
    <w:rsid w:val="2FFF4AFD"/>
    <w:rsid w:val="33F56D63"/>
    <w:rsid w:val="33FF676D"/>
    <w:rsid w:val="35A45E45"/>
    <w:rsid w:val="3C9D7ED9"/>
    <w:rsid w:val="3DC35103"/>
    <w:rsid w:val="3F77F824"/>
    <w:rsid w:val="3FDF6154"/>
    <w:rsid w:val="411C58D9"/>
    <w:rsid w:val="431346A4"/>
    <w:rsid w:val="47DD3496"/>
    <w:rsid w:val="4A102644"/>
    <w:rsid w:val="4E885277"/>
    <w:rsid w:val="4EBA0ACE"/>
    <w:rsid w:val="4F7D8710"/>
    <w:rsid w:val="503506B5"/>
    <w:rsid w:val="52263E21"/>
    <w:rsid w:val="545804DE"/>
    <w:rsid w:val="5A486CF3"/>
    <w:rsid w:val="5BFFCD44"/>
    <w:rsid w:val="5CEA3C68"/>
    <w:rsid w:val="5DFCC7A7"/>
    <w:rsid w:val="5E865803"/>
    <w:rsid w:val="5F346A12"/>
    <w:rsid w:val="646D34AC"/>
    <w:rsid w:val="66DC7706"/>
    <w:rsid w:val="677B5F12"/>
    <w:rsid w:val="677CFDBB"/>
    <w:rsid w:val="67A25E15"/>
    <w:rsid w:val="69FB7297"/>
    <w:rsid w:val="6BB602E5"/>
    <w:rsid w:val="6E3366B1"/>
    <w:rsid w:val="6E8F315B"/>
    <w:rsid w:val="6FE4007A"/>
    <w:rsid w:val="70846598"/>
    <w:rsid w:val="727747DC"/>
    <w:rsid w:val="74CD6057"/>
    <w:rsid w:val="768F73C8"/>
    <w:rsid w:val="77FFC298"/>
    <w:rsid w:val="78534423"/>
    <w:rsid w:val="786372CE"/>
    <w:rsid w:val="786417C1"/>
    <w:rsid w:val="79EFAFD4"/>
    <w:rsid w:val="7ABD9523"/>
    <w:rsid w:val="7BFC3351"/>
    <w:rsid w:val="7D5F1383"/>
    <w:rsid w:val="7DC30A69"/>
    <w:rsid w:val="7DD1B86F"/>
    <w:rsid w:val="7DFAD0AA"/>
    <w:rsid w:val="7F7B1B37"/>
    <w:rsid w:val="7F7F0D60"/>
    <w:rsid w:val="7FD7D6CD"/>
    <w:rsid w:val="7FFF2D27"/>
    <w:rsid w:val="95FF090E"/>
    <w:rsid w:val="9FEE0C39"/>
    <w:rsid w:val="AF60CE8B"/>
    <w:rsid w:val="AFE7E75E"/>
    <w:rsid w:val="B7FF5E62"/>
    <w:rsid w:val="BCE692AE"/>
    <w:rsid w:val="BEEF9DFB"/>
    <w:rsid w:val="BFFEE1EA"/>
    <w:rsid w:val="C6455AD5"/>
    <w:rsid w:val="CFFC67F8"/>
    <w:rsid w:val="D5E5B18D"/>
    <w:rsid w:val="DB57B201"/>
    <w:rsid w:val="E1BE6809"/>
    <w:rsid w:val="ECFC37E1"/>
    <w:rsid w:val="ED7FCECE"/>
    <w:rsid w:val="EF2B3356"/>
    <w:rsid w:val="F4EF62F1"/>
    <w:rsid w:val="F6F7AF89"/>
    <w:rsid w:val="F7BF0EC5"/>
    <w:rsid w:val="FAD384A8"/>
    <w:rsid w:val="FBC73C09"/>
    <w:rsid w:val="FBFF3C7D"/>
    <w:rsid w:val="FEDF41EC"/>
    <w:rsid w:val="FF7FDD29"/>
    <w:rsid w:val="FFBFF65B"/>
    <w:rsid w:val="FFEFF0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8"/>
    <w:unhideWhenUsed/>
    <w:qFormat/>
    <w:uiPriority w:val="99"/>
    <w:pPr>
      <w:jc w:val="left"/>
    </w:pPr>
  </w:style>
  <w:style w:type="paragraph" w:styleId="3">
    <w:name w:val="Balloon Text"/>
    <w:basedOn w:val="1"/>
    <w:link w:val="16"/>
    <w:unhideWhenUsed/>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sz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annotation subject"/>
    <w:basedOn w:val="2"/>
    <w:next w:val="2"/>
    <w:link w:val="19"/>
    <w:unhideWhenUsed/>
    <w:qFormat/>
    <w:uiPriority w:val="99"/>
    <w:rPr>
      <w:b/>
      <w:bCs/>
    </w:rPr>
  </w:style>
  <w:style w:type="paragraph" w:styleId="8">
    <w:name w:val="Body Text First Indent 2"/>
    <w:qFormat/>
    <w:uiPriority w:val="0"/>
    <w:pPr>
      <w:widowControl w:val="0"/>
      <w:adjustRightInd w:val="0"/>
      <w:spacing w:line="360" w:lineRule="exact"/>
      <w:ind w:firstLine="420" w:firstLineChars="200"/>
      <w:jc w:val="center"/>
    </w:pPr>
    <w:rPr>
      <w:rFonts w:hint="eastAsia" w:ascii="宋体" w:hAnsi="宋体" w:eastAsia="仿宋_GB2312" w:cs="仿宋_GB2312"/>
      <w:kern w:val="2"/>
      <w:sz w:val="24"/>
      <w:szCs w:val="32"/>
      <w:lang w:val="en-US" w:eastAsia="zh-CN" w:bidi="ar-SA"/>
    </w:rPr>
  </w:style>
  <w:style w:type="character" w:styleId="11">
    <w:name w:val="Hyperlink"/>
    <w:basedOn w:val="10"/>
    <w:unhideWhenUsed/>
    <w:qFormat/>
    <w:uiPriority w:val="99"/>
    <w:rPr>
      <w:color w:val="0000FF"/>
      <w:u w:val="single"/>
    </w:rPr>
  </w:style>
  <w:style w:type="character" w:styleId="12">
    <w:name w:val="annotation reference"/>
    <w:basedOn w:val="10"/>
    <w:unhideWhenUsed/>
    <w:qFormat/>
    <w:uiPriority w:val="99"/>
    <w:rPr>
      <w:sz w:val="21"/>
      <w:szCs w:val="21"/>
    </w:rPr>
  </w:style>
  <w:style w:type="character" w:customStyle="1" w:styleId="13">
    <w:name w:val="页脚 字符"/>
    <w:link w:val="4"/>
    <w:qFormat/>
    <w:uiPriority w:val="99"/>
    <w:rPr>
      <w:sz w:val="18"/>
    </w:rPr>
  </w:style>
  <w:style w:type="character" w:customStyle="1" w:styleId="14">
    <w:name w:val="页脚 字符1"/>
    <w:basedOn w:val="10"/>
    <w:semiHidden/>
    <w:qFormat/>
    <w:uiPriority w:val="99"/>
    <w:rPr>
      <w:sz w:val="18"/>
      <w:szCs w:val="18"/>
    </w:rPr>
  </w:style>
  <w:style w:type="character" w:customStyle="1" w:styleId="15">
    <w:name w:val="页眉 字符"/>
    <w:basedOn w:val="10"/>
    <w:link w:val="5"/>
    <w:qFormat/>
    <w:uiPriority w:val="99"/>
    <w:rPr>
      <w:sz w:val="18"/>
      <w:szCs w:val="18"/>
    </w:rPr>
  </w:style>
  <w:style w:type="character" w:customStyle="1" w:styleId="16">
    <w:name w:val="批注框文本 字符"/>
    <w:basedOn w:val="10"/>
    <w:link w:val="3"/>
    <w:semiHidden/>
    <w:qFormat/>
    <w:uiPriority w:val="99"/>
    <w:rPr>
      <w:rFonts w:asciiTheme="minorHAnsi" w:hAnsiTheme="minorHAnsi" w:eastAsiaTheme="minorEastAsia" w:cstheme="minorBidi"/>
      <w:kern w:val="2"/>
      <w:sz w:val="18"/>
      <w:szCs w:val="18"/>
    </w:rPr>
  </w:style>
  <w:style w:type="character" w:customStyle="1" w:styleId="17">
    <w:name w:val="bus-line"/>
    <w:basedOn w:val="10"/>
    <w:qFormat/>
    <w:uiPriority w:val="0"/>
  </w:style>
  <w:style w:type="character" w:customStyle="1" w:styleId="18">
    <w:name w:val="批注文字 字符"/>
    <w:basedOn w:val="10"/>
    <w:link w:val="2"/>
    <w:qFormat/>
    <w:uiPriority w:val="99"/>
    <w:rPr>
      <w:rFonts w:asciiTheme="minorHAnsi" w:hAnsiTheme="minorHAnsi" w:eastAsiaTheme="minorEastAsia" w:cstheme="minorBidi"/>
      <w:kern w:val="2"/>
      <w:sz w:val="21"/>
      <w:szCs w:val="22"/>
    </w:rPr>
  </w:style>
  <w:style w:type="character" w:customStyle="1" w:styleId="19">
    <w:name w:val="批注主题 字符"/>
    <w:basedOn w:val="18"/>
    <w:link w:val="7"/>
    <w:semiHidden/>
    <w:qFormat/>
    <w:uiPriority w:val="99"/>
    <w:rPr>
      <w:rFonts w:asciiTheme="minorHAnsi" w:hAnsiTheme="minorHAnsi" w:eastAsiaTheme="minorEastAsia" w:cstheme="minorBidi"/>
      <w:b/>
      <w:bCs/>
      <w:kern w:val="2"/>
      <w:sz w:val="21"/>
      <w:szCs w:val="22"/>
    </w:rPr>
  </w:style>
  <w:style w:type="paragraph" w:customStyle="1" w:styleId="20">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Pages>
  <Words>137</Words>
  <Characters>781</Characters>
  <Lines>6</Lines>
  <Paragraphs>1</Paragraphs>
  <TotalTime>28</TotalTime>
  <ScaleCrop>false</ScaleCrop>
  <LinksUpToDate>false</LinksUpToDate>
  <CharactersWithSpaces>917</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2022-11-21T20:01:00Z</dcterms:created>
  <dc:creator>Yuan Zhiting</dc:creator>
  <cp:lastModifiedBy>bzs_zhangyehui</cp:lastModifiedBy>
  <cp:lastPrinted>2023-11-22T10:25:00Z</cp:lastPrinted>
  <dcterms:modified xsi:type="dcterms:W3CDTF">2024-09-24T12:16:50Z</dcterms:modified>
  <dc:title>碧桂园荣汇花园等项目未售出安居型商品房选房交通指引和注意事项</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9FC5012074F14B5CB181FEC06B95C3D0_13</vt:lpwstr>
  </property>
</Properties>
</file>