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jc w:val="left"/>
        <w:rPr>
          <w:rFonts w:ascii="宋体" w:hAnsi="宋体" w:eastAsia="宋体" w:cs="宋体"/>
          <w:b/>
          <w:bCs/>
          <w:color w:val="auto"/>
          <w:kern w:val="0"/>
          <w:highlight w:val="none"/>
        </w:rPr>
      </w:pPr>
      <w:r>
        <w:rPr>
          <w:rFonts w:hint="eastAsia" w:ascii="宋体" w:hAnsi="宋体" w:eastAsia="宋体" w:cs="宋体"/>
          <w:b/>
          <w:bCs/>
          <w:color w:val="auto"/>
          <w:kern w:val="0"/>
          <w:highlight w:val="none"/>
        </w:rPr>
        <w:t>版本号：202</w:t>
      </w:r>
      <w:r>
        <w:rPr>
          <w:rFonts w:hint="eastAsia" w:ascii="宋体" w:hAnsi="宋体" w:eastAsia="宋体" w:cs="宋体"/>
          <w:b/>
          <w:bCs/>
          <w:color w:val="auto"/>
          <w:kern w:val="0"/>
          <w:highlight w:val="none"/>
          <w:lang w:val="en-US" w:eastAsia="zh-CN"/>
        </w:rPr>
        <w:t>4</w:t>
      </w:r>
      <w:r>
        <w:rPr>
          <w:rFonts w:hint="eastAsia" w:ascii="宋体" w:hAnsi="宋体" w:eastAsia="宋体" w:cs="宋体"/>
          <w:b/>
          <w:bCs/>
          <w:color w:val="auto"/>
          <w:kern w:val="0"/>
          <w:highlight w:val="none"/>
        </w:rPr>
        <w:t>年1</w:t>
      </w:r>
      <w:r>
        <w:rPr>
          <w:rFonts w:hint="eastAsia" w:ascii="宋体" w:hAnsi="宋体" w:eastAsia="宋体" w:cs="宋体"/>
          <w:b/>
          <w:bCs/>
          <w:color w:val="auto"/>
          <w:kern w:val="0"/>
          <w:highlight w:val="none"/>
          <w:lang w:val="en-US" w:eastAsia="zh-CN"/>
        </w:rPr>
        <w:t>1</w:t>
      </w:r>
      <w:r>
        <w:rPr>
          <w:rFonts w:hint="eastAsia" w:ascii="宋体" w:hAnsi="宋体" w:eastAsia="宋体" w:cs="宋体"/>
          <w:b/>
          <w:bCs/>
          <w:color w:val="auto"/>
          <w:kern w:val="0"/>
          <w:highlight w:val="none"/>
        </w:rPr>
        <w:t>月版</w:t>
      </w:r>
    </w:p>
    <w:p>
      <w:pPr>
        <w:topLinePunct/>
        <w:adjustRightInd w:val="0"/>
        <w:snapToGrid w:val="0"/>
        <w:spacing w:line="360" w:lineRule="auto"/>
        <w:ind w:firstLine="5481" w:firstLineChars="26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标段编号：</w:t>
      </w:r>
      <w:r>
        <w:rPr>
          <w:rFonts w:hint="eastAsia" w:ascii="宋体" w:hAnsi="宋体" w:eastAsia="宋体" w:cs="宋体"/>
          <w:b/>
          <w:color w:val="auto"/>
          <w:kern w:val="0"/>
          <w:highlight w:val="none"/>
          <w:u w:val="single"/>
        </w:rPr>
        <w:t xml:space="preserve">      </w:t>
      </w:r>
    </w:p>
    <w:p>
      <w:pPr>
        <w:topLinePunct/>
        <w:adjustRightInd w:val="0"/>
        <w:snapToGrid w:val="0"/>
        <w:spacing w:line="360" w:lineRule="auto"/>
        <w:jc w:val="center"/>
        <w:rPr>
          <w:rFonts w:ascii="黑体" w:hAnsi="宋体" w:eastAsia="黑体"/>
          <w:b/>
          <w:color w:val="auto"/>
          <w:kern w:val="0"/>
          <w:sz w:val="72"/>
          <w:szCs w:val="72"/>
          <w:highlight w:val="none"/>
        </w:rPr>
      </w:pPr>
    </w:p>
    <w:p>
      <w:pPr>
        <w:topLinePunct/>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深圳市建设工程</w:t>
      </w:r>
    </w:p>
    <w:p>
      <w:pPr>
        <w:topLinePunct/>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货物类招标文件</w:t>
      </w:r>
    </w:p>
    <w:p>
      <w:pPr>
        <w:topLinePunct/>
        <w:adjustRightInd w:val="0"/>
        <w:snapToGrid w:val="0"/>
        <w:spacing w:line="360" w:lineRule="auto"/>
        <w:jc w:val="center"/>
        <w:rPr>
          <w:rFonts w:ascii="宋体" w:hAnsi="宋体"/>
          <w:b/>
          <w:bCs/>
          <w:color w:val="auto"/>
          <w:kern w:val="0"/>
          <w:sz w:val="28"/>
          <w:szCs w:val="28"/>
          <w:highlight w:val="none"/>
        </w:rPr>
      </w:pPr>
    </w:p>
    <w:p>
      <w:pPr>
        <w:topLinePunct/>
        <w:adjustRightInd w:val="0"/>
        <w:snapToGrid w:val="0"/>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〔示范文本〕</w:t>
      </w:r>
    </w:p>
    <w:p>
      <w:pPr>
        <w:topLinePunct/>
        <w:adjustRightInd w:val="0"/>
        <w:snapToGrid w:val="0"/>
        <w:spacing w:line="360" w:lineRule="auto"/>
        <w:jc w:val="center"/>
        <w:rPr>
          <w:rFonts w:ascii="宋体" w:hAnsi="宋体" w:eastAsia="宋体" w:cs="宋体"/>
          <w:b/>
          <w:bCs/>
          <w:color w:val="auto"/>
          <w:kern w:val="0"/>
          <w:sz w:val="28"/>
          <w:szCs w:val="28"/>
          <w:highlight w:val="none"/>
        </w:rPr>
      </w:pPr>
    </w:p>
    <w:p>
      <w:pPr>
        <w:topLinePunct/>
        <w:adjustRightInd w:val="0"/>
        <w:snapToGrid w:val="0"/>
        <w:spacing w:line="360" w:lineRule="auto"/>
        <w:jc w:val="center"/>
        <w:rPr>
          <w:rFonts w:ascii="宋体" w:hAnsi="宋体" w:eastAsia="宋体" w:cs="宋体"/>
          <w:b/>
          <w:bCs/>
          <w:color w:val="auto"/>
          <w:kern w:val="0"/>
          <w:sz w:val="28"/>
          <w:szCs w:val="28"/>
          <w:highlight w:val="none"/>
        </w:rPr>
      </w:pPr>
    </w:p>
    <w:tbl>
      <w:tblPr>
        <w:tblStyle w:val="81"/>
        <w:tblW w:w="9288" w:type="dxa"/>
        <w:jc w:val="center"/>
        <w:tblLayout w:type="fixed"/>
        <w:tblCellMar>
          <w:top w:w="0" w:type="dxa"/>
          <w:left w:w="108" w:type="dxa"/>
          <w:bottom w:w="0" w:type="dxa"/>
          <w:right w:w="108" w:type="dxa"/>
        </w:tblCellMar>
      </w:tblPr>
      <w:tblGrid>
        <w:gridCol w:w="3045"/>
        <w:gridCol w:w="6243"/>
      </w:tblGrid>
      <w:tr>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标 段 名 称：</w:t>
            </w:r>
          </w:p>
        </w:tc>
        <w:tc>
          <w:tcPr>
            <w:tcW w:w="6243" w:type="dxa"/>
            <w:shd w:val="clear" w:color="auto" w:fill="auto"/>
            <w:vAlign w:val="center"/>
          </w:tcPr>
          <w:p>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招  标  人 ：</w:t>
            </w:r>
          </w:p>
        </w:tc>
        <w:tc>
          <w:tcPr>
            <w:tcW w:w="6243" w:type="dxa"/>
            <w:shd w:val="clear" w:color="auto" w:fill="auto"/>
            <w:vAlign w:val="center"/>
          </w:tcPr>
          <w:p>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ind w:right="300"/>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法 定 代 表 人</w:t>
            </w:r>
          </w:p>
          <w:p>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或其委托代理人：</w:t>
            </w:r>
          </w:p>
        </w:tc>
        <w:tc>
          <w:tcPr>
            <w:tcW w:w="6243" w:type="dxa"/>
            <w:shd w:val="clear" w:color="auto" w:fill="auto"/>
            <w:vAlign w:val="center"/>
          </w:tcPr>
          <w:p>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招标代理机构：</w:t>
            </w:r>
          </w:p>
        </w:tc>
        <w:tc>
          <w:tcPr>
            <w:tcW w:w="6243" w:type="dxa"/>
            <w:shd w:val="clear" w:color="auto" w:fill="auto"/>
            <w:vAlign w:val="center"/>
          </w:tcPr>
          <w:p>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ind w:right="300"/>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法 定 代 表 人</w:t>
            </w:r>
          </w:p>
          <w:p>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或其委托代理人：</w:t>
            </w:r>
          </w:p>
        </w:tc>
        <w:tc>
          <w:tcPr>
            <w:tcW w:w="6243" w:type="dxa"/>
            <w:shd w:val="clear" w:color="auto" w:fill="auto"/>
            <w:vAlign w:val="center"/>
          </w:tcPr>
          <w:p>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bl>
    <w:p>
      <w:pPr>
        <w:widowControl/>
        <w:jc w:val="center"/>
        <w:rPr>
          <w:b/>
          <w:bCs/>
          <w:color w:val="auto"/>
          <w:sz w:val="36"/>
          <w:szCs w:val="36"/>
          <w:highlight w:val="none"/>
        </w:rPr>
      </w:pPr>
      <w:bookmarkStart w:id="0" w:name="_Toc45702685"/>
      <w:r>
        <w:rPr>
          <w:rFonts w:hint="eastAsia"/>
          <w:color w:val="auto"/>
          <w:highlight w:val="none"/>
        </w:rPr>
        <w:br w:type="page"/>
      </w:r>
      <w:r>
        <w:rPr>
          <w:rFonts w:hint="eastAsia" w:ascii="宋体" w:hAnsi="宋体" w:eastAsia="宋体" w:cs="宋体"/>
          <w:b/>
          <w:bCs/>
          <w:color w:val="auto"/>
          <w:sz w:val="36"/>
          <w:szCs w:val="36"/>
          <w:highlight w:val="none"/>
        </w:rPr>
        <w:t>目 录</w:t>
      </w:r>
    </w:p>
    <w:p>
      <w:pPr>
        <w:pStyle w:val="56"/>
        <w:tabs>
          <w:tab w:val="right" w:leader="dot" w:pos="9072"/>
        </w:tabs>
        <w:rPr>
          <w:rFonts w:ascii="宋体" w:hAnsi="宋体" w:cs="宋体"/>
          <w:b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"_Toc12964" </w:instrText>
      </w:r>
      <w:r>
        <w:rPr>
          <w:color w:val="auto"/>
          <w:highlight w:val="none"/>
        </w:rPr>
        <w:fldChar w:fldCharType="separate"/>
      </w:r>
      <w:r>
        <w:rPr>
          <w:rFonts w:hint="eastAsia" w:ascii="宋体" w:hAnsi="宋体" w:cs="宋体"/>
          <w:b w:val="0"/>
          <w:caps w:val="0"/>
          <w:color w:val="auto"/>
          <w:kern w:val="0"/>
          <w:sz w:val="24"/>
          <w:szCs w:val="24"/>
          <w:highlight w:val="none"/>
        </w:rPr>
        <w:t>第一章  使用说明</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_Toc12964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3</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"_Toc2697" </w:instrText>
      </w:r>
      <w:r>
        <w:rPr>
          <w:color w:val="auto"/>
          <w:highlight w:val="none"/>
        </w:rPr>
        <w:fldChar w:fldCharType="separate"/>
      </w:r>
      <w:r>
        <w:rPr>
          <w:rFonts w:hint="eastAsia" w:ascii="宋体" w:hAnsi="宋体" w:cs="宋体"/>
          <w:b w:val="0"/>
          <w:caps w:val="0"/>
          <w:color w:val="auto"/>
          <w:kern w:val="0"/>
          <w:sz w:val="24"/>
          <w:szCs w:val="24"/>
          <w:highlight w:val="none"/>
        </w:rPr>
        <w:t>第二章  投标须知</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_Toc2697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7</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"_Toc22542" </w:instrText>
      </w:r>
      <w:r>
        <w:rPr>
          <w:color w:val="auto"/>
          <w:highlight w:val="none"/>
        </w:rPr>
        <w:fldChar w:fldCharType="separate"/>
      </w:r>
      <w:r>
        <w:rPr>
          <w:rFonts w:hint="eastAsia" w:ascii="宋体" w:hAnsi="宋体" w:cs="宋体"/>
          <w:smallCaps w:val="0"/>
          <w:color w:val="auto"/>
          <w:kern w:val="0"/>
          <w:sz w:val="24"/>
          <w:szCs w:val="24"/>
          <w:highlight w:val="none"/>
        </w:rPr>
        <w:t>一、投标须知前附表</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_Toc22542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"_Toc23057" </w:instrText>
      </w:r>
      <w:r>
        <w:rPr>
          <w:color w:val="auto"/>
          <w:highlight w:val="none"/>
        </w:rPr>
        <w:fldChar w:fldCharType="separate"/>
      </w:r>
      <w:r>
        <w:rPr>
          <w:rFonts w:hint="eastAsia" w:ascii="宋体" w:hAnsi="宋体" w:cs="宋体"/>
          <w:smallCaps w:val="0"/>
          <w:color w:val="auto"/>
          <w:kern w:val="0"/>
          <w:sz w:val="24"/>
          <w:szCs w:val="24"/>
          <w:highlight w:val="none"/>
        </w:rPr>
        <w:t>（一）招标工程情况介绍</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_Toc23057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12</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"_Toc5571" </w:instrText>
      </w:r>
      <w:r>
        <w:rPr>
          <w:color w:val="auto"/>
          <w:highlight w:val="none"/>
        </w:rPr>
        <w:fldChar w:fldCharType="separate"/>
      </w:r>
      <w:r>
        <w:rPr>
          <w:rFonts w:hint="eastAsia" w:ascii="宋体" w:hAnsi="宋体" w:cs="宋体"/>
          <w:smallCaps w:val="0"/>
          <w:color w:val="auto"/>
          <w:kern w:val="0"/>
          <w:sz w:val="24"/>
          <w:szCs w:val="24"/>
          <w:highlight w:val="none"/>
        </w:rPr>
        <w:t>（二）招标投标分段限时投诉的规定</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_Toc5571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12</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"_Toc22827" </w:instrText>
      </w:r>
      <w:r>
        <w:rPr>
          <w:color w:val="auto"/>
          <w:highlight w:val="none"/>
        </w:rPr>
        <w:fldChar w:fldCharType="separate"/>
      </w:r>
      <w:r>
        <w:rPr>
          <w:rFonts w:hint="eastAsia" w:ascii="宋体" w:hAnsi="宋体" w:cs="宋体"/>
          <w:smallCaps w:val="0"/>
          <w:color w:val="auto"/>
          <w:kern w:val="0"/>
          <w:sz w:val="24"/>
          <w:szCs w:val="24"/>
          <w:highlight w:val="none"/>
        </w:rPr>
        <w:t>二、投标文件否决性条款</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_Toc22827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13</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"_Toc14440" </w:instrText>
      </w:r>
      <w:r>
        <w:rPr>
          <w:color w:val="auto"/>
          <w:highlight w:val="none"/>
        </w:rPr>
        <w:fldChar w:fldCharType="separate"/>
      </w:r>
      <w:r>
        <w:rPr>
          <w:rFonts w:hint="eastAsia" w:ascii="宋体" w:hAnsi="宋体" w:cs="宋体"/>
          <w:smallCaps w:val="0"/>
          <w:color w:val="auto"/>
          <w:kern w:val="0"/>
          <w:sz w:val="24"/>
          <w:szCs w:val="24"/>
          <w:highlight w:val="none"/>
        </w:rPr>
        <w:t>三、招投标须知正文</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_Toc14440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16</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"_Toc14211" </w:instrText>
      </w:r>
      <w:r>
        <w:rPr>
          <w:color w:val="auto"/>
          <w:highlight w:val="none"/>
        </w:rPr>
        <w:fldChar w:fldCharType="separate"/>
      </w:r>
      <w:r>
        <w:rPr>
          <w:rFonts w:hint="eastAsia" w:ascii="宋体" w:hAnsi="宋体" w:cs="宋体"/>
          <w:i w:val="0"/>
          <w:color w:val="auto"/>
          <w:sz w:val="24"/>
          <w:szCs w:val="24"/>
          <w:highlight w:val="none"/>
        </w:rPr>
        <w:t>（一）招标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_Toc14211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16</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"_Toc22570" </w:instrText>
      </w:r>
      <w:r>
        <w:rPr>
          <w:color w:val="auto"/>
          <w:highlight w:val="none"/>
        </w:rPr>
        <w:fldChar w:fldCharType="separate"/>
      </w:r>
      <w:r>
        <w:rPr>
          <w:rFonts w:hint="eastAsia" w:ascii="宋体" w:hAnsi="宋体" w:cs="宋体"/>
          <w:i w:val="0"/>
          <w:color w:val="auto"/>
          <w:sz w:val="24"/>
          <w:szCs w:val="24"/>
          <w:highlight w:val="none"/>
        </w:rPr>
        <w:t>（二）投标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_Toc22570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17</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"_Toc32508" </w:instrText>
      </w:r>
      <w:r>
        <w:rPr>
          <w:color w:val="auto"/>
          <w:highlight w:val="none"/>
        </w:rPr>
        <w:fldChar w:fldCharType="separate"/>
      </w:r>
      <w:r>
        <w:rPr>
          <w:rFonts w:hint="eastAsia" w:ascii="宋体" w:hAnsi="宋体" w:cs="宋体"/>
          <w:i w:val="0"/>
          <w:color w:val="auto"/>
          <w:sz w:val="24"/>
          <w:szCs w:val="24"/>
          <w:highlight w:val="none"/>
        </w:rPr>
        <w:t>（三）资格后审</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_Toc32508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"_Toc2087" </w:instrText>
      </w:r>
      <w:r>
        <w:rPr>
          <w:color w:val="auto"/>
          <w:highlight w:val="none"/>
        </w:rPr>
        <w:fldChar w:fldCharType="separate"/>
      </w:r>
      <w:r>
        <w:rPr>
          <w:rFonts w:hint="eastAsia" w:ascii="宋体" w:hAnsi="宋体" w:cs="宋体"/>
          <w:i w:val="0"/>
          <w:color w:val="auto"/>
          <w:sz w:val="24"/>
          <w:szCs w:val="24"/>
          <w:highlight w:val="none"/>
        </w:rPr>
        <w:t>（四）开 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_Toc2087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"_Toc27635" </w:instrText>
      </w:r>
      <w:r>
        <w:rPr>
          <w:color w:val="auto"/>
          <w:highlight w:val="none"/>
        </w:rPr>
        <w:fldChar w:fldCharType="separate"/>
      </w:r>
      <w:r>
        <w:rPr>
          <w:rFonts w:hint="eastAsia" w:ascii="宋体" w:hAnsi="宋体" w:cs="宋体"/>
          <w:i w:val="0"/>
          <w:color w:val="auto"/>
          <w:sz w:val="24"/>
          <w:szCs w:val="24"/>
          <w:highlight w:val="none"/>
        </w:rPr>
        <w:t>（五）评 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_Toc27635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23</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"_Toc6676" </w:instrText>
      </w:r>
      <w:r>
        <w:rPr>
          <w:color w:val="auto"/>
          <w:highlight w:val="none"/>
        </w:rPr>
        <w:fldChar w:fldCharType="separate"/>
      </w:r>
      <w:r>
        <w:rPr>
          <w:rFonts w:hint="eastAsia" w:ascii="宋体" w:hAnsi="宋体" w:cs="宋体"/>
          <w:i w:val="0"/>
          <w:color w:val="auto"/>
          <w:sz w:val="24"/>
          <w:szCs w:val="24"/>
          <w:highlight w:val="none"/>
        </w:rPr>
        <w:t>（六）定标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_Toc6676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27</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"_Toc15577" </w:instrText>
      </w:r>
      <w:r>
        <w:rPr>
          <w:color w:val="auto"/>
          <w:highlight w:val="none"/>
        </w:rPr>
        <w:fldChar w:fldCharType="separate"/>
      </w:r>
      <w:r>
        <w:rPr>
          <w:rFonts w:hint="eastAsia" w:ascii="宋体" w:hAnsi="宋体" w:cs="宋体"/>
          <w:i w:val="0"/>
          <w:color w:val="auto"/>
          <w:sz w:val="24"/>
          <w:szCs w:val="24"/>
          <w:highlight w:val="none"/>
        </w:rPr>
        <w:t>（七）中标通知书</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_Toc15577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32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"_Toc24577" </w:instrText>
      </w:r>
      <w:r>
        <w:rPr>
          <w:color w:val="auto"/>
          <w:highlight w:val="none"/>
        </w:rPr>
        <w:fldChar w:fldCharType="separate"/>
      </w:r>
      <w:r>
        <w:rPr>
          <w:rFonts w:hint="eastAsia" w:ascii="宋体" w:hAnsi="宋体" w:cs="宋体"/>
          <w:i w:val="0"/>
          <w:color w:val="auto"/>
          <w:sz w:val="24"/>
          <w:szCs w:val="24"/>
          <w:highlight w:val="none"/>
        </w:rPr>
        <w:t>（八）合同的授予</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_Toc24577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32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"_Toc23378" </w:instrText>
      </w:r>
      <w:r>
        <w:rPr>
          <w:color w:val="auto"/>
          <w:highlight w:val="none"/>
        </w:rPr>
        <w:fldChar w:fldCharType="separate"/>
      </w:r>
      <w:r>
        <w:rPr>
          <w:rFonts w:hint="eastAsia" w:ascii="宋体" w:hAnsi="宋体" w:cs="宋体"/>
          <w:b w:val="0"/>
          <w:caps w:val="0"/>
          <w:color w:val="auto"/>
          <w:kern w:val="0"/>
          <w:sz w:val="24"/>
          <w:szCs w:val="24"/>
          <w:highlight w:val="none"/>
        </w:rPr>
        <w:t>第三章  招标人对招标文件及合同范本的补充/修改</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_Toc23378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34</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"_Toc25974" </w:instrText>
      </w:r>
      <w:r>
        <w:rPr>
          <w:color w:val="auto"/>
          <w:highlight w:val="none"/>
        </w:rPr>
        <w:fldChar w:fldCharType="separate"/>
      </w:r>
      <w:r>
        <w:rPr>
          <w:rFonts w:hint="eastAsia" w:ascii="宋体" w:hAnsi="宋体" w:cs="宋体"/>
          <w:b w:val="0"/>
          <w:caps w:val="0"/>
          <w:color w:val="auto"/>
          <w:kern w:val="0"/>
          <w:sz w:val="24"/>
          <w:szCs w:val="24"/>
          <w:highlight w:val="none"/>
        </w:rPr>
        <w:t>第四章  投标文件格式</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_Toc25974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35</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"_Toc4977" </w:instrText>
      </w:r>
      <w:r>
        <w:rPr>
          <w:color w:val="auto"/>
          <w:highlight w:val="none"/>
        </w:rPr>
        <w:fldChar w:fldCharType="separate"/>
      </w:r>
      <w:r>
        <w:rPr>
          <w:rFonts w:hint="eastAsia" w:ascii="宋体" w:hAnsi="宋体" w:cs="宋体"/>
          <w:smallCaps w:val="0"/>
          <w:color w:val="auto"/>
          <w:kern w:val="0"/>
          <w:sz w:val="24"/>
          <w:szCs w:val="24"/>
          <w:highlight w:val="none"/>
        </w:rPr>
        <w:t>资格审查标书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_Toc4977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36</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"_Toc8765" </w:instrText>
      </w:r>
      <w:r>
        <w:rPr>
          <w:color w:val="auto"/>
          <w:highlight w:val="none"/>
        </w:rPr>
        <w:fldChar w:fldCharType="separate"/>
      </w:r>
      <w:r>
        <w:rPr>
          <w:rFonts w:hint="eastAsia" w:ascii="宋体" w:hAnsi="宋体" w:cs="宋体"/>
          <w:smallCaps w:val="0"/>
          <w:color w:val="auto"/>
          <w:kern w:val="0"/>
          <w:sz w:val="24"/>
          <w:szCs w:val="24"/>
          <w:highlight w:val="none"/>
        </w:rPr>
        <w:t>资信标书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_Toc8765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37</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"_Toc29141" </w:instrText>
      </w:r>
      <w:r>
        <w:rPr>
          <w:color w:val="auto"/>
          <w:highlight w:val="none"/>
        </w:rPr>
        <w:fldChar w:fldCharType="separate"/>
      </w:r>
      <w:r>
        <w:rPr>
          <w:rFonts w:hint="eastAsia" w:ascii="宋体" w:hAnsi="宋体" w:cs="宋体"/>
          <w:smallCaps w:val="0"/>
          <w:color w:val="auto"/>
          <w:kern w:val="0"/>
          <w:sz w:val="24"/>
          <w:szCs w:val="24"/>
          <w:highlight w:val="none"/>
        </w:rPr>
        <w:t>技术标书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_Toc29141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57</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"_Toc31879" </w:instrText>
      </w:r>
      <w:r>
        <w:rPr>
          <w:color w:val="auto"/>
          <w:highlight w:val="none"/>
        </w:rPr>
        <w:fldChar w:fldCharType="separate"/>
      </w:r>
      <w:r>
        <w:rPr>
          <w:rFonts w:hint="eastAsia" w:ascii="宋体" w:hAnsi="宋体" w:cs="宋体"/>
          <w:smallCaps w:val="0"/>
          <w:color w:val="auto"/>
          <w:kern w:val="0"/>
          <w:sz w:val="24"/>
          <w:szCs w:val="24"/>
          <w:highlight w:val="none"/>
        </w:rPr>
        <w:t>商务标书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_Toc31879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63</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"_Toc26545" </w:instrText>
      </w:r>
      <w:r>
        <w:rPr>
          <w:color w:val="auto"/>
          <w:highlight w:val="none"/>
        </w:rPr>
        <w:fldChar w:fldCharType="separate"/>
      </w:r>
      <w:r>
        <w:rPr>
          <w:rFonts w:hint="eastAsia" w:ascii="宋体" w:hAnsi="宋体" w:cs="宋体"/>
          <w:smallCaps w:val="0"/>
          <w:color w:val="auto"/>
          <w:kern w:val="0"/>
          <w:sz w:val="24"/>
          <w:szCs w:val="24"/>
          <w:highlight w:val="none"/>
        </w:rPr>
        <w:t>业绩文件</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_Toc26545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69</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smallCaps w:val="0"/>
          <w:color w:val="auto"/>
          <w:kern w:val="0"/>
          <w:sz w:val="24"/>
          <w:szCs w:val="24"/>
          <w:highlight w:val="none"/>
        </w:rPr>
        <w:t>二次报价文件</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_Toc23903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72</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"_Toc3075" </w:instrText>
      </w:r>
      <w:r>
        <w:rPr>
          <w:color w:val="auto"/>
          <w:highlight w:val="none"/>
        </w:rPr>
        <w:fldChar w:fldCharType="separate"/>
      </w:r>
      <w:r>
        <w:rPr>
          <w:rFonts w:hint="eastAsia" w:ascii="宋体" w:hAnsi="宋体" w:cs="宋体"/>
          <w:b w:val="0"/>
          <w:caps w:val="0"/>
          <w:color w:val="auto"/>
          <w:kern w:val="0"/>
          <w:sz w:val="24"/>
          <w:szCs w:val="24"/>
          <w:highlight w:val="none"/>
        </w:rPr>
        <w:t>第五章  货物需求书</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_Toc3075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78</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"_Toc29056" </w:instrText>
      </w:r>
      <w:r>
        <w:rPr>
          <w:color w:val="auto"/>
          <w:highlight w:val="none"/>
        </w:rPr>
        <w:fldChar w:fldCharType="separate"/>
      </w:r>
      <w:r>
        <w:rPr>
          <w:rFonts w:hint="eastAsia" w:ascii="宋体" w:hAnsi="宋体" w:cs="宋体"/>
          <w:smallCaps w:val="0"/>
          <w:color w:val="auto"/>
          <w:kern w:val="0"/>
          <w:sz w:val="24"/>
          <w:szCs w:val="24"/>
          <w:highlight w:val="none"/>
        </w:rPr>
        <w:t>第一节  货物需求及数量一览表</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_Toc29056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78</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"_Toc19328" </w:instrText>
      </w:r>
      <w:r>
        <w:rPr>
          <w:color w:val="auto"/>
          <w:highlight w:val="none"/>
        </w:rPr>
        <w:fldChar w:fldCharType="separate"/>
      </w:r>
      <w:r>
        <w:rPr>
          <w:rFonts w:hint="eastAsia" w:ascii="宋体" w:hAnsi="宋体" w:cs="宋体"/>
          <w:smallCaps w:val="0"/>
          <w:color w:val="auto"/>
          <w:kern w:val="0"/>
          <w:sz w:val="24"/>
          <w:szCs w:val="24"/>
          <w:highlight w:val="none"/>
        </w:rPr>
        <w:t>第二节  项目实质性要求和条件</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_Toc19328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79</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"_Toc16903" </w:instrText>
      </w:r>
      <w:r>
        <w:rPr>
          <w:color w:val="auto"/>
          <w:highlight w:val="none"/>
        </w:rPr>
        <w:fldChar w:fldCharType="separate"/>
      </w:r>
      <w:r>
        <w:rPr>
          <w:rFonts w:hint="eastAsia" w:ascii="宋体" w:hAnsi="宋体" w:cs="宋体"/>
          <w:i w:val="0"/>
          <w:color w:val="auto"/>
          <w:kern w:val="0"/>
          <w:sz w:val="24"/>
          <w:szCs w:val="24"/>
          <w:highlight w:val="none"/>
        </w:rPr>
        <w:t>一、资信条款不可偏离表</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_Toc16903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79</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"_Toc9484" </w:instrText>
      </w:r>
      <w:r>
        <w:rPr>
          <w:color w:val="auto"/>
          <w:highlight w:val="none"/>
        </w:rPr>
        <w:fldChar w:fldCharType="separate"/>
      </w:r>
      <w:r>
        <w:rPr>
          <w:rFonts w:hint="eastAsia" w:ascii="宋体" w:hAnsi="宋体" w:cs="宋体"/>
          <w:i w:val="0"/>
          <w:color w:val="auto"/>
          <w:kern w:val="0"/>
          <w:sz w:val="24"/>
          <w:szCs w:val="24"/>
          <w:highlight w:val="none"/>
        </w:rPr>
        <w:t>二、技术性能不可偏离表</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_Toc9484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80</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"_Toc27552" </w:instrText>
      </w:r>
      <w:r>
        <w:rPr>
          <w:color w:val="auto"/>
          <w:highlight w:val="none"/>
        </w:rPr>
        <w:fldChar w:fldCharType="separate"/>
      </w:r>
      <w:r>
        <w:rPr>
          <w:rFonts w:hint="eastAsia" w:ascii="宋体" w:hAnsi="宋体" w:cs="宋体"/>
          <w:i w:val="0"/>
          <w:color w:val="auto"/>
          <w:kern w:val="0"/>
          <w:sz w:val="24"/>
          <w:szCs w:val="24"/>
          <w:highlight w:val="none"/>
        </w:rPr>
        <w:t>三、商务条款不可偏离表</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_Toc27552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81</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"_Toc16045" </w:instrText>
      </w:r>
      <w:r>
        <w:rPr>
          <w:color w:val="auto"/>
          <w:highlight w:val="none"/>
        </w:rPr>
        <w:fldChar w:fldCharType="separate"/>
      </w:r>
      <w:r>
        <w:rPr>
          <w:rFonts w:hint="eastAsia" w:ascii="宋体" w:hAnsi="宋体" w:cs="宋体"/>
          <w:b w:val="0"/>
          <w:caps w:val="0"/>
          <w:color w:val="auto"/>
          <w:kern w:val="0"/>
          <w:sz w:val="24"/>
          <w:szCs w:val="24"/>
          <w:highlight w:val="none"/>
        </w:rPr>
        <w:t>第六章  合同条款及格式</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_Toc16045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82</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pStyle w:val="56"/>
        <w:tabs>
          <w:tab w:val="right" w:leader="dot" w:pos="9072"/>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"_Toc12311" </w:instrText>
      </w:r>
      <w:r>
        <w:rPr>
          <w:color w:val="auto"/>
          <w:highlight w:val="none"/>
        </w:rPr>
        <w:fldChar w:fldCharType="separate"/>
      </w:r>
      <w:r>
        <w:rPr>
          <w:rFonts w:hint="eastAsia" w:ascii="宋体" w:hAnsi="宋体" w:cs="宋体"/>
          <w:b w:val="0"/>
          <w:caps w:val="0"/>
          <w:color w:val="auto"/>
          <w:kern w:val="0"/>
          <w:sz w:val="24"/>
          <w:szCs w:val="24"/>
          <w:highlight w:val="none"/>
        </w:rPr>
        <w:t>第七章  技术要求</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_Toc12311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83</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pPr>
        <w:widowControl/>
        <w:jc w:val="center"/>
        <w:rPr>
          <w:b/>
          <w:bCs/>
          <w:color w:val="auto"/>
          <w:sz w:val="32"/>
          <w:szCs w:val="32"/>
          <w:highlight w:val="none"/>
        </w:rPr>
      </w:pPr>
      <w:r>
        <w:rPr>
          <w:rFonts w:hint="eastAsia" w:ascii="宋体" w:hAnsi="宋体" w:eastAsia="宋体" w:cs="宋体"/>
          <w:bCs/>
          <w:color w:val="auto"/>
          <w:sz w:val="24"/>
          <w:szCs w:val="24"/>
          <w:highlight w:val="none"/>
        </w:rPr>
        <w:fldChar w:fldCharType="end"/>
      </w:r>
    </w:p>
    <w:p>
      <w:pPr>
        <w:rPr>
          <w:color w:val="auto"/>
          <w:highlight w:val="none"/>
        </w:rPr>
      </w:pPr>
      <w:r>
        <w:rPr>
          <w:rFonts w:hint="eastAsia"/>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1" w:name="_Toc12964"/>
      <w:r>
        <w:rPr>
          <w:rFonts w:hint="eastAsia" w:ascii="黑体" w:eastAsia="黑体"/>
          <w:bCs/>
          <w:color w:val="auto"/>
          <w:kern w:val="0"/>
          <w:sz w:val="32"/>
          <w:szCs w:val="32"/>
          <w:highlight w:val="none"/>
        </w:rPr>
        <w:t>第一章  使用说明</w:t>
      </w:r>
      <w:bookmarkEnd w:id="0"/>
      <w:bookmarkEnd w:id="1"/>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为了规范工程建设项目货物招标投标活动，保障招标人和投标人的合法权益，根据国家及深圳市有关法律、法规、规章和规范性文件的规定，结合我市实际，遵循公开、公平、公正和诚实信用的原则，深圳市住房和建设局制定了《深圳市建设工程货物类招标文件示范文本》（以下简称“本范本”）。</w:t>
      </w:r>
    </w:p>
    <w:p>
      <w:pPr>
        <w:topLinePunct/>
        <w:adjustRightInd w:val="0"/>
        <w:snapToGrid w:val="0"/>
        <w:spacing w:line="360" w:lineRule="auto"/>
        <w:ind w:left="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w:t>
      </w:r>
      <w:r>
        <w:rPr>
          <w:rFonts w:hint="eastAsia" w:ascii="宋体" w:hAnsi="宋体" w:eastAsia="宋体" w:cs="宋体"/>
          <w:color w:val="auto"/>
          <w:szCs w:val="21"/>
          <w:highlight w:val="none"/>
        </w:rPr>
        <w:t>范本</w:t>
      </w:r>
      <w:r>
        <w:rPr>
          <w:rFonts w:hint="eastAsia" w:ascii="宋体" w:hAnsi="宋体" w:eastAsia="宋体" w:cs="宋体"/>
          <w:color w:val="auto"/>
          <w:kern w:val="0"/>
          <w:szCs w:val="21"/>
          <w:highlight w:val="none"/>
        </w:rPr>
        <w:t>适用于采用评定分离、并采用计算机评标系统评标的深圳市货物类招标工程。</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三、本范本的主要编写依据：</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3．《中华人民共和国民法典》；</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《电子招标投标办法》；</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5．《深圳经济特区建设工程施工招标投标条例》；</w:t>
      </w:r>
    </w:p>
    <w:p>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6．《工程建设项目货物招标投标办法》（国家建设等7部委第27号令）；</w:t>
      </w:r>
    </w:p>
    <w:p>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7. 《关于创新完善体制机制推动招标投标市场规范健康发展的意见》(国办发〔2024〕21号）；</w:t>
      </w:r>
    </w:p>
    <w:p>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．《关于建设工程招标投标改革若干规定》（深府〔2015〕73号）；</w:t>
      </w:r>
    </w:p>
    <w:p>
      <w:pPr>
        <w:topLinePunct/>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．《关于进一步完善建设工程招标投标制度的若干措施》(深建规〔2020〕1号)；</w:t>
      </w:r>
    </w:p>
    <w:p>
      <w:pPr>
        <w:topLinePunct/>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.其</w:t>
      </w:r>
      <w:r>
        <w:rPr>
          <w:rFonts w:hint="eastAsia" w:ascii="宋体" w:hAnsi="宋体" w:eastAsia="宋体" w:cs="宋体"/>
          <w:color w:val="auto"/>
          <w:szCs w:val="21"/>
          <w:highlight w:val="none"/>
        </w:rPr>
        <w:t>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仿宋_GB2312" w:hAnsi="仿宋_GB2312" w:eastAsia="仿宋_GB2312" w:cs="仿宋_GB2312"/>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pPr>
        <w:wordWrap w:val="0"/>
        <w:topLinePunct w:val="0"/>
        <w:adjustRightInd w:val="0"/>
        <w:snapToGrid w:val="0"/>
        <w:spacing w:line="4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五、本招标文件</w:t>
      </w:r>
      <w:r>
        <w:rPr>
          <w:rFonts w:hint="eastAsia" w:ascii="宋体" w:hAnsi="宋体" w:eastAsia="宋体" w:cs="宋体"/>
          <w:color w:val="auto"/>
          <w:szCs w:val="21"/>
          <w:highlight w:val="none"/>
        </w:rPr>
        <w:t>所指交易网为：深圳公共资源交易网（http://www.szggzy.com/）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pPr>
        <w:adjustRightInd w:val="0"/>
        <w:snapToGrid w:val="0"/>
        <w:spacing w:line="4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六、招标人和投标人应事先办理企业数字证书或电子营业执照以及相关人员的数字证书（商务标书由非投标单位的造价工程师编制的，该造价工程师也应办理数字证书）。有关手续请查看交易网中的</w:t>
      </w:r>
      <w:r>
        <w:rPr>
          <w:rFonts w:hint="eastAsia" w:ascii="宋体" w:hAnsi="宋体" w:eastAsia="宋体" w:cs="宋体"/>
          <w:color w:val="auto"/>
          <w:szCs w:val="21"/>
          <w:highlight w:val="none"/>
        </w:rPr>
        <w:t>“建设工程数字证书办事指南”</w:t>
      </w:r>
      <w:r>
        <w:rPr>
          <w:rFonts w:hint="eastAsia" w:ascii="宋体" w:hAnsi="宋体" w:eastAsia="宋体" w:cs="宋体"/>
          <w:snapToGrid w:val="0"/>
          <w:color w:val="auto"/>
          <w:kern w:val="0"/>
          <w:szCs w:val="21"/>
          <w:highlight w:val="none"/>
        </w:rPr>
        <w:t>。使用电子营业执照的，须提前在国家市场监督管理监管总局“电子营业执照”微信小程序电子营业执照应用程序中下载本企业电子营业执照，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snapToGrid w:val="0"/>
          <w:color w:val="auto"/>
          <w:kern w:val="0"/>
          <w:szCs w:val="21"/>
          <w:highlight w:val="none"/>
        </w:rPr>
        <w:t>七、</w:t>
      </w:r>
      <w:r>
        <w:rPr>
          <w:rFonts w:hint="eastAsia" w:ascii="宋体" w:hAnsi="宋体" w:eastAsia="宋体" w:cs="宋体"/>
          <w:color w:val="auto"/>
          <w:szCs w:val="21"/>
          <w:highlight w:val="none"/>
        </w:rPr>
        <w:t>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八、有关招标问题的说明</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文件中的所有空格招标人必须按实填写，无内容或不采用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2．招标文件的建设规模应描述整个建设项目的规模情况和使用功能。</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3．招标文件的招标范围，应详细说明本次招标工程的具体项目、结构类型等项目特征。</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4．采用本示范文本以外的评标方法应经建设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行政主管部门批准，并且必须在招标文件的评标方法中进行详细描述。</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5.采用本示范文本以外的定标方法应经建设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行政主管部门批准，并且必须在招标文件中进行详细描述。</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6.招标人注意事项：</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6.1招标人提交的电子招标文件格式为*.</w:t>
      </w:r>
      <w:r>
        <w:rPr>
          <w:color w:val="auto"/>
          <w:highlight w:val="none"/>
        </w:rPr>
        <w:t>HWZB</w:t>
      </w:r>
      <w:r>
        <w:rPr>
          <w:rFonts w:hint="eastAsia" w:ascii="宋体" w:hAnsi="宋体" w:eastAsia="宋体" w:cs="宋体"/>
          <w:snapToGrid w:val="0"/>
          <w:color w:val="auto"/>
          <w:kern w:val="0"/>
          <w:szCs w:val="21"/>
          <w:highlight w:val="none"/>
        </w:rPr>
        <w:t>或*.</w:t>
      </w:r>
      <w:r>
        <w:rPr>
          <w:color w:val="auto"/>
          <w:highlight w:val="none"/>
        </w:rPr>
        <w:t>TYZB</w:t>
      </w:r>
      <w:r>
        <w:rPr>
          <w:rFonts w:hint="eastAsia" w:ascii="宋体" w:hAnsi="宋体" w:eastAsia="宋体" w:cs="宋体"/>
          <w:snapToGrid w:val="0"/>
          <w:color w:val="auto"/>
          <w:kern w:val="0"/>
          <w:szCs w:val="21"/>
          <w:highlight w:val="none"/>
        </w:rPr>
        <w:t>，且必须是</w:t>
      </w:r>
      <w:r>
        <w:rPr>
          <w:rFonts w:hint="eastAsia" w:ascii="宋体" w:hAnsi="宋体" w:eastAsia="宋体" w:cs="宋体"/>
          <w:color w:val="auto"/>
          <w:kern w:val="0"/>
          <w:szCs w:val="21"/>
          <w:highlight w:val="none"/>
          <w:lang w:val="en-US" w:eastAsia="zh-CN"/>
        </w:rPr>
        <w:t>交易平台在线编制</w:t>
      </w:r>
      <w:r>
        <w:rPr>
          <w:rFonts w:hint="eastAsia" w:ascii="宋体" w:hAnsi="宋体" w:eastAsia="宋体" w:cs="宋体"/>
          <w:snapToGrid w:val="0"/>
          <w:color w:val="auto"/>
          <w:kern w:val="0"/>
          <w:szCs w:val="21"/>
          <w:highlight w:val="none"/>
        </w:rPr>
        <w:t>生成的。</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6.2电子招标文件备案时，需通过</w:t>
      </w:r>
      <w:r>
        <w:rPr>
          <w:rFonts w:hint="eastAsia" w:ascii="宋体" w:hAnsi="宋体" w:eastAsia="宋体" w:cs="宋体"/>
          <w:color w:val="auto"/>
          <w:kern w:val="0"/>
          <w:szCs w:val="21"/>
          <w:highlight w:val="none"/>
        </w:rPr>
        <w:t>交易</w:t>
      </w:r>
      <w:r>
        <w:rPr>
          <w:rFonts w:hint="eastAsia" w:ascii="宋体" w:hAnsi="宋体" w:eastAsia="宋体" w:cs="宋体"/>
          <w:color w:val="auto"/>
          <w:kern w:val="0"/>
          <w:szCs w:val="21"/>
          <w:highlight w:val="none"/>
          <w:lang w:val="en-US" w:eastAsia="zh-CN"/>
        </w:rPr>
        <w:t>网</w:t>
      </w:r>
      <w:r>
        <w:rPr>
          <w:rFonts w:hint="eastAsia" w:ascii="宋体" w:hAnsi="宋体" w:eastAsia="宋体" w:cs="宋体"/>
          <w:snapToGrid w:val="0"/>
          <w:color w:val="auto"/>
          <w:kern w:val="0"/>
          <w:szCs w:val="21"/>
          <w:highlight w:val="none"/>
        </w:rPr>
        <w:t>上传提交电子招标文件。</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 招标控制价公布在交易网的</w:t>
      </w:r>
      <w:r>
        <w:rPr>
          <w:rFonts w:hint="eastAsia" w:ascii="宋体" w:hAnsi="宋体" w:eastAsia="宋体" w:cs="宋体"/>
          <w:color w:val="auto"/>
          <w:szCs w:val="21"/>
          <w:highlight w:val="none"/>
        </w:rPr>
        <w:t>交易</w:t>
      </w:r>
      <w:r>
        <w:rPr>
          <w:rFonts w:hint="eastAsia" w:ascii="宋体" w:hAnsi="宋体" w:eastAsia="宋体" w:cs="宋体"/>
          <w:color w:val="auto"/>
          <w:szCs w:val="21"/>
          <w:highlight w:val="none"/>
          <w:lang w:val="en-US" w:eastAsia="zh-CN"/>
        </w:rPr>
        <w:t>公告</w:t>
      </w:r>
      <w:r>
        <w:rPr>
          <w:rFonts w:hint="eastAsia" w:ascii="宋体" w:hAnsi="宋体" w:eastAsia="宋体" w:cs="宋体"/>
          <w:color w:val="auto"/>
          <w:szCs w:val="21"/>
          <w:highlight w:val="none"/>
        </w:rPr>
        <w:t>-建设工程-招标控制价公示</w:t>
      </w:r>
      <w:r>
        <w:rPr>
          <w:rFonts w:hint="eastAsia" w:ascii="宋体" w:hAnsi="宋体" w:eastAsia="宋体" w:cs="宋体"/>
          <w:snapToGrid w:val="0"/>
          <w:color w:val="auto"/>
          <w:kern w:val="0"/>
          <w:szCs w:val="21"/>
          <w:highlight w:val="none"/>
        </w:rPr>
        <w:t>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“附件信息”所挂文件可以是JPG、Word、Excel等格式，由招标人自行选择。</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九、有关投标问题的说明</w:t>
      </w:r>
    </w:p>
    <w:p>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color w:val="auto"/>
          <w:szCs w:val="21"/>
          <w:highlight w:val="none"/>
        </w:rPr>
        <w:t>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2.投标人获取招标文件后，应仔细阅读招标文件及附件的全部内容，附件与招标文件具有同等效力。</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3.投标人应在投标截止时间前，登录交易</w:t>
      </w:r>
      <w:r>
        <w:rPr>
          <w:rFonts w:hint="eastAsia" w:ascii="宋体" w:hAnsi="宋体" w:eastAsia="宋体" w:cs="宋体"/>
          <w:snapToGrid w:val="0"/>
          <w:color w:val="auto"/>
          <w:kern w:val="0"/>
          <w:szCs w:val="21"/>
          <w:highlight w:val="none"/>
          <w:lang w:val="en-US" w:eastAsia="zh-CN"/>
        </w:rPr>
        <w:t>网</w:t>
      </w:r>
      <w:r>
        <w:rPr>
          <w:rFonts w:hint="eastAsia" w:ascii="宋体" w:hAnsi="宋体" w:eastAsia="宋体" w:cs="宋体"/>
          <w:snapToGrid w:val="0"/>
          <w:color w:val="auto"/>
          <w:kern w:val="0"/>
          <w:szCs w:val="21"/>
          <w:highlight w:val="none"/>
        </w:rPr>
        <w:t>免费查阅或下载招标文件、答疑及招标文件补充通知。</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4.投标人对招标文件有不同意见或不明之处，应在交易平台向招标人提出。</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6.投标人应严格按招标文件要求，在截标前使用投标人（或联合体主体）企业机构数字证书或电子营业执照，通过交易平台提交电子投标文件，上传成功后打印回执；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交易网</w:t>
      </w:r>
      <w:r>
        <w:rPr>
          <w:rFonts w:hint="eastAsia" w:ascii="宋体" w:hAnsi="宋体" w:eastAsia="宋体" w:cs="宋体"/>
          <w:snapToGrid w:val="0"/>
          <w:color w:val="auto"/>
          <w:kern w:val="0"/>
          <w:szCs w:val="21"/>
          <w:highlight w:val="none"/>
        </w:rPr>
        <w:t>是投标人获取建设工程电子招标文件和电子送审招标控制价文件的唯一合法渠道。投标人需随时关注交易网，</w:t>
      </w:r>
      <w:r>
        <w:rPr>
          <w:rFonts w:hint="eastAsia" w:ascii="宋体" w:hAnsi="宋体" w:eastAsia="宋体" w:cs="宋体"/>
          <w:color w:val="auto"/>
          <w:szCs w:val="21"/>
          <w:highlight w:val="none"/>
        </w:rPr>
        <w:t>确认所投标的项目招标文件（</w:t>
      </w:r>
      <w:r>
        <w:rPr>
          <w:rFonts w:ascii="宋体" w:hAnsi="宋体" w:eastAsia="宋体" w:cs="宋体"/>
          <w:color w:val="auto"/>
          <w:kern w:val="0"/>
          <w:szCs w:val="21"/>
          <w:highlight w:val="none"/>
        </w:rPr>
        <w:t>HW</w:t>
      </w:r>
      <w:r>
        <w:rPr>
          <w:rFonts w:hint="eastAsia" w:ascii="宋体" w:hAnsi="宋体" w:eastAsia="宋体" w:cs="宋体"/>
          <w:color w:val="auto"/>
          <w:kern w:val="0"/>
          <w:szCs w:val="21"/>
          <w:highlight w:val="none"/>
        </w:rPr>
        <w:t>Z</w:t>
      </w:r>
      <w:r>
        <w:rPr>
          <w:rFonts w:ascii="宋体" w:hAnsi="宋体" w:eastAsia="宋体" w:cs="宋体"/>
          <w:color w:val="auto"/>
          <w:kern w:val="0"/>
          <w:szCs w:val="21"/>
          <w:highlight w:val="none"/>
        </w:rPr>
        <w:t>B</w:t>
      </w:r>
      <w:r>
        <w:rPr>
          <w:rFonts w:hint="eastAsia" w:ascii="宋体" w:hAnsi="宋体" w:eastAsia="宋体" w:cs="宋体"/>
          <w:snapToGrid w:val="0"/>
          <w:color w:val="auto"/>
          <w:kern w:val="0"/>
          <w:szCs w:val="21"/>
          <w:highlight w:val="none"/>
        </w:rPr>
        <w:t>、</w:t>
      </w:r>
      <w:r>
        <w:rPr>
          <w:color w:val="auto"/>
          <w:highlight w:val="none"/>
        </w:rPr>
        <w:t>TYZB</w:t>
      </w:r>
      <w:r>
        <w:rPr>
          <w:rFonts w:hint="eastAsia" w:ascii="宋体" w:hAnsi="宋体" w:eastAsia="宋体" w:cs="宋体"/>
          <w:color w:val="auto"/>
          <w:szCs w:val="21"/>
          <w:highlight w:val="none"/>
        </w:rPr>
        <w:t>）和电子送审招标控制价文件是否更新。如果有更新，须下载最新的招标文件和电子送审招标控制价文件用于制作电子投标文件，否则后果由投标人自行承担。</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8.投标人应当遵守深圳交易集团有限公司（深圳公共资源交易中心）的相关规定，违反规定导致的不利后果，由投标人自行承担。</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9.投标人须对投标资料的真实性负责。招标人有权将投标文件的部分或全部内容向外公示，若公示期间收到有关弄虚作假投诉的，招标人将提请建设、交通行政主管部门查处。一旦查实将严格按照法律法规作出处理。</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10.投标人注意事项：</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10.1《电子文件编制工具》安装软件可在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中下载</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请注意使用正确的版本，并及时更新。</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在电子投标文件编制工具中，生成电子标书时，须将所签名的证书或电子营业执照的电子签名签署到相应的位置中。</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10.3评标时以电子标书为准，因此在制作电子标书的时候，需要反复核对相关报价，每一个货物只允许有一个报价，任何有选择的报价将不予接受。如果递交的投标文件已加密但未在规定时间内成功解密，则视为此投标文件无法读取导入。</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投标人可使用</w:t>
      </w:r>
      <w:r>
        <w:rPr>
          <w:rFonts w:hint="eastAsia" w:ascii="宋体" w:hAnsi="宋体" w:eastAsia="宋体" w:cs="宋体"/>
          <w:color w:val="auto"/>
          <w:kern w:val="0"/>
          <w:szCs w:val="21"/>
          <w:highlight w:val="none"/>
        </w:rPr>
        <w:t>电子文件编制工具</w:t>
      </w:r>
      <w:r>
        <w:rPr>
          <w:rFonts w:hint="eastAsia" w:ascii="宋体" w:hAnsi="宋体" w:eastAsia="宋体" w:cs="宋体"/>
          <w:color w:val="auto"/>
          <w:szCs w:val="21"/>
          <w:highlight w:val="none"/>
        </w:rPr>
        <w:t>系统中的加密功能对网上传输的投标文件中各部分内容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10.4在编制技术标投标文件时，如果需要粘贴图片，可使用J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格式的文件，并且每张图片的分辨率应小于100dpi，最终的标书文件所占用的磁盘空间必须小于5000M；资审文件占用的磁盘空间必须小于200M。</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，请认真阅读本说明，若有疑问可通过载明的联系方式要求技术咨询。</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pPr>
        <w:adjustRightInd w:val="0"/>
        <w:snapToGrid w:val="0"/>
        <w:spacing w:line="440" w:lineRule="exact"/>
        <w:ind w:firstLine="0" w:firstLineChars="0"/>
        <w:rPr>
          <w:rFonts w:hint="eastAsia" w:ascii="宋体" w:hAnsi="宋体" w:eastAsia="宋体" w:cs="宋体"/>
          <w:color w:val="auto"/>
          <w:szCs w:val="21"/>
          <w:highlight w:val="none"/>
          <w:lang w:val="en-US" w:eastAsia="zh-CN"/>
        </w:rPr>
      </w:pPr>
    </w:p>
    <w:tbl>
      <w:tblPr>
        <w:tblStyle w:val="81"/>
        <w:tblW w:w="9288" w:type="dxa"/>
        <w:jc w:val="center"/>
        <w:tblLayout w:type="fixed"/>
        <w:tblCellMar>
          <w:top w:w="0" w:type="dxa"/>
          <w:left w:w="108" w:type="dxa"/>
          <w:bottom w:w="0" w:type="dxa"/>
          <w:right w:w="108" w:type="dxa"/>
        </w:tblCellMar>
      </w:tblPr>
      <w:tblGrid>
        <w:gridCol w:w="1670"/>
        <w:gridCol w:w="2835"/>
        <w:gridCol w:w="1843"/>
        <w:gridCol w:w="2940"/>
      </w:tblGrid>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 标 人：</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招标代理机构：</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r>
              <w:rPr>
                <w:rFonts w:hint="eastAsia" w:ascii="宋体" w:hAnsi="宋体" w:eastAsia="宋体" w:cs="宋体"/>
                <w:color w:val="auto"/>
                <w:kern w:val="0"/>
                <w:szCs w:val="21"/>
                <w:highlight w:val="none"/>
              </w:rPr>
              <w:t>或其委托代理人</w:t>
            </w:r>
            <w:r>
              <w:rPr>
                <w:rFonts w:hint="eastAsia" w:ascii="宋体" w:hAnsi="宋体" w:eastAsia="宋体" w:cs="宋体"/>
                <w:snapToGrid w:val="0"/>
                <w:color w:val="auto"/>
                <w:kern w:val="0"/>
                <w:szCs w:val="21"/>
                <w:highlight w:val="none"/>
              </w:rPr>
              <w:t>：</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法定代表人</w:t>
            </w:r>
            <w:r>
              <w:rPr>
                <w:rFonts w:hint="eastAsia" w:ascii="宋体" w:hAnsi="宋体" w:eastAsia="宋体" w:cs="宋体"/>
                <w:color w:val="auto"/>
                <w:kern w:val="0"/>
                <w:szCs w:val="21"/>
                <w:highlight w:val="none"/>
              </w:rPr>
              <w:t>或</w:t>
            </w:r>
          </w:p>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其委托代理人</w:t>
            </w:r>
            <w:r>
              <w:rPr>
                <w:rFonts w:hint="eastAsia" w:ascii="宋体" w:hAnsi="宋体" w:eastAsia="宋体" w:cs="宋体"/>
                <w:snapToGrid w:val="0"/>
                <w:color w:val="auto"/>
                <w:kern w:val="0"/>
                <w:szCs w:val="21"/>
                <w:highlight w:val="none"/>
              </w:rPr>
              <w:t>：</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联系地址：</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联系地址：</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传真电话：</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传真电话：</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电子信箱：</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电子信箱：</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bl>
    <w:p>
      <w:pPr>
        <w:adjustRightInd w:val="0"/>
        <w:snapToGrid w:val="0"/>
        <w:spacing w:line="20" w:lineRule="exact"/>
        <w:rPr>
          <w:color w:val="auto"/>
          <w:highlight w:val="none"/>
        </w:rPr>
      </w:pPr>
      <w:r>
        <w:rPr>
          <w:color w:val="auto"/>
          <w:highlight w:val="none"/>
        </w:rPr>
        <w:br w:type="page"/>
      </w:r>
    </w:p>
    <w:p>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2" w:name="_Toc2697"/>
      <w:bookmarkStart w:id="3" w:name="_Toc45702686"/>
      <w:r>
        <w:rPr>
          <w:rFonts w:hint="eastAsia" w:ascii="黑体" w:hAnsi="黑体" w:eastAsia="黑体" w:cs="黑体"/>
          <w:bCs/>
          <w:color w:val="auto"/>
          <w:kern w:val="0"/>
          <w:sz w:val="32"/>
          <w:szCs w:val="32"/>
          <w:highlight w:val="none"/>
        </w:rPr>
        <w:t>第二章  投标须知</w:t>
      </w:r>
      <w:bookmarkEnd w:id="2"/>
      <w:bookmarkEnd w:id="3"/>
    </w:p>
    <w:p>
      <w:pPr>
        <w:topLinePunct/>
        <w:adjustRightInd w:val="0"/>
        <w:snapToGrid w:val="0"/>
        <w:spacing w:line="360" w:lineRule="auto"/>
        <w:jc w:val="center"/>
        <w:outlineLvl w:val="1"/>
        <w:rPr>
          <w:rFonts w:ascii="黑体" w:eastAsia="黑体"/>
          <w:color w:val="auto"/>
          <w:kern w:val="0"/>
          <w:highlight w:val="none"/>
        </w:rPr>
      </w:pPr>
      <w:bookmarkStart w:id="4" w:name="_Toc22542"/>
      <w:bookmarkStart w:id="5" w:name="_Toc45702687"/>
      <w:r>
        <w:rPr>
          <w:rFonts w:hint="eastAsia" w:ascii="黑体" w:hAnsi="黑体" w:eastAsia="黑体" w:cs="黑体"/>
          <w:bCs/>
          <w:color w:val="auto"/>
          <w:kern w:val="0"/>
          <w:sz w:val="32"/>
          <w:szCs w:val="32"/>
          <w:highlight w:val="none"/>
        </w:rPr>
        <w:t>一、投标须知前附表</w:t>
      </w:r>
      <w:bookmarkEnd w:id="4"/>
      <w:bookmarkEnd w:id="5"/>
    </w:p>
    <w:tbl>
      <w:tblPr>
        <w:tblStyle w:val="81"/>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51"/>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5"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1"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6624"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6624" w:type="dxa"/>
            <w:shd w:val="clear" w:color="auto" w:fill="auto"/>
            <w:vAlign w:val="center"/>
          </w:tcPr>
          <w:p>
            <w:pPr>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6624" w:type="dxa"/>
            <w:shd w:val="clear" w:color="auto" w:fill="auto"/>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662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□否</w:t>
            </w:r>
          </w:p>
          <w:p>
            <w:pPr>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624" w:type="dxa"/>
            <w:shd w:val="clear" w:color="auto" w:fill="auto"/>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624" w:type="dxa"/>
            <w:shd w:val="clear" w:color="auto" w:fill="auto"/>
            <w:vAlign w:val="center"/>
          </w:tcPr>
          <w:p>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pPr>
              <w:adjustRightInd w:val="0"/>
              <w:snapToGrid w:val="0"/>
              <w:spacing w:line="360" w:lineRule="auto"/>
              <w:rPr>
                <w:rFonts w:hint="default" w:ascii="宋体" w:hAnsi="宋体" w:eastAsia="宋体" w:cs="宋体"/>
                <w:color w:val="auto"/>
                <w:kern w:val="0"/>
                <w:szCs w:val="21"/>
                <w:highlight w:val="none"/>
                <w:u w:val="none"/>
                <w:lang w:val="en-US" w:eastAsia="zh-CN"/>
              </w:rPr>
            </w:pPr>
            <w:bookmarkStart w:id="84" w:name="_GoBack"/>
            <w:bookmarkEnd w:id="84"/>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采用的币种</w:t>
            </w:r>
          </w:p>
        </w:tc>
        <w:tc>
          <w:tcPr>
            <w:tcW w:w="6624" w:type="dxa"/>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结合项目选择币种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供货期</w:t>
            </w:r>
          </w:p>
        </w:tc>
        <w:tc>
          <w:tcPr>
            <w:tcW w:w="6624" w:type="dxa"/>
            <w:shd w:val="clear" w:color="auto" w:fill="auto"/>
            <w:vAlign w:val="center"/>
          </w:tcPr>
          <w:p>
            <w:pPr>
              <w:topLinePunct/>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☐供货期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日历天（适用于供货项目）</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rPr>
              <w:t>☐总工期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日历天，其中：供货期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日历天，安装期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日历天（适用于供货及安装项目）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投标人资格要求</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5"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b w:val="0"/>
                <w:bCs w:val="0"/>
                <w:color w:val="auto"/>
                <w:kern w:val="0"/>
                <w:sz w:val="21"/>
                <w:szCs w:val="21"/>
                <w:highlight w:val="none"/>
                <w:vertAlign w:val="superscript"/>
                <w:lang w:val="en-US" w:eastAsia="zh-CN"/>
              </w:rPr>
              <w:t>[</w:t>
            </w:r>
            <w:r>
              <w:rPr>
                <w:rStyle w:val="138"/>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□接受    □不接受</w:t>
            </w:r>
          </w:p>
          <w:p>
            <w:pPr>
              <w:topLinePunct/>
              <w:adjustRightInd w:val="0"/>
              <w:snapToGrid w:val="0"/>
              <w:spacing w:line="360" w:lineRule="auto"/>
              <w:rPr>
                <w:rFonts w:hint="eastAsia" w:ascii="宋体" w:hAnsi="宋体" w:eastAsia="宋体" w:cs="宋体"/>
                <w:color w:val="auto"/>
                <w:kern w:val="0"/>
                <w:szCs w:val="21"/>
                <w:highlight w:val="none"/>
                <w:u w:val="single"/>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投标人业绩要求</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资格审查方式</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资格后审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投标报价要求</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投标报价上限为：</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□公示招标控制价净下浮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6624" w:type="dxa"/>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投标保证金额:</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无需提供投标担保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是否推行差异化缴纳投标保证金：</w:t>
            </w:r>
            <w:r>
              <w:rPr>
                <w:rFonts w:hint="eastAsia" w:ascii="宋体" w:hAnsi="宋体" w:eastAsia="宋体" w:cs="宋体"/>
                <w:color w:val="auto"/>
                <w:kern w:val="0"/>
                <w:szCs w:val="21"/>
                <w:highlight w:val="none"/>
              </w:rPr>
              <w:t>□是    □否</w:t>
            </w:r>
          </w:p>
          <w:p>
            <w:pPr>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推行差异化缴纳投标保证金的具体措施</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1"/>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□投标截止日前，投标人为无失信记录中小微企业，采用投标保证金承诺函替代投标保证金。</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日前，投标人在深圳市建筑市场主体信用管理系统中信用等级为A时，采用投标保证金承诺函替代投标保证金；信用等级为B+时，减半缴纳投标保证金；采用联合体投标的，按联合体牵头单位在深圳市建筑市场主体信用管理系统中信用等级确定相应减免标准。</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投标人采用投标保证金承诺函替代投标保证金的，承诺函应包括企业规模、信用状况等内容，并对真实性负责。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2.鼓励投标人使用电子保函、保险。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投标文件组成</w:t>
            </w:r>
          </w:p>
        </w:tc>
        <w:tc>
          <w:tcPr>
            <w:tcW w:w="6624" w:type="dxa"/>
            <w:shd w:val="clear" w:color="auto" w:fill="auto"/>
            <w:vAlign w:val="center"/>
          </w:tcPr>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以电子文件形式通过“电子招标投标交易平台”网上递交下列文件：</w:t>
            </w: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1、技术标（含资信标）电子标书1份</w:t>
            </w: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2、商务标电子标书1份</w:t>
            </w: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□3、资格审查文件电子标书1份</w:t>
            </w: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□4、业绩文件电子标书1份</w:t>
            </w: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（业绩文件包含:</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1 \* GB3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①</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招标公告中业绩要求所需提供的证明文件(若有)；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2 \* GB3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②</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招标文件中要求提供的所有业绩证明文件）</w:t>
            </w: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以实物形式递交下列文件至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□投标样品：</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详细地点：</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公布招标控制价、投标报价上限地址</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r>
              <w:rPr>
                <w:rFonts w:hint="eastAsia" w:ascii="宋体" w:hAnsi="宋体" w:eastAsia="宋体" w:cs="宋体"/>
                <w:color w:val="auto"/>
                <w:szCs w:val="21"/>
                <w:highlight w:val="none"/>
              </w:rPr>
              <w:t>深圳公共资源交易网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6624" w:type="dxa"/>
            <w:shd w:val="clear" w:color="auto" w:fill="auto"/>
            <w:vAlign w:val="center"/>
          </w:tcPr>
          <w:p>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pPr>
              <w:topLinePunct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资审会、开标会、评标会、定标会议时间及地点，在交易网进行查询。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环节（资格审查合格的投标人＞20名）</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pPr>
              <w:topLinePunct/>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35"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2"/>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pPr>
              <w:topLinePunct/>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5"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过多投标人淘汰方式：</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pPr>
              <w:adjustRightInd w:val="0"/>
              <w:snapToGrid w:val="0"/>
              <w:spacing w:before="0" w:beforeLines="-2147483648"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6624" w:type="dxa"/>
            <w:shd w:val="clear" w:color="auto" w:fill="auto"/>
            <w:vAlign w:val="center"/>
          </w:tcPr>
          <w:p>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szCs w:val="21"/>
                <w:highlight w:val="none"/>
              </w:rPr>
              <w:t>定性评审法</w:t>
            </w:r>
          </w:p>
          <w:p>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624" w:type="dxa"/>
            <w:shd w:val="clear" w:color="auto" w:fill="auto"/>
            <w:vAlign w:val="center"/>
          </w:tcPr>
          <w:p>
            <w:pPr>
              <w:topLinePunct/>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138"/>
                <w:rFonts w:hint="eastAsia" w:ascii="宋体" w:hAnsi="宋体" w:eastAsia="宋体" w:cs="宋体"/>
                <w:color w:val="auto"/>
                <w:kern w:val="0"/>
                <w:szCs w:val="21"/>
                <w:highlight w:val="none"/>
              </w:rPr>
              <w:t>[</w:t>
            </w:r>
            <w:r>
              <w:rPr>
                <w:rStyle w:val="138"/>
                <w:rFonts w:hint="eastAsia" w:ascii="宋体" w:hAnsi="宋体" w:eastAsia="宋体" w:cs="宋体"/>
                <w:color w:val="auto"/>
                <w:kern w:val="0"/>
                <w:szCs w:val="21"/>
                <w:highlight w:val="none"/>
              </w:rPr>
              <w:footnoteReference w:id="3"/>
            </w:r>
            <w:r>
              <w:rPr>
                <w:rStyle w:val="138"/>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注</w:t>
            </w:r>
            <w:r>
              <w:rPr>
                <w:rFonts w:hint="eastAsia" w:ascii="宋体" w:hAnsi="宋体" w:eastAsia="宋体" w:cs="宋体"/>
                <w:color w:val="auto"/>
                <w:kern w:val="0"/>
                <w:szCs w:val="21"/>
                <w:highlight w:val="none"/>
                <w:u w:val="single"/>
                <w:lang w:val="en-US" w:eastAsia="zh-CN"/>
              </w:rPr>
              <w:t>：招标人应根据项目实际，设置规则清晰、可操作性强的推荐中标候选人原则，可以重点考虑性价比、技术指标及商务条款响应</w:t>
            </w:r>
            <w:r>
              <w:rPr>
                <w:rFonts w:hint="eastAsia" w:ascii="宋体" w:hAnsi="宋体" w:eastAsia="宋体" w:cs="宋体"/>
                <w:color w:val="auto"/>
                <w:kern w:val="0"/>
                <w:szCs w:val="21"/>
                <w:highlight w:val="none"/>
              </w:rPr>
              <w:t>等因素</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评标委员会的人员组成</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624"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138"/>
                <w:rFonts w:hint="eastAsia" w:ascii="宋体" w:hAnsi="宋体" w:eastAsia="宋体" w:cs="宋体"/>
                <w:color w:val="auto"/>
                <w:kern w:val="0"/>
                <w:szCs w:val="21"/>
                <w:highlight w:val="none"/>
              </w:rPr>
              <w:t>[</w:t>
            </w:r>
            <w:r>
              <w:rPr>
                <w:rStyle w:val="138"/>
                <w:rFonts w:hint="eastAsia" w:ascii="宋体" w:hAnsi="宋体" w:eastAsia="宋体" w:cs="宋体"/>
                <w:color w:val="auto"/>
                <w:kern w:val="0"/>
                <w:szCs w:val="21"/>
                <w:highlight w:val="none"/>
              </w:rPr>
              <w:footnoteReference w:id="4"/>
            </w:r>
            <w:r>
              <w:rPr>
                <w:rStyle w:val="138"/>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p>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□直接票决定标法   </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35" w:type="dxa"/>
            <w:vMerge w:val="continue"/>
            <w:shd w:val="clear" w:color="auto" w:fill="auto"/>
            <w:vAlign w:val="center"/>
          </w:tcPr>
          <w:p>
            <w:pPr>
              <w:topLinePunct/>
              <w:adjustRightInd w:val="0"/>
              <w:snapToGrid w:val="0"/>
              <w:spacing w:line="360" w:lineRule="auto"/>
              <w:rPr>
                <w:color w:val="auto"/>
                <w:highlight w:val="none"/>
              </w:rPr>
            </w:pPr>
          </w:p>
        </w:tc>
        <w:tc>
          <w:tcPr>
            <w:tcW w:w="2151" w:type="dxa"/>
            <w:vMerge w:val="continue"/>
            <w:shd w:val="clear" w:color="auto" w:fill="auto"/>
            <w:vAlign w:val="center"/>
          </w:tcPr>
          <w:p>
            <w:pPr>
              <w:topLinePunct/>
              <w:adjustRightInd w:val="0"/>
              <w:snapToGrid w:val="0"/>
              <w:spacing w:line="360" w:lineRule="auto"/>
              <w:rPr>
                <w:color w:val="auto"/>
                <w:highlight w:val="none"/>
              </w:rPr>
            </w:pPr>
          </w:p>
        </w:tc>
        <w:tc>
          <w:tcPr>
            <w:tcW w:w="6624"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735" w:type="dxa"/>
            <w:vMerge w:val="continue"/>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□二次竞价定标法（招标人可根据工程实际情况选择此种方式）</w:t>
            </w:r>
          </w:p>
          <w:p>
            <w:pPr>
              <w:topLinePunct/>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topLinePunct/>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竞价方式：</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由定标委员会票决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家投标单位进行二次报价（参与二次竞价的投标人不得少于3名）</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□综合考虑二次报价后,定标委员会通过票决方式确定中标候选人(招标人不承诺将合同授予报价最低的投标人)。</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□其它：</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注：提交二次报价文件截止时间为定标会开始时间（详见“深圳公共资源交易网”中会议安排）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5" w:type="dxa"/>
            <w:vMerge w:val="continue"/>
            <w:shd w:val="clear" w:color="auto" w:fill="auto"/>
            <w:vAlign w:val="center"/>
          </w:tcPr>
          <w:p>
            <w:pPr>
              <w:topLinePunct/>
              <w:adjustRightInd w:val="0"/>
              <w:snapToGrid w:val="0"/>
              <w:spacing w:line="360" w:lineRule="auto"/>
              <w:rPr>
                <w:color w:val="auto"/>
                <w:highlight w:val="none"/>
              </w:rPr>
            </w:pPr>
          </w:p>
        </w:tc>
        <w:tc>
          <w:tcPr>
            <w:tcW w:w="2151" w:type="dxa"/>
            <w:vMerge w:val="continue"/>
            <w:shd w:val="clear" w:color="auto" w:fill="auto"/>
            <w:vAlign w:val="center"/>
          </w:tcPr>
          <w:p>
            <w:pPr>
              <w:topLinePunct/>
              <w:adjustRightInd w:val="0"/>
              <w:snapToGrid w:val="0"/>
              <w:spacing w:line="360" w:lineRule="auto"/>
              <w:rPr>
                <w:color w:val="auto"/>
                <w:highlight w:val="none"/>
              </w:rPr>
            </w:pPr>
          </w:p>
        </w:tc>
        <w:tc>
          <w:tcPr>
            <w:tcW w:w="6624" w:type="dxa"/>
            <w:shd w:val="clear" w:color="auto" w:fill="auto"/>
            <w:vAlign w:val="center"/>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□集体议事定标法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5" w:type="dxa"/>
            <w:vMerge w:val="continue"/>
            <w:shd w:val="clear" w:color="auto" w:fill="auto"/>
            <w:vAlign w:val="center"/>
          </w:tcPr>
          <w:p>
            <w:pPr>
              <w:topLinePunct/>
              <w:adjustRightInd w:val="0"/>
              <w:snapToGrid w:val="0"/>
              <w:spacing w:line="360" w:lineRule="auto"/>
              <w:rPr>
                <w:color w:val="auto"/>
                <w:highlight w:val="none"/>
              </w:rPr>
            </w:pPr>
          </w:p>
        </w:tc>
        <w:tc>
          <w:tcPr>
            <w:tcW w:w="2151" w:type="dxa"/>
            <w:vMerge w:val="continue"/>
            <w:shd w:val="clear" w:color="auto" w:fill="auto"/>
            <w:vAlign w:val="center"/>
          </w:tcPr>
          <w:p>
            <w:pPr>
              <w:topLinePunct/>
              <w:adjustRightInd w:val="0"/>
              <w:snapToGrid w:val="0"/>
              <w:spacing w:line="360" w:lineRule="auto"/>
              <w:rPr>
                <w:color w:val="auto"/>
                <w:highlight w:val="none"/>
              </w:rPr>
            </w:pP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主管部门批准的其它方法：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35"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□银行保函 □保证保险 □专业工程担保公司担保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35"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2151" w:type="dxa"/>
            <w:vMerge w:val="restart"/>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支付担保</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35"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□银行保函 □保证保险 □专业工程担保公司担保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5"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151" w:type="dxa"/>
            <w:shd w:val="clear" w:color="auto" w:fill="auto"/>
            <w:vAlign w:val="center"/>
          </w:tcPr>
          <w:p>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62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pPr>
        <w:adjustRightInd w:val="0"/>
        <w:snapToGrid w:val="0"/>
        <w:spacing w:line="20" w:lineRule="exact"/>
        <w:rPr>
          <w:color w:val="auto"/>
          <w:highlight w:val="none"/>
        </w:rPr>
      </w:pPr>
      <w:r>
        <w:rPr>
          <w:color w:val="auto"/>
          <w:highlight w:val="none"/>
        </w:rPr>
        <w:br w:type="page"/>
      </w:r>
    </w:p>
    <w:p>
      <w:pPr>
        <w:topLinePunct/>
        <w:adjustRightInd w:val="0"/>
        <w:snapToGrid w:val="0"/>
        <w:spacing w:line="360" w:lineRule="auto"/>
        <w:jc w:val="center"/>
        <w:outlineLvl w:val="1"/>
        <w:rPr>
          <w:rFonts w:ascii="黑体" w:hAnsi="宋体" w:eastAsia="黑体"/>
          <w:b/>
          <w:color w:val="auto"/>
          <w:kern w:val="0"/>
          <w:sz w:val="32"/>
          <w:highlight w:val="none"/>
        </w:rPr>
      </w:pPr>
      <w:bookmarkStart w:id="6" w:name="_Toc45702688"/>
      <w:bookmarkStart w:id="7" w:name="_Toc23057"/>
      <w:r>
        <w:rPr>
          <w:rFonts w:hint="eastAsia" w:ascii="黑体" w:hAnsi="宋体" w:eastAsia="黑体"/>
          <w:b/>
          <w:color w:val="auto"/>
          <w:kern w:val="0"/>
          <w:sz w:val="32"/>
          <w:highlight w:val="none"/>
        </w:rPr>
        <w:t>（一）招标工程情况介绍</w:t>
      </w:r>
      <w:bookmarkEnd w:id="6"/>
      <w:bookmarkEnd w:id="7"/>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（提示招标人：本章节为必填内容，招标人应当如实详细填写，并作为投标、评标的重要参考。如因招标人未填写或未如实填写本章节内容，造成的不利后果应由招标人承担。）</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1.工程概况、工程规模</w:t>
      </w:r>
    </w:p>
    <w:p>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2.工程主要特点</w:t>
      </w:r>
    </w:p>
    <w:p>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3.建议的评标要点</w:t>
      </w:r>
    </w:p>
    <w:p>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4.其它：</w:t>
      </w:r>
    </w:p>
    <w:p>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pPr>
        <w:adjustRightInd w:val="0"/>
        <w:snapToGrid w:val="0"/>
        <w:spacing w:line="360" w:lineRule="auto"/>
        <w:jc w:val="left"/>
        <w:rPr>
          <w:rFonts w:ascii="黑体" w:hAnsi="宋体" w:eastAsia="黑体"/>
          <w:b/>
          <w:color w:val="auto"/>
          <w:sz w:val="32"/>
          <w:highlight w:val="none"/>
        </w:rPr>
      </w:pPr>
    </w:p>
    <w:p>
      <w:pPr>
        <w:topLinePunct/>
        <w:adjustRightInd w:val="0"/>
        <w:snapToGrid w:val="0"/>
        <w:spacing w:line="360" w:lineRule="auto"/>
        <w:jc w:val="center"/>
        <w:outlineLvl w:val="1"/>
        <w:rPr>
          <w:rFonts w:ascii="黑体" w:hAnsi="宋体" w:eastAsia="黑体"/>
          <w:b/>
          <w:color w:val="auto"/>
          <w:kern w:val="0"/>
          <w:sz w:val="32"/>
          <w:highlight w:val="none"/>
        </w:rPr>
      </w:pPr>
      <w:bookmarkStart w:id="8" w:name="_Toc2815"/>
      <w:bookmarkStart w:id="9" w:name="_Toc20629"/>
      <w:bookmarkStart w:id="10" w:name="_Toc2465"/>
      <w:bookmarkStart w:id="11" w:name="_Toc5571"/>
      <w:bookmarkStart w:id="12" w:name="_Toc45702689"/>
      <w:r>
        <w:rPr>
          <w:rFonts w:hint="eastAsia" w:ascii="黑体" w:hAnsi="宋体" w:eastAsia="黑体"/>
          <w:b/>
          <w:color w:val="auto"/>
          <w:kern w:val="0"/>
          <w:sz w:val="32"/>
          <w:highlight w:val="none"/>
        </w:rPr>
        <w:t>（二）招标投标分段限时投诉的规定</w:t>
      </w:r>
      <w:bookmarkEnd w:id="8"/>
      <w:bookmarkEnd w:id="9"/>
      <w:bookmarkEnd w:id="10"/>
      <w:bookmarkEnd w:id="11"/>
      <w:bookmarkEnd w:id="12"/>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pPr>
        <w:spacing w:line="360" w:lineRule="auto"/>
        <w:ind w:firstLine="420" w:firstLineChars="200"/>
        <w:rPr>
          <w:rFonts w:ascii="宋体" w:hAnsi="宋体" w:eastAsia="宋体" w:cs="宋体"/>
          <w:color w:val="auto"/>
          <w:kern w:val="0"/>
          <w:szCs w:val="21"/>
          <w:highlight w:val="none"/>
        </w:rPr>
      </w:pPr>
    </w:p>
    <w:p>
      <w:pPr>
        <w:widowControl/>
        <w:jc w:val="left"/>
        <w:rPr>
          <w:rFonts w:ascii="宋体" w:hAnsi="宋体"/>
          <w:color w:val="auto"/>
          <w:kern w:val="0"/>
          <w:szCs w:val="21"/>
          <w:highlight w:val="none"/>
        </w:rPr>
      </w:pPr>
      <w:r>
        <w:rPr>
          <w:rFonts w:ascii="宋体" w:hAnsi="宋体"/>
          <w:color w:val="auto"/>
          <w:kern w:val="0"/>
          <w:szCs w:val="21"/>
          <w:highlight w:val="none"/>
        </w:rPr>
        <w:br w:type="page"/>
      </w:r>
    </w:p>
    <w:p>
      <w:pPr>
        <w:topLinePunct/>
        <w:adjustRightInd w:val="0"/>
        <w:snapToGrid w:val="0"/>
        <w:spacing w:line="360" w:lineRule="auto"/>
        <w:jc w:val="center"/>
        <w:outlineLvl w:val="1"/>
        <w:rPr>
          <w:rFonts w:ascii="黑体" w:hAnsi="宋体" w:eastAsia="黑体"/>
          <w:b/>
          <w:color w:val="auto"/>
          <w:kern w:val="0"/>
          <w:sz w:val="32"/>
          <w:highlight w:val="none"/>
        </w:rPr>
      </w:pPr>
      <w:bookmarkStart w:id="13" w:name="_Toc45702690"/>
      <w:bookmarkStart w:id="14" w:name="_Toc22827"/>
      <w:r>
        <w:rPr>
          <w:rFonts w:hint="eastAsia" w:ascii="黑体" w:hAnsi="宋体" w:eastAsia="黑体"/>
          <w:b/>
          <w:color w:val="auto"/>
          <w:kern w:val="0"/>
          <w:sz w:val="32"/>
          <w:highlight w:val="none"/>
        </w:rPr>
        <w:t>二、投标文件否决性条款</w:t>
      </w:r>
      <w:bookmarkEnd w:id="13"/>
      <w:bookmarkEnd w:id="14"/>
    </w:p>
    <w:p>
      <w:pPr>
        <w:topLinePunct/>
        <w:adjustRightInd w:val="0"/>
        <w:snapToGrid w:val="0"/>
        <w:spacing w:line="360" w:lineRule="auto"/>
        <w:jc w:val="left"/>
        <w:rPr>
          <w:rFonts w:ascii="黑体" w:eastAsia="黑体"/>
          <w:color w:val="auto"/>
          <w:kern w:val="0"/>
          <w:highlight w:val="none"/>
        </w:rPr>
      </w:pPr>
    </w:p>
    <w:p>
      <w:pPr>
        <w:adjustRightInd w:val="0"/>
        <w:snapToGrid w:val="0"/>
        <w:spacing w:line="360" w:lineRule="auto"/>
        <w:ind w:firstLine="420" w:firstLineChars="20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提示招标人】如招标文件的澄清、答疑、补充文件中增加否决性条款的，招标人应当重新编写本章节内容，将新增否决性条款列入本章节，并发布新的完整的《投标文件否决性条款》。否则，增加的否决性条款无效。</w:t>
      </w:r>
    </w:p>
    <w:p>
      <w:pPr>
        <w:topLinePunct/>
        <w:adjustRightInd w:val="0"/>
        <w:snapToGrid w:val="0"/>
        <w:spacing w:line="360" w:lineRule="auto"/>
        <w:ind w:firstLine="420" w:firstLineChars="200"/>
        <w:jc w:val="left"/>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【提示投标人和评标委员会】本章节：</w:t>
      </w:r>
    </w:p>
    <w:p>
      <w:pPr>
        <w:adjustRightInd w:val="0"/>
        <w:snapToGrid w:val="0"/>
        <w:spacing w:line="360" w:lineRule="auto"/>
        <w:ind w:firstLine="420" w:firstLineChars="20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（一）开标阶段不予受理的情形：（由招标人或其委派人员负责判定）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szCs w:val="21"/>
          <w:highlight w:val="none"/>
        </w:rPr>
        <w:t>.逾期提交</w:t>
      </w:r>
      <w:r>
        <w:rPr>
          <w:rFonts w:hint="eastAsia" w:ascii="宋体" w:hAnsi="宋体" w:eastAsia="宋体" w:cs="宋体"/>
          <w:color w:val="auto"/>
          <w:kern w:val="0"/>
          <w:highlight w:val="none"/>
        </w:rPr>
        <w:t>投标</w:t>
      </w:r>
      <w:r>
        <w:rPr>
          <w:rFonts w:hint="eastAsia" w:ascii="宋体" w:hAnsi="宋体" w:eastAsia="宋体" w:cs="宋体"/>
          <w:color w:val="auto"/>
          <w:kern w:val="0"/>
          <w:szCs w:val="21"/>
          <w:highlight w:val="none"/>
        </w:rPr>
        <w:t>文件</w:t>
      </w:r>
      <w:r>
        <w:rPr>
          <w:rFonts w:hint="eastAsia" w:ascii="宋体" w:hAnsi="宋体" w:eastAsia="宋体" w:cs="宋体"/>
          <w:color w:val="auto"/>
          <w:kern w:val="0"/>
          <w:highlight w:val="none"/>
        </w:rPr>
        <w:t>的</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2.资格审查不合格</w:t>
      </w:r>
      <w:r>
        <w:rPr>
          <w:rFonts w:hint="eastAsia" w:ascii="宋体" w:hAnsi="宋体" w:eastAsia="宋体" w:cs="宋体"/>
          <w:color w:val="auto"/>
          <w:kern w:val="0"/>
          <w:highlight w:val="none"/>
        </w:rPr>
        <w:t>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投标文件的投标报价高于公布招标控制价或投标报价上限的；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投标文件承诺的供货期超过招标文件中供货期要求的；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6.投标人提交的电子标书格式不符合招标文件要求或开标后交易平台无法读取导入的；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szCs w:val="21"/>
          <w:highlight w:val="none"/>
        </w:rPr>
        <w:t>.组成联合体投标时，未提交联合体共同投标协议书的；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8.联合体各方在同一招标项目中以自己名义单独投标或者参加其他联合体投标的；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10.</w:t>
      </w:r>
      <w:r>
        <w:rPr>
          <w:rFonts w:hint="eastAsia" w:ascii="宋体" w:hAnsi="宋体" w:eastAsia="宋体" w:cs="宋体"/>
          <w:color w:val="auto"/>
          <w:highlight w:val="none"/>
        </w:rPr>
        <w:t>未按招标文件规定的形式和金额提交投标担保，或投标保函的内容不符合招标文件要求的；</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11.</w:t>
      </w:r>
      <w:r>
        <w:rPr>
          <w:rFonts w:hint="eastAsia" w:ascii="宋体" w:hAnsi="宋体" w:eastAsia="宋体" w:cs="宋体"/>
          <w:color w:val="auto"/>
          <w:highlight w:val="none"/>
        </w:rPr>
        <w:t>未按招标文件规定提交《投标函》的；</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12.</w:t>
      </w:r>
      <w:r>
        <w:rPr>
          <w:rFonts w:hint="eastAsia" w:ascii="宋体" w:hAnsi="宋体" w:eastAsia="宋体" w:cs="宋体"/>
          <w:color w:val="auto"/>
          <w:highlight w:val="none"/>
        </w:rPr>
        <w:t>投标人名称或组织结构与投标报名或者资格预审时不一致且未提供有效证明的。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13.投标人或相关人员具有下列情形之一的：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13.1近3年内（从招标公告发布之日起倒算）投标人或者其法定代表人有行贿犯罪记录的；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13.2近1年内（从截标之日起倒算）因串通投标、转包、以他人名义投标或者违法分包等违法行为受到建设、交通或者财政部门行政处罚的；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13.3因违反工程质量、安全生产管理规定等原因被建设部门给予红色警示且在警示期内的；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13.4拖欠工人工资被有关部门责令改正而未改正的；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13.5依法应当拒绝投标的其他情形；</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□本次招标下述13.6至13.9条款生效：</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13.6被建设或者交通部门信用评价为红色且正处在信用评价结果公示期内的；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13.7近3年内（从截标之日起倒算）曾被本项目招标人履约评价为不合格的；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13.8近2年内（从截标之日起倒算）曾有放弃中标资格、拒不签订合同、拒不提供履约担保情形的；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13.9因违反工程质量、安全生产管理规定，或者因串通投标、转包、以他人名义投标或者违法分包等违法行为，正在接受建设、交通或者财政部门立案调查的。</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（二）评标阶段有关无效标的情形：（由评标委员会负责判定）</w:t>
      </w:r>
    </w:p>
    <w:p>
      <w:pPr>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《投标函》未按招标文件规定填写、漏填或内容填写错误的；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投标人的投标报价是可变动价格的，或包含了价格调整要求的，或投标报价中提供两个（含两个）以上的报价且未声明哪个有效的（招标文件规定提交备选投标方案的除外）</w:t>
      </w:r>
      <w:r>
        <w:rPr>
          <w:rFonts w:hint="eastAsia" w:ascii="宋体" w:hAnsi="宋体" w:eastAsia="宋体" w:cs="宋体"/>
          <w:color w:val="auto"/>
          <w:kern w:val="0"/>
          <w:highlight w:val="none"/>
        </w:rPr>
        <w:t>；</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投标人资格条件不符合国家有关规定和招标文件要求的</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4.1不同投标人的投标文件内容存在非正常一致的；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4.2不同投标人的投标文件错漏之处一致的；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4.3不同投标人的投标报价或者报价组成异常一致或者呈规律性变化的；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4.4不同投标人的投标文件由同一单位或者同一个人编制的；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4.5不同投标人的投标文件载明的项目负责人与主要技术人员出现同一人的；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4.6不同投标人的投标文件相互混装的；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4.7不同投标人的投标文件由同一台电脑编制的；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4.9投标人在投标文件商务标书上电子签名的造价工程师与其他投标人在投标文件商务标书上电子签名的造价工程师为同一人的；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4.10评标委员会认定的其他串通投标情形。</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（三）评标阶段有关废标的情形：（由评标委员会负责判定）</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highlight w:val="none"/>
        </w:rPr>
        <w:t>投标文件不满足招标文件规定的任何一项实质性要求的；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highlight w:val="none"/>
        </w:rPr>
        <w:t>投标文件对招标文件规定的非实质性要求的偏离，超出允许偏离的最大范围或最高项数的；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highlight w:val="none"/>
        </w:rPr>
        <w:t>评标委员会根据招标文件的规定对投标文件的投标价格进行调整，投标人不接受调整方式、调整后价格，或调整后价格超出招标控制价的；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highlight w:val="none"/>
        </w:rPr>
        <w:t>投标人拒不按照评标委员会要求对投标文件进行澄清、说明、补正的；</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.技术标经评标委员会评审</w:t>
      </w:r>
      <w:r>
        <w:rPr>
          <w:rFonts w:hint="eastAsia" w:ascii="宋体" w:hAnsi="宋体" w:eastAsia="宋体" w:cs="宋体"/>
          <w:color w:val="auto"/>
          <w:kern w:val="0"/>
          <w:highlight w:val="none"/>
        </w:rPr>
        <w:t>为不合格的；</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（招标人对上述内容有修改或补充的，以下述条款为准）</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（四）招标人补充的投标文件不予受理的情形：</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（五）招标人补充的无效标情形：</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（六）招标人补充的废标情形：</w:t>
      </w:r>
    </w:p>
    <w:p>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highlight w:val="none"/>
        </w:rPr>
        <w:br w:type="page"/>
      </w:r>
    </w:p>
    <w:p>
      <w:pPr>
        <w:topLinePunct/>
        <w:adjustRightInd w:val="0"/>
        <w:snapToGrid w:val="0"/>
        <w:spacing w:line="360" w:lineRule="auto"/>
        <w:jc w:val="center"/>
        <w:outlineLvl w:val="1"/>
        <w:rPr>
          <w:rFonts w:ascii="黑体" w:hAnsi="宋体" w:eastAsia="黑体"/>
          <w:bCs/>
          <w:color w:val="auto"/>
          <w:kern w:val="0"/>
          <w:sz w:val="32"/>
          <w:highlight w:val="none"/>
        </w:rPr>
      </w:pPr>
      <w:bookmarkStart w:id="15" w:name="_Toc45702691"/>
      <w:bookmarkStart w:id="16" w:name="_Toc14440"/>
      <w:r>
        <w:rPr>
          <w:rFonts w:hint="eastAsia" w:ascii="黑体" w:hAnsi="宋体" w:eastAsia="黑体"/>
          <w:bCs/>
          <w:color w:val="auto"/>
          <w:kern w:val="0"/>
          <w:sz w:val="32"/>
          <w:highlight w:val="none"/>
        </w:rPr>
        <w:t>三、招投标须知正文</w:t>
      </w:r>
      <w:bookmarkEnd w:id="15"/>
      <w:bookmarkEnd w:id="16"/>
    </w:p>
    <w:p>
      <w:pPr>
        <w:spacing w:line="360" w:lineRule="auto"/>
        <w:jc w:val="center"/>
        <w:outlineLvl w:val="2"/>
        <w:rPr>
          <w:rFonts w:ascii="黑体" w:eastAsia="黑体"/>
          <w:bCs/>
          <w:color w:val="auto"/>
          <w:sz w:val="30"/>
          <w:highlight w:val="none"/>
        </w:rPr>
      </w:pPr>
      <w:bookmarkStart w:id="17" w:name="_Toc45702692"/>
      <w:bookmarkStart w:id="18" w:name="_Toc14211"/>
      <w:r>
        <w:rPr>
          <w:rFonts w:hint="eastAsia" w:ascii="黑体" w:eastAsia="黑体"/>
          <w:bCs/>
          <w:color w:val="auto"/>
          <w:sz w:val="30"/>
          <w:highlight w:val="none"/>
        </w:rPr>
        <w:t>（一）招标</w:t>
      </w:r>
      <w:bookmarkEnd w:id="17"/>
      <w:bookmarkEnd w:id="18"/>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1．项目概况</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根据《中华人民共和国招标投标法》等有关法律、法规、规章和规范性文件的规定，本招标项目已具备招标条件，现进行招标。</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1"/>
          <w:highlight w:val="none"/>
        </w:rPr>
        <w:t>标段名称</w:t>
      </w:r>
      <w:r>
        <w:rPr>
          <w:rFonts w:hint="eastAsia" w:ascii="宋体" w:hAnsi="宋体" w:eastAsia="宋体" w:cs="宋体"/>
          <w:color w:val="auto"/>
          <w:highlight w:val="none"/>
        </w:rPr>
        <w:t>：见“投标须知前附表”。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highlight w:val="none"/>
        </w:rPr>
        <w:t>1.2</w:t>
      </w:r>
      <w:r>
        <w:rPr>
          <w:rFonts w:hint="eastAsia" w:ascii="宋体" w:hAnsi="宋体" w:eastAsia="宋体" w:cs="宋体"/>
          <w:color w:val="auto"/>
          <w:szCs w:val="21"/>
          <w:highlight w:val="none"/>
        </w:rPr>
        <w:t>工程地点：见“投标须知前附表”。</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.3</w:t>
      </w:r>
      <w:r>
        <w:rPr>
          <w:rFonts w:hint="eastAsia" w:ascii="宋体" w:hAnsi="宋体" w:eastAsia="宋体" w:cs="宋体"/>
          <w:color w:val="auto"/>
          <w:highlight w:val="none"/>
        </w:rPr>
        <w:t>招标范围</w:t>
      </w:r>
      <w:r>
        <w:rPr>
          <w:rFonts w:hint="eastAsia" w:ascii="宋体" w:hAnsi="宋体" w:eastAsia="宋体" w:cs="宋体"/>
          <w:color w:val="auto"/>
          <w:szCs w:val="21"/>
          <w:highlight w:val="none"/>
        </w:rPr>
        <w:t>：见“投标须知前附表”</w:t>
      </w:r>
      <w:r>
        <w:rPr>
          <w:rFonts w:hint="eastAsia" w:ascii="宋体" w:hAnsi="宋体" w:eastAsia="宋体" w:cs="宋体"/>
          <w:color w:val="auto"/>
          <w:highlight w:val="none"/>
        </w:rPr>
        <w:t>。</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4供货期要求</w:t>
      </w:r>
      <w:r>
        <w:rPr>
          <w:rFonts w:hint="eastAsia" w:ascii="宋体" w:hAnsi="宋体" w:eastAsia="宋体" w:cs="宋体"/>
          <w:color w:val="auto"/>
          <w:highlight w:val="none"/>
        </w:rPr>
        <w:t>：见“投标须知前附表”。</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szCs w:val="21"/>
          <w:highlight w:val="none"/>
        </w:rPr>
        <w:t>投标人资格要求</w:t>
      </w:r>
      <w:r>
        <w:rPr>
          <w:rFonts w:hint="eastAsia" w:ascii="宋体" w:hAnsi="宋体" w:eastAsia="宋体" w:cs="宋体"/>
          <w:color w:val="auto"/>
          <w:highlight w:val="none"/>
        </w:rPr>
        <w:t>：见“投标须知前附表”。</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2．资金来源和落实情况</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2.1资金来源</w:t>
      </w:r>
      <w:r>
        <w:rPr>
          <w:rFonts w:hint="eastAsia" w:ascii="宋体" w:hAnsi="宋体" w:eastAsia="宋体" w:cs="宋体"/>
          <w:color w:val="auto"/>
          <w:szCs w:val="21"/>
          <w:highlight w:val="none"/>
        </w:rPr>
        <w:t>包括政府、国企、私企、集体、外资和其他资金</w:t>
      </w:r>
      <w:r>
        <w:rPr>
          <w:rFonts w:hint="eastAsia" w:ascii="宋体" w:hAnsi="宋体" w:eastAsia="宋体" w:cs="宋体"/>
          <w:color w:val="auto"/>
          <w:highlight w:val="none"/>
        </w:rPr>
        <w:t>。</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2.2本招标项目已取得项目审批部门的批准，资金已落实，且能保证其顺利实施。</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3．踏勘现场</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highlight w:val="none"/>
        </w:rPr>
        <w:t>.1招标人</w:t>
      </w:r>
      <w:r>
        <w:rPr>
          <w:rFonts w:hint="eastAsia" w:ascii="宋体" w:hAnsi="宋体" w:eastAsia="宋体" w:cs="宋体"/>
          <w:color w:val="auto"/>
          <w:kern w:val="0"/>
          <w:szCs w:val="21"/>
          <w:highlight w:val="none"/>
        </w:rPr>
        <w:t>不集中</w:t>
      </w:r>
      <w:r>
        <w:rPr>
          <w:rFonts w:hint="eastAsia" w:ascii="宋体" w:hAnsi="宋体" w:eastAsia="宋体" w:cs="宋体"/>
          <w:color w:val="auto"/>
          <w:kern w:val="0"/>
          <w:highlight w:val="none"/>
        </w:rPr>
        <w:t>组织</w:t>
      </w:r>
      <w:r>
        <w:rPr>
          <w:rFonts w:hint="eastAsia" w:ascii="宋体" w:hAnsi="宋体" w:eastAsia="宋体" w:cs="宋体"/>
          <w:color w:val="auto"/>
          <w:kern w:val="0"/>
          <w:szCs w:val="21"/>
          <w:highlight w:val="none"/>
        </w:rPr>
        <w:t>投标现场踏勘，</w:t>
      </w:r>
      <w:r>
        <w:rPr>
          <w:rFonts w:hint="eastAsia" w:ascii="宋体" w:hAnsi="宋体" w:eastAsia="宋体" w:cs="宋体"/>
          <w:color w:val="auto"/>
          <w:kern w:val="0"/>
          <w:highlight w:val="none"/>
        </w:rPr>
        <w:t>投标人</w:t>
      </w:r>
      <w:r>
        <w:rPr>
          <w:rFonts w:hint="eastAsia" w:ascii="宋体" w:hAnsi="宋体" w:eastAsia="宋体" w:cs="宋体"/>
          <w:color w:val="auto"/>
          <w:kern w:val="0"/>
          <w:szCs w:val="21"/>
          <w:highlight w:val="none"/>
        </w:rPr>
        <w:t>需要了解</w:t>
      </w:r>
      <w:r>
        <w:rPr>
          <w:rFonts w:hint="eastAsia" w:ascii="宋体" w:hAnsi="宋体" w:eastAsia="宋体" w:cs="宋体"/>
          <w:color w:val="auto"/>
          <w:kern w:val="0"/>
          <w:highlight w:val="none"/>
        </w:rPr>
        <w:t>现场</w:t>
      </w:r>
      <w:r>
        <w:rPr>
          <w:rFonts w:hint="eastAsia" w:ascii="宋体" w:hAnsi="宋体" w:eastAsia="宋体" w:cs="宋体"/>
          <w:color w:val="auto"/>
          <w:kern w:val="0"/>
          <w:szCs w:val="21"/>
          <w:highlight w:val="none"/>
        </w:rPr>
        <w:t>情况的，可自行</w:t>
      </w:r>
      <w:r>
        <w:rPr>
          <w:rFonts w:hint="eastAsia" w:ascii="宋体" w:hAnsi="宋体" w:eastAsia="宋体" w:cs="宋体"/>
          <w:color w:val="auto"/>
          <w:kern w:val="0"/>
          <w:highlight w:val="none"/>
        </w:rPr>
        <w:t>进行</w:t>
      </w:r>
      <w:r>
        <w:rPr>
          <w:rFonts w:hint="eastAsia" w:ascii="宋体" w:hAnsi="宋体" w:eastAsia="宋体" w:cs="宋体"/>
          <w:color w:val="auto"/>
          <w:kern w:val="0"/>
          <w:szCs w:val="21"/>
          <w:highlight w:val="none"/>
        </w:rPr>
        <w:t>现场踏勘。</w:t>
      </w:r>
      <w:r>
        <w:rPr>
          <w:rFonts w:hint="eastAsia" w:ascii="宋体" w:hAnsi="宋体" w:eastAsia="宋体" w:cs="宋体"/>
          <w:color w:val="auto"/>
          <w:kern w:val="0"/>
          <w:highlight w:val="none"/>
        </w:rPr>
        <w:t>踏勘现场所发生的费用</w:t>
      </w:r>
      <w:r>
        <w:rPr>
          <w:rFonts w:hint="eastAsia" w:ascii="宋体" w:hAnsi="宋体" w:eastAsia="宋体" w:cs="宋体"/>
          <w:color w:val="auto"/>
          <w:kern w:val="0"/>
          <w:szCs w:val="21"/>
          <w:highlight w:val="none"/>
        </w:rPr>
        <w:t>由投标人自己承担</w:t>
      </w:r>
      <w:r>
        <w:rPr>
          <w:rFonts w:hint="eastAsia" w:ascii="宋体" w:hAnsi="宋体" w:eastAsia="宋体" w:cs="宋体"/>
          <w:color w:val="auto"/>
          <w:kern w:val="0"/>
          <w:highlight w:val="none"/>
        </w:rPr>
        <w:t>。</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4．招标控制价</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.1招标人将在投标截止时间前5日，公示招标控制价。见“投标须知前附表”。</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5.招标文件的补充、修改或澄清</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5.1投标人对招标文件提出疑问，应在质疑期限前（截止时间见交易网）以不署名的形式在交易网提出。逾期不予受理。</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5.2招标人对招标文件进行补充、修改或澄清，应在答疑期限（截止时间见交易网）前，报</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主管部门备案后，通过交易网向所有投标人公示。投标人应随时查看交易网中有关该项目招标文件的信息。否则，由此导致的不利后果由投标人自负。</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5.2.1招标文件的补充、修改和澄清文件，都是招标文件的组成部分。当招标文件与招标文件的补充、修改或澄清文件内容不一致时，以发出日期最近开标日期的文件为准。</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5.2.2招标人为使投标人有充分时间对招标文件的修改、补充或澄清文件进行研究，可酌情延长投标截止时间。确定新的投标截止时间应在投标截止日期前5个日历天之前，以补充文件的形式告知所有的投标人。该补充文件的内容只限于对投标截止时间的修改。</w:t>
      </w:r>
    </w:p>
    <w:p>
      <w:pPr>
        <w:spacing w:line="360" w:lineRule="auto"/>
        <w:jc w:val="center"/>
        <w:outlineLvl w:val="2"/>
        <w:rPr>
          <w:rFonts w:ascii="黑体" w:eastAsia="黑体"/>
          <w:bCs/>
          <w:color w:val="auto"/>
          <w:sz w:val="30"/>
          <w:highlight w:val="none"/>
        </w:rPr>
      </w:pPr>
      <w:bookmarkStart w:id="19" w:name="_Toc45702693"/>
      <w:bookmarkStart w:id="20" w:name="_Toc26105"/>
      <w:bookmarkStart w:id="21" w:name="_Toc22570"/>
      <w:r>
        <w:rPr>
          <w:rFonts w:hint="eastAsia" w:ascii="黑体" w:eastAsia="黑体"/>
          <w:bCs/>
          <w:color w:val="auto"/>
          <w:sz w:val="30"/>
          <w:highlight w:val="none"/>
        </w:rPr>
        <w:t>（二）投标</w:t>
      </w:r>
      <w:bookmarkEnd w:id="19"/>
      <w:bookmarkEnd w:id="20"/>
      <w:bookmarkEnd w:id="21"/>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6.对招标文件的质疑</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7.投标文件要求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8．投标费用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8.1投标人应承担其编制投标文件与递交投标文件所涉及的一切费用。不论投标结果如何，招标人在任何情况下无义务也无责任承担这些费用。</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9．关于联合体投标</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组成一个联合体以一个投标人的身份共同投标时，应符合招标项目资格及其他相关要求；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9.2投标人的投标文件及中标后签署的合同协议书对联合体每一成员均具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法律约束力；</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9.6联合体代表应被授权作为联合体所有成员的代表承担责任和接受指令，并负责整个合同的全面履行；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9.7参加联合体的各成员不得再以自己的名义单独投标，也不得同时参加两个或两个以上的联合体投标。出现上述情况者，其投标和与其有关的联合体的投标均做无效标处理；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9.8除非另有规定或说明，本须知(本款)中“投标人”一词亦指联合体各成员。</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10．投标文件的语言及计量单位</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10.1投标人与招标人之间</w:t>
      </w:r>
      <w:r>
        <w:rPr>
          <w:rFonts w:hint="eastAsia" w:ascii="宋体" w:hAnsi="宋体" w:eastAsia="宋体" w:cs="宋体"/>
          <w:color w:val="auto"/>
          <w:kern w:val="0"/>
          <w:szCs w:val="21"/>
          <w:highlight w:val="none"/>
        </w:rPr>
        <w:t>与投标</w:t>
      </w:r>
      <w:r>
        <w:rPr>
          <w:rFonts w:hint="eastAsia" w:ascii="宋体" w:hAnsi="宋体" w:eastAsia="宋体" w:cs="宋体"/>
          <w:color w:val="auto"/>
          <w:kern w:val="0"/>
          <w:highlight w:val="none"/>
        </w:rPr>
        <w:t>有关的所有往来</w:t>
      </w:r>
      <w:r>
        <w:rPr>
          <w:rFonts w:hint="eastAsia" w:ascii="宋体" w:hAnsi="宋体" w:eastAsia="宋体" w:cs="宋体"/>
          <w:color w:val="auto"/>
          <w:kern w:val="0"/>
          <w:szCs w:val="21"/>
          <w:highlight w:val="none"/>
        </w:rPr>
        <w:t>文件和投标文件均应使用中文。投标人随投标文件提供的证明文件和资料可以为其它语言，但</w:t>
      </w:r>
      <w:r>
        <w:rPr>
          <w:rFonts w:hint="eastAsia" w:ascii="宋体" w:hAnsi="宋体" w:eastAsia="宋体" w:cs="宋体"/>
          <w:color w:val="auto"/>
          <w:kern w:val="0"/>
          <w:highlight w:val="none"/>
        </w:rPr>
        <w:t>必须</w:t>
      </w:r>
      <w:r>
        <w:rPr>
          <w:rFonts w:hint="eastAsia" w:ascii="宋体" w:hAnsi="宋体" w:eastAsia="宋体" w:cs="宋体"/>
          <w:color w:val="auto"/>
          <w:kern w:val="0"/>
          <w:szCs w:val="21"/>
          <w:highlight w:val="none"/>
        </w:rPr>
        <w:t>附中文译文，并且，为了解释投标文件，应以中文为准</w:t>
      </w:r>
      <w:r>
        <w:rPr>
          <w:rFonts w:hint="eastAsia" w:ascii="宋体" w:hAnsi="宋体" w:eastAsia="宋体" w:cs="宋体"/>
          <w:color w:val="auto"/>
          <w:kern w:val="0"/>
          <w:highlight w:val="none"/>
        </w:rPr>
        <w:t>。</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10.2除</w:t>
      </w:r>
      <w:r>
        <w:rPr>
          <w:rFonts w:hint="eastAsia" w:ascii="宋体" w:hAnsi="宋体" w:eastAsia="宋体" w:cs="宋体"/>
          <w:color w:val="auto"/>
          <w:kern w:val="0"/>
          <w:szCs w:val="21"/>
          <w:highlight w:val="none"/>
        </w:rPr>
        <w:t>工程建设标准及技术要求</w:t>
      </w:r>
      <w:r>
        <w:rPr>
          <w:rFonts w:hint="eastAsia" w:ascii="宋体" w:hAnsi="宋体" w:eastAsia="宋体" w:cs="宋体"/>
          <w:color w:val="auto"/>
          <w:kern w:val="0"/>
          <w:highlight w:val="none"/>
        </w:rPr>
        <w:t>另有规定外，</w:t>
      </w:r>
      <w:r>
        <w:rPr>
          <w:rFonts w:hint="eastAsia" w:ascii="宋体" w:hAnsi="宋体" w:eastAsia="宋体" w:cs="宋体"/>
          <w:color w:val="auto"/>
          <w:kern w:val="0"/>
          <w:szCs w:val="21"/>
          <w:highlight w:val="none"/>
        </w:rPr>
        <w:t>投标文件</w:t>
      </w:r>
      <w:r>
        <w:rPr>
          <w:rFonts w:hint="eastAsia" w:ascii="宋体" w:hAnsi="宋体" w:eastAsia="宋体" w:cs="宋体"/>
          <w:color w:val="auto"/>
          <w:kern w:val="0"/>
          <w:highlight w:val="none"/>
        </w:rPr>
        <w:t>使用</w:t>
      </w:r>
      <w:r>
        <w:rPr>
          <w:rFonts w:hint="eastAsia" w:ascii="宋体" w:hAnsi="宋体" w:eastAsia="宋体" w:cs="宋体"/>
          <w:color w:val="auto"/>
          <w:kern w:val="0"/>
          <w:szCs w:val="21"/>
          <w:highlight w:val="none"/>
        </w:rPr>
        <w:t>的度量单位，均采用</w:t>
      </w:r>
      <w:r>
        <w:rPr>
          <w:rFonts w:hint="eastAsia" w:ascii="宋体" w:hAnsi="宋体" w:eastAsia="宋体" w:cs="宋体"/>
          <w:color w:val="auto"/>
          <w:kern w:val="0"/>
          <w:highlight w:val="none"/>
        </w:rPr>
        <w:t>中华人民共和国法定计量单位。</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11．投标文件的构成</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11.1投标文件由□资格审查文件、技术标（含资信标）、商务标、业绩文件组成。</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11.2资信标书，包含但不限于以下内容：</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(1)资信标书封面；</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(2)法定代表人资格证明书原件扫描件；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w:t>
      </w:r>
    </w:p>
    <w:p>
      <w:pPr>
        <w:topLinePunct/>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pPr>
        <w:topLinePunct/>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2）投标保函或招标人出具的投标担保收讫的凭证原件扫描件；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(4)资信条款响应表；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(5)合同要求响应表；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(6)联合体投标协议书原件扫描件；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(7)招标人要求提交的投标资格证明文件；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投标人基本情况表；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经年检的营业执照副本扫描件；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制造商的资格声明原件扫描件；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经销商（作为代理）的资格声明；</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制造商出具的授权函原件扫描件；</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主要技术人员情况表；</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□(8)招标文件要求提交的其它资料：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11.3技术标书，包含但不限于以下内容：</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(1)技术标书封面</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(2)技术性能响应表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(3)货物说明一览表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(4)技术方案</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(5)售后服务和培训方案</w:t>
      </w:r>
    </w:p>
    <w:p>
      <w:pPr>
        <w:tabs>
          <w:tab w:val="left" w:pos="993"/>
        </w:tabs>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□(6)招标文件要求提交的其它资料：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11.4商务标书，包含但不限于以下内容：</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(1)商务标书封面</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(2)投标报价一览表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(3)投标分项报价表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(4)货物说明一览表</w:t>
      </w:r>
    </w:p>
    <w:p>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(5)合同条款响应表</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□(6)招标文件要求提交的其它资料：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11.5业绩文件，包含但不限于以下内容：</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□(2)招标公告业绩要求证明材料</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□(3)招标文件业绩要求证明材料</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11.6资格审查文件，包含但不限于以下内容：</w:t>
      </w:r>
    </w:p>
    <w:p>
      <w:pPr>
        <w:topLinePunct/>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12．投标文件的格式和签署</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12.1投标人提交的投标文件应按本招标文件“投标文件格式”</w:t>
      </w:r>
      <w:r>
        <w:rPr>
          <w:rFonts w:hint="eastAsia" w:ascii="宋体" w:hAnsi="宋体" w:eastAsia="宋体" w:cs="宋体"/>
          <w:color w:val="auto"/>
          <w:szCs w:val="21"/>
          <w:highlight w:val="none"/>
        </w:rPr>
        <w:t>章节</w:t>
      </w:r>
      <w:r>
        <w:rPr>
          <w:rFonts w:hint="eastAsia" w:ascii="宋体" w:hAnsi="宋体" w:eastAsia="宋体" w:cs="宋体"/>
          <w:color w:val="auto"/>
          <w:highlight w:val="none"/>
        </w:rPr>
        <w:t>的顺序编排。本招标文件提供的投标文件格式可以按同样格式扩展。</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12.2投标文件须按投标文件格式要求加签有效的投标人机构数字证书或电子营业执照、法定代表人个人数字证书。</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13．投标报价</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1投标报价是投标人的投标文件中提出的各项支付费用的金额总和。包括货物的价格，以及为提供货物而产生的运费、保险费、安装调试费、培训费、后续服务等等的费用。投标人的投标报价应保证在投标有效期内有效，在合同执行期内是固定不变。</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.2投标人的投标报价应是</w:t>
      </w:r>
      <w:r>
        <w:rPr>
          <w:rFonts w:hint="eastAsia" w:ascii="宋体" w:hAnsi="宋体" w:eastAsia="宋体" w:cs="宋体"/>
          <w:color w:val="auto"/>
          <w:szCs w:val="21"/>
          <w:highlight w:val="none"/>
        </w:rPr>
        <w:t>本招标文件</w:t>
      </w:r>
      <w:r>
        <w:rPr>
          <w:rFonts w:hint="eastAsia" w:ascii="宋体" w:hAnsi="宋体" w:eastAsia="宋体" w:cs="宋体"/>
          <w:color w:val="auto"/>
          <w:highlight w:val="none"/>
        </w:rPr>
        <w:t>“货物需求书”</w:t>
      </w:r>
      <w:r>
        <w:rPr>
          <w:rFonts w:hint="eastAsia" w:ascii="宋体" w:hAnsi="宋体" w:eastAsia="宋体" w:cs="宋体"/>
          <w:color w:val="auto"/>
          <w:szCs w:val="21"/>
          <w:highlight w:val="none"/>
        </w:rPr>
        <w:t>章节中</w:t>
      </w:r>
      <w:r>
        <w:rPr>
          <w:rFonts w:hint="eastAsia" w:ascii="宋体" w:hAnsi="宋体" w:eastAsia="宋体" w:cs="宋体"/>
          <w:color w:val="auto"/>
          <w:highlight w:val="none"/>
        </w:rPr>
        <w:t>第一节“货物需求及数量一览表”（以下简称：“货物需求及数量一览表”）和通用合同、专用合同上所列的各项内容的全部。</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.3投标人应按“货物需求及数量一览表”中列出的货物填报单价和合价。每一个货物只允许有一个报价，任何有选择的报价将不予接受。</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.3.1投标报价中未填单价或合价的部分，将被视为该费用已包括在其他有价款的单价或合价内，招标人将不另行支付。</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.3.2投标人若是提供了可变动价格或包含价格调整要求投标，其投标将会被拒绝。</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.3.3投标人若是提供了两个（含两个）以上报价，且未明确哪个是有效报价，其投标将会被拒绝（除允许提供备选方案的）。</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.4招标人不接受任何免费赠送的货物或服务。如有，将按缺漏项处理。</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.5投标报价的招标控制价见“投标须知前附表”。</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.6最低投标报价不得低于成本。</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14．投标有效期</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14.1</w:t>
      </w:r>
      <w:r>
        <w:rPr>
          <w:rFonts w:hint="eastAsia" w:ascii="宋体" w:hAnsi="宋体" w:eastAsia="宋体" w:cs="宋体"/>
          <w:color w:val="auto"/>
          <w:kern w:val="0"/>
          <w:szCs w:val="21"/>
          <w:highlight w:val="none"/>
        </w:rPr>
        <w:t>投标有效期按法律法规规定期限内，所有投标文件均保持有效。</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14</w:t>
      </w:r>
      <w:r>
        <w:rPr>
          <w:rFonts w:hint="eastAsia" w:ascii="宋体" w:hAnsi="宋体" w:eastAsia="宋体" w:cs="宋体"/>
          <w:color w:val="auto"/>
          <w:highlight w:val="none"/>
        </w:rPr>
        <w:t>.2</w:t>
      </w:r>
      <w:r>
        <w:rPr>
          <w:rFonts w:hint="eastAsia" w:ascii="宋体" w:hAnsi="宋体" w:eastAsia="宋体" w:cs="宋体"/>
          <w:color w:val="auto"/>
          <w:szCs w:val="21"/>
          <w:highlight w:val="none"/>
        </w:rPr>
        <w:t>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的退还与没收的规定仍然适用。</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.2投标人应按前附表要求提交投标担保</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pPr>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16.投标文件的编制</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投标人应认真阅读招标文件的全部内容（包括招标文件的补充、修改及澄清文件），并严格履行招标文件的各项规定、要求。如果投标人不能履行招标文件的规定和要求，或者随投标文件提供的证明材料不能对招标文件的要求作出实质性响应，可能导致其投标被拒绝。</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16.2投标人应按照招标文件的要求编制投标文件。投标文件中所引用的顺序和编号应与招标文件一致，但可以增加说明或描述性文字。投标文件对招标文件未提出异议的条款，均被视为接受和同意。</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16.3投标人应按招标文件要求提供资料，投标文件均使用中文文本；对不同文字文本的资料解释发生异议的，以中文文本为准。</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16.4除商务标以外，在其他标书内不得包含任何有关投标价格信息的（适用于二阶段开标的）。否则，其投标将会被拒绝。</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17．投标文件的提交和截标时投标文件的数量要求</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17.1投标截止时间和地点。投标人应根据“投标须知前附表”的规定，在投标截止时间前将投标文件送达指定地点。</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17.2截标时递交标书的投标人数量不足3名的，招标人将按法律法规的规定暂停开标和评标程序。如导致招标失败，招标人将不负担因此给投标人造成的损失。</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17.3联合体投标的工程，联合体主体单位应在投标时录入已进行企业信息登记的联合体其他成员单位。</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18．投标文件的修改或撤回</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18.1投标人已提交投标文件，规定的投标截止时间还未到，投标人可对其投标文件修改或撤回。</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18.2投标截止时间之后至投标文件有效期终止之前，投标人不得要求撤回其投标。在此期间撤回投标的，其投标担保将会被没收。</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18.3评标结束后，不论中标与否，投标人均不得收回投标文件。</w:t>
      </w:r>
    </w:p>
    <w:p>
      <w:pPr>
        <w:spacing w:line="360" w:lineRule="auto"/>
        <w:jc w:val="center"/>
        <w:outlineLvl w:val="2"/>
        <w:rPr>
          <w:rFonts w:ascii="黑体" w:eastAsia="黑体"/>
          <w:bCs/>
          <w:color w:val="auto"/>
          <w:sz w:val="30"/>
          <w:highlight w:val="none"/>
        </w:rPr>
      </w:pPr>
      <w:bookmarkStart w:id="22" w:name="_Toc45702694"/>
      <w:bookmarkStart w:id="23" w:name="_Toc32508"/>
      <w:r>
        <w:rPr>
          <w:rFonts w:hint="eastAsia" w:ascii="黑体" w:eastAsia="黑体"/>
          <w:bCs/>
          <w:color w:val="auto"/>
          <w:sz w:val="30"/>
          <w:highlight w:val="none"/>
        </w:rPr>
        <w:t>（三）资格后审</w:t>
      </w:r>
      <w:bookmarkEnd w:id="22"/>
      <w:bookmarkEnd w:id="23"/>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19.资格后审：</w:t>
      </w:r>
    </w:p>
    <w:p>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19</w:t>
      </w:r>
      <w:r>
        <w:rPr>
          <w:rFonts w:hint="eastAsia" w:ascii="宋体" w:hAnsi="宋体" w:eastAsia="宋体" w:cs="宋体"/>
          <w:color w:val="auto"/>
          <w:highlight w:val="none"/>
        </w:rPr>
        <w:t>.1</w:t>
      </w:r>
      <w:r>
        <w:rPr>
          <w:rFonts w:hint="eastAsia" w:ascii="宋体" w:hAnsi="宋体" w:eastAsia="宋体" w:cs="宋体"/>
          <w:color w:val="auto"/>
          <w:kern w:val="0"/>
          <w:highlight w:val="none"/>
        </w:rPr>
        <w:t>资格审查由招标人组成的资格后审委员会负责，在截标后</w:t>
      </w:r>
      <w:r>
        <w:rPr>
          <w:rFonts w:hint="eastAsia" w:ascii="宋体" w:hAnsi="宋体" w:eastAsia="宋体" w:cs="宋体"/>
          <w:color w:val="auto"/>
          <w:kern w:val="0"/>
          <w:szCs w:val="21"/>
          <w:highlight w:val="none"/>
        </w:rPr>
        <w:t>招标人登陆交易网</w:t>
      </w:r>
      <w:r>
        <w:rPr>
          <w:rFonts w:hint="eastAsia" w:ascii="宋体" w:hAnsi="宋体" w:eastAsia="宋体" w:cs="宋体"/>
          <w:color w:val="auto"/>
          <w:kern w:val="0"/>
          <w:highlight w:val="none"/>
        </w:rPr>
        <w:t>对各投标人资格进行审查。</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19.2资格后审委员会由3名以上单数的招标人代表组成，招标代理人员参与资格审查的，其人员不得超过总人数的1/3。</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19.3资格后审委员严格对照招标公告中要求的投标人资格条件，逐个审查投标人递交的资格审查文件，审核判断投标人是否满足该资格条件。</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19.5拟进行资格后审澄清、答辩的代表由招标人核对身份。</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19.6资格后审委员会要求投标人进行澄清、答辩，但投标人在招标人规定时间内未派出人员及时作出澄清、答辩的，资格后审委员会将可能作出不利于投标人的判定。</w:t>
      </w:r>
    </w:p>
    <w:p>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19.7</w:t>
      </w:r>
      <w:r>
        <w:rPr>
          <w:rFonts w:hint="eastAsia" w:ascii="宋体" w:hAnsi="宋体" w:eastAsia="宋体" w:cs="宋体"/>
          <w:color w:val="auto"/>
          <w:szCs w:val="21"/>
          <w:highlight w:val="none"/>
        </w:rPr>
        <w:t>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pPr>
        <w:spacing w:line="360" w:lineRule="auto"/>
        <w:jc w:val="center"/>
        <w:outlineLvl w:val="2"/>
        <w:rPr>
          <w:rFonts w:ascii="黑体" w:eastAsia="黑体"/>
          <w:bCs/>
          <w:color w:val="auto"/>
          <w:sz w:val="30"/>
          <w:highlight w:val="none"/>
        </w:rPr>
      </w:pPr>
      <w:bookmarkStart w:id="24" w:name="_Toc45702695"/>
      <w:bookmarkStart w:id="25" w:name="_Toc2087"/>
      <w:r>
        <w:rPr>
          <w:rFonts w:hint="eastAsia" w:ascii="黑体" w:eastAsia="黑体"/>
          <w:bCs/>
          <w:color w:val="auto"/>
          <w:sz w:val="30"/>
          <w:highlight w:val="none"/>
        </w:rPr>
        <w:t>（四）开标</w:t>
      </w:r>
      <w:bookmarkEnd w:id="24"/>
      <w:bookmarkEnd w:id="25"/>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20．开标</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20.1</w:t>
      </w:r>
      <w:r>
        <w:rPr>
          <w:rFonts w:hint="eastAsia" w:ascii="宋体" w:hAnsi="宋体" w:eastAsia="宋体" w:cs="宋体"/>
          <w:color w:val="auto"/>
          <w:kern w:val="0"/>
          <w:highlight w:val="none"/>
        </w:rPr>
        <w:t>开标会议</w:t>
      </w:r>
      <w:r>
        <w:rPr>
          <w:rFonts w:hint="eastAsia" w:ascii="宋体" w:hAnsi="宋体" w:eastAsia="宋体" w:cs="宋体"/>
          <w:color w:val="auto"/>
          <w:kern w:val="0"/>
          <w:szCs w:val="21"/>
          <w:highlight w:val="none"/>
        </w:rPr>
        <w:t>由招标人在交易网进行，</w:t>
      </w:r>
      <w:r>
        <w:rPr>
          <w:rFonts w:hint="eastAsia" w:ascii="宋体" w:hAnsi="宋体" w:eastAsia="宋体" w:cs="宋体"/>
          <w:color w:val="auto"/>
          <w:kern w:val="0"/>
          <w:highlight w:val="none"/>
        </w:rPr>
        <w:t>投标人</w:t>
      </w:r>
      <w:r>
        <w:rPr>
          <w:rFonts w:hint="eastAsia" w:ascii="宋体" w:hAnsi="宋体" w:eastAsia="宋体" w:cs="宋体"/>
          <w:color w:val="auto"/>
          <w:kern w:val="0"/>
          <w:szCs w:val="21"/>
          <w:highlight w:val="none"/>
        </w:rPr>
        <w:t>现场参加开标会的</w:t>
      </w:r>
      <w:r>
        <w:rPr>
          <w:rFonts w:hint="eastAsia" w:ascii="宋体" w:hAnsi="宋体" w:eastAsia="宋体" w:cs="宋体"/>
          <w:color w:val="auto"/>
          <w:kern w:val="0"/>
          <w:highlight w:val="none"/>
        </w:rPr>
        <w:t>必须是法定代表人或投标员</w:t>
      </w:r>
      <w:r>
        <w:rPr>
          <w:rFonts w:hint="eastAsia" w:ascii="宋体" w:hAnsi="宋体" w:eastAsia="宋体" w:cs="宋体"/>
          <w:color w:val="auto"/>
          <w:kern w:val="0"/>
          <w:szCs w:val="21"/>
          <w:highlight w:val="none"/>
        </w:rPr>
        <w:t>，并必须遵守办理程序及人员</w:t>
      </w:r>
      <w:r>
        <w:rPr>
          <w:rFonts w:hint="eastAsia" w:ascii="宋体" w:hAnsi="宋体" w:eastAsia="宋体" w:cs="宋体"/>
          <w:color w:val="auto"/>
          <w:kern w:val="0"/>
          <w:highlight w:val="none"/>
        </w:rPr>
        <w:t>身份</w:t>
      </w:r>
      <w:r>
        <w:rPr>
          <w:rFonts w:hint="eastAsia" w:ascii="宋体" w:hAnsi="宋体" w:eastAsia="宋体" w:cs="宋体"/>
          <w:color w:val="auto"/>
          <w:kern w:val="0"/>
          <w:szCs w:val="21"/>
          <w:highlight w:val="none"/>
        </w:rPr>
        <w:t>的相关规定</w:t>
      </w:r>
      <w:r>
        <w:rPr>
          <w:rFonts w:hint="eastAsia" w:ascii="宋体" w:hAnsi="宋体" w:eastAsia="宋体" w:cs="宋体"/>
          <w:color w:val="auto"/>
          <w:kern w:val="0"/>
          <w:highlight w:val="none"/>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20.2资格后审不合格的投标人的投标文件将不再进入下一步开标程序。</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20.3开标</w:t>
      </w:r>
      <w:r>
        <w:rPr>
          <w:rFonts w:hint="eastAsia" w:ascii="宋体" w:hAnsi="宋体" w:eastAsia="宋体" w:cs="宋体"/>
          <w:color w:val="auto"/>
          <w:kern w:val="0"/>
          <w:highlight w:val="none"/>
        </w:rPr>
        <w:t>时</w:t>
      </w:r>
      <w:r>
        <w:rPr>
          <w:rFonts w:hint="eastAsia" w:ascii="宋体" w:hAnsi="宋体" w:eastAsia="宋体" w:cs="宋体"/>
          <w:color w:val="auto"/>
          <w:kern w:val="0"/>
          <w:szCs w:val="21"/>
          <w:highlight w:val="none"/>
        </w:rPr>
        <w:t>，招标人需按开标程序分步对电子投标文件各部分进行</w:t>
      </w:r>
      <w:r>
        <w:rPr>
          <w:rFonts w:hint="eastAsia" w:ascii="宋体" w:hAnsi="宋体" w:eastAsia="宋体" w:cs="宋体"/>
          <w:color w:val="auto"/>
          <w:kern w:val="0"/>
          <w:highlight w:val="none"/>
        </w:rPr>
        <w:t>导入</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如电子投标文件已加密的，</w:t>
      </w:r>
      <w:r>
        <w:rPr>
          <w:rFonts w:hint="eastAsia" w:ascii="宋体" w:hAnsi="宋体" w:eastAsia="宋体" w:cs="宋体"/>
          <w:color w:val="auto"/>
          <w:kern w:val="0"/>
          <w:szCs w:val="21"/>
          <w:highlight w:val="none"/>
        </w:rPr>
        <w:t>也必须按开标程序分步对电子投标文件各部分</w:t>
      </w:r>
      <w:r>
        <w:rPr>
          <w:rFonts w:hint="eastAsia" w:ascii="宋体" w:hAnsi="宋体" w:eastAsia="宋体" w:cs="宋体"/>
          <w:color w:val="auto"/>
          <w:kern w:val="0"/>
          <w:highlight w:val="none"/>
        </w:rPr>
        <w:t>进行解密。</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20.4按招标文件</w:t>
      </w:r>
      <w:r>
        <w:rPr>
          <w:rFonts w:hint="eastAsia" w:ascii="宋体" w:hAnsi="宋体" w:eastAsia="宋体" w:cs="宋体"/>
          <w:color w:val="auto"/>
          <w:kern w:val="0"/>
          <w:highlight w:val="none"/>
        </w:rPr>
        <w:t>规定宣布为不予受理情形的投标文件，不予送交评标委员会评审。</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20.5</w:t>
      </w:r>
      <w:r>
        <w:rPr>
          <w:rFonts w:hint="eastAsia" w:ascii="宋体" w:hAnsi="宋体" w:eastAsia="宋体" w:cs="宋体"/>
          <w:color w:val="auto"/>
          <w:kern w:val="0"/>
          <w:highlight w:val="none"/>
        </w:rPr>
        <w:t>招标人</w:t>
      </w:r>
      <w:r>
        <w:rPr>
          <w:rFonts w:hint="eastAsia" w:ascii="宋体" w:hAnsi="宋体" w:eastAsia="宋体" w:cs="宋体"/>
          <w:color w:val="auto"/>
          <w:kern w:val="0"/>
          <w:szCs w:val="21"/>
          <w:highlight w:val="none"/>
        </w:rPr>
        <w:t>应对开标过程进行记录，以存档备查。</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20.6对于开标</w:t>
      </w:r>
      <w:r>
        <w:rPr>
          <w:rFonts w:hint="eastAsia" w:ascii="宋体" w:hAnsi="宋体" w:eastAsia="宋体" w:cs="宋体"/>
          <w:color w:val="auto"/>
          <w:kern w:val="0"/>
          <w:highlight w:val="none"/>
        </w:rPr>
        <w:t>后</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highlight w:val="none"/>
        </w:rPr>
        <w:t>投标人</w:t>
      </w:r>
      <w:r>
        <w:rPr>
          <w:rFonts w:hint="eastAsia" w:ascii="宋体" w:hAnsi="宋体" w:eastAsia="宋体" w:cs="宋体"/>
          <w:color w:val="auto"/>
          <w:kern w:val="0"/>
          <w:szCs w:val="21"/>
          <w:highlight w:val="none"/>
        </w:rPr>
        <w:t>数量超过20名的，招标人可以按规定将进入评标环节的投标人数量淘汰至15至20名</w:t>
      </w:r>
      <w:r>
        <w:rPr>
          <w:rFonts w:hint="eastAsia" w:ascii="宋体" w:hAnsi="宋体" w:eastAsia="宋体" w:cs="宋体"/>
          <w:color w:val="auto"/>
          <w:kern w:val="0"/>
          <w:highlight w:val="none"/>
        </w:rPr>
        <w:t>。</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20.7招标人在过多投标人淘汰环节应当采用票决法进行择优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20.8招标人应对开标过程进行记录，以存档备查。开标及入围结果应当在交易网进行公示。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20.9招标人在</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现场组织的开标会应遵循《会议管理规定》及《开标会程序》的相关规定。</w:t>
      </w:r>
    </w:p>
    <w:p>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21．投标文件</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不予受理的情形（详见投标文件否决性条款第一条）。</w:t>
      </w:r>
    </w:p>
    <w:p>
      <w:pPr>
        <w:spacing w:line="360" w:lineRule="auto"/>
        <w:jc w:val="center"/>
        <w:outlineLvl w:val="2"/>
        <w:rPr>
          <w:rFonts w:ascii="黑体" w:eastAsia="黑体"/>
          <w:bCs/>
          <w:color w:val="auto"/>
          <w:sz w:val="30"/>
          <w:highlight w:val="none"/>
        </w:rPr>
      </w:pPr>
      <w:bookmarkStart w:id="26" w:name="_Toc45702696"/>
      <w:bookmarkStart w:id="27" w:name="_Toc27635"/>
      <w:r>
        <w:rPr>
          <w:rFonts w:hint="eastAsia" w:ascii="黑体" w:eastAsia="黑体"/>
          <w:bCs/>
          <w:color w:val="auto"/>
          <w:sz w:val="30"/>
          <w:highlight w:val="none"/>
        </w:rPr>
        <w:t>（五）评标</w:t>
      </w:r>
      <w:bookmarkEnd w:id="26"/>
      <w:bookmarkEnd w:id="27"/>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 评标委员会组建及职责</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22.1评标委员会组建方式：由招标人依法组建，负责评标活动。</w:t>
      </w:r>
      <w:r>
        <w:rPr>
          <w:rFonts w:hint="eastAsia" w:ascii="宋体" w:hAnsi="宋体" w:eastAsia="宋体" w:cs="宋体"/>
          <w:snapToGrid w:val="0"/>
          <w:color w:val="auto"/>
          <w:kern w:val="0"/>
          <w:szCs w:val="21"/>
          <w:highlight w:val="none"/>
        </w:rPr>
        <w:t>评标委员会的专家成员由招标人从评标专家库内按照专业随机抽取，评标委员会成员数量为5人以上单数，招标人可以委派一名代表。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22.2</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22.3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 投标文件的初步评审</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23.1计算机评标系统对投标文件进行自动清标分析，然后由评标委员会进行投标文件的初步评审。</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23.2投标文件初步评审</w:t>
      </w:r>
      <w:r>
        <w:rPr>
          <w:rFonts w:hint="eastAsia" w:ascii="宋体" w:hAnsi="宋体" w:eastAsia="宋体" w:cs="宋体"/>
          <w:bCs/>
          <w:color w:val="auto"/>
          <w:kern w:val="0"/>
          <w:szCs w:val="21"/>
          <w:highlight w:val="none"/>
        </w:rPr>
        <w:t>不合格的</w:t>
      </w:r>
      <w:r>
        <w:rPr>
          <w:rFonts w:hint="eastAsia" w:ascii="宋体" w:hAnsi="宋体" w:eastAsia="宋体" w:cs="宋体"/>
          <w:color w:val="auto"/>
          <w:kern w:val="0"/>
          <w:szCs w:val="21"/>
          <w:highlight w:val="none"/>
        </w:rPr>
        <w:t>，应参照投标文件否决性条款作无效标处理。</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 投标文件的详细评审</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25.投标文件的重大偏差</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pPr>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26.投标文件的细微偏差</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27. 投标文件的澄清答辩</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28. 无效标和废标的处理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除法律、法规、规章、规范性文件规定以及本招标文件否决性条款单列的无效标或者废标情形外，评标委员会不得对投标文件作无效标或者废标处理。评标委员会对投标文件应坚持谨慎确定无效标和废标的原则。</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28.2评标委员会在作出任何一项无效标和废标决定前，都应当严格遵循以下程序：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28.2.1向当事投标人作相应的澄清；</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28.2.2当事投标人应当在通知规定时间内，向评标委员会作出澄清和解释。未按时作出澄清和解释的，评标委员会可对相应投标文件按最不利情形认定;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28.2.3在充分讨论的基础上集体表决；</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28.2.4若表决通过无效标或废标决定，应在评标报告中详细载明无效标或废标的理由、依据、答辩的情况和集体表决的情况（同意无效标或废标和不同意无效标或废标的评标委员会成员均应当注明）。</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28.2.5评标委员会在否决所有投标文件前，应当向招标人核实有关情况，听取招标人意见。</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29 </w:t>
      </w:r>
      <w:r>
        <w:rPr>
          <w:rFonts w:hint="eastAsia" w:ascii="宋体" w:hAnsi="宋体" w:eastAsia="宋体" w:cs="宋体"/>
          <w:b/>
          <w:bCs/>
          <w:color w:val="auto"/>
          <w:kern w:val="0"/>
          <w:szCs w:val="21"/>
          <w:highlight w:val="none"/>
          <w:lang w:val="en-US" w:eastAsia="zh-CN"/>
        </w:rPr>
        <w:t>中标候选</w:t>
      </w:r>
      <w:r>
        <w:rPr>
          <w:rFonts w:hint="eastAsia" w:ascii="宋体" w:hAnsi="宋体" w:eastAsia="宋体" w:cs="宋体"/>
          <w:b/>
          <w:bCs/>
          <w:color w:val="auto"/>
          <w:kern w:val="0"/>
          <w:szCs w:val="21"/>
          <w:highlight w:val="none"/>
        </w:rPr>
        <w:t>人的推荐</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29.1评标委员会实行少数服从多数的原则，评标结果经评标委员会全体成员过半数通过有效。</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8"/>
          <w:rFonts w:hint="eastAsia" w:ascii="宋体" w:hAnsi="宋体" w:eastAsia="宋体" w:cs="宋体"/>
          <w:strike w:val="0"/>
          <w:color w:val="auto"/>
          <w:szCs w:val="21"/>
          <w:highlight w:val="none"/>
          <w:u w:val="none"/>
          <w:lang w:val="en-US" w:eastAsia="zh-CN"/>
        </w:rPr>
        <w:t>[</w:t>
      </w:r>
      <w:r>
        <w:rPr>
          <w:rStyle w:val="138"/>
          <w:rFonts w:hint="eastAsia" w:ascii="宋体" w:hAnsi="宋体" w:eastAsia="宋体" w:cs="宋体"/>
          <w:strike w:val="0"/>
          <w:color w:val="auto"/>
          <w:szCs w:val="21"/>
          <w:highlight w:val="none"/>
          <w:u w:val="none"/>
          <w:lang w:val="en-US" w:eastAsia="zh-CN"/>
        </w:rPr>
        <w:footnoteReference w:id="5"/>
      </w:r>
      <w:r>
        <w:rPr>
          <w:rStyle w:val="138"/>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29.3评标委员会作出无效标或者废标处理后，合格投标人数量不足3名的，招标人应当宣布本次招标失败，重新招标。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采用批量招标方式的，评标委员会作出无效标或者废标处理后，合格投标人数量不足拟定中标人数量加上2名的，招标人不得再采用批量招标方式。</w:t>
      </w:r>
    </w:p>
    <w:p>
      <w:pPr>
        <w:adjustRightInd w:val="0"/>
        <w:snapToGrid w:val="0"/>
        <w:spacing w:line="360" w:lineRule="auto"/>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交易网公示</w:t>
      </w:r>
      <w:r>
        <w:rPr>
          <w:rFonts w:hint="eastAsia" w:ascii="宋体" w:hAnsi="宋体" w:eastAsia="宋体" w:cs="宋体"/>
          <w:color w:val="auto"/>
          <w:kern w:val="0"/>
          <w:szCs w:val="21"/>
          <w:highlight w:val="none"/>
        </w:rPr>
        <w:t>3个工作日后直接发包。</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29.5如招投标过程中出现严重异常情况，经</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主管部门批准，招标人可以不接受本次招标结果，应当重新招标。</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30. 评标报告</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kern w:val="0"/>
          <w:szCs w:val="21"/>
          <w:highlight w:val="none"/>
        </w:rPr>
        <w:t>。评标委员会成员拒绝签字的，视为同意评标结论。评标委员会应对此做出书面记录。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30.4评标委员会向招标人提交评标报告后即解散。评标过程中使用的文件、资料等，都不得带离评标室。</w:t>
      </w:r>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31. 评标结果公示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szCs w:val="21"/>
          <w:highlight w:val="none"/>
          <w:lang w:val="en-US" w:eastAsia="zh-CN"/>
        </w:rPr>
        <w:t>资信标内容</w:t>
      </w:r>
      <w:r>
        <w:rPr>
          <w:rFonts w:hint="eastAsia" w:ascii="宋体" w:hAnsi="宋体" w:eastAsia="宋体" w:cs="宋体"/>
          <w:color w:val="auto"/>
          <w:kern w:val="0"/>
          <w:szCs w:val="21"/>
          <w:highlight w:val="none"/>
        </w:rPr>
        <w:t>在交易网公示3个工作日。</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 其它规定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32.1若投标人的投标行为出现违反《深圳市建筑市场严重违法行为特别处理规定》等政策文件列明的各种情形的，招标人及评标委员会将提请</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主管部门对相应投标人作不良记录。</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32.2评标过程中，若评标委员依据招标文件的规定要求招标人重新招标，招标人不承担因招标失败给投标人造成的损失。</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投标报价的调整方法</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32.3.1投标人的投标报价中如出现算术错误，将按以下方法进行调整：</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32.3.1.1投标文件中大写金额与小写金额不一致的，以大写金额为准；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32.3.1.2总价金额与按单价计算的总金额不一致的，以单价计算的总金额为准。除非评标委员会认为单价有明显的小数点错误，此时应以合价金额为准，调整单价；</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32.3.3按照本节第1条、第2条规定的调整方法确定的调整后报价，须取得投标人同意并确认。如果投标人拒不接受调整方法以及调整后的报价的，其投标将被拒绝。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32.3.4如果出现多报或超出本招标项目“货物需求及数量一览表”中列明项目的数量情况的，评标委员会应根据具体评标方法和评审标准，按照不利于该投标人的原则进行调整，且投标人不得因此提出任何异议。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32.3.5中标人的投标报价是按照本节第1条、第2条、第3条规定的进行了调整的，其中标价按就低不就高的原则确定。如果投标人拒不接受的，其投标将被拒绝。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32.3.5.1投标人的投标报价的总价小于调整后的报价，中标价即为投标人的投标报价的总价；投标报价的总价大于调整后的报价，中标价即为调整后的报价。</w:t>
      </w:r>
    </w:p>
    <w:p>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33.评标表格</w:t>
      </w: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商务标定性评审表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标段名称：_______      投标单位：_______</w:t>
      </w:r>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84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85"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701"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842"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2943"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left"/>
              <w:rPr>
                <w:rFonts w:ascii="宋体" w:hAnsi="宋体" w:eastAsia="宋体" w:cs="宋体"/>
                <w:color w:val="auto"/>
                <w:kern w:val="0"/>
                <w:szCs w:val="21"/>
                <w:highlight w:val="none"/>
              </w:rPr>
            </w:pPr>
            <w:bookmarkStart w:id="28" w:name="商务标评审" w:colFirst="0" w:colLast="0"/>
          </w:p>
        </w:tc>
        <w:tc>
          <w:tcPr>
            <w:tcW w:w="1985" w:type="dxa"/>
          </w:tcPr>
          <w:p>
            <w:pPr>
              <w:spacing w:line="360" w:lineRule="auto"/>
              <w:jc w:val="left"/>
              <w:rPr>
                <w:rFonts w:ascii="宋体" w:hAnsi="宋体" w:eastAsia="宋体" w:cs="宋体"/>
                <w:color w:val="auto"/>
                <w:kern w:val="0"/>
                <w:szCs w:val="21"/>
                <w:highlight w:val="none"/>
              </w:rPr>
            </w:pPr>
          </w:p>
        </w:tc>
        <w:tc>
          <w:tcPr>
            <w:tcW w:w="1701" w:type="dxa"/>
          </w:tcPr>
          <w:p>
            <w:pPr>
              <w:spacing w:line="360" w:lineRule="auto"/>
              <w:jc w:val="left"/>
              <w:rPr>
                <w:rFonts w:ascii="宋体" w:hAnsi="宋体" w:eastAsia="宋体" w:cs="宋体"/>
                <w:color w:val="auto"/>
                <w:kern w:val="0"/>
                <w:szCs w:val="21"/>
                <w:highlight w:val="none"/>
              </w:rPr>
            </w:pPr>
          </w:p>
        </w:tc>
        <w:tc>
          <w:tcPr>
            <w:tcW w:w="1842" w:type="dxa"/>
          </w:tcPr>
          <w:p>
            <w:pPr>
              <w:spacing w:line="360" w:lineRule="auto"/>
              <w:jc w:val="left"/>
              <w:rPr>
                <w:rFonts w:ascii="宋体" w:hAnsi="宋体" w:eastAsia="宋体" w:cs="宋体"/>
                <w:color w:val="auto"/>
                <w:kern w:val="0"/>
                <w:szCs w:val="21"/>
                <w:highlight w:val="none"/>
              </w:rPr>
            </w:pPr>
          </w:p>
        </w:tc>
        <w:tc>
          <w:tcPr>
            <w:tcW w:w="2943" w:type="dxa"/>
          </w:tcPr>
          <w:p>
            <w:pPr>
              <w:spacing w:line="360" w:lineRule="auto"/>
              <w:jc w:val="left"/>
              <w:rPr>
                <w:rFonts w:ascii="宋体" w:hAnsi="宋体" w:eastAsia="宋体" w:cs="宋体"/>
                <w:color w:val="auto"/>
                <w:kern w:val="0"/>
                <w:szCs w:val="21"/>
                <w:highlight w:val="none"/>
              </w:rPr>
            </w:pP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5"/>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spacing w:line="360" w:lineRule="auto"/>
        <w:ind w:firstLine="420" w:firstLineChars="200"/>
        <w:jc w:val="left"/>
        <w:rPr>
          <w:rFonts w:ascii="宋体" w:hAnsi="宋体" w:eastAsia="宋体" w:cs="宋体"/>
          <w:color w:val="auto"/>
          <w:szCs w:val="21"/>
          <w:highlight w:val="none"/>
        </w:rPr>
      </w:pP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评标专家：_________     评标日期：___年___月___日</w:t>
      </w:r>
    </w:p>
    <w:p>
      <w:pPr>
        <w:spacing w:line="360" w:lineRule="auto"/>
        <w:jc w:val="left"/>
        <w:rPr>
          <w:rFonts w:ascii="宋体" w:hAnsi="宋体" w:eastAsia="宋体" w:cs="宋体"/>
          <w:color w:val="auto"/>
          <w:kern w:val="0"/>
          <w:szCs w:val="21"/>
          <w:highlight w:val="none"/>
        </w:rPr>
      </w:pPr>
    </w:p>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技术标定性评审表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标段名称：_______      投标单位：_______</w:t>
      </w:r>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84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85"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701"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842"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2943"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left"/>
              <w:rPr>
                <w:rFonts w:ascii="宋体" w:hAnsi="宋体" w:eastAsia="宋体" w:cs="宋体"/>
                <w:color w:val="auto"/>
                <w:kern w:val="0"/>
                <w:szCs w:val="21"/>
                <w:highlight w:val="none"/>
              </w:rPr>
            </w:pPr>
            <w:bookmarkStart w:id="29" w:name="技术标评审" w:colFirst="0" w:colLast="0"/>
          </w:p>
        </w:tc>
        <w:tc>
          <w:tcPr>
            <w:tcW w:w="1985" w:type="dxa"/>
          </w:tcPr>
          <w:p>
            <w:pPr>
              <w:spacing w:line="360" w:lineRule="auto"/>
              <w:jc w:val="left"/>
              <w:rPr>
                <w:rFonts w:ascii="宋体" w:hAnsi="宋体" w:eastAsia="宋体" w:cs="宋体"/>
                <w:color w:val="auto"/>
                <w:kern w:val="0"/>
                <w:szCs w:val="21"/>
                <w:highlight w:val="none"/>
              </w:rPr>
            </w:pPr>
          </w:p>
        </w:tc>
        <w:tc>
          <w:tcPr>
            <w:tcW w:w="1701" w:type="dxa"/>
          </w:tcPr>
          <w:p>
            <w:pPr>
              <w:spacing w:line="360" w:lineRule="auto"/>
              <w:jc w:val="left"/>
              <w:rPr>
                <w:rFonts w:ascii="宋体" w:hAnsi="宋体" w:eastAsia="宋体" w:cs="宋体"/>
                <w:color w:val="auto"/>
                <w:kern w:val="0"/>
                <w:szCs w:val="21"/>
                <w:highlight w:val="none"/>
              </w:rPr>
            </w:pPr>
          </w:p>
        </w:tc>
        <w:tc>
          <w:tcPr>
            <w:tcW w:w="1842" w:type="dxa"/>
          </w:tcPr>
          <w:p>
            <w:pPr>
              <w:spacing w:line="360" w:lineRule="auto"/>
              <w:jc w:val="left"/>
              <w:rPr>
                <w:rFonts w:ascii="宋体" w:hAnsi="宋体" w:eastAsia="宋体" w:cs="宋体"/>
                <w:color w:val="auto"/>
                <w:kern w:val="0"/>
                <w:szCs w:val="21"/>
                <w:highlight w:val="none"/>
              </w:rPr>
            </w:pPr>
          </w:p>
        </w:tc>
        <w:tc>
          <w:tcPr>
            <w:tcW w:w="2943" w:type="dxa"/>
          </w:tcPr>
          <w:p>
            <w:pPr>
              <w:spacing w:line="360" w:lineRule="auto"/>
              <w:jc w:val="left"/>
              <w:rPr>
                <w:rFonts w:ascii="宋体" w:hAnsi="宋体" w:eastAsia="宋体" w:cs="宋体"/>
                <w:color w:val="auto"/>
                <w:kern w:val="0"/>
                <w:szCs w:val="21"/>
                <w:highlight w:val="none"/>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5"/>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spacing w:line="360" w:lineRule="auto"/>
        <w:ind w:firstLine="420" w:firstLineChars="200"/>
        <w:jc w:val="left"/>
        <w:rPr>
          <w:rFonts w:ascii="宋体" w:hAnsi="宋体" w:eastAsia="宋体" w:cs="宋体"/>
          <w:color w:val="auto"/>
          <w:szCs w:val="21"/>
          <w:highlight w:val="none"/>
        </w:rPr>
      </w:pP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评标专家：_________     评标日期：___年___月___日</w:t>
      </w: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1、本表适用于专家独立评审使用；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3、综合评价等级仅分为合格或不合格两个等级，不合格仅限于符合招标文件废标、无效标情形以及投标文件违反国家强制性条文标准的情形。</w:t>
      </w:r>
    </w:p>
    <w:p>
      <w:pPr>
        <w:spacing w:line="360" w:lineRule="auto"/>
        <w:ind w:firstLine="420" w:firstLineChars="200"/>
        <w:jc w:val="left"/>
        <w:rPr>
          <w:rFonts w:ascii="宋体" w:hAnsi="宋体" w:eastAsia="宋体" w:cs="宋体"/>
          <w:color w:val="auto"/>
          <w:szCs w:val="21"/>
          <w:highlight w:val="none"/>
        </w:rPr>
      </w:pPr>
    </w:p>
    <w:p>
      <w:pPr>
        <w:spacing w:line="360" w:lineRule="auto"/>
        <w:jc w:val="center"/>
        <w:outlineLvl w:val="2"/>
        <w:rPr>
          <w:rFonts w:ascii="黑体" w:eastAsia="黑体"/>
          <w:bCs/>
          <w:color w:val="auto"/>
          <w:sz w:val="30"/>
          <w:highlight w:val="none"/>
        </w:rPr>
      </w:pPr>
      <w:bookmarkStart w:id="30" w:name="_Toc45702697"/>
      <w:bookmarkStart w:id="31" w:name="_Toc6676"/>
      <w:r>
        <w:rPr>
          <w:rFonts w:hint="eastAsia" w:ascii="黑体" w:eastAsia="黑体"/>
          <w:bCs/>
          <w:color w:val="auto"/>
          <w:sz w:val="30"/>
          <w:highlight w:val="none"/>
        </w:rPr>
        <w:t>（六）定标</w:t>
      </w:r>
      <w:bookmarkEnd w:id="30"/>
      <w:bookmarkEnd w:id="31"/>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34.清标</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34.1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34.3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35.定标方法</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招标人在定标过程中，应当坚持择优与竞价相结合，择优为主。限制采用直接抽签方式进行定标。</w:t>
      </w:r>
      <w:r>
        <w:rPr>
          <w:rFonts w:hint="eastAsia" w:ascii="宋体" w:hAnsi="宋体" w:eastAsia="宋体" w:cs="宋体"/>
          <w:bCs/>
          <w:color w:val="auto"/>
          <w:kern w:val="0"/>
          <w:szCs w:val="21"/>
          <w:highlight w:val="none"/>
        </w:rPr>
        <w:t>招标人应采用下列方法在评标委员会推荐的合格投标人中确定中标人：</w:t>
      </w:r>
    </w:p>
    <w:p>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35.1</w:t>
      </w:r>
      <w:r>
        <w:rPr>
          <w:rFonts w:hint="eastAsia" w:ascii="宋体" w:hAnsi="宋体" w:eastAsia="宋体" w:cs="宋体"/>
          <w:b/>
          <w:color w:val="auto"/>
          <w:kern w:val="0"/>
          <w:szCs w:val="21"/>
          <w:highlight w:val="none"/>
        </w:rPr>
        <w:t>直接</w:t>
      </w:r>
      <w:r>
        <w:rPr>
          <w:rFonts w:hint="eastAsia" w:ascii="宋体" w:hAnsi="宋体" w:eastAsia="宋体" w:cs="宋体"/>
          <w:b/>
          <w:snapToGrid w:val="0"/>
          <w:color w:val="auto"/>
          <w:kern w:val="0"/>
          <w:szCs w:val="21"/>
          <w:highlight w:val="none"/>
        </w:rPr>
        <w:t>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35.2逐轮票决定标法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35.3二次竞价定标法</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采用二次竞价方式的，定标会开始时间为二次报价文件递交截止时间，所有进入定标环节的投标单位需在二次报价文件递交截止时间前在</w:t>
      </w:r>
      <w:r>
        <w:rPr>
          <w:rFonts w:hint="eastAsia" w:ascii="宋体" w:hAnsi="宋体" w:eastAsia="宋体" w:cs="宋体"/>
          <w:color w:val="auto"/>
          <w:kern w:val="0"/>
          <w:szCs w:val="21"/>
          <w:highlight w:val="none"/>
        </w:rPr>
        <w:t>交易网</w:t>
      </w:r>
      <w:r>
        <w:rPr>
          <w:rFonts w:hint="eastAsia" w:ascii="宋体" w:hAnsi="宋体" w:eastAsia="宋体" w:cs="宋体"/>
          <w:color w:val="auto"/>
          <w:szCs w:val="21"/>
          <w:highlight w:val="none"/>
        </w:rPr>
        <w:t>提交本工程的二次报价文件。此报价作为投标人的最终投标报价，且不得低于成本。二次投标报价以该单位一次投标报价为上限，二次报价比一次投标报价总体下浮比例超过10%以上的，该投标人需提交报价下浮内容明细及保证供货质量说明承诺书。未提交二次报价文件或二次报价文件未进行有效的电子签名的，默认该投标单位的第二次投标报价与其第一次投标报价相同。投标单位一旦中标，以该单位的二次报价为本工程的中标价。</w:t>
      </w:r>
      <w:r>
        <w:rPr>
          <w:rFonts w:hint="eastAsia" w:ascii="宋体" w:hAnsi="宋体" w:eastAsia="宋体" w:cs="宋体"/>
          <w:b/>
          <w:color w:val="auto"/>
          <w:szCs w:val="21"/>
          <w:highlight w:val="none"/>
        </w:rPr>
        <w:t>招标人不承诺</w:t>
      </w:r>
      <w:r>
        <w:rPr>
          <w:rFonts w:hint="eastAsia" w:ascii="宋体" w:hAnsi="宋体" w:eastAsia="宋体" w:cs="宋体"/>
          <w:b/>
          <w:color w:val="auto"/>
          <w:kern w:val="0"/>
          <w:szCs w:val="21"/>
          <w:highlight w:val="none"/>
        </w:rPr>
        <w:t>将合同授予报价最低的投标人。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定标委员会根据前附表确定的定标方式先对所有投标单位进行排名并以这些排名为基础，在得票最多的投标人中选取 “投标须知前附表”规定数量的投标人，由招标人将选中的投标人的二次报价文件导入系统，定标委员会根据入围单位二次报价的情况及“投标须知前附表”的规定，最终确定一名中标人。</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a.投票规则：每一张选票，都是所有进入定标程序的投标人的一个排列，该排列明确先后顺序，即第一名、第二名，...，排列最后的为最后一名。</w:t>
      </w:r>
    </w:p>
    <w:p>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spacing w:line="360" w:lineRule="auto"/>
        <w:ind w:firstLine="426" w:firstLineChars="202"/>
        <w:rPr>
          <w:rFonts w:ascii="宋体" w:hAnsi="宋体" w:eastAsia="宋体" w:cs="宋体"/>
          <w:b/>
          <w:color w:val="auto"/>
          <w:szCs w:val="21"/>
          <w:highlight w:val="none"/>
        </w:rPr>
      </w:pPr>
      <w:r>
        <w:rPr>
          <w:rFonts w:hint="eastAsia" w:ascii="宋体" w:hAnsi="宋体" w:eastAsia="宋体" w:cs="宋体"/>
          <w:b/>
          <w:color w:val="auto"/>
          <w:szCs w:val="21"/>
          <w:highlight w:val="none"/>
        </w:rPr>
        <w:t>35.</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集体议事定标法</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36.定标程序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36.1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36.2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6"/>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36.3在定标环节，招标人应当遵循如下原则：先择优后竞价。</w:t>
      </w:r>
    </w:p>
    <w:p>
      <w:pPr>
        <w:adjustRightInd w:val="0"/>
        <w:snapToGrid w:val="0"/>
        <w:spacing w:line="360" w:lineRule="auto"/>
        <w:ind w:firstLine="42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36.4定标环节的择优因素主要考虑企业资质、科技创新能力、项目管理人员经验与水平、同类工程经验（业绩）及履约评价、企业及其人员的廉政记录、信用等因素。此外，货物招标重点考虑性价比、技术指标及商务条款响应等因素。同等条件下，招标人可以优先</w:t>
      </w:r>
      <w:r>
        <w:rPr>
          <w:rFonts w:hint="eastAsia" w:ascii="宋体" w:hAnsi="宋体" w:eastAsia="宋体" w:cs="宋体"/>
          <w:color w:val="auto"/>
          <w:szCs w:val="21"/>
          <w:highlight w:val="none"/>
          <w:lang w:val="en-US" w:eastAsia="zh-CN"/>
        </w:rPr>
        <w:t>选择</w:t>
      </w:r>
      <w:r>
        <w:rPr>
          <w:rFonts w:hint="eastAsia" w:ascii="宋体" w:hAnsi="宋体" w:eastAsia="宋体" w:cs="宋体"/>
          <w:i w:val="0"/>
          <w:iCs w:val="0"/>
          <w:caps w:val="0"/>
          <w:color w:val="auto"/>
          <w:spacing w:val="0"/>
          <w:kern w:val="0"/>
          <w:sz w:val="21"/>
          <w:szCs w:val="21"/>
          <w:highlight w:val="none"/>
          <w:shd w:val="clear" w:fill="auto"/>
        </w:rPr>
        <w:t>首台（套）重大技术装备</w:t>
      </w:r>
      <w:r>
        <w:rPr>
          <w:rFonts w:hint="eastAsia" w:ascii="宋体" w:hAnsi="宋体" w:eastAsia="宋体" w:cs="宋体"/>
          <w:i w:val="0"/>
          <w:iCs w:val="0"/>
          <w:caps w:val="0"/>
          <w:color w:val="auto"/>
          <w:spacing w:val="0"/>
          <w:kern w:val="0"/>
          <w:sz w:val="21"/>
          <w:szCs w:val="21"/>
          <w:highlight w:val="none"/>
          <w:shd w:val="clear"/>
          <w:lang w:eastAsia="zh-CN"/>
        </w:rPr>
        <w:t>、</w:t>
      </w:r>
      <w:r>
        <w:rPr>
          <w:rFonts w:hint="eastAsia" w:ascii="宋体" w:hAnsi="宋体" w:eastAsia="宋体" w:cs="宋体"/>
          <w:i w:val="0"/>
          <w:iCs w:val="0"/>
          <w:caps w:val="0"/>
          <w:color w:val="auto"/>
          <w:spacing w:val="0"/>
          <w:kern w:val="0"/>
          <w:sz w:val="21"/>
          <w:szCs w:val="21"/>
          <w:highlight w:val="none"/>
          <w:shd w:val="clear"/>
          <w:lang w:val="en-US" w:eastAsia="zh-CN"/>
        </w:rPr>
        <w:t>节能环保产品。</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招标人可以根据项目实际情况增加择优</w:t>
      </w:r>
      <w:r>
        <w:rPr>
          <w:rFonts w:hint="eastAsia" w:ascii="宋体" w:hAnsi="宋体" w:eastAsia="宋体" w:cs="宋体"/>
          <w:color w:val="auto"/>
          <w:szCs w:val="21"/>
          <w:highlight w:val="none"/>
          <w:lang w:val="en-US" w:eastAsia="zh-CN"/>
        </w:rPr>
        <w:t>因</w:t>
      </w:r>
      <w:r>
        <w:rPr>
          <w:rFonts w:hint="eastAsia" w:ascii="宋体" w:hAnsi="宋体" w:eastAsia="宋体" w:cs="宋体"/>
          <w:color w:val="auto"/>
          <w:szCs w:val="21"/>
          <w:highlight w:val="none"/>
        </w:rPr>
        <w:t>素，也可以综合考虑择优因素或按择优因素的重要性，对投标人进行逐级淘汰。</w:t>
      </w:r>
    </w:p>
    <w:p>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szCs w:val="21"/>
          <w:highlight w:val="none"/>
          <w:lang w:val="en-US" w:eastAsia="zh-CN"/>
        </w:rPr>
        <w:t>36.5</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w:t>
      </w:r>
    </w:p>
    <w:p>
      <w:pPr>
        <w:adjustRightInd w:val="0"/>
        <w:snapToGrid w:val="0"/>
        <w:spacing w:line="360" w:lineRule="auto"/>
        <w:ind w:firstLine="0" w:firstLineChars="0"/>
        <w:rPr>
          <w:rFonts w:hint="eastAsia" w:ascii="宋体" w:hAnsi="宋体" w:eastAsia="宋体" w:cs="宋体"/>
          <w:strike w:val="0"/>
          <w:color w:val="auto"/>
          <w:szCs w:val="21"/>
          <w:highlight w:val="none"/>
          <w:lang w:eastAsia="zh-CN"/>
        </w:rPr>
      </w:pPr>
      <w:r>
        <w:rPr>
          <w:rFonts w:hint="eastAsia" w:ascii="宋体" w:hAnsi="宋体" w:eastAsia="宋体" w:cs="宋体"/>
          <w:strike w:val="0"/>
          <w:color w:val="auto"/>
          <w:szCs w:val="21"/>
          <w:highlight w:val="none"/>
        </w:rPr>
        <w:t>标投标行政监督部门批准后由评标委员会复核纠正</w:t>
      </w:r>
      <w:r>
        <w:rPr>
          <w:rStyle w:val="138"/>
          <w:rFonts w:hint="eastAsia" w:ascii="宋体" w:hAnsi="宋体" w:eastAsia="宋体" w:cs="宋体"/>
          <w:strike w:val="0"/>
          <w:color w:val="auto"/>
          <w:szCs w:val="21"/>
          <w:highlight w:val="none"/>
        </w:rPr>
        <w:t>[</w:t>
      </w:r>
      <w:r>
        <w:rPr>
          <w:rStyle w:val="138"/>
          <w:rFonts w:hint="eastAsia" w:ascii="宋体" w:hAnsi="宋体" w:eastAsia="宋体" w:cs="宋体"/>
          <w:strike w:val="0"/>
          <w:color w:val="auto"/>
          <w:szCs w:val="21"/>
          <w:highlight w:val="none"/>
        </w:rPr>
        <w:footnoteReference w:id="7"/>
      </w:r>
      <w:r>
        <w:rPr>
          <w:rStyle w:val="138"/>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eastAsia="zh-CN"/>
        </w:rPr>
        <w:t>。</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定标委员会由招标人的法定代表人或者主要负责人组建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8"/>
          <w:rFonts w:hint="eastAsia" w:ascii="宋体" w:hAnsi="宋体" w:eastAsia="宋体" w:cs="宋体"/>
          <w:color w:val="auto"/>
          <w:szCs w:val="21"/>
          <w:highlight w:val="none"/>
          <w:lang w:val="en-US" w:eastAsia="zh-CN"/>
        </w:rPr>
        <w:t>[</w:t>
      </w:r>
      <w:r>
        <w:rPr>
          <w:rStyle w:val="138"/>
          <w:rFonts w:hint="eastAsia" w:ascii="宋体" w:hAnsi="宋体" w:eastAsia="宋体" w:cs="宋体"/>
          <w:color w:val="auto"/>
          <w:szCs w:val="21"/>
          <w:highlight w:val="none"/>
          <w:lang w:val="en-US" w:eastAsia="zh-CN"/>
        </w:rPr>
        <w:footnoteReference w:id="8"/>
      </w:r>
      <w:r>
        <w:rPr>
          <w:rStyle w:val="138"/>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p>
    <w:p>
      <w:pPr>
        <w:adjustRightInd w:val="0"/>
        <w:snapToGrid w:val="0"/>
        <w:spacing w:line="360" w:lineRule="auto"/>
        <w:ind w:firstLine="411" w:firstLineChars="196"/>
        <w:rPr>
          <w:rFonts w:hint="eastAsia" w:ascii="宋体" w:hAnsi="宋体" w:eastAsia="宋体" w:cs="宋体"/>
          <w:strike w:val="0"/>
          <w:color w:val="auto"/>
          <w:szCs w:val="21"/>
          <w:highlight w:val="none"/>
          <w:lang w:eastAsia="zh-CN"/>
        </w:rPr>
      </w:pPr>
      <w:r>
        <w:rPr>
          <w:rFonts w:hint="eastAsia" w:ascii="宋体" w:hAnsi="宋体" w:eastAsia="宋体" w:cs="宋体"/>
          <w:color w:val="auto"/>
          <w:szCs w:val="21"/>
          <w:highlight w:val="none"/>
          <w:lang w:val="en-US" w:eastAsia="zh-CN"/>
        </w:rPr>
        <w:t>36.7</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8"/>
          <w:rFonts w:hint="eastAsia" w:ascii="宋体" w:hAnsi="宋体" w:eastAsia="宋体" w:cs="宋体"/>
          <w:color w:val="auto"/>
          <w:szCs w:val="21"/>
          <w:highlight w:val="none"/>
          <w:lang w:val="en-US" w:eastAsia="zh-CN"/>
        </w:rPr>
        <w:t>[</w:t>
      </w:r>
      <w:r>
        <w:rPr>
          <w:rStyle w:val="138"/>
          <w:rFonts w:hint="eastAsia" w:ascii="宋体" w:hAnsi="宋体" w:eastAsia="宋体" w:cs="宋体"/>
          <w:color w:val="auto"/>
          <w:szCs w:val="21"/>
          <w:highlight w:val="none"/>
          <w:lang w:val="en-US" w:eastAsia="zh-CN"/>
        </w:rPr>
        <w:footnoteReference w:id="9"/>
      </w:r>
      <w:r>
        <w:rPr>
          <w:rStyle w:val="138"/>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招标人应当自评标结束后10个工作日内进入深圳交易集团有限公司（深圳公共资源交易中心）进行定标。不能按时定标的，应当通过交易网公示延期原因和最终定标时间。</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定标委员会成员在定标系统中提交选票（须说明推荐理由），并打印选票签名确认，定标过程公开、公平、公正。定标委员会按有关规定及招标文件约定的定标方法确定中标人。</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招标人应当向定标委员会提供定标方案、清标报告作为定标辅助材料。定标结束后，定标方案、清标报告及定标委员投票结果等定标过程资料应当留存备查。</w:t>
      </w:r>
    </w:p>
    <w:p>
      <w:pPr>
        <w:adjustRightInd/>
        <w:snapToGrid/>
        <w:spacing w:line="360" w:lineRule="auto"/>
        <w:ind w:firstLine="422" w:firstLineChars="200"/>
        <w:jc w:val="left"/>
        <w:rPr>
          <w:rFonts w:hint="eastAsia" w:ascii="宋体" w:hAnsi="宋体" w:eastAsia="宋体" w:cs="宋体"/>
          <w:b/>
          <w:color w:val="auto"/>
          <w:szCs w:val="21"/>
          <w:highlight w:val="none"/>
          <w:lang w:val="en-US" w:eastAsia="zh-CN"/>
        </w:rPr>
      </w:pPr>
      <w:r>
        <w:rPr>
          <w:rFonts w:hint="eastAsia" w:ascii="宋体" w:hAnsi="宋体" w:eastAsia="宋体" w:cs="宋体"/>
          <w:b/>
          <w:strike w:val="0"/>
          <w:color w:val="auto"/>
          <w:szCs w:val="21"/>
          <w:highlight w:val="none"/>
        </w:rPr>
        <w:t>37. 定标其它规定</w:t>
      </w:r>
    </w:p>
    <w:p>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定标后有下列情形之一的，招标人可以从评审合格的其他投标人中采用原招标文件规定的定标方法，由原定标委员会确定中标人。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.1中标人放弃中标资格或者拒不签订合同的；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.2中标人不按照招标文件要求提交履约担保的；</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.3被查实存在影响中标结果违法行为的。</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38. 资信标表格</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38.1招标人可以结合项目实际要求投标人提供资信标作为定标参考因素之一。</w:t>
      </w:r>
    </w:p>
    <w:p>
      <w:pPr>
        <w:spacing w:line="360" w:lineRule="auto"/>
        <w:ind w:firstLine="562" w:firstLineChars="20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资信标要求一览表（如有）</w:t>
      </w:r>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44"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360" w:type="dxa"/>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宋体" w:hAnsi="宋体" w:eastAsia="宋体" w:cs="宋体"/>
                <w:color w:val="auto"/>
                <w:kern w:val="0"/>
                <w:szCs w:val="21"/>
                <w:highlight w:val="none"/>
              </w:rPr>
            </w:pPr>
            <w:bookmarkStart w:id="32" w:name="资信标要求一览表" w:colFirst="0" w:colLast="0"/>
          </w:p>
        </w:tc>
        <w:tc>
          <w:tcPr>
            <w:tcW w:w="3544" w:type="dxa"/>
            <w:vAlign w:val="center"/>
          </w:tcPr>
          <w:p>
            <w:pPr>
              <w:spacing w:line="360" w:lineRule="auto"/>
              <w:jc w:val="center"/>
              <w:rPr>
                <w:rFonts w:ascii="宋体" w:hAnsi="宋体" w:eastAsia="宋体" w:cs="宋体"/>
                <w:color w:val="auto"/>
                <w:kern w:val="0"/>
                <w:szCs w:val="21"/>
                <w:highlight w:val="none"/>
              </w:rPr>
            </w:pPr>
          </w:p>
        </w:tc>
        <w:tc>
          <w:tcPr>
            <w:tcW w:w="4360" w:type="dxa"/>
            <w:vAlign w:val="center"/>
          </w:tcPr>
          <w:p>
            <w:pPr>
              <w:spacing w:line="360" w:lineRule="auto"/>
              <w:jc w:val="center"/>
              <w:rPr>
                <w:rFonts w:ascii="宋体" w:hAnsi="宋体" w:eastAsia="宋体" w:cs="宋体"/>
                <w:color w:val="auto"/>
                <w:kern w:val="0"/>
                <w:szCs w:val="21"/>
                <w:highlight w:val="none"/>
              </w:rPr>
            </w:pPr>
          </w:p>
        </w:tc>
      </w:tr>
      <w:bookmarkEnd w:id="32"/>
    </w:tbl>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备注：资信要素不进行评审，真实性通过公示予以监督。</w:t>
      </w:r>
    </w:p>
    <w:p>
      <w:pPr>
        <w:spacing w:line="360" w:lineRule="auto"/>
        <w:jc w:val="center"/>
        <w:outlineLvl w:val="2"/>
        <w:rPr>
          <w:rFonts w:ascii="黑体" w:hAnsi="黑体" w:eastAsia="黑体" w:cs="黑体"/>
          <w:bCs/>
          <w:color w:val="auto"/>
          <w:sz w:val="30"/>
          <w:highlight w:val="none"/>
        </w:rPr>
      </w:pPr>
      <w:bookmarkStart w:id="33" w:name="_Toc15577"/>
      <w:bookmarkStart w:id="34" w:name="_Toc45702698"/>
      <w:r>
        <w:rPr>
          <w:rFonts w:hint="eastAsia" w:ascii="黑体" w:hAnsi="黑体" w:eastAsia="黑体" w:cs="黑体"/>
          <w:bCs/>
          <w:color w:val="auto"/>
          <w:sz w:val="30"/>
          <w:highlight w:val="none"/>
        </w:rPr>
        <w:t>（七）中标通知书</w:t>
      </w:r>
      <w:bookmarkEnd w:id="33"/>
      <w:bookmarkEnd w:id="34"/>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39．中标通知书</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39.1招标人应在确定中标人后，将中标结果在</w:t>
      </w:r>
      <w:r>
        <w:rPr>
          <w:rFonts w:hint="eastAsia" w:ascii="宋体" w:hAnsi="宋体" w:eastAsia="宋体" w:cs="宋体"/>
          <w:color w:val="auto"/>
          <w:kern w:val="0"/>
          <w:szCs w:val="21"/>
          <w:highlight w:val="none"/>
        </w:rPr>
        <w:t>交易网</w:t>
      </w:r>
      <w:r>
        <w:rPr>
          <w:rFonts w:hint="eastAsia" w:ascii="宋体" w:hAnsi="宋体" w:eastAsia="宋体" w:cs="宋体"/>
          <w:color w:val="auto"/>
          <w:szCs w:val="21"/>
          <w:highlight w:val="none"/>
        </w:rPr>
        <w:t>公示。</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39.2公示期内对中标结果若无质疑，公示期结束后该中标结果自动生效。招标人将发出中标通知书。中标通知书是本招标项目合同的组成部分。如接到有关投诉的，招标人将可能暂停发出中标通知书。</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40．招标人的权利</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40.1招标人在发出中标通知书之前因正当理由，经行政监督部门批准并经</w:t>
      </w:r>
      <w:r>
        <w:rPr>
          <w:rFonts w:hint="eastAsia" w:ascii="宋体" w:hAnsi="宋体" w:eastAsia="宋体" w:cs="宋体"/>
          <w:color w:val="auto"/>
          <w:highlight w:val="none"/>
        </w:rPr>
        <w:t>交易网公示3个工作日后，招标人</w:t>
      </w:r>
      <w:r>
        <w:rPr>
          <w:rFonts w:hint="eastAsia" w:ascii="宋体" w:hAnsi="宋体" w:eastAsia="宋体" w:cs="宋体"/>
          <w:color w:val="auto"/>
          <w:szCs w:val="21"/>
          <w:highlight w:val="none"/>
        </w:rPr>
        <w:t>有权接受或拒绝投标、宣布投标程序无效或拒绝所有投标。对受影响的投标人不承担任何责任。</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40.2招标人在授予合同或实际供货时，有权对“货物需求书”章节中第一节“货物需求及数量一览表”中规定的货物数量或服务在合理幅度范围内予以增加或减少，但中标人不得对单价或其他条件做任何改变。</w:t>
      </w:r>
    </w:p>
    <w:p>
      <w:pPr>
        <w:spacing w:line="360" w:lineRule="auto"/>
        <w:jc w:val="center"/>
        <w:outlineLvl w:val="2"/>
        <w:rPr>
          <w:rFonts w:ascii="黑体" w:eastAsia="黑体"/>
          <w:bCs/>
          <w:color w:val="auto"/>
          <w:sz w:val="30"/>
          <w:highlight w:val="none"/>
        </w:rPr>
      </w:pPr>
      <w:bookmarkStart w:id="35" w:name="_Toc24577"/>
      <w:bookmarkStart w:id="36" w:name="_Toc45702699"/>
      <w:r>
        <w:rPr>
          <w:rFonts w:hint="eastAsia" w:ascii="黑体" w:eastAsia="黑体"/>
          <w:bCs/>
          <w:color w:val="auto"/>
          <w:sz w:val="30"/>
          <w:highlight w:val="none"/>
        </w:rPr>
        <w:t>（八）合同的授予</w:t>
      </w:r>
      <w:bookmarkEnd w:id="35"/>
      <w:bookmarkEnd w:id="36"/>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41．履约担保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41.1本招标项目履约担保的金额和方式：见“投标须知前附表”。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41.2中标人应在签订合同时，按招标文件规定的时间、出具单位及规定的金额向招标人提交履约担保。履约担保为中标价与招标控制价或投标报价上限（无招标控制价招标的）的差额，且不高于中标价的10%。</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41.3联合体中标的，其履约担保由联合体牵头人提交，并应符合本节相关规定。</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41.4如果中标人拒不提交本节要求的履约担保的，招标人可取消其中标资格，并没收其投标担保。</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42. 支付担保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42.1本招标项目支付担保的金额和方式：见“投标须知前附表”。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42.2招标人应在中标人提交履约担保的同时，向中标人提供与履约担保数额等额的支付担保。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42.3中标人的履约担保和招标人的支付担保都必须采用经对方认可的银行保函、保证保险、专业工程担保公司担保等。双方均不得在工程担保有效期内解除担保。</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43．签订合同</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43.1招标人和中标人应当按“投标须知前附表”的规定，依据招标文件和中标人的投标文件订立书面合同。</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43.2中标人无正当理由拒签合同的，或者在签订合同时向招标人提出附加条件或者更改合同实质性内容的，招标人经请示</w:t>
      </w:r>
      <w:r>
        <w:rPr>
          <w:rFonts w:hint="eastAsia" w:ascii="宋体" w:hAnsi="宋体" w:eastAsia="宋体" w:cs="宋体"/>
          <w:color w:val="auto"/>
          <w:szCs w:val="21"/>
          <w:highlight w:val="none"/>
          <w:lang w:val="en-US" w:eastAsia="zh-CN"/>
        </w:rPr>
        <w:t>行政</w:t>
      </w:r>
      <w:r>
        <w:rPr>
          <w:rFonts w:hint="eastAsia" w:ascii="宋体" w:hAnsi="宋体" w:eastAsia="宋体" w:cs="宋体"/>
          <w:color w:val="auto"/>
          <w:szCs w:val="21"/>
          <w:highlight w:val="none"/>
        </w:rPr>
        <w:t>主管部门批准后可取消其中标资格，并没收其投标担保；给招标人的损失超过其投标担保数额的，中标人应当对超过部分予以赔偿；没有提交投标担保的，应当对招标人的损失承担赔偿责任。</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43.3招标人无正当理由拒签合同的，或者在签订合同时向中标人提出附加条件或者更改合同实质性内容的，有关行政监督部门将给予警告，责令改正；给中标人造成损失的，还应当赔偿损失。</w:t>
      </w:r>
    </w:p>
    <w:p>
      <w:pPr>
        <w:adjustRightInd w:val="0"/>
        <w:snapToGrid w:val="0"/>
        <w:spacing w:line="360" w:lineRule="auto"/>
        <w:jc w:val="center"/>
        <w:outlineLvl w:val="0"/>
        <w:rPr>
          <w:rFonts w:ascii="黑体" w:eastAsia="黑体"/>
          <w:b/>
          <w:color w:val="auto"/>
          <w:kern w:val="0"/>
          <w:sz w:val="36"/>
          <w:highlight w:val="none"/>
        </w:rPr>
      </w:pPr>
      <w:r>
        <w:rPr>
          <w:color w:val="auto"/>
          <w:highlight w:val="none"/>
        </w:rPr>
        <w:br w:type="page"/>
      </w:r>
      <w:bookmarkStart w:id="37" w:name="_Toc23378"/>
      <w:bookmarkStart w:id="38" w:name="_Toc45702700"/>
      <w:bookmarkStart w:id="39" w:name="_Toc14347"/>
      <w:bookmarkStart w:id="40" w:name="_Toc9044"/>
      <w:bookmarkStart w:id="41" w:name="定标方法"/>
      <w:r>
        <w:rPr>
          <w:rFonts w:hint="eastAsia" w:ascii="黑体" w:eastAsia="黑体"/>
          <w:bCs/>
          <w:color w:val="auto"/>
          <w:kern w:val="0"/>
          <w:sz w:val="32"/>
          <w:szCs w:val="32"/>
          <w:highlight w:val="none"/>
        </w:rPr>
        <w:t>第三章</w:t>
      </w:r>
      <w:r>
        <w:rPr>
          <w:rFonts w:ascii="黑体" w:eastAsia="黑体"/>
          <w:bCs/>
          <w:color w:val="auto"/>
          <w:kern w:val="0"/>
          <w:sz w:val="32"/>
          <w:szCs w:val="32"/>
          <w:highlight w:val="none"/>
        </w:rPr>
        <w:t xml:space="preserve">  </w:t>
      </w:r>
      <w:r>
        <w:rPr>
          <w:rFonts w:hint="eastAsia" w:ascii="黑体" w:eastAsia="黑体"/>
          <w:bCs/>
          <w:color w:val="auto"/>
          <w:kern w:val="0"/>
          <w:sz w:val="32"/>
          <w:szCs w:val="32"/>
          <w:highlight w:val="none"/>
        </w:rPr>
        <w:t>招标人对招标文件及合同范本的补充/修改</w:t>
      </w:r>
      <w:bookmarkEnd w:id="37"/>
      <w:bookmarkEnd w:id="38"/>
      <w:bookmarkEnd w:id="39"/>
      <w:bookmarkEnd w:id="40"/>
    </w:p>
    <w:p>
      <w:pPr>
        <w:topLinePunct/>
        <w:adjustRightInd w:val="0"/>
        <w:snapToGrid w:val="0"/>
        <w:spacing w:line="360" w:lineRule="auto"/>
        <w:ind w:firstLine="440" w:firstLineChars="200"/>
        <w:rPr>
          <w:rFonts w:ascii="宋体" w:hAnsi="宋体"/>
          <w:color w:val="auto"/>
          <w:kern w:val="0"/>
          <w:sz w:val="22"/>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招标人可根据工程实际情况，对本范本进行补充或修改，但有关补充或修改内容不得违法违规，且必须逐一列举在以下栏目中。请投标人认真阅读并遵照执行：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补充修改</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pPr>
        <w:widowControl/>
        <w:jc w:val="left"/>
        <w:rPr>
          <w:color w:val="auto"/>
          <w:kern w:val="0"/>
          <w:highlight w:val="none"/>
        </w:rPr>
      </w:pPr>
    </w:p>
    <w:p>
      <w:pPr>
        <w:widowControl/>
        <w:jc w:val="left"/>
        <w:rPr>
          <w:color w:val="auto"/>
          <w:kern w:val="0"/>
          <w:highlight w:val="none"/>
        </w:rPr>
      </w:pPr>
    </w:p>
    <w:p>
      <w:pPr>
        <w:widowControl/>
        <w:jc w:val="left"/>
        <w:rPr>
          <w:color w:val="auto"/>
          <w:kern w:val="0"/>
          <w:highlight w:val="none"/>
        </w:rPr>
      </w:pPr>
    </w:p>
    <w:p>
      <w:pPr>
        <w:widowControl/>
        <w:jc w:val="left"/>
        <w:rPr>
          <w:color w:val="auto"/>
          <w:kern w:val="0"/>
          <w:highlight w:val="none"/>
        </w:rPr>
      </w:pPr>
    </w:p>
    <w:p>
      <w:pPr>
        <w:widowControl/>
        <w:jc w:val="left"/>
        <w:rPr>
          <w:color w:val="auto"/>
          <w:kern w:val="0"/>
          <w:highlight w:val="none"/>
        </w:rPr>
      </w:pPr>
    </w:p>
    <w:bookmarkEnd w:id="41"/>
    <w:p>
      <w:pPr>
        <w:rPr>
          <w:rFonts w:ascii="黑体" w:eastAsia="黑体"/>
          <w:b/>
          <w:color w:val="auto"/>
          <w:kern w:val="0"/>
          <w:sz w:val="36"/>
          <w:highlight w:val="none"/>
        </w:rPr>
      </w:pPr>
      <w:bookmarkStart w:id="42" w:name="_Toc25974"/>
      <w:bookmarkStart w:id="43" w:name="_Toc45702701"/>
      <w:r>
        <w:rPr>
          <w:rFonts w:hint="eastAsia" w:ascii="黑体" w:eastAsia="黑体"/>
          <w:b/>
          <w:color w:val="auto"/>
          <w:kern w:val="0"/>
          <w:sz w:val="36"/>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r>
        <w:rPr>
          <w:rFonts w:hint="eastAsia" w:ascii="黑体" w:eastAsia="黑体"/>
          <w:bCs/>
          <w:color w:val="auto"/>
          <w:kern w:val="0"/>
          <w:sz w:val="32"/>
          <w:szCs w:val="32"/>
          <w:highlight w:val="none"/>
        </w:rPr>
        <w:t>第四章  投标文件格式</w:t>
      </w:r>
      <w:bookmarkEnd w:id="42"/>
      <w:bookmarkEnd w:id="43"/>
    </w:p>
    <w:p>
      <w:pPr>
        <w:adjustRightInd w:val="0"/>
        <w:snapToGrid w:val="0"/>
        <w:spacing w:line="360" w:lineRule="auto"/>
        <w:rPr>
          <w:color w:val="auto"/>
          <w:highlight w:val="none"/>
        </w:rPr>
      </w:pPr>
      <w:r>
        <w:rPr>
          <w:color w:val="auto"/>
          <w:highlight w:val="none"/>
        </w:rPr>
        <w:br w:type="page"/>
      </w:r>
    </w:p>
    <w:p>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A.资格审查标书封面</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________________________工程</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pPr>
        <w:topLinePunct/>
        <w:adjustRightInd w:val="0"/>
        <w:snapToGrid w:val="0"/>
        <w:spacing w:line="360" w:lineRule="auto"/>
        <w:jc w:val="center"/>
        <w:rPr>
          <w:rFonts w:ascii="宋体" w:hAnsi="宋体" w:eastAsia="宋体" w:cs="宋体"/>
          <w:color w:val="auto"/>
          <w:kern w:val="0"/>
          <w:sz w:val="52"/>
          <w:szCs w:val="52"/>
          <w:highlight w:val="none"/>
        </w:rPr>
      </w:pPr>
    </w:p>
    <w:p>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44" w:name="_Toc4977"/>
      <w:bookmarkStart w:id="45" w:name="_Toc45702702"/>
      <w:r>
        <w:rPr>
          <w:rFonts w:hint="eastAsia" w:ascii="宋体" w:hAnsi="宋体" w:eastAsia="宋体" w:cs="宋体"/>
          <w:color w:val="auto"/>
          <w:kern w:val="0"/>
          <w:sz w:val="44"/>
          <w:szCs w:val="44"/>
          <w:highlight w:val="none"/>
        </w:rPr>
        <w:t>资格审查标书</w:t>
      </w:r>
      <w:bookmarkEnd w:id="44"/>
      <w:bookmarkEnd w:id="45"/>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w:t>
      </w:r>
    </w:p>
    <w:p>
      <w:pPr>
        <w:topLinePunct/>
        <w:adjustRightInd w:val="0"/>
        <w:snapToGrid w:val="0"/>
        <w:spacing w:line="360" w:lineRule="auto"/>
        <w:ind w:firstLine="1400" w:firstLineChars="500"/>
        <w:jc w:val="left"/>
        <w:rPr>
          <w:rFonts w:ascii="宋体" w:hAnsi="宋体" w:eastAsia="宋体" w:cs="宋体"/>
          <w:color w:val="auto"/>
          <w:highlight w:val="none"/>
        </w:rPr>
      </w:pPr>
      <w:r>
        <w:rPr>
          <w:rFonts w:hint="eastAsia" w:ascii="宋体" w:hAnsi="宋体" w:eastAsia="宋体" w:cs="宋体"/>
          <w:color w:val="auto"/>
          <w:kern w:val="0"/>
          <w:sz w:val="28"/>
          <w:szCs w:val="28"/>
          <w:highlight w:val="none"/>
        </w:rPr>
        <w:t>投标日期：___________年______月______日</w:t>
      </w:r>
      <w:r>
        <w:rPr>
          <w:rFonts w:hint="eastAsia" w:ascii="宋体" w:hAnsi="宋体" w:eastAsia="宋体" w:cs="宋体"/>
          <w:color w:val="auto"/>
          <w:highlight w:val="none"/>
        </w:rPr>
        <w:br w:type="page"/>
      </w:r>
    </w:p>
    <w:p>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B.资信标书封面</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________________________工程</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pPr>
        <w:topLinePunct/>
        <w:adjustRightInd w:val="0"/>
        <w:snapToGrid w:val="0"/>
        <w:spacing w:line="360" w:lineRule="auto"/>
        <w:jc w:val="center"/>
        <w:rPr>
          <w:rFonts w:ascii="宋体" w:hAnsi="宋体" w:eastAsia="宋体" w:cs="宋体"/>
          <w:color w:val="auto"/>
          <w:kern w:val="0"/>
          <w:sz w:val="52"/>
          <w:szCs w:val="52"/>
          <w:highlight w:val="none"/>
        </w:rPr>
      </w:pPr>
    </w:p>
    <w:p>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46" w:name="_Toc8765"/>
      <w:bookmarkStart w:id="47" w:name="_Toc45702703"/>
      <w:r>
        <w:rPr>
          <w:rFonts w:hint="eastAsia" w:ascii="宋体" w:hAnsi="宋体" w:eastAsia="宋体" w:cs="宋体"/>
          <w:color w:val="auto"/>
          <w:kern w:val="0"/>
          <w:sz w:val="44"/>
          <w:szCs w:val="44"/>
          <w:highlight w:val="none"/>
        </w:rPr>
        <w:t>资信标书</w:t>
      </w:r>
      <w:bookmarkEnd w:id="46"/>
      <w:bookmarkEnd w:id="47"/>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w:t>
      </w:r>
    </w:p>
    <w:p>
      <w:pPr>
        <w:topLinePunct/>
        <w:adjustRightInd w:val="0"/>
        <w:snapToGrid w:val="0"/>
        <w:spacing w:line="360" w:lineRule="auto"/>
        <w:ind w:firstLine="1400" w:firstLineChars="500"/>
        <w:jc w:val="left"/>
        <w:rPr>
          <w:color w:val="auto"/>
          <w:highlight w:val="none"/>
        </w:rPr>
      </w:pPr>
      <w:r>
        <w:rPr>
          <w:rFonts w:hint="eastAsia" w:ascii="宋体" w:hAnsi="宋体" w:eastAsia="宋体" w:cs="宋体"/>
          <w:color w:val="auto"/>
          <w:kern w:val="0"/>
          <w:sz w:val="28"/>
          <w:szCs w:val="28"/>
          <w:highlight w:val="none"/>
        </w:rPr>
        <w:t>投标日期：____________年_____月______日</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投标函</w:t>
      </w:r>
    </w:p>
    <w:p>
      <w:pPr>
        <w:topLinePunct/>
        <w:adjustRightInd w:val="0"/>
        <w:snapToGrid w:val="0"/>
        <w:spacing w:line="360" w:lineRule="auto"/>
        <w:jc w:val="left"/>
        <w:rPr>
          <w:rFonts w:ascii="宋体" w:hAnsi="宋体"/>
          <w:color w:val="auto"/>
          <w:kern w:val="0"/>
          <w:highlight w:val="none"/>
        </w:rPr>
      </w:pPr>
    </w:p>
    <w:p>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致：________________________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根据贵方的项目编号为_____________的___________________项目的招标文件及本次招标的补遗文件，我方已详细审核了全部招标文件及有关附件。我方完全理解并同意放弃对这方面有不明及误解的权力。</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1．我方保证遵守中华人民共和国、深圳市有关招标投标的法律、法规和与招标投标有关的规定；保证遵从</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highlight w:val="none"/>
        </w:rPr>
        <w:t>各项管理制度，自觉维护</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highlight w:val="none"/>
        </w:rPr>
        <w:t>正常秩序；保证服从招标有关议程事项安排，服从招标有关会议现场纪律。若有违反，同意被废除投标资料并接受处罚。</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2.我方已按招标文件规定的形式和金额提交投标担保，并且保证所提交的保证金是从我方基本账户汇出，银行保函是由我方基本账户开户银行所在网点或其上级银行机构出具，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color w:val="auto"/>
          <w:kern w:val="0"/>
          <w:highlight w:val="none"/>
        </w:rPr>
        <w:t>保证保险的保费通过我方基本账户支付。如不按上述原则提交投标担保，贵方有权取消我方的中标资格或单方面终止合同，因此造成的责任由我方承担。</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topLinePunct/>
        <w:adjustRightInd w:val="0"/>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4.如果我方中标，我方保证在_____天内完成供货</w:t>
      </w:r>
      <w:r>
        <w:rPr>
          <w:rFonts w:hint="eastAsia" w:ascii="宋体" w:hAnsi="宋体" w:eastAsia="宋体" w:cs="宋体"/>
          <w:color w:val="auto"/>
          <w:kern w:val="0"/>
          <w:highlight w:val="none"/>
          <w:lang w:eastAsia="zh-CN"/>
        </w:rPr>
        <w:t>（或者</w:t>
      </w:r>
      <w:r>
        <w:rPr>
          <w:rFonts w:hint="eastAsia" w:ascii="宋体" w:hAnsi="宋体" w:eastAsia="宋体" w:cs="宋体"/>
          <w:color w:val="auto"/>
          <w:kern w:val="0"/>
          <w:highlight w:val="none"/>
        </w:rPr>
        <w:t>我方保证在_____天内完成供货及安装，其中：供货期    日历天，安装期    日历天</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，并将按招标文件的规定履行合同责任和义务。</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5．如果我方中标，我方将按照规定提交由招标人认可的，并在招标文件中规定金额的履约保函。</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6．我方同意提供按照贵方可能要求的与其投标有关的一切数据或资料，完全理解贵方不一定接受最低价的投标或收到的任何投标。</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7．我方保证投标文件内容无任何虚假。若评标过程中查有虚假，同意作无效或废标处理，并被没收投标担保；若中标之后查有虚假，同意被废除授标并被没收投标担保。</w:t>
      </w:r>
    </w:p>
    <w:p>
      <w:pPr>
        <w:topLinePunct/>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本投标函同时作为法定代表人证明书和法人授权委托书。</w:t>
      </w:r>
    </w:p>
    <w:p>
      <w:pPr>
        <w:topLinePunct/>
        <w:adjustRightInd w:val="0"/>
        <w:snapToGrid w:val="0"/>
        <w:spacing w:line="360" w:lineRule="auto"/>
        <w:ind w:firstLine="420" w:firstLineChars="200"/>
        <w:jc w:val="left"/>
        <w:rPr>
          <w:rFonts w:ascii="宋体" w:hAnsi="宋体" w:eastAsia="宋体" w:cs="宋体"/>
          <w:color w:val="auto"/>
          <w:kern w:val="0"/>
          <w:highlight w:val="none"/>
        </w:rPr>
      </w:pP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投标人代表：______________________________________________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联系地址：________________________________________________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联系电话：________________________________________________</w:t>
      </w:r>
    </w:p>
    <w:p>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rPr>
        <w:t>日期：________________________________________________</w:t>
      </w:r>
      <w:r>
        <w:rPr>
          <w:color w:val="auto"/>
          <w:highlight w:val="none"/>
        </w:rPr>
        <w:br w:type="page"/>
      </w:r>
    </w:p>
    <w:p>
      <w:pPr>
        <w:topLinePunct/>
        <w:adjustRightInd w:val="0"/>
        <w:snapToGrid w:val="0"/>
        <w:spacing w:line="360" w:lineRule="auto"/>
        <w:ind w:firstLine="420" w:firstLineChars="200"/>
        <w:jc w:val="left"/>
        <w:rPr>
          <w:color w:val="auto"/>
          <w:highlight w:val="none"/>
        </w:rPr>
      </w:pP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资信条款响应表</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w:t>
      </w:r>
    </w:p>
    <w:tbl>
      <w:tblPr>
        <w:tblStyle w:val="8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2"/>
        <w:gridCol w:w="2902"/>
        <w:gridCol w:w="282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202"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2902"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招标需求</w:t>
            </w:r>
          </w:p>
        </w:tc>
        <w:tc>
          <w:tcPr>
            <w:tcW w:w="2829"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投标内容</w:t>
            </w:r>
          </w:p>
        </w:tc>
        <w:tc>
          <w:tcPr>
            <w:tcW w:w="1585"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bookmarkStart w:id="48" w:name="资信条款响应表" w:colFirst="0" w:colLast="0"/>
          </w:p>
        </w:tc>
        <w:tc>
          <w:tcPr>
            <w:tcW w:w="1202"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902"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2829"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1585"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r>
      <w:bookmarkEnd w:id="48"/>
    </w:tbl>
    <w:p>
      <w:pPr>
        <w:topLinePunct/>
        <w:adjustRightInd w:val="0"/>
        <w:snapToGrid w:val="0"/>
        <w:spacing w:line="360" w:lineRule="auto"/>
        <w:jc w:val="left"/>
        <w:rPr>
          <w:rFonts w:ascii="宋体" w:hAnsi="宋体" w:eastAsia="宋体" w:cs="宋体"/>
          <w:color w:val="auto"/>
          <w:kern w:val="0"/>
          <w:szCs w:val="21"/>
          <w:highlight w:val="none"/>
        </w:rPr>
      </w:pP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重要提示：</w:t>
      </w:r>
    </w:p>
    <w:p>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rPr>
        <w:t>只列出发生偏离的项目，没有列出的将被视为完全响应。</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联合体共同投标协议</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致_____________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pPr>
        <w:topLinePunct/>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本投标协议同时作为法定代表人证明书和法人授权委托书。</w:t>
      </w:r>
    </w:p>
    <w:p>
      <w:pPr>
        <w:topLinePunct/>
        <w:adjustRightInd w:val="0"/>
        <w:snapToGrid w:val="0"/>
        <w:spacing w:line="360" w:lineRule="auto"/>
        <w:ind w:firstLine="422" w:firstLineChars="200"/>
        <w:jc w:val="left"/>
        <w:rPr>
          <w:rFonts w:ascii="宋体" w:hAnsi="宋体" w:eastAsia="宋体" w:cs="宋体"/>
          <w:b/>
          <w:color w:val="auto"/>
          <w:kern w:val="0"/>
          <w:highlight w:val="none"/>
        </w:rPr>
      </w:pPr>
    </w:p>
    <w:p>
      <w:pPr>
        <w:topLinePunct/>
        <w:adjustRightInd w:val="0"/>
        <w:snapToGrid w:val="0"/>
        <w:spacing w:line="360" w:lineRule="auto"/>
        <w:ind w:firstLine="420" w:firstLineChars="200"/>
        <w:jc w:val="left"/>
        <w:rPr>
          <w:rFonts w:ascii="宋体" w:hAnsi="宋体" w:eastAsia="宋体" w:cs="宋体"/>
          <w:color w:val="auto"/>
          <w:kern w:val="0"/>
          <w:highlight w:val="none"/>
        </w:rPr>
      </w:pP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投标牵头人（盖章）：__________________________________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单位地址：____________________________邮编：_________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联系电话：____________________________传真：_________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分工内容：___________________________________________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联合体成员（盖章）：__________________________________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单位地址：____________________________邮编：_________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联系电话：____________________________传真：_________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分工内容：___________________________________________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联合体成员（盖章）：__________________________________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单位地址：____________________________邮编：_________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联系电话：____________________________传真：_________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分工内容：___________________________________________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p>
    <w:p>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签订日期：    年 月 日</w:t>
      </w:r>
      <w:r>
        <w:rPr>
          <w:color w:val="auto"/>
          <w:highlight w:val="none"/>
        </w:rPr>
        <w:br w:type="page"/>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A5投标保函</w:t>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投标保函</w:t>
      </w:r>
    </w:p>
    <w:p>
      <w:pPr>
        <w:topLinePunct/>
        <w:adjustRightInd w:val="0"/>
        <w:snapToGrid w:val="0"/>
        <w:spacing w:line="360" w:lineRule="auto"/>
        <w:ind w:firstLine="6300" w:firstLineChars="3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保函编号：________________</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致________________________（下称受益人）：</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鉴于______________________（下称被保证人）将参加贵方标段编号为__________________的______________________项目的投标，我方接受被保证人的委托，在此向受益人提供不可撤销的投标保证：</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二、本保证担保的保证期间为该项目的投标有效期或延长的投标有效期后28日（含28日），延长投标有效期无须通知我方。</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保证人（盖章）：________________________________________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法定代表人或其授权委托代理人（签字或盖章）：__________________________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单位地址：________________________________________</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邮政编码：_______________电话：___________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pPr>
        <w:topLinePunct/>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注：如果投标人不采用以上投标保函格式，拟采用的投标保函格式须经招标人确认。</w:t>
      </w: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投标保证保险保险凭证</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pPr>
        <w:pStyle w:val="231"/>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pPr>
        <w:pStyle w:val="231"/>
        <w:spacing w:before="0" w:beforeAutospacing="0" w:after="0" w:afterAutospacing="0" w:line="360" w:lineRule="auto"/>
        <w:rPr>
          <w:color w:val="auto"/>
          <w:kern w:val="2"/>
          <w:sz w:val="21"/>
          <w:szCs w:val="21"/>
          <w:highlight w:val="none"/>
        </w:rPr>
      </w:pP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pPr>
        <w:pStyle w:val="23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pPr>
        <w:pStyle w:val="23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p>
      <w:pPr>
        <w:topLinePunct/>
        <w:adjustRightInd w:val="0"/>
        <w:snapToGrid w:val="0"/>
        <w:spacing w:line="360" w:lineRule="auto"/>
        <w:ind w:firstLine="420" w:firstLineChars="200"/>
        <w:jc w:val="left"/>
        <w:rPr>
          <w:color w:val="auto"/>
          <w:highlight w:val="none"/>
        </w:rPr>
      </w:pPr>
    </w:p>
    <w:p>
      <w:pPr>
        <w:topLinePunct/>
        <w:adjustRightInd w:val="0"/>
        <w:snapToGrid w:val="0"/>
        <w:spacing w:line="360" w:lineRule="auto"/>
        <w:ind w:firstLine="420" w:firstLineChars="200"/>
        <w:jc w:val="left"/>
        <w:rPr>
          <w:color w:val="auto"/>
          <w:highlight w:val="none"/>
        </w:rPr>
      </w:pP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pPr>
        <w:numPr>
          <w:ilvl w:val="0"/>
          <w:numId w:val="1"/>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after="156"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color w:val="auto"/>
          <w:kern w:val="0"/>
          <w:szCs w:val="21"/>
          <w:highlight w:val="none"/>
        </w:rPr>
      </w:pPr>
    </w:p>
    <w:p>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ind w:firstLine="2640" w:firstLineChars="600"/>
        <w:rPr>
          <w:rFonts w:hint="default" w:ascii="宋体" w:hAnsi="宋体" w:eastAsia="宋体" w:cs="宋体"/>
          <w:color w:val="auto"/>
          <w:kern w:val="2"/>
          <w:sz w:val="21"/>
          <w:szCs w:val="21"/>
          <w:highlight w:val="none"/>
          <w:u w:val="none"/>
          <w:lang w:val="en-US" w:eastAsia="zh-CN"/>
        </w:rPr>
      </w:pPr>
      <w:r>
        <w:rPr>
          <w:rFonts w:hint="eastAsia" w:cs="宋体"/>
          <w:color w:val="auto"/>
          <w:kern w:val="2"/>
          <w:sz w:val="44"/>
          <w:szCs w:val="22"/>
          <w:highlight w:val="none"/>
          <w:lang w:val="en-US" w:eastAsia="zh-CN"/>
        </w:rPr>
        <w:t>投标保证金承诺函</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bCs w:val="0"/>
          <w:color w:val="auto"/>
          <w:spacing w:val="0"/>
          <w:sz w:val="21"/>
          <w:szCs w:val="21"/>
          <w:highlight w:val="none"/>
          <w:lang w:eastAsia="zh-CN"/>
        </w:rPr>
      </w:pPr>
      <w:r>
        <w:rPr>
          <w:rFonts w:hint="default" w:ascii="宋体" w:hAnsi="宋体" w:eastAsia="宋体" w:cs="宋体"/>
          <w:b w:val="0"/>
          <w:bCs w:val="0"/>
          <w:color w:val="auto"/>
          <w:spacing w:val="0"/>
          <w:sz w:val="21"/>
          <w:szCs w:val="21"/>
          <w:highlight w:val="none"/>
          <w:lang w:eastAsia="zh-CN"/>
        </w:rPr>
        <w:t>（招标单位名称）：</w:t>
      </w: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单位名称</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non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统一社会信用代码：</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法定代表人</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default" w:ascii="宋体" w:hAnsi="宋体" w:eastAsia="宋体" w:cs="宋体"/>
          <w:b w:val="0"/>
          <w:bCs w:val="0"/>
          <w:color w:val="auto"/>
          <w:spacing w:val="0"/>
          <w:kern w:val="2"/>
          <w:sz w:val="21"/>
          <w:szCs w:val="21"/>
          <w:highlight w:val="none"/>
          <w:u w:val="non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为维护公平、公正、公开的</w:t>
      </w:r>
      <w:r>
        <w:rPr>
          <w:rFonts w:hint="default" w:ascii="宋体" w:hAnsi="宋体" w:eastAsia="宋体" w:cs="宋体"/>
          <w:b w:val="0"/>
          <w:bCs w:val="0"/>
          <w:color w:val="auto"/>
          <w:spacing w:val="0"/>
          <w:kern w:val="2"/>
          <w:sz w:val="21"/>
          <w:szCs w:val="21"/>
          <w:highlight w:val="none"/>
          <w:lang w:val="en-US" w:eastAsia="zh-CN"/>
        </w:rPr>
        <w:t>招标投标</w:t>
      </w:r>
      <w:r>
        <w:rPr>
          <w:rFonts w:hint="default" w:ascii="宋体" w:hAnsi="宋体" w:eastAsia="宋体" w:cs="宋体"/>
          <w:b w:val="0"/>
          <w:bCs w:val="0"/>
          <w:color w:val="auto"/>
          <w:spacing w:val="0"/>
          <w:kern w:val="2"/>
          <w:sz w:val="21"/>
          <w:szCs w:val="21"/>
          <w:highlight w:val="none"/>
          <w:lang w:eastAsia="zh-CN"/>
        </w:rPr>
        <w:t xml:space="preserve">市场秩序，树立诚实守信的投标人形象，在投标有效期内我单位自愿作出以下承诺： </w:t>
      </w:r>
    </w:p>
    <w:p>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一、我</w:t>
      </w:r>
      <w:r>
        <w:rPr>
          <w:rFonts w:hint="default" w:ascii="宋体" w:hAnsi="宋体" w:eastAsia="宋体" w:cs="宋体"/>
          <w:b w:val="0"/>
          <w:bCs w:val="0"/>
          <w:color w:val="auto"/>
          <w:spacing w:val="0"/>
          <w:kern w:val="2"/>
          <w:sz w:val="21"/>
          <w:szCs w:val="21"/>
          <w:highlight w:val="none"/>
          <w:lang w:val="en-US" w:eastAsia="zh-CN"/>
        </w:rPr>
        <w:t>公司</w:t>
      </w:r>
      <w:r>
        <w:rPr>
          <w:rFonts w:hint="default" w:ascii="宋体" w:hAnsi="宋体" w:eastAsia="宋体" w:cs="宋体"/>
          <w:b w:val="0"/>
          <w:bCs w:val="0"/>
          <w:color w:val="auto"/>
          <w:spacing w:val="0"/>
          <w:kern w:val="2"/>
          <w:sz w:val="21"/>
          <w:szCs w:val="21"/>
          <w:highlight w:val="none"/>
          <w:lang w:eastAsia="zh-CN"/>
        </w:rPr>
        <w:t>具备承担</w:t>
      </w:r>
      <w:r>
        <w:rPr>
          <w:rFonts w:hint="default" w:ascii="宋体" w:hAnsi="宋体" w:eastAsia="宋体" w:cs="宋体"/>
          <w:b w:val="0"/>
          <w:bCs w:val="0"/>
          <w:color w:val="auto"/>
          <w:spacing w:val="0"/>
          <w:kern w:val="2"/>
          <w:sz w:val="21"/>
          <w:szCs w:val="21"/>
          <w:highlight w:val="none"/>
          <w:lang w:val="en-US" w:eastAsia="zh-CN"/>
        </w:rPr>
        <w:t xml:space="preserve"> </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（招标工程项目名称）</w:t>
      </w:r>
      <w:r>
        <w:rPr>
          <w:rFonts w:hint="default" w:ascii="宋体" w:hAnsi="宋体" w:eastAsia="宋体" w:cs="宋体"/>
          <w:b w:val="0"/>
          <w:bCs w:val="0"/>
          <w:color w:val="auto"/>
          <w:spacing w:val="0"/>
          <w:kern w:val="2"/>
          <w:sz w:val="21"/>
          <w:szCs w:val="21"/>
          <w:highlight w:val="none"/>
          <w:lang w:eastAsia="zh-CN"/>
        </w:rPr>
        <w:t>的能力，自愿参加该项目投标活动，严格遵守《招标投标法》及相关法律法规、</w:t>
      </w:r>
      <w:r>
        <w:rPr>
          <w:rFonts w:hint="default" w:ascii="宋体" w:hAnsi="宋体" w:eastAsia="宋体" w:cs="宋体"/>
          <w:b w:val="0"/>
          <w:bCs w:val="0"/>
          <w:color w:val="auto"/>
          <w:spacing w:val="0"/>
          <w:kern w:val="2"/>
          <w:sz w:val="21"/>
          <w:szCs w:val="21"/>
          <w:highlight w:val="none"/>
          <w:lang w:val="en-US" w:eastAsia="zh-CN"/>
        </w:rPr>
        <w:t>招标文件的规定</w:t>
      </w:r>
      <w:r>
        <w:rPr>
          <w:rFonts w:hint="default" w:ascii="宋体" w:hAnsi="宋体" w:eastAsia="宋体" w:cs="宋体"/>
          <w:b w:val="0"/>
          <w:bCs w:val="0"/>
          <w:color w:val="auto"/>
          <w:spacing w:val="0"/>
          <w:kern w:val="2"/>
          <w:sz w:val="21"/>
          <w:szCs w:val="21"/>
          <w:highlight w:val="none"/>
          <w:lang w:eastAsia="zh-CN"/>
        </w:rPr>
        <w:t>。</w:t>
      </w:r>
    </w:p>
    <w:p>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二、我</w:t>
      </w:r>
      <w:r>
        <w:rPr>
          <w:rFonts w:hint="default" w:ascii="宋体" w:hAnsi="宋体" w:eastAsia="宋体" w:cs="宋体"/>
          <w:b w:val="0"/>
          <w:bCs w:val="0"/>
          <w:color w:val="auto"/>
          <w:spacing w:val="0"/>
          <w:kern w:val="2"/>
          <w:sz w:val="21"/>
          <w:szCs w:val="21"/>
          <w:highlight w:val="none"/>
          <w:lang w:val="en-US" w:eastAsia="zh-CN"/>
        </w:rPr>
        <w:t>公司</w:t>
      </w:r>
      <w:r>
        <w:rPr>
          <w:rFonts w:hint="default" w:ascii="宋体" w:hAnsi="宋体" w:eastAsia="宋体" w:cs="宋体"/>
          <w:b w:val="0"/>
          <w:bCs w:val="0"/>
          <w:color w:val="auto"/>
          <w:spacing w:val="0"/>
          <w:kern w:val="2"/>
          <w:sz w:val="21"/>
          <w:szCs w:val="21"/>
          <w:highlight w:val="none"/>
          <w:lang w:eastAsia="zh-CN"/>
        </w:rPr>
        <w:t>在“信用中国”中未被列入“严重失信主体名单”、没有因招标投标违法行为被行政处罚的记录，在“中国执行信息公开网”中企业及法定代表人没有被列入“失信被执行人”，</w:t>
      </w:r>
      <w:r>
        <w:rPr>
          <w:rFonts w:hint="default" w:ascii="宋体" w:hAnsi="宋体" w:eastAsia="宋体" w:cs="宋体"/>
          <w:b w:val="0"/>
          <w:bCs w:val="0"/>
          <w:color w:val="auto"/>
          <w:spacing w:val="0"/>
          <w:kern w:val="2"/>
          <w:sz w:val="21"/>
          <w:szCs w:val="21"/>
          <w:highlight w:val="none"/>
          <w:lang w:val="en-US" w:eastAsia="zh-CN"/>
        </w:rPr>
        <w:t>在</w:t>
      </w:r>
      <w:r>
        <w:rPr>
          <w:rFonts w:hint="default" w:ascii="宋体" w:hAnsi="宋体" w:eastAsia="宋体" w:cs="宋体"/>
          <w:b w:val="0"/>
          <w:bCs w:val="0"/>
          <w:color w:val="auto"/>
          <w:spacing w:val="0"/>
          <w:kern w:val="2"/>
          <w:sz w:val="21"/>
          <w:szCs w:val="21"/>
          <w:highlight w:val="none"/>
          <w:lang w:eastAsia="zh-CN"/>
        </w:rPr>
        <w:t>深圳公共资源交易公共服务平台</w:t>
      </w:r>
      <w:r>
        <w:rPr>
          <w:rFonts w:hint="default" w:ascii="宋体" w:hAnsi="宋体" w:eastAsia="宋体" w:cs="宋体"/>
          <w:b w:val="0"/>
          <w:bCs w:val="0"/>
          <w:color w:val="auto"/>
          <w:spacing w:val="0"/>
          <w:kern w:val="2"/>
          <w:sz w:val="21"/>
          <w:szCs w:val="21"/>
          <w:highlight w:val="none"/>
          <w:lang w:val="en-US" w:eastAsia="zh-CN"/>
        </w:rPr>
        <w:t>上没有因违反招标投标有关规定被通报、处罚等</w:t>
      </w:r>
      <w:r>
        <w:rPr>
          <w:rFonts w:hint="default" w:ascii="宋体" w:hAnsi="宋体" w:eastAsia="宋体" w:cs="宋体"/>
          <w:b w:val="0"/>
          <w:bCs w:val="0"/>
          <w:color w:val="auto"/>
          <w:spacing w:val="0"/>
          <w:kern w:val="2"/>
          <w:sz w:val="21"/>
          <w:szCs w:val="21"/>
          <w:highlight w:val="none"/>
          <w:lang w:eastAsia="zh-CN"/>
        </w:rPr>
        <w:t>不良信用记录。</w:t>
      </w:r>
    </w:p>
    <w:p>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u w:val="none"/>
          <w:lang w:val="en-US" w:eastAsia="zh-CN"/>
        </w:rPr>
      </w:pPr>
      <w:r>
        <w:rPr>
          <w:rFonts w:hint="eastAsia"/>
          <w:color w:val="auto"/>
          <w:kern w:val="2"/>
          <w:sz w:val="21"/>
          <w:szCs w:val="21"/>
          <w:highlight w:val="none"/>
          <w:lang w:val="en-US" w:eastAsia="zh-CN"/>
        </w:rPr>
        <w:t>□</w:t>
      </w:r>
      <w:r>
        <w:rPr>
          <w:rFonts w:hint="default" w:ascii="宋体" w:hAnsi="宋体" w:eastAsia="宋体" w:cs="宋体"/>
          <w:b w:val="0"/>
          <w:bCs w:val="0"/>
          <w:color w:val="auto"/>
          <w:spacing w:val="0"/>
          <w:kern w:val="2"/>
          <w:sz w:val="21"/>
          <w:szCs w:val="21"/>
          <w:highlight w:val="none"/>
          <w:lang w:val="en-US" w:eastAsia="zh-CN"/>
        </w:rPr>
        <w:t>我公司从业人员</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人，营业收入为</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万元，资产总额为</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万元，根据《关于印发中小企业划型标准规定的通知》（工信部联企业〔2011〕300号）的划分标准，属于</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eastAsia" w:cs="宋体"/>
          <w:color w:val="auto"/>
          <w:kern w:val="2"/>
          <w:sz w:val="21"/>
          <w:szCs w:val="21"/>
          <w:highlight w:val="none"/>
          <w:u w:val="single"/>
          <w:lang w:val="en-US" w:eastAsia="zh-CN"/>
        </w:rPr>
        <w:t>（本招标项目所属行业）</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non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 xml:space="preserve">行业的 </w:t>
      </w:r>
      <w:r>
        <w:rPr>
          <w:rFonts w:hint="default" w:ascii="宋体" w:hAnsi="宋体" w:eastAsia="宋体" w:cs="宋体"/>
          <w:b w:val="0"/>
          <w:bCs w:val="0"/>
          <w:color w:val="auto"/>
          <w:spacing w:val="0"/>
          <w:kern w:val="2"/>
          <w:sz w:val="21"/>
          <w:szCs w:val="21"/>
          <w:highlight w:val="none"/>
          <w:u w:val="single"/>
          <w:lang w:val="en-US" w:eastAsia="zh-CN"/>
        </w:rPr>
        <w:t xml:space="preserve">    （中型企业、小型企业、微型企业） </w:t>
      </w:r>
      <w:r>
        <w:rPr>
          <w:rFonts w:hint="default" w:ascii="宋体" w:hAnsi="宋体" w:eastAsia="宋体" w:cs="宋体"/>
          <w:b w:val="0"/>
          <w:bCs w:val="0"/>
          <w:color w:val="auto"/>
          <w:spacing w:val="0"/>
          <w:kern w:val="2"/>
          <w:sz w:val="21"/>
          <w:szCs w:val="21"/>
          <w:highlight w:val="none"/>
          <w:u w:val="none"/>
          <w:lang w:val="en-US" w:eastAsia="zh-CN"/>
        </w:rPr>
        <w:t>，自愿使用承诺函替代投标保证金。</w:t>
      </w:r>
    </w:p>
    <w:p>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u w:val="none"/>
          <w:lang w:val="en-US" w:eastAsia="zh-CN"/>
        </w:rPr>
      </w:pPr>
      <w:r>
        <w:rPr>
          <w:rFonts w:hint="eastAsia"/>
          <w:color w:val="auto"/>
          <w:kern w:val="2"/>
          <w:sz w:val="21"/>
          <w:szCs w:val="21"/>
          <w:highlight w:val="none"/>
          <w:lang w:val="en-US" w:eastAsia="zh-CN"/>
        </w:rPr>
        <w:t>□</w:t>
      </w:r>
      <w:r>
        <w:rPr>
          <w:rFonts w:hint="default"/>
          <w:color w:val="auto"/>
          <w:kern w:val="2"/>
          <w:sz w:val="21"/>
          <w:szCs w:val="21"/>
          <w:highlight w:val="none"/>
          <w:lang w:val="en-US" w:eastAsia="zh-CN"/>
        </w:rPr>
        <w:t>我公司</w:t>
      </w:r>
      <w:r>
        <w:rPr>
          <w:rFonts w:hint="default" w:ascii="宋体" w:hAnsi="宋体" w:eastAsia="宋体" w:cs="宋体"/>
          <w:b w:val="0"/>
          <w:bCs w:val="0"/>
          <w:color w:val="auto"/>
          <w:spacing w:val="0"/>
          <w:kern w:val="2"/>
          <w:sz w:val="21"/>
          <w:szCs w:val="21"/>
          <w:highlight w:val="none"/>
          <w:u w:val="none"/>
          <w:lang w:val="en-US" w:eastAsia="zh-CN"/>
        </w:rPr>
        <w:t>在本项目投标截止日，在深圳市建筑市场主体信用管理系统中信用等级为A，自愿使用承诺函替代投标保证金。</w:t>
      </w:r>
    </w:p>
    <w:p>
      <w:pPr>
        <w:pStyle w:val="231"/>
        <w:spacing w:before="0" w:beforeAutospacing="0" w:after="0" w:afterAutospacing="0" w:line="240" w:lineRule="auto"/>
        <w:ind w:firstLine="420" w:firstLineChars="200"/>
        <w:rPr>
          <w:rFonts w:hint="default"/>
          <w:color w:val="auto"/>
          <w:kern w:val="2"/>
          <w:sz w:val="21"/>
          <w:szCs w:val="21"/>
          <w:highlight w:val="none"/>
          <w:lang w:val="en-US" w:eastAsia="zh-CN"/>
        </w:rPr>
      </w:pPr>
      <w:r>
        <w:rPr>
          <w:rFonts w:hint="eastAsia" w:cs="宋体"/>
          <w:color w:val="auto"/>
          <w:spacing w:val="0"/>
          <w:kern w:val="2"/>
          <w:sz w:val="21"/>
          <w:szCs w:val="21"/>
          <w:highlight w:val="none"/>
          <w:lang w:val="en-US" w:eastAsia="zh-CN"/>
        </w:rPr>
        <w:t>□</w:t>
      </w:r>
      <w:r>
        <w:rPr>
          <w:rFonts w:hint="default" w:ascii="宋体" w:hAnsi="宋体" w:eastAsia="宋体" w:cs="宋体"/>
          <w:color w:val="auto"/>
          <w:spacing w:val="0"/>
          <w:kern w:val="2"/>
          <w:sz w:val="21"/>
          <w:szCs w:val="21"/>
          <w:highlight w:val="none"/>
          <w:lang w:val="en-US" w:eastAsia="zh-CN"/>
        </w:rPr>
        <w:t>我公司</w:t>
      </w:r>
      <w:r>
        <w:rPr>
          <w:rFonts w:hint="default" w:ascii="宋体" w:hAnsi="宋体" w:eastAsia="宋体" w:cs="宋体"/>
          <w:b w:val="0"/>
          <w:bCs w:val="0"/>
          <w:color w:val="auto"/>
          <w:spacing w:val="0"/>
          <w:kern w:val="2"/>
          <w:sz w:val="21"/>
          <w:szCs w:val="21"/>
          <w:highlight w:val="none"/>
          <w:u w:val="none"/>
          <w:lang w:val="en-US" w:eastAsia="zh-CN"/>
        </w:rPr>
        <w:t>在本项目投标截止日，</w:t>
      </w:r>
      <w:r>
        <w:rPr>
          <w:rFonts w:hint="default"/>
          <w:color w:val="auto"/>
          <w:kern w:val="2"/>
          <w:sz w:val="21"/>
          <w:szCs w:val="21"/>
          <w:highlight w:val="none"/>
          <w:lang w:val="en-US" w:eastAsia="zh-CN"/>
        </w:rPr>
        <w:t>信用等级为B+，</w:t>
      </w:r>
      <w:r>
        <w:rPr>
          <w:rFonts w:hint="default" w:ascii="宋体" w:hAnsi="宋体" w:eastAsia="宋体" w:cs="宋体"/>
          <w:b w:val="0"/>
          <w:bCs w:val="0"/>
          <w:color w:val="auto"/>
          <w:spacing w:val="0"/>
          <w:kern w:val="2"/>
          <w:sz w:val="21"/>
          <w:szCs w:val="21"/>
          <w:highlight w:val="none"/>
          <w:u w:val="none"/>
          <w:lang w:val="en-US" w:eastAsia="zh-CN"/>
        </w:rPr>
        <w:t>自愿使用承诺函，并</w:t>
      </w:r>
      <w:r>
        <w:rPr>
          <w:rFonts w:hint="default"/>
          <w:color w:val="auto"/>
          <w:kern w:val="2"/>
          <w:sz w:val="21"/>
          <w:szCs w:val="21"/>
          <w:highlight w:val="none"/>
          <w:lang w:val="en-US" w:eastAsia="zh-CN"/>
        </w:rPr>
        <w:t>减半缴纳投标保证金</w:t>
      </w:r>
      <w:r>
        <w:rPr>
          <w:rFonts w:hint="default" w:ascii="宋体" w:hAnsi="宋体" w:eastAsia="宋体" w:cs="宋体"/>
          <w:color w:val="auto"/>
          <w:spacing w:val="0"/>
          <w:kern w:val="2"/>
          <w:sz w:val="21"/>
          <w:szCs w:val="21"/>
          <w:highlight w:val="none"/>
          <w:u w:val="none"/>
          <w:lang w:val="en-US" w:eastAsia="zh-CN"/>
        </w:rPr>
        <w:t>。</w:t>
      </w: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eastAsia="宋体" w:cs="宋体"/>
          <w:color w:val="auto"/>
          <w:spacing w:val="0"/>
          <w:kern w:val="2"/>
          <w:sz w:val="21"/>
          <w:szCs w:val="21"/>
          <w:highlight w:val="none"/>
          <w:u w:val="none"/>
          <w:lang w:val="en-US" w:eastAsia="zh-CN"/>
        </w:rPr>
      </w:pPr>
      <w:bookmarkStart w:id="49" w:name="_Toc10704"/>
      <w:r>
        <w:rPr>
          <w:rFonts w:hint="eastAsia" w:cs="宋体"/>
          <w:color w:val="auto"/>
          <w:spacing w:val="0"/>
          <w:kern w:val="2"/>
          <w:sz w:val="21"/>
          <w:szCs w:val="21"/>
          <w:highlight w:val="none"/>
          <w:lang w:val="en-US" w:eastAsia="zh-CN"/>
        </w:rPr>
        <w:t>□</w:t>
      </w:r>
      <w:r>
        <w:rPr>
          <w:rFonts w:hint="default" w:eastAsia="宋体" w:cs="宋体"/>
          <w:color w:val="auto"/>
          <w:spacing w:val="0"/>
          <w:kern w:val="2"/>
          <w:sz w:val="21"/>
          <w:szCs w:val="21"/>
          <w:highlight w:val="none"/>
          <w:lang w:val="en-US" w:eastAsia="zh-CN"/>
        </w:rPr>
        <w:t xml:space="preserve"> </w:t>
      </w:r>
      <w:r>
        <w:rPr>
          <w:rFonts w:hint="default" w:eastAsia="宋体" w:cs="宋体"/>
          <w:color w:val="auto"/>
          <w:spacing w:val="0"/>
          <w:kern w:val="2"/>
          <w:sz w:val="21"/>
          <w:szCs w:val="21"/>
          <w:highlight w:val="none"/>
          <w:u w:val="single"/>
          <w:lang w:val="en-US" w:eastAsia="zh-CN"/>
        </w:rPr>
        <w:t xml:space="preserve">                       （招标文件规定的其他情形）</w:t>
      </w:r>
      <w:bookmarkEnd w:id="49"/>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0" w:name="_Toc20330"/>
      <w:r>
        <w:rPr>
          <w:rFonts w:hint="eastAsia" w:ascii="宋体" w:hAnsi="宋体" w:eastAsia="宋体" w:cs="宋体"/>
          <w:b w:val="0"/>
          <w:bCs w:val="0"/>
          <w:color w:val="auto"/>
          <w:spacing w:val="0"/>
          <w:kern w:val="2"/>
          <w:sz w:val="21"/>
          <w:szCs w:val="21"/>
          <w:highlight w:val="none"/>
          <w:lang w:val="en-US" w:eastAsia="zh-CN"/>
        </w:rPr>
        <w:t>三、</w:t>
      </w:r>
      <w:r>
        <w:rPr>
          <w:rFonts w:hint="eastAsia" w:ascii="宋体" w:hAnsi="宋体" w:eastAsia="宋体" w:cs="宋体"/>
          <w:b w:val="0"/>
          <w:bCs w:val="0"/>
          <w:color w:val="auto"/>
          <w:spacing w:val="0"/>
          <w:kern w:val="2"/>
          <w:sz w:val="21"/>
          <w:szCs w:val="21"/>
          <w:highlight w:val="none"/>
          <w:lang w:eastAsia="zh-CN"/>
        </w:rPr>
        <w:t>如有发生下述任何一种违约行为，自愿承担相关法律责任，</w:t>
      </w:r>
      <w:r>
        <w:rPr>
          <w:rFonts w:hint="eastAsia" w:ascii="宋体" w:hAnsi="宋体" w:eastAsia="宋体" w:cs="宋体"/>
          <w:b w:val="0"/>
          <w:bCs w:val="0"/>
          <w:color w:val="auto"/>
          <w:spacing w:val="0"/>
          <w:kern w:val="2"/>
          <w:sz w:val="21"/>
          <w:szCs w:val="21"/>
          <w:highlight w:val="none"/>
          <w:lang w:val="en-US" w:eastAsia="zh-CN"/>
        </w:rPr>
        <w:t>并愿意</w:t>
      </w:r>
      <w:r>
        <w:rPr>
          <w:rFonts w:hint="eastAsia" w:ascii="宋体" w:hAnsi="宋体" w:eastAsia="宋体" w:cs="宋体"/>
          <w:b w:val="0"/>
          <w:bCs w:val="0"/>
          <w:color w:val="auto"/>
          <w:spacing w:val="0"/>
          <w:kern w:val="2"/>
          <w:sz w:val="21"/>
          <w:szCs w:val="21"/>
          <w:highlight w:val="none"/>
          <w:lang w:eastAsia="zh-CN"/>
        </w:rPr>
        <w:t>按所投项目招标文件约定的投标保证金金额以现金方式兑付。如不按时补缴，愿意接受行政监督部门实施的信用联合惩戒。</w:t>
      </w:r>
      <w:bookmarkEnd w:id="50"/>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1" w:name="_Toc4073"/>
      <w:r>
        <w:rPr>
          <w:rFonts w:hint="eastAsia" w:ascii="宋体" w:hAnsi="宋体" w:eastAsia="宋体" w:cs="宋体"/>
          <w:b w:val="0"/>
          <w:bCs w:val="0"/>
          <w:color w:val="auto"/>
          <w:spacing w:val="0"/>
          <w:kern w:val="2"/>
          <w:sz w:val="21"/>
          <w:szCs w:val="21"/>
          <w:highlight w:val="none"/>
          <w:lang w:eastAsia="zh-CN"/>
        </w:rPr>
        <w:t>1.在招标文件中规定的投标有效期内撤销投标文件；</w:t>
      </w:r>
      <w:bookmarkEnd w:id="51"/>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2" w:name="_Toc19954"/>
      <w:r>
        <w:rPr>
          <w:rFonts w:hint="eastAsia" w:ascii="宋体" w:hAnsi="宋体" w:eastAsia="宋体" w:cs="宋体"/>
          <w:b w:val="0"/>
          <w:bCs w:val="0"/>
          <w:color w:val="auto"/>
          <w:spacing w:val="0"/>
          <w:kern w:val="2"/>
          <w:sz w:val="21"/>
          <w:szCs w:val="21"/>
          <w:highlight w:val="none"/>
          <w:lang w:eastAsia="zh-CN"/>
        </w:rPr>
        <w:t>2.中标后在规定期限内无正当理由不与招标人签订合同或在签订合同时向招标人提出附加条件或未按招标文件规定提交履约保证金；</w:t>
      </w:r>
      <w:bookmarkEnd w:id="52"/>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3" w:name="_Toc6903"/>
      <w:r>
        <w:rPr>
          <w:rFonts w:hint="eastAsia" w:ascii="宋体" w:hAnsi="宋体" w:eastAsia="宋体" w:cs="宋体"/>
          <w:b w:val="0"/>
          <w:bCs w:val="0"/>
          <w:color w:val="auto"/>
          <w:spacing w:val="0"/>
          <w:kern w:val="2"/>
          <w:sz w:val="21"/>
          <w:szCs w:val="21"/>
          <w:highlight w:val="none"/>
          <w:lang w:eastAsia="zh-CN"/>
        </w:rPr>
        <w:t>3.法律、法规规定不予退还投标保证金的其他情形。</w:t>
      </w:r>
      <w:bookmarkEnd w:id="53"/>
    </w:p>
    <w:p>
      <w:pPr>
        <w:pStyle w:val="231"/>
        <w:spacing w:before="0" w:beforeAutospacing="0" w:after="0" w:afterAutospacing="0" w:line="240" w:lineRule="auto"/>
        <w:ind w:firstLine="420" w:firstLineChars="200"/>
        <w:rPr>
          <w:rFonts w:hint="default"/>
          <w:color w:val="auto"/>
          <w:kern w:val="2"/>
          <w:sz w:val="21"/>
          <w:szCs w:val="21"/>
          <w:highlight w:val="none"/>
          <w:lang w:val="en-US" w:eastAsia="zh-CN"/>
        </w:rPr>
      </w:pP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cs="宋体"/>
          <w:b w:val="0"/>
          <w:bCs w:val="0"/>
          <w:color w:val="auto"/>
          <w:spacing w:val="0"/>
          <w:kern w:val="2"/>
          <w:sz w:val="21"/>
          <w:szCs w:val="21"/>
          <w:highlight w:val="none"/>
          <w:lang w:val="en-US" w:eastAsia="zh-CN"/>
        </w:rPr>
        <w:t xml:space="preserve">            </w:t>
      </w:r>
      <w:r>
        <w:rPr>
          <w:rFonts w:hint="default"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承诺人（盖公章）：</w:t>
      </w: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法定代表人（印章或签字）：</w:t>
      </w:r>
    </w:p>
    <w:p>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日期：</w:t>
      </w: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本</w:t>
      </w:r>
      <w:r>
        <w:rPr>
          <w:rFonts w:hint="eastAsia" w:cs="宋体"/>
          <w:color w:val="auto"/>
          <w:kern w:val="2"/>
          <w:sz w:val="21"/>
          <w:szCs w:val="21"/>
          <w:highlight w:val="none"/>
          <w:u w:val="none"/>
          <w:lang w:val="en-US" w:eastAsia="zh-CN"/>
        </w:rPr>
        <w:t>企业</w:t>
      </w:r>
      <w:r>
        <w:rPr>
          <w:rFonts w:hint="eastAsia" w:ascii="宋体" w:hAnsi="宋体" w:eastAsia="宋体" w:cs="宋体"/>
          <w:color w:val="auto"/>
          <w:kern w:val="2"/>
          <w:sz w:val="21"/>
          <w:szCs w:val="21"/>
          <w:highlight w:val="none"/>
          <w:u w:val="none"/>
        </w:rPr>
        <w:t>（联合体）参加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活动，提供的货物全部由符合政策要求的中小企业制造。相关企业的具体情况如下：</w:t>
      </w:r>
    </w:p>
    <w:p>
      <w:pPr>
        <w:pStyle w:val="23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货物名称</w:t>
      </w:r>
      <w:r>
        <w:rPr>
          <w:rFonts w:hint="eastAsia" w:ascii="宋体" w:hAnsi="宋体" w:eastAsia="宋体" w:cs="宋体"/>
          <w:color w:val="auto"/>
          <w:kern w:val="2"/>
          <w:sz w:val="21"/>
          <w:szCs w:val="21"/>
          <w:highlight w:val="none"/>
          <w:u w:val="none"/>
        </w:rPr>
        <w:t>；制造商为</w:t>
      </w:r>
      <w:r>
        <w:rPr>
          <w:rFonts w:hint="eastAsia" w:ascii="宋体" w:hAnsi="宋体" w:eastAsia="宋体" w:cs="宋体"/>
          <w:color w:val="auto"/>
          <w:kern w:val="2"/>
          <w:sz w:val="21"/>
          <w:szCs w:val="21"/>
          <w:highlight w:val="none"/>
          <w:u w:val="single"/>
        </w:rPr>
        <w:t>（企业名称）</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pPr>
        <w:pStyle w:val="23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eastAsia="zh-CN"/>
        </w:rPr>
        <w:t>……</w:t>
      </w:r>
    </w:p>
    <w:p>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u w:val="none"/>
          <w:lang w:val="en-US" w:eastAsia="zh-CN"/>
        </w:rPr>
        <w:t>以</w:t>
      </w:r>
      <w:r>
        <w:rPr>
          <w:rFonts w:hint="eastAsia" w:cs="宋体"/>
          <w:color w:val="auto"/>
          <w:kern w:val="2"/>
          <w:sz w:val="21"/>
          <w:szCs w:val="21"/>
          <w:highlight w:val="none"/>
          <w:u w:val="single"/>
          <w:lang w:val="en-US" w:eastAsia="zh-CN"/>
        </w:rPr>
        <w:t>上</w:t>
      </w:r>
      <w:r>
        <w:rPr>
          <w:rFonts w:hint="eastAsia" w:cs="宋体"/>
          <w:color w:val="auto"/>
          <w:kern w:val="2"/>
          <w:sz w:val="21"/>
          <w:szCs w:val="21"/>
          <w:highlight w:val="none"/>
          <w:u w:val="none"/>
          <w:lang w:val="en-US" w:eastAsia="zh-CN"/>
        </w:rPr>
        <w:t>企业</w:t>
      </w:r>
      <w:r>
        <w:rPr>
          <w:rFonts w:hint="eastAsia" w:ascii="宋体" w:hAnsi="宋体" w:eastAsia="宋体" w:cs="宋体"/>
          <w:color w:val="auto"/>
          <w:kern w:val="2"/>
          <w:sz w:val="21"/>
          <w:szCs w:val="21"/>
          <w:highlight w:val="none"/>
        </w:rPr>
        <w:t xml:space="preserve">不属于大企业的分支机构，不存在控股股东为大企业的情形，也不存在与大企业的负责人为同一人的情形。 </w:t>
      </w:r>
    </w:p>
    <w:p>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pPr>
        <w:pStyle w:val="23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pPr>
        <w:pStyle w:val="23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日期：</w:t>
      </w:r>
    </w:p>
    <w:p>
      <w:pPr>
        <w:pStyle w:val="231"/>
        <w:spacing w:before="0" w:beforeAutospacing="0" w:after="0" w:afterAutospacing="0" w:line="360" w:lineRule="auto"/>
        <w:ind w:firstLine="420" w:firstLineChars="200"/>
        <w:rPr>
          <w:rFonts w:hint="eastAsia" w:cs="宋体"/>
          <w:color w:val="auto"/>
          <w:kern w:val="2"/>
          <w:sz w:val="21"/>
          <w:szCs w:val="21"/>
          <w:highlight w:val="none"/>
          <w:lang w:val="en-US" w:eastAsia="zh-CN"/>
        </w:rPr>
      </w:pPr>
    </w:p>
    <w:p>
      <w:pPr>
        <w:pStyle w:val="231"/>
        <w:spacing w:before="0" w:beforeAutospacing="0" w:after="0" w:afterAutospacing="0" w:line="360" w:lineRule="auto"/>
        <w:ind w:firstLine="420" w:firstLineChars="200"/>
        <w:rPr>
          <w:rFonts w:hint="eastAsia" w:eastAsia="宋体"/>
          <w:color w:val="auto"/>
          <w:kern w:val="2"/>
          <w:sz w:val="21"/>
          <w:szCs w:val="21"/>
          <w:highlight w:val="none"/>
          <w:lang w:eastAsia="zh-CN"/>
        </w:rPr>
      </w:pPr>
      <w:r>
        <w:rPr>
          <w:rFonts w:hint="eastAsia" w:cs="宋体"/>
          <w:color w:val="auto"/>
          <w:kern w:val="2"/>
          <w:sz w:val="21"/>
          <w:szCs w:val="21"/>
          <w:highlight w:val="none"/>
          <w:lang w:val="en-US" w:eastAsia="zh-CN"/>
        </w:rPr>
        <w:t>备注：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招标人在</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的，投标人属于中小企业且提供声明函后，方可适用该条款。</w:t>
      </w:r>
    </w:p>
    <w:p>
      <w:pPr>
        <w:rPr>
          <w:rFonts w:ascii="宋体" w:hAnsi="宋体" w:eastAsia="宋体" w:cs="宋体"/>
          <w:color w:val="auto"/>
          <w:szCs w:val="21"/>
          <w:highlight w:val="none"/>
        </w:rPr>
      </w:pPr>
    </w:p>
    <w:p>
      <w:pPr>
        <w:topLinePunct/>
        <w:adjustRightInd w:val="0"/>
        <w:snapToGrid w:val="0"/>
        <w:spacing w:line="360" w:lineRule="auto"/>
        <w:ind w:firstLine="420" w:firstLineChars="200"/>
        <w:jc w:val="left"/>
        <w:rPr>
          <w:color w:val="auto"/>
          <w:highlight w:val="none"/>
        </w:rPr>
      </w:pP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投标资格证明文件</w:t>
      </w:r>
    </w:p>
    <w:p>
      <w:pPr>
        <w:topLinePunct/>
        <w:adjustRightInd w:val="0"/>
        <w:snapToGrid w:val="0"/>
        <w:spacing w:line="360" w:lineRule="auto"/>
        <w:ind w:firstLine="420" w:firstLineChars="200"/>
        <w:jc w:val="left"/>
        <w:rPr>
          <w:rFonts w:ascii="宋体" w:hAnsi="宋体"/>
          <w:color w:val="auto"/>
          <w:kern w:val="0"/>
          <w:szCs w:val="24"/>
          <w:highlight w:val="none"/>
        </w:rPr>
      </w:pPr>
    </w:p>
    <w:p>
      <w:pPr>
        <w:topLinePunct/>
        <w:adjustRightInd w:val="0"/>
        <w:snapToGrid w:val="0"/>
        <w:spacing w:line="360" w:lineRule="auto"/>
        <w:ind w:firstLine="420" w:firstLineChars="200"/>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投标人名称：_________________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1、投标人基本情况</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2、经年检的营业执照副本</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3、制造商的资格声明</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4、经销商（作为代理）的资格声明</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5、制造商出具的授权函</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6、主要技术人员情况表</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7、相关项目的业绩表</w:t>
      </w:r>
    </w:p>
    <w:p>
      <w:pPr>
        <w:topLinePunct/>
        <w:adjustRightInd w:val="0"/>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8、中小企业声明函扫描件；</w:t>
      </w:r>
    </w:p>
    <w:p>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其他：</w:t>
      </w:r>
    </w:p>
    <w:p>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重要提示：</w:t>
      </w:r>
    </w:p>
    <w:p>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rPr>
        <w:t>上述证明文件是投标中非常重要的文件，投标人必须全面、准确地提供，并保证其真实性，否则将对投标人产生非常不利的影响，甚至将直接导致废标。</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投标人基本情况表</w:t>
      </w:r>
    </w:p>
    <w:p>
      <w:pPr>
        <w:tabs>
          <w:tab w:val="left" w:pos="1050"/>
        </w:tabs>
        <w:topLinePunct/>
        <w:adjustRightInd w:val="0"/>
        <w:snapToGrid w:val="0"/>
        <w:spacing w:line="360" w:lineRule="auto"/>
        <w:jc w:val="left"/>
        <w:rPr>
          <w:rFonts w:ascii="宋体" w:hAnsi="宋体"/>
          <w:color w:val="auto"/>
          <w:kern w:val="0"/>
          <w:sz w:val="28"/>
          <w:highlight w:val="none"/>
        </w:rPr>
      </w:pPr>
    </w:p>
    <w:p>
      <w:pPr>
        <w:tabs>
          <w:tab w:val="left" w:pos="1050"/>
        </w:tabs>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05"/>
        <w:gridCol w:w="412"/>
        <w:gridCol w:w="923"/>
        <w:gridCol w:w="1470"/>
        <w:gridCol w:w="442"/>
        <w:gridCol w:w="14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企业名称</w:t>
            </w:r>
          </w:p>
        </w:tc>
        <w:tc>
          <w:tcPr>
            <w:tcW w:w="2940"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7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主管部门</w:t>
            </w:r>
          </w:p>
        </w:tc>
        <w:tc>
          <w:tcPr>
            <w:tcW w:w="3441"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经济类型</w:t>
            </w:r>
          </w:p>
        </w:tc>
        <w:tc>
          <w:tcPr>
            <w:tcW w:w="2940"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7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资质等级</w:t>
            </w:r>
          </w:p>
        </w:tc>
        <w:tc>
          <w:tcPr>
            <w:tcW w:w="3441"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简介</w:t>
            </w:r>
          </w:p>
        </w:tc>
        <w:tc>
          <w:tcPr>
            <w:tcW w:w="7851" w:type="dxa"/>
            <w:gridSpan w:val="7"/>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restart"/>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概况</w:t>
            </w:r>
          </w:p>
        </w:tc>
        <w:tc>
          <w:tcPr>
            <w:tcW w:w="160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职工总人数</w:t>
            </w:r>
          </w:p>
        </w:tc>
        <w:tc>
          <w:tcPr>
            <w:tcW w:w="2805" w:type="dxa"/>
            <w:gridSpan w:val="3"/>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工程技术人员</w:t>
            </w:r>
          </w:p>
        </w:tc>
        <w:tc>
          <w:tcPr>
            <w:tcW w:w="1568"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生产工人</w:t>
            </w:r>
          </w:p>
        </w:tc>
        <w:tc>
          <w:tcPr>
            <w:tcW w:w="2805" w:type="dxa"/>
            <w:gridSpan w:val="3"/>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 营 人 员</w:t>
            </w:r>
          </w:p>
        </w:tc>
        <w:tc>
          <w:tcPr>
            <w:tcW w:w="1568"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restart"/>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w:t>
            </w:r>
          </w:p>
        </w:tc>
        <w:tc>
          <w:tcPr>
            <w:tcW w:w="1335" w:type="dxa"/>
            <w:gridSpan w:val="2"/>
            <w:vMerge w:val="restart"/>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470" w:type="dxa"/>
            <w:vMerge w:val="restart"/>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性质</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生产性</w:t>
            </w:r>
          </w:p>
        </w:tc>
        <w:tc>
          <w:tcPr>
            <w:tcW w:w="1568"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35" w:type="dxa"/>
            <w:gridSpan w:val="2"/>
            <w:vMerge w:val="continue"/>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p>
        </w:tc>
        <w:tc>
          <w:tcPr>
            <w:tcW w:w="1470"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非生产性</w:t>
            </w:r>
          </w:p>
        </w:tc>
        <w:tc>
          <w:tcPr>
            <w:tcW w:w="1568"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restart"/>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流动</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w:t>
            </w:r>
          </w:p>
        </w:tc>
        <w:tc>
          <w:tcPr>
            <w:tcW w:w="1335" w:type="dxa"/>
            <w:gridSpan w:val="2"/>
            <w:vMerge w:val="restart"/>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470" w:type="dxa"/>
            <w:vMerge w:val="restart"/>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来源</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自有资金</w:t>
            </w:r>
          </w:p>
        </w:tc>
        <w:tc>
          <w:tcPr>
            <w:tcW w:w="1568"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35" w:type="dxa"/>
            <w:gridSpan w:val="2"/>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70"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银行贷款</w:t>
            </w:r>
          </w:p>
        </w:tc>
        <w:tc>
          <w:tcPr>
            <w:tcW w:w="1568" w:type="dxa"/>
            <w:shd w:val="clear" w:color="auto" w:fill="auto"/>
            <w:vAlign w:val="center"/>
          </w:tcPr>
          <w:p>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主要资质</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w:t>
            </w:r>
          </w:p>
        </w:tc>
        <w:tc>
          <w:tcPr>
            <w:tcW w:w="7851" w:type="dxa"/>
            <w:gridSpan w:val="7"/>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w:t>
            </w:r>
          </w:p>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体系</w:t>
            </w:r>
          </w:p>
        </w:tc>
        <w:tc>
          <w:tcPr>
            <w:tcW w:w="7851" w:type="dxa"/>
            <w:gridSpan w:val="7"/>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restart"/>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经济指标</w:t>
            </w:r>
          </w:p>
        </w:tc>
        <w:tc>
          <w:tcPr>
            <w:tcW w:w="2017" w:type="dxa"/>
            <w:gridSpan w:val="2"/>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份</w:t>
            </w:r>
          </w:p>
        </w:tc>
        <w:tc>
          <w:tcPr>
            <w:tcW w:w="2835"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销售收入（万元）</w:t>
            </w:r>
          </w:p>
        </w:tc>
        <w:tc>
          <w:tcPr>
            <w:tcW w:w="2999" w:type="dxa"/>
            <w:gridSpan w:val="2"/>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017" w:type="dxa"/>
            <w:gridSpan w:val="2"/>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_____年</w:t>
            </w:r>
          </w:p>
        </w:tc>
        <w:tc>
          <w:tcPr>
            <w:tcW w:w="2835"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999" w:type="dxa"/>
            <w:gridSpan w:val="2"/>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017" w:type="dxa"/>
            <w:gridSpan w:val="2"/>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_____年</w:t>
            </w:r>
          </w:p>
        </w:tc>
        <w:tc>
          <w:tcPr>
            <w:tcW w:w="2835" w:type="dxa"/>
            <w:gridSpan w:val="3"/>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999" w:type="dxa"/>
            <w:gridSpan w:val="2"/>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pPr>
        <w:topLinePunct/>
        <w:adjustRightInd w:val="0"/>
        <w:snapToGrid w:val="0"/>
        <w:spacing w:line="360" w:lineRule="auto"/>
        <w:ind w:firstLine="420" w:firstLineChars="200"/>
        <w:jc w:val="left"/>
        <w:rPr>
          <w:color w:val="auto"/>
          <w:highlight w:val="none"/>
        </w:rPr>
      </w:pPr>
      <w:r>
        <w:rPr>
          <w:rFonts w:hint="eastAsia" w:ascii="宋体" w:hAnsi="宋体" w:eastAsia="宋体" w:cs="宋体"/>
          <w:bCs/>
          <w:color w:val="auto"/>
          <w:kern w:val="0"/>
          <w:szCs w:val="21"/>
          <w:highlight w:val="none"/>
        </w:rPr>
        <w:t>注：表格不够可另附说明。</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经年检的营业执照副本</w:t>
      </w:r>
    </w:p>
    <w:p>
      <w:pPr>
        <w:tabs>
          <w:tab w:val="left" w:pos="5580"/>
        </w:tabs>
        <w:topLinePunct/>
        <w:adjustRightInd w:val="0"/>
        <w:snapToGrid w:val="0"/>
        <w:spacing w:line="360" w:lineRule="auto"/>
        <w:jc w:val="center"/>
        <w:rPr>
          <w:rFonts w:ascii="仿宋_GB2312" w:hAnsi="宋体" w:eastAsia="仿宋_GB2312"/>
          <w:color w:val="auto"/>
          <w:kern w:val="0"/>
          <w:sz w:val="24"/>
          <w:highlight w:val="none"/>
        </w:rPr>
      </w:pPr>
    </w:p>
    <w:p>
      <w:pPr>
        <w:tabs>
          <w:tab w:val="left" w:pos="5580"/>
        </w:tabs>
        <w:topLinePunct/>
        <w:adjustRightInd w:val="0"/>
        <w:snapToGrid w:val="0"/>
        <w:spacing w:line="360" w:lineRule="auto"/>
        <w:jc w:val="center"/>
        <w:rPr>
          <w:rFonts w:ascii="仿宋_GB2312" w:hAnsi="宋体" w:eastAsia="仿宋_GB2312"/>
          <w:color w:val="auto"/>
          <w:kern w:val="0"/>
          <w:sz w:val="24"/>
          <w:highlight w:val="none"/>
        </w:rPr>
      </w:pPr>
    </w:p>
    <w:p>
      <w:pPr>
        <w:tabs>
          <w:tab w:val="left" w:pos="5580"/>
        </w:tabs>
        <w:topLinePunct/>
        <w:adjustRightInd w:val="0"/>
        <w:snapToGrid w:val="0"/>
        <w:spacing w:line="360" w:lineRule="auto"/>
        <w:jc w:val="center"/>
        <w:rPr>
          <w:rFonts w:ascii="仿宋_GB2312" w:hAnsi="宋体" w:eastAsia="仿宋_GB2312"/>
          <w:color w:val="auto"/>
          <w:kern w:val="0"/>
          <w:sz w:val="24"/>
          <w:highlight w:val="none"/>
        </w:rPr>
      </w:pPr>
    </w:p>
    <w:p>
      <w:pPr>
        <w:tabs>
          <w:tab w:val="left" w:pos="5580"/>
        </w:tabs>
        <w:topLinePunct/>
        <w:adjustRightInd w:val="0"/>
        <w:snapToGrid w:val="0"/>
        <w:spacing w:line="360" w:lineRule="auto"/>
        <w:jc w:val="center"/>
        <w:rPr>
          <w:color w:val="auto"/>
          <w:highlight w:val="none"/>
        </w:rPr>
      </w:pPr>
      <w:r>
        <w:rPr>
          <w:rFonts w:hint="eastAsia" w:ascii="仿宋_GB2312" w:hAnsi="宋体" w:eastAsia="仿宋_GB2312"/>
          <w:color w:val="auto"/>
          <w:kern w:val="0"/>
          <w:sz w:val="24"/>
          <w:highlight w:val="none"/>
        </w:rPr>
        <w:t>（扫描件）</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制造商的资格声明</w:t>
      </w:r>
    </w:p>
    <w:p>
      <w:pPr>
        <w:topLinePunct/>
        <w:adjustRightInd w:val="0"/>
        <w:snapToGrid w:val="0"/>
        <w:spacing w:line="360" w:lineRule="auto"/>
        <w:jc w:val="left"/>
        <w:rPr>
          <w:rFonts w:ascii="宋体" w:hAnsi="宋体"/>
          <w:color w:val="auto"/>
          <w:kern w:val="0"/>
          <w:szCs w:val="21"/>
          <w:highlight w:val="none"/>
        </w:rPr>
      </w:pP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1、名称及概况：</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(1)制造厂家名称：</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(2)地址及邮编：</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(3)成立和注册日期：</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(4)主管部门：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(5)企业性质：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(6)法人代表：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(7)职员人数：</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一般工人：_________________ 技术人员：_____________________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(8)近期资产负债表（到_____________年____月_____日止）</w:t>
      </w:r>
    </w:p>
    <w:p>
      <w:pPr>
        <w:tabs>
          <w:tab w:val="left" w:pos="582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(1)固定资产：</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原值：____________________净值：_________________________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(2)流动资金：</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(3)长期负债：</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(4)短期负债：</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(5)资金来源</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自有资金：________________银行贷款：_____________________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(6)资金类型：</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生产资金：________________非生产资金：___________________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2、(1)关于制造投标货物的设施及其他情况：</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工厂名称地址      生产的项目      年生产能力         职工人数</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(2)本制造厂不生产，而须从其他制造厂购买的主要零部件</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制造厂家名称和地址</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主要零部件名称________________________________________</w:t>
      </w:r>
    </w:p>
    <w:p>
      <w:pPr>
        <w:tabs>
          <w:tab w:val="left" w:pos="5580"/>
        </w:tabs>
        <w:topLinePunct/>
        <w:adjustRightInd w:val="0"/>
        <w:snapToGrid w:val="0"/>
        <w:spacing w:line="360" w:lineRule="auto"/>
        <w:ind w:firstLine="2310" w:firstLineChars="11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3、制造厂家生产此投标货物的历史（年数）：</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4、近三年该货物主要销售给国内、外主要客户的名称地址：</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名称和地址                              销售项目和数量</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出口销售额：_______________________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5、近三年的年营业额：</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年份            国内            出口            总额</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6、易损件制造商的名称和地址：</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部件名称                          制造商</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7、有关开户银行的名称和地址：</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8、其他情况：</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兹证明上述声明是真实、正确的，并提供了全部能提供的资料和数据，我们同意遵照贵方要求出示有关证明文件。</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制造商：______________________________________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投标人授权代表的职务：________________________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电话号：________________  传真号：____________</w:t>
      </w:r>
    </w:p>
    <w:p>
      <w:pPr>
        <w:tabs>
          <w:tab w:val="left" w:pos="5580"/>
        </w:tabs>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日期：______________________________________</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经销商（作为代理）的资格声明</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1、名称及概况：</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(1)投标人名称：</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(2)地址及邮编：</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(3)成立和注册日期：</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(4)主管部门：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(5)公司性质：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(6)法人代表：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(7)职员人数：</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(8)近期资产负债表（到________年____月_____日止）</w:t>
      </w:r>
    </w:p>
    <w:p>
      <w:pPr>
        <w:tabs>
          <w:tab w:val="left" w:pos="582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(1)固定资产：</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原值：____________________净值：_________________________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(2)流动资金：</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(3)长期负债：</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(4)短期负债：</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(5)资金来源</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自有资金：________________银行贷款：_____________________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(6)资金类型：</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商业性：________________非商业性：___________________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2、最近三年的年度总营业额：</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年份          国内           出口           总额</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3、最近三年投标货物主要销售给国内及国外用户名称及地址：</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名称和地址                销售的项目和数量</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 出口销售：</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 国内销售：</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4、同意为投标人制造投标货物的制造厂并附有制造厂的资格声明：</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制造厂名称和地址          制造项目和数量</w:t>
      </w:r>
    </w:p>
    <w:p>
      <w:pPr>
        <w:tabs>
          <w:tab w:val="left" w:pos="360"/>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5、须由其他制造厂家供应和制造的部件（如果有的话）：</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制造厂名称和地址            制造项目</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6、最近三年中与各经销商成交的此种投标货物（如果有的话）：</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合同号：</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签字日期：</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产品名称：</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数量：</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合同金额：</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7、有关开户银行的名称和地址：</w:t>
      </w: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8、投标人认为需要声明的其他情况</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兹证明上述声明是真实、正确的，并提供了全部能提供的资料和数据，我们同意遵照贵方要求出示有关证明文件。</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投标人名称：___________________________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投标人授权代表的职务：________________________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电话号：________________  传真号：____________</w:t>
      </w:r>
    </w:p>
    <w:p>
      <w:pPr>
        <w:tabs>
          <w:tab w:val="left" w:pos="5580"/>
        </w:tabs>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日期：__________________________________</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制造商出具的授权函</w:t>
      </w:r>
    </w:p>
    <w:p>
      <w:pPr>
        <w:tabs>
          <w:tab w:val="left" w:pos="5580"/>
        </w:tabs>
        <w:topLinePunct/>
        <w:adjustRightInd w:val="0"/>
        <w:snapToGrid w:val="0"/>
        <w:spacing w:line="360" w:lineRule="auto"/>
        <w:jc w:val="left"/>
        <w:rPr>
          <w:rFonts w:ascii="宋体" w:hAnsi="宋体"/>
          <w:color w:val="auto"/>
          <w:kern w:val="0"/>
          <w:highlight w:val="none"/>
        </w:rPr>
      </w:pPr>
    </w:p>
    <w:p>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致：_____________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我们_____________________是按___________________法律成立的一家制造商，主要营业地点设在________________________。兹指派按___________________的法律正式成立的，主要营业地点设在_________________的_________________作为我方真正的合法的代理人进行下列有效的活动：</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(1)代表我方办理贵方_______________项目的投标要求提供的由我方制造的货物的有关事宜，并对我方具有约束力。</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(2)作为制造商，我方保证以投标合作者来约束自己，并对该投标共同和分别承担招标文件中所规定的义务。</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(3)我方兹授予_______________全权办理和履行上述我方为完成上述各点所必须的事宜，具有替换或撤销的全权。兹确认_________________或其正式授权代表依此合法地办理一切事宜。</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(4)我方于__________年____月____日签署本文件，____________________于______年____月____日接受此件，以此为证。</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制造商名称（公章）_________________   代理商名称（公章）____________________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签字人职务和部门：_________________   签字人职务和部门：____________________</w:t>
      </w:r>
    </w:p>
    <w:p>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签字人姓名：_______________________   签字人姓名：__________________________</w:t>
      </w:r>
    </w:p>
    <w:p>
      <w:pPr>
        <w:tabs>
          <w:tab w:val="left" w:pos="5580"/>
        </w:tabs>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签字人签名：_______________________   签字人签名：__________________________</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主要技术人员情况表</w:t>
      </w:r>
    </w:p>
    <w:p>
      <w:pPr>
        <w:tabs>
          <w:tab w:val="left" w:pos="1050"/>
        </w:tabs>
        <w:topLinePunct/>
        <w:adjustRightInd w:val="0"/>
        <w:snapToGrid w:val="0"/>
        <w:spacing w:line="360" w:lineRule="auto"/>
        <w:jc w:val="left"/>
        <w:rPr>
          <w:rFonts w:ascii="宋体" w:hAnsi="宋体"/>
          <w:color w:val="auto"/>
          <w:kern w:val="0"/>
          <w:szCs w:val="21"/>
          <w:highlight w:val="none"/>
        </w:rPr>
      </w:pPr>
    </w:p>
    <w:p>
      <w:pPr>
        <w:tabs>
          <w:tab w:val="left" w:pos="1050"/>
        </w:tabs>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14"/>
        <w:gridCol w:w="1486"/>
        <w:gridCol w:w="1301"/>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姓名</w:t>
            </w:r>
          </w:p>
        </w:tc>
        <w:tc>
          <w:tcPr>
            <w:tcW w:w="1486"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职务</w:t>
            </w:r>
          </w:p>
        </w:tc>
        <w:tc>
          <w:tcPr>
            <w:tcW w:w="1301"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职称</w:t>
            </w:r>
          </w:p>
        </w:tc>
        <w:tc>
          <w:tcPr>
            <w:tcW w:w="3901"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color w:val="auto"/>
          <w:kern w:val="0"/>
          <w:szCs w:val="24"/>
          <w:highlight w:val="none"/>
        </w:rPr>
      </w:pPr>
    </w:p>
    <w:p>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提示：项目主要参与人员主要指：项目负责人，项目技术负责人，项目主要设计生产技术人员、项目计划负责人和项目质量负责人、安装督导负责人等。</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相关项目的业绩表</w:t>
      </w:r>
    </w:p>
    <w:p>
      <w:pPr>
        <w:topLinePunct/>
        <w:adjustRightInd w:val="0"/>
        <w:snapToGrid w:val="0"/>
        <w:spacing w:line="360" w:lineRule="auto"/>
        <w:jc w:val="left"/>
        <w:rPr>
          <w:rFonts w:ascii="宋体" w:hAnsi="宋体"/>
          <w:color w:val="auto"/>
          <w:kern w:val="0"/>
          <w:highlight w:val="none"/>
        </w:rPr>
      </w:pPr>
    </w:p>
    <w:p>
      <w:pPr>
        <w:tabs>
          <w:tab w:val="left" w:pos="1050"/>
        </w:tabs>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962"/>
        <w:gridCol w:w="983"/>
        <w:gridCol w:w="983"/>
        <w:gridCol w:w="1372"/>
        <w:gridCol w:w="137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建设单位</w:t>
            </w:r>
          </w:p>
        </w:tc>
        <w:tc>
          <w:tcPr>
            <w:tcW w:w="1962"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项目名称</w:t>
            </w:r>
          </w:p>
        </w:tc>
        <w:tc>
          <w:tcPr>
            <w:tcW w:w="983"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w:t>
            </w:r>
          </w:p>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地点</w:t>
            </w:r>
          </w:p>
        </w:tc>
        <w:tc>
          <w:tcPr>
            <w:tcW w:w="983"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w:t>
            </w:r>
          </w:p>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规模</w:t>
            </w:r>
          </w:p>
        </w:tc>
        <w:tc>
          <w:tcPr>
            <w:tcW w:w="1372"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开竣工日期</w:t>
            </w:r>
          </w:p>
        </w:tc>
        <w:tc>
          <w:tcPr>
            <w:tcW w:w="1372"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合同价格（万元）</w:t>
            </w:r>
          </w:p>
        </w:tc>
        <w:tc>
          <w:tcPr>
            <w:tcW w:w="933"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提示：要求附项目证明材料扫描件（如合同扫描件、用户证明等）。</w:t>
      </w:r>
      <w:r>
        <w:rPr>
          <w:color w:val="auto"/>
          <w:highlight w:val="none"/>
        </w:rPr>
        <w:br w:type="page"/>
      </w:r>
    </w:p>
    <w:p>
      <w:pPr>
        <w:topLinePunct/>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其他</w:t>
      </w:r>
    </w:p>
    <w:p>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其他1</w:t>
      </w:r>
    </w:p>
    <w:p>
      <w:pPr>
        <w:topLinePunct/>
        <w:adjustRightInd w:val="0"/>
        <w:snapToGrid w:val="0"/>
        <w:spacing w:line="360" w:lineRule="auto"/>
        <w:jc w:val="left"/>
        <w:rPr>
          <w:color w:val="auto"/>
          <w:highlight w:val="none"/>
        </w:rPr>
      </w:pPr>
      <w:r>
        <w:rPr>
          <w:rFonts w:hint="eastAsia" w:ascii="宋体" w:hAnsi="宋体" w:eastAsia="宋体" w:cs="宋体"/>
          <w:color w:val="auto"/>
          <w:kern w:val="0"/>
          <w:highlight w:val="none"/>
        </w:rPr>
        <w:t>（投标人认为应补充提供的其他文件资料或说明）</w:t>
      </w:r>
      <w:r>
        <w:rPr>
          <w:color w:val="auto"/>
          <w:highlight w:val="none"/>
        </w:rPr>
        <w:br w:type="page"/>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C．技术标书封面</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_______________________工程</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pPr>
        <w:topLinePunct/>
        <w:adjustRightInd w:val="0"/>
        <w:snapToGrid w:val="0"/>
        <w:spacing w:line="360" w:lineRule="auto"/>
        <w:jc w:val="center"/>
        <w:rPr>
          <w:rFonts w:ascii="宋体" w:hAnsi="宋体" w:eastAsia="宋体" w:cs="宋体"/>
          <w:color w:val="auto"/>
          <w:kern w:val="0"/>
          <w:sz w:val="52"/>
          <w:szCs w:val="52"/>
          <w:highlight w:val="none"/>
        </w:rPr>
      </w:pPr>
    </w:p>
    <w:p>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54" w:name="_Toc29141"/>
      <w:bookmarkStart w:id="55" w:name="_Toc45702704"/>
      <w:r>
        <w:rPr>
          <w:rFonts w:hint="eastAsia" w:ascii="宋体" w:hAnsi="宋体" w:eastAsia="宋体" w:cs="宋体"/>
          <w:color w:val="auto"/>
          <w:kern w:val="0"/>
          <w:sz w:val="44"/>
          <w:szCs w:val="44"/>
          <w:highlight w:val="none"/>
        </w:rPr>
        <w:t>技术标书</w:t>
      </w:r>
      <w:bookmarkEnd w:id="54"/>
      <w:bookmarkEnd w:id="55"/>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投标人代表：____________________________</w:t>
      </w:r>
    </w:p>
    <w:p>
      <w:pPr>
        <w:topLinePunct/>
        <w:adjustRightInd w:val="0"/>
        <w:snapToGrid w:val="0"/>
        <w:spacing w:line="360" w:lineRule="auto"/>
        <w:ind w:firstLine="1400" w:firstLineChars="500"/>
        <w:jc w:val="left"/>
        <w:rPr>
          <w:color w:val="auto"/>
          <w:highlight w:val="none"/>
        </w:rPr>
      </w:pPr>
      <w:r>
        <w:rPr>
          <w:rFonts w:hint="eastAsia" w:ascii="宋体" w:hAnsi="宋体" w:eastAsia="宋体" w:cs="宋体"/>
          <w:color w:val="auto"/>
          <w:kern w:val="0"/>
          <w:sz w:val="28"/>
          <w:szCs w:val="28"/>
          <w:highlight w:val="none"/>
        </w:rPr>
        <w:t>日期：________年_____月_____日</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技术性能响应表</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3"/>
        <w:gridCol w:w="2008"/>
        <w:gridCol w:w="2008"/>
        <w:gridCol w:w="183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413"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项目编号</w:t>
            </w:r>
          </w:p>
        </w:tc>
        <w:tc>
          <w:tcPr>
            <w:tcW w:w="2008"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品名</w:t>
            </w:r>
          </w:p>
        </w:tc>
        <w:tc>
          <w:tcPr>
            <w:tcW w:w="2008"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招标规格</w:t>
            </w:r>
          </w:p>
        </w:tc>
        <w:tc>
          <w:tcPr>
            <w:tcW w:w="1839"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投标规格</w:t>
            </w:r>
          </w:p>
        </w:tc>
        <w:tc>
          <w:tcPr>
            <w:tcW w:w="1244"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shd w:val="clear" w:color="auto" w:fill="auto"/>
            <w:vAlign w:val="center"/>
          </w:tcPr>
          <w:p>
            <w:pPr>
              <w:topLinePunct/>
              <w:adjustRightInd w:val="0"/>
              <w:snapToGrid w:val="0"/>
              <w:spacing w:line="360" w:lineRule="auto"/>
              <w:ind w:firstLine="57"/>
              <w:jc w:val="center"/>
              <w:rPr>
                <w:rFonts w:ascii="宋体" w:hAnsi="宋体" w:eastAsia="宋体" w:cs="宋体"/>
                <w:color w:val="auto"/>
                <w:kern w:val="0"/>
                <w:szCs w:val="21"/>
                <w:highlight w:val="none"/>
              </w:rPr>
            </w:pPr>
            <w:bookmarkStart w:id="56" w:name="技术性能响应表" w:colFirst="0" w:colLast="0"/>
          </w:p>
        </w:tc>
        <w:tc>
          <w:tcPr>
            <w:tcW w:w="1413"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008"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2008"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1839"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c>
          <w:tcPr>
            <w:tcW w:w="1244" w:type="dxa"/>
            <w:shd w:val="clear" w:color="auto" w:fill="auto"/>
            <w:vAlign w:val="center"/>
          </w:tcPr>
          <w:p>
            <w:pPr>
              <w:topLinePunct/>
              <w:adjustRightInd w:val="0"/>
              <w:snapToGrid w:val="0"/>
              <w:spacing w:line="360" w:lineRule="auto"/>
              <w:rPr>
                <w:rFonts w:ascii="宋体" w:hAnsi="宋体" w:eastAsia="宋体" w:cs="宋体"/>
                <w:color w:val="auto"/>
                <w:kern w:val="0"/>
                <w:szCs w:val="21"/>
                <w:highlight w:val="none"/>
              </w:rPr>
            </w:pPr>
          </w:p>
        </w:tc>
      </w:tr>
      <w:bookmarkEnd w:id="56"/>
    </w:tbl>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只列出发生偏离的项目，没有列出的将被视为完全响应。</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货物说明一览表</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w:t>
      </w:r>
    </w:p>
    <w:tbl>
      <w:tblPr>
        <w:tblStyle w:val="8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97"/>
        <w:gridCol w:w="1991"/>
        <w:gridCol w:w="797"/>
        <w:gridCol w:w="997"/>
        <w:gridCol w:w="119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97"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991"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规格和型号</w:t>
            </w:r>
          </w:p>
        </w:tc>
        <w:tc>
          <w:tcPr>
            <w:tcW w:w="797"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997"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196"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尺寸</w:t>
            </w:r>
          </w:p>
        </w:tc>
        <w:tc>
          <w:tcPr>
            <w:tcW w:w="1393"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b/>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1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1.投标人应根据本招标文件“货物需求书”的供货范围要求，填制本表。</w:t>
      </w:r>
    </w:p>
    <w:p>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2.各项货物详细应另页描述。</w:t>
      </w:r>
      <w:r>
        <w:rPr>
          <w:rFonts w:hint="eastAsia" w:ascii="宋体" w:hAnsi="宋体" w:eastAsia="宋体" w:cs="宋体"/>
          <w:color w:val="auto"/>
          <w:szCs w:val="21"/>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技术方案</w:t>
      </w:r>
    </w:p>
    <w:p>
      <w:pPr>
        <w:topLinePunct/>
        <w:adjustRightInd w:val="0"/>
        <w:snapToGrid w:val="0"/>
        <w:spacing w:line="360" w:lineRule="auto"/>
        <w:jc w:val="center"/>
        <w:rPr>
          <w:color w:val="auto"/>
          <w:highlight w:val="none"/>
        </w:rPr>
      </w:pPr>
      <w:r>
        <w:rPr>
          <w:rFonts w:hint="eastAsia" w:ascii="宋体" w:hAnsi="宋体" w:eastAsia="宋体" w:cs="宋体"/>
          <w:color w:val="auto"/>
          <w:kern w:val="0"/>
          <w:highlight w:val="none"/>
        </w:rPr>
        <w:t>（投标人应根据招标文件要求做出项目的技术方案。）</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售后服务和培训方案</w:t>
      </w:r>
    </w:p>
    <w:p>
      <w:pPr>
        <w:topLinePunct/>
        <w:adjustRightInd w:val="0"/>
        <w:snapToGrid w:val="0"/>
        <w:spacing w:line="360" w:lineRule="auto"/>
        <w:ind w:firstLine="420" w:firstLineChars="200"/>
        <w:jc w:val="left"/>
        <w:rPr>
          <w:rFonts w:ascii="宋体" w:hAnsi="宋体" w:eastAsia="宋体" w:cs="宋体"/>
          <w:color w:val="auto"/>
          <w:kern w:val="0"/>
          <w:szCs w:val="24"/>
          <w:highlight w:val="none"/>
        </w:rPr>
      </w:pPr>
    </w:p>
    <w:p>
      <w:pPr>
        <w:topLinePunct/>
        <w:adjustRightInd w:val="0"/>
        <w:snapToGrid w:val="0"/>
        <w:spacing w:line="360" w:lineRule="auto"/>
        <w:ind w:firstLine="420" w:firstLineChars="200"/>
        <w:jc w:val="left"/>
        <w:rPr>
          <w:rFonts w:ascii="宋体" w:hAnsi="宋体" w:cs="宋体"/>
          <w:color w:val="auto"/>
          <w:kern w:val="0"/>
          <w:sz w:val="24"/>
          <w:szCs w:val="24"/>
          <w:highlight w:val="none"/>
        </w:rPr>
      </w:pPr>
      <w:r>
        <w:rPr>
          <w:rFonts w:hint="eastAsia" w:ascii="宋体" w:hAnsi="宋体" w:eastAsia="宋体" w:cs="宋体"/>
          <w:bCs/>
          <w:color w:val="auto"/>
          <w:kern w:val="0"/>
          <w:szCs w:val="24"/>
          <w:highlight w:val="none"/>
        </w:rPr>
        <w:t>（售后服务方案、计划及措施等。应包括安装工程维修、保修年限，服务响应时间培训计划等内容）</w:t>
      </w:r>
      <w:r>
        <w:rPr>
          <w:color w:val="auto"/>
          <w:highlight w:val="none"/>
        </w:rPr>
        <w:br w:type="page"/>
      </w:r>
    </w:p>
    <w:p>
      <w:pPr>
        <w:pStyle w:val="214"/>
        <w:widowControl w:val="0"/>
        <w:topLinePunct/>
        <w:adjustRightInd w:val="0"/>
        <w:snapToGrid w:val="0"/>
        <w:spacing w:before="0" w:beforeAutospacing="0" w:after="0" w:afterAutospacing="0" w:line="360" w:lineRule="auto"/>
        <w:jc w:val="center"/>
        <w:rPr>
          <w:b/>
          <w:color w:val="auto"/>
          <w:sz w:val="32"/>
          <w:szCs w:val="32"/>
          <w:highlight w:val="none"/>
        </w:rPr>
      </w:pPr>
      <w:r>
        <w:rPr>
          <w:rFonts w:hint="eastAsia"/>
          <w:b/>
          <w:color w:val="auto"/>
          <w:sz w:val="32"/>
          <w:szCs w:val="32"/>
          <w:highlight w:val="none"/>
        </w:rPr>
        <w:t>其他</w:t>
      </w:r>
    </w:p>
    <w:p>
      <w:pPr>
        <w:pStyle w:val="214"/>
        <w:widowControl w:val="0"/>
        <w:topLinePunct/>
        <w:adjustRightInd w:val="0"/>
        <w:snapToGrid w:val="0"/>
        <w:spacing w:before="0" w:beforeAutospacing="0" w:after="0" w:afterAutospacing="0" w:line="360" w:lineRule="auto"/>
        <w:rPr>
          <w:color w:val="auto"/>
          <w:sz w:val="21"/>
          <w:szCs w:val="21"/>
          <w:highlight w:val="none"/>
        </w:rPr>
      </w:pPr>
      <w:r>
        <w:rPr>
          <w:rFonts w:hint="eastAsia"/>
          <w:color w:val="auto"/>
          <w:sz w:val="21"/>
          <w:szCs w:val="21"/>
          <w:highlight w:val="none"/>
        </w:rPr>
        <w:t>其他2</w:t>
      </w:r>
    </w:p>
    <w:p>
      <w:pPr>
        <w:pStyle w:val="214"/>
        <w:widowControl w:val="0"/>
        <w:topLinePunct/>
        <w:adjustRightInd w:val="0"/>
        <w:snapToGrid w:val="0"/>
        <w:spacing w:before="0" w:beforeAutospacing="0" w:after="0" w:afterAutospacing="0" w:line="360" w:lineRule="auto"/>
        <w:rPr>
          <w:color w:val="auto"/>
          <w:highlight w:val="none"/>
        </w:rPr>
      </w:pPr>
      <w:r>
        <w:rPr>
          <w:rFonts w:hint="eastAsia"/>
          <w:color w:val="auto"/>
          <w:sz w:val="21"/>
          <w:szCs w:val="21"/>
          <w:highlight w:val="none"/>
        </w:rPr>
        <w:t>（投标人认为应补充提供的其他文件资料或说明）</w:t>
      </w:r>
      <w:r>
        <w:rPr>
          <w:color w:val="auto"/>
          <w:highlight w:val="none"/>
        </w:rPr>
        <w:br w:type="page"/>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D．商务标书封面</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_______________________工程</w:t>
      </w: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pPr>
        <w:topLinePunct/>
        <w:adjustRightInd w:val="0"/>
        <w:snapToGrid w:val="0"/>
        <w:spacing w:line="360" w:lineRule="auto"/>
        <w:jc w:val="center"/>
        <w:rPr>
          <w:rFonts w:ascii="宋体" w:hAnsi="宋体" w:eastAsia="宋体" w:cs="宋体"/>
          <w:color w:val="auto"/>
          <w:kern w:val="0"/>
          <w:sz w:val="52"/>
          <w:szCs w:val="52"/>
          <w:highlight w:val="none"/>
        </w:rPr>
      </w:pPr>
    </w:p>
    <w:p>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57" w:name="_Toc31879"/>
      <w:bookmarkStart w:id="58" w:name="_Toc45702705"/>
      <w:r>
        <w:rPr>
          <w:rFonts w:hint="eastAsia" w:ascii="宋体" w:hAnsi="宋体" w:eastAsia="宋体" w:cs="宋体"/>
          <w:color w:val="auto"/>
          <w:kern w:val="0"/>
          <w:sz w:val="44"/>
          <w:szCs w:val="44"/>
          <w:highlight w:val="none"/>
        </w:rPr>
        <w:t>商务标书</w:t>
      </w:r>
      <w:bookmarkEnd w:id="57"/>
      <w:bookmarkEnd w:id="58"/>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jc w:val="center"/>
        <w:rPr>
          <w:rFonts w:ascii="宋体" w:hAnsi="宋体" w:eastAsia="宋体" w:cs="宋体"/>
          <w:color w:val="auto"/>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投标人名称：____________________________</w:t>
      </w:r>
    </w:p>
    <w:p>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投标人代表：____________________________</w:t>
      </w:r>
    </w:p>
    <w:p>
      <w:pPr>
        <w:topLinePunct/>
        <w:adjustRightInd w:val="0"/>
        <w:snapToGrid w:val="0"/>
        <w:spacing w:line="360" w:lineRule="auto"/>
        <w:ind w:firstLine="1400" w:firstLineChars="500"/>
        <w:jc w:val="left"/>
        <w:rPr>
          <w:color w:val="auto"/>
          <w:highlight w:val="none"/>
        </w:rPr>
      </w:pPr>
      <w:r>
        <w:rPr>
          <w:rFonts w:hint="eastAsia" w:ascii="宋体" w:hAnsi="宋体" w:eastAsia="宋体" w:cs="宋体"/>
          <w:color w:val="auto"/>
          <w:kern w:val="0"/>
          <w:sz w:val="28"/>
          <w:szCs w:val="28"/>
          <w:highlight w:val="none"/>
        </w:rPr>
        <w:t>日期：__________年_____月_____日</w:t>
      </w:r>
      <w:r>
        <w:rPr>
          <w:rFonts w:hint="eastAsia"/>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投标报价一览表</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5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259"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3169"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投标价格</w:t>
            </w:r>
          </w:p>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25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w:t>
            </w:r>
          </w:p>
        </w:tc>
        <w:tc>
          <w:tcPr>
            <w:tcW w:w="31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25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备品备件</w:t>
            </w:r>
          </w:p>
        </w:tc>
        <w:tc>
          <w:tcPr>
            <w:tcW w:w="31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525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31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bl>
    <w:p>
      <w:pPr>
        <w:adjustRightInd w:val="0"/>
        <w:snapToGrid w:val="0"/>
        <w:spacing w:line="20" w:lineRule="exact"/>
        <w:rPr>
          <w:color w:val="auto"/>
          <w:highlight w:val="none"/>
        </w:rPr>
      </w:pP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投标分项报价表</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34"/>
        <w:gridCol w:w="1805"/>
        <w:gridCol w:w="899"/>
        <w:gridCol w:w="1072"/>
        <w:gridCol w:w="107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4"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34"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名 称</w:t>
            </w:r>
          </w:p>
        </w:tc>
        <w:tc>
          <w:tcPr>
            <w:tcW w:w="1805"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型号/规格</w:t>
            </w:r>
          </w:p>
        </w:tc>
        <w:tc>
          <w:tcPr>
            <w:tcW w:w="899"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72"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070"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单价</w:t>
            </w:r>
          </w:p>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(元)</w:t>
            </w:r>
          </w:p>
        </w:tc>
        <w:tc>
          <w:tcPr>
            <w:tcW w:w="1730"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主机和标准附件</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３</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４</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安装、调试、检验</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５</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６</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280" w:type="dxa"/>
            <w:gridSpan w:val="5"/>
            <w:vAlign w:val="center"/>
          </w:tcPr>
          <w:p>
            <w:pPr>
              <w:jc w:val="left"/>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24" w:type="dxa"/>
            <w:gridSpan w:val="6"/>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    计</w:t>
            </w:r>
          </w:p>
        </w:tc>
        <w:tc>
          <w:tcPr>
            <w:tcW w:w="1730" w:type="dxa"/>
            <w:vAlign w:val="center"/>
          </w:tcPr>
          <w:p>
            <w:pPr>
              <w:jc w:val="center"/>
              <w:rPr>
                <w:rFonts w:ascii="宋体" w:hAnsi="宋体" w:eastAsia="宋体" w:cs="宋体"/>
                <w:color w:val="auto"/>
                <w:szCs w:val="21"/>
                <w:highlight w:val="none"/>
              </w:rPr>
            </w:pPr>
          </w:p>
        </w:tc>
      </w:tr>
    </w:tbl>
    <w:p>
      <w:pPr>
        <w:topLinePunct/>
        <w:adjustRightInd w:val="0"/>
        <w:snapToGrid w:val="0"/>
        <w:spacing w:line="360" w:lineRule="auto"/>
        <w:jc w:val="left"/>
        <w:rPr>
          <w:rFonts w:ascii="楷体_GB2312" w:hAnsi="楷体_GB2312" w:eastAsia="楷体_GB2312" w:cs="楷体_GB2312"/>
          <w:color w:val="auto"/>
          <w:kern w:val="0"/>
          <w:szCs w:val="21"/>
          <w:highlight w:val="none"/>
        </w:rPr>
      </w:pPr>
    </w:p>
    <w:p>
      <w:pPr>
        <w:topLinePunct/>
        <w:adjustRightInd w:val="0"/>
        <w:snapToGrid w:val="0"/>
        <w:spacing w:line="360" w:lineRule="auto"/>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1、报价采用人民币报价。如果总价与单价不符，以单价为准，调整总价；表中的同种货物数量应与“技术规格及要求”中对应货物清单一致。</w:t>
      </w:r>
    </w:p>
    <w:p>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2、投标单价均为综合单价，应包括机组货物制造、检验、验收等等，以及运至合同指定地点的运输、装卸、利润、风险和保险等一切费、税。</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货物说明一览表</w:t>
      </w:r>
    </w:p>
    <w:p>
      <w:pPr>
        <w:topLinePunct/>
        <w:adjustRightInd w:val="0"/>
        <w:snapToGrid w:val="0"/>
        <w:spacing w:line="360" w:lineRule="auto"/>
        <w:jc w:val="left"/>
        <w:rPr>
          <w:rFonts w:ascii="宋体" w:hAnsi="宋体"/>
          <w:color w:val="auto"/>
          <w:kern w:val="0"/>
          <w:highlight w:val="none"/>
        </w:rPr>
      </w:pP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69"/>
        <w:gridCol w:w="1669"/>
        <w:gridCol w:w="986"/>
        <w:gridCol w:w="1326"/>
        <w:gridCol w:w="166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69"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1669"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主要规格</w:t>
            </w:r>
          </w:p>
        </w:tc>
        <w:tc>
          <w:tcPr>
            <w:tcW w:w="986"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326"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交货期</w:t>
            </w:r>
          </w:p>
        </w:tc>
        <w:tc>
          <w:tcPr>
            <w:tcW w:w="1669"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交货地点</w:t>
            </w:r>
          </w:p>
        </w:tc>
        <w:tc>
          <w:tcPr>
            <w:tcW w:w="985" w:type="dxa"/>
            <w:shd w:val="clear" w:color="auto" w:fill="auto"/>
            <w:vAlign w:val="center"/>
          </w:tcPr>
          <w:p>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color w:val="auto"/>
                <w:kern w:val="0"/>
                <w:szCs w:val="21"/>
                <w:highlight w:val="none"/>
              </w:rPr>
            </w:pPr>
          </w:p>
        </w:tc>
      </w:tr>
    </w:tbl>
    <w:p>
      <w:pPr>
        <w:topLinePunct/>
        <w:adjustRightInd w:val="0"/>
        <w:snapToGrid w:val="0"/>
        <w:spacing w:line="360" w:lineRule="auto"/>
        <w:jc w:val="left"/>
        <w:rPr>
          <w:rFonts w:ascii="宋体" w:hAnsi="宋体" w:eastAsia="宋体" w:cs="宋体"/>
          <w:color w:val="auto"/>
          <w:kern w:val="0"/>
          <w:szCs w:val="21"/>
          <w:highlight w:val="none"/>
        </w:rPr>
      </w:pPr>
    </w:p>
    <w:p>
      <w:pPr>
        <w:topLinePunct/>
        <w:adjustRightInd w:val="0"/>
        <w:snapToGrid w:val="0"/>
        <w:spacing w:line="360" w:lineRule="auto"/>
        <w:jc w:val="left"/>
        <w:rPr>
          <w:color w:val="auto"/>
          <w:highlight w:val="none"/>
        </w:rPr>
      </w:pPr>
      <w:r>
        <w:rPr>
          <w:rFonts w:hint="eastAsia" w:ascii="楷体_GB2312" w:hAnsi="楷体_GB2312" w:eastAsia="楷体_GB2312" w:cs="楷体_GB2312"/>
          <w:color w:val="auto"/>
          <w:kern w:val="0"/>
          <w:szCs w:val="21"/>
          <w:highlight w:val="none"/>
        </w:rPr>
        <w:t>重要提示：各项货物详细应另页描述。</w:t>
      </w:r>
      <w:r>
        <w:rPr>
          <w:color w:val="auto"/>
          <w:highlight w:val="none"/>
        </w:rPr>
        <w:br w:type="page"/>
      </w:r>
    </w:p>
    <w:p>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合同条款响应表</w:t>
      </w: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5"/>
        <w:gridCol w:w="2396"/>
        <w:gridCol w:w="224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305" w:type="dxa"/>
            <w:shd w:val="clear" w:color="auto" w:fill="auto"/>
            <w:vAlign w:val="center"/>
          </w:tcPr>
          <w:p>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396" w:type="dxa"/>
            <w:shd w:val="clear" w:color="auto" w:fill="auto"/>
            <w:vAlign w:val="center"/>
          </w:tcPr>
          <w:p>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招标文件合同条款</w:t>
            </w:r>
          </w:p>
        </w:tc>
        <w:tc>
          <w:tcPr>
            <w:tcW w:w="2244" w:type="dxa"/>
            <w:shd w:val="clear" w:color="auto" w:fill="auto"/>
            <w:vAlign w:val="center"/>
          </w:tcPr>
          <w:p>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投标文件合同条款</w:t>
            </w:r>
          </w:p>
        </w:tc>
        <w:tc>
          <w:tcPr>
            <w:tcW w:w="1571" w:type="dxa"/>
            <w:shd w:val="clear" w:color="auto" w:fill="auto"/>
            <w:vAlign w:val="center"/>
          </w:tcPr>
          <w:p>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bookmarkStart w:id="59" w:name="合同条款响应表" w:colFirst="0" w:colLast="0"/>
          </w:p>
        </w:tc>
        <w:tc>
          <w:tcPr>
            <w:tcW w:w="2305"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396"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2244"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c>
          <w:tcPr>
            <w:tcW w:w="1571" w:type="dxa"/>
            <w:shd w:val="clear" w:color="auto" w:fill="auto"/>
            <w:vAlign w:val="center"/>
          </w:tcPr>
          <w:p>
            <w:pPr>
              <w:topLinePunct/>
              <w:adjustRightInd w:val="0"/>
              <w:snapToGrid w:val="0"/>
              <w:spacing w:line="360" w:lineRule="auto"/>
              <w:jc w:val="center"/>
              <w:rPr>
                <w:rFonts w:ascii="宋体" w:hAnsi="宋体" w:eastAsia="宋体" w:cs="宋体"/>
                <w:color w:val="auto"/>
                <w:kern w:val="0"/>
                <w:szCs w:val="21"/>
                <w:highlight w:val="none"/>
              </w:rPr>
            </w:pPr>
          </w:p>
        </w:tc>
      </w:tr>
      <w:bookmarkEnd w:id="59"/>
    </w:tbl>
    <w:p>
      <w:pPr>
        <w:topLinePunct/>
        <w:adjustRightInd w:val="0"/>
        <w:snapToGrid w:val="0"/>
        <w:spacing w:line="360" w:lineRule="auto"/>
        <w:jc w:val="left"/>
        <w:rPr>
          <w:rFonts w:ascii="楷体_GB2312" w:hAnsi="楷体_GB2312" w:eastAsia="楷体_GB2312" w:cs="楷体_GB2312"/>
          <w:color w:val="auto"/>
          <w:kern w:val="0"/>
          <w:szCs w:val="21"/>
          <w:highlight w:val="none"/>
        </w:rPr>
      </w:pPr>
    </w:p>
    <w:p>
      <w:pPr>
        <w:topLinePunct/>
        <w:adjustRightInd w:val="0"/>
        <w:snapToGrid w:val="0"/>
        <w:spacing w:line="360" w:lineRule="auto"/>
        <w:jc w:val="left"/>
        <w:rPr>
          <w:rFonts w:ascii="宋体" w:hAnsi="宋体"/>
          <w:color w:val="auto"/>
          <w:kern w:val="0"/>
          <w:szCs w:val="21"/>
          <w:highlight w:val="none"/>
        </w:rPr>
      </w:pPr>
      <w:r>
        <w:rPr>
          <w:rFonts w:hint="eastAsia" w:ascii="楷体_GB2312" w:hAnsi="楷体_GB2312" w:eastAsia="楷体_GB2312" w:cs="楷体_GB2312"/>
          <w:color w:val="auto"/>
          <w:kern w:val="0"/>
          <w:szCs w:val="21"/>
          <w:highlight w:val="none"/>
        </w:rPr>
        <w:t>重要提示：只列出发生偏离的项目，没有列出的将被视为完全响应。</w:t>
      </w:r>
      <w:r>
        <w:rPr>
          <w:rFonts w:ascii="宋体" w:hAnsi="宋体"/>
          <w:color w:val="auto"/>
          <w:kern w:val="0"/>
          <w:szCs w:val="21"/>
          <w:highlight w:val="none"/>
        </w:rPr>
        <w:br w:type="page"/>
      </w:r>
    </w:p>
    <w:p>
      <w:pPr>
        <w:pStyle w:val="214"/>
        <w:widowControl w:val="0"/>
        <w:topLinePunct/>
        <w:adjustRightInd w:val="0"/>
        <w:snapToGrid w:val="0"/>
        <w:spacing w:before="0" w:beforeAutospacing="0" w:after="0" w:afterAutospacing="0" w:line="360" w:lineRule="auto"/>
        <w:jc w:val="center"/>
        <w:rPr>
          <w:b/>
          <w:color w:val="auto"/>
          <w:sz w:val="32"/>
          <w:szCs w:val="32"/>
          <w:highlight w:val="none"/>
        </w:rPr>
      </w:pPr>
      <w:r>
        <w:rPr>
          <w:rFonts w:hint="eastAsia"/>
          <w:b/>
          <w:color w:val="auto"/>
          <w:sz w:val="32"/>
          <w:szCs w:val="32"/>
          <w:highlight w:val="none"/>
        </w:rPr>
        <w:t>其他</w:t>
      </w:r>
    </w:p>
    <w:p>
      <w:pPr>
        <w:pStyle w:val="214"/>
        <w:widowControl w:val="0"/>
        <w:topLinePunct/>
        <w:adjustRightInd w:val="0"/>
        <w:snapToGrid w:val="0"/>
        <w:spacing w:before="0" w:beforeAutospacing="0" w:after="0" w:afterAutospacing="0" w:line="360" w:lineRule="auto"/>
        <w:rPr>
          <w:color w:val="auto"/>
          <w:sz w:val="21"/>
          <w:szCs w:val="21"/>
          <w:highlight w:val="none"/>
        </w:rPr>
      </w:pPr>
      <w:r>
        <w:rPr>
          <w:rFonts w:hint="eastAsia"/>
          <w:color w:val="auto"/>
          <w:sz w:val="21"/>
          <w:szCs w:val="21"/>
          <w:highlight w:val="none"/>
        </w:rPr>
        <w:t>其他3</w:t>
      </w:r>
    </w:p>
    <w:p>
      <w:pPr>
        <w:widowControl/>
        <w:jc w:val="left"/>
        <w:rPr>
          <w:rFonts w:ascii="宋体" w:hAnsi="宋体" w:cs="宋体"/>
          <w:color w:val="auto"/>
          <w:kern w:val="0"/>
          <w:sz w:val="24"/>
          <w:szCs w:val="24"/>
          <w:highlight w:val="none"/>
        </w:rPr>
      </w:pPr>
      <w:r>
        <w:rPr>
          <w:rFonts w:hint="eastAsia" w:ascii="宋体" w:hAnsi="宋体" w:eastAsia="宋体" w:cs="宋体"/>
          <w:color w:val="auto"/>
          <w:szCs w:val="21"/>
          <w:highlight w:val="none"/>
        </w:rPr>
        <w:t>（投标人认为应补充提供的其他文件资料或说明）</w:t>
      </w:r>
      <w:r>
        <w:rPr>
          <w:color w:val="auto"/>
          <w:highlight w:val="none"/>
        </w:rPr>
        <w:br w:type="page"/>
      </w:r>
    </w:p>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E ．业绩文件封面</w:t>
      </w: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u w:val="single"/>
        </w:rPr>
        <w:t>________________________</w:t>
      </w:r>
      <w:r>
        <w:rPr>
          <w:rFonts w:hint="eastAsia" w:ascii="宋体" w:hAnsi="宋体" w:eastAsia="宋体" w:cs="宋体"/>
          <w:color w:val="auto"/>
          <w:kern w:val="0"/>
          <w:sz w:val="44"/>
          <w:szCs w:val="44"/>
          <w:highlight w:val="none"/>
        </w:rPr>
        <w:t>工程</w:t>
      </w: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pPr>
        <w:jc w:val="center"/>
        <w:rPr>
          <w:rFonts w:ascii="宋体" w:hAnsi="宋体" w:eastAsia="宋体" w:cs="宋体"/>
          <w:color w:val="auto"/>
          <w:kern w:val="0"/>
          <w:sz w:val="52"/>
          <w:szCs w:val="52"/>
          <w:highlight w:val="none"/>
        </w:rPr>
      </w:pPr>
    </w:p>
    <w:p>
      <w:pPr>
        <w:jc w:val="center"/>
        <w:rPr>
          <w:rFonts w:ascii="宋体" w:hAnsi="宋体" w:eastAsia="宋体" w:cs="宋体"/>
          <w:color w:val="auto"/>
          <w:kern w:val="0"/>
          <w:sz w:val="44"/>
          <w:szCs w:val="44"/>
          <w:highlight w:val="none"/>
        </w:rPr>
      </w:pPr>
    </w:p>
    <w:p>
      <w:pPr>
        <w:jc w:val="center"/>
        <w:outlineLvl w:val="1"/>
        <w:rPr>
          <w:rFonts w:ascii="宋体" w:hAnsi="宋体" w:eastAsia="宋体" w:cs="宋体"/>
          <w:color w:val="auto"/>
          <w:kern w:val="0"/>
          <w:sz w:val="44"/>
          <w:szCs w:val="44"/>
          <w:highlight w:val="none"/>
        </w:rPr>
      </w:pPr>
      <w:bookmarkStart w:id="60" w:name="_Toc26545"/>
      <w:bookmarkStart w:id="61" w:name="_Toc45702706"/>
      <w:r>
        <w:rPr>
          <w:rFonts w:hint="eastAsia" w:ascii="宋体" w:hAnsi="宋体" w:eastAsia="宋体" w:cs="宋体"/>
          <w:color w:val="auto"/>
          <w:kern w:val="0"/>
          <w:sz w:val="44"/>
          <w:szCs w:val="44"/>
          <w:highlight w:val="none"/>
        </w:rPr>
        <w:t>业绩文件</w:t>
      </w:r>
      <w:bookmarkEnd w:id="60"/>
      <w:bookmarkEnd w:id="61"/>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w:t>
      </w: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w:t>
      </w: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w:t>
      </w: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投标日期：____________年_____月______日</w:t>
      </w:r>
    </w:p>
    <w:p>
      <w:pPr>
        <w:widowControl/>
        <w:jc w:val="left"/>
        <w:rPr>
          <w:rFonts w:eastAsia="黑体"/>
          <w:color w:val="auto"/>
          <w:kern w:val="0"/>
          <w:sz w:val="28"/>
          <w:szCs w:val="28"/>
          <w:highlight w:val="none"/>
        </w:rPr>
      </w:pPr>
      <w:r>
        <w:rPr>
          <w:rFonts w:eastAsia="黑体"/>
          <w:color w:val="auto"/>
          <w:kern w:val="0"/>
          <w:sz w:val="28"/>
          <w:szCs w:val="28"/>
          <w:highlight w:val="none"/>
        </w:rPr>
        <w:br w:type="page"/>
      </w:r>
    </w:p>
    <w:p>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业绩清单一览表</w:t>
      </w:r>
    </w:p>
    <w:p>
      <w:pPr>
        <w:spacing w:after="156" w:afterLines="50" w:line="5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105"/>
        <w:gridCol w:w="936"/>
        <w:gridCol w:w="1250"/>
        <w:gridCol w:w="140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105"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工程名称</w:t>
            </w:r>
          </w:p>
        </w:tc>
        <w:tc>
          <w:tcPr>
            <w:tcW w:w="936" w:type="dxa"/>
            <w:shd w:val="clear" w:color="auto" w:fill="auto"/>
            <w:vAlign w:val="center"/>
          </w:tcPr>
          <w:p>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建设地点</w:t>
            </w:r>
          </w:p>
        </w:tc>
        <w:tc>
          <w:tcPr>
            <w:tcW w:w="1250" w:type="dxa"/>
            <w:shd w:val="clear" w:color="auto" w:fill="auto"/>
            <w:vAlign w:val="center"/>
          </w:tcPr>
          <w:p>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供货时间</w:t>
            </w:r>
          </w:p>
        </w:tc>
        <w:tc>
          <w:tcPr>
            <w:tcW w:w="1406" w:type="dxa"/>
            <w:shd w:val="clear" w:color="auto" w:fill="auto"/>
            <w:vAlign w:val="center"/>
          </w:tcPr>
          <w:p>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合同价格</w:t>
            </w:r>
          </w:p>
          <w:p>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894"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10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10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10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color w:val="auto"/>
                <w:kern w:val="0"/>
                <w:szCs w:val="21"/>
                <w:highlight w:val="none"/>
              </w:rPr>
            </w:pPr>
          </w:p>
        </w:tc>
        <w:tc>
          <w:tcPr>
            <w:tcW w:w="410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10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color w:val="auto"/>
                <w:kern w:val="0"/>
                <w:szCs w:val="21"/>
                <w:highlight w:val="none"/>
              </w:rPr>
            </w:pPr>
          </w:p>
        </w:tc>
        <w:tc>
          <w:tcPr>
            <w:tcW w:w="410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pPr>
              <w:spacing w:line="360" w:lineRule="auto"/>
              <w:jc w:val="left"/>
              <w:rPr>
                <w:rFonts w:ascii="宋体" w:hAnsi="宋体" w:eastAsia="宋体" w:cs="宋体"/>
                <w:color w:val="auto"/>
                <w:kern w:val="0"/>
                <w:szCs w:val="21"/>
                <w:highlight w:val="none"/>
              </w:rPr>
            </w:pPr>
          </w:p>
        </w:tc>
      </w:tr>
    </w:tbl>
    <w:p>
      <w:pPr>
        <w:widowControl/>
        <w:jc w:val="left"/>
        <w:rPr>
          <w:color w:val="auto"/>
          <w:highlight w:val="none"/>
        </w:rPr>
      </w:pPr>
      <w:r>
        <w:rPr>
          <w:color w:val="auto"/>
          <w:highlight w:val="none"/>
        </w:rPr>
        <w:br w:type="page"/>
      </w:r>
    </w:p>
    <w:p>
      <w:pPr>
        <w:spacing w:line="480" w:lineRule="auto"/>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业绩证明文件</w:t>
      </w:r>
    </w:p>
    <w:p>
      <w:pPr>
        <w:widowControl/>
        <w:jc w:val="left"/>
        <w:rPr>
          <w:rFonts w:ascii="仿宋_GB2312" w:eastAsia="仿宋_GB2312"/>
          <w:color w:val="auto"/>
          <w:kern w:val="0"/>
          <w:sz w:val="24"/>
          <w:szCs w:val="24"/>
          <w:highlight w:val="none"/>
        </w:rPr>
      </w:pPr>
      <w:r>
        <w:rPr>
          <w:rFonts w:ascii="仿宋_GB2312" w:eastAsia="仿宋_GB2312"/>
          <w:color w:val="auto"/>
          <w:kern w:val="0"/>
          <w:sz w:val="24"/>
          <w:szCs w:val="24"/>
          <w:highlight w:val="none"/>
        </w:rPr>
        <w:br w:type="page"/>
      </w:r>
    </w:p>
    <w:p>
      <w:pPr>
        <w:jc w:val="left"/>
        <w:rPr>
          <w:rFonts w:ascii="宋体" w:hAnsi="宋体" w:eastAsia="宋体" w:cs="宋体"/>
          <w:color w:val="auto"/>
          <w:kern w:val="0"/>
          <w:sz w:val="44"/>
          <w:szCs w:val="44"/>
          <w:highlight w:val="none"/>
        </w:rPr>
      </w:pPr>
      <w:r>
        <w:rPr>
          <w:rFonts w:hint="eastAsia" w:ascii="宋体" w:hAnsi="宋体" w:eastAsia="宋体" w:cs="宋体"/>
          <w:color w:val="auto"/>
          <w:kern w:val="0"/>
          <w:sz w:val="24"/>
          <w:szCs w:val="24"/>
          <w:highlight w:val="none"/>
        </w:rPr>
        <w:t>F</w:t>
      </w:r>
      <w:r>
        <w:rPr>
          <w:rFonts w:hint="eastAsia" w:ascii="宋体" w:hAnsi="宋体" w:eastAsia="宋体" w:cs="宋体"/>
          <w:color w:val="auto"/>
          <w:kern w:val="0"/>
          <w:szCs w:val="21"/>
          <w:highlight w:val="none"/>
        </w:rPr>
        <w:t xml:space="preserve"> ．二次报价文件封面</w:t>
      </w: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u w:val="single"/>
        </w:rPr>
        <w:t>_______________________</w:t>
      </w:r>
      <w:r>
        <w:rPr>
          <w:rFonts w:hint="eastAsia" w:ascii="宋体" w:hAnsi="宋体" w:eastAsia="宋体" w:cs="宋体"/>
          <w:color w:val="auto"/>
          <w:kern w:val="0"/>
          <w:sz w:val="44"/>
          <w:szCs w:val="44"/>
          <w:highlight w:val="none"/>
        </w:rPr>
        <w:t>工程</w:t>
      </w: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pPr>
        <w:jc w:val="center"/>
        <w:rPr>
          <w:rFonts w:ascii="宋体" w:hAnsi="宋体" w:eastAsia="宋体" w:cs="宋体"/>
          <w:color w:val="auto"/>
          <w:kern w:val="0"/>
          <w:sz w:val="52"/>
          <w:szCs w:val="52"/>
          <w:highlight w:val="none"/>
        </w:rPr>
      </w:pPr>
    </w:p>
    <w:p>
      <w:pPr>
        <w:jc w:val="center"/>
        <w:rPr>
          <w:rFonts w:ascii="宋体" w:hAnsi="宋体" w:eastAsia="宋体" w:cs="宋体"/>
          <w:color w:val="auto"/>
          <w:kern w:val="0"/>
          <w:sz w:val="44"/>
          <w:szCs w:val="44"/>
          <w:highlight w:val="none"/>
        </w:rPr>
      </w:pPr>
    </w:p>
    <w:p>
      <w:pPr>
        <w:jc w:val="center"/>
        <w:outlineLvl w:val="1"/>
        <w:rPr>
          <w:rFonts w:ascii="宋体" w:hAnsi="宋体" w:eastAsia="宋体" w:cs="宋体"/>
          <w:color w:val="auto"/>
          <w:kern w:val="0"/>
          <w:sz w:val="44"/>
          <w:szCs w:val="44"/>
          <w:highlight w:val="none"/>
        </w:rPr>
      </w:pPr>
      <w:bookmarkStart w:id="62" w:name="_Toc23903"/>
      <w:bookmarkStart w:id="63" w:name="_Toc45702707"/>
      <w:r>
        <w:rPr>
          <w:rFonts w:hint="eastAsia" w:ascii="宋体" w:hAnsi="宋体" w:eastAsia="宋体" w:cs="宋体"/>
          <w:color w:val="auto"/>
          <w:kern w:val="0"/>
          <w:sz w:val="44"/>
          <w:szCs w:val="44"/>
          <w:highlight w:val="none"/>
        </w:rPr>
        <w:t>二次报价文件</w:t>
      </w:r>
      <w:bookmarkEnd w:id="62"/>
      <w:bookmarkEnd w:id="63"/>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jc w:val="center"/>
        <w:rPr>
          <w:rFonts w:ascii="宋体" w:hAnsi="宋体" w:eastAsia="宋体" w:cs="宋体"/>
          <w:color w:val="auto"/>
          <w:kern w:val="0"/>
          <w:sz w:val="44"/>
          <w:szCs w:val="44"/>
          <w:highlight w:val="none"/>
        </w:rPr>
      </w:pP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项目编号：______________________________</w:t>
      </w: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投标人名称：____________________________</w:t>
      </w:r>
    </w:p>
    <w:p>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投标人代表：____________________________</w:t>
      </w:r>
    </w:p>
    <w:p>
      <w:pPr>
        <w:spacing w:line="480" w:lineRule="auto"/>
        <w:ind w:firstLine="1400" w:firstLineChars="500"/>
        <w:jc w:val="left"/>
        <w:rPr>
          <w:rFonts w:eastAsia="黑体"/>
          <w:color w:val="auto"/>
          <w:kern w:val="0"/>
          <w:sz w:val="28"/>
          <w:szCs w:val="28"/>
          <w:highlight w:val="none"/>
        </w:rPr>
      </w:pPr>
      <w:r>
        <w:rPr>
          <w:rFonts w:hint="eastAsia" w:ascii="宋体" w:hAnsi="宋体" w:eastAsia="宋体" w:cs="宋体"/>
          <w:color w:val="auto"/>
          <w:kern w:val="0"/>
          <w:sz w:val="28"/>
          <w:szCs w:val="28"/>
          <w:highlight w:val="none"/>
        </w:rPr>
        <w:t>日期：______________年_____月_____日</w:t>
      </w:r>
    </w:p>
    <w:p>
      <w:pPr>
        <w:rPr>
          <w:color w:val="auto"/>
          <w:highlight w:val="none"/>
        </w:rPr>
      </w:pPr>
      <w:r>
        <w:rPr>
          <w:rFonts w:hint="eastAsia"/>
          <w:color w:val="auto"/>
          <w:highlight w:val="none"/>
        </w:rPr>
        <w:br w:type="page"/>
      </w:r>
    </w:p>
    <w:p>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投标报价一览表</w:t>
      </w:r>
    </w:p>
    <w:p>
      <w:pPr>
        <w:spacing w:after="156" w:afterLines="50" w:line="5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5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259"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3169"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投标价格</w:t>
            </w:r>
          </w:p>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259" w:type="dxa"/>
            <w:shd w:val="clear" w:color="auto" w:fill="auto"/>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w:t>
            </w:r>
          </w:p>
        </w:tc>
        <w:tc>
          <w:tcPr>
            <w:tcW w:w="3169"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259" w:type="dxa"/>
            <w:shd w:val="clear" w:color="auto" w:fill="auto"/>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备品备件</w:t>
            </w:r>
          </w:p>
        </w:tc>
        <w:tc>
          <w:tcPr>
            <w:tcW w:w="3169"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5259" w:type="dxa"/>
            <w:shd w:val="clear" w:color="auto" w:fill="auto"/>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3169" w:type="dxa"/>
            <w:shd w:val="clear" w:color="auto" w:fill="auto"/>
            <w:vAlign w:val="center"/>
          </w:tcPr>
          <w:p>
            <w:pPr>
              <w:spacing w:line="360" w:lineRule="auto"/>
              <w:jc w:val="left"/>
              <w:rPr>
                <w:rFonts w:ascii="宋体" w:hAnsi="宋体" w:eastAsia="宋体" w:cs="宋体"/>
                <w:color w:val="auto"/>
                <w:kern w:val="0"/>
                <w:szCs w:val="21"/>
                <w:highlight w:val="none"/>
              </w:rPr>
            </w:pPr>
          </w:p>
        </w:tc>
      </w:tr>
    </w:tbl>
    <w:p>
      <w:pPr>
        <w:rPr>
          <w:color w:val="auto"/>
          <w:highlight w:val="none"/>
        </w:rPr>
      </w:pPr>
      <w:r>
        <w:rPr>
          <w:color w:val="auto"/>
          <w:highlight w:val="none"/>
        </w:rPr>
        <w:br w:type="page"/>
      </w:r>
    </w:p>
    <w:p>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投标分项报价表</w:t>
      </w:r>
    </w:p>
    <w:p>
      <w:pPr>
        <w:spacing w:after="156" w:afterLines="50" w:line="5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34"/>
        <w:gridCol w:w="1805"/>
        <w:gridCol w:w="899"/>
        <w:gridCol w:w="1072"/>
        <w:gridCol w:w="107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4"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34"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名 称</w:t>
            </w:r>
          </w:p>
        </w:tc>
        <w:tc>
          <w:tcPr>
            <w:tcW w:w="1805"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型号/规格</w:t>
            </w:r>
          </w:p>
        </w:tc>
        <w:tc>
          <w:tcPr>
            <w:tcW w:w="899"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72"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070"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单价</w:t>
            </w:r>
          </w:p>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(元)</w:t>
            </w:r>
          </w:p>
        </w:tc>
        <w:tc>
          <w:tcPr>
            <w:tcW w:w="1730"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主机和标准附件</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３</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４</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安装、调试、检验</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５</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６</w:t>
            </w:r>
          </w:p>
        </w:tc>
        <w:tc>
          <w:tcPr>
            <w:tcW w:w="2434"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pPr>
              <w:jc w:val="center"/>
              <w:rPr>
                <w:rFonts w:ascii="宋体" w:hAnsi="宋体" w:eastAsia="宋体" w:cs="宋体"/>
                <w:color w:val="auto"/>
                <w:szCs w:val="21"/>
                <w:highlight w:val="none"/>
              </w:rPr>
            </w:pPr>
          </w:p>
        </w:tc>
        <w:tc>
          <w:tcPr>
            <w:tcW w:w="899" w:type="dxa"/>
            <w:vAlign w:val="center"/>
          </w:tcPr>
          <w:p>
            <w:pPr>
              <w:jc w:val="center"/>
              <w:rPr>
                <w:rFonts w:ascii="宋体" w:hAnsi="宋体" w:eastAsia="宋体" w:cs="宋体"/>
                <w:color w:val="auto"/>
                <w:szCs w:val="21"/>
                <w:highlight w:val="none"/>
              </w:rPr>
            </w:pPr>
          </w:p>
        </w:tc>
        <w:tc>
          <w:tcPr>
            <w:tcW w:w="1072" w:type="dxa"/>
            <w:vAlign w:val="center"/>
          </w:tcPr>
          <w:p>
            <w:pPr>
              <w:jc w:val="center"/>
              <w:rPr>
                <w:rFonts w:ascii="宋体" w:hAnsi="宋体" w:eastAsia="宋体" w:cs="宋体"/>
                <w:color w:val="auto"/>
                <w:szCs w:val="21"/>
                <w:highlight w:val="none"/>
              </w:rPr>
            </w:pPr>
          </w:p>
        </w:tc>
        <w:tc>
          <w:tcPr>
            <w:tcW w:w="1070" w:type="dxa"/>
            <w:vAlign w:val="center"/>
          </w:tcPr>
          <w:p>
            <w:pPr>
              <w:jc w:val="center"/>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280" w:type="dxa"/>
            <w:gridSpan w:val="5"/>
            <w:vAlign w:val="center"/>
          </w:tcPr>
          <w:p>
            <w:pPr>
              <w:jc w:val="left"/>
              <w:rPr>
                <w:rFonts w:ascii="宋体" w:hAnsi="宋体" w:eastAsia="宋体" w:cs="宋体"/>
                <w:color w:val="auto"/>
                <w:szCs w:val="21"/>
                <w:highlight w:val="none"/>
              </w:rPr>
            </w:pPr>
          </w:p>
        </w:tc>
        <w:tc>
          <w:tcPr>
            <w:tcW w:w="1730" w:type="dxa"/>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24" w:type="dxa"/>
            <w:gridSpan w:val="6"/>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    计</w:t>
            </w:r>
          </w:p>
        </w:tc>
        <w:tc>
          <w:tcPr>
            <w:tcW w:w="1730" w:type="dxa"/>
            <w:vAlign w:val="center"/>
          </w:tcPr>
          <w:p>
            <w:pPr>
              <w:jc w:val="center"/>
              <w:rPr>
                <w:rFonts w:ascii="宋体" w:hAnsi="宋体" w:eastAsia="宋体" w:cs="宋体"/>
                <w:color w:val="auto"/>
                <w:szCs w:val="21"/>
                <w:highlight w:val="none"/>
              </w:rPr>
            </w:pPr>
          </w:p>
        </w:tc>
      </w:tr>
    </w:tbl>
    <w:p>
      <w:pPr>
        <w:jc w:val="left"/>
        <w:rPr>
          <w:rFonts w:ascii="宋体" w:hAnsi="宋体" w:eastAsia="宋体" w:cs="宋体"/>
          <w:color w:val="auto"/>
          <w:kern w:val="0"/>
          <w:szCs w:val="21"/>
          <w:highlight w:val="none"/>
        </w:rPr>
      </w:pPr>
    </w:p>
    <w:p>
      <w:pPr>
        <w:jc w:val="left"/>
        <w:rPr>
          <w:rFonts w:ascii="宋体" w:hAnsi="宋体" w:eastAsia="宋体" w:cs="宋体"/>
          <w:color w:val="auto"/>
          <w:kern w:val="0"/>
          <w:szCs w:val="21"/>
          <w:highlight w:val="none"/>
        </w:rPr>
      </w:pPr>
    </w:p>
    <w:p>
      <w:pPr>
        <w:spacing w:line="300" w:lineRule="auto"/>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pPr>
        <w:spacing w:line="30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1、报价采用人民币报价。如果总价与单价不符，以单价为准，调整总价；表中的同种货物数量应与“技术规格及要求”中对应货物清单一致。</w:t>
      </w:r>
    </w:p>
    <w:p>
      <w:pPr>
        <w:spacing w:line="30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2、投标单价均为综合单价，应包括机组货物制造、检验、验收等等，以及运至合同指定地点的运输、装卸、利润、风险和保险等一切费、税。</w:t>
      </w:r>
    </w:p>
    <w:p>
      <w:pP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br w:type="page"/>
      </w:r>
    </w:p>
    <w:p>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货物说明一览表</w:t>
      </w:r>
    </w:p>
    <w:p>
      <w:pPr>
        <w:jc w:val="left"/>
        <w:rPr>
          <w:rFonts w:ascii="仿宋_GB2312" w:eastAsia="仿宋_GB2312"/>
          <w:color w:val="auto"/>
          <w:kern w:val="0"/>
          <w:sz w:val="24"/>
          <w:highlight w:val="none"/>
        </w:rPr>
      </w:pPr>
    </w:p>
    <w:p>
      <w:pPr>
        <w:spacing w:after="156" w:afterLines="50" w:line="50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69"/>
        <w:gridCol w:w="1669"/>
        <w:gridCol w:w="986"/>
        <w:gridCol w:w="1326"/>
        <w:gridCol w:w="166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69"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1669"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主要规格</w:t>
            </w:r>
          </w:p>
        </w:tc>
        <w:tc>
          <w:tcPr>
            <w:tcW w:w="986"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326"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交货期</w:t>
            </w:r>
          </w:p>
        </w:tc>
        <w:tc>
          <w:tcPr>
            <w:tcW w:w="1669"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交货地点</w:t>
            </w:r>
          </w:p>
        </w:tc>
        <w:tc>
          <w:tcPr>
            <w:tcW w:w="985" w:type="dxa"/>
            <w:shd w:val="clear" w:color="auto" w:fill="auto"/>
            <w:vAlign w:val="center"/>
          </w:tcPr>
          <w:p>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pPr>
              <w:spacing w:line="360" w:lineRule="auto"/>
              <w:jc w:val="left"/>
              <w:rPr>
                <w:rFonts w:ascii="宋体" w:hAnsi="宋体" w:eastAsia="宋体" w:cs="宋体"/>
                <w:color w:val="auto"/>
                <w:kern w:val="0"/>
                <w:szCs w:val="21"/>
                <w:highlight w:val="none"/>
              </w:rPr>
            </w:pPr>
          </w:p>
        </w:tc>
      </w:tr>
    </w:tbl>
    <w:p>
      <w:pPr>
        <w:jc w:val="left"/>
        <w:rPr>
          <w:rFonts w:ascii="宋体" w:hAnsi="宋体" w:eastAsia="宋体" w:cs="宋体"/>
          <w:color w:val="auto"/>
          <w:kern w:val="0"/>
          <w:szCs w:val="21"/>
          <w:highlight w:val="none"/>
        </w:rPr>
      </w:pPr>
    </w:p>
    <w:p>
      <w:pPr>
        <w:jc w:val="left"/>
        <w:rPr>
          <w:rFonts w:ascii="宋体" w:hAnsi="宋体" w:eastAsia="宋体" w:cs="宋体"/>
          <w:color w:val="auto"/>
          <w:kern w:val="0"/>
          <w:szCs w:val="21"/>
          <w:highlight w:val="none"/>
        </w:rPr>
      </w:pPr>
    </w:p>
    <w:p>
      <w:pPr>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重要提示：各项货物详细应另页描述。</w:t>
      </w:r>
    </w:p>
    <w:p>
      <w:pPr>
        <w:rPr>
          <w:color w:val="auto"/>
          <w:highlight w:val="none"/>
        </w:rPr>
      </w:pPr>
      <w:r>
        <w:rPr>
          <w:color w:val="auto"/>
          <w:highlight w:val="none"/>
        </w:rPr>
        <w:br w:type="page"/>
      </w:r>
    </w:p>
    <w:p>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合同条款响应表</w:t>
      </w:r>
    </w:p>
    <w:p>
      <w:pPr>
        <w:spacing w:after="156" w:afterLines="50" w:line="50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5"/>
        <w:gridCol w:w="2396"/>
        <w:gridCol w:w="224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pPr>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305" w:type="dxa"/>
            <w:shd w:val="clear" w:color="auto" w:fill="auto"/>
            <w:vAlign w:val="center"/>
          </w:tcPr>
          <w:p>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396" w:type="dxa"/>
            <w:shd w:val="clear" w:color="auto" w:fill="auto"/>
            <w:vAlign w:val="center"/>
          </w:tcPr>
          <w:p>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招标文件合同条款</w:t>
            </w:r>
          </w:p>
        </w:tc>
        <w:tc>
          <w:tcPr>
            <w:tcW w:w="2244" w:type="dxa"/>
            <w:shd w:val="clear" w:color="auto" w:fill="auto"/>
            <w:vAlign w:val="center"/>
          </w:tcPr>
          <w:p>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投标文件合同条款</w:t>
            </w:r>
          </w:p>
        </w:tc>
        <w:tc>
          <w:tcPr>
            <w:tcW w:w="1571" w:type="dxa"/>
            <w:shd w:val="clear" w:color="auto" w:fill="auto"/>
            <w:vAlign w:val="center"/>
          </w:tcPr>
          <w:p>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pPr>
              <w:adjustRightInd w:val="0"/>
              <w:spacing w:line="360" w:lineRule="auto"/>
              <w:jc w:val="center"/>
              <w:rPr>
                <w:rFonts w:ascii="宋体" w:hAnsi="宋体" w:eastAsia="宋体" w:cs="宋体"/>
                <w:color w:val="auto"/>
                <w:kern w:val="0"/>
                <w:szCs w:val="21"/>
                <w:highlight w:val="none"/>
              </w:rPr>
            </w:pPr>
          </w:p>
        </w:tc>
        <w:tc>
          <w:tcPr>
            <w:tcW w:w="2305" w:type="dxa"/>
            <w:shd w:val="clear" w:color="auto" w:fill="auto"/>
            <w:vAlign w:val="center"/>
          </w:tcPr>
          <w:p>
            <w:pPr>
              <w:adjustRightInd w:val="0"/>
              <w:spacing w:line="360" w:lineRule="auto"/>
              <w:jc w:val="center"/>
              <w:rPr>
                <w:rFonts w:ascii="宋体" w:hAnsi="宋体" w:eastAsia="宋体" w:cs="宋体"/>
                <w:color w:val="auto"/>
                <w:kern w:val="0"/>
                <w:szCs w:val="21"/>
                <w:highlight w:val="none"/>
              </w:rPr>
            </w:pPr>
          </w:p>
        </w:tc>
        <w:tc>
          <w:tcPr>
            <w:tcW w:w="2396" w:type="dxa"/>
            <w:shd w:val="clear" w:color="auto" w:fill="auto"/>
            <w:vAlign w:val="center"/>
          </w:tcPr>
          <w:p>
            <w:pPr>
              <w:adjustRightInd w:val="0"/>
              <w:spacing w:line="360" w:lineRule="auto"/>
              <w:jc w:val="center"/>
              <w:rPr>
                <w:rFonts w:ascii="宋体" w:hAnsi="宋体" w:eastAsia="宋体" w:cs="宋体"/>
                <w:color w:val="auto"/>
                <w:kern w:val="0"/>
                <w:szCs w:val="21"/>
                <w:highlight w:val="none"/>
              </w:rPr>
            </w:pPr>
          </w:p>
        </w:tc>
        <w:tc>
          <w:tcPr>
            <w:tcW w:w="2244" w:type="dxa"/>
            <w:shd w:val="clear" w:color="auto" w:fill="auto"/>
            <w:vAlign w:val="center"/>
          </w:tcPr>
          <w:p>
            <w:pPr>
              <w:adjustRightInd w:val="0"/>
              <w:spacing w:line="360" w:lineRule="auto"/>
              <w:jc w:val="center"/>
              <w:rPr>
                <w:rFonts w:ascii="宋体" w:hAnsi="宋体" w:eastAsia="宋体" w:cs="宋体"/>
                <w:color w:val="auto"/>
                <w:kern w:val="0"/>
                <w:szCs w:val="21"/>
                <w:highlight w:val="none"/>
              </w:rPr>
            </w:pPr>
          </w:p>
        </w:tc>
        <w:tc>
          <w:tcPr>
            <w:tcW w:w="1571" w:type="dxa"/>
            <w:shd w:val="clear" w:color="auto" w:fill="auto"/>
            <w:vAlign w:val="center"/>
          </w:tcPr>
          <w:p>
            <w:pPr>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jc w:val="left"/>
        <w:rPr>
          <w:rFonts w:ascii="宋体" w:hAnsi="宋体" w:eastAsia="宋体" w:cs="宋体"/>
          <w:color w:val="auto"/>
          <w:kern w:val="0"/>
          <w:szCs w:val="21"/>
          <w:highlight w:val="none"/>
        </w:rPr>
      </w:pPr>
    </w:p>
    <w:p>
      <w:pPr>
        <w:ind w:right="57"/>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重要提示：只列出发生偏离的项目，没有列出的将被视为完全响应。</w:t>
      </w:r>
    </w:p>
    <w:p>
      <w:pPr>
        <w:widowControl/>
        <w:jc w:val="left"/>
        <w:rPr>
          <w:rFonts w:ascii="黑体" w:eastAsia="黑体"/>
          <w:color w:val="auto"/>
          <w:kern w:val="0"/>
          <w:szCs w:val="21"/>
          <w:highlight w:val="none"/>
        </w:rPr>
      </w:pPr>
      <w:r>
        <w:rPr>
          <w:rFonts w:ascii="黑体" w:eastAsia="黑体"/>
          <w:color w:val="auto"/>
          <w:kern w:val="0"/>
          <w:szCs w:val="21"/>
          <w:highlight w:val="none"/>
        </w:rPr>
        <w:br w:type="page"/>
      </w:r>
    </w:p>
    <w:p>
      <w:pPr>
        <w:spacing w:line="360" w:lineRule="auto"/>
        <w:jc w:val="center"/>
        <w:rPr>
          <w:rFonts w:ascii="宋体" w:hAnsi="宋体" w:eastAsia="宋体" w:cs="宋体"/>
          <w:b/>
          <w:color w:val="auto"/>
          <w:sz w:val="32"/>
          <w:highlight w:val="none"/>
        </w:rPr>
      </w:pPr>
      <w:r>
        <w:rPr>
          <w:rFonts w:hint="eastAsia" w:ascii="宋体" w:hAnsi="宋体" w:eastAsia="宋体" w:cs="宋体"/>
          <w:b/>
          <w:color w:val="auto"/>
          <w:sz w:val="32"/>
          <w:highlight w:val="none"/>
        </w:rPr>
        <w:t>其他</w:t>
      </w: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（投标人认为应补充提供的其他文件资料或说明）</w:t>
      </w:r>
    </w:p>
    <w:p>
      <w:pPr>
        <w:widowControl/>
        <w:jc w:val="left"/>
        <w:rPr>
          <w:rFonts w:ascii="宋体" w:hAnsi="宋体" w:cs="宋体"/>
          <w:color w:val="auto"/>
          <w:kern w:val="0"/>
          <w:sz w:val="24"/>
          <w:szCs w:val="24"/>
          <w:highlight w:val="none"/>
        </w:rPr>
      </w:pPr>
      <w:r>
        <w:rPr>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64" w:name="_Toc3075"/>
      <w:bookmarkStart w:id="65" w:name="_Toc45702708"/>
      <w:r>
        <w:rPr>
          <w:rFonts w:hint="eastAsia" w:ascii="黑体" w:eastAsia="黑体"/>
          <w:bCs/>
          <w:color w:val="auto"/>
          <w:kern w:val="0"/>
          <w:sz w:val="32"/>
          <w:szCs w:val="32"/>
          <w:highlight w:val="none"/>
        </w:rPr>
        <w:t>第五章  货物需求书</w:t>
      </w:r>
      <w:bookmarkEnd w:id="64"/>
      <w:bookmarkEnd w:id="65"/>
    </w:p>
    <w:p>
      <w:pPr>
        <w:topLinePunct/>
        <w:adjustRightInd w:val="0"/>
        <w:snapToGrid w:val="0"/>
        <w:spacing w:line="360" w:lineRule="auto"/>
        <w:jc w:val="center"/>
        <w:outlineLvl w:val="1"/>
        <w:rPr>
          <w:rFonts w:ascii="黑体" w:hAnsi="宋体" w:eastAsia="黑体"/>
          <w:bCs/>
          <w:color w:val="auto"/>
          <w:kern w:val="0"/>
          <w:sz w:val="32"/>
          <w:szCs w:val="32"/>
          <w:highlight w:val="none"/>
        </w:rPr>
      </w:pPr>
      <w:bookmarkStart w:id="66" w:name="_Toc29056"/>
      <w:bookmarkStart w:id="67" w:name="_Toc45702709"/>
      <w:r>
        <w:rPr>
          <w:rFonts w:hint="eastAsia" w:ascii="黑体" w:hAnsi="宋体" w:eastAsia="黑体"/>
          <w:bCs/>
          <w:color w:val="auto"/>
          <w:kern w:val="0"/>
          <w:sz w:val="32"/>
          <w:szCs w:val="32"/>
          <w:highlight w:val="none"/>
        </w:rPr>
        <w:t>第一节  货物需求及数量一览表</w:t>
      </w:r>
      <w:bookmarkEnd w:id="66"/>
      <w:bookmarkEnd w:id="67"/>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序号</w:t>
            </w:r>
          </w:p>
        </w:tc>
        <w:tc>
          <w:tcPr>
            <w:tcW w:w="1559"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货物编码</w:t>
            </w:r>
          </w:p>
        </w:tc>
        <w:tc>
          <w:tcPr>
            <w:tcW w:w="1843"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货物名称</w:t>
            </w:r>
          </w:p>
        </w:tc>
        <w:tc>
          <w:tcPr>
            <w:tcW w:w="1985"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规格型号</w:t>
            </w:r>
          </w:p>
        </w:tc>
        <w:tc>
          <w:tcPr>
            <w:tcW w:w="708"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单位</w:t>
            </w:r>
          </w:p>
        </w:tc>
        <w:tc>
          <w:tcPr>
            <w:tcW w:w="993"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数量</w:t>
            </w:r>
          </w:p>
        </w:tc>
        <w:tc>
          <w:tcPr>
            <w:tcW w:w="1383"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bookmarkStart w:id="68" w:name="货物需求及数量一览表" w:colFirst="0" w:colLast="0"/>
          </w:p>
        </w:tc>
        <w:tc>
          <w:tcPr>
            <w:tcW w:w="1559" w:type="dxa"/>
            <w:vAlign w:val="center"/>
          </w:tcPr>
          <w:p>
            <w:pPr>
              <w:adjustRightInd w:val="0"/>
              <w:snapToGrid w:val="0"/>
              <w:spacing w:line="360" w:lineRule="auto"/>
              <w:rPr>
                <w:rFonts w:ascii="宋体" w:hAnsi="宋体" w:eastAsia="宋体" w:cs="Times New Roman"/>
                <w:bCs/>
                <w:color w:val="auto"/>
                <w:kern w:val="0"/>
                <w:szCs w:val="21"/>
                <w:highlight w:val="none"/>
              </w:rPr>
            </w:pPr>
          </w:p>
        </w:tc>
        <w:tc>
          <w:tcPr>
            <w:tcW w:w="1843" w:type="dxa"/>
            <w:vAlign w:val="center"/>
          </w:tcPr>
          <w:p>
            <w:pPr>
              <w:adjustRightInd w:val="0"/>
              <w:snapToGrid w:val="0"/>
              <w:spacing w:line="360" w:lineRule="auto"/>
              <w:rPr>
                <w:rFonts w:ascii="宋体" w:hAnsi="宋体" w:eastAsia="宋体" w:cs="Times New Roman"/>
                <w:bCs/>
                <w:color w:val="auto"/>
                <w:kern w:val="0"/>
                <w:szCs w:val="21"/>
                <w:highlight w:val="none"/>
              </w:rPr>
            </w:pPr>
          </w:p>
        </w:tc>
        <w:tc>
          <w:tcPr>
            <w:tcW w:w="1985" w:type="dxa"/>
            <w:vAlign w:val="center"/>
          </w:tcPr>
          <w:p>
            <w:pPr>
              <w:adjustRightInd w:val="0"/>
              <w:snapToGrid w:val="0"/>
              <w:spacing w:line="360" w:lineRule="auto"/>
              <w:rPr>
                <w:rFonts w:ascii="宋体" w:hAnsi="宋体" w:eastAsia="宋体" w:cs="Times New Roman"/>
                <w:bCs/>
                <w:color w:val="auto"/>
                <w:kern w:val="0"/>
                <w:szCs w:val="21"/>
                <w:highlight w:val="none"/>
              </w:rPr>
            </w:pPr>
          </w:p>
        </w:tc>
        <w:tc>
          <w:tcPr>
            <w:tcW w:w="708" w:type="dxa"/>
            <w:vAlign w:val="center"/>
          </w:tcPr>
          <w:p>
            <w:pPr>
              <w:adjustRightInd w:val="0"/>
              <w:snapToGrid w:val="0"/>
              <w:spacing w:line="360" w:lineRule="auto"/>
              <w:jc w:val="center"/>
              <w:rPr>
                <w:rFonts w:ascii="宋体" w:hAnsi="宋体" w:eastAsia="宋体" w:cs="Times New Roman"/>
                <w:bCs/>
                <w:color w:val="auto"/>
                <w:kern w:val="0"/>
                <w:szCs w:val="21"/>
                <w:highlight w:val="none"/>
              </w:rPr>
            </w:pPr>
          </w:p>
        </w:tc>
        <w:tc>
          <w:tcPr>
            <w:tcW w:w="993" w:type="dxa"/>
            <w:vAlign w:val="center"/>
          </w:tcPr>
          <w:p>
            <w:pPr>
              <w:adjustRightInd w:val="0"/>
              <w:snapToGrid w:val="0"/>
              <w:spacing w:line="360" w:lineRule="auto"/>
              <w:rPr>
                <w:rFonts w:ascii="宋体" w:hAnsi="宋体" w:eastAsia="宋体" w:cs="Times New Roman"/>
                <w:bCs/>
                <w:color w:val="auto"/>
                <w:kern w:val="0"/>
                <w:szCs w:val="21"/>
                <w:highlight w:val="none"/>
              </w:rPr>
            </w:pPr>
          </w:p>
        </w:tc>
        <w:tc>
          <w:tcPr>
            <w:tcW w:w="1383" w:type="dxa"/>
            <w:vAlign w:val="center"/>
          </w:tcPr>
          <w:p>
            <w:pPr>
              <w:adjustRightInd w:val="0"/>
              <w:snapToGrid w:val="0"/>
              <w:spacing w:line="360" w:lineRule="auto"/>
              <w:rPr>
                <w:rFonts w:ascii="宋体" w:hAnsi="宋体" w:eastAsia="宋体" w:cs="Times New Roman"/>
                <w:bCs/>
                <w:color w:val="auto"/>
                <w:kern w:val="0"/>
                <w:szCs w:val="21"/>
                <w:highlight w:val="none"/>
              </w:rPr>
            </w:pPr>
          </w:p>
        </w:tc>
      </w:tr>
      <w:bookmarkEnd w:id="68"/>
    </w:tbl>
    <w:p>
      <w:pPr>
        <w:adjustRightInd w:val="0"/>
        <w:snapToGrid w:val="0"/>
        <w:spacing w:line="360" w:lineRule="auto"/>
        <w:rPr>
          <w:color w:val="auto"/>
          <w:highlight w:val="none"/>
        </w:rPr>
      </w:pPr>
      <w:r>
        <w:rPr>
          <w:color w:val="auto"/>
          <w:highlight w:val="none"/>
        </w:rPr>
        <w:br w:type="page"/>
      </w:r>
    </w:p>
    <w:p>
      <w:pPr>
        <w:topLinePunct/>
        <w:adjustRightInd w:val="0"/>
        <w:snapToGrid w:val="0"/>
        <w:spacing w:line="360" w:lineRule="auto"/>
        <w:jc w:val="center"/>
        <w:outlineLvl w:val="1"/>
        <w:rPr>
          <w:rFonts w:ascii="黑体" w:hAnsi="宋体" w:eastAsia="黑体"/>
          <w:bCs/>
          <w:color w:val="auto"/>
          <w:kern w:val="0"/>
          <w:sz w:val="32"/>
          <w:highlight w:val="none"/>
        </w:rPr>
      </w:pPr>
      <w:bookmarkStart w:id="69" w:name="_Toc45702710"/>
      <w:bookmarkStart w:id="70" w:name="_Toc19328"/>
      <w:r>
        <w:rPr>
          <w:rFonts w:hint="eastAsia" w:ascii="黑体" w:hAnsi="宋体" w:eastAsia="黑体"/>
          <w:bCs/>
          <w:color w:val="auto"/>
          <w:kern w:val="0"/>
          <w:sz w:val="32"/>
          <w:highlight w:val="none"/>
        </w:rPr>
        <w:t>第二节  项目实质性要求和条件</w:t>
      </w:r>
      <w:bookmarkEnd w:id="69"/>
      <w:bookmarkEnd w:id="70"/>
    </w:p>
    <w:p>
      <w:pPr>
        <w:topLinePunct/>
        <w:adjustRightInd w:val="0"/>
        <w:snapToGrid w:val="0"/>
        <w:spacing w:line="360" w:lineRule="auto"/>
        <w:jc w:val="left"/>
        <w:rPr>
          <w:rFonts w:ascii="黑体" w:eastAsia="黑体"/>
          <w:color w:val="auto"/>
          <w:kern w:val="0"/>
          <w:szCs w:val="21"/>
          <w:highlight w:val="none"/>
        </w:rPr>
      </w:pPr>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重要提示：</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1、招标文件中规定的实质性要求和条件，对这些要求和条件的任何偏离或不满足，其投标将被拒绝；</w:t>
      </w:r>
    </w:p>
    <w:p>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2、招标文件中非实质性要求和条件，允许偏离的最大范围是______（最高项数_______项），若超出上述规定，其投标将被拒绝。</w:t>
      </w:r>
    </w:p>
    <w:p>
      <w:pPr>
        <w:topLinePunct/>
        <w:adjustRightInd w:val="0"/>
        <w:snapToGrid w:val="0"/>
        <w:spacing w:line="360" w:lineRule="auto"/>
        <w:jc w:val="left"/>
        <w:rPr>
          <w:rFonts w:ascii="宋体" w:hAnsi="宋体"/>
          <w:color w:val="auto"/>
          <w:kern w:val="0"/>
          <w:sz w:val="24"/>
          <w:szCs w:val="24"/>
          <w:highlight w:val="none"/>
        </w:rPr>
      </w:pPr>
    </w:p>
    <w:p>
      <w:pPr>
        <w:topLinePunct/>
        <w:adjustRightInd w:val="0"/>
        <w:snapToGrid w:val="0"/>
        <w:spacing w:line="360" w:lineRule="auto"/>
        <w:jc w:val="center"/>
        <w:outlineLvl w:val="2"/>
        <w:rPr>
          <w:rFonts w:ascii="黑体" w:hAnsi="宋体" w:eastAsia="黑体"/>
          <w:bCs/>
          <w:color w:val="auto"/>
          <w:kern w:val="0"/>
          <w:sz w:val="30"/>
          <w:szCs w:val="30"/>
          <w:highlight w:val="none"/>
        </w:rPr>
      </w:pPr>
      <w:bookmarkStart w:id="71" w:name="_Toc45702711"/>
      <w:bookmarkStart w:id="72" w:name="_Toc16903"/>
      <w:r>
        <w:rPr>
          <w:rFonts w:hint="eastAsia" w:ascii="黑体" w:hAnsi="宋体" w:eastAsia="黑体"/>
          <w:bCs/>
          <w:color w:val="auto"/>
          <w:kern w:val="0"/>
          <w:sz w:val="30"/>
          <w:szCs w:val="30"/>
          <w:highlight w:val="none"/>
        </w:rPr>
        <w:t>一、资信条款不可偏离表</w:t>
      </w:r>
      <w:bookmarkEnd w:id="71"/>
      <w:bookmarkEnd w:id="72"/>
    </w:p>
    <w:tbl>
      <w:tblPr>
        <w:tblStyle w:val="8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54"/>
        <w:gridCol w:w="3531"/>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54"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 称</w:t>
            </w:r>
          </w:p>
        </w:tc>
        <w:tc>
          <w:tcPr>
            <w:tcW w:w="3531"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需求说明</w:t>
            </w:r>
          </w:p>
        </w:tc>
        <w:tc>
          <w:tcPr>
            <w:tcW w:w="2894"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topLinePunct/>
              <w:adjustRightInd w:val="0"/>
              <w:snapToGrid w:val="0"/>
              <w:spacing w:line="360" w:lineRule="auto"/>
              <w:jc w:val="center"/>
              <w:rPr>
                <w:rFonts w:ascii="宋体" w:hAnsi="宋体" w:eastAsia="宋体" w:cs="宋体"/>
                <w:bCs/>
                <w:color w:val="auto"/>
                <w:kern w:val="0"/>
                <w:szCs w:val="21"/>
                <w:highlight w:val="none"/>
              </w:rPr>
            </w:pPr>
            <w:bookmarkStart w:id="73" w:name="资信条款不可偏离表" w:colFirst="0" w:colLast="0"/>
          </w:p>
        </w:tc>
        <w:tc>
          <w:tcPr>
            <w:tcW w:w="2154" w:type="dxa"/>
            <w:shd w:val="clear" w:color="auto" w:fill="auto"/>
            <w:vAlign w:val="center"/>
          </w:tcPr>
          <w:p>
            <w:pPr>
              <w:topLinePunct/>
              <w:adjustRightInd w:val="0"/>
              <w:snapToGrid w:val="0"/>
              <w:spacing w:line="360" w:lineRule="auto"/>
              <w:rPr>
                <w:rFonts w:ascii="宋体" w:hAnsi="宋体" w:eastAsia="宋体" w:cs="宋体"/>
                <w:bCs/>
                <w:color w:val="auto"/>
                <w:kern w:val="0"/>
                <w:szCs w:val="21"/>
                <w:highlight w:val="none"/>
              </w:rPr>
            </w:pPr>
          </w:p>
        </w:tc>
        <w:tc>
          <w:tcPr>
            <w:tcW w:w="3531" w:type="dxa"/>
            <w:shd w:val="clear" w:color="auto" w:fill="auto"/>
            <w:vAlign w:val="center"/>
          </w:tcPr>
          <w:p>
            <w:pPr>
              <w:topLinePunct/>
              <w:adjustRightInd w:val="0"/>
              <w:snapToGrid w:val="0"/>
              <w:spacing w:line="360" w:lineRule="auto"/>
              <w:rPr>
                <w:rFonts w:ascii="宋体" w:hAnsi="宋体" w:eastAsia="宋体" w:cs="宋体"/>
                <w:bCs/>
                <w:color w:val="auto"/>
                <w:kern w:val="0"/>
                <w:szCs w:val="21"/>
                <w:highlight w:val="none"/>
              </w:rPr>
            </w:pPr>
          </w:p>
        </w:tc>
        <w:tc>
          <w:tcPr>
            <w:tcW w:w="2894" w:type="dxa"/>
            <w:shd w:val="clear" w:color="auto" w:fill="auto"/>
            <w:vAlign w:val="center"/>
          </w:tcPr>
          <w:p>
            <w:pPr>
              <w:topLinePunct/>
              <w:adjustRightInd w:val="0"/>
              <w:snapToGrid w:val="0"/>
              <w:spacing w:line="360" w:lineRule="auto"/>
              <w:rPr>
                <w:rFonts w:ascii="宋体" w:hAnsi="宋体" w:eastAsia="宋体" w:cs="宋体"/>
                <w:bCs/>
                <w:color w:val="auto"/>
                <w:kern w:val="0"/>
                <w:szCs w:val="21"/>
                <w:highlight w:val="none"/>
              </w:rPr>
            </w:pPr>
          </w:p>
        </w:tc>
      </w:tr>
      <w:bookmarkEnd w:id="73"/>
    </w:tbl>
    <w:p>
      <w:pPr>
        <w:adjustRightInd w:val="0"/>
        <w:snapToGrid w:val="0"/>
        <w:spacing w:line="20" w:lineRule="exact"/>
        <w:rPr>
          <w:color w:val="auto"/>
          <w:highlight w:val="none"/>
        </w:rPr>
      </w:pPr>
      <w:r>
        <w:rPr>
          <w:color w:val="auto"/>
          <w:highlight w:val="none"/>
        </w:rPr>
        <w:br w:type="page"/>
      </w:r>
    </w:p>
    <w:p>
      <w:pPr>
        <w:topLinePunct/>
        <w:adjustRightInd w:val="0"/>
        <w:snapToGrid w:val="0"/>
        <w:spacing w:line="360" w:lineRule="auto"/>
        <w:jc w:val="center"/>
        <w:outlineLvl w:val="2"/>
        <w:rPr>
          <w:rFonts w:ascii="黑体" w:hAnsi="宋体" w:eastAsia="黑体"/>
          <w:bCs/>
          <w:color w:val="auto"/>
          <w:kern w:val="0"/>
          <w:sz w:val="30"/>
          <w:szCs w:val="30"/>
          <w:highlight w:val="none"/>
        </w:rPr>
      </w:pPr>
      <w:bookmarkStart w:id="74" w:name="_Toc9484"/>
      <w:bookmarkStart w:id="75" w:name="_Toc45702712"/>
      <w:r>
        <w:rPr>
          <w:rFonts w:hint="eastAsia" w:ascii="黑体" w:hAnsi="宋体" w:eastAsia="黑体"/>
          <w:bCs/>
          <w:color w:val="auto"/>
          <w:kern w:val="0"/>
          <w:sz w:val="30"/>
          <w:szCs w:val="30"/>
          <w:highlight w:val="none"/>
        </w:rPr>
        <w:t>二、技术性能不可偏离表</w:t>
      </w:r>
      <w:bookmarkEnd w:id="74"/>
      <w:bookmarkEnd w:id="75"/>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6"/>
        <w:gridCol w:w="347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36"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名称</w:t>
            </w:r>
          </w:p>
        </w:tc>
        <w:tc>
          <w:tcPr>
            <w:tcW w:w="3471"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需求说明</w:t>
            </w:r>
          </w:p>
        </w:tc>
        <w:tc>
          <w:tcPr>
            <w:tcW w:w="2898"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spacing w:line="360" w:lineRule="auto"/>
              <w:jc w:val="center"/>
              <w:rPr>
                <w:rFonts w:ascii="宋体" w:hAnsi="宋体" w:eastAsia="宋体" w:cs="宋体"/>
                <w:bCs/>
                <w:color w:val="auto"/>
                <w:kern w:val="0"/>
                <w:szCs w:val="21"/>
                <w:highlight w:val="none"/>
              </w:rPr>
            </w:pPr>
            <w:bookmarkStart w:id="76" w:name="技术性能不可偏离表" w:colFirst="0" w:colLast="0"/>
          </w:p>
        </w:tc>
        <w:tc>
          <w:tcPr>
            <w:tcW w:w="2136" w:type="dxa"/>
            <w:shd w:val="clear" w:color="auto" w:fill="auto"/>
            <w:vAlign w:val="center"/>
          </w:tcPr>
          <w:p>
            <w:pPr>
              <w:topLinePunct/>
              <w:adjustRightInd w:val="0"/>
              <w:snapToGrid w:val="0"/>
              <w:spacing w:line="360" w:lineRule="auto"/>
              <w:jc w:val="left"/>
              <w:rPr>
                <w:rFonts w:ascii="宋体" w:hAnsi="宋体" w:eastAsia="宋体" w:cs="宋体"/>
                <w:bCs/>
                <w:color w:val="auto"/>
                <w:kern w:val="0"/>
                <w:szCs w:val="21"/>
                <w:highlight w:val="none"/>
              </w:rPr>
            </w:pPr>
          </w:p>
        </w:tc>
        <w:tc>
          <w:tcPr>
            <w:tcW w:w="3471" w:type="dxa"/>
            <w:shd w:val="clear" w:color="auto" w:fill="auto"/>
            <w:vAlign w:val="center"/>
          </w:tcPr>
          <w:p>
            <w:pPr>
              <w:topLinePunct/>
              <w:adjustRightInd w:val="0"/>
              <w:snapToGrid w:val="0"/>
              <w:spacing w:line="360" w:lineRule="auto"/>
              <w:jc w:val="left"/>
              <w:rPr>
                <w:rFonts w:ascii="宋体" w:hAnsi="宋体" w:eastAsia="宋体" w:cs="宋体"/>
                <w:bCs/>
                <w:color w:val="auto"/>
                <w:kern w:val="0"/>
                <w:szCs w:val="21"/>
                <w:highlight w:val="none"/>
              </w:rPr>
            </w:pPr>
          </w:p>
        </w:tc>
        <w:tc>
          <w:tcPr>
            <w:tcW w:w="2898" w:type="dxa"/>
            <w:shd w:val="clear" w:color="auto" w:fill="auto"/>
            <w:vAlign w:val="center"/>
          </w:tcPr>
          <w:p>
            <w:pPr>
              <w:topLinePunct/>
              <w:adjustRightInd w:val="0"/>
              <w:snapToGrid w:val="0"/>
              <w:spacing w:line="360" w:lineRule="auto"/>
              <w:jc w:val="left"/>
              <w:rPr>
                <w:rFonts w:ascii="宋体" w:hAnsi="宋体" w:eastAsia="宋体" w:cs="宋体"/>
                <w:bCs/>
                <w:color w:val="auto"/>
                <w:kern w:val="0"/>
                <w:szCs w:val="21"/>
                <w:highlight w:val="none"/>
              </w:rPr>
            </w:pPr>
          </w:p>
        </w:tc>
      </w:tr>
      <w:bookmarkEnd w:id="76"/>
    </w:tbl>
    <w:p>
      <w:pPr>
        <w:adjustRightInd w:val="0"/>
        <w:snapToGrid w:val="0"/>
        <w:spacing w:line="20" w:lineRule="exact"/>
        <w:rPr>
          <w:color w:val="auto"/>
          <w:highlight w:val="none"/>
        </w:rPr>
      </w:pPr>
      <w:r>
        <w:rPr>
          <w:color w:val="auto"/>
          <w:highlight w:val="none"/>
        </w:rPr>
        <w:br w:type="page"/>
      </w:r>
    </w:p>
    <w:p>
      <w:pPr>
        <w:topLinePunct/>
        <w:adjustRightInd w:val="0"/>
        <w:snapToGrid w:val="0"/>
        <w:spacing w:line="360" w:lineRule="auto"/>
        <w:jc w:val="center"/>
        <w:outlineLvl w:val="2"/>
        <w:rPr>
          <w:rFonts w:ascii="黑体" w:hAnsi="宋体" w:eastAsia="黑体"/>
          <w:bCs/>
          <w:color w:val="auto"/>
          <w:kern w:val="0"/>
          <w:sz w:val="30"/>
          <w:szCs w:val="30"/>
          <w:highlight w:val="none"/>
        </w:rPr>
      </w:pPr>
      <w:bookmarkStart w:id="77" w:name="_Toc27552"/>
      <w:bookmarkStart w:id="78" w:name="_Toc45702713"/>
      <w:r>
        <w:rPr>
          <w:rFonts w:hint="eastAsia" w:ascii="黑体" w:hAnsi="宋体" w:eastAsia="黑体"/>
          <w:bCs/>
          <w:color w:val="auto"/>
          <w:kern w:val="0"/>
          <w:sz w:val="30"/>
          <w:szCs w:val="30"/>
          <w:highlight w:val="none"/>
        </w:rPr>
        <w:t>三、商务条款不可偏离表</w:t>
      </w:r>
      <w:bookmarkEnd w:id="77"/>
      <w:bookmarkEnd w:id="78"/>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6"/>
        <w:gridCol w:w="347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36"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名称</w:t>
            </w:r>
          </w:p>
        </w:tc>
        <w:tc>
          <w:tcPr>
            <w:tcW w:w="3471"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需求说明</w:t>
            </w:r>
          </w:p>
        </w:tc>
        <w:tc>
          <w:tcPr>
            <w:tcW w:w="2898" w:type="dxa"/>
            <w:shd w:val="clear" w:color="auto" w:fill="auto"/>
            <w:vAlign w:val="center"/>
          </w:tcPr>
          <w:p>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spacing w:line="360" w:lineRule="auto"/>
              <w:jc w:val="center"/>
              <w:rPr>
                <w:rFonts w:ascii="宋体" w:hAnsi="宋体" w:eastAsia="宋体" w:cs="宋体"/>
                <w:bCs/>
                <w:color w:val="auto"/>
                <w:kern w:val="0"/>
                <w:szCs w:val="21"/>
                <w:highlight w:val="none"/>
              </w:rPr>
            </w:pPr>
            <w:bookmarkStart w:id="79" w:name="商务条款不可偏离表" w:colFirst="0" w:colLast="0"/>
          </w:p>
        </w:tc>
        <w:tc>
          <w:tcPr>
            <w:tcW w:w="2136" w:type="dxa"/>
            <w:shd w:val="clear" w:color="auto" w:fill="auto"/>
            <w:vAlign w:val="center"/>
          </w:tcPr>
          <w:p>
            <w:pPr>
              <w:topLinePunct/>
              <w:adjustRightInd w:val="0"/>
              <w:snapToGrid w:val="0"/>
              <w:spacing w:line="360" w:lineRule="auto"/>
              <w:jc w:val="left"/>
              <w:rPr>
                <w:rFonts w:ascii="宋体" w:hAnsi="宋体" w:eastAsia="宋体" w:cs="宋体"/>
                <w:bCs/>
                <w:color w:val="auto"/>
                <w:kern w:val="0"/>
                <w:szCs w:val="21"/>
                <w:highlight w:val="none"/>
              </w:rPr>
            </w:pPr>
          </w:p>
        </w:tc>
        <w:tc>
          <w:tcPr>
            <w:tcW w:w="3471" w:type="dxa"/>
            <w:shd w:val="clear" w:color="auto" w:fill="auto"/>
            <w:vAlign w:val="center"/>
          </w:tcPr>
          <w:p>
            <w:pPr>
              <w:topLinePunct/>
              <w:adjustRightInd w:val="0"/>
              <w:snapToGrid w:val="0"/>
              <w:spacing w:line="360" w:lineRule="auto"/>
              <w:jc w:val="left"/>
              <w:rPr>
                <w:rFonts w:ascii="宋体" w:hAnsi="宋体" w:eastAsia="宋体" w:cs="宋体"/>
                <w:bCs/>
                <w:color w:val="auto"/>
                <w:kern w:val="0"/>
                <w:szCs w:val="21"/>
                <w:highlight w:val="none"/>
              </w:rPr>
            </w:pPr>
          </w:p>
        </w:tc>
        <w:tc>
          <w:tcPr>
            <w:tcW w:w="2898" w:type="dxa"/>
            <w:shd w:val="clear" w:color="auto" w:fill="auto"/>
            <w:vAlign w:val="center"/>
          </w:tcPr>
          <w:p>
            <w:pPr>
              <w:topLinePunct/>
              <w:adjustRightInd w:val="0"/>
              <w:snapToGrid w:val="0"/>
              <w:spacing w:line="360" w:lineRule="auto"/>
              <w:jc w:val="left"/>
              <w:rPr>
                <w:rFonts w:ascii="宋体" w:hAnsi="宋体" w:eastAsia="宋体" w:cs="宋体"/>
                <w:bCs/>
                <w:color w:val="auto"/>
                <w:kern w:val="0"/>
                <w:szCs w:val="21"/>
                <w:highlight w:val="none"/>
              </w:rPr>
            </w:pPr>
          </w:p>
        </w:tc>
      </w:tr>
      <w:bookmarkEnd w:id="79"/>
    </w:tbl>
    <w:p>
      <w:pPr>
        <w:adjustRightInd w:val="0"/>
        <w:snapToGrid w:val="0"/>
        <w:spacing w:line="20" w:lineRule="exact"/>
        <w:rPr>
          <w:color w:val="auto"/>
          <w:highlight w:val="none"/>
        </w:rPr>
      </w:pPr>
      <w:r>
        <w:rPr>
          <w:color w:val="auto"/>
          <w:highlight w:val="none"/>
        </w:rPr>
        <w:br w:type="page"/>
      </w:r>
    </w:p>
    <w:p>
      <w:pPr>
        <w:adjustRightInd w:val="0"/>
        <w:snapToGrid w:val="0"/>
        <w:spacing w:line="360" w:lineRule="auto"/>
        <w:jc w:val="center"/>
        <w:outlineLvl w:val="0"/>
        <w:rPr>
          <w:rFonts w:ascii="宋体" w:hAnsi="宋体"/>
          <w:bCs/>
          <w:color w:val="auto"/>
          <w:kern w:val="0"/>
          <w:sz w:val="32"/>
          <w:szCs w:val="32"/>
          <w:highlight w:val="none"/>
        </w:rPr>
      </w:pPr>
      <w:bookmarkStart w:id="80" w:name="_Toc16045"/>
      <w:bookmarkStart w:id="81" w:name="_Toc45702714"/>
      <w:r>
        <w:rPr>
          <w:rFonts w:hint="eastAsia" w:ascii="黑体" w:eastAsia="黑体"/>
          <w:bCs/>
          <w:color w:val="auto"/>
          <w:kern w:val="0"/>
          <w:sz w:val="32"/>
          <w:szCs w:val="32"/>
          <w:highlight w:val="none"/>
        </w:rPr>
        <w:t>第六章  合同条款及格式</w:t>
      </w:r>
      <w:bookmarkEnd w:id="80"/>
      <w:bookmarkEnd w:id="81"/>
    </w:p>
    <w:p>
      <w:pPr>
        <w:topLinePunct/>
        <w:adjustRightInd w:val="0"/>
        <w:snapToGrid w:val="0"/>
        <w:spacing w:line="360" w:lineRule="auto"/>
        <w:jc w:val="left"/>
        <w:rPr>
          <w:color w:val="auto"/>
          <w:highlight w:val="none"/>
        </w:rPr>
      </w:pPr>
      <w:r>
        <w:rPr>
          <w:rFonts w:hint="eastAsia" w:ascii="宋体" w:hAnsi="宋体" w:eastAsia="宋体" w:cs="宋体"/>
          <w:color w:val="auto"/>
          <w:kern w:val="0"/>
          <w:szCs w:val="21"/>
          <w:highlight w:val="none"/>
        </w:rPr>
        <w:t>合同条款及格式</w:t>
      </w:r>
      <w:r>
        <w:rPr>
          <w:color w:val="auto"/>
          <w:highlight w:val="none"/>
        </w:rPr>
        <w:br w:type="page"/>
      </w:r>
    </w:p>
    <w:p>
      <w:pPr>
        <w:adjustRightInd w:val="0"/>
        <w:snapToGrid w:val="0"/>
        <w:spacing w:line="360" w:lineRule="auto"/>
        <w:jc w:val="center"/>
        <w:outlineLvl w:val="0"/>
        <w:rPr>
          <w:rFonts w:ascii="宋体" w:hAnsi="宋体" w:eastAsia="宋体" w:cs="宋体"/>
          <w:bCs/>
          <w:color w:val="auto"/>
          <w:kern w:val="0"/>
          <w:sz w:val="32"/>
          <w:szCs w:val="32"/>
          <w:highlight w:val="none"/>
        </w:rPr>
      </w:pPr>
      <w:bookmarkStart w:id="82" w:name="_Toc12311"/>
      <w:bookmarkStart w:id="83" w:name="_Toc45702715"/>
      <w:r>
        <w:rPr>
          <w:rFonts w:hint="eastAsia" w:ascii="宋体" w:hAnsi="宋体" w:eastAsia="宋体" w:cs="宋体"/>
          <w:bCs/>
          <w:color w:val="auto"/>
          <w:kern w:val="0"/>
          <w:sz w:val="32"/>
          <w:szCs w:val="32"/>
          <w:highlight w:val="none"/>
        </w:rPr>
        <w:t>第七章  技术要求</w:t>
      </w:r>
      <w:bookmarkEnd w:id="82"/>
      <w:bookmarkEnd w:id="83"/>
    </w:p>
    <w:p>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技术要求</w:t>
      </w:r>
    </w:p>
    <w:p>
      <w:pPr>
        <w:rPr>
          <w:color w:val="auto"/>
          <w:highlight w:val="none"/>
        </w:rPr>
      </w:pPr>
    </w:p>
    <w:sectPr>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fldChar w:fldCharType="begin"/>
    </w:r>
    <w:r>
      <w:rPr>
        <w:rFonts w:hint="eastAsia"/>
      </w:rPr>
      <w:instrText xml:space="preserve">page</w:instrText>
    </w:r>
    <w:r>
      <w:fldChar w:fldCharType="separate"/>
    </w:r>
    <w: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[2]的具体要求源自《深圳市住房和建设局关于推行差异化缴纳投标保证金进一步降低招标投标交易成本的通知》（深建市场〔2023〕2号）第一条。</w:t>
      </w:r>
    </w:p>
    <w:p>
      <w:pPr>
        <w:pStyle w:val="63"/>
        <w:snapToGrid w:val="0"/>
      </w:pPr>
    </w:p>
  </w:footnote>
  <w:footnote w:id="2">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[3]的具体要求源自《深圳市人民政府关于进一步规范建设工程招标投标活动的通知》(深府规〔2024〕8号)第三条。</w:t>
      </w:r>
    </w:p>
  </w:footnote>
  <w:footnote w:id="3">
    <w:p>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[4]、[5]的具体要求源自《深圳市人民政府关于进一步规范建设工程招标投标活动的通知》(深府规〔2024〕8号)第四、七条。</w:t>
      </w:r>
    </w:p>
    <w:p>
      <w:pPr>
        <w:pStyle w:val="63"/>
        <w:snapToGrid w:val="0"/>
      </w:pPr>
    </w:p>
  </w:footnote>
  <w:footnote w:id="4">
    <w:p>
      <w:pPr>
        <w:pStyle w:val="63"/>
        <w:snapToGrid w:val="0"/>
      </w:pPr>
    </w:p>
  </w:footnote>
  <w:footnote w:id="5">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[6]的具体要求源自《深圳市住房和建设局关于进一步规范招标投标有关事宜的通知》（深建市场〔2022〕4号）第三条。</w:t>
      </w:r>
    </w:p>
    <w:p>
      <w:pPr>
        <w:pStyle w:val="63"/>
        <w:snapToGrid w:val="0"/>
      </w:pPr>
    </w:p>
  </w:footnote>
  <w:footnote w:id="6">
    <w:p>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[7]的具体要求源自《深圳市人民政府关于进一步规范建设工程招标投标活动的通知》(深府规〔2024〕8号)第九条。</w:t>
      </w:r>
    </w:p>
    <w:p>
      <w:pPr>
        <w:pStyle w:val="63"/>
        <w:snapToGrid w:val="0"/>
      </w:pPr>
    </w:p>
  </w:footnote>
  <w:footnote w:id="7">
    <w:p>
      <w:pPr>
        <w:adjustRightInd w:val="0"/>
        <w:snapToGrid w:val="0"/>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[8]-[10]的具体要求源自《深圳市人民政府关于进一步规范建设工程招标投标活动的通知》(深府规</w:t>
      </w:r>
    </w:p>
  </w:footnote>
  <w:footnote w:id="8">
    <w:p>
      <w:pPr>
        <w:adjustRightInd w:val="0"/>
        <w:snapToGrid w:val="0"/>
      </w:pPr>
      <w:r>
        <w:rPr>
          <w:rFonts w:hint="eastAsia" w:ascii="宋体" w:hAnsi="宋体" w:eastAsia="宋体" w:cs="宋体"/>
          <w:color w:val="000000" w:themeColor="text1"/>
          <w:szCs w:val="21"/>
          <w:lang w:val="en-US" w:eastAsia="zh-CN"/>
          <w14:textFill>
            <w14:solidFill>
              <w14:schemeClr w14:val="tx1"/>
            </w14:solidFill>
          </w14:textFill>
        </w:rPr>
        <w:t>〔2024〕8号)第五、七、九条，以及《深圳市人民政府印发关于建设工程招标投标改革若干规定的</w:t>
      </w:r>
    </w:p>
  </w:footnote>
  <w:footnote w:id="9">
    <w:p>
      <w:pPr>
        <w:pStyle w:val="63"/>
        <w:snapToGrid w:val="0"/>
      </w:pPr>
      <w:r>
        <w:rPr>
          <w:rFonts w:hint="eastAsia" w:ascii="宋体" w:hAnsi="宋体" w:eastAsia="宋体" w:cs="宋体"/>
          <w:color w:val="000000" w:themeColor="text1"/>
          <w:szCs w:val="21"/>
          <w:lang w:val="en-US" w:eastAsia="zh-CN"/>
          <w14:textFill>
            <w14:solidFill>
              <w14:schemeClr w14:val="tx1"/>
            </w14:solidFill>
          </w14:textFill>
        </w:rPr>
        <w:t>通知》（深府〔2015〕73号）第四十七条。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0"/>
    <w:footnote w:id="2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b127900b-9ce2-445c-a198-09cef9b5c409"/>
  </w:docVars>
  <w:rsids>
    <w:rsidRoot w:val="00D3358D"/>
    <w:rsid w:val="00005A05"/>
    <w:rsid w:val="000764DF"/>
    <w:rsid w:val="00093270"/>
    <w:rsid w:val="000C2473"/>
    <w:rsid w:val="0022259C"/>
    <w:rsid w:val="002D0A40"/>
    <w:rsid w:val="00442543"/>
    <w:rsid w:val="00515BC7"/>
    <w:rsid w:val="005651E2"/>
    <w:rsid w:val="00572956"/>
    <w:rsid w:val="00685915"/>
    <w:rsid w:val="006A6953"/>
    <w:rsid w:val="007B7288"/>
    <w:rsid w:val="007C158B"/>
    <w:rsid w:val="007F2B09"/>
    <w:rsid w:val="00837B43"/>
    <w:rsid w:val="009E4D48"/>
    <w:rsid w:val="00A51EB6"/>
    <w:rsid w:val="00B677EA"/>
    <w:rsid w:val="00B80F13"/>
    <w:rsid w:val="00BB4731"/>
    <w:rsid w:val="00C55466"/>
    <w:rsid w:val="00C6526C"/>
    <w:rsid w:val="00CB368E"/>
    <w:rsid w:val="00CB77BE"/>
    <w:rsid w:val="00D3358D"/>
    <w:rsid w:val="00D909A6"/>
    <w:rsid w:val="00DF73EB"/>
    <w:rsid w:val="00E1509A"/>
    <w:rsid w:val="00EA7BE2"/>
    <w:rsid w:val="00F72D30"/>
    <w:rsid w:val="00FF2678"/>
    <w:rsid w:val="010940DB"/>
    <w:rsid w:val="022362FA"/>
    <w:rsid w:val="027A25D7"/>
    <w:rsid w:val="02991A59"/>
    <w:rsid w:val="02CD5A6F"/>
    <w:rsid w:val="03CD15BB"/>
    <w:rsid w:val="03FD7222"/>
    <w:rsid w:val="040B160A"/>
    <w:rsid w:val="04466CB4"/>
    <w:rsid w:val="045F4463"/>
    <w:rsid w:val="055949BA"/>
    <w:rsid w:val="0571302A"/>
    <w:rsid w:val="06180304"/>
    <w:rsid w:val="06407525"/>
    <w:rsid w:val="072F431B"/>
    <w:rsid w:val="076F5347"/>
    <w:rsid w:val="083B733F"/>
    <w:rsid w:val="08593893"/>
    <w:rsid w:val="08981389"/>
    <w:rsid w:val="094D790A"/>
    <w:rsid w:val="095C18FB"/>
    <w:rsid w:val="09731896"/>
    <w:rsid w:val="099611BA"/>
    <w:rsid w:val="0B034690"/>
    <w:rsid w:val="0B1C57E6"/>
    <w:rsid w:val="0BC6728D"/>
    <w:rsid w:val="0CF63D95"/>
    <w:rsid w:val="0D55110B"/>
    <w:rsid w:val="0D755681"/>
    <w:rsid w:val="0DB735A4"/>
    <w:rsid w:val="0E0D6CF0"/>
    <w:rsid w:val="0E607836"/>
    <w:rsid w:val="0E9D6A9D"/>
    <w:rsid w:val="0FC041EE"/>
    <w:rsid w:val="0FC65D20"/>
    <w:rsid w:val="115234C1"/>
    <w:rsid w:val="11F16015"/>
    <w:rsid w:val="130F0FEE"/>
    <w:rsid w:val="13C16B62"/>
    <w:rsid w:val="142100EB"/>
    <w:rsid w:val="14400213"/>
    <w:rsid w:val="1477435C"/>
    <w:rsid w:val="14EA3CCC"/>
    <w:rsid w:val="16710681"/>
    <w:rsid w:val="170471D7"/>
    <w:rsid w:val="17A972BD"/>
    <w:rsid w:val="17AF0B16"/>
    <w:rsid w:val="17D15BAA"/>
    <w:rsid w:val="17D47BFA"/>
    <w:rsid w:val="18F020FD"/>
    <w:rsid w:val="1B2522DF"/>
    <w:rsid w:val="1B681900"/>
    <w:rsid w:val="1CA8714F"/>
    <w:rsid w:val="1CDD3A8E"/>
    <w:rsid w:val="1CEE2D5A"/>
    <w:rsid w:val="1D6466A8"/>
    <w:rsid w:val="1DA430F0"/>
    <w:rsid w:val="1E9B20DE"/>
    <w:rsid w:val="1F392FCA"/>
    <w:rsid w:val="1F7563EC"/>
    <w:rsid w:val="20146619"/>
    <w:rsid w:val="21DB501C"/>
    <w:rsid w:val="21FC7711"/>
    <w:rsid w:val="231A3551"/>
    <w:rsid w:val="24BB3FD5"/>
    <w:rsid w:val="24CE594B"/>
    <w:rsid w:val="2501161D"/>
    <w:rsid w:val="27BE275B"/>
    <w:rsid w:val="287A7A86"/>
    <w:rsid w:val="29934A6D"/>
    <w:rsid w:val="29BC3CB9"/>
    <w:rsid w:val="29F411F6"/>
    <w:rsid w:val="2AFE4D20"/>
    <w:rsid w:val="2B012975"/>
    <w:rsid w:val="2D1A4D16"/>
    <w:rsid w:val="2D6C0415"/>
    <w:rsid w:val="2D833B8E"/>
    <w:rsid w:val="2D8A7145"/>
    <w:rsid w:val="2E1909BB"/>
    <w:rsid w:val="2E204C18"/>
    <w:rsid w:val="2E864BA1"/>
    <w:rsid w:val="2EC87D46"/>
    <w:rsid w:val="2F7F22F8"/>
    <w:rsid w:val="2F950E14"/>
    <w:rsid w:val="303D2227"/>
    <w:rsid w:val="31CF4924"/>
    <w:rsid w:val="31DE0257"/>
    <w:rsid w:val="32034776"/>
    <w:rsid w:val="33226E62"/>
    <w:rsid w:val="33A332E6"/>
    <w:rsid w:val="343C28B0"/>
    <w:rsid w:val="34945B3E"/>
    <w:rsid w:val="34EC7728"/>
    <w:rsid w:val="357117FD"/>
    <w:rsid w:val="35AE2C2F"/>
    <w:rsid w:val="35B64A1B"/>
    <w:rsid w:val="35C13B6C"/>
    <w:rsid w:val="35D867C1"/>
    <w:rsid w:val="36B7356E"/>
    <w:rsid w:val="36F732B3"/>
    <w:rsid w:val="37054AD1"/>
    <w:rsid w:val="372459E5"/>
    <w:rsid w:val="38954D5F"/>
    <w:rsid w:val="391060DB"/>
    <w:rsid w:val="39987F48"/>
    <w:rsid w:val="39AB1D97"/>
    <w:rsid w:val="39E65102"/>
    <w:rsid w:val="3A3D7EAF"/>
    <w:rsid w:val="3A8723CC"/>
    <w:rsid w:val="3AD575A2"/>
    <w:rsid w:val="3AF219DF"/>
    <w:rsid w:val="3B675874"/>
    <w:rsid w:val="3BD25D0B"/>
    <w:rsid w:val="3BF156CE"/>
    <w:rsid w:val="3D450F68"/>
    <w:rsid w:val="3D5955A0"/>
    <w:rsid w:val="3E3A270A"/>
    <w:rsid w:val="3E8372F5"/>
    <w:rsid w:val="3EC62950"/>
    <w:rsid w:val="3EE42AB6"/>
    <w:rsid w:val="40552625"/>
    <w:rsid w:val="40AE0143"/>
    <w:rsid w:val="41645256"/>
    <w:rsid w:val="433B213D"/>
    <w:rsid w:val="437A2709"/>
    <w:rsid w:val="44AC700A"/>
    <w:rsid w:val="45B44069"/>
    <w:rsid w:val="46562D22"/>
    <w:rsid w:val="469025C9"/>
    <w:rsid w:val="46CB3641"/>
    <w:rsid w:val="484C07B1"/>
    <w:rsid w:val="49F87635"/>
    <w:rsid w:val="4AFC42D7"/>
    <w:rsid w:val="4B0C2332"/>
    <w:rsid w:val="4B392A26"/>
    <w:rsid w:val="4BA16241"/>
    <w:rsid w:val="4CA275C9"/>
    <w:rsid w:val="4D760982"/>
    <w:rsid w:val="4E455733"/>
    <w:rsid w:val="4E4E58B7"/>
    <w:rsid w:val="4FA83CC1"/>
    <w:rsid w:val="51202098"/>
    <w:rsid w:val="513A473F"/>
    <w:rsid w:val="531070D0"/>
    <w:rsid w:val="53214343"/>
    <w:rsid w:val="536410A5"/>
    <w:rsid w:val="53D26E67"/>
    <w:rsid w:val="54282715"/>
    <w:rsid w:val="54D16C78"/>
    <w:rsid w:val="564E7DEA"/>
    <w:rsid w:val="56E36517"/>
    <w:rsid w:val="583A0626"/>
    <w:rsid w:val="58445001"/>
    <w:rsid w:val="587A4EC7"/>
    <w:rsid w:val="58ED38EB"/>
    <w:rsid w:val="5A6866CC"/>
    <w:rsid w:val="5A7A5B66"/>
    <w:rsid w:val="5A9B2ED2"/>
    <w:rsid w:val="5A9B776B"/>
    <w:rsid w:val="5B244AA2"/>
    <w:rsid w:val="5BAC183B"/>
    <w:rsid w:val="5C4E787D"/>
    <w:rsid w:val="5D0C00B7"/>
    <w:rsid w:val="5E6C6E8B"/>
    <w:rsid w:val="5EAB402C"/>
    <w:rsid w:val="5EEF73DD"/>
    <w:rsid w:val="604E4786"/>
    <w:rsid w:val="605733AF"/>
    <w:rsid w:val="60B66094"/>
    <w:rsid w:val="60E41A32"/>
    <w:rsid w:val="61133E1C"/>
    <w:rsid w:val="615D3C30"/>
    <w:rsid w:val="61895B63"/>
    <w:rsid w:val="618F60F1"/>
    <w:rsid w:val="62943029"/>
    <w:rsid w:val="62AD6EC5"/>
    <w:rsid w:val="62FF75EB"/>
    <w:rsid w:val="6330404F"/>
    <w:rsid w:val="63E67515"/>
    <w:rsid w:val="64AB4BCB"/>
    <w:rsid w:val="64B828A1"/>
    <w:rsid w:val="6645639C"/>
    <w:rsid w:val="67760690"/>
    <w:rsid w:val="67E42C0C"/>
    <w:rsid w:val="67FF0F45"/>
    <w:rsid w:val="6861350C"/>
    <w:rsid w:val="688431F8"/>
    <w:rsid w:val="69755D9C"/>
    <w:rsid w:val="69AE0120"/>
    <w:rsid w:val="6B795723"/>
    <w:rsid w:val="6B817F03"/>
    <w:rsid w:val="6B871B85"/>
    <w:rsid w:val="6BAA11C7"/>
    <w:rsid w:val="6C0B12BC"/>
    <w:rsid w:val="6C3949E6"/>
    <w:rsid w:val="6C5749C1"/>
    <w:rsid w:val="6C890F9B"/>
    <w:rsid w:val="6CAD0305"/>
    <w:rsid w:val="6D216C01"/>
    <w:rsid w:val="6DF07FA4"/>
    <w:rsid w:val="6E6704D6"/>
    <w:rsid w:val="702141A6"/>
    <w:rsid w:val="70503617"/>
    <w:rsid w:val="70524BBC"/>
    <w:rsid w:val="710D1317"/>
    <w:rsid w:val="71ED5389"/>
    <w:rsid w:val="720E7291"/>
    <w:rsid w:val="7339530E"/>
    <w:rsid w:val="73BF4DEE"/>
    <w:rsid w:val="757B4A50"/>
    <w:rsid w:val="76767E52"/>
    <w:rsid w:val="7832337F"/>
    <w:rsid w:val="78862240"/>
    <w:rsid w:val="78F00FCF"/>
    <w:rsid w:val="791A0E1C"/>
    <w:rsid w:val="792B7203"/>
    <w:rsid w:val="79507852"/>
    <w:rsid w:val="7AAC7F07"/>
    <w:rsid w:val="7B2A58C1"/>
    <w:rsid w:val="7C6B0D72"/>
    <w:rsid w:val="7C7F2BC5"/>
    <w:rsid w:val="7C9440C7"/>
    <w:rsid w:val="7DE33922"/>
    <w:rsid w:val="7EA37E2C"/>
    <w:rsid w:val="7F0B7D77"/>
    <w:rsid w:val="7F5636E6"/>
    <w:rsid w:val="7FBF77BF"/>
    <w:rsid w:val="7FD61105"/>
    <w:rsid w:val="9FEFE3B1"/>
    <w:rsid w:val="AFFBFB16"/>
    <w:rsid w:val="EFFBED00"/>
    <w:rsid w:val="F7FC9EA2"/>
    <w:rsid w:val="FBDE8990"/>
    <w:rsid w:val="FEFFE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qFormat="1" w:uiPriority="99" w:semiHidden="0"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2"/>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5"/>
    <w:link w:val="143"/>
    <w:qFormat/>
    <w:uiPriority w:val="0"/>
    <w:pPr>
      <w:keepNext/>
      <w:keepLines/>
      <w:spacing w:before="260" w:after="260" w:line="416" w:lineRule="auto"/>
      <w:ind w:left="720" w:hanging="432"/>
      <w:outlineLvl w:val="2"/>
    </w:pPr>
    <w:rPr>
      <w:b/>
      <w:bCs/>
      <w:sz w:val="32"/>
      <w:szCs w:val="32"/>
    </w:rPr>
  </w:style>
  <w:style w:type="paragraph" w:styleId="6">
    <w:name w:val="heading 4"/>
    <w:basedOn w:val="1"/>
    <w:next w:val="1"/>
    <w:link w:val="144"/>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7">
    <w:name w:val="heading 5"/>
    <w:basedOn w:val="1"/>
    <w:next w:val="1"/>
    <w:link w:val="145"/>
    <w:qFormat/>
    <w:uiPriority w:val="0"/>
    <w:pPr>
      <w:keepNext/>
      <w:keepLines/>
      <w:spacing w:before="280" w:after="290" w:line="376" w:lineRule="auto"/>
      <w:ind w:left="1008" w:hanging="432"/>
      <w:outlineLvl w:val="4"/>
    </w:pPr>
    <w:rPr>
      <w:b/>
      <w:bCs/>
      <w:sz w:val="28"/>
      <w:szCs w:val="28"/>
    </w:rPr>
  </w:style>
  <w:style w:type="paragraph" w:styleId="8">
    <w:name w:val="heading 6"/>
    <w:basedOn w:val="1"/>
    <w:next w:val="1"/>
    <w:link w:val="146"/>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9">
    <w:name w:val="heading 7"/>
    <w:basedOn w:val="1"/>
    <w:next w:val="1"/>
    <w:link w:val="147"/>
    <w:qFormat/>
    <w:uiPriority w:val="0"/>
    <w:pPr>
      <w:keepNext/>
      <w:keepLines/>
      <w:spacing w:before="240" w:after="64" w:line="320" w:lineRule="auto"/>
      <w:ind w:left="1296" w:hanging="288"/>
      <w:outlineLvl w:val="6"/>
    </w:pPr>
    <w:rPr>
      <w:b/>
      <w:bCs/>
      <w:sz w:val="24"/>
      <w:szCs w:val="24"/>
    </w:rPr>
  </w:style>
  <w:style w:type="paragraph" w:styleId="10">
    <w:name w:val="heading 8"/>
    <w:basedOn w:val="1"/>
    <w:next w:val="1"/>
    <w:link w:val="148"/>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1">
    <w:name w:val="heading 9"/>
    <w:basedOn w:val="1"/>
    <w:next w:val="1"/>
    <w:link w:val="149"/>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200" w:leftChars="200"/>
    </w:pPr>
  </w:style>
  <w:style w:type="paragraph" w:styleId="12">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semiHidden/>
    <w:qFormat/>
    <w:uiPriority w:val="0"/>
    <w:pPr>
      <w:ind w:left="1260"/>
      <w:jc w:val="left"/>
    </w:pPr>
    <w:rPr>
      <w:rFonts w:eastAsia="宋体" w:cstheme="minorHAnsi"/>
      <w:sz w:val="18"/>
      <w:szCs w:val="18"/>
    </w:rPr>
  </w:style>
  <w:style w:type="paragraph" w:styleId="14">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5">
    <w:name w:val="Note Heading"/>
    <w:basedOn w:val="1"/>
    <w:next w:val="1"/>
    <w:link w:val="153"/>
    <w:semiHidden/>
    <w:qFormat/>
    <w:uiPriority w:val="0"/>
    <w:pPr>
      <w:jc w:val="center"/>
    </w:pPr>
    <w:rPr>
      <w:rFonts w:ascii="Times New Roman" w:hAnsi="Times New Roman" w:eastAsia="宋体" w:cs="Times New Roman"/>
      <w:szCs w:val="24"/>
    </w:rPr>
  </w:style>
  <w:style w:type="paragraph" w:styleId="16">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7">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8">
    <w:name w:val="E-mail Signature"/>
    <w:basedOn w:val="1"/>
    <w:link w:val="155"/>
    <w:semiHidden/>
    <w:qFormat/>
    <w:uiPriority w:val="0"/>
    <w:rPr>
      <w:rFonts w:ascii="Times New Roman" w:hAnsi="Times New Roman" w:eastAsia="宋体" w:cs="Times New Roman"/>
      <w:szCs w:val="24"/>
    </w:rPr>
  </w:style>
  <w:style w:type="paragraph" w:styleId="19">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20">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1">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3">
    <w:name w:val="Document Map"/>
    <w:basedOn w:val="1"/>
    <w:link w:val="158"/>
    <w:qFormat/>
    <w:uiPriority w:val="0"/>
    <w:pPr>
      <w:shd w:val="clear" w:color="auto" w:fill="000080"/>
    </w:pPr>
    <w:rPr>
      <w:rFonts w:ascii="Times New Roman" w:hAnsi="Times New Roman" w:eastAsia="宋体" w:cs="Times New Roman"/>
      <w:szCs w:val="20"/>
    </w:r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5">
    <w:name w:val="annotation text"/>
    <w:basedOn w:val="1"/>
    <w:link w:val="178"/>
    <w:unhideWhenUsed/>
    <w:qFormat/>
    <w:uiPriority w:val="0"/>
    <w:pPr>
      <w:jc w:val="left"/>
    </w:pPr>
    <w:rPr>
      <w:rFonts w:ascii="Times New Roman" w:hAnsi="Times New Roman" w:eastAsia="宋体" w:cs="Times New Roman"/>
      <w:szCs w:val="20"/>
    </w:rPr>
  </w:style>
  <w:style w:type="paragraph" w:styleId="26">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7">
    <w:name w:val="Salutation"/>
    <w:basedOn w:val="1"/>
    <w:next w:val="1"/>
    <w:link w:val="169"/>
    <w:semiHidden/>
    <w:qFormat/>
    <w:uiPriority w:val="0"/>
    <w:rPr>
      <w:rFonts w:ascii="Times New Roman" w:hAnsi="Times New Roman" w:eastAsia="宋体" w:cs="Times New Roman"/>
      <w:szCs w:val="24"/>
    </w:rPr>
  </w:style>
  <w:style w:type="paragraph" w:styleId="28">
    <w:name w:val="Body Text 3"/>
    <w:basedOn w:val="1"/>
    <w:link w:val="160"/>
    <w:semiHidden/>
    <w:qFormat/>
    <w:uiPriority w:val="0"/>
    <w:pPr>
      <w:spacing w:after="120"/>
    </w:pPr>
    <w:rPr>
      <w:rFonts w:ascii="Times New Roman" w:hAnsi="Times New Roman" w:eastAsia="宋体" w:cs="Times New Roman"/>
      <w:sz w:val="16"/>
      <w:szCs w:val="16"/>
    </w:rPr>
  </w:style>
  <w:style w:type="paragraph" w:styleId="29">
    <w:name w:val="Closing"/>
    <w:basedOn w:val="1"/>
    <w:link w:val="170"/>
    <w:semiHidden/>
    <w:qFormat/>
    <w:uiPriority w:val="0"/>
    <w:pPr>
      <w:ind w:left="100" w:leftChars="2100"/>
    </w:pPr>
    <w:rPr>
      <w:rFonts w:ascii="Times New Roman" w:hAnsi="Times New Roman" w:eastAsia="宋体" w:cs="Times New Roman"/>
      <w:szCs w:val="24"/>
    </w:rPr>
  </w:style>
  <w:style w:type="paragraph" w:styleId="30">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1">
    <w:name w:val="Body Text"/>
    <w:basedOn w:val="1"/>
    <w:link w:val="181"/>
    <w:semiHidden/>
    <w:unhideWhenUsed/>
    <w:qFormat/>
    <w:uiPriority w:val="99"/>
    <w:pPr>
      <w:spacing w:after="120"/>
    </w:pPr>
    <w:rPr>
      <w:rFonts w:ascii="Times New Roman" w:hAnsi="Times New Roman" w:eastAsia="宋体" w:cs="Times New Roman"/>
      <w:szCs w:val="20"/>
    </w:rPr>
  </w:style>
  <w:style w:type="paragraph" w:styleId="32">
    <w:name w:val="Body Text Indent"/>
    <w:basedOn w:val="1"/>
    <w:link w:val="202"/>
    <w:semiHidden/>
    <w:unhideWhenUsed/>
    <w:qFormat/>
    <w:uiPriority w:val="99"/>
    <w:pPr>
      <w:spacing w:after="120"/>
      <w:ind w:left="420" w:leftChars="200"/>
    </w:pPr>
    <w:rPr>
      <w:rFonts w:ascii="Times New Roman" w:hAnsi="Times New Roman" w:eastAsia="宋体" w:cs="Times New Roman"/>
      <w:szCs w:val="20"/>
    </w:rPr>
  </w:style>
  <w:style w:type="paragraph" w:styleId="33">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4">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5">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6">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7">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8">
    <w:name w:val="HTML Address"/>
    <w:basedOn w:val="1"/>
    <w:link w:val="168"/>
    <w:semiHidden/>
    <w:qFormat/>
    <w:uiPriority w:val="0"/>
    <w:rPr>
      <w:rFonts w:ascii="Times New Roman" w:hAnsi="Times New Roman" w:eastAsia="宋体" w:cs="Times New Roman"/>
      <w:i/>
      <w:iCs/>
      <w:szCs w:val="24"/>
    </w:rPr>
  </w:style>
  <w:style w:type="paragraph" w:styleId="39">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40">
    <w:name w:val="toc 5"/>
    <w:basedOn w:val="1"/>
    <w:next w:val="1"/>
    <w:semiHidden/>
    <w:qFormat/>
    <w:uiPriority w:val="0"/>
    <w:pPr>
      <w:ind w:left="840"/>
      <w:jc w:val="left"/>
    </w:pPr>
    <w:rPr>
      <w:rFonts w:eastAsia="宋体" w:cstheme="minorHAnsi"/>
      <w:sz w:val="18"/>
      <w:szCs w:val="18"/>
    </w:rPr>
  </w:style>
  <w:style w:type="paragraph" w:styleId="41">
    <w:name w:val="toc 3"/>
    <w:basedOn w:val="1"/>
    <w:next w:val="1"/>
    <w:qFormat/>
    <w:uiPriority w:val="39"/>
    <w:pPr>
      <w:ind w:left="420"/>
      <w:jc w:val="left"/>
    </w:pPr>
    <w:rPr>
      <w:rFonts w:eastAsia="宋体" w:cstheme="minorHAnsi"/>
      <w:i/>
      <w:iCs/>
      <w:sz w:val="20"/>
      <w:szCs w:val="20"/>
    </w:rPr>
  </w:style>
  <w:style w:type="paragraph" w:styleId="42">
    <w:name w:val="Plain Text"/>
    <w:basedOn w:val="1"/>
    <w:link w:val="205"/>
    <w:unhideWhenUsed/>
    <w:qFormat/>
    <w:uiPriority w:val="0"/>
    <w:rPr>
      <w:rFonts w:ascii="宋体" w:hAnsi="Courier New" w:eastAsia="宋体" w:cs="Times New Roman"/>
      <w:kern w:val="0"/>
      <w:sz w:val="20"/>
      <w:szCs w:val="21"/>
    </w:rPr>
  </w:style>
  <w:style w:type="paragraph" w:styleId="43">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5">
    <w:name w:val="toc 8"/>
    <w:basedOn w:val="1"/>
    <w:next w:val="1"/>
    <w:semiHidden/>
    <w:qFormat/>
    <w:uiPriority w:val="0"/>
    <w:pPr>
      <w:ind w:left="1470"/>
      <w:jc w:val="left"/>
    </w:pPr>
    <w:rPr>
      <w:rFonts w:eastAsia="宋体" w:cstheme="minorHAnsi"/>
      <w:sz w:val="18"/>
      <w:szCs w:val="18"/>
    </w:rPr>
  </w:style>
  <w:style w:type="paragraph" w:styleId="46">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7">
    <w:name w:val="Date"/>
    <w:basedOn w:val="1"/>
    <w:next w:val="1"/>
    <w:link w:val="227"/>
    <w:semiHidden/>
    <w:unhideWhenUsed/>
    <w:qFormat/>
    <w:uiPriority w:val="0"/>
    <w:pPr>
      <w:ind w:left="100" w:leftChars="2500"/>
    </w:pPr>
    <w:rPr>
      <w:rFonts w:ascii="Times New Roman" w:hAnsi="Times New Roman" w:eastAsia="宋体" w:cs="Times New Roman"/>
      <w:szCs w:val="20"/>
    </w:rPr>
  </w:style>
  <w:style w:type="paragraph" w:styleId="48">
    <w:name w:val="Body Text Indent 2"/>
    <w:basedOn w:val="1"/>
    <w:link w:val="164"/>
    <w:semiHidden/>
    <w:qFormat/>
    <w:uiPriority w:val="0"/>
    <w:pPr>
      <w:spacing w:after="120" w:line="480" w:lineRule="auto"/>
      <w:ind w:left="420" w:leftChars="200"/>
    </w:pPr>
    <w:rPr>
      <w:rFonts w:ascii="Times New Roman" w:hAnsi="Times New Roman" w:eastAsia="宋体" w:cs="Times New Roman"/>
      <w:szCs w:val="24"/>
    </w:rPr>
  </w:style>
  <w:style w:type="paragraph" w:styleId="49">
    <w:name w:val="endnote text"/>
    <w:basedOn w:val="1"/>
    <w:link w:val="217"/>
    <w:semiHidden/>
    <w:qFormat/>
    <w:uiPriority w:val="0"/>
    <w:pPr>
      <w:snapToGrid w:val="0"/>
      <w:jc w:val="left"/>
    </w:pPr>
    <w:rPr>
      <w:rFonts w:ascii="Times New Roman" w:hAnsi="Times New Roman" w:eastAsia="宋体" w:cs="Times New Roman"/>
      <w:szCs w:val="24"/>
    </w:rPr>
  </w:style>
  <w:style w:type="paragraph" w:styleId="50">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1">
    <w:name w:val="Balloon Text"/>
    <w:basedOn w:val="1"/>
    <w:link w:val="161"/>
    <w:semiHidden/>
    <w:qFormat/>
    <w:uiPriority w:val="0"/>
    <w:rPr>
      <w:rFonts w:ascii="Times New Roman" w:hAnsi="Times New Roman" w:eastAsia="宋体" w:cs="Times New Roman"/>
      <w:sz w:val="18"/>
      <w:szCs w:val="18"/>
    </w:rPr>
  </w:style>
  <w:style w:type="paragraph" w:styleId="52">
    <w:name w:val="footer"/>
    <w:basedOn w:val="1"/>
    <w:link w:val="157"/>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3">
    <w:name w:val="envelope return"/>
    <w:basedOn w:val="1"/>
    <w:semiHidden/>
    <w:qFormat/>
    <w:uiPriority w:val="0"/>
    <w:pPr>
      <w:snapToGrid w:val="0"/>
    </w:pPr>
    <w:rPr>
      <w:rFonts w:ascii="Arial" w:hAnsi="Arial" w:eastAsia="宋体" w:cs="Arial"/>
      <w:szCs w:val="24"/>
    </w:rPr>
  </w:style>
  <w:style w:type="paragraph" w:styleId="54">
    <w:name w:val="header"/>
    <w:basedOn w:val="1"/>
    <w:link w:val="17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5">
    <w:name w:val="Signature"/>
    <w:basedOn w:val="1"/>
    <w:link w:val="151"/>
    <w:semiHidden/>
    <w:qFormat/>
    <w:uiPriority w:val="0"/>
    <w:pPr>
      <w:ind w:left="100" w:leftChars="2100"/>
    </w:pPr>
    <w:rPr>
      <w:rFonts w:ascii="Times New Roman" w:hAnsi="Times New Roman" w:eastAsia="宋体" w:cs="Times New Roman"/>
      <w:szCs w:val="24"/>
    </w:rPr>
  </w:style>
  <w:style w:type="paragraph" w:styleId="56">
    <w:name w:val="toc 1"/>
    <w:basedOn w:val="1"/>
    <w:next w:val="1"/>
    <w:qFormat/>
    <w:uiPriority w:val="39"/>
    <w:pPr>
      <w:spacing w:before="120" w:after="120"/>
      <w:jc w:val="left"/>
    </w:pPr>
    <w:rPr>
      <w:rFonts w:eastAsia="宋体" w:cstheme="minorHAnsi"/>
      <w:b/>
      <w:bCs/>
      <w:caps/>
      <w:sz w:val="20"/>
      <w:szCs w:val="20"/>
    </w:rPr>
  </w:style>
  <w:style w:type="paragraph" w:styleId="57">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8">
    <w:name w:val="toc 4"/>
    <w:basedOn w:val="1"/>
    <w:next w:val="1"/>
    <w:qFormat/>
    <w:uiPriority w:val="0"/>
    <w:pPr>
      <w:ind w:left="630"/>
      <w:jc w:val="left"/>
    </w:pPr>
    <w:rPr>
      <w:rFonts w:eastAsia="宋体" w:cstheme="minorHAnsi"/>
      <w:sz w:val="18"/>
      <w:szCs w:val="18"/>
    </w:rPr>
  </w:style>
  <w:style w:type="paragraph" w:styleId="59">
    <w:name w:val="index heading"/>
    <w:basedOn w:val="1"/>
    <w:next w:val="60"/>
    <w:semiHidden/>
    <w:qFormat/>
    <w:uiPriority w:val="0"/>
    <w:pPr>
      <w:spacing w:before="120" w:after="120"/>
      <w:jc w:val="left"/>
    </w:pPr>
    <w:rPr>
      <w:rFonts w:ascii="Times New Roman" w:hAnsi="Times New Roman" w:eastAsia="宋体" w:cs="Times New Roman"/>
      <w:b/>
      <w:bCs/>
      <w:i/>
      <w:iCs/>
      <w:sz w:val="20"/>
      <w:szCs w:val="20"/>
    </w:rPr>
  </w:style>
  <w:style w:type="paragraph" w:styleId="60">
    <w:name w:val="index 1"/>
    <w:basedOn w:val="1"/>
    <w:next w:val="1"/>
    <w:semiHidden/>
    <w:unhideWhenUsed/>
    <w:qFormat/>
    <w:uiPriority w:val="0"/>
    <w:rPr>
      <w:rFonts w:ascii="Times New Roman" w:hAnsi="Times New Roman" w:eastAsia="宋体" w:cs="Times New Roman"/>
      <w:szCs w:val="20"/>
    </w:rPr>
  </w:style>
  <w:style w:type="paragraph" w:styleId="61">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2">
    <w:name w:val="List"/>
    <w:basedOn w:val="1"/>
    <w:semiHidden/>
    <w:qFormat/>
    <w:uiPriority w:val="0"/>
    <w:pPr>
      <w:ind w:left="200" w:hanging="200" w:hangingChars="200"/>
    </w:pPr>
    <w:rPr>
      <w:rFonts w:ascii="Times New Roman" w:hAnsi="Times New Roman" w:eastAsia="宋体" w:cs="Times New Roman"/>
      <w:szCs w:val="24"/>
    </w:rPr>
  </w:style>
  <w:style w:type="paragraph" w:styleId="63">
    <w:name w:val="footnote text"/>
    <w:basedOn w:val="1"/>
    <w:link w:val="218"/>
    <w:semiHidden/>
    <w:qFormat/>
    <w:uiPriority w:val="0"/>
    <w:pPr>
      <w:snapToGrid w:val="0"/>
      <w:jc w:val="left"/>
    </w:pPr>
    <w:rPr>
      <w:rFonts w:ascii="Times New Roman" w:hAnsi="Times New Roman" w:eastAsia="宋体" w:cs="Times New Roman"/>
      <w:sz w:val="18"/>
      <w:szCs w:val="20"/>
    </w:rPr>
  </w:style>
  <w:style w:type="paragraph" w:styleId="64">
    <w:name w:val="toc 6"/>
    <w:basedOn w:val="1"/>
    <w:next w:val="1"/>
    <w:semiHidden/>
    <w:qFormat/>
    <w:uiPriority w:val="0"/>
    <w:pPr>
      <w:ind w:left="1050"/>
      <w:jc w:val="left"/>
    </w:pPr>
    <w:rPr>
      <w:rFonts w:eastAsia="宋体" w:cstheme="minorHAnsi"/>
      <w:sz w:val="18"/>
      <w:szCs w:val="18"/>
    </w:rPr>
  </w:style>
  <w:style w:type="paragraph" w:styleId="65">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6">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7">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8">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9">
    <w:name w:val="toc 2"/>
    <w:basedOn w:val="1"/>
    <w:next w:val="1"/>
    <w:qFormat/>
    <w:uiPriority w:val="39"/>
    <w:pPr>
      <w:ind w:left="210"/>
      <w:jc w:val="left"/>
    </w:pPr>
    <w:rPr>
      <w:rFonts w:eastAsia="宋体" w:cstheme="minorHAnsi"/>
      <w:smallCaps/>
      <w:sz w:val="20"/>
      <w:szCs w:val="20"/>
    </w:rPr>
  </w:style>
  <w:style w:type="paragraph" w:styleId="70">
    <w:name w:val="toc 9"/>
    <w:basedOn w:val="1"/>
    <w:next w:val="1"/>
    <w:semiHidden/>
    <w:qFormat/>
    <w:uiPriority w:val="0"/>
    <w:pPr>
      <w:ind w:left="1680"/>
      <w:jc w:val="left"/>
    </w:pPr>
    <w:rPr>
      <w:rFonts w:eastAsia="宋体" w:cstheme="minorHAnsi"/>
      <w:sz w:val="18"/>
      <w:szCs w:val="18"/>
    </w:rPr>
  </w:style>
  <w:style w:type="paragraph" w:styleId="71">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2">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3">
    <w:name w:val="Message Header"/>
    <w:basedOn w:val="1"/>
    <w:link w:val="159"/>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4">
    <w:name w:val="HTML Preformatted"/>
    <w:basedOn w:val="1"/>
    <w:link w:val="150"/>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6">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7">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8">
    <w:name w:val="annotation subject"/>
    <w:basedOn w:val="25"/>
    <w:next w:val="25"/>
    <w:link w:val="162"/>
    <w:semiHidden/>
    <w:qFormat/>
    <w:uiPriority w:val="0"/>
    <w:rPr>
      <w:b/>
      <w:bCs/>
      <w:szCs w:val="24"/>
    </w:rPr>
  </w:style>
  <w:style w:type="paragraph" w:styleId="79">
    <w:name w:val="Body Text First Indent"/>
    <w:basedOn w:val="1"/>
    <w:link w:val="171"/>
    <w:semiHidden/>
    <w:qFormat/>
    <w:uiPriority w:val="0"/>
    <w:pPr>
      <w:spacing w:after="120"/>
      <w:ind w:firstLine="420" w:firstLineChars="100"/>
    </w:pPr>
    <w:rPr>
      <w:rFonts w:ascii="Times New Roman"/>
      <w:szCs w:val="24"/>
    </w:rPr>
  </w:style>
  <w:style w:type="paragraph" w:styleId="80">
    <w:name w:val="Body Text First Indent 2"/>
    <w:basedOn w:val="1"/>
    <w:link w:val="152"/>
    <w:semiHidden/>
    <w:qFormat/>
    <w:uiPriority w:val="0"/>
    <w:pPr>
      <w:spacing w:after="120"/>
      <w:ind w:left="420" w:leftChars="200" w:firstLine="420"/>
    </w:pPr>
    <w:rPr>
      <w:rFonts w:ascii="Times New Roman" w:hAnsi="Times New Roman"/>
      <w:szCs w:val="24"/>
    </w:rPr>
  </w:style>
  <w:style w:type="table" w:styleId="82">
    <w:name w:val="Table Grid"/>
    <w:basedOn w:val="8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semiHidden/>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semiHidden/>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semiHidden/>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8">
    <w:name w:val="Table Classic 1"/>
    <w:basedOn w:val="81"/>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semiHidden/>
    <w:qFormat/>
    <w:uiPriority w:val="0"/>
    <w:pPr>
      <w:widowControl w:val="0"/>
      <w:jc w:val="both"/>
    </w:pPr>
    <w:rPr>
      <w:rFonts w:ascii="Times New Roman" w:hAnsi="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5">
    <w:name w:val="Table Subtle 1"/>
    <w:basedOn w:val="81"/>
    <w:semiHidden/>
    <w:qFormat/>
    <w:uiPriority w:val="0"/>
    <w:pPr>
      <w:widowControl w:val="0"/>
      <w:jc w:val="both"/>
    </w:pPr>
    <w:rPr>
      <w:rFonts w:ascii="Times New Roman" w:hAnsi="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semiHidden/>
    <w:qFormat/>
    <w:uiPriority w:val="0"/>
    <w:pPr>
      <w:widowControl w:val="0"/>
      <w:jc w:val="both"/>
    </w:pPr>
    <w:rPr>
      <w:rFonts w:ascii="Times New Roman" w:hAnsi="Times New Roman"/>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semiHidden/>
    <w:qFormat/>
    <w:uiPriority w:val="0"/>
    <w:pPr>
      <w:widowControl w:val="0"/>
      <w:jc w:val="both"/>
    </w:pPr>
    <w:rPr>
      <w:rFonts w:ascii="Times New Roman" w:hAnsi="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semiHidden/>
    <w:qFormat/>
    <w:uiPriority w:val="0"/>
    <w:pPr>
      <w:widowControl w:val="0"/>
      <w:jc w:val="both"/>
    </w:pPr>
    <w:rPr>
      <w:rFonts w:ascii="Times New Roman" w:hAnsi="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semiHidden/>
    <w:qFormat/>
    <w:uiPriority w:val="0"/>
    <w:pPr>
      <w:widowControl w:val="0"/>
      <w:jc w:val="both"/>
    </w:pPr>
    <w:rPr>
      <w:rFonts w:ascii="Times New Roman" w:hAnsi="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semiHidden/>
    <w:qFormat/>
    <w:uiPriority w:val="0"/>
    <w:pPr>
      <w:widowControl w:val="0"/>
      <w:jc w:val="both"/>
    </w:pPr>
    <w:rPr>
      <w:rFonts w:ascii="Times New Roman" w:hAnsi="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81"/>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81"/>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Professional"/>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7">
    <w:name w:val="endnote reference"/>
    <w:semiHidden/>
    <w:qFormat/>
    <w:uiPriority w:val="0"/>
    <w:rPr>
      <w:vertAlign w:val="superscript"/>
    </w:rPr>
  </w:style>
  <w:style w:type="character" w:styleId="128">
    <w:name w:val="FollowedHyperlink"/>
    <w:unhideWhenUsed/>
    <w:qFormat/>
    <w:uiPriority w:val="99"/>
    <w:rPr>
      <w:color w:val="800080"/>
      <w:u w:val="single"/>
    </w:rPr>
  </w:style>
  <w:style w:type="character" w:styleId="129">
    <w:name w:val="line number"/>
    <w:basedOn w:val="126"/>
    <w:semiHidden/>
    <w:qFormat/>
    <w:uiPriority w:val="0"/>
  </w:style>
  <w:style w:type="character" w:styleId="130">
    <w:name w:val="HTML Definition"/>
    <w:semiHidden/>
    <w:qFormat/>
    <w:uiPriority w:val="0"/>
    <w:rPr>
      <w:i/>
      <w:iCs/>
    </w:rPr>
  </w:style>
  <w:style w:type="character" w:styleId="131">
    <w:name w:val="HTML Typewriter"/>
    <w:semiHidden/>
    <w:qFormat/>
    <w:uiPriority w:val="0"/>
    <w:rPr>
      <w:rFonts w:ascii="Courier New" w:hAnsi="Courier New" w:cs="Courier New"/>
      <w:sz w:val="20"/>
      <w:szCs w:val="20"/>
    </w:rPr>
  </w:style>
  <w:style w:type="character" w:styleId="132">
    <w:name w:val="HTML Acronym"/>
    <w:basedOn w:val="126"/>
    <w:semiHidden/>
    <w:qFormat/>
    <w:uiPriority w:val="0"/>
  </w:style>
  <w:style w:type="character" w:styleId="133">
    <w:name w:val="HTML Variable"/>
    <w:semiHidden/>
    <w:qFormat/>
    <w:uiPriority w:val="0"/>
    <w:rPr>
      <w:i/>
      <w:iCs/>
    </w:rPr>
  </w:style>
  <w:style w:type="character" w:styleId="134">
    <w:name w:val="Hyperlink"/>
    <w:basedOn w:val="126"/>
    <w:unhideWhenUsed/>
    <w:qFormat/>
    <w:uiPriority w:val="99"/>
    <w:rPr>
      <w:color w:val="0000FF"/>
      <w:u w:val="single"/>
    </w:rPr>
  </w:style>
  <w:style w:type="character" w:styleId="135">
    <w:name w:val="HTML Code"/>
    <w:semiHidden/>
    <w:qFormat/>
    <w:uiPriority w:val="0"/>
    <w:rPr>
      <w:rFonts w:ascii="Courier New" w:hAnsi="Courier New" w:cs="Courier New"/>
      <w:sz w:val="20"/>
      <w:szCs w:val="20"/>
    </w:rPr>
  </w:style>
  <w:style w:type="character" w:styleId="136">
    <w:name w:val="annotation reference"/>
    <w:semiHidden/>
    <w:qFormat/>
    <w:uiPriority w:val="0"/>
    <w:rPr>
      <w:sz w:val="21"/>
      <w:szCs w:val="21"/>
    </w:rPr>
  </w:style>
  <w:style w:type="character" w:styleId="137">
    <w:name w:val="HTML Cite"/>
    <w:semiHidden/>
    <w:qFormat/>
    <w:uiPriority w:val="0"/>
    <w:rPr>
      <w:i/>
      <w:iCs/>
    </w:rPr>
  </w:style>
  <w:style w:type="character" w:styleId="138">
    <w:name w:val="footnote reference"/>
    <w:semiHidden/>
    <w:qFormat/>
    <w:uiPriority w:val="0"/>
    <w:rPr>
      <w:vertAlign w:val="superscript"/>
    </w:rPr>
  </w:style>
  <w:style w:type="character" w:styleId="139">
    <w:name w:val="HTML Keyboard"/>
    <w:semiHidden/>
    <w:qFormat/>
    <w:uiPriority w:val="0"/>
    <w:rPr>
      <w:rFonts w:ascii="Courier New" w:hAnsi="Courier New" w:cs="Courier New"/>
      <w:sz w:val="20"/>
      <w:szCs w:val="20"/>
    </w:rPr>
  </w:style>
  <w:style w:type="character" w:styleId="140">
    <w:name w:val="HTML Sample"/>
    <w:semiHidden/>
    <w:qFormat/>
    <w:uiPriority w:val="0"/>
    <w:rPr>
      <w:rFonts w:ascii="Courier New" w:hAnsi="Courier New" w:cs="Courier New"/>
    </w:rPr>
  </w:style>
  <w:style w:type="character" w:customStyle="1" w:styleId="141">
    <w:name w:val="标题 1 字符"/>
    <w:basedOn w:val="126"/>
    <w:link w:val="2"/>
    <w:qFormat/>
    <w:uiPriority w:val="0"/>
    <w:rPr>
      <w:b/>
      <w:bCs/>
      <w:kern w:val="44"/>
      <w:sz w:val="44"/>
      <w:szCs w:val="44"/>
    </w:rPr>
  </w:style>
  <w:style w:type="character" w:customStyle="1" w:styleId="142">
    <w:name w:val="标题 2 字符"/>
    <w:basedOn w:val="126"/>
    <w:link w:val="3"/>
    <w:qFormat/>
    <w:uiPriority w:val="0"/>
    <w:rPr>
      <w:rFonts w:asciiTheme="majorHAnsi" w:hAnsiTheme="majorHAnsi" w:eastAsiaTheme="majorEastAsia" w:cstheme="majorBidi"/>
      <w:b/>
      <w:bCs/>
      <w:sz w:val="32"/>
      <w:szCs w:val="32"/>
    </w:rPr>
  </w:style>
  <w:style w:type="character" w:customStyle="1" w:styleId="143">
    <w:name w:val="标题 3 字符"/>
    <w:basedOn w:val="126"/>
    <w:link w:val="4"/>
    <w:qFormat/>
    <w:uiPriority w:val="0"/>
    <w:rPr>
      <w:b/>
      <w:bCs/>
      <w:sz w:val="32"/>
      <w:szCs w:val="32"/>
    </w:rPr>
  </w:style>
  <w:style w:type="character" w:customStyle="1" w:styleId="144">
    <w:name w:val="标题 4 字符"/>
    <w:basedOn w:val="126"/>
    <w:link w:val="6"/>
    <w:qFormat/>
    <w:uiPriority w:val="0"/>
    <w:rPr>
      <w:rFonts w:asciiTheme="majorHAnsi" w:hAnsiTheme="majorHAnsi" w:eastAsiaTheme="majorEastAsia" w:cstheme="majorBidi"/>
      <w:b/>
      <w:bCs/>
      <w:sz w:val="28"/>
      <w:szCs w:val="28"/>
    </w:rPr>
  </w:style>
  <w:style w:type="character" w:customStyle="1" w:styleId="145">
    <w:name w:val="标题 5 字符"/>
    <w:basedOn w:val="126"/>
    <w:link w:val="7"/>
    <w:qFormat/>
    <w:uiPriority w:val="0"/>
    <w:rPr>
      <w:b/>
      <w:bCs/>
      <w:sz w:val="28"/>
      <w:szCs w:val="28"/>
    </w:rPr>
  </w:style>
  <w:style w:type="character" w:customStyle="1" w:styleId="146">
    <w:name w:val="标题 6 字符"/>
    <w:basedOn w:val="126"/>
    <w:link w:val="8"/>
    <w:qFormat/>
    <w:uiPriority w:val="0"/>
    <w:rPr>
      <w:rFonts w:asciiTheme="majorHAnsi" w:hAnsiTheme="majorHAnsi" w:eastAsiaTheme="majorEastAsia" w:cstheme="majorBidi"/>
      <w:b/>
      <w:bCs/>
      <w:sz w:val="24"/>
      <w:szCs w:val="24"/>
    </w:rPr>
  </w:style>
  <w:style w:type="character" w:customStyle="1" w:styleId="147">
    <w:name w:val="标题 7 字符"/>
    <w:basedOn w:val="126"/>
    <w:link w:val="9"/>
    <w:qFormat/>
    <w:uiPriority w:val="0"/>
    <w:rPr>
      <w:b/>
      <w:bCs/>
      <w:sz w:val="24"/>
      <w:szCs w:val="24"/>
    </w:rPr>
  </w:style>
  <w:style w:type="character" w:customStyle="1" w:styleId="148">
    <w:name w:val="标题 8 字符"/>
    <w:basedOn w:val="126"/>
    <w:link w:val="10"/>
    <w:qFormat/>
    <w:uiPriority w:val="0"/>
    <w:rPr>
      <w:rFonts w:asciiTheme="majorHAnsi" w:hAnsiTheme="majorHAnsi" w:eastAsiaTheme="majorEastAsia" w:cstheme="majorBidi"/>
      <w:sz w:val="24"/>
      <w:szCs w:val="24"/>
    </w:rPr>
  </w:style>
  <w:style w:type="character" w:customStyle="1" w:styleId="149">
    <w:name w:val="标题 9 字符"/>
    <w:basedOn w:val="126"/>
    <w:link w:val="11"/>
    <w:qFormat/>
    <w:uiPriority w:val="0"/>
    <w:rPr>
      <w:rFonts w:asciiTheme="majorHAnsi" w:hAnsiTheme="majorHAnsi" w:eastAsiaTheme="majorEastAsia" w:cstheme="majorBidi"/>
      <w:szCs w:val="21"/>
    </w:rPr>
  </w:style>
  <w:style w:type="character" w:customStyle="1" w:styleId="150">
    <w:name w:val="HTML 预设格式 字符"/>
    <w:link w:val="74"/>
    <w:semiHidden/>
    <w:qFormat/>
    <w:uiPriority w:val="0"/>
    <w:rPr>
      <w:rFonts w:ascii="宋体" w:hAnsi="宋体" w:eastAsia="宋体" w:cs="宋体"/>
      <w:color w:val="000000"/>
      <w:kern w:val="0"/>
      <w:sz w:val="24"/>
      <w:szCs w:val="24"/>
    </w:rPr>
  </w:style>
  <w:style w:type="character" w:customStyle="1" w:styleId="151">
    <w:name w:val="签名 字符"/>
    <w:link w:val="55"/>
    <w:semiHidden/>
    <w:qFormat/>
    <w:uiPriority w:val="0"/>
    <w:rPr>
      <w:rFonts w:ascii="Times New Roman" w:hAnsi="Times New Roman" w:eastAsia="宋体" w:cs="Times New Roman"/>
      <w:szCs w:val="24"/>
    </w:rPr>
  </w:style>
  <w:style w:type="character" w:customStyle="1" w:styleId="152">
    <w:name w:val="正文首行缩进 2 字符"/>
    <w:link w:val="80"/>
    <w:semiHidden/>
    <w:qFormat/>
    <w:uiPriority w:val="0"/>
    <w:rPr>
      <w:rFonts w:ascii="Times New Roman" w:hAnsi="Times New Roman"/>
      <w:szCs w:val="24"/>
    </w:rPr>
  </w:style>
  <w:style w:type="character" w:customStyle="1" w:styleId="153">
    <w:name w:val="注释标题 字符"/>
    <w:link w:val="15"/>
    <w:semiHidden/>
    <w:qFormat/>
    <w:uiPriority w:val="0"/>
    <w:rPr>
      <w:rFonts w:ascii="Times New Roman" w:hAnsi="Times New Roman" w:eastAsia="宋体" w:cs="Times New Roman"/>
      <w:szCs w:val="24"/>
    </w:rPr>
  </w:style>
  <w:style w:type="character" w:customStyle="1" w:styleId="154">
    <w:name w:val="unnamed211"/>
    <w:semiHidden/>
    <w:qFormat/>
    <w:uiPriority w:val="0"/>
    <w:rPr>
      <w:sz w:val="23"/>
      <w:szCs w:val="23"/>
    </w:rPr>
  </w:style>
  <w:style w:type="character" w:customStyle="1" w:styleId="155">
    <w:name w:val="电子邮件签名 字符"/>
    <w:link w:val="18"/>
    <w:semiHidden/>
    <w:qFormat/>
    <w:uiPriority w:val="0"/>
    <w:rPr>
      <w:rFonts w:ascii="Times New Roman" w:hAnsi="Times New Roman" w:eastAsia="宋体" w:cs="Times New Roman"/>
      <w:szCs w:val="24"/>
    </w:rPr>
  </w:style>
  <w:style w:type="character" w:customStyle="1" w:styleId="156">
    <w:name w:val="批注文字 Char"/>
    <w:semiHidden/>
    <w:qFormat/>
    <w:uiPriority w:val="0"/>
    <w:rPr>
      <w:rFonts w:ascii="Times New Roman" w:hAnsi="Times New Roman" w:eastAsia="宋体" w:cs="Times New Roman"/>
      <w:szCs w:val="20"/>
    </w:rPr>
  </w:style>
  <w:style w:type="character" w:customStyle="1" w:styleId="157">
    <w:name w:val="页脚 字符"/>
    <w:link w:val="52"/>
    <w:qFormat/>
    <w:uiPriority w:val="0"/>
    <w:rPr>
      <w:rFonts w:ascii="Times New Roman" w:hAnsi="Times New Roman" w:eastAsia="宋体" w:cs="Times New Roman"/>
      <w:sz w:val="18"/>
      <w:szCs w:val="18"/>
    </w:rPr>
  </w:style>
  <w:style w:type="character" w:customStyle="1" w:styleId="158">
    <w:name w:val="文档结构图 字符"/>
    <w:link w:val="23"/>
    <w:qFormat/>
    <w:uiPriority w:val="0"/>
    <w:rPr>
      <w:rFonts w:ascii="Times New Roman" w:hAnsi="Times New Roman" w:eastAsia="宋体" w:cs="Times New Roman"/>
      <w:szCs w:val="20"/>
      <w:shd w:val="clear" w:color="auto" w:fill="000080"/>
    </w:rPr>
  </w:style>
  <w:style w:type="character" w:customStyle="1" w:styleId="159">
    <w:name w:val="信息标题 字符"/>
    <w:link w:val="73"/>
    <w:semiHidden/>
    <w:qFormat/>
    <w:uiPriority w:val="0"/>
    <w:rPr>
      <w:rFonts w:ascii="Arial" w:hAnsi="Arial" w:eastAsia="宋体" w:cs="Arial"/>
      <w:sz w:val="24"/>
      <w:szCs w:val="24"/>
      <w:shd w:val="pct20" w:color="auto" w:fill="auto"/>
    </w:rPr>
  </w:style>
  <w:style w:type="character" w:customStyle="1" w:styleId="160">
    <w:name w:val="正文文本 3 字符"/>
    <w:link w:val="28"/>
    <w:semiHidden/>
    <w:qFormat/>
    <w:uiPriority w:val="0"/>
    <w:rPr>
      <w:rFonts w:ascii="Times New Roman" w:hAnsi="Times New Roman" w:eastAsia="宋体" w:cs="Times New Roman"/>
      <w:sz w:val="16"/>
      <w:szCs w:val="16"/>
    </w:rPr>
  </w:style>
  <w:style w:type="character" w:customStyle="1" w:styleId="161">
    <w:name w:val="批注框文本 字符"/>
    <w:link w:val="51"/>
    <w:semiHidden/>
    <w:qFormat/>
    <w:uiPriority w:val="0"/>
    <w:rPr>
      <w:rFonts w:ascii="Times New Roman" w:hAnsi="Times New Roman" w:eastAsia="宋体" w:cs="Times New Roman"/>
      <w:sz w:val="18"/>
      <w:szCs w:val="18"/>
    </w:rPr>
  </w:style>
  <w:style w:type="character" w:customStyle="1" w:styleId="162">
    <w:name w:val="批注主题 字符"/>
    <w:link w:val="78"/>
    <w:semiHidden/>
    <w:qFormat/>
    <w:uiPriority w:val="0"/>
    <w:rPr>
      <w:rFonts w:ascii="Times New Roman" w:hAnsi="Times New Roman" w:eastAsia="宋体" w:cs="Times New Roman"/>
      <w:b/>
      <w:bCs/>
      <w:szCs w:val="24"/>
    </w:rPr>
  </w:style>
  <w:style w:type="character" w:customStyle="1" w:styleId="163">
    <w:name w:val="ss1"/>
    <w:semiHidden/>
    <w:qFormat/>
    <w:uiPriority w:val="0"/>
    <w:rPr>
      <w:rFonts w:hint="default" w:ascii="ˎ̥" w:hAnsi="ˎ̥"/>
      <w:color w:val="000000"/>
      <w:sz w:val="18"/>
      <w:szCs w:val="18"/>
      <w:u w:val="none"/>
    </w:rPr>
  </w:style>
  <w:style w:type="character" w:customStyle="1" w:styleId="164">
    <w:name w:val="正文文本缩进 2 字符"/>
    <w:link w:val="48"/>
    <w:semiHidden/>
    <w:qFormat/>
    <w:uiPriority w:val="0"/>
    <w:rPr>
      <w:rFonts w:ascii="Times New Roman" w:hAnsi="Times New Roman" w:eastAsia="宋体" w:cs="Times New Roman"/>
      <w:szCs w:val="24"/>
    </w:rPr>
  </w:style>
  <w:style w:type="character" w:customStyle="1" w:styleId="165">
    <w:name w:val="f142"/>
    <w:semiHidden/>
    <w:qFormat/>
    <w:uiPriority w:val="0"/>
    <w:rPr>
      <w:sz w:val="21"/>
      <w:szCs w:val="21"/>
    </w:rPr>
  </w:style>
  <w:style w:type="character" w:customStyle="1" w:styleId="166">
    <w:name w:val="f14b1"/>
    <w:semiHidden/>
    <w:qFormat/>
    <w:uiPriority w:val="0"/>
    <w:rPr>
      <w:b/>
      <w:bCs/>
      <w:sz w:val="21"/>
      <w:szCs w:val="21"/>
    </w:rPr>
  </w:style>
  <w:style w:type="character" w:customStyle="1" w:styleId="167">
    <w:name w:val="ggwenhao"/>
    <w:basedOn w:val="126"/>
    <w:semiHidden/>
    <w:qFormat/>
    <w:uiPriority w:val="0"/>
  </w:style>
  <w:style w:type="character" w:customStyle="1" w:styleId="168">
    <w:name w:val="HTML 地址 字符"/>
    <w:link w:val="38"/>
    <w:semiHidden/>
    <w:qFormat/>
    <w:uiPriority w:val="0"/>
    <w:rPr>
      <w:rFonts w:ascii="Times New Roman" w:hAnsi="Times New Roman" w:eastAsia="宋体" w:cs="Times New Roman"/>
      <w:i/>
      <w:iCs/>
      <w:szCs w:val="24"/>
    </w:rPr>
  </w:style>
  <w:style w:type="character" w:customStyle="1" w:styleId="169">
    <w:name w:val="称呼 字符"/>
    <w:link w:val="27"/>
    <w:semiHidden/>
    <w:qFormat/>
    <w:uiPriority w:val="0"/>
    <w:rPr>
      <w:rFonts w:ascii="Times New Roman" w:hAnsi="Times New Roman" w:eastAsia="宋体" w:cs="Times New Roman"/>
      <w:szCs w:val="24"/>
    </w:rPr>
  </w:style>
  <w:style w:type="character" w:customStyle="1" w:styleId="170">
    <w:name w:val="结束语 字符"/>
    <w:link w:val="29"/>
    <w:semiHidden/>
    <w:qFormat/>
    <w:uiPriority w:val="0"/>
    <w:rPr>
      <w:rFonts w:ascii="Times New Roman" w:hAnsi="Times New Roman" w:eastAsia="宋体" w:cs="Times New Roman"/>
      <w:szCs w:val="24"/>
    </w:rPr>
  </w:style>
  <w:style w:type="character" w:customStyle="1" w:styleId="171">
    <w:name w:val="正文首行缩进 字符"/>
    <w:link w:val="79"/>
    <w:semiHidden/>
    <w:qFormat/>
    <w:uiPriority w:val="0"/>
    <w:rPr>
      <w:rFonts w:ascii="Times New Roman"/>
      <w:szCs w:val="24"/>
    </w:rPr>
  </w:style>
  <w:style w:type="character" w:customStyle="1" w:styleId="172">
    <w:name w:val="页眉 字符"/>
    <w:link w:val="54"/>
    <w:qFormat/>
    <w:uiPriority w:val="0"/>
    <w:rPr>
      <w:rFonts w:ascii="Times New Roman" w:hAnsi="Times New Roman" w:eastAsia="宋体" w:cs="Times New Roman"/>
      <w:sz w:val="18"/>
      <w:szCs w:val="18"/>
    </w:rPr>
  </w:style>
  <w:style w:type="character" w:customStyle="1" w:styleId="173">
    <w:name w:val="ca-41"/>
    <w:qFormat/>
    <w:uiPriority w:val="0"/>
    <w:rPr>
      <w:rFonts w:hint="eastAsia" w:ascii="黑体" w:eastAsia="黑体"/>
      <w:b/>
      <w:bCs/>
      <w:spacing w:val="-20"/>
      <w:sz w:val="30"/>
      <w:szCs w:val="30"/>
    </w:rPr>
  </w:style>
  <w:style w:type="character" w:customStyle="1" w:styleId="174">
    <w:name w:val="注释标题 字符1"/>
    <w:basedOn w:val="126"/>
    <w:semiHidden/>
    <w:qFormat/>
    <w:uiPriority w:val="99"/>
  </w:style>
  <w:style w:type="character" w:customStyle="1" w:styleId="175">
    <w:name w:val="注释标题 Char1"/>
    <w:basedOn w:val="126"/>
    <w:semiHidden/>
    <w:qFormat/>
    <w:uiPriority w:val="99"/>
    <w:rPr>
      <w:rFonts w:ascii="Times New Roman" w:hAnsi="Times New Roman" w:eastAsia="宋体" w:cs="Times New Roman"/>
      <w:szCs w:val="20"/>
    </w:rPr>
  </w:style>
  <w:style w:type="character" w:customStyle="1" w:styleId="176">
    <w:name w:val="正文文本 3 字符1"/>
    <w:basedOn w:val="126"/>
    <w:semiHidden/>
    <w:qFormat/>
    <w:uiPriority w:val="99"/>
    <w:rPr>
      <w:sz w:val="16"/>
      <w:szCs w:val="16"/>
    </w:rPr>
  </w:style>
  <w:style w:type="character" w:customStyle="1" w:styleId="177">
    <w:name w:val="正文文本 3 Char1"/>
    <w:basedOn w:val="126"/>
    <w:semiHidden/>
    <w:qFormat/>
    <w:uiPriority w:val="99"/>
    <w:rPr>
      <w:rFonts w:ascii="Times New Roman" w:hAnsi="Times New Roman" w:eastAsia="宋体" w:cs="Times New Roman"/>
      <w:sz w:val="16"/>
      <w:szCs w:val="16"/>
    </w:rPr>
  </w:style>
  <w:style w:type="character" w:customStyle="1" w:styleId="178">
    <w:name w:val="批注文字 字符"/>
    <w:basedOn w:val="126"/>
    <w:link w:val="25"/>
    <w:qFormat/>
    <w:uiPriority w:val="0"/>
    <w:rPr>
      <w:rFonts w:ascii="Times New Roman" w:hAnsi="Times New Roman" w:eastAsia="宋体" w:cs="Times New Roman"/>
      <w:szCs w:val="20"/>
    </w:rPr>
  </w:style>
  <w:style w:type="character" w:customStyle="1" w:styleId="179">
    <w:name w:val="批注主题 字符1"/>
    <w:basedOn w:val="178"/>
    <w:semiHidden/>
    <w:qFormat/>
    <w:uiPriority w:val="99"/>
    <w:rPr>
      <w:rFonts w:ascii="Times New Roman" w:hAnsi="Times New Roman" w:eastAsia="宋体" w:cs="Times New Roman"/>
      <w:b/>
      <w:bCs/>
      <w:szCs w:val="20"/>
    </w:rPr>
  </w:style>
  <w:style w:type="character" w:customStyle="1" w:styleId="180">
    <w:name w:val="批注主题 Char1"/>
    <w:basedOn w:val="178"/>
    <w:semiHidden/>
    <w:qFormat/>
    <w:uiPriority w:val="99"/>
    <w:rPr>
      <w:rFonts w:ascii="Times New Roman" w:hAnsi="Times New Roman" w:eastAsia="宋体" w:cs="Times New Roman"/>
      <w:b/>
      <w:bCs/>
      <w:szCs w:val="20"/>
    </w:rPr>
  </w:style>
  <w:style w:type="character" w:customStyle="1" w:styleId="181">
    <w:name w:val="正文文本 字符"/>
    <w:basedOn w:val="126"/>
    <w:link w:val="31"/>
    <w:semiHidden/>
    <w:qFormat/>
    <w:uiPriority w:val="99"/>
    <w:rPr>
      <w:rFonts w:ascii="Times New Roman" w:hAnsi="Times New Roman" w:eastAsia="宋体" w:cs="Times New Roman"/>
      <w:szCs w:val="20"/>
    </w:rPr>
  </w:style>
  <w:style w:type="character" w:customStyle="1" w:styleId="182">
    <w:name w:val="正文文本首行缩进 字符1"/>
    <w:basedOn w:val="181"/>
    <w:semiHidden/>
    <w:qFormat/>
    <w:uiPriority w:val="99"/>
    <w:rPr>
      <w:rFonts w:ascii="Times New Roman" w:hAnsi="Times New Roman" w:eastAsia="宋体" w:cs="Times New Roman"/>
      <w:szCs w:val="20"/>
    </w:rPr>
  </w:style>
  <w:style w:type="character" w:customStyle="1" w:styleId="183">
    <w:name w:val="正文首行缩进 Char1"/>
    <w:basedOn w:val="181"/>
    <w:semiHidden/>
    <w:qFormat/>
    <w:uiPriority w:val="99"/>
    <w:rPr>
      <w:rFonts w:ascii="Times New Roman" w:hAnsi="Times New Roman" w:eastAsia="宋体" w:cs="Times New Roman"/>
      <w:szCs w:val="20"/>
    </w:rPr>
  </w:style>
  <w:style w:type="character" w:customStyle="1" w:styleId="184">
    <w:name w:val="结束语 字符1"/>
    <w:basedOn w:val="126"/>
    <w:semiHidden/>
    <w:qFormat/>
    <w:uiPriority w:val="99"/>
  </w:style>
  <w:style w:type="character" w:customStyle="1" w:styleId="185">
    <w:name w:val="结束语 Char1"/>
    <w:basedOn w:val="126"/>
    <w:semiHidden/>
    <w:qFormat/>
    <w:uiPriority w:val="99"/>
    <w:rPr>
      <w:rFonts w:ascii="Times New Roman" w:hAnsi="Times New Roman" w:eastAsia="宋体" w:cs="Times New Roman"/>
      <w:szCs w:val="20"/>
    </w:rPr>
  </w:style>
  <w:style w:type="character" w:customStyle="1" w:styleId="186">
    <w:name w:val="称呼 字符1"/>
    <w:basedOn w:val="126"/>
    <w:semiHidden/>
    <w:qFormat/>
    <w:uiPriority w:val="99"/>
  </w:style>
  <w:style w:type="character" w:customStyle="1" w:styleId="187">
    <w:name w:val="称呼 Char1"/>
    <w:basedOn w:val="126"/>
    <w:semiHidden/>
    <w:qFormat/>
    <w:uiPriority w:val="99"/>
    <w:rPr>
      <w:rFonts w:ascii="Times New Roman" w:hAnsi="Times New Roman" w:eastAsia="宋体" w:cs="Times New Roman"/>
      <w:szCs w:val="20"/>
    </w:rPr>
  </w:style>
  <w:style w:type="character" w:customStyle="1" w:styleId="188">
    <w:name w:val="电子邮件签名 字符1"/>
    <w:basedOn w:val="126"/>
    <w:semiHidden/>
    <w:qFormat/>
    <w:uiPriority w:val="99"/>
  </w:style>
  <w:style w:type="character" w:customStyle="1" w:styleId="189">
    <w:name w:val="电子邮件签名 Char1"/>
    <w:basedOn w:val="126"/>
    <w:semiHidden/>
    <w:qFormat/>
    <w:uiPriority w:val="99"/>
    <w:rPr>
      <w:rFonts w:ascii="Times New Roman" w:hAnsi="Times New Roman" w:eastAsia="宋体" w:cs="Times New Roman"/>
      <w:szCs w:val="20"/>
    </w:rPr>
  </w:style>
  <w:style w:type="character" w:customStyle="1" w:styleId="190">
    <w:name w:val="文档结构图 字符1"/>
    <w:basedOn w:val="126"/>
    <w:semiHidden/>
    <w:qFormat/>
    <w:uiPriority w:val="99"/>
    <w:rPr>
      <w:rFonts w:ascii="Microsoft YaHei UI" w:eastAsia="Microsoft YaHei UI"/>
      <w:sz w:val="18"/>
      <w:szCs w:val="18"/>
    </w:rPr>
  </w:style>
  <w:style w:type="character" w:customStyle="1" w:styleId="191">
    <w:name w:val="文档结构图 Char1"/>
    <w:basedOn w:val="126"/>
    <w:semiHidden/>
    <w:qFormat/>
    <w:uiPriority w:val="99"/>
    <w:rPr>
      <w:rFonts w:ascii="宋体" w:hAnsi="Times New Roman" w:eastAsia="宋体" w:cs="Times New Roman"/>
      <w:sz w:val="18"/>
      <w:szCs w:val="18"/>
    </w:rPr>
  </w:style>
  <w:style w:type="character" w:customStyle="1" w:styleId="192">
    <w:name w:val="签名 字符1"/>
    <w:basedOn w:val="126"/>
    <w:semiHidden/>
    <w:qFormat/>
    <w:uiPriority w:val="99"/>
  </w:style>
  <w:style w:type="character" w:customStyle="1" w:styleId="193">
    <w:name w:val="签名 Char1"/>
    <w:basedOn w:val="126"/>
    <w:semiHidden/>
    <w:qFormat/>
    <w:uiPriority w:val="99"/>
    <w:rPr>
      <w:rFonts w:ascii="Times New Roman" w:hAnsi="Times New Roman" w:eastAsia="宋体" w:cs="Times New Roman"/>
      <w:szCs w:val="20"/>
    </w:rPr>
  </w:style>
  <w:style w:type="character" w:customStyle="1" w:styleId="194">
    <w:name w:val="正文文本缩进 2 字符1"/>
    <w:basedOn w:val="126"/>
    <w:semiHidden/>
    <w:qFormat/>
    <w:uiPriority w:val="99"/>
  </w:style>
  <w:style w:type="character" w:customStyle="1" w:styleId="195">
    <w:name w:val="正文文本缩进 2 Char1"/>
    <w:basedOn w:val="126"/>
    <w:semiHidden/>
    <w:qFormat/>
    <w:uiPriority w:val="99"/>
    <w:rPr>
      <w:rFonts w:ascii="Times New Roman" w:hAnsi="Times New Roman" w:eastAsia="宋体" w:cs="Times New Roman"/>
      <w:szCs w:val="20"/>
    </w:rPr>
  </w:style>
  <w:style w:type="character" w:customStyle="1" w:styleId="196">
    <w:name w:val="HTML 预设格式 字符1"/>
    <w:basedOn w:val="126"/>
    <w:semiHidden/>
    <w:qFormat/>
    <w:uiPriority w:val="99"/>
    <w:rPr>
      <w:rFonts w:ascii="Courier New" w:hAnsi="Courier New" w:cs="Courier New"/>
      <w:sz w:val="20"/>
      <w:szCs w:val="20"/>
    </w:rPr>
  </w:style>
  <w:style w:type="character" w:customStyle="1" w:styleId="197">
    <w:name w:val="HTML 预设格式 Char1"/>
    <w:basedOn w:val="126"/>
    <w:semiHidden/>
    <w:qFormat/>
    <w:uiPriority w:val="99"/>
    <w:rPr>
      <w:rFonts w:ascii="Courier New" w:hAnsi="Courier New" w:eastAsia="宋体" w:cs="Courier New"/>
      <w:sz w:val="20"/>
      <w:szCs w:val="20"/>
    </w:rPr>
  </w:style>
  <w:style w:type="character" w:customStyle="1" w:styleId="198">
    <w:name w:val="页眉 字符1"/>
    <w:basedOn w:val="126"/>
    <w:semiHidden/>
    <w:qFormat/>
    <w:uiPriority w:val="99"/>
    <w:rPr>
      <w:sz w:val="18"/>
      <w:szCs w:val="18"/>
    </w:rPr>
  </w:style>
  <w:style w:type="character" w:customStyle="1" w:styleId="199">
    <w:name w:val="页眉 Char1"/>
    <w:basedOn w:val="126"/>
    <w:semiHidden/>
    <w:qFormat/>
    <w:uiPriority w:val="99"/>
    <w:rPr>
      <w:rFonts w:ascii="Times New Roman" w:hAnsi="Times New Roman" w:eastAsia="宋体" w:cs="Times New Roman"/>
      <w:sz w:val="18"/>
      <w:szCs w:val="18"/>
    </w:rPr>
  </w:style>
  <w:style w:type="character" w:customStyle="1" w:styleId="200">
    <w:name w:val="HTML 地址 字符1"/>
    <w:basedOn w:val="126"/>
    <w:semiHidden/>
    <w:qFormat/>
    <w:uiPriority w:val="99"/>
    <w:rPr>
      <w:i/>
      <w:iCs/>
    </w:rPr>
  </w:style>
  <w:style w:type="character" w:customStyle="1" w:styleId="201">
    <w:name w:val="HTML 地址 Char1"/>
    <w:basedOn w:val="126"/>
    <w:semiHidden/>
    <w:qFormat/>
    <w:uiPriority w:val="99"/>
    <w:rPr>
      <w:rFonts w:ascii="Times New Roman" w:hAnsi="Times New Roman" w:eastAsia="宋体" w:cs="Times New Roman"/>
      <w:i/>
      <w:iCs/>
      <w:szCs w:val="20"/>
    </w:rPr>
  </w:style>
  <w:style w:type="character" w:customStyle="1" w:styleId="202">
    <w:name w:val="正文文本缩进 字符"/>
    <w:basedOn w:val="126"/>
    <w:link w:val="32"/>
    <w:semiHidden/>
    <w:qFormat/>
    <w:uiPriority w:val="99"/>
    <w:rPr>
      <w:rFonts w:ascii="Times New Roman" w:hAnsi="Times New Roman" w:eastAsia="宋体" w:cs="Times New Roman"/>
      <w:szCs w:val="20"/>
    </w:rPr>
  </w:style>
  <w:style w:type="character" w:customStyle="1" w:styleId="203">
    <w:name w:val="正文文本首行缩进 2 字符1"/>
    <w:basedOn w:val="202"/>
    <w:semiHidden/>
    <w:qFormat/>
    <w:uiPriority w:val="99"/>
    <w:rPr>
      <w:rFonts w:ascii="Times New Roman" w:hAnsi="Times New Roman" w:eastAsia="宋体" w:cs="Times New Roman"/>
      <w:szCs w:val="20"/>
    </w:rPr>
  </w:style>
  <w:style w:type="character" w:customStyle="1" w:styleId="204">
    <w:name w:val="正文首行缩进 2 Char1"/>
    <w:basedOn w:val="202"/>
    <w:semiHidden/>
    <w:qFormat/>
    <w:uiPriority w:val="99"/>
    <w:rPr>
      <w:rFonts w:ascii="Times New Roman" w:hAnsi="Times New Roman" w:eastAsia="宋体" w:cs="Times New Roman"/>
      <w:szCs w:val="20"/>
    </w:rPr>
  </w:style>
  <w:style w:type="character" w:customStyle="1" w:styleId="205">
    <w:name w:val="纯文本 字符"/>
    <w:basedOn w:val="126"/>
    <w:link w:val="42"/>
    <w:qFormat/>
    <w:uiPriority w:val="0"/>
    <w:rPr>
      <w:rFonts w:ascii="宋体" w:hAnsi="Courier New" w:eastAsia="宋体" w:cs="Times New Roman"/>
      <w:kern w:val="0"/>
      <w:sz w:val="20"/>
      <w:szCs w:val="21"/>
    </w:rPr>
  </w:style>
  <w:style w:type="character" w:customStyle="1" w:styleId="206">
    <w:name w:val="批注框文本 字符1"/>
    <w:basedOn w:val="126"/>
    <w:semiHidden/>
    <w:qFormat/>
    <w:uiPriority w:val="99"/>
    <w:rPr>
      <w:sz w:val="18"/>
      <w:szCs w:val="18"/>
    </w:rPr>
  </w:style>
  <w:style w:type="character" w:customStyle="1" w:styleId="207">
    <w:name w:val="批注框文本 Char1"/>
    <w:basedOn w:val="126"/>
    <w:semiHidden/>
    <w:qFormat/>
    <w:uiPriority w:val="99"/>
    <w:rPr>
      <w:rFonts w:ascii="Times New Roman" w:hAnsi="Times New Roman" w:eastAsia="宋体" w:cs="Times New Roman"/>
      <w:sz w:val="18"/>
      <w:szCs w:val="18"/>
    </w:rPr>
  </w:style>
  <w:style w:type="character" w:customStyle="1" w:styleId="208">
    <w:name w:val="页脚 字符1"/>
    <w:basedOn w:val="126"/>
    <w:semiHidden/>
    <w:qFormat/>
    <w:uiPriority w:val="99"/>
    <w:rPr>
      <w:sz w:val="18"/>
      <w:szCs w:val="18"/>
    </w:rPr>
  </w:style>
  <w:style w:type="character" w:customStyle="1" w:styleId="209">
    <w:name w:val="页脚 Char1"/>
    <w:basedOn w:val="126"/>
    <w:semiHidden/>
    <w:qFormat/>
    <w:uiPriority w:val="99"/>
    <w:rPr>
      <w:rFonts w:ascii="Times New Roman" w:hAnsi="Times New Roman" w:eastAsia="宋体" w:cs="Times New Roman"/>
      <w:sz w:val="18"/>
      <w:szCs w:val="18"/>
    </w:rPr>
  </w:style>
  <w:style w:type="character" w:customStyle="1" w:styleId="210">
    <w:name w:val="信息标题 字符1"/>
    <w:basedOn w:val="126"/>
    <w:semiHidden/>
    <w:qFormat/>
    <w:uiPriority w:val="99"/>
    <w:rPr>
      <w:rFonts w:asciiTheme="majorHAnsi" w:hAnsiTheme="majorHAnsi" w:eastAsiaTheme="majorEastAsia" w:cstheme="majorBidi"/>
      <w:sz w:val="24"/>
      <w:szCs w:val="24"/>
      <w:shd w:val="pct20" w:color="auto" w:fill="auto"/>
    </w:rPr>
  </w:style>
  <w:style w:type="character" w:customStyle="1" w:styleId="211">
    <w:name w:val="信息标题 Char1"/>
    <w:basedOn w:val="126"/>
    <w:semiHidden/>
    <w:qFormat/>
    <w:uiPriority w:val="99"/>
    <w:rPr>
      <w:rFonts w:asciiTheme="majorHAnsi" w:hAnsiTheme="majorHAnsi" w:eastAsiaTheme="majorEastAsia" w:cstheme="majorBidi"/>
      <w:sz w:val="24"/>
      <w:szCs w:val="24"/>
      <w:shd w:val="pct20" w:color="auto" w:fill="auto"/>
    </w:rPr>
  </w:style>
  <w:style w:type="paragraph" w:customStyle="1" w:styleId="212">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3">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4">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5">
    <w:name w:val="纯文本 Char1"/>
    <w:qFormat/>
    <w:uiPriority w:val="0"/>
    <w:rPr>
      <w:rFonts w:ascii="宋体" w:hAnsi="Courier New" w:cs="Courier New"/>
      <w:kern w:val="2"/>
      <w:sz w:val="21"/>
      <w:szCs w:val="21"/>
    </w:rPr>
  </w:style>
  <w:style w:type="character" w:customStyle="1" w:styleId="216">
    <w:name w:val="Char Char23"/>
    <w:semiHidden/>
    <w:qFormat/>
    <w:uiPriority w:val="0"/>
    <w:rPr>
      <w:rFonts w:ascii="Times New Roman" w:hAnsi="Times New Roman" w:eastAsia="宋体" w:cs="Times New Roman"/>
      <w:b/>
      <w:bCs/>
      <w:szCs w:val="24"/>
    </w:rPr>
  </w:style>
  <w:style w:type="character" w:customStyle="1" w:styleId="217">
    <w:name w:val="尾注文本 字符"/>
    <w:link w:val="49"/>
    <w:semiHidden/>
    <w:qFormat/>
    <w:uiPriority w:val="0"/>
    <w:rPr>
      <w:rFonts w:ascii="Times New Roman" w:hAnsi="Times New Roman" w:eastAsia="宋体" w:cs="Times New Roman"/>
      <w:szCs w:val="24"/>
    </w:rPr>
  </w:style>
  <w:style w:type="character" w:customStyle="1" w:styleId="218">
    <w:name w:val="脚注文本 字符"/>
    <w:link w:val="63"/>
    <w:semiHidden/>
    <w:qFormat/>
    <w:uiPriority w:val="0"/>
    <w:rPr>
      <w:rFonts w:ascii="Times New Roman" w:hAnsi="Times New Roman" w:eastAsia="宋体" w:cs="Times New Roman"/>
      <w:sz w:val="18"/>
      <w:szCs w:val="20"/>
    </w:rPr>
  </w:style>
  <w:style w:type="character" w:customStyle="1" w:styleId="219">
    <w:name w:val="脚注文本 字符1"/>
    <w:basedOn w:val="126"/>
    <w:semiHidden/>
    <w:qFormat/>
    <w:uiPriority w:val="99"/>
    <w:rPr>
      <w:sz w:val="18"/>
      <w:szCs w:val="18"/>
    </w:rPr>
  </w:style>
  <w:style w:type="character" w:customStyle="1" w:styleId="220">
    <w:name w:val="脚注文本 Char1"/>
    <w:basedOn w:val="126"/>
    <w:semiHidden/>
    <w:qFormat/>
    <w:uiPriority w:val="99"/>
    <w:rPr>
      <w:rFonts w:ascii="Times New Roman" w:hAnsi="Times New Roman" w:eastAsia="宋体" w:cs="Times New Roman"/>
      <w:sz w:val="18"/>
      <w:szCs w:val="18"/>
    </w:rPr>
  </w:style>
  <w:style w:type="character" w:customStyle="1" w:styleId="221">
    <w:name w:val="尾注文本 字符1"/>
    <w:basedOn w:val="126"/>
    <w:semiHidden/>
    <w:qFormat/>
    <w:uiPriority w:val="99"/>
  </w:style>
  <w:style w:type="character" w:customStyle="1" w:styleId="222">
    <w:name w:val="尾注文本 Char1"/>
    <w:basedOn w:val="126"/>
    <w:semiHidden/>
    <w:qFormat/>
    <w:uiPriority w:val="99"/>
    <w:rPr>
      <w:rFonts w:ascii="Times New Roman" w:hAnsi="Times New Roman" w:eastAsia="宋体" w:cs="Times New Roman"/>
      <w:szCs w:val="20"/>
    </w:rPr>
  </w:style>
  <w:style w:type="paragraph" w:customStyle="1" w:styleId="223">
    <w:name w:val="z-窗体顶端1"/>
    <w:basedOn w:val="1"/>
    <w:next w:val="1"/>
    <w:link w:val="224"/>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4">
    <w:name w:val="z-窗体顶端 字符"/>
    <w:basedOn w:val="126"/>
    <w:link w:val="223"/>
    <w:qFormat/>
    <w:uiPriority w:val="99"/>
    <w:rPr>
      <w:rFonts w:ascii="Arial" w:hAnsi="Arial" w:eastAsia="宋体" w:cs="Times New Roman"/>
      <w:vanish/>
      <w:kern w:val="0"/>
      <w:sz w:val="16"/>
      <w:szCs w:val="16"/>
    </w:rPr>
  </w:style>
  <w:style w:type="paragraph" w:customStyle="1" w:styleId="225">
    <w:name w:val="z-窗体底端1"/>
    <w:basedOn w:val="1"/>
    <w:next w:val="1"/>
    <w:link w:val="226"/>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6">
    <w:name w:val="z-窗体底端 字符"/>
    <w:basedOn w:val="126"/>
    <w:link w:val="225"/>
    <w:qFormat/>
    <w:uiPriority w:val="99"/>
    <w:rPr>
      <w:rFonts w:ascii="Arial" w:hAnsi="Arial" w:eastAsia="宋体" w:cs="Times New Roman"/>
      <w:vanish/>
      <w:kern w:val="0"/>
      <w:sz w:val="16"/>
      <w:szCs w:val="16"/>
    </w:rPr>
  </w:style>
  <w:style w:type="character" w:customStyle="1" w:styleId="227">
    <w:name w:val="日期 字符"/>
    <w:basedOn w:val="126"/>
    <w:link w:val="47"/>
    <w:semiHidden/>
    <w:qFormat/>
    <w:uiPriority w:val="0"/>
    <w:rPr>
      <w:rFonts w:ascii="Times New Roman" w:hAnsi="Times New Roman" w:eastAsia="宋体" w:cs="Times New Roman"/>
      <w:szCs w:val="20"/>
    </w:rPr>
  </w:style>
  <w:style w:type="paragraph" w:customStyle="1" w:styleId="228">
    <w:name w:val="_Style 10"/>
    <w:qFormat/>
    <w:uiPriority w:val="0"/>
    <w:rPr>
      <w:rFonts w:ascii="Calibri" w:hAnsi="Calibri" w:eastAsia="宋体" w:cs="Times New Roman"/>
      <w:kern w:val="2"/>
      <w:sz w:val="21"/>
      <w:szCs w:val="22"/>
      <w:lang w:val="en-US" w:eastAsia="zh-CN" w:bidi="ar-SA"/>
    </w:rPr>
  </w:style>
  <w:style w:type="paragraph" w:styleId="229">
    <w:name w:val="List Paragraph"/>
    <w:basedOn w:val="1"/>
    <w:qFormat/>
    <w:uiPriority w:val="34"/>
    <w:pPr>
      <w:ind w:firstLine="420" w:firstLineChars="200"/>
    </w:pPr>
    <w:rPr>
      <w:rFonts w:ascii="Times New Roman" w:hAnsi="Times New Roman" w:eastAsia="宋体" w:cs="Times New Roman"/>
      <w:szCs w:val="20"/>
    </w:rPr>
  </w:style>
  <w:style w:type="paragraph" w:customStyle="1" w:styleId="2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3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31495</Words>
  <Characters>36761</Characters>
  <Lines>273</Lines>
  <Paragraphs>76</Paragraphs>
  <TotalTime>11</TotalTime>
  <ScaleCrop>false</ScaleCrop>
  <LinksUpToDate>false</LinksUpToDate>
  <CharactersWithSpaces>38508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2021-11-02T01:01:00Z</dcterms:created>
  <dc:creator>靳 欢</dc:creator>
  <cp:lastModifiedBy>官伟杰</cp:lastModifiedBy>
  <dcterms:modified xsi:type="dcterms:W3CDTF">2024-12-04T11:37:35Z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C4CF3D0DC04E49FBB67867E54EF4B225</vt:lpwstr>
  </property>
</Properties>
</file>