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宋体"/>
          <w:b/>
          <w:bCs/>
          <w:color w:val="auto"/>
          <w:kern w:val="0"/>
          <w:highlight w:val="none"/>
        </w:rPr>
      </w:pPr>
      <w:r>
        <w:rPr>
          <w:rFonts w:hint="eastAsia" w:ascii="宋体" w:hAnsi="宋体" w:eastAsia="宋体" w:cs="宋体"/>
          <w:b/>
          <w:bCs/>
          <w:color w:val="auto"/>
          <w:kern w:val="0"/>
          <w:highlight w:val="none"/>
        </w:rPr>
        <w:t>版本号：202</w:t>
      </w:r>
      <w:r>
        <w:rPr>
          <w:rFonts w:hint="eastAsia" w:ascii="宋体" w:hAnsi="宋体" w:eastAsia="宋体" w:cs="宋体"/>
          <w:b/>
          <w:bCs/>
          <w:color w:val="auto"/>
          <w:kern w:val="0"/>
          <w:highlight w:val="none"/>
          <w:lang w:val="en-US" w:eastAsia="zh-CN"/>
        </w:rPr>
        <w:t>4</w:t>
      </w:r>
      <w:r>
        <w:rPr>
          <w:rFonts w:hint="eastAsia" w:ascii="宋体" w:hAnsi="宋体" w:eastAsia="宋体" w:cs="宋体"/>
          <w:b/>
          <w:bCs/>
          <w:color w:val="auto"/>
          <w:kern w:val="0"/>
          <w:highlight w:val="none"/>
        </w:rPr>
        <w:t>年1</w:t>
      </w:r>
      <w:r>
        <w:rPr>
          <w:rFonts w:hint="eastAsia" w:ascii="宋体" w:hAnsi="宋体" w:eastAsia="宋体" w:cs="宋体"/>
          <w:b/>
          <w:bCs/>
          <w:color w:val="auto"/>
          <w:kern w:val="0"/>
          <w:highlight w:val="none"/>
          <w:lang w:val="en-US" w:eastAsia="zh-CN"/>
        </w:rPr>
        <w:t>1</w:t>
      </w:r>
      <w:r>
        <w:rPr>
          <w:rFonts w:hint="eastAsia" w:ascii="宋体" w:hAnsi="宋体" w:eastAsia="宋体" w:cs="宋体"/>
          <w:b/>
          <w:bCs/>
          <w:color w:val="auto"/>
          <w:kern w:val="0"/>
          <w:highlight w:val="none"/>
        </w:rPr>
        <w:t>月版</w:t>
      </w:r>
    </w:p>
    <w:p>
      <w:pPr>
        <w:adjustRightInd w:val="0"/>
        <w:snapToGrid w:val="0"/>
        <w:spacing w:line="360" w:lineRule="auto"/>
        <w:jc w:val="left"/>
        <w:rPr>
          <w:rFonts w:ascii="宋体" w:hAnsi="宋体" w:eastAsia="宋体" w:cs="宋体"/>
          <w:b/>
          <w:bCs/>
          <w:color w:val="auto"/>
          <w:kern w:val="0"/>
          <w:highlight w:val="none"/>
        </w:rPr>
      </w:pPr>
    </w:p>
    <w:p>
      <w:pPr>
        <w:adjustRightInd w:val="0"/>
        <w:snapToGrid w:val="0"/>
        <w:spacing w:line="360" w:lineRule="auto"/>
        <w:jc w:val="right"/>
        <w:rPr>
          <w:rFonts w:asciiTheme="minorEastAsia" w:hAnsiTheme="minorEastAsia"/>
          <w:b/>
          <w:color w:val="auto"/>
          <w:kern w:val="0"/>
          <w:sz w:val="28"/>
          <w:szCs w:val="28"/>
          <w:highlight w:val="none"/>
        </w:rPr>
      </w:pPr>
      <w:r>
        <w:rPr>
          <w:rFonts w:hint="eastAsia" w:ascii="宋体" w:hAnsi="宋体" w:eastAsia="宋体" w:cs="宋体"/>
          <w:b/>
          <w:color w:val="auto"/>
          <w:kern w:val="0"/>
          <w:sz w:val="28"/>
          <w:szCs w:val="28"/>
          <w:highlight w:val="none"/>
        </w:rPr>
        <w:t>标段编号：</w:t>
      </w:r>
      <w:r>
        <w:rPr>
          <w:rFonts w:hint="eastAsia" w:asciiTheme="minorEastAsia" w:hAnsiTheme="minorEastAsia"/>
          <w:b/>
          <w:color w:val="auto"/>
          <w:kern w:val="0"/>
          <w:sz w:val="28"/>
          <w:szCs w:val="28"/>
          <w:highlight w:val="none"/>
          <w:u w:val="single"/>
        </w:rPr>
        <w:t xml:space="preserve">      </w:t>
      </w:r>
    </w:p>
    <w:p>
      <w:pPr>
        <w:adjustRightInd w:val="0"/>
        <w:snapToGrid w:val="0"/>
        <w:spacing w:line="360" w:lineRule="auto"/>
        <w:jc w:val="center"/>
        <w:rPr>
          <w:rFonts w:ascii="黑体" w:hAnsi="宋体" w:eastAsia="黑体"/>
          <w:b/>
          <w:color w:val="auto"/>
          <w:kern w:val="0"/>
          <w:sz w:val="72"/>
          <w:szCs w:val="72"/>
          <w:highlight w:val="none"/>
        </w:rPr>
      </w:pPr>
    </w:p>
    <w:p>
      <w:pPr>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深圳市建设工程</w:t>
      </w:r>
    </w:p>
    <w:p>
      <w:pPr>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72"/>
          <w:szCs w:val="72"/>
          <w:highlight w:val="none"/>
        </w:rPr>
        <w:t>设计类招标文件</w:t>
      </w:r>
    </w:p>
    <w:p>
      <w:pPr>
        <w:adjustRightInd w:val="0"/>
        <w:snapToGrid w:val="0"/>
        <w:spacing w:line="360" w:lineRule="auto"/>
        <w:jc w:val="center"/>
        <w:rPr>
          <w:rFonts w:ascii="黑体" w:hAnsi="宋体" w:eastAsia="黑体"/>
          <w:b/>
          <w:color w:val="auto"/>
          <w:kern w:val="0"/>
          <w:sz w:val="72"/>
          <w:szCs w:val="72"/>
          <w:highlight w:val="none"/>
        </w:rPr>
      </w:pPr>
      <w:r>
        <w:rPr>
          <w:rFonts w:hint="eastAsia" w:ascii="黑体" w:hAnsi="宋体" w:eastAsia="黑体"/>
          <w:b/>
          <w:color w:val="auto"/>
          <w:kern w:val="0"/>
          <w:sz w:val="36"/>
          <w:szCs w:val="36"/>
          <w:highlight w:val="none"/>
        </w:rPr>
        <w:t>（建筑方案设计类除外）</w:t>
      </w:r>
    </w:p>
    <w:p>
      <w:pPr>
        <w:adjustRightInd w:val="0"/>
        <w:snapToGrid w:val="0"/>
        <w:spacing w:line="360" w:lineRule="auto"/>
        <w:jc w:val="center"/>
        <w:rPr>
          <w:rFonts w:asciiTheme="minorEastAsia" w:hAnsiTheme="minorEastAsia"/>
          <w:b/>
          <w:color w:val="auto"/>
          <w:kern w:val="0"/>
          <w:sz w:val="36"/>
          <w:szCs w:val="36"/>
          <w:highlight w:val="none"/>
        </w:rPr>
      </w:pPr>
    </w:p>
    <w:p>
      <w:pPr>
        <w:adjustRightInd w:val="0"/>
        <w:snapToGrid w:val="0"/>
        <w:spacing w:line="360" w:lineRule="auto"/>
        <w:jc w:val="center"/>
        <w:rPr>
          <w:rFonts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（示范文本）</w:t>
      </w:r>
    </w:p>
    <w:p>
      <w:pPr>
        <w:adjustRightInd w:val="0"/>
        <w:snapToGrid w:val="0"/>
        <w:spacing w:line="360" w:lineRule="auto"/>
        <w:jc w:val="center"/>
        <w:rPr>
          <w:rFonts w:ascii="宋体" w:hAnsi="宋体" w:eastAsia="宋体" w:cs="宋体"/>
          <w:b/>
          <w:color w:val="auto"/>
          <w:kern w:val="0"/>
          <w:sz w:val="72"/>
          <w:szCs w:val="72"/>
          <w:highlight w:val="none"/>
        </w:rPr>
      </w:pPr>
    </w:p>
    <w:p>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标段名称：</w:t>
      </w:r>
      <w:r>
        <w:rPr>
          <w:rFonts w:hint="eastAsia" w:ascii="宋体" w:hAnsi="宋体" w:eastAsia="宋体" w:cs="宋体"/>
          <w:color w:val="auto"/>
          <w:kern w:val="0"/>
          <w:sz w:val="28"/>
          <w:szCs w:val="28"/>
          <w:highlight w:val="none"/>
          <w:u w:val="single"/>
        </w:rPr>
        <w:t xml:space="preserve">      </w:t>
      </w:r>
    </w:p>
    <w:p>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招 标 人：</w:t>
      </w:r>
      <w:r>
        <w:rPr>
          <w:rFonts w:hint="eastAsia" w:ascii="宋体" w:hAnsi="宋体" w:eastAsia="宋体" w:cs="宋体"/>
          <w:color w:val="auto"/>
          <w:kern w:val="0"/>
          <w:sz w:val="28"/>
          <w:szCs w:val="28"/>
          <w:highlight w:val="none"/>
          <w:u w:val="single"/>
        </w:rPr>
        <w:t xml:space="preserve">      </w:t>
      </w:r>
    </w:p>
    <w:p>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法定代表人或其委托代理人：</w:t>
      </w:r>
      <w:r>
        <w:rPr>
          <w:rFonts w:hint="eastAsia" w:ascii="宋体" w:hAnsi="宋体" w:eastAsia="宋体" w:cs="宋体"/>
          <w:color w:val="auto"/>
          <w:kern w:val="0"/>
          <w:sz w:val="28"/>
          <w:szCs w:val="28"/>
          <w:highlight w:val="none"/>
          <w:u w:val="single"/>
        </w:rPr>
        <w:t xml:space="preserve">      </w:t>
      </w:r>
    </w:p>
    <w:p>
      <w:pPr>
        <w:adjustRightInd w:val="0"/>
        <w:snapToGrid w:val="0"/>
        <w:spacing w:line="360" w:lineRule="auto"/>
        <w:ind w:firstLine="560" w:firstLineChars="200"/>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招标代理机构：</w:t>
      </w:r>
      <w:r>
        <w:rPr>
          <w:rFonts w:hint="eastAsia" w:ascii="宋体" w:hAnsi="宋体" w:eastAsia="宋体" w:cs="宋体"/>
          <w:color w:val="auto"/>
          <w:kern w:val="0"/>
          <w:sz w:val="28"/>
          <w:szCs w:val="28"/>
          <w:highlight w:val="none"/>
          <w:u w:val="single"/>
        </w:rPr>
        <w:t xml:space="preserve">      </w:t>
      </w:r>
    </w:p>
    <w:p>
      <w:pPr>
        <w:adjustRightInd w:val="0"/>
        <w:snapToGrid w:val="0"/>
        <w:spacing w:line="360" w:lineRule="auto"/>
        <w:ind w:firstLine="560" w:firstLineChars="200"/>
        <w:jc w:val="left"/>
        <w:rPr>
          <w:rFonts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法定代表人或其委托代理人：</w:t>
      </w:r>
      <w:r>
        <w:rPr>
          <w:rFonts w:hint="eastAsia" w:ascii="宋体" w:hAnsi="宋体" w:eastAsia="宋体" w:cs="宋体"/>
          <w:color w:val="auto"/>
          <w:kern w:val="0"/>
          <w:sz w:val="28"/>
          <w:szCs w:val="28"/>
          <w:highlight w:val="none"/>
          <w:u w:val="single"/>
        </w:rPr>
        <w:t xml:space="preserve">      </w:t>
      </w:r>
    </w:p>
    <w:p>
      <w:pPr>
        <w:adjustRightInd w:val="0"/>
        <w:snapToGrid w:val="0"/>
        <w:spacing w:line="360" w:lineRule="auto"/>
        <w:ind w:firstLine="560" w:firstLineChars="200"/>
        <w:jc w:val="left"/>
        <w:rPr>
          <w:rFonts w:ascii="宋体" w:hAnsi="宋体"/>
          <w:color w:val="auto"/>
          <w:kern w:val="0"/>
          <w:sz w:val="28"/>
          <w:szCs w:val="28"/>
          <w:highlight w:val="none"/>
          <w:u w:val="single"/>
        </w:rPr>
      </w:pPr>
    </w:p>
    <w:p>
      <w:pPr>
        <w:adjustRightInd w:val="0"/>
        <w:snapToGrid w:val="0"/>
        <w:spacing w:line="360" w:lineRule="auto"/>
        <w:ind w:firstLine="560" w:firstLineChars="200"/>
        <w:jc w:val="left"/>
        <w:rPr>
          <w:rFonts w:ascii="宋体" w:hAnsi="宋体"/>
          <w:color w:val="auto"/>
          <w:kern w:val="0"/>
          <w:sz w:val="28"/>
          <w:szCs w:val="28"/>
          <w:highlight w:val="none"/>
          <w:u w:val="single"/>
        </w:rPr>
      </w:pPr>
    </w:p>
    <w:p>
      <w:pPr>
        <w:adjustRightInd w:val="0"/>
        <w:snapToGrid w:val="0"/>
        <w:spacing w:line="360" w:lineRule="auto"/>
        <w:jc w:val="center"/>
        <w:rPr>
          <w:rFonts w:ascii="宋体" w:hAnsi="宋体" w:eastAsia="宋体" w:cs="宋体"/>
          <w:b/>
          <w:bCs/>
          <w:color w:val="auto"/>
          <w:sz w:val="36"/>
          <w:szCs w:val="36"/>
          <w:highlight w:val="none"/>
        </w:rPr>
      </w:pPr>
    </w:p>
    <w:p>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adjustRightInd w:val="0"/>
        <w:snapToGrid w:val="0"/>
        <w:spacing w:line="360" w:lineRule="auto"/>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pPr>
        <w:pStyle w:val="55"/>
        <w:tabs>
          <w:tab w:val="right" w:leader="dot" w:pos="9638"/>
          <w:tab w:val="clear" w:pos="8949"/>
        </w:tabs>
        <w:ind w:right="0" w:rightChars="0" w:firstLine="0" w:firstLineChars="0"/>
        <w:rPr>
          <w:rFonts w:cs="宋体"/>
          <w:color w:val="auto"/>
          <w:highlight w:val="none"/>
        </w:rPr>
      </w:pPr>
      <w:r>
        <w:rPr>
          <w:rFonts w:hint="eastAsia" w:cs="宋体"/>
          <w:color w:val="auto"/>
          <w:highlight w:val="none"/>
        </w:rPr>
        <w:fldChar w:fldCharType="begin"/>
      </w:r>
      <w:r>
        <w:rPr>
          <w:rFonts w:hint="eastAsia" w:cs="宋体"/>
          <w:color w:val="auto"/>
          <w:highlight w:val="none"/>
        </w:rPr>
        <w:instrText xml:space="preserve">TOC \o "1-3" \h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"_Toc17187" </w:instrText>
      </w:r>
      <w:r>
        <w:rPr>
          <w:color w:val="auto"/>
          <w:highlight w:val="none"/>
        </w:rPr>
        <w:fldChar w:fldCharType="separate"/>
      </w:r>
      <w:r>
        <w:rPr>
          <w:rFonts w:hint="eastAsia" w:cs="宋体"/>
          <w:color w:val="auto"/>
          <w:kern w:val="0"/>
          <w:highlight w:val="none"/>
        </w:rPr>
        <w:t>第一章 使用说明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_Toc17187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"_Toc5080" </w:instrText>
      </w:r>
      <w:r>
        <w:rPr>
          <w:color w:val="auto"/>
          <w:highlight w:val="none"/>
        </w:rPr>
        <w:fldChar w:fldCharType="separate"/>
      </w:r>
      <w:r>
        <w:rPr>
          <w:rFonts w:hint="eastAsia" w:cs="宋体"/>
          <w:color w:val="auto"/>
          <w:kern w:val="0"/>
          <w:highlight w:val="none"/>
        </w:rPr>
        <w:t>第二章  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_Toc5080 </w:instrText>
      </w:r>
      <w:r>
        <w:rPr>
          <w:rFonts w:hint="eastAsia" w:cs="宋体"/>
          <w:color w:val="auto"/>
          <w:highlight w:val="none"/>
        </w:rPr>
        <w:fldChar w:fldCharType="separate"/>
      </w:r>
      <w:r>
        <w:rPr>
          <w:rFonts w:hint="eastAsia" w:cs="宋体"/>
          <w:color w:val="auto"/>
          <w:highlight w:val="none"/>
        </w:rPr>
        <w:t>7</w:t>
      </w:r>
      <w:r>
        <w:rPr>
          <w:rFonts w:hint="eastAsia" w:cs="宋体"/>
          <w:color w:val="auto"/>
          <w:highlight w:val="none"/>
        </w:rPr>
        <w:fldChar w:fldCharType="end"/>
      </w:r>
      <w:r>
        <w:rPr>
          <w:rFonts w:hint="eastAsia" w:cs="宋体"/>
          <w:color w:val="auto"/>
          <w:highlight w:val="none"/>
        </w:rPr>
        <w:fldChar w:fldCharType="end"/>
      </w:r>
    </w:p>
    <w:p>
      <w:pPr>
        <w:pStyle w:val="68"/>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"_Toc8591" </w:instrText>
      </w:r>
      <w:r>
        <w:rPr>
          <w:color w:val="auto"/>
          <w:highlight w:val="none"/>
        </w:rPr>
        <w:fldChar w:fldCharType="separate"/>
      </w:r>
      <w:r>
        <w:rPr>
          <w:rFonts w:hint="eastAsia" w:cs="宋体"/>
          <w:b w:val="0"/>
          <w:bCs/>
          <w:color w:val="auto"/>
          <w:kern w:val="0"/>
          <w:highlight w:val="none"/>
        </w:rPr>
        <w:t>一、 投标须知前附表</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_Toc8591 </w:instrText>
      </w:r>
      <w:r>
        <w:rPr>
          <w:rFonts w:hint="eastAsia" w:cs="宋体"/>
          <w:b w:val="0"/>
          <w:bCs/>
          <w:color w:val="auto"/>
          <w:highlight w:val="none"/>
        </w:rPr>
        <w:fldChar w:fldCharType="separate"/>
      </w:r>
      <w:r>
        <w:rPr>
          <w:rFonts w:hint="eastAsia" w:cs="宋体"/>
          <w:b w:val="0"/>
          <w:bCs/>
          <w:color w:val="auto"/>
          <w:highlight w:val="none"/>
        </w:rPr>
        <w:t>7</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"_Toc19411" </w:instrText>
      </w:r>
      <w:r>
        <w:rPr>
          <w:color w:val="auto"/>
          <w:highlight w:val="none"/>
        </w:rPr>
        <w:fldChar w:fldCharType="separate"/>
      </w:r>
      <w:r>
        <w:rPr>
          <w:rFonts w:hint="eastAsia" w:cs="宋体"/>
          <w:b w:val="0"/>
          <w:bCs/>
          <w:color w:val="auto"/>
          <w:kern w:val="0"/>
          <w:highlight w:val="none"/>
        </w:rPr>
        <w:t>（一）招标项目基本情况</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_Toc19411 </w:instrText>
      </w:r>
      <w:r>
        <w:rPr>
          <w:rFonts w:hint="eastAsia" w:cs="宋体"/>
          <w:b w:val="0"/>
          <w:bCs/>
          <w:color w:val="auto"/>
          <w:highlight w:val="none"/>
        </w:rPr>
        <w:fldChar w:fldCharType="separate"/>
      </w:r>
      <w:r>
        <w:rPr>
          <w:rFonts w:hint="eastAsia" w:cs="宋体"/>
          <w:b w:val="0"/>
          <w:bCs/>
          <w:color w:val="auto"/>
          <w:highlight w:val="none"/>
        </w:rPr>
        <w:t>7</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"_Toc6655" </w:instrText>
      </w:r>
      <w:r>
        <w:rPr>
          <w:color w:val="auto"/>
          <w:highlight w:val="none"/>
        </w:rPr>
        <w:fldChar w:fldCharType="separate"/>
      </w:r>
      <w:r>
        <w:rPr>
          <w:rFonts w:hint="eastAsia" w:cs="宋体"/>
          <w:b w:val="0"/>
          <w:bCs/>
          <w:color w:val="auto"/>
          <w:kern w:val="0"/>
          <w:highlight w:val="none"/>
        </w:rPr>
        <w:t>（二）投标文件编制成果及要求</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_Toc6655 </w:instrText>
      </w:r>
      <w:r>
        <w:rPr>
          <w:rFonts w:hint="eastAsia" w:cs="宋体"/>
          <w:b w:val="0"/>
          <w:bCs/>
          <w:color w:val="auto"/>
          <w:highlight w:val="none"/>
        </w:rPr>
        <w:fldChar w:fldCharType="separate"/>
      </w:r>
      <w:r>
        <w:rPr>
          <w:rFonts w:hint="eastAsia" w:cs="宋体"/>
          <w:b w:val="0"/>
          <w:bCs/>
          <w:color w:val="auto"/>
          <w:highlight w:val="none"/>
        </w:rPr>
        <w:t>11</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"_Toc13058" </w:instrText>
      </w:r>
      <w:r>
        <w:rPr>
          <w:color w:val="auto"/>
          <w:highlight w:val="none"/>
        </w:rPr>
        <w:fldChar w:fldCharType="separate"/>
      </w:r>
      <w:r>
        <w:rPr>
          <w:rFonts w:hint="eastAsia" w:cs="宋体"/>
          <w:b w:val="0"/>
          <w:bCs/>
          <w:color w:val="auto"/>
          <w:kern w:val="0"/>
          <w:highlight w:val="none"/>
        </w:rPr>
        <w:t>（三）招标投标分段限时投诉的规定</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_Toc13058 </w:instrText>
      </w:r>
      <w:r>
        <w:rPr>
          <w:rFonts w:hint="eastAsia" w:cs="宋体"/>
          <w:b w:val="0"/>
          <w:bCs/>
          <w:color w:val="auto"/>
          <w:highlight w:val="none"/>
        </w:rPr>
        <w:fldChar w:fldCharType="separate"/>
      </w:r>
      <w:r>
        <w:rPr>
          <w:rFonts w:hint="eastAsia" w:cs="宋体"/>
          <w:b w:val="0"/>
          <w:bCs/>
          <w:color w:val="auto"/>
          <w:highlight w:val="none"/>
        </w:rPr>
        <w:t>14</w:t>
      </w:r>
      <w:r>
        <w:rPr>
          <w:rFonts w:hint="eastAsia" w:cs="宋体"/>
          <w:b w:val="0"/>
          <w:bCs/>
          <w:color w:val="auto"/>
          <w:highlight w:val="none"/>
        </w:rPr>
        <w:fldChar w:fldCharType="end"/>
      </w:r>
      <w:r>
        <w:rPr>
          <w:rFonts w:hint="eastAsia" w:cs="宋体"/>
          <w:b w:val="0"/>
          <w:bCs/>
          <w:color w:val="auto"/>
          <w:highlight w:val="none"/>
        </w:rPr>
        <w:fldChar w:fldCharType="end"/>
      </w:r>
    </w:p>
    <w:p>
      <w:pPr>
        <w:pStyle w:val="68"/>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"_Toc24081" </w:instrText>
      </w:r>
      <w:r>
        <w:rPr>
          <w:color w:val="auto"/>
          <w:highlight w:val="none"/>
        </w:rPr>
        <w:fldChar w:fldCharType="separate"/>
      </w:r>
      <w:r>
        <w:rPr>
          <w:rFonts w:hint="eastAsia" w:cs="宋体"/>
          <w:b w:val="0"/>
          <w:bCs/>
          <w:color w:val="auto"/>
          <w:kern w:val="0"/>
          <w:highlight w:val="none"/>
        </w:rPr>
        <w:t>二、投标文件否决性条款</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_Toc24081 </w:instrText>
      </w:r>
      <w:r>
        <w:rPr>
          <w:rFonts w:hint="eastAsia" w:cs="宋体"/>
          <w:b w:val="0"/>
          <w:bCs/>
          <w:color w:val="auto"/>
          <w:highlight w:val="none"/>
        </w:rPr>
        <w:fldChar w:fldCharType="separate"/>
      </w:r>
      <w:r>
        <w:rPr>
          <w:rFonts w:hint="eastAsia" w:cs="宋体"/>
          <w:b w:val="0"/>
          <w:bCs/>
          <w:color w:val="auto"/>
          <w:highlight w:val="none"/>
        </w:rPr>
        <w:t>15</w:t>
      </w:r>
      <w:r>
        <w:rPr>
          <w:rFonts w:hint="eastAsia" w:cs="宋体"/>
          <w:b w:val="0"/>
          <w:bCs/>
          <w:color w:val="auto"/>
          <w:highlight w:val="none"/>
        </w:rPr>
        <w:fldChar w:fldCharType="end"/>
      </w:r>
      <w:r>
        <w:rPr>
          <w:rFonts w:hint="eastAsia" w:cs="宋体"/>
          <w:b w:val="0"/>
          <w:bCs/>
          <w:color w:val="auto"/>
          <w:highlight w:val="none"/>
        </w:rPr>
        <w:fldChar w:fldCharType="end"/>
      </w:r>
    </w:p>
    <w:p>
      <w:pPr>
        <w:pStyle w:val="68"/>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"_Toc14481" </w:instrText>
      </w:r>
      <w:r>
        <w:rPr>
          <w:color w:val="auto"/>
          <w:highlight w:val="none"/>
        </w:rPr>
        <w:fldChar w:fldCharType="separate"/>
      </w:r>
      <w:r>
        <w:rPr>
          <w:rFonts w:hint="eastAsia" w:cs="宋体"/>
          <w:b w:val="0"/>
          <w:bCs/>
          <w:color w:val="auto"/>
          <w:kern w:val="0"/>
          <w:highlight w:val="none"/>
        </w:rPr>
        <w:t>三、招投标须知正文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_Toc14481 </w:instrText>
      </w:r>
      <w:r>
        <w:rPr>
          <w:rFonts w:hint="eastAsia" w:cs="宋体"/>
          <w:b w:val="0"/>
          <w:bCs/>
          <w:color w:val="auto"/>
          <w:highlight w:val="none"/>
        </w:rPr>
        <w:fldChar w:fldCharType="separate"/>
      </w:r>
      <w:r>
        <w:rPr>
          <w:rFonts w:hint="eastAsia" w:cs="宋体"/>
          <w:b w:val="0"/>
          <w:bCs/>
          <w:color w:val="auto"/>
          <w:highlight w:val="none"/>
        </w:rPr>
        <w:t>17</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"_Toc7229" </w:instrText>
      </w:r>
      <w:r>
        <w:rPr>
          <w:color w:val="auto"/>
          <w:highlight w:val="none"/>
        </w:rPr>
        <w:fldChar w:fldCharType="separate"/>
      </w:r>
      <w:r>
        <w:rPr>
          <w:rFonts w:hint="eastAsia" w:cs="宋体"/>
          <w:b w:val="0"/>
          <w:bCs/>
          <w:color w:val="auto"/>
          <w:kern w:val="0"/>
          <w:highlight w:val="none"/>
        </w:rPr>
        <w:t>（一）招标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_Toc7229 </w:instrText>
      </w:r>
      <w:r>
        <w:rPr>
          <w:rFonts w:hint="eastAsia" w:cs="宋体"/>
          <w:b w:val="0"/>
          <w:bCs/>
          <w:color w:val="auto"/>
          <w:highlight w:val="none"/>
        </w:rPr>
        <w:fldChar w:fldCharType="separate"/>
      </w:r>
      <w:r>
        <w:rPr>
          <w:rFonts w:hint="eastAsia" w:cs="宋体"/>
          <w:b w:val="0"/>
          <w:bCs/>
          <w:color w:val="auto"/>
          <w:highlight w:val="none"/>
        </w:rPr>
        <w:t>17</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"_Toc17700" </w:instrText>
      </w:r>
      <w:r>
        <w:rPr>
          <w:color w:val="auto"/>
          <w:highlight w:val="none"/>
        </w:rPr>
        <w:fldChar w:fldCharType="separate"/>
      </w:r>
      <w:r>
        <w:rPr>
          <w:rFonts w:hint="eastAsia" w:cs="宋体"/>
          <w:b w:val="0"/>
          <w:bCs/>
          <w:color w:val="auto"/>
          <w:kern w:val="0"/>
          <w:highlight w:val="none"/>
        </w:rPr>
        <w:t>（二）投标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_Toc17700 </w:instrText>
      </w:r>
      <w:r>
        <w:rPr>
          <w:rFonts w:hint="eastAsia" w:cs="宋体"/>
          <w:b w:val="0"/>
          <w:bCs/>
          <w:color w:val="auto"/>
          <w:highlight w:val="none"/>
        </w:rPr>
        <w:fldChar w:fldCharType="separate"/>
      </w:r>
      <w:r>
        <w:rPr>
          <w:rFonts w:hint="eastAsia" w:cs="宋体"/>
          <w:b w:val="0"/>
          <w:bCs/>
          <w:color w:val="auto"/>
          <w:highlight w:val="none"/>
        </w:rPr>
        <w:t>17</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"_Toc1632" </w:instrText>
      </w:r>
      <w:r>
        <w:rPr>
          <w:color w:val="auto"/>
          <w:highlight w:val="none"/>
        </w:rPr>
        <w:fldChar w:fldCharType="separate"/>
      </w:r>
      <w:r>
        <w:rPr>
          <w:rFonts w:hint="eastAsia" w:cs="宋体"/>
          <w:b w:val="0"/>
          <w:bCs/>
          <w:color w:val="auto"/>
          <w:kern w:val="0"/>
          <w:highlight w:val="none"/>
        </w:rPr>
        <w:t>（三）资格后审</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_Toc1632 </w:instrText>
      </w:r>
      <w:r>
        <w:rPr>
          <w:rFonts w:hint="eastAsia" w:cs="宋体"/>
          <w:b w:val="0"/>
          <w:bCs/>
          <w:color w:val="auto"/>
          <w:highlight w:val="none"/>
        </w:rPr>
        <w:fldChar w:fldCharType="separate"/>
      </w:r>
      <w:r>
        <w:rPr>
          <w:rFonts w:hint="eastAsia" w:cs="宋体"/>
          <w:b w:val="0"/>
          <w:bCs/>
          <w:color w:val="auto"/>
          <w:highlight w:val="none"/>
        </w:rPr>
        <w:t>20</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"_Toc10182" </w:instrText>
      </w:r>
      <w:r>
        <w:rPr>
          <w:color w:val="auto"/>
          <w:highlight w:val="none"/>
        </w:rPr>
        <w:fldChar w:fldCharType="separate"/>
      </w:r>
      <w:r>
        <w:rPr>
          <w:rFonts w:hint="eastAsia" w:cs="宋体"/>
          <w:b w:val="0"/>
          <w:bCs/>
          <w:color w:val="auto"/>
          <w:kern w:val="0"/>
          <w:highlight w:val="none"/>
        </w:rPr>
        <w:t>（四）开标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_Toc10182 </w:instrText>
      </w:r>
      <w:r>
        <w:rPr>
          <w:rFonts w:hint="eastAsia" w:cs="宋体"/>
          <w:b w:val="0"/>
          <w:bCs/>
          <w:color w:val="auto"/>
          <w:highlight w:val="none"/>
        </w:rPr>
        <w:fldChar w:fldCharType="separate"/>
      </w:r>
      <w:r>
        <w:rPr>
          <w:rFonts w:hint="eastAsia" w:cs="宋体"/>
          <w:b w:val="0"/>
          <w:bCs/>
          <w:color w:val="auto"/>
          <w:highlight w:val="none"/>
        </w:rPr>
        <w:t>20</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"_Toc2418" </w:instrText>
      </w:r>
      <w:r>
        <w:rPr>
          <w:color w:val="auto"/>
          <w:highlight w:val="none"/>
        </w:rPr>
        <w:fldChar w:fldCharType="separate"/>
      </w:r>
      <w:r>
        <w:rPr>
          <w:rFonts w:hint="eastAsia" w:cs="宋体"/>
          <w:b w:val="0"/>
          <w:bCs/>
          <w:color w:val="auto"/>
          <w:kern w:val="0"/>
          <w:highlight w:val="none"/>
        </w:rPr>
        <w:t>（五）评标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_Toc2418 </w:instrText>
      </w:r>
      <w:r>
        <w:rPr>
          <w:rFonts w:hint="eastAsia" w:cs="宋体"/>
          <w:b w:val="0"/>
          <w:bCs/>
          <w:color w:val="auto"/>
          <w:highlight w:val="none"/>
        </w:rPr>
        <w:fldChar w:fldCharType="separate"/>
      </w:r>
      <w:r>
        <w:rPr>
          <w:rFonts w:hint="eastAsia" w:cs="宋体"/>
          <w:b w:val="0"/>
          <w:bCs/>
          <w:color w:val="auto"/>
          <w:highlight w:val="none"/>
        </w:rPr>
        <w:t>21</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"_Toc29510" </w:instrText>
      </w:r>
      <w:r>
        <w:rPr>
          <w:color w:val="auto"/>
          <w:highlight w:val="none"/>
        </w:rPr>
        <w:fldChar w:fldCharType="separate"/>
      </w:r>
      <w:r>
        <w:rPr>
          <w:rFonts w:hint="eastAsia" w:cs="宋体"/>
          <w:b w:val="0"/>
          <w:bCs/>
          <w:color w:val="auto"/>
          <w:kern w:val="0"/>
          <w:highlight w:val="none"/>
        </w:rPr>
        <w:t>（六）定标</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_Toc29510 </w:instrText>
      </w:r>
      <w:r>
        <w:rPr>
          <w:rFonts w:hint="eastAsia" w:cs="宋体"/>
          <w:b w:val="0"/>
          <w:bCs/>
          <w:color w:val="auto"/>
          <w:highlight w:val="none"/>
        </w:rPr>
        <w:fldChar w:fldCharType="separate"/>
      </w:r>
      <w:r>
        <w:rPr>
          <w:rFonts w:hint="eastAsia" w:cs="宋体"/>
          <w:b w:val="0"/>
          <w:bCs/>
          <w:color w:val="auto"/>
          <w:highlight w:val="none"/>
        </w:rPr>
        <w:t>24</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"_Toc10227" </w:instrText>
      </w:r>
      <w:r>
        <w:rPr>
          <w:color w:val="auto"/>
          <w:highlight w:val="none"/>
        </w:rPr>
        <w:fldChar w:fldCharType="separate"/>
      </w:r>
      <w:r>
        <w:rPr>
          <w:rFonts w:hint="eastAsia" w:cs="宋体"/>
          <w:b w:val="0"/>
          <w:bCs/>
          <w:color w:val="auto"/>
          <w:kern w:val="0"/>
          <w:highlight w:val="none"/>
        </w:rPr>
        <w:t>（七）中标通知书</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_Toc10227 </w:instrText>
      </w:r>
      <w:r>
        <w:rPr>
          <w:rFonts w:hint="eastAsia" w:cs="宋体"/>
          <w:b w:val="0"/>
          <w:bCs/>
          <w:color w:val="auto"/>
          <w:highlight w:val="none"/>
        </w:rPr>
        <w:fldChar w:fldCharType="separate"/>
      </w:r>
      <w:r>
        <w:rPr>
          <w:rFonts w:hint="eastAsia" w:cs="宋体"/>
          <w:b w:val="0"/>
          <w:bCs/>
          <w:color w:val="auto"/>
          <w:highlight w:val="none"/>
        </w:rPr>
        <w:t>28</w:t>
      </w:r>
      <w:r>
        <w:rPr>
          <w:rFonts w:hint="eastAsia" w:cs="宋体"/>
          <w:b w:val="0"/>
          <w:bCs/>
          <w:color w:val="auto"/>
          <w:highlight w:val="none"/>
        </w:rPr>
        <w:fldChar w:fldCharType="end"/>
      </w:r>
      <w:r>
        <w:rPr>
          <w:rFonts w:hint="eastAsia" w:cs="宋体"/>
          <w:b w:val="0"/>
          <w:bCs/>
          <w:color w:val="auto"/>
          <w:highlight w:val="none"/>
        </w:rPr>
        <w:fldChar w:fldCharType="end"/>
      </w:r>
    </w:p>
    <w:p>
      <w:pPr>
        <w:pStyle w:val="40"/>
        <w:tabs>
          <w:tab w:val="right" w:leader="dot" w:pos="9638"/>
          <w:tab w:val="clear" w:pos="8949"/>
        </w:tabs>
        <w:ind w:right="0" w:rightChars="0" w:firstLine="0" w:firstLineChars="0"/>
        <w:rPr>
          <w:rFonts w:cs="宋体"/>
          <w:b w:val="0"/>
          <w:bCs/>
          <w:color w:val="auto"/>
          <w:highlight w:val="none"/>
        </w:rPr>
      </w:pPr>
      <w:r>
        <w:rPr>
          <w:color w:val="auto"/>
          <w:highlight w:val="none"/>
        </w:rPr>
        <w:fldChar w:fldCharType="begin"/>
      </w:r>
      <w:r>
        <w:rPr>
          <w:color w:val="auto"/>
          <w:highlight w:val="none"/>
        </w:rPr>
        <w:instrText xml:space="preserve"> HYPERLINK \l "_Toc5986" </w:instrText>
      </w:r>
      <w:r>
        <w:rPr>
          <w:color w:val="auto"/>
          <w:highlight w:val="none"/>
        </w:rPr>
        <w:fldChar w:fldCharType="separate"/>
      </w:r>
      <w:r>
        <w:rPr>
          <w:rFonts w:hint="eastAsia" w:cs="宋体"/>
          <w:b w:val="0"/>
          <w:bCs/>
          <w:color w:val="auto"/>
          <w:kern w:val="0"/>
          <w:highlight w:val="none"/>
        </w:rPr>
        <w:t>（八）合同授予</w:t>
      </w:r>
      <w:r>
        <w:rPr>
          <w:rFonts w:hint="eastAsia" w:cs="宋体"/>
          <w:b w:val="0"/>
          <w:bCs/>
          <w:color w:val="auto"/>
          <w:highlight w:val="none"/>
        </w:rPr>
        <w:tab/>
      </w:r>
      <w:r>
        <w:rPr>
          <w:rFonts w:hint="eastAsia" w:cs="宋体"/>
          <w:b w:val="0"/>
          <w:bCs/>
          <w:color w:val="auto"/>
          <w:highlight w:val="none"/>
        </w:rPr>
        <w:fldChar w:fldCharType="begin"/>
      </w:r>
      <w:r>
        <w:rPr>
          <w:rFonts w:hint="eastAsia" w:cs="宋体"/>
          <w:b w:val="0"/>
          <w:bCs/>
          <w:color w:val="auto"/>
          <w:highlight w:val="none"/>
        </w:rPr>
        <w:instrText xml:space="preserve"> PAGEREF _Toc5986 </w:instrText>
      </w:r>
      <w:r>
        <w:rPr>
          <w:rFonts w:hint="eastAsia" w:cs="宋体"/>
          <w:b w:val="0"/>
          <w:bCs/>
          <w:color w:val="auto"/>
          <w:highlight w:val="none"/>
        </w:rPr>
        <w:fldChar w:fldCharType="separate"/>
      </w:r>
      <w:r>
        <w:rPr>
          <w:rFonts w:hint="eastAsia" w:cs="宋体"/>
          <w:b w:val="0"/>
          <w:bCs/>
          <w:color w:val="auto"/>
          <w:highlight w:val="none"/>
        </w:rPr>
        <w:t>28</w:t>
      </w:r>
      <w:r>
        <w:rPr>
          <w:rFonts w:hint="eastAsia" w:cs="宋体"/>
          <w:b w:val="0"/>
          <w:bCs/>
          <w:color w:val="auto"/>
          <w:highlight w:val="none"/>
        </w:rPr>
        <w:fldChar w:fldCharType="end"/>
      </w:r>
      <w:r>
        <w:rPr>
          <w:rFonts w:hint="eastAsia" w:cs="宋体"/>
          <w:b w:val="0"/>
          <w:bCs/>
          <w:color w:val="auto"/>
          <w:highlight w:val="none"/>
        </w:rPr>
        <w:fldChar w:fldCharType="end"/>
      </w:r>
    </w:p>
    <w:p>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"_Toc13536" </w:instrText>
      </w:r>
      <w:r>
        <w:rPr>
          <w:color w:val="auto"/>
          <w:highlight w:val="none"/>
        </w:rPr>
        <w:fldChar w:fldCharType="separate"/>
      </w:r>
      <w:r>
        <w:rPr>
          <w:rFonts w:hint="eastAsia" w:cs="宋体"/>
          <w:color w:val="auto"/>
          <w:kern w:val="0"/>
          <w:highlight w:val="none"/>
        </w:rPr>
        <w:t>第三章  招标人对招标文件的补充/修改</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_Toc13536 </w:instrText>
      </w:r>
      <w:r>
        <w:rPr>
          <w:rFonts w:hint="eastAsia" w:cs="宋体"/>
          <w:color w:val="auto"/>
          <w:highlight w:val="none"/>
        </w:rPr>
        <w:fldChar w:fldCharType="separate"/>
      </w:r>
      <w:r>
        <w:rPr>
          <w:rFonts w:hint="eastAsia" w:cs="宋体"/>
          <w:color w:val="auto"/>
          <w:highlight w:val="none"/>
        </w:rPr>
        <w:t>33</w:t>
      </w:r>
      <w:r>
        <w:rPr>
          <w:rFonts w:hint="eastAsia" w:cs="宋体"/>
          <w:color w:val="auto"/>
          <w:highlight w:val="none"/>
        </w:rPr>
        <w:fldChar w:fldCharType="end"/>
      </w:r>
      <w:r>
        <w:rPr>
          <w:rFonts w:hint="eastAsia" w:cs="宋体"/>
          <w:color w:val="auto"/>
          <w:highlight w:val="none"/>
        </w:rPr>
        <w:fldChar w:fldCharType="end"/>
      </w:r>
    </w:p>
    <w:p>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"_Toc7288" </w:instrText>
      </w:r>
      <w:r>
        <w:rPr>
          <w:color w:val="auto"/>
          <w:highlight w:val="none"/>
        </w:rPr>
        <w:fldChar w:fldCharType="separate"/>
      </w:r>
      <w:r>
        <w:rPr>
          <w:rFonts w:hint="eastAsia" w:cs="宋体"/>
          <w:color w:val="auto"/>
          <w:kern w:val="0"/>
          <w:highlight w:val="none"/>
        </w:rPr>
        <w:t>第四章  设计任务书及前期资料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_Toc7288 </w:instrText>
      </w:r>
      <w:r>
        <w:rPr>
          <w:rFonts w:hint="eastAsia" w:cs="宋体"/>
          <w:color w:val="auto"/>
          <w:highlight w:val="none"/>
        </w:rPr>
        <w:fldChar w:fldCharType="separate"/>
      </w:r>
      <w:r>
        <w:rPr>
          <w:rFonts w:hint="eastAsia" w:cs="宋体"/>
          <w:color w:val="auto"/>
          <w:highlight w:val="none"/>
        </w:rPr>
        <w:t>34</w:t>
      </w:r>
      <w:r>
        <w:rPr>
          <w:rFonts w:hint="eastAsia" w:cs="宋体"/>
          <w:color w:val="auto"/>
          <w:highlight w:val="none"/>
        </w:rPr>
        <w:fldChar w:fldCharType="end"/>
      </w:r>
      <w:r>
        <w:rPr>
          <w:rFonts w:hint="eastAsia" w:cs="宋体"/>
          <w:color w:val="auto"/>
          <w:highlight w:val="none"/>
        </w:rPr>
        <w:fldChar w:fldCharType="end"/>
      </w:r>
    </w:p>
    <w:p>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"_Toc23337" </w:instrText>
      </w:r>
      <w:r>
        <w:rPr>
          <w:color w:val="auto"/>
          <w:highlight w:val="none"/>
        </w:rPr>
        <w:fldChar w:fldCharType="separate"/>
      </w:r>
      <w:r>
        <w:rPr>
          <w:rFonts w:hint="eastAsia" w:cs="宋体"/>
          <w:color w:val="auto"/>
          <w:kern w:val="0"/>
          <w:highlight w:val="none"/>
        </w:rPr>
        <w:t>第五章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_Toc23337 </w:instrText>
      </w:r>
      <w:r>
        <w:rPr>
          <w:rFonts w:hint="eastAsia" w:cs="宋体"/>
          <w:color w:val="auto"/>
          <w:highlight w:val="none"/>
        </w:rPr>
        <w:fldChar w:fldCharType="separate"/>
      </w:r>
      <w:r>
        <w:rPr>
          <w:rFonts w:hint="eastAsia" w:cs="宋体"/>
          <w:color w:val="auto"/>
          <w:highlight w:val="none"/>
        </w:rPr>
        <w:t>35</w:t>
      </w:r>
      <w:r>
        <w:rPr>
          <w:rFonts w:hint="eastAsia" w:cs="宋体"/>
          <w:color w:val="auto"/>
          <w:highlight w:val="none"/>
        </w:rPr>
        <w:fldChar w:fldCharType="end"/>
      </w:r>
      <w:r>
        <w:rPr>
          <w:rFonts w:hint="eastAsia" w:cs="宋体"/>
          <w:color w:val="auto"/>
          <w:highlight w:val="none"/>
        </w:rPr>
        <w:fldChar w:fldCharType="end"/>
      </w:r>
    </w:p>
    <w:p>
      <w:pPr>
        <w:pStyle w:val="55"/>
        <w:tabs>
          <w:tab w:val="right" w:leader="dot" w:pos="9638"/>
          <w:tab w:val="clear" w:pos="8949"/>
        </w:tabs>
        <w:ind w:right="0" w:rightChars="0" w:firstLine="0" w:firstLineChars="0"/>
        <w:rPr>
          <w:rFonts w:cs="宋体"/>
          <w:color w:val="auto"/>
          <w:highlight w:val="none"/>
        </w:rPr>
      </w:pPr>
      <w:r>
        <w:rPr>
          <w:color w:val="auto"/>
          <w:highlight w:val="none"/>
        </w:rPr>
        <w:fldChar w:fldCharType="begin"/>
      </w:r>
      <w:r>
        <w:rPr>
          <w:color w:val="auto"/>
          <w:highlight w:val="none"/>
        </w:rPr>
        <w:instrText xml:space="preserve"> HYPERLINK \l "_Toc22487" </w:instrText>
      </w:r>
      <w:r>
        <w:rPr>
          <w:color w:val="auto"/>
          <w:highlight w:val="none"/>
        </w:rPr>
        <w:fldChar w:fldCharType="separate"/>
      </w:r>
      <w:r>
        <w:rPr>
          <w:rFonts w:hint="eastAsia" w:cs="宋体"/>
          <w:color w:val="auto"/>
          <w:kern w:val="0"/>
          <w:highlight w:val="none"/>
        </w:rPr>
        <w:t>第六章  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_Toc22487 </w:instrText>
      </w:r>
      <w:r>
        <w:rPr>
          <w:rFonts w:hint="eastAsia" w:cs="宋体"/>
          <w:color w:val="auto"/>
          <w:highlight w:val="none"/>
        </w:rPr>
        <w:fldChar w:fldCharType="separate"/>
      </w:r>
      <w:r>
        <w:rPr>
          <w:rFonts w:hint="eastAsia" w:cs="宋体"/>
          <w:color w:val="auto"/>
          <w:highlight w:val="none"/>
        </w:rPr>
        <w:t>51</w:t>
      </w:r>
      <w:r>
        <w:rPr>
          <w:rFonts w:hint="eastAsia" w:cs="宋体"/>
          <w:color w:val="auto"/>
          <w:highlight w:val="none"/>
        </w:rPr>
        <w:fldChar w:fldCharType="end"/>
      </w:r>
      <w:r>
        <w:rPr>
          <w:rFonts w:hint="eastAsia" w:cs="宋体"/>
          <w:color w:val="auto"/>
          <w:highlight w:val="none"/>
        </w:rPr>
        <w:fldChar w:fldCharType="end"/>
      </w:r>
    </w:p>
    <w:p>
      <w:pPr>
        <w:adjustRightInd w:val="0"/>
        <w:snapToGrid w:val="0"/>
        <w:spacing w:line="360" w:lineRule="auto"/>
        <w:jc w:val="center"/>
        <w:rPr>
          <w:color w:val="auto"/>
          <w:highlight w:val="none"/>
        </w:rPr>
      </w:pPr>
      <w:r>
        <w:rPr>
          <w:rFonts w:hint="eastAsia" w:ascii="宋体" w:hAnsi="宋体" w:eastAsia="宋体" w:cs="宋体"/>
          <w:bCs/>
          <w:color w:val="auto"/>
          <w:sz w:val="24"/>
          <w:szCs w:val="24"/>
          <w:highlight w:val="none"/>
        </w:rPr>
        <w:fldChar w:fldCharType="end"/>
      </w:r>
    </w:p>
    <w:p>
      <w:pPr>
        <w:adjustRightInd w:val="0"/>
        <w:snapToGrid w:val="0"/>
        <w:spacing w:line="360" w:lineRule="auto"/>
        <w:jc w:val="center"/>
        <w:rPr>
          <w:color w:val="auto"/>
          <w:highlight w:val="none"/>
        </w:rPr>
      </w:pPr>
      <w:r>
        <w:rPr>
          <w:color w:val="auto"/>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bookmarkStart w:id="0" w:name="_Toc17187"/>
      <w:r>
        <w:rPr>
          <w:rFonts w:hint="eastAsia" w:ascii="黑体" w:eastAsia="黑体"/>
          <w:bCs/>
          <w:color w:val="auto"/>
          <w:kern w:val="0"/>
          <w:sz w:val="32"/>
          <w:szCs w:val="32"/>
          <w:highlight w:val="none"/>
        </w:rPr>
        <w:t>第一章 使用说明</w:t>
      </w:r>
      <w:bookmarkEnd w:id="0"/>
    </w:p>
    <w:p>
      <w:pPr>
        <w:adjustRightInd w:val="0"/>
        <w:snapToGrid w:val="0"/>
        <w:spacing w:line="440" w:lineRule="exact"/>
        <w:ind w:firstLine="420" w:firstLineChars="200"/>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一、为了规范工程设计招标投标活动，保障招标人和投标人的合法权益，根据国家及深圳市有关法律、法规、规章和规范性文件的规定，结合我市实际，遵循公开、公平、公正和诚实信用的原则，深圳市住房和建设局制定了《深圳市建设工程设计类招标文件（建筑方案设计类除外）》（以下简称“本范本”）。</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二、本范本适用于采用电子招投标及计算机评标的设计类（建筑方案设计类除外）招标工程。</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三、本范本的主要编写依据：</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1．《中华人民共和国建筑法》；</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2．《中华人民共和国招标投标法》；</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《中华人民共和国招标投标法实施条例》；</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《工程建设项目勘察设计招标投标办法》；</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《建筑工程设计招标投标管理办法》；</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《电子招标投标办法》；</w:t>
      </w:r>
    </w:p>
    <w:p>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 《关于创新完善体制机制推动招标投标市场规范健康发展的意见》(国办发〔2024〕21号）；</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．《关于建设工程招标投标改革的若干规定》(深府〔2015〕73号)；</w:t>
      </w:r>
    </w:p>
    <w:p>
      <w:pPr>
        <w:adjustRightInd w:val="0"/>
        <w:snapToGrid w:val="0"/>
        <w:spacing w:line="44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《关于进一步规范建设工程招标投标活动的通知》</w:t>
      </w:r>
      <w:r>
        <w:rPr>
          <w:rFonts w:hint="eastAsia" w:ascii="宋体" w:hAnsi="宋体" w:eastAsia="宋体" w:cs="宋体"/>
          <w:color w:val="auto"/>
          <w:kern w:val="0"/>
          <w:szCs w:val="21"/>
          <w:highlight w:val="none"/>
        </w:rPr>
        <w:t>(深府</w:t>
      </w:r>
      <w:r>
        <w:rPr>
          <w:rFonts w:hint="eastAsia" w:ascii="宋体" w:hAnsi="宋体" w:eastAsia="宋体" w:cs="宋体"/>
          <w:color w:val="auto"/>
          <w:kern w:val="0"/>
          <w:szCs w:val="21"/>
          <w:highlight w:val="none"/>
          <w:lang w:val="en-US" w:eastAsia="zh-CN"/>
        </w:rPr>
        <w:t>规</w:t>
      </w: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号)</w:t>
      </w:r>
      <w:r>
        <w:rPr>
          <w:rFonts w:hint="eastAsia" w:ascii="宋体" w:hAnsi="宋体" w:eastAsia="宋体" w:cs="宋体"/>
          <w:color w:val="auto"/>
          <w:kern w:val="0"/>
          <w:szCs w:val="21"/>
          <w:highlight w:val="none"/>
          <w:lang w:eastAsia="zh-CN"/>
        </w:rPr>
        <w:t>；</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.《关于进一步完善建设工程招标投标制度的若干措施》(深建规〔2020〕1号)；</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.《工程信息模型应用统一标准》（GB/T51212-2016）；</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.《建筑信息模型设计交付标准》（GB/T51301-2018）；</w:t>
      </w:r>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四、本工程招标投标活动在</w:t>
      </w:r>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kern w:val="0"/>
          <w:szCs w:val="21"/>
          <w:highlight w:val="none"/>
        </w:rPr>
        <w:t>进行。</w:t>
      </w:r>
    </w:p>
    <w:p>
      <w:pPr>
        <w:wordWrap w:val="0"/>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五、本招标文件所指交易网为：</w:t>
      </w:r>
      <w:r>
        <w:rPr>
          <w:rFonts w:hint="eastAsia" w:ascii="宋体" w:hAnsi="宋体" w:eastAsia="宋体" w:cs="宋体"/>
          <w:color w:val="auto"/>
          <w:szCs w:val="21"/>
          <w:highlight w:val="none"/>
        </w:rPr>
        <w:t>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六、招标人和投标人应事先办理企业的数字证书或电子营业执照，同时应办理相关人员的数字证书。有关手续请查看交易网中的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建设工程</w:t>
      </w:r>
      <w:r>
        <w:rPr>
          <w:rFonts w:hint="eastAsia" w:ascii="宋体" w:hAnsi="宋体" w:eastAsia="宋体" w:cs="宋体"/>
          <w:color w:val="auto"/>
          <w:szCs w:val="21"/>
          <w:highlight w:val="none"/>
        </w:rPr>
        <w:t>数字证书办事指南”。</w:t>
      </w:r>
      <w:r>
        <w:rPr>
          <w:rFonts w:hint="eastAsia" w:ascii="宋体" w:hAnsi="宋体" w:eastAsia="宋体" w:cs="宋体"/>
          <w:color w:val="auto"/>
          <w:kern w:val="0"/>
          <w:szCs w:val="21"/>
          <w:highlight w:val="none"/>
        </w:rPr>
        <w:t>使用电子营业执照的，须提前在国家市场监督管理监管总局“电子营业执照”微信小程序电子营业执照应用程序中下载本企业电子营业执照，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pPr>
        <w:adjustRightInd w:val="0"/>
        <w:snapToGrid w:val="0"/>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八、有关招标问题的说明</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2．采用本示范文本以外的评标方法应经建设、交通行政主管部门批准，并且必须在招标文件的评标方法中进行详细描述。</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3.采用本示范文本以外的定标方法应经建设、交通行政主管部门批准，并且必须在招标文件中进行详细描述。</w:t>
      </w:r>
    </w:p>
    <w:p>
      <w:pPr>
        <w:adjustRightInd w:val="0"/>
        <w:snapToGrid w:val="0"/>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4.招标人注意事项：</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4.1招标人所提交电子招标文件格式应为*.SJZB。该文件格式必须是由</w:t>
      </w:r>
      <w:r>
        <w:rPr>
          <w:rFonts w:hint="eastAsia" w:ascii="宋体" w:hAnsi="宋体" w:eastAsia="宋体" w:cs="宋体"/>
          <w:color w:val="auto"/>
          <w:szCs w:val="21"/>
          <w:highlight w:val="none"/>
          <w:lang w:val="en-US" w:eastAsia="zh-CN"/>
        </w:rPr>
        <w:t>交易平台编制</w:t>
      </w:r>
      <w:r>
        <w:rPr>
          <w:rFonts w:hint="eastAsia" w:ascii="宋体" w:hAnsi="宋体" w:eastAsia="宋体" w:cs="宋体"/>
          <w:color w:val="auto"/>
          <w:kern w:val="0"/>
          <w:szCs w:val="21"/>
          <w:highlight w:val="none"/>
        </w:rPr>
        <w:t>生成。</w:t>
      </w:r>
    </w:p>
    <w:p>
      <w:pPr>
        <w:adjustRightInd w:val="0"/>
        <w:snapToGrid w:val="0"/>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4.2</w:t>
      </w:r>
      <w:r>
        <w:rPr>
          <w:rFonts w:hint="eastAsia" w:ascii="宋体" w:hAnsi="宋体" w:eastAsia="宋体" w:cs="宋体"/>
          <w:color w:val="auto"/>
          <w:kern w:val="0"/>
          <w:szCs w:val="21"/>
          <w:highlight w:val="none"/>
        </w:rPr>
        <w:t>根据《深圳市人民政府办公厅关于印发加快推进建筑信息模型（BIM）技术应用的实施意见（试行）的通知》（深府办函〔2021〕103号）的规定，2022年1月1日起，新建（立项、核准备案）市区政府投资和国有资金投资建设项目、市区重大项目、重点片区工程项目全面实施BIM技术应用，上述项目于2022 年6月1日起，在办理规划许可、施工许可、竣工验收各审批报建环节提交BIM模型，市区政府投资和国有资金投资建设项目在招投标环节采用BIM 电子招投标系统。招标人应严格落实上述要求，并在招标策划时明确BIM技术应用阶段、内容、费用和成果文件等内容。</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4.3 对于采用BIM技术的招标项目，招标人应在招标文件中明确实施BIM的具体要求（如BIM设计范围、内容、深度、成果文件格式等），并提供方案设计阶段BIM成果文件（如有），同时充分考虑投标人编制BIM标书的时间。</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4.4具有数字证书或电子营业执照签名的电子招标文件，方为合法、有效；未对电子文件进行数字证书或电子营业执照签名的，将不予备案与发布。</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4.5如对招标文件作任何修改，均须保证投标文件足够编制时间。</w:t>
      </w:r>
    </w:p>
    <w:p>
      <w:pPr>
        <w:adjustRightInd w:val="0"/>
        <w:snapToGrid w:val="0"/>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九、有关投标问题的说明</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1.投标人获取招标文件后，应仔细阅读招标文件及附件的全部内容，附件与招标文件具有同等效力。</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2.投标人应在投标截止时间前，登录</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免费查阅或下载招标文件、答疑及招标文件补充通知。</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3.投标人对招标文件有不同意见或不明之处，应在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向招标人提出。</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lang w:val="en-US" w:eastAsia="zh-CN"/>
        </w:rPr>
        <w:t>交易网</w:t>
      </w:r>
      <w:r>
        <w:rPr>
          <w:rFonts w:hint="eastAsia" w:ascii="宋体" w:hAnsi="宋体" w:eastAsia="宋体" w:cs="宋体"/>
          <w:color w:val="auto"/>
          <w:kern w:val="0"/>
          <w:szCs w:val="21"/>
          <w:highlight w:val="none"/>
        </w:rPr>
        <w:t>是投标人获取建设工程电子招标文件唯一合法渠道。投标人需随时关注交易网</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上招标文件更新情况，并根据最后一次发布的电子招标文件制作及更新投标文件。如因未使用最新版招标文件制作投标文件导致不利后果的，由投标人自行承担。</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6.投标人应当遵守</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的相关规定，违反规定导致不利后果的，由投标人自行承担。</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8.投标人注意事项：</w:t>
      </w:r>
    </w:p>
    <w:p>
      <w:pPr>
        <w:adjustRightInd w:val="0"/>
        <w:snapToGrid w:val="0"/>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8.1投标人（含联合体各方）须办理企业信息登记。勘察、设计、施工、监理、造价、检测等</w:t>
      </w:r>
    </w:p>
    <w:p>
      <w:pPr>
        <w:wordWrap w:val="0"/>
        <w:adjustRightInd w:val="0"/>
        <w:snapToGrid w:val="0"/>
        <w:spacing w:line="380" w:lineRule="exact"/>
        <w:ind w:firstLine="0" w:firstLineChars="0"/>
        <w:jc w:val="left"/>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8.2投标人应事先办理企业数字证书或电子营业执照及其相关人员的数字证书及录入投标员信息。有关手续请查看交易网的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建设工程</w:t>
      </w:r>
      <w:r>
        <w:rPr>
          <w:rFonts w:hint="eastAsia" w:ascii="宋体" w:hAnsi="宋体" w:eastAsia="宋体" w:cs="宋体"/>
          <w:color w:val="auto"/>
          <w:szCs w:val="21"/>
          <w:highlight w:val="none"/>
        </w:rPr>
        <w:t>数字证书办事指南”</w:t>
      </w:r>
      <w:r>
        <w:rPr>
          <w:rFonts w:hint="eastAsia" w:ascii="宋体" w:hAnsi="宋体" w:eastAsia="宋体" w:cs="宋体"/>
          <w:color w:val="auto"/>
          <w:kern w:val="0"/>
          <w:szCs w:val="21"/>
          <w:highlight w:val="none"/>
        </w:rPr>
        <w:t>。市住房和建设局企业与人员信息半天交换一次，请投标人提前办好备案和变更手续。使用电子营业执照的，须提前在国家市场监督管理监管总局“电子营业执照”微信小程序电子营业执照应用程序中下载本企业电子营业执照，有关手续请查看“电子营业执照用户使用手册”。</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投标人所提交电子投标文件格式为*.SJTB，资格审查文件格式为*.SJTZS，业绩文件格式为*.SJTYJ。这些文件格式必须是由交易网所下载最新版本的“电子文件编制工具”生成。因电子投标文件编制不规范而导致投标文件内容无法导入系统导致不利后果的，由投标人自行承担。编制投标文件时，如需粘贴图片，</w:t>
      </w:r>
      <w:r>
        <w:rPr>
          <w:rFonts w:hint="eastAsia" w:ascii="宋体" w:hAnsi="宋体" w:eastAsia="宋体" w:cs="宋体"/>
          <w:color w:val="auto"/>
          <w:szCs w:val="21"/>
          <w:highlight w:val="none"/>
        </w:rPr>
        <w:t>可使用JPG/PNG/BMP格式</w:t>
      </w:r>
      <w:r>
        <w:rPr>
          <w:rFonts w:hint="eastAsia" w:ascii="宋体" w:hAnsi="宋体" w:eastAsia="宋体" w:cs="宋体"/>
          <w:color w:val="auto"/>
          <w:kern w:val="0"/>
          <w:szCs w:val="21"/>
          <w:highlight w:val="none"/>
        </w:rPr>
        <w:t>，且其分辨率不得低于100dpi。设计文本文件和资信标一共所占用磁盘空间必须小于50M，方案演示文件所占用磁盘空间必须小于1024M，展示图板所占用磁盘空间必须小于1024M，资格审查文件所占用磁盘空间必须小于200M。</w:t>
      </w:r>
    </w:p>
    <w:p>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8.4  招标人提供了方案设计阶段BIM成果文件的，投标人应在该文件的基础上应用BIM技术进行深化设计，在编制BIM标书文件时，使用符合</w:t>
      </w:r>
      <w:r>
        <w:rPr>
          <w:rFonts w:hint="eastAsia" w:ascii="宋体" w:hAnsi="宋体" w:eastAsia="宋体" w:cs="宋体"/>
          <w:color w:val="auto"/>
          <w:highlight w:val="none"/>
        </w:rPr>
        <w:t>建设工程招投标平台</w:t>
      </w:r>
      <w:r>
        <w:rPr>
          <w:rFonts w:hint="eastAsia" w:ascii="宋体" w:hAnsi="宋体" w:eastAsia="宋体" w:cs="宋体"/>
          <w:color w:val="auto"/>
          <w:szCs w:val="21"/>
          <w:highlight w:val="none"/>
        </w:rPr>
        <w:t xml:space="preserve"> BIM 电子招投标系统兼容要求的设计模型标书编制工具，将 BIM 模型、地标文件及相关附件进行整合，整合完成后将输出资料导入“电子文件编制工具”进行签名，生成 BIM 标书文件(格式为*</w:t>
      </w:r>
      <w:r>
        <w:rPr>
          <w:rFonts w:hint="eastAsia" w:ascii="宋体" w:hAnsi="宋体" w:eastAsia="宋体" w:cs="宋体"/>
          <w:color w:val="auto"/>
          <w:kern w:val="0"/>
          <w:szCs w:val="21"/>
          <w:highlight w:val="none"/>
        </w:rPr>
        <w:t>SJTB</w:t>
      </w:r>
      <w:r>
        <w:rPr>
          <w:rFonts w:hint="eastAsia" w:ascii="宋体" w:hAnsi="宋体" w:eastAsia="宋体" w:cs="宋体"/>
          <w:color w:val="auto"/>
          <w:szCs w:val="21"/>
          <w:highlight w:val="none"/>
        </w:rPr>
        <w:t>)。BIM模型的建模范围、建模精度、成果文件格式等应当符合招标文件的要求，BIM模型所占用磁盘空间建议小于 400M。</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8.5电子投标文件必须具有数字证书或电子营业执照签名，方为合法、有效；因未对电子文件进行数字证书或电子营业执照签名导致不利后果的，由投标人自行承担。</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在电子投标文件编制工具中，生成电子标书时，必须对电子标书进行《单位机构数字证书》或电子营业执照签名以及《法定代表人个人数字证书》签名。</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投标人应严格按招标文件要求，在截标前使用投标人（或联合体主体）单位机构数字证书或电子营业执照，通过交易平台递交电子投标文件，上传成功后打印回执；为防止网络阻塞，建议预留充足时间上传投标文件。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投标人可使用电子投标文件编制工具中的加密功能对电子投标文件中各部分内容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对电子投标文件加密的，需在开标会时登录</w:t>
      </w:r>
      <w:r>
        <w:rPr>
          <w:rFonts w:hint="eastAsia" w:ascii="宋体" w:hAnsi="宋体" w:eastAsia="宋体" w:cs="宋体"/>
          <w:color w:val="auto"/>
          <w:kern w:val="0"/>
          <w:szCs w:val="21"/>
          <w:highlight w:val="none"/>
          <w:lang w:val="en-US" w:eastAsia="zh-CN"/>
        </w:rPr>
        <w:t>交易平台</w:t>
      </w:r>
      <w:r>
        <w:rPr>
          <w:rFonts w:hint="eastAsia" w:ascii="宋体" w:hAnsi="宋体" w:eastAsia="宋体" w:cs="宋体"/>
          <w:color w:val="auto"/>
          <w:kern w:val="0"/>
          <w:szCs w:val="21"/>
          <w:highlight w:val="none"/>
        </w:rPr>
        <w:t>远程解密或携带用于加密的数字证书或电子营业执照在开标会上进行解密。因未成功解密导致不利后果的，由投标人自行承担。</w:t>
      </w:r>
    </w:p>
    <w:p>
      <w:pPr>
        <w:adjustRightInd w:val="0"/>
        <w:snapToGrid w:val="0"/>
        <w:spacing w:line="44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9.本工程将采用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进行投标、开标及评标，请认真阅读本说明，若有疑问可通过载明的联系方式要求技术咨询。</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p>
      <w:pPr>
        <w:rPr>
          <w:color w:val="auto"/>
          <w:highlight w:val="none"/>
        </w:rPr>
      </w:pPr>
    </w:p>
    <w:p>
      <w:pPr>
        <w:adjustRightInd w:val="0"/>
        <w:snapToGrid w:val="0"/>
        <w:spacing w:before="93" w:beforeLines="30" w:line="360" w:lineRule="auto"/>
        <w:ind w:firstLine="420" w:firstLineChars="200"/>
        <w:jc w:val="left"/>
        <w:rPr>
          <w:rFonts w:ascii="宋体" w:hAnsi="宋体" w:eastAsia="宋体" w:cs="宋体"/>
          <w:color w:val="auto"/>
          <w:kern w:val="0"/>
          <w:szCs w:val="21"/>
          <w:highlight w:val="none"/>
        </w:rPr>
      </w:pPr>
    </w:p>
    <w:p>
      <w:pPr>
        <w:adjustRightInd w:val="0"/>
        <w:snapToGrid w:val="0"/>
        <w:spacing w:before="93" w:beforeLines="30" w:line="360" w:lineRule="auto"/>
        <w:jc w:val="left"/>
        <w:rPr>
          <w:rFonts w:ascii="宋体" w:hAnsi="宋体" w:eastAsia="宋体" w:cs="宋体"/>
          <w:color w:val="auto"/>
          <w:kern w:val="0"/>
          <w:szCs w:val="21"/>
          <w:highlight w:val="none"/>
        </w:rPr>
      </w:pPr>
    </w:p>
    <w:tbl>
      <w:tblPr>
        <w:tblStyle w:val="79"/>
        <w:tblW w:w="9854" w:type="dxa"/>
        <w:jc w:val="center"/>
        <w:tblLayout w:type="fixed"/>
        <w:tblCellMar>
          <w:top w:w="0" w:type="dxa"/>
          <w:left w:w="108" w:type="dxa"/>
          <w:bottom w:w="0" w:type="dxa"/>
          <w:right w:w="108" w:type="dxa"/>
        </w:tblCellMar>
      </w:tblPr>
      <w:tblGrid>
        <w:gridCol w:w="1587"/>
        <w:gridCol w:w="3212"/>
        <w:gridCol w:w="1957"/>
        <w:gridCol w:w="3098"/>
      </w:tblGrid>
      <w:tr>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p>
        </w:tc>
        <w:tc>
          <w:tcPr>
            <w:tcW w:w="321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09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321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309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21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09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21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09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21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09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21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09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54" w:hRule="atLeast"/>
          <w:jc w:val="center"/>
        </w:trPr>
        <w:tc>
          <w:tcPr>
            <w:tcW w:w="158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212"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c>
          <w:tcPr>
            <w:tcW w:w="1957" w:type="dxa"/>
            <w:shd w:val="clear" w:color="auto" w:fill="auto"/>
            <w:vAlign w:val="center"/>
          </w:tcPr>
          <w:p>
            <w:pPr>
              <w:adjustRightInd w:val="0"/>
              <w:snapToGri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09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bl>
    <w:p>
      <w:pPr>
        <w:widowControl/>
        <w:spacing w:line="20" w:lineRule="exact"/>
        <w:jc w:val="left"/>
        <w:rPr>
          <w:color w:val="auto"/>
          <w:highlight w:val="none"/>
        </w:rPr>
      </w:pPr>
      <w:r>
        <w:rPr>
          <w:color w:val="auto"/>
          <w:highlight w:val="none"/>
        </w:rPr>
        <w:br w:type="page"/>
      </w:r>
    </w:p>
    <w:p>
      <w:pPr>
        <w:adjustRightInd w:val="0"/>
        <w:snapToGrid w:val="0"/>
        <w:spacing w:line="360" w:lineRule="auto"/>
        <w:jc w:val="center"/>
        <w:outlineLvl w:val="0"/>
        <w:rPr>
          <w:rFonts w:ascii="黑体" w:eastAsia="黑体"/>
          <w:bCs/>
          <w:color w:val="auto"/>
          <w:kern w:val="0"/>
          <w:sz w:val="32"/>
          <w:szCs w:val="32"/>
          <w:highlight w:val="none"/>
        </w:rPr>
      </w:pPr>
      <w:bookmarkStart w:id="1" w:name="_Toc5080"/>
      <w:r>
        <w:rPr>
          <w:rFonts w:hint="eastAsia" w:ascii="黑体" w:eastAsia="黑体"/>
          <w:bCs/>
          <w:color w:val="auto"/>
          <w:kern w:val="0"/>
          <w:sz w:val="32"/>
          <w:szCs w:val="32"/>
          <w:highlight w:val="none"/>
        </w:rPr>
        <w:t>第二章  投标须知</w:t>
      </w:r>
      <w:bookmarkEnd w:id="1"/>
    </w:p>
    <w:p>
      <w:pPr>
        <w:adjustRightInd w:val="0"/>
        <w:snapToGrid w:val="0"/>
        <w:spacing w:line="360" w:lineRule="auto"/>
        <w:jc w:val="center"/>
        <w:outlineLvl w:val="1"/>
        <w:rPr>
          <w:rFonts w:ascii="黑体" w:hAnsi="黑体" w:eastAsia="黑体" w:cs="黑体"/>
          <w:bCs/>
          <w:color w:val="auto"/>
          <w:kern w:val="0"/>
          <w:sz w:val="32"/>
          <w:szCs w:val="32"/>
          <w:highlight w:val="none"/>
        </w:rPr>
      </w:pPr>
      <w:bookmarkStart w:id="2" w:name="_Toc8591"/>
      <w:r>
        <w:rPr>
          <w:rFonts w:hint="eastAsia" w:ascii="黑体" w:hAnsi="黑体" w:eastAsia="黑体" w:cs="黑体"/>
          <w:bCs/>
          <w:color w:val="auto"/>
          <w:kern w:val="0"/>
          <w:sz w:val="32"/>
          <w:szCs w:val="32"/>
          <w:highlight w:val="none"/>
        </w:rPr>
        <w:t>一、 投标须知前附表</w:t>
      </w:r>
      <w:bookmarkEnd w:id="2"/>
    </w:p>
    <w:p>
      <w:pPr>
        <w:adjustRightInd w:val="0"/>
        <w:snapToGrid w:val="0"/>
        <w:spacing w:line="360" w:lineRule="auto"/>
        <w:jc w:val="center"/>
        <w:outlineLvl w:val="2"/>
        <w:rPr>
          <w:rFonts w:ascii="宋体" w:hAnsi="宋体" w:eastAsia="宋体" w:cs="宋体"/>
          <w:b/>
          <w:color w:val="auto"/>
          <w:kern w:val="0"/>
          <w:sz w:val="30"/>
          <w:szCs w:val="30"/>
          <w:highlight w:val="none"/>
        </w:rPr>
      </w:pPr>
      <w:bookmarkStart w:id="3" w:name="_Toc19411"/>
      <w:r>
        <w:rPr>
          <w:rFonts w:hint="eastAsia" w:ascii="宋体" w:hAnsi="宋体" w:eastAsia="宋体" w:cs="宋体"/>
          <w:b/>
          <w:color w:val="auto"/>
          <w:kern w:val="0"/>
          <w:sz w:val="30"/>
          <w:szCs w:val="30"/>
          <w:highlight w:val="none"/>
        </w:rPr>
        <w:t>（一）招标项目基本情况</w:t>
      </w:r>
      <w:bookmarkEnd w:id="3"/>
    </w:p>
    <w:tbl>
      <w:tblPr>
        <w:tblStyle w:val="79"/>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1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0"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15"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内容</w:t>
            </w:r>
          </w:p>
        </w:tc>
        <w:tc>
          <w:tcPr>
            <w:tcW w:w="6588"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标段名称</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工程地点</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是否场外工程</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工程规模及主要特征</w:t>
            </w:r>
          </w:p>
        </w:tc>
        <w:tc>
          <w:tcPr>
            <w:tcW w:w="6588"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6588"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680" w:type="dxa"/>
            <w:vMerge w:val="restart"/>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2115" w:type="dxa"/>
            <w:vMerge w:val="restart"/>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588" w:type="dxa"/>
            <w:shd w:val="clear" w:color="auto" w:fill="auto"/>
            <w:vAlign w:val="center"/>
          </w:tcPr>
          <w:p>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bCs/>
                <w:color w:val="auto"/>
                <w:kern w:val="0"/>
                <w:szCs w:val="21"/>
                <w:highlight w:val="none"/>
                <w:u w:val="single"/>
                <w:lang w:val="en-US" w:eastAsia="zh-CN"/>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Merge w:val="continue"/>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lang w:val="en-US" w:eastAsia="zh-CN"/>
              </w:rPr>
            </w:pPr>
          </w:p>
        </w:tc>
        <w:tc>
          <w:tcPr>
            <w:tcW w:w="2115" w:type="dxa"/>
            <w:vMerge w:val="continue"/>
            <w:shd w:val="clear" w:color="auto" w:fill="auto"/>
            <w:vAlign w:val="center"/>
          </w:tcPr>
          <w:p>
            <w:pPr>
              <w:adjustRightInd w:val="0"/>
              <w:snapToGrid w:val="0"/>
              <w:spacing w:line="360" w:lineRule="auto"/>
              <w:jc w:val="center"/>
              <w:rPr>
                <w:rFonts w:hint="eastAsia" w:ascii="宋体" w:hAnsi="宋体" w:eastAsia="宋体" w:cs="宋体"/>
                <w:color w:val="auto"/>
                <w:kern w:val="0"/>
                <w:szCs w:val="21"/>
                <w:highlight w:val="none"/>
              </w:rPr>
            </w:pPr>
          </w:p>
        </w:tc>
        <w:tc>
          <w:tcPr>
            <w:tcW w:w="6588" w:type="dxa"/>
            <w:shd w:val="clear" w:color="auto" w:fill="auto"/>
            <w:vAlign w:val="center"/>
          </w:tcPr>
          <w:p>
            <w:pPr>
              <w:adjustRightInd w:val="0"/>
              <w:snapToGrid w:val="0"/>
              <w:spacing w:line="360" w:lineRule="auto"/>
              <w:rPr>
                <w:rFonts w:hint="default" w:ascii="宋体" w:hAnsi="宋体" w:eastAsia="宋体" w:cs="宋体"/>
                <w:color w:val="auto"/>
                <w:kern w:val="0"/>
                <w:szCs w:val="21"/>
                <w:highlight w:val="none"/>
                <w:u w:val="none"/>
                <w:lang w:val="en-US" w:eastAsia="zh-CN"/>
              </w:rPr>
            </w:pPr>
            <w:bookmarkStart w:id="58" w:name="_GoBack"/>
            <w:bookmarkEnd w:id="58"/>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7</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投标人资质要求</w:t>
            </w:r>
          </w:p>
        </w:tc>
        <w:tc>
          <w:tcPr>
            <w:tcW w:w="6588"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8</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投标人业绩要求</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9</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□不接受</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w:t>
            </w:r>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注：联合体资质应符合法律法规的规定，并按照联合体协议约定的分工进行认定。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lang w:val="en-US" w:eastAsia="zh-CN"/>
              </w:rPr>
              <w:t>10</w:t>
            </w:r>
          </w:p>
        </w:tc>
        <w:tc>
          <w:tcPr>
            <w:tcW w:w="2115" w:type="dxa"/>
            <w:shd w:val="clear" w:color="auto" w:fill="auto"/>
            <w:vAlign w:val="center"/>
          </w:tcPr>
          <w:p>
            <w:pPr>
              <w:adjustRightInd w:val="0"/>
              <w:snapToGrid w:val="0"/>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是否接受利害关系单位投标</w:t>
            </w:r>
          </w:p>
        </w:tc>
        <w:tc>
          <w:tcPr>
            <w:tcW w:w="6588" w:type="dxa"/>
            <w:shd w:val="clear" w:color="auto" w:fill="auto"/>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□接受    □不接受</w:t>
            </w:r>
          </w:p>
          <w:p>
            <w:pPr>
              <w:adjustRightInd w:val="0"/>
              <w:snapToGrid w:val="0"/>
              <w:spacing w:line="360" w:lineRule="auto"/>
              <w:rPr>
                <w:rFonts w:hint="eastAsia" w:ascii="宋体" w:hAnsi="宋体" w:eastAsia="宋体" w:cs="宋体"/>
                <w:b/>
                <w:color w:val="auto"/>
                <w:kern w:val="0"/>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136"/>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设计周期</w:t>
            </w:r>
          </w:p>
        </w:tc>
        <w:tc>
          <w:tcPr>
            <w:tcW w:w="6588" w:type="dxa"/>
            <w:shd w:val="clear" w:color="auto" w:fill="auto"/>
            <w:vAlign w:val="center"/>
          </w:tcPr>
          <w:p>
            <w:pPr>
              <w:tabs>
                <w:tab w:val="left" w:pos="4370"/>
              </w:tabs>
              <w:adjustRightInd w:val="0"/>
              <w:snapToGrid w:val="0"/>
              <w:spacing w:line="360" w:lineRule="auto"/>
              <w:jc w:val="left"/>
              <w:rPr>
                <w:rFonts w:hint="eastAsia" w:ascii="宋体" w:hAnsi="宋体" w:eastAsia="宋体" w:cs="宋体"/>
                <w:b/>
                <w:bCs/>
                <w:color w:val="auto"/>
                <w:kern w:val="0"/>
                <w:szCs w:val="21"/>
                <w:highlight w:val="none"/>
                <w:lang w:eastAsia="zh-CN"/>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工程总投资估算额</w:t>
            </w:r>
          </w:p>
        </w:tc>
        <w:tc>
          <w:tcPr>
            <w:tcW w:w="6588"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资格审查方式</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资格后审。截标后，由招标人登陆交易网进行审查，审查结果在网上公示。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设计费</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□固定报价</w:t>
            </w:r>
          </w:p>
          <w:p>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□固定总价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□浮动报价</w:t>
            </w:r>
          </w:p>
          <w:p>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□不高于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ind w:firstLine="210" w:firstLineChars="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□不高于基准价的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计费依据：</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注：设计费用应充分考虑实施BIM所需</w:t>
            </w:r>
            <w:r>
              <w:rPr>
                <w:rFonts w:ascii="宋体" w:hAnsi="宋体" w:eastAsia="宋体" w:cs="宋体"/>
                <w:color w:val="auto"/>
                <w:kern w:val="0"/>
                <w:szCs w:val="21"/>
                <w:highlight w:val="none"/>
              </w:rPr>
              <w:t>软件、硬件、人员</w:t>
            </w:r>
            <w:r>
              <w:rPr>
                <w:rFonts w:hint="eastAsia" w:ascii="宋体" w:hAnsi="宋体" w:eastAsia="宋体" w:cs="宋体"/>
                <w:color w:val="auto"/>
                <w:kern w:val="0"/>
                <w:szCs w:val="21"/>
                <w:highlight w:val="none"/>
              </w:rPr>
              <w:t>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5</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6</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投标人质疑的期限与方式</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投标人质疑截止时间：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（投标截止日期前不少于10日）。</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投标人提交疑问的方式：</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□投标人对招标事宜的质疑以不署名的形式登录交易网提出</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7</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1</w:t>
            </w:r>
            <w:r>
              <w:rPr>
                <w:rFonts w:hint="eastAsia" w:ascii="宋体" w:hAnsi="宋体" w:eastAsia="宋体" w:cs="宋体"/>
                <w:bCs/>
                <w:color w:val="auto"/>
                <w:kern w:val="0"/>
                <w:szCs w:val="21"/>
                <w:highlight w:val="none"/>
                <w:lang w:val="en-US" w:eastAsia="zh-CN"/>
              </w:rPr>
              <w:t>8</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80" w:type="dxa"/>
            <w:vMerge w:val="restart"/>
            <w:shd w:val="clear" w:color="auto" w:fill="auto"/>
            <w:vAlign w:val="center"/>
          </w:tcPr>
          <w:p>
            <w:pPr>
              <w:adjustRightInd w:val="0"/>
              <w:snapToGrid w:val="0"/>
              <w:spacing w:line="360" w:lineRule="auto"/>
              <w:jc w:val="center"/>
              <w:rPr>
                <w:rFonts w:hint="eastAsia" w:ascii="宋体" w:hAnsi="宋体" w:eastAsia="宋体" w:cs="宋体"/>
                <w:bCs/>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9</w:t>
            </w:r>
          </w:p>
        </w:tc>
        <w:tc>
          <w:tcPr>
            <w:tcW w:w="2115"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□投标担保的金额：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pPr>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w:t>
            </w:r>
          </w:p>
          <w:p>
            <w:pPr>
              <w:adjustRightInd w:val="0"/>
              <w:snapToGrid w:val="0"/>
              <w:spacing w:line="360" w:lineRule="auto"/>
              <w:jc w:val="left"/>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政府投资建设工程的设计等服务类项目原则上不再收取投标保证金，政府投资建设工程以外的其他依法必须招标建设工程项目，鼓励招标人免收投标保证金。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680"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p>
        </w:tc>
        <w:tc>
          <w:tcPr>
            <w:tcW w:w="2115"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6588" w:type="dxa"/>
            <w:shd w:val="clear" w:color="auto" w:fill="auto"/>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招标会议时间</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80"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21</w:t>
            </w:r>
          </w:p>
        </w:tc>
        <w:tc>
          <w:tcPr>
            <w:tcW w:w="2115"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过多投标人淘汰环节</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w:t>
            </w:r>
          </w:p>
        </w:tc>
        <w:tc>
          <w:tcPr>
            <w:tcW w:w="6588" w:type="dxa"/>
            <w:shd w:val="clear" w:color="auto" w:fill="auto"/>
            <w:vAlign w:val="center"/>
          </w:tcPr>
          <w:p>
            <w:pPr>
              <w:widowControl/>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pPr>
              <w:widowControl/>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□由计算机随机产生</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□招标人自行确定：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2115"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6588" w:type="dxa"/>
            <w:shd w:val="clear" w:color="auto" w:fill="auto"/>
            <w:vAlign w:val="center"/>
          </w:tcPr>
          <w:p>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6"/>
                <w:rFonts w:hint="eastAsia" w:ascii="宋体" w:hAnsi="宋体" w:eastAsia="宋体" w:cs="宋体"/>
                <w:color w:val="auto"/>
                <w:kern w:val="0"/>
                <w:szCs w:val="21"/>
                <w:highlight w:val="none"/>
                <w:lang w:val="en-US" w:eastAsia="zh-CN"/>
              </w:rPr>
              <w:t>[</w:t>
            </w:r>
            <w:r>
              <w:rPr>
                <w:rStyle w:val="136"/>
                <w:rFonts w:hint="eastAsia" w:ascii="宋体" w:hAnsi="宋体" w:eastAsia="宋体" w:cs="宋体"/>
                <w:color w:val="auto"/>
                <w:kern w:val="0"/>
                <w:szCs w:val="21"/>
                <w:highlight w:val="none"/>
                <w:lang w:val="en-US" w:eastAsia="zh-CN"/>
              </w:rPr>
              <w:footnoteReference w:id="1"/>
            </w:r>
            <w:r>
              <w:rPr>
                <w:rStyle w:val="136"/>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pPr>
              <w:adjustRightInd w:val="0"/>
              <w:snapToGrid w:val="0"/>
              <w:spacing w:line="360" w:lineRule="auto"/>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680"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2115"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6588" w:type="dxa"/>
            <w:shd w:val="clear" w:color="auto" w:fill="auto"/>
            <w:vAlign w:val="center"/>
          </w:tcPr>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w:t>
            </w:r>
            <w:bookmarkStart w:id="4" w:name="OLE_LINK1"/>
            <w:r>
              <w:rPr>
                <w:rFonts w:hint="eastAsia" w:ascii="宋体" w:hAnsi="宋体" w:eastAsia="宋体" w:cs="宋体"/>
                <w:color w:val="auto"/>
                <w:kern w:val="0"/>
                <w:szCs w:val="21"/>
                <w:highlight w:val="none"/>
              </w:rPr>
              <w:t>投标人淘汰方式</w:t>
            </w:r>
            <w:bookmarkEnd w:id="4"/>
            <w:r>
              <w:rPr>
                <w:rFonts w:hint="eastAsia" w:ascii="宋体" w:hAnsi="宋体" w:eastAsia="宋体" w:cs="宋体"/>
                <w:color w:val="auto"/>
                <w:kern w:val="0"/>
                <w:szCs w:val="21"/>
                <w:highlight w:val="none"/>
              </w:rPr>
              <w:t>：</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□直接票决   □逐轮票决  </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计算规则（采用直接票决或逐轮票决的）：</w:t>
            </w:r>
            <w:bookmarkStart w:id="5" w:name="OLE_LINK9"/>
            <w:r>
              <w:rPr>
                <w:rFonts w:hint="eastAsia" w:ascii="宋体" w:hAnsi="宋体" w:eastAsia="宋体" w:cs="宋体"/>
                <w:color w:val="auto"/>
                <w:kern w:val="0"/>
                <w:szCs w:val="21"/>
                <w:highlight w:val="none"/>
              </w:rPr>
              <w:t>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r>
              <w:rPr>
                <w:rFonts w:hint="eastAsia" w:ascii="宋体" w:hAnsi="宋体" w:eastAsia="宋体" w:cs="宋体"/>
                <w:color w:val="auto"/>
                <w:kern w:val="0"/>
                <w:szCs w:val="21"/>
                <w:highlight w:val="none"/>
                <w:lang w:eastAsia="zh-CN"/>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0" w:type="dxa"/>
            <w:shd w:val="clear" w:color="auto" w:fill="auto"/>
            <w:vAlign w:val="center"/>
          </w:tcPr>
          <w:p>
            <w:pPr>
              <w:adjustRightInd w:val="0"/>
              <w:snapToGrid w:val="0"/>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22</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评标方法及标准</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□定性评审法</w:t>
            </w:r>
          </w:p>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80" w:type="dxa"/>
            <w:shd w:val="clear" w:color="auto" w:fill="auto"/>
            <w:vAlign w:val="center"/>
          </w:tcPr>
          <w:p>
            <w:pPr>
              <w:adjustRightInd w:val="0"/>
              <w:snapToGrid w:val="0"/>
              <w:spacing w:line="360" w:lineRule="auto"/>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3</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专家推荐原则</w:t>
            </w:r>
          </w:p>
        </w:tc>
        <w:tc>
          <w:tcPr>
            <w:tcW w:w="6588" w:type="dxa"/>
            <w:shd w:val="clear" w:color="auto" w:fill="auto"/>
            <w:vAlign w:val="center"/>
          </w:tcPr>
          <w:p>
            <w:pPr>
              <w:numPr>
                <w:ilvl w:val="0"/>
                <w:numId w:val="0"/>
              </w:num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w:t>
            </w:r>
            <w:r>
              <w:rPr>
                <w:rFonts w:hint="eastAsia" w:ascii="宋体" w:hAnsi="宋体" w:eastAsia="宋体" w:cs="宋体"/>
                <w:color w:val="auto"/>
                <w:kern w:val="0"/>
                <w:szCs w:val="21"/>
                <w:highlight w:val="none"/>
                <w:lang w:eastAsia="zh-CN"/>
              </w:rPr>
              <w:t>中标候选人</w:t>
            </w:r>
            <w:r>
              <w:rPr>
                <w:rFonts w:hint="eastAsia" w:ascii="宋体" w:hAnsi="宋体" w:eastAsia="宋体" w:cs="宋体"/>
                <w:color w:val="auto"/>
                <w:kern w:val="0"/>
                <w:szCs w:val="21"/>
                <w:highlight w:val="none"/>
              </w:rPr>
              <w:t>原则</w:t>
            </w:r>
            <w:r>
              <w:rPr>
                <w:rStyle w:val="136"/>
                <w:rFonts w:hint="eastAsia" w:ascii="宋体" w:hAnsi="宋体" w:eastAsia="宋体" w:cs="宋体"/>
                <w:color w:val="auto"/>
                <w:kern w:val="0"/>
                <w:szCs w:val="21"/>
                <w:highlight w:val="none"/>
                <w:lang w:val="en-US" w:eastAsia="zh-CN"/>
              </w:rPr>
              <w:t>[</w:t>
            </w:r>
            <w:r>
              <w:rPr>
                <w:rStyle w:val="136"/>
                <w:rFonts w:hint="eastAsia" w:ascii="宋体" w:hAnsi="宋体" w:eastAsia="宋体" w:cs="宋体"/>
                <w:color w:val="auto"/>
                <w:kern w:val="0"/>
                <w:szCs w:val="21"/>
                <w:highlight w:val="none"/>
                <w:lang w:val="en-US" w:eastAsia="zh-CN"/>
              </w:rPr>
              <w:footnoteReference w:id="2"/>
            </w:r>
            <w:r>
              <w:rPr>
                <w:rStyle w:val="136"/>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numPr>
                <w:ilvl w:val="0"/>
                <w:numId w:val="0"/>
              </w:numPr>
              <w:adjustRightInd w:val="0"/>
              <w:snapToGrid w:val="0"/>
              <w:spacing w:line="360" w:lineRule="auto"/>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u w:val="single"/>
                <w:lang w:val="en-US" w:eastAsia="zh-CN"/>
              </w:rPr>
              <w:t>注：招标人应根据项目实际，设置规则清晰、可操作性强的推荐中标候选人原则，可以重点考虑</w:t>
            </w:r>
            <w:r>
              <w:rPr>
                <w:rFonts w:hint="eastAsia" w:ascii="宋体" w:hAnsi="宋体" w:eastAsia="宋体" w:cs="宋体"/>
                <w:color w:val="auto"/>
                <w:kern w:val="0"/>
                <w:szCs w:val="21"/>
                <w:highlight w:val="none"/>
              </w:rPr>
              <w:t>投标方案经济性、技术可行性、功能结构合理性、设计精细化程度等因素</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评标地点</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□交易场所评标</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评标委员会的人员组成</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注：采用BIM技术的招标项目</w:t>
            </w:r>
            <w:r>
              <w:rPr>
                <w:rFonts w:ascii="宋体" w:hAnsi="宋体" w:eastAsia="宋体" w:cs="宋体"/>
                <w:color w:val="auto"/>
                <w:kern w:val="0"/>
                <w:szCs w:val="21"/>
                <w:highlight w:val="none"/>
              </w:rPr>
              <w:t>，评标专家应</w:t>
            </w:r>
            <w:r>
              <w:rPr>
                <w:rFonts w:hint="eastAsia" w:ascii="宋体" w:hAnsi="宋体" w:eastAsia="宋体" w:cs="宋体"/>
                <w:color w:val="auto"/>
                <w:kern w:val="0"/>
                <w:szCs w:val="21"/>
                <w:highlight w:val="none"/>
              </w:rPr>
              <w:t>具备评审</w:t>
            </w:r>
            <w:r>
              <w:rPr>
                <w:rFonts w:ascii="宋体" w:hAnsi="宋体" w:eastAsia="宋体" w:cs="宋体"/>
                <w:color w:val="auto"/>
                <w:kern w:val="0"/>
                <w:szCs w:val="21"/>
                <w:highlight w:val="none"/>
              </w:rPr>
              <w:t>BIM</w:t>
            </w:r>
            <w:r>
              <w:rPr>
                <w:rFonts w:hint="eastAsia" w:ascii="宋体" w:hAnsi="宋体" w:eastAsia="宋体" w:cs="宋体"/>
                <w:color w:val="auto"/>
                <w:kern w:val="0"/>
                <w:szCs w:val="21"/>
                <w:highlight w:val="none"/>
              </w:rPr>
              <w:t>模型的能力</w:t>
            </w:r>
            <w:r>
              <w:rPr>
                <w:rFonts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项目定标方案：在报内设（上级）的纪检监察机构（或督察机构）备案的基础上，于招标公告备案时上传至备案系统加密保存</w:t>
            </w:r>
            <w:r>
              <w:rPr>
                <w:rStyle w:val="136"/>
                <w:rFonts w:hint="eastAsia" w:ascii="宋体" w:hAnsi="宋体" w:eastAsia="宋体" w:cs="宋体"/>
                <w:color w:val="auto"/>
                <w:kern w:val="0"/>
                <w:szCs w:val="21"/>
                <w:highlight w:val="none"/>
              </w:rPr>
              <w:t>[</w:t>
            </w:r>
            <w:r>
              <w:rPr>
                <w:rStyle w:val="136"/>
                <w:rFonts w:hint="eastAsia" w:ascii="宋体" w:hAnsi="宋体" w:eastAsia="宋体" w:cs="宋体"/>
                <w:color w:val="auto"/>
                <w:kern w:val="0"/>
                <w:szCs w:val="21"/>
                <w:highlight w:val="none"/>
              </w:rPr>
              <w:footnoteReference w:id="3"/>
            </w:r>
            <w:r>
              <w:rPr>
                <w:rStyle w:val="136"/>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80"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27</w:t>
            </w:r>
          </w:p>
        </w:tc>
        <w:tc>
          <w:tcPr>
            <w:tcW w:w="2115"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定标方法</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□直接票决定标法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□简单多数（且过半数）    □对比胜出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80" w:type="dxa"/>
            <w:vMerge w:val="continue"/>
            <w:shd w:val="clear" w:color="auto" w:fill="auto"/>
            <w:vAlign w:val="center"/>
          </w:tcPr>
          <w:p>
            <w:pPr>
              <w:adjustRightInd w:val="0"/>
              <w:snapToGrid w:val="0"/>
              <w:spacing w:line="360" w:lineRule="auto"/>
              <w:jc w:val="left"/>
              <w:rPr>
                <w:color w:val="auto"/>
                <w:highlight w:val="none"/>
              </w:rPr>
            </w:pPr>
          </w:p>
        </w:tc>
        <w:tc>
          <w:tcPr>
            <w:tcW w:w="2115" w:type="dxa"/>
            <w:vMerge w:val="continue"/>
            <w:shd w:val="clear" w:color="auto" w:fill="auto"/>
            <w:vAlign w:val="center"/>
          </w:tcPr>
          <w:p>
            <w:pPr>
              <w:adjustRightInd w:val="0"/>
              <w:snapToGrid w:val="0"/>
              <w:spacing w:line="360" w:lineRule="auto"/>
              <w:jc w:val="left"/>
              <w:rPr>
                <w:color w:val="auto"/>
                <w:highlight w:val="none"/>
              </w:rPr>
            </w:pP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□逐轮票决定标法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80" w:type="dxa"/>
            <w:vMerge w:val="continue"/>
            <w:shd w:val="clear" w:color="auto" w:fill="auto"/>
            <w:vAlign w:val="center"/>
          </w:tcPr>
          <w:p>
            <w:pPr>
              <w:adjustRightInd w:val="0"/>
              <w:snapToGrid w:val="0"/>
              <w:spacing w:line="360" w:lineRule="auto"/>
              <w:jc w:val="left"/>
              <w:rPr>
                <w:color w:val="auto"/>
                <w:highlight w:val="none"/>
              </w:rPr>
            </w:pPr>
          </w:p>
        </w:tc>
        <w:tc>
          <w:tcPr>
            <w:tcW w:w="2115" w:type="dxa"/>
            <w:vMerge w:val="continue"/>
            <w:shd w:val="clear" w:color="auto" w:fill="auto"/>
            <w:vAlign w:val="center"/>
          </w:tcPr>
          <w:p>
            <w:pPr>
              <w:adjustRightInd w:val="0"/>
              <w:snapToGrid w:val="0"/>
              <w:spacing w:line="360" w:lineRule="auto"/>
              <w:jc w:val="left"/>
              <w:rPr>
                <w:color w:val="auto"/>
                <w:highlight w:val="none"/>
              </w:rPr>
            </w:pPr>
          </w:p>
        </w:tc>
        <w:tc>
          <w:tcPr>
            <w:tcW w:w="6588" w:type="dxa"/>
            <w:shd w:val="clear" w:color="auto" w:fill="auto"/>
            <w:vAlign w:val="center"/>
          </w:tcPr>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□集体议事定标法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80" w:type="dxa"/>
            <w:vMerge w:val="continue"/>
            <w:shd w:val="clear" w:color="auto" w:fill="auto"/>
            <w:vAlign w:val="center"/>
          </w:tcPr>
          <w:p>
            <w:pPr>
              <w:jc w:val="left"/>
              <w:rPr>
                <w:color w:val="auto"/>
                <w:highlight w:val="none"/>
              </w:rPr>
            </w:pPr>
          </w:p>
        </w:tc>
        <w:tc>
          <w:tcPr>
            <w:tcW w:w="2115" w:type="dxa"/>
            <w:vMerge w:val="continue"/>
            <w:shd w:val="clear" w:color="auto" w:fill="auto"/>
            <w:vAlign w:val="center"/>
          </w:tcPr>
          <w:p>
            <w:pPr>
              <w:jc w:val="left"/>
              <w:rPr>
                <w:color w:val="auto"/>
                <w:highlight w:val="none"/>
              </w:rPr>
            </w:pPr>
          </w:p>
        </w:tc>
        <w:tc>
          <w:tcPr>
            <w:tcW w:w="6588" w:type="dxa"/>
            <w:shd w:val="clear" w:color="auto" w:fill="auto"/>
            <w:vAlign w:val="center"/>
          </w:tcPr>
          <w:p>
            <w:pPr>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□经建设、交通主管部门批准的其他方法:</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80" w:type="dxa"/>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9</w:t>
            </w:r>
          </w:p>
        </w:tc>
        <w:tc>
          <w:tcPr>
            <w:tcW w:w="2115"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投标补偿</w:t>
            </w:r>
          </w:p>
        </w:tc>
        <w:tc>
          <w:tcPr>
            <w:tcW w:w="6588"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□无投标补偿</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□有投标补偿。具体补偿方案为：</w:t>
            </w:r>
            <w:r>
              <w:rPr>
                <w:rFonts w:hint="eastAsia" w:ascii="宋体" w:hAnsi="宋体" w:eastAsia="宋体" w:cs="宋体"/>
                <w:color w:val="auto"/>
                <w:kern w:val="0"/>
                <w:szCs w:val="21"/>
                <w:highlight w:val="none"/>
                <w:u w:val="single"/>
              </w:rPr>
              <w:t xml:space="preserve">      </w:t>
            </w:r>
          </w:p>
        </w:tc>
      </w:tr>
    </w:tbl>
    <w:p>
      <w:pPr>
        <w:widowControl/>
        <w:spacing w:line="20" w:lineRule="exact"/>
        <w:jc w:val="left"/>
        <w:rPr>
          <w:color w:val="auto"/>
          <w:highlight w:val="none"/>
        </w:rPr>
      </w:pPr>
      <w:r>
        <w:rPr>
          <w:color w:val="auto"/>
          <w:highlight w:val="none"/>
        </w:rPr>
        <w:br w:type="page"/>
      </w:r>
    </w:p>
    <w:p>
      <w:pPr>
        <w:adjustRightInd w:val="0"/>
        <w:snapToGrid w:val="0"/>
        <w:spacing w:line="360" w:lineRule="auto"/>
        <w:jc w:val="center"/>
        <w:outlineLvl w:val="2"/>
        <w:rPr>
          <w:rFonts w:ascii="宋体" w:hAnsi="宋体" w:eastAsia="宋体" w:cs="宋体"/>
          <w:b/>
          <w:color w:val="auto"/>
          <w:kern w:val="0"/>
          <w:sz w:val="30"/>
          <w:szCs w:val="30"/>
          <w:highlight w:val="none"/>
        </w:rPr>
      </w:pPr>
      <w:bookmarkStart w:id="6" w:name="_Toc6655"/>
      <w:r>
        <w:rPr>
          <w:rFonts w:hint="eastAsia" w:ascii="宋体" w:hAnsi="宋体" w:eastAsia="宋体" w:cs="宋体"/>
          <w:b/>
          <w:color w:val="auto"/>
          <w:kern w:val="0"/>
          <w:sz w:val="30"/>
          <w:szCs w:val="30"/>
          <w:highlight w:val="none"/>
        </w:rPr>
        <w:t>（二）投标文件编制成果及要求</w:t>
      </w:r>
      <w:bookmarkEnd w:id="6"/>
    </w:p>
    <w:tbl>
      <w:tblPr>
        <w:tblStyle w:val="7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942"/>
        <w:gridCol w:w="1054"/>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77" w:type="dxa"/>
            <w:shd w:val="clear" w:color="auto" w:fill="auto"/>
            <w:vAlign w:val="center"/>
          </w:tcPr>
          <w:p>
            <w:pPr>
              <w:adjustRightInd w:val="0"/>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996" w:type="dxa"/>
            <w:gridSpan w:val="2"/>
            <w:shd w:val="clear" w:color="auto" w:fill="auto"/>
            <w:vAlign w:val="center"/>
          </w:tcPr>
          <w:p>
            <w:pPr>
              <w:adjustRightInd w:val="0"/>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内容</w:t>
            </w:r>
          </w:p>
        </w:tc>
        <w:tc>
          <w:tcPr>
            <w:tcW w:w="7181" w:type="dxa"/>
            <w:shd w:val="clear" w:color="auto" w:fill="auto"/>
            <w:vAlign w:val="center"/>
          </w:tcPr>
          <w:p>
            <w:pPr>
              <w:adjustRightInd w:val="0"/>
              <w:snapToGrid w:val="0"/>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942"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w:t>
            </w: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文本</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文件</w:t>
            </w:r>
          </w:p>
        </w:tc>
        <w:tc>
          <w:tcPr>
            <w:tcW w:w="7181"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编制内容（图纸可作为文本附件或穿插文本其中）：</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1、项目分析及技术措施</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2、工期质量保障措施</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3、节能、环保措施及四新应用情况</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1、电子文件应采用电子投标文件编制工具制作，文件格式要求详见本范本“使用说明”。</w:t>
            </w:r>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2、文本中图片命名规则：序号+图名（其中“序号”为阿拉伯数字），例如：01道路横断面图。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bookmarkStart w:id="7" w:name="方案演示文件" w:colFirst="3" w:colLast="3"/>
            <w:r>
              <w:rPr>
                <w:rFonts w:hint="eastAsia" w:ascii="宋体" w:hAnsi="宋体" w:eastAsia="宋体" w:cs="宋体"/>
                <w:color w:val="auto"/>
                <w:kern w:val="0"/>
                <w:szCs w:val="21"/>
                <w:highlight w:val="none"/>
              </w:rPr>
              <w:t>2</w:t>
            </w: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□方案</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演示</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文件</w:t>
            </w:r>
          </w:p>
        </w:tc>
        <w:tc>
          <w:tcPr>
            <w:tcW w:w="7181"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演示时间不超过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电子文件应采用电子投标文件编制工具制作，文件格式要求详见本范本“使用说明”。</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bookmarkStart w:id="8" w:name="展示图板" w:colFirst="3" w:colLast="3"/>
            <w:r>
              <w:rPr>
                <w:rFonts w:hint="eastAsia" w:ascii="宋体" w:hAnsi="宋体" w:eastAsia="宋体" w:cs="宋体"/>
                <w:color w:val="auto"/>
                <w:kern w:val="0"/>
                <w:szCs w:val="21"/>
                <w:highlight w:val="none"/>
              </w:rPr>
              <w:t>3</w:t>
            </w: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□展示</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图板</w:t>
            </w:r>
          </w:p>
        </w:tc>
        <w:tc>
          <w:tcPr>
            <w:tcW w:w="7181" w:type="dxa"/>
            <w:shd w:val="clear" w:color="auto" w:fill="auto"/>
            <w:vAlign w:val="center"/>
          </w:tcPr>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展示图不超过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块</w:t>
            </w:r>
            <w:r>
              <w:rPr>
                <w:rFonts w:hint="eastAsia" w:ascii="宋体" w:hAnsi="宋体" w:eastAsia="宋体" w:cs="宋体"/>
                <w:bCs/>
                <w:color w:val="auto"/>
                <w:kern w:val="0"/>
                <w:szCs w:val="21"/>
                <w:highlight w:val="none"/>
              </w:rPr>
              <w:t>，应表现</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等处的立体透视效果。</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图板内容应着重表现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的立体效果。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□提交展示图版，展示图版均为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号图；</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□提交电子文件形式，应使用电子投标文件编制工具制作，文件格式要求详见本范本“使用说明”。</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bookmarkStart w:id="9" w:name="实物设计模型" w:colFirst="3" w:colLast="3"/>
            <w:r>
              <w:rPr>
                <w:rFonts w:hint="eastAsia" w:ascii="宋体" w:hAnsi="宋体" w:eastAsia="宋体" w:cs="宋体"/>
                <w:color w:val="auto"/>
                <w:kern w:val="0"/>
                <w:szCs w:val="21"/>
                <w:highlight w:val="none"/>
              </w:rPr>
              <w:t>4</w:t>
            </w: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□实物</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模型</w:t>
            </w:r>
          </w:p>
        </w:tc>
        <w:tc>
          <w:tcPr>
            <w:tcW w:w="718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暗标</w:t>
            </w:r>
            <w:r>
              <w:rPr>
                <w:rFonts w:hint="eastAsia" w:ascii="宋体" w:hAnsi="宋体" w:eastAsia="宋体" w:cs="宋体"/>
                <w:color w:val="auto"/>
                <w:kern w:val="0"/>
                <w:szCs w:val="21"/>
                <w:highlight w:val="none"/>
              </w:rPr>
              <w:t>形式</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比例尺为1︰</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□素色模型  □彩色模型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color w:val="auto"/>
                <w:kern w:val="0"/>
                <w:szCs w:val="21"/>
                <w:highlight w:val="none"/>
              </w:rPr>
              <w:t>采用沙盘形式。沙盘面积不宜超过3m</w:t>
            </w:r>
            <w:r>
              <w:rPr>
                <w:rFonts w:hint="eastAsia" w:ascii="宋体" w:hAnsi="宋体" w:eastAsia="宋体" w:cs="宋体"/>
                <w:color w:val="auto"/>
                <w:kern w:val="0"/>
                <w:szCs w:val="21"/>
                <w:highlight w:val="none"/>
                <w:vertAlign w:val="superscript"/>
              </w:rPr>
              <w:t>2</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restart"/>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 xml:space="preserve"> 设计BIM标</w:t>
            </w:r>
            <w:r>
              <w:rPr>
                <w:rFonts w:hint="eastAsia" w:ascii="宋体" w:hAnsi="宋体" w:eastAsia="宋体" w:cs="宋体"/>
                <w:color w:val="auto"/>
                <w:kern w:val="0"/>
                <w:szCs w:val="21"/>
                <w:highlight w:val="none"/>
              </w:rPr>
              <w:t>书文件</w:t>
            </w: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ascii="宋体" w:hAnsi="宋体" w:eastAsia="宋体" w:cs="宋体"/>
                <w:bCs/>
                <w:color w:val="auto"/>
                <w:kern w:val="0"/>
                <w:szCs w:val="21"/>
                <w:highlight w:val="none"/>
              </w:rPr>
              <w:t xml:space="preserve"> 采用暗标形式</w:t>
            </w:r>
            <w:r>
              <w:rPr>
                <w:rFonts w:hint="eastAsia" w:ascii="宋体" w:hAnsi="宋体" w:eastAsia="宋体" w:cs="宋体"/>
                <w:bCs/>
                <w:color w:val="auto"/>
                <w:kern w:val="0"/>
                <w:szCs w:val="21"/>
                <w:highlight w:val="none"/>
              </w:rPr>
              <w:t xml:space="preserve">                </w:t>
            </w:r>
            <w:r>
              <w:rPr>
                <w:rFonts w:ascii="宋体" w:hAnsi="宋体" w:eastAsia="宋体" w:cs="宋体"/>
                <w:bCs/>
                <w:color w:val="auto"/>
                <w:kern w:val="0"/>
                <w:szCs w:val="21"/>
                <w:highlight w:val="none"/>
              </w:rPr>
              <w:t>□ 采用明标形式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ascii="宋体" w:hAnsi="宋体" w:eastAsia="宋体" w:cs="宋体"/>
                <w:bCs/>
                <w:color w:val="auto"/>
                <w:kern w:val="0"/>
                <w:szCs w:val="21"/>
                <w:highlight w:val="none"/>
              </w:rPr>
              <w:t>BIM标书文件编制：</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bCs/>
                <w:color w:val="auto"/>
                <w:kern w:val="0"/>
                <w:szCs w:val="21"/>
                <w:highlight w:val="none"/>
              </w:rPr>
              <w:t>1</w:t>
            </w:r>
            <w:r>
              <w:rPr>
                <w:rFonts w:ascii="宋体" w:hAnsi="宋体" w:eastAsia="宋体" w:cs="宋体"/>
                <w:bCs/>
                <w:color w:val="auto"/>
                <w:kern w:val="0"/>
                <w:szCs w:val="21"/>
                <w:highlight w:val="none"/>
              </w:rPr>
              <w:t>、BIM实施方案</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bCs/>
                <w:color w:val="auto"/>
                <w:kern w:val="0"/>
                <w:szCs w:val="21"/>
                <w:highlight w:val="none"/>
              </w:rPr>
              <w:t>2</w:t>
            </w:r>
            <w:r>
              <w:rPr>
                <w:rFonts w:ascii="宋体" w:hAnsi="宋体" w:eastAsia="宋体" w:cs="宋体"/>
                <w:bCs/>
                <w:color w:val="auto"/>
                <w:kern w:val="0"/>
                <w:szCs w:val="21"/>
                <w:highlight w:val="none"/>
              </w:rPr>
              <w:t>、设计BIM模型、预留视点及备注；</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bCs/>
                <w:color w:val="auto"/>
                <w:kern w:val="0"/>
                <w:szCs w:val="21"/>
                <w:highlight w:val="none"/>
              </w:rPr>
              <w:t>3</w:t>
            </w:r>
            <w:r>
              <w:rPr>
                <w:rFonts w:ascii="宋体" w:hAnsi="宋体" w:eastAsia="宋体" w:cs="宋体"/>
                <w:bCs/>
                <w:color w:val="auto"/>
                <w:kern w:val="0"/>
                <w:szCs w:val="21"/>
                <w:highlight w:val="none"/>
              </w:rPr>
              <w:t>、建筑内外部漫游动画；</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4、</w:t>
            </w:r>
            <w:r>
              <w:rPr>
                <w:rFonts w:hint="eastAsia" w:ascii="仿宋_GB2312" w:hAnsi="仿宋_GB2312" w:eastAsia="仿宋_GB2312" w:cs="仿宋_GB2312"/>
                <w:bCs/>
                <w:color w:val="auto"/>
                <w:kern w:val="0"/>
                <w:szCs w:val="21"/>
                <w:highlight w:val="none"/>
                <w:lang w:val="en-US" w:eastAsia="zh-CN"/>
              </w:rPr>
              <w:t>模型和周边环境GIS整合</w:t>
            </w:r>
            <w:r>
              <w:rPr>
                <w:rFonts w:hint="eastAsia" w:ascii="仿宋_GB2312" w:hAnsi="仿宋_GB2312" w:eastAsia="仿宋_GB2312" w:cs="仿宋_GB2312"/>
                <w:bCs/>
                <w:color w:val="auto"/>
                <w:kern w:val="0"/>
                <w:szCs w:val="21"/>
                <w:highlight w:val="none"/>
              </w:rPr>
              <w:t>；</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942"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54"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pPr>
              <w:adjustRightInd w:val="0"/>
              <w:snapToGrid w:val="0"/>
              <w:spacing w:line="380" w:lineRule="exact"/>
              <w:rPr>
                <w:rFonts w:ascii="宋体" w:hAnsi="宋体" w:eastAsia="宋体" w:cs="宋体"/>
                <w:b/>
                <w:bCs/>
                <w:color w:val="auto"/>
                <w:kern w:val="0"/>
                <w:szCs w:val="21"/>
                <w:highlight w:val="none"/>
              </w:rPr>
            </w:pPr>
            <w:r>
              <w:rPr>
                <w:rFonts w:hint="eastAsia" w:ascii="微软雅黑" w:hAnsi="微软雅黑" w:eastAsia="微软雅黑" w:cs="微软雅黑"/>
                <w:b/>
                <w:bCs/>
                <w:color w:val="auto"/>
                <w:sz w:val="18"/>
                <w:szCs w:val="18"/>
                <w:highlight w:val="none"/>
              </w:rPr>
              <w:t>本项目属于☐</w:t>
            </w:r>
            <w:r>
              <w:rPr>
                <w:rFonts w:hint="eastAsia"/>
                <w:b/>
                <w:bCs/>
                <w:color w:val="auto"/>
                <w:sz w:val="18"/>
                <w:szCs w:val="18"/>
                <w:highlight w:val="none"/>
              </w:rPr>
              <w:t xml:space="preserve">房建BIM项目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 xml:space="preserve">市政基础设施BIM项目  </w:t>
            </w:r>
            <w:r>
              <w:rPr>
                <w:rFonts w:hint="eastAsia" w:ascii="微软雅黑" w:hAnsi="微软雅黑" w:eastAsia="微软雅黑" w:cs="微软雅黑"/>
                <w:b/>
                <w:bCs/>
                <w:color w:val="auto"/>
                <w:sz w:val="18"/>
                <w:szCs w:val="18"/>
                <w:highlight w:val="none"/>
              </w:rPr>
              <w:t>☐</w:t>
            </w:r>
            <w:r>
              <w:rPr>
                <w:rFonts w:hint="eastAsia"/>
                <w:b/>
                <w:bCs/>
                <w:color w:val="auto"/>
                <w:sz w:val="18"/>
                <w:szCs w:val="18"/>
                <w:highlight w:val="none"/>
              </w:rPr>
              <w:t>水务工程BIM项目</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color w:val="auto"/>
                <w:szCs w:val="21"/>
                <w:highlight w:val="none"/>
              </w:rPr>
              <w:t>使用符合</w:t>
            </w:r>
            <w:r>
              <w:rPr>
                <w:rFonts w:hint="eastAsia"/>
                <w:color w:val="auto"/>
                <w:highlight w:val="none"/>
              </w:rPr>
              <w:t>建设工程招投标平台</w:t>
            </w:r>
            <w:r>
              <w:rPr>
                <w:rFonts w:hint="eastAsia" w:ascii="宋体" w:hAnsi="宋体" w:eastAsia="宋体" w:cs="宋体"/>
                <w:color w:val="auto"/>
                <w:szCs w:val="21"/>
                <w:highlight w:val="none"/>
              </w:rPr>
              <w:t xml:space="preserve"> BIM 电子招投标系统兼容要求的设计模型标书编制工具，将 BIM 模型、地标文件及相关附件进行整合，整合完成后将输出资料导入电子投标文件编制工具进行签名，生成 BIM 标书文件(</w:t>
            </w:r>
            <w:r>
              <w:rPr>
                <w:rFonts w:hint="eastAsia" w:ascii="宋体" w:hAnsi="宋体" w:eastAsia="宋体" w:cs="宋体"/>
                <w:b/>
                <w:bCs/>
                <w:color w:val="auto"/>
                <w:szCs w:val="21"/>
                <w:highlight w:val="none"/>
              </w:rPr>
              <w:t>格式为*</w:t>
            </w:r>
            <w:r>
              <w:rPr>
                <w:rFonts w:ascii="宋体" w:hAnsi="宋体" w:eastAsia="宋体" w:cs="宋体"/>
                <w:color w:val="auto"/>
                <w:kern w:val="0"/>
                <w:szCs w:val="21"/>
                <w:highlight w:val="none"/>
              </w:rPr>
              <w:t>SJTB</w:t>
            </w:r>
            <w:r>
              <w:rPr>
                <w:rFonts w:hint="eastAsia" w:ascii="宋体" w:hAnsi="宋体" w:eastAsia="宋体" w:cs="宋体"/>
                <w:color w:val="auto"/>
                <w:szCs w:val="21"/>
                <w:highlight w:val="none"/>
              </w:rPr>
              <w:t>)。</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p>
        </w:tc>
        <w:tc>
          <w:tcPr>
            <w:tcW w:w="1996" w:type="dxa"/>
            <w:gridSpan w:val="2"/>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资信标</w:t>
            </w:r>
          </w:p>
        </w:tc>
        <w:tc>
          <w:tcPr>
            <w:tcW w:w="718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w:t>
            </w:r>
            <w:r>
              <w:rPr>
                <w:rFonts w:hint="eastAsia" w:ascii="宋体" w:hAnsi="宋体" w:eastAsia="宋体" w:cs="宋体"/>
                <w:b/>
                <w:color w:val="auto"/>
                <w:kern w:val="0"/>
                <w:szCs w:val="21"/>
                <w:highlight w:val="none"/>
              </w:rPr>
              <w:t>明标</w:t>
            </w:r>
            <w:r>
              <w:rPr>
                <w:rFonts w:hint="eastAsia" w:ascii="宋体" w:hAnsi="宋体" w:eastAsia="宋体" w:cs="宋体"/>
                <w:color w:val="auto"/>
                <w:kern w:val="0"/>
                <w:szCs w:val="21"/>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996" w:type="dxa"/>
            <w:gridSpan w:val="2"/>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编制内容：</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2、《投标人基本情况表》；</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 3、</w:t>
            </w:r>
            <w:r>
              <w:rPr>
                <w:rFonts w:hint="eastAsia" w:ascii="宋体" w:hAnsi="宋体" w:eastAsia="宋体" w:cs="宋体"/>
                <w:color w:val="auto"/>
                <w:kern w:val="0"/>
                <w:szCs w:val="21"/>
                <w:highlight w:val="none"/>
              </w:rPr>
              <w:t>《投标人工程业绩表》；</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4、《投标人近3年内签订同类工程合同的项目一览表》；</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5、《投标人近6年荣获“优秀工程设计奖”一览表》；</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6、《拟投入的项目负责人基本情况表》；</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7、《拟投入的项目组专业负责人基本情况表》；</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8、联合体共同投标协议书；</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9、前述2～8款表格所涉相关证明材料；</w:t>
            </w:r>
          </w:p>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10、其他</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996" w:type="dxa"/>
            <w:gridSpan w:val="2"/>
            <w:vMerge w:val="continue"/>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电子文件应采用电子投标文件编制工具制作，文件格式要求详见本范本“使用说明”。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bookmarkStart w:id="10" w:name="资格审查文件1" w:colFirst="2" w:colLast="2"/>
            <w:r>
              <w:rPr>
                <w:rFonts w:ascii="宋体" w:hAnsi="宋体" w:eastAsia="宋体" w:cs="宋体"/>
                <w:color w:val="auto"/>
                <w:kern w:val="0"/>
                <w:szCs w:val="21"/>
                <w:highlight w:val="none"/>
              </w:rPr>
              <w:t>6</w:t>
            </w:r>
          </w:p>
        </w:tc>
        <w:tc>
          <w:tcPr>
            <w:tcW w:w="1996" w:type="dxa"/>
            <w:gridSpan w:val="2"/>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□资格审查文件</w:t>
            </w: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编制内容：</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1、通过年审的营业执照副本（原件扫描件）；</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2、企业资质证书（原件扫描件）；</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3、联合体共同投标协议（若有，原件扫描件）；</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4、其他：</w:t>
            </w:r>
            <w:r>
              <w:rPr>
                <w:rFonts w:hint="eastAsia" w:ascii="宋体" w:hAnsi="宋体" w:eastAsia="宋体" w:cs="宋体"/>
                <w:bCs/>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996" w:type="dxa"/>
            <w:gridSpan w:val="2"/>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电子文件应采用电子投标文件编制工具制作，文件格式要求详见本范本“使用说明”。</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677" w:type="dxa"/>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p>
        </w:tc>
        <w:tc>
          <w:tcPr>
            <w:tcW w:w="1996" w:type="dxa"/>
            <w:gridSpan w:val="2"/>
            <w:vMerge w:val="restart"/>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业绩文件</w:t>
            </w:r>
          </w:p>
        </w:tc>
        <w:tc>
          <w:tcPr>
            <w:tcW w:w="718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编制内容：</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1、业绩一览表；</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2、业绩要求证明材料</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业绩文件包含：招标文件中要求提供的所有业绩证明文件。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77" w:type="dxa"/>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996" w:type="dxa"/>
            <w:gridSpan w:val="2"/>
            <w:vMerge w:val="continue"/>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7181" w:type="dxa"/>
            <w:shd w:val="clear" w:color="auto" w:fill="auto"/>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采用电子文件形式。应使用电子投标文件编制工具制作，文件格式要求详见本范本“使用说明”。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677"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p>
        </w:tc>
        <w:tc>
          <w:tcPr>
            <w:tcW w:w="1996" w:type="dxa"/>
            <w:gridSpan w:val="2"/>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投标文件递交</w:t>
            </w:r>
          </w:p>
        </w:tc>
        <w:tc>
          <w:tcPr>
            <w:tcW w:w="7181" w:type="dxa"/>
            <w:shd w:val="clear" w:color="auto" w:fill="auto"/>
            <w:vAlign w:val="center"/>
          </w:tcPr>
          <w:p>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bCs/>
                <w:color w:val="auto"/>
                <w:kern w:val="0"/>
                <w:szCs w:val="21"/>
                <w:highlight w:val="none"/>
              </w:rPr>
              <w:t>□网上递交</w:t>
            </w:r>
            <w:r>
              <w:rPr>
                <w:rFonts w:hint="eastAsia" w:ascii="宋体" w:hAnsi="宋体" w:eastAsia="宋体" w:cs="宋体"/>
                <w:bCs/>
                <w:color w:val="auto"/>
                <w:kern w:val="0"/>
                <w:szCs w:val="21"/>
                <w:highlight w:val="none"/>
                <w:lang w:val="en-US"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pPr>
              <w:adjustRightInd w:val="0"/>
              <w:snapToGri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□窗口递交（一式两份）：全部投标文件刻录在同一张光盘中并密封递交</w:t>
            </w:r>
            <w:r>
              <w:rPr>
                <w:rFonts w:hint="eastAsia" w:ascii="宋体" w:hAnsi="宋体" w:eastAsia="宋体" w:cs="宋体"/>
                <w:color w:val="auto"/>
                <w:kern w:val="0"/>
                <w:szCs w:val="21"/>
                <w:highlight w:val="none"/>
              </w:rPr>
              <w:t>（资格审查文件需单独刻盘封装）</w:t>
            </w:r>
            <w:r>
              <w:rPr>
                <w:rFonts w:hint="eastAsia" w:ascii="宋体" w:hAnsi="宋体" w:eastAsia="宋体" w:cs="宋体"/>
                <w:bCs/>
                <w:color w:val="auto"/>
                <w:kern w:val="0"/>
                <w:szCs w:val="21"/>
                <w:highlight w:val="none"/>
              </w:rPr>
              <w:t>，密封袋上注明工程名称、投标人名称。</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注：若有要求提交展示图板、实物设计模型、电子演示文件或以光盘形式提交设计BIM标书文件等，则全部投标文件均无须网上递交，须于截标前递交至</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bCs/>
                <w:color w:val="auto"/>
                <w:kern w:val="0"/>
                <w:szCs w:val="21"/>
                <w:highlight w:val="none"/>
              </w:rPr>
              <w:t>截标窗口。</w:t>
            </w:r>
          </w:p>
        </w:tc>
      </w:tr>
    </w:tbl>
    <w:p>
      <w:pPr>
        <w:widowControl/>
        <w:spacing w:line="20" w:lineRule="exact"/>
        <w:jc w:val="left"/>
        <w:rPr>
          <w:color w:val="auto"/>
          <w:highlight w:val="none"/>
        </w:rPr>
      </w:pPr>
      <w:r>
        <w:rPr>
          <w:color w:val="auto"/>
          <w:highlight w:val="none"/>
        </w:rPr>
        <w:br w:type="page"/>
      </w:r>
    </w:p>
    <w:p>
      <w:pPr>
        <w:adjustRightInd w:val="0"/>
        <w:snapToGrid w:val="0"/>
        <w:spacing w:line="360" w:lineRule="auto"/>
        <w:jc w:val="center"/>
        <w:outlineLvl w:val="2"/>
        <w:rPr>
          <w:rFonts w:ascii="宋体" w:hAnsi="宋体" w:eastAsia="宋体" w:cs="宋体"/>
          <w:b/>
          <w:color w:val="auto"/>
          <w:kern w:val="0"/>
          <w:sz w:val="30"/>
          <w:szCs w:val="30"/>
          <w:highlight w:val="none"/>
        </w:rPr>
      </w:pPr>
      <w:bookmarkStart w:id="11" w:name="_Toc13058"/>
      <w:bookmarkStart w:id="12" w:name="_Toc31249"/>
      <w:r>
        <w:rPr>
          <w:rFonts w:hint="eastAsia" w:ascii="宋体" w:hAnsi="宋体" w:eastAsia="宋体" w:cs="宋体"/>
          <w:b/>
          <w:color w:val="auto"/>
          <w:kern w:val="0"/>
          <w:sz w:val="30"/>
          <w:szCs w:val="30"/>
          <w:highlight w:val="none"/>
        </w:rPr>
        <w:t>（三）招标投标分段限时投诉的规定</w:t>
      </w:r>
      <w:bookmarkEnd w:id="11"/>
      <w:bookmarkEnd w:id="12"/>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pPr>
        <w:spacing w:line="360" w:lineRule="auto"/>
        <w:ind w:firstLine="420" w:firstLineChars="200"/>
        <w:rPr>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pPr>
        <w:widowControl/>
        <w:jc w:val="left"/>
        <w:rPr>
          <w:rFonts w:ascii="宋体"/>
          <w:color w:val="auto"/>
          <w:kern w:val="0"/>
          <w:szCs w:val="21"/>
          <w:highlight w:val="none"/>
        </w:rPr>
      </w:pPr>
      <w:r>
        <w:rPr>
          <w:rFonts w:ascii="宋体"/>
          <w:color w:val="auto"/>
          <w:kern w:val="0"/>
          <w:szCs w:val="21"/>
          <w:highlight w:val="none"/>
        </w:rPr>
        <w:br w:type="page"/>
      </w:r>
    </w:p>
    <w:p>
      <w:pPr>
        <w:adjustRightInd w:val="0"/>
        <w:snapToGrid w:val="0"/>
        <w:spacing w:line="360" w:lineRule="auto"/>
        <w:jc w:val="center"/>
        <w:outlineLvl w:val="1"/>
        <w:rPr>
          <w:rFonts w:ascii="黑体" w:hAnsi="黑体" w:eastAsia="黑体" w:cs="黑体"/>
          <w:bCs/>
          <w:color w:val="auto"/>
          <w:kern w:val="0"/>
          <w:sz w:val="32"/>
          <w:szCs w:val="32"/>
          <w:highlight w:val="none"/>
        </w:rPr>
      </w:pPr>
      <w:bookmarkStart w:id="13" w:name="_Toc24081"/>
      <w:r>
        <w:rPr>
          <w:rFonts w:hint="eastAsia" w:ascii="黑体" w:hAnsi="黑体" w:eastAsia="黑体" w:cs="黑体"/>
          <w:bCs/>
          <w:color w:val="auto"/>
          <w:kern w:val="0"/>
          <w:sz w:val="32"/>
          <w:szCs w:val="32"/>
          <w:highlight w:val="none"/>
        </w:rPr>
        <w:t>二、投标文件否决性条款</w:t>
      </w:r>
      <w:bookmarkEnd w:id="13"/>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rPr>
          <w:rFonts w:ascii="宋体" w:hAnsi="宋体" w:eastAsia="宋体" w:cs="宋体"/>
          <w:b/>
          <w:strike/>
          <w:color w:val="auto"/>
          <w:kern w:val="0"/>
          <w:szCs w:val="21"/>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废标（评标阶段）条款。除出现以下情形外，投标文件的其他任何情形均不得作否决处理。招标文件中有关否决性条款的阐述与本章节不一致的，以本章节内容为准。</w:t>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（一）开标阶段不予受理的情形：（由招标人或其委派人员负责判定）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1.逾期提交投标文件的；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2.资格审查不合格的；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4.所提交电子投标文件格式不符合招标文件要求或开标后交易平台无法读取导入的；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5.组成联合体投标时，未提交联合体共同投标协议书的；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6.联合体各方在同一招标项目中以自己名义单独投标或者参加其他联合体投标的；</w:t>
      </w:r>
    </w:p>
    <w:p>
      <w:pPr>
        <w:adjustRightInd w:val="0"/>
        <w:snapToGrid w:val="0"/>
        <w:spacing w:line="360" w:lineRule="auto"/>
        <w:ind w:firstLine="420" w:firstLineChars="200"/>
        <w:jc w:val="left"/>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8.未按招标文件要求提交投标担保的；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9.未按招标文件要求编制投标函，且投标人拒绝澄清或修正的；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10.投标人名称或组织结构与投标报名时不一致，且不能提供有效证明的；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11.被责令停业的，或被暂停投标资格的，或被取消投标资格的；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12.近3年内（从招标公告发布之日起倒算）投标人或者其法定代表人有行贿犯罪记录的；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13.近1年起（从截标之日倒算起）因串通投标、转包、以他人名义投标或者违法分包等违法行为受到建设、交通或者财政部门行政处罚的；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14.因违反工程质量、安全生产管理规定等原因被建设部门给予红色警示且在警示期内的；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15.拖欠工人工资被有关部门责令改正而未改正的；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16.依法应当拒绝投标的其他情形。</w:t>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（二）</w:t>
      </w:r>
      <w:r>
        <w:rPr>
          <w:rFonts w:hint="eastAsia" w:ascii="宋体" w:hAnsi="宋体" w:eastAsia="宋体" w:cs="宋体"/>
          <w:b/>
          <w:bCs/>
          <w:color w:val="auto"/>
          <w:kern w:val="0"/>
          <w:szCs w:val="21"/>
          <w:highlight w:val="none"/>
        </w:rPr>
        <w:t>评标阶段有关废标的情形：（由评标委员会负责判定）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1.采用暗标方式的，投标人在暗标部分投标文件内标注名称、印章、商标等标记符号，使得能够辨认出投标人或其专业技术人员身份的；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2.投标人以他人的名义投标或出现下列串通投标、弄虚作假投标嫌疑情形之一的：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2.1不同投标人的投标文件内容存在非正常一致的；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2.2不同投标人的投标文件错漏之处一致的；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2.3不同投标人的投标文件由同一单位或者同一个人编制的；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2.4不同投标人的投标文件载明的项目管理班子成员出现同一人的；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2.5不同投标人的投标文件相互混装的；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2.6不同投标人的投标文件由同一台电脑编制的；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2.7不同投标人聘请同一人为其投标提供技术或者经济咨询服务的，但招标工程本身要求采用专有技术的除外；</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2.8评标委员会认定的其他串通投标情形；</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3.技术标书内容明显违反项目规划设计要点，技术经济指标严重失实的；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4.技术标书中存在违反国家工程建设标准强制性条文的；</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5.评标委员会三分之二及以上成员认为应当废标的其他情形。</w:t>
      </w:r>
    </w:p>
    <w:p>
      <w:pPr>
        <w:adjustRightInd w:val="0"/>
        <w:snapToGrid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（招标人对上述内容有修改或补充的，以下述条款为准）</w:t>
      </w:r>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（三）招标人补充的投标文件不予受理的情形：</w:t>
      </w:r>
    </w:p>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u w:val="single"/>
        </w:rPr>
        <w:t xml:space="preserve">      </w:t>
      </w:r>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（四）招标人补充的废标情形：</w:t>
      </w:r>
    </w:p>
    <w:p>
      <w:pPr>
        <w:adjustRightInd w:val="0"/>
        <w:snapToGrid w:val="0"/>
        <w:spacing w:line="360" w:lineRule="auto"/>
        <w:ind w:firstLine="420" w:firstLineChars="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br w:type="page"/>
      </w:r>
    </w:p>
    <w:p>
      <w:pPr>
        <w:adjustRightInd w:val="0"/>
        <w:snapToGrid w:val="0"/>
        <w:spacing w:line="360" w:lineRule="auto"/>
        <w:jc w:val="center"/>
        <w:outlineLvl w:val="1"/>
        <w:rPr>
          <w:rFonts w:ascii="黑体" w:hAnsi="黑体" w:eastAsia="黑体" w:cs="黑体"/>
          <w:bCs/>
          <w:color w:val="auto"/>
          <w:kern w:val="0"/>
          <w:sz w:val="32"/>
          <w:szCs w:val="32"/>
          <w:highlight w:val="none"/>
        </w:rPr>
      </w:pPr>
      <w:bookmarkStart w:id="14" w:name="_Toc14481"/>
      <w:r>
        <w:rPr>
          <w:rFonts w:hint="eastAsia" w:ascii="黑体" w:hAnsi="黑体" w:eastAsia="黑体" w:cs="黑体"/>
          <w:bCs/>
          <w:color w:val="auto"/>
          <w:kern w:val="0"/>
          <w:sz w:val="32"/>
          <w:szCs w:val="32"/>
          <w:highlight w:val="none"/>
        </w:rPr>
        <w:t>三、招投标须知正文</w:t>
      </w:r>
      <w:bookmarkEnd w:id="14"/>
    </w:p>
    <w:p>
      <w:pPr>
        <w:adjustRightInd w:val="0"/>
        <w:snapToGrid w:val="0"/>
        <w:spacing w:line="360" w:lineRule="auto"/>
        <w:jc w:val="center"/>
        <w:outlineLvl w:val="2"/>
        <w:rPr>
          <w:rFonts w:ascii="宋体" w:hAnsi="宋体" w:eastAsia="宋体" w:cs="宋体"/>
          <w:b/>
          <w:color w:val="auto"/>
          <w:kern w:val="0"/>
          <w:sz w:val="30"/>
          <w:szCs w:val="30"/>
          <w:highlight w:val="none"/>
        </w:rPr>
      </w:pPr>
      <w:bookmarkStart w:id="15" w:name="_Toc7229"/>
      <w:r>
        <w:rPr>
          <w:rFonts w:hint="eastAsia" w:ascii="宋体" w:hAnsi="宋体" w:eastAsia="宋体" w:cs="宋体"/>
          <w:b/>
          <w:color w:val="auto"/>
          <w:kern w:val="0"/>
          <w:sz w:val="30"/>
          <w:szCs w:val="30"/>
          <w:highlight w:val="none"/>
        </w:rPr>
        <w:t>（一）招标</w:t>
      </w:r>
      <w:bookmarkEnd w:id="15"/>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1.1招标文件的编制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1.1.1招标人应根据招标项目特点和招标公告约定编制招标文件。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1.1.2招标文件的编制，必须依照以下格式及包括下列内容：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(1)第一章  使用说明</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(2)第二章  投标须知</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highlight w:val="none"/>
        </w:rPr>
        <w:t>第三章  招标人对招标文件的补充/修改</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(4)第四章  设计任务书及前期资料</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(5)第五章  投标文件格式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(6)第六章  合同条款</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1.2踏勘现场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1.2.1在投标文件编制前，招标人将按照前附表所规定方式，组织投标人踏勘项目现场及其周围环境，以便投标人获取编制投标文件和签署合同所需全部资料。投标人承担踏勘现场所发生的自身费用。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1.2.2招标人向投标人所提供有关项目现场的数据和资料，是踏勘当时现有的、能被投标人采用的资料。招标人对于投标人由此所作任何推论、理解和分析，不承担责任。</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1.2.3经招标人允许，投标人可因踏勘目的而进入招标项目现场，但投标人不得因此使得招标人承担有关责任和蒙受损失。投标人须自行承担踏勘现场的责任、风险及相关费用。</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1.3招标文件的澄清、修改、补充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1.3.1招标人对招标文件进行的澄清、修改以补充文件的形式，将于规定的招标人答疑截止时间前报主管部门备案，并通过</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向所有投标人公示。投标人应随时上网查看最新信息，否则由此导致不利后果的，由投标人自行承担。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1.3.2招标文件的补充文件是招标文件的组成部分。当招标文件与补充文件的内容不一致时，以补充文件为准；当补充文件之间的内容不一致时，以最后发出的文件为准。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1.3.3为确保投标人有充分时间对招标文件修改内容进行研究，招标人可酌情延长投标截止时间，并在招标文件补充文件中予以明确。</w:t>
      </w:r>
    </w:p>
    <w:p>
      <w:pPr>
        <w:adjustRightInd w:val="0"/>
        <w:snapToGrid w:val="0"/>
        <w:spacing w:line="360" w:lineRule="auto"/>
        <w:jc w:val="center"/>
        <w:outlineLvl w:val="2"/>
        <w:rPr>
          <w:rFonts w:ascii="宋体" w:hAnsi="宋体" w:eastAsia="宋体" w:cs="宋体"/>
          <w:b/>
          <w:color w:val="auto"/>
          <w:kern w:val="0"/>
          <w:sz w:val="30"/>
          <w:highlight w:val="none"/>
        </w:rPr>
      </w:pPr>
      <w:bookmarkStart w:id="16" w:name="_Toc17700"/>
      <w:r>
        <w:rPr>
          <w:rFonts w:hint="eastAsia" w:ascii="宋体" w:hAnsi="宋体" w:eastAsia="宋体" w:cs="宋体"/>
          <w:b/>
          <w:color w:val="auto"/>
          <w:kern w:val="0"/>
          <w:sz w:val="30"/>
          <w:highlight w:val="none"/>
        </w:rPr>
        <w:t>（二）投标</w:t>
      </w:r>
      <w:bookmarkEnd w:id="16"/>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2.1文件编制语言、度量单位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不利后果的，由投标人自行承担）。对投标文件的最终解释，将以中文或中文译文为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2.1.2除工程建设标准及技术要求另有规定外，投标文件所使用度量单位，均采用中华人民共和国法定计量单位。</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2.1.3涉及货币种类时，除特殊说明外，均指人民币。</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2.2投标人资格要求</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2.2.1 投标人应当具备承担本招标项目的能力；具备国家有关规定或者招标文件规定的资格条件；且通过合法途径取得招标文件。</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2.2.2关于联合体投标</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（2）投标人的投标文件及中标后签署的合同协议书对联合体每一成员均具</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法律约束力；</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（4）联合体中标后，联合体各方应当共同与招标人签订合同，为履行合同向招标人承担连带责任；</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（5）由联合体的各成员提交一份授权书，证明联合体代表资格，该授权书作为投标文件的组成部分一并提交给招标人；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（6）联合体主体作为联合体所有成员的代表承担责任和接受指令，并负责整个合同的全面履行；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（7）参加联合体的各成员不得再以自己的名义单独投标，也不得同时参加两个或两个以上的联合体投标。</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2.3投标文件的编制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2.3.1投标文件编制成果及要求</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投标文件由技术标和资信标两部分组成。详见前附表规定和本招标文件范本第五章《投标文件格式》。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2.3.2投标文件的签署</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投标文件必须使用投标人的机构数字证书或电子营业执照和法人数字证书进行签名。</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2.4对招标文件查收及质疑</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2.4.1投标人获取招标文件后，应仔细检查招标文件是否完整。如有残缺，应在获取招标文件后3日内向招标人提出，以便补齐。否则，由此导致不利后果的，由投标人自己承担。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2.4.2投标人对招标文件若有其他疑问，应于前附表规定的时间和方式向招标人提出，逾期不予受理。</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2.5投标有效期</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2.5.1投标有效期按法律法规规定期限内，所有投标文件均保持有效。</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的退还与没收的规定仍然适用。</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2.6投标担保</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2.6.1投标人应按前附表的规定提交投标担保</w:t>
      </w:r>
      <w:r>
        <w:rPr>
          <w:rFonts w:hint="eastAsia" w:ascii="宋体" w:hAnsi="宋体" w:eastAsia="宋体" w:cs="宋体"/>
          <w:color w:val="auto"/>
          <w:kern w:val="0"/>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2.6.2</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2.6.3</w:t>
      </w:r>
      <w:r>
        <w:rPr>
          <w:rFonts w:hint="eastAsia" w:ascii="宋体" w:hAnsi="宋体" w:eastAsia="宋体" w:cs="宋体"/>
          <w:color w:val="auto"/>
          <w:szCs w:val="21"/>
          <w:highlight w:val="none"/>
        </w:rPr>
        <w:t>对于未能按要求提交投标担保的，投标文件将按有关条款不予受理。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2.6.4</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2.6.5</w:t>
      </w:r>
      <w:r>
        <w:rPr>
          <w:rFonts w:hint="eastAsia" w:ascii="宋体" w:hAnsi="宋体" w:eastAsia="宋体" w:cs="宋体"/>
          <w:color w:val="auto"/>
          <w:szCs w:val="21"/>
          <w:highlight w:val="none"/>
        </w:rPr>
        <w:t>出现下列情形之一时，招标人应当在7天内退还投标人的投标担保：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中标通知书发出，中标人签订了工程承包合同；</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招标过程中招标活动因正当理由被招标人宣布终止；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招标失败需重新组织招标；</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投标有效期满而投标人不同意作出延长。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2.6.6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投标人有弄虚作假或串通投标等违法违规行为；</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投标人在投标有效期内撤回其投标文件；</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中标人无正当理由不与招标人订立合同，在签订合同时向招标人提出附加条件，或者不按照招标文件要求提交履约保证金的；</w:t>
      </w:r>
    </w:p>
    <w:p>
      <w:pPr>
        <w:adjustRightInd w:val="0"/>
        <w:snapToGrid w:val="0"/>
        <w:spacing w:line="360" w:lineRule="auto"/>
        <w:ind w:firstLine="420" w:firstLineChars="200"/>
        <w:jc w:val="left"/>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投标人资质证书被暂扣或吊销，但仍参与投标的。</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2.7投标文件的提交</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2.7.1投标截止时间</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投标人应根据前附表规定，在投标截止时间前完成投标文件递交，逾期概不受理。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2.7.2投标文件的补充、修改与撤回</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（1）递交投标文件之后至规定的投标截止时间之前，投标人可以撤回、补充或修改其已提交的投标文件，并通知招标人。补充、修改内容亦为投标文件有效组成部分。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（2）投标人的撤回、补充、修改，仍应按前附表规定编制和递交，并重新进行电子签名确认和打印回执。</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（3）投标截止时间之后、投标有效期终止之前，投标人不得补充、修改或者撤回其已提交的投标文件。</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2.7.3截标时投标人的数量要求</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截标时，递交标书的投标人数量不足3名的，招标人将按相关法律法规的规定，暂停开标和评标程序。如因此导致招标失败，招标人将不负担给投标人造成的损失（已规定有投标补偿的除外）。</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联合体投标的工程，联合体主体单位应在投标时录入已进行企业信息备案或be登记的联合体其他成员单位。</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2.8投标补偿</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对于投标人是否（或如何）予以投标补偿，均须遵循招标公告或前附表约定。</w:t>
      </w:r>
    </w:p>
    <w:p>
      <w:pPr>
        <w:adjustRightInd w:val="0"/>
        <w:snapToGrid w:val="0"/>
        <w:spacing w:before="0" w:after="0" w:line="360" w:lineRule="auto"/>
        <w:ind w:left="0" w:firstLine="0"/>
        <w:jc w:val="left"/>
        <w:rPr>
          <w:rFonts w:hint="eastAsia" w:ascii="宋体" w:hAnsi="宋体" w:eastAsia="宋体" w:cs="宋体"/>
          <w:b/>
          <w:color w:val="auto"/>
          <w:kern w:val="0"/>
          <w:sz w:val="21"/>
          <w:szCs w:val="22"/>
          <w:highlight w:val="none"/>
        </w:rPr>
      </w:pPr>
      <w:r>
        <w:rPr>
          <w:rFonts w:hint="eastAsia" w:ascii="宋体" w:hAnsi="宋体" w:eastAsia="宋体" w:cs="宋体"/>
          <w:b/>
          <w:color w:val="auto"/>
          <w:kern w:val="0"/>
          <w:sz w:val="21"/>
          <w:szCs w:val="22"/>
          <w:highlight w:val="none"/>
        </w:rPr>
        <w:t>2.9其他规定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投标人保证投标文件及资料均未侵犯他人的知识产权，否则必须承担全部责任。若投标人使用了他人的专利、专有技术，涉及的费用由投标人负责。</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中标后应按照《深圳经济特区数据条例》的有关规定，加强对BIM数据的安全管理，建立健全数据管理制度，及时排查BIM数据在存储、使用、加工、传递、交付过程中可能出现的信息安全隐患，做好安全防护和处理。</w:t>
      </w:r>
    </w:p>
    <w:p>
      <w:pPr>
        <w:adjustRightInd w:val="0"/>
        <w:snapToGrid w:val="0"/>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line="360" w:lineRule="auto"/>
        <w:jc w:val="center"/>
        <w:outlineLvl w:val="2"/>
        <w:rPr>
          <w:rFonts w:ascii="宋体" w:hAnsi="宋体" w:eastAsia="宋体" w:cs="宋体"/>
          <w:b/>
          <w:color w:val="auto"/>
          <w:kern w:val="0"/>
          <w:sz w:val="30"/>
          <w:highlight w:val="none"/>
        </w:rPr>
      </w:pPr>
      <w:bookmarkStart w:id="17" w:name="_Toc1632"/>
      <w:r>
        <w:rPr>
          <w:rFonts w:hint="eastAsia" w:ascii="宋体" w:hAnsi="宋体" w:eastAsia="宋体" w:cs="宋体"/>
          <w:b/>
          <w:color w:val="auto"/>
          <w:kern w:val="0"/>
          <w:sz w:val="30"/>
          <w:highlight w:val="none"/>
        </w:rPr>
        <w:t>（三）资格后审</w:t>
      </w:r>
      <w:bookmarkEnd w:id="17"/>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采用资格后审方式的，按以下规定进行：</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3.1资格审查由招标人组成的资格后审委员会负责，在截标后，每一个投标人的资格审查文件均在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对本项目投标人公开，招标人登陆</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对各投标人资格进行审查。</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3.2资格后审委员会成员数量为3人以上单数，招标代理人员参与资格审查的，其人员不得超过总人数的1/3。</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3.3资格后审委员严格对照招标公告中要求的投标人资格条件，逐个审查投标人递交的资格审查文件，审核判断投标人是否满足该资格条件。</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3.5拟进行资格后审澄清、答辩的代表由招标人核对身份。</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3.6资格后审委员会要求投标人进行澄清、答辩，但投标人在招标人规定时间内未派出人员及时作出澄清、答辩的，资格后审委员会将可能作出不利于投标人的判定。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w:t>
      </w:r>
      <w:r>
        <w:rPr>
          <w:rFonts w:hint="eastAsia" w:ascii="宋体" w:hAnsi="宋体" w:eastAsia="宋体" w:cs="宋体"/>
          <w:color w:val="auto"/>
          <w:szCs w:val="21"/>
          <w:highlight w:val="none"/>
        </w:rPr>
        <w:t>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szCs w:val="21"/>
          <w:highlight w:val="none"/>
        </w:rPr>
        <w:t>内容公示。资格审查合格投标人少于3家的，不再进行后续招标投标程序。资格审查结果应当在交易网公示不少于3个工作日。</w:t>
      </w:r>
    </w:p>
    <w:p>
      <w:pPr>
        <w:adjustRightInd w:val="0"/>
        <w:snapToGrid w:val="0"/>
        <w:spacing w:line="360" w:lineRule="auto"/>
        <w:jc w:val="center"/>
        <w:outlineLvl w:val="2"/>
        <w:rPr>
          <w:rFonts w:ascii="宋体" w:hAnsi="宋体" w:eastAsia="宋体" w:cs="宋体"/>
          <w:b/>
          <w:color w:val="auto"/>
          <w:kern w:val="0"/>
          <w:sz w:val="30"/>
          <w:highlight w:val="none"/>
        </w:rPr>
      </w:pPr>
      <w:bookmarkStart w:id="18" w:name="_Toc10182"/>
      <w:r>
        <w:rPr>
          <w:rFonts w:hint="eastAsia" w:ascii="宋体" w:hAnsi="宋体" w:eastAsia="宋体" w:cs="宋体"/>
          <w:b/>
          <w:color w:val="auto"/>
          <w:kern w:val="0"/>
          <w:sz w:val="30"/>
          <w:highlight w:val="none"/>
        </w:rPr>
        <w:t>（四）开标</w:t>
      </w:r>
      <w:bookmarkEnd w:id="18"/>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4.1开标会议由招标人在交易网进行，投标人现场参加开标会的必须是法定代表人或投标员，并必须遵守办理程序及人员身份的相关规定。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4.2资格后审不合格的投标人不进入开标程序。</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4.3开标时，需按开标程序分步对电子投标文件各部分进行导入；如电子投标文件已加密的，也必须按开标程序分步对电子投标文件各部分进行解密。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4.4按“投标文件否决性条款”规定宣布为不予受理情形的投标文件，不予送交评标委员会评审。</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val="en-US" w:eastAsia="zh-CN"/>
        </w:rPr>
        <w:t>资格审查</w:t>
      </w:r>
      <w:r>
        <w:rPr>
          <w:rFonts w:hint="eastAsia" w:ascii="宋体" w:hAnsi="宋体" w:eastAsia="宋体" w:cs="宋体"/>
          <w:color w:val="auto"/>
          <w:szCs w:val="21"/>
          <w:highlight w:val="none"/>
        </w:rPr>
        <w:t>合格的投标人数量超过20名的，招标人应当采用票决法淘汰部分投标人，但进入后续评标程序的投标人数量应当为15至20名。</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4.6招标人应对开标过程进行记录，以存档备查。</w:t>
      </w:r>
      <w:r>
        <w:rPr>
          <w:rFonts w:hint="eastAsia" w:ascii="宋体" w:hAnsi="宋体" w:eastAsia="宋体" w:cs="宋体"/>
          <w:color w:val="auto"/>
          <w:szCs w:val="21"/>
          <w:highlight w:val="none"/>
        </w:rPr>
        <w:t>开标及入围结果应当在交易网进行公示。</w:t>
      </w:r>
    </w:p>
    <w:p>
      <w:pPr>
        <w:adjustRightInd w:val="0"/>
        <w:snapToGrid w:val="0"/>
        <w:spacing w:line="360" w:lineRule="auto"/>
        <w:ind w:firstLine="420" w:firstLineChars="200"/>
        <w:rPr>
          <w:rFonts w:ascii="宋体" w:hAnsi="宋体" w:eastAsia="宋体" w:cs="宋体"/>
          <w:color w:val="auto"/>
          <w:kern w:val="0"/>
          <w:szCs w:val="21"/>
          <w:highlight w:val="none"/>
        </w:rPr>
      </w:pPr>
    </w:p>
    <w:p>
      <w:pPr>
        <w:adjustRightInd w:val="0"/>
        <w:snapToGrid w:val="0"/>
        <w:spacing w:line="360" w:lineRule="auto"/>
        <w:jc w:val="center"/>
        <w:outlineLvl w:val="2"/>
        <w:rPr>
          <w:rFonts w:ascii="宋体" w:hAnsi="宋体" w:eastAsia="宋体" w:cs="宋体"/>
          <w:b/>
          <w:color w:val="auto"/>
          <w:kern w:val="0"/>
          <w:sz w:val="30"/>
          <w:highlight w:val="none"/>
        </w:rPr>
      </w:pPr>
      <w:bookmarkStart w:id="19" w:name="_Toc2418"/>
      <w:r>
        <w:rPr>
          <w:rFonts w:hint="eastAsia" w:ascii="宋体" w:hAnsi="宋体" w:eastAsia="宋体" w:cs="宋体"/>
          <w:b/>
          <w:color w:val="auto"/>
          <w:kern w:val="0"/>
          <w:sz w:val="30"/>
          <w:highlight w:val="none"/>
        </w:rPr>
        <w:t>（五）评标</w:t>
      </w:r>
      <w:bookmarkEnd w:id="19"/>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评标委员会应当根据“投标须知前附表”规定的评标方法，对投标文件进行评审和比较，招标文件中没有规定的标准和方法不得作为评标的依据。</w:t>
      </w:r>
    </w:p>
    <w:p>
      <w:pPr>
        <w:adjustRightInd w:val="0"/>
        <w:snapToGri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color w:val="auto"/>
          <w:kern w:val="0"/>
          <w:highlight w:val="none"/>
        </w:rPr>
        <w:t>5.1评标委员会组建及职责</w:t>
      </w:r>
      <w:r>
        <w:rPr>
          <w:rFonts w:hint="eastAsia" w:ascii="宋体" w:hAnsi="宋体" w:eastAsia="宋体" w:cs="宋体"/>
          <w:b/>
          <w:bCs/>
          <w:color w:val="auto"/>
          <w:kern w:val="0"/>
          <w:szCs w:val="21"/>
          <w:highlight w:val="none"/>
        </w:rPr>
        <w:t xml:space="preserve">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5.1.1评标委员会组建方式：由招标人依法组建，负责评标活动。评标委员会的专家成员由招标人从评标专家库内按照专业随机抽取，评标委员会成员数量为5人以上单数，招标人可以委派一名代表。</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5.1.2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5.2投标文件的初步评审</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5.2.1计算机评标系统对投标文件进行自动清标分析，然后由评标委员会进行投标文件的初步评审。</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5.2.2投标文件初步评审不合格的，应参照投标文件否决性条款作相应处理。</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5.3投标文件的详细评审</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评标委员会根据招标文件规定的评标方法和标准，对各投标人的投标文件分别进行详细评审。</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5.4投标文件的重大偏差</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投标文件存在的重大偏差情形的，评标委员会应根据相应的投标文件否决性条款作废标处理。</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5.5投标文件的细微偏差</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5.6投标文件的澄清答辩</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5.6.3评标委员会要求投标人进行答辩，但投标人在评标委员会规定的时间（不少于30分钟）内未派出代表及时作出答辩的，评标委员会将根据招标文件规定作出不利于投标人的判定，投标人不得因此提出任何异议。</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5.7 废标的处理</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5.7.1除法律、法规、规章、规范性文件规定以及本招标文件否决性条款单列的废标情形外，评标委员会不得对投标文件作废标处理。评标委员会对投标文件应坚持谨慎废标的原则。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5.7.2评标委员会在作出任何一项废标决定前，都应当严格遵循以下程序：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①向当事投标人作相应的澄清。</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③在充分讨论的基础上集体表决。</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④若表决通过废标决定，应在评标报告中详细载明废标的理由、依据、答辩的情况和集体表决的情况（同意废标和不同意废标的评标委员会成员均应当注明）。</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⑤评标委员会在否决所有投标文件前，应当向招标人核实有关情况，听取招标人意见。</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5.8</w:t>
      </w:r>
      <w:r>
        <w:rPr>
          <w:rFonts w:hint="eastAsia" w:ascii="宋体" w:hAnsi="宋体" w:eastAsia="宋体" w:cs="宋体"/>
          <w:b/>
          <w:bCs/>
          <w:strike w:val="0"/>
          <w:color w:val="auto"/>
          <w:szCs w:val="21"/>
          <w:highlight w:val="none"/>
          <w:lang w:val="en-US" w:eastAsia="zh-CN"/>
        </w:rPr>
        <w:t>中标候选人</w:t>
      </w:r>
      <w:r>
        <w:rPr>
          <w:rFonts w:hint="eastAsia" w:ascii="宋体" w:hAnsi="宋体" w:eastAsia="宋体" w:cs="宋体"/>
          <w:b/>
          <w:color w:val="auto"/>
          <w:kern w:val="0"/>
          <w:highlight w:val="none"/>
        </w:rPr>
        <w:t>的推荐</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5.8.1评标委员会实行少数服从多数的原则，评标结果经评标委员会全体成员过半数通过有效。</w:t>
      </w:r>
    </w:p>
    <w:p>
      <w:pPr>
        <w:adjustRightInd w:val="0"/>
        <w:snapToGrid w:val="0"/>
        <w:spacing w:line="360" w:lineRule="auto"/>
        <w:ind w:firstLine="420" w:firstLineChars="200"/>
        <w:rPr>
          <w:rFonts w:ascii="宋体" w:hAnsi="宋体" w:eastAsia="宋体" w:cs="宋体"/>
          <w:strike/>
          <w:color w:val="auto"/>
          <w:szCs w:val="21"/>
          <w:highlight w:val="none"/>
        </w:rPr>
      </w:pPr>
      <w:r>
        <w:rPr>
          <w:rFonts w:hint="eastAsia" w:ascii="宋体" w:hAnsi="宋体" w:eastAsia="宋体" w:cs="宋体"/>
          <w:color w:val="auto"/>
          <w:kern w:val="0"/>
          <w:szCs w:val="21"/>
          <w:highlight w:val="none"/>
        </w:rPr>
        <w:t>5.8.2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136"/>
          <w:rFonts w:hint="eastAsia" w:ascii="宋体" w:hAnsi="宋体" w:eastAsia="宋体" w:cs="宋体"/>
          <w:strike w:val="0"/>
          <w:color w:val="auto"/>
          <w:szCs w:val="21"/>
          <w:highlight w:val="none"/>
          <w:u w:val="none"/>
          <w:lang w:val="en-US" w:eastAsia="zh-CN"/>
        </w:rPr>
        <w:t>[</w:t>
      </w:r>
      <w:r>
        <w:rPr>
          <w:rStyle w:val="136"/>
          <w:rFonts w:hint="eastAsia" w:ascii="宋体" w:hAnsi="宋体" w:eastAsia="宋体" w:cs="宋体"/>
          <w:strike w:val="0"/>
          <w:color w:val="auto"/>
          <w:szCs w:val="21"/>
          <w:highlight w:val="none"/>
          <w:u w:val="none"/>
          <w:lang w:val="en-US" w:eastAsia="zh-CN"/>
        </w:rPr>
        <w:footnoteReference w:id="4"/>
      </w:r>
      <w:r>
        <w:rPr>
          <w:rStyle w:val="136"/>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5.8.3评标委员会作出无效标或者废标处理后，合格投标人数量不足3名的，招标人应当宣布本次招标失败，重新招标。</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采用批量招标方式的，评标委员会作出无效标或者废标处理后，合格投标人数量不足拟定中标人数量加上2名的，招标人不得再采用批量招标方式。</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auto"/>
          <w:kern w:val="0"/>
          <w:highlight w:val="none"/>
        </w:rPr>
        <w:t>交易网公示</w:t>
      </w:r>
      <w:r>
        <w:rPr>
          <w:rFonts w:hint="eastAsia" w:ascii="宋体" w:hAnsi="宋体" w:eastAsia="宋体" w:cs="宋体"/>
          <w:color w:val="auto"/>
          <w:kern w:val="0"/>
          <w:szCs w:val="21"/>
          <w:highlight w:val="none"/>
        </w:rPr>
        <w:t>3个工作日后直接发包。</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5.8.4评标过程中，若评标委员会认为本次招标缺乏竞争性，可以不推荐投标人，由招标人重新组织招标。</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5.8.5如招投标过程中出现严重异常情况，经</w:t>
      </w:r>
      <w:r>
        <w:rPr>
          <w:rFonts w:hint="eastAsia" w:ascii="宋体" w:hAnsi="宋体" w:eastAsia="宋体" w:cs="宋体"/>
          <w:color w:val="auto"/>
          <w:szCs w:val="21"/>
          <w:highlight w:val="none"/>
          <w:lang w:val="en-US" w:eastAsia="zh-CN"/>
        </w:rPr>
        <w:t>建设、交通行政</w:t>
      </w:r>
      <w:r>
        <w:rPr>
          <w:rFonts w:hint="eastAsia" w:ascii="宋体" w:hAnsi="宋体" w:eastAsia="宋体" w:cs="宋体"/>
          <w:color w:val="auto"/>
          <w:kern w:val="0"/>
          <w:szCs w:val="21"/>
          <w:highlight w:val="none"/>
        </w:rPr>
        <w:t>主管部门批准，招标人可以不接受本次招标结果，应当重新招标。</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5.9 评标报告</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color w:val="auto"/>
          <w:kern w:val="0"/>
          <w:szCs w:val="21"/>
          <w:highlight w:val="none"/>
        </w:rPr>
        <w:t>评标委员会成员拒绝签字的，视为同意评标结论。评标委员会应对此做出书面记录。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5.9.3对发现的涉嫌违法、违规行为，应当在评标报告中做出详细说明，做好取证工作，并及时告知行政主管部门。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5.9.4评标委员会向招标人提交评标报告后即解散。评标过程中使用的文件、资料等，都不得带离评标室。</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5.10 评标结果公示</w:t>
      </w:r>
    </w:p>
    <w:p>
      <w:pPr>
        <w:adjustRightInd w:val="0"/>
        <w:snapToGrid w:val="0"/>
        <w:spacing w:line="360" w:lineRule="auto"/>
        <w:ind w:firstLine="420" w:firstLineChars="200"/>
        <w:jc w:val="left"/>
        <w:rPr>
          <w:rFonts w:ascii="宋体" w:hAnsi="宋体" w:eastAsia="宋体" w:cs="宋体"/>
          <w:b/>
          <w:color w:val="auto"/>
          <w:kern w:val="0"/>
          <w:highlight w:val="none"/>
        </w:rPr>
      </w:pPr>
      <w:r>
        <w:rPr>
          <w:rFonts w:hint="eastAsia" w:ascii="宋体" w:hAnsi="宋体" w:eastAsia="宋体" w:cs="宋体"/>
          <w:color w:val="auto"/>
          <w:kern w:val="0"/>
          <w:szCs w:val="21"/>
          <w:highlight w:val="none"/>
        </w:rPr>
        <w:t>招标人应当将评标报告（含合格投标人名单）</w:t>
      </w:r>
      <w:r>
        <w:rPr>
          <w:rFonts w:hint="eastAsia" w:ascii="宋体" w:hAnsi="宋体" w:eastAsia="宋体" w:cs="宋体"/>
          <w:color w:val="auto"/>
          <w:kern w:val="0"/>
          <w:szCs w:val="21"/>
          <w:highlight w:val="none"/>
          <w:lang w:val="en-US" w:eastAsia="zh-CN"/>
        </w:rPr>
        <w:t>及</w:t>
      </w:r>
      <w:r>
        <w:rPr>
          <w:rFonts w:hint="eastAsia" w:ascii="宋体" w:hAnsi="宋体" w:eastAsia="宋体" w:cs="宋体"/>
          <w:color w:val="auto"/>
          <w:szCs w:val="21"/>
          <w:highlight w:val="none"/>
          <w:lang w:val="en-US" w:eastAsia="zh-CN"/>
        </w:rPr>
        <w:t>资信标内容</w:t>
      </w:r>
      <w:r>
        <w:rPr>
          <w:rFonts w:hint="eastAsia" w:ascii="宋体" w:hAnsi="宋体" w:eastAsia="宋体" w:cs="宋体"/>
          <w:color w:val="auto"/>
          <w:kern w:val="0"/>
          <w:szCs w:val="21"/>
          <w:highlight w:val="none"/>
        </w:rPr>
        <w:t>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公示3个工作日。</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5.11其它规定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5.11.1若投标人的投标行为出现违反相关法律法规等政策文件列明的各种情形的，招标人将提请主管部门对相应投标人作不良记录。</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5.11.2评标过程中，若评标委员依据招标文件的规定要求招标人重新招标，招标人不承担因招标失败给投标人造成的损失。</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5.11.3如果投标文件中的BIM标书文件与其他文件内容不一致时，原则上以其他文件内容为准，投标人在投标文件或澄清中明确以bim标书文件为准的除外。</w:t>
      </w:r>
    </w:p>
    <w:p>
      <w:pPr>
        <w:adjustRightInd w:val="0"/>
        <w:snapToGrid w:val="0"/>
        <w:spacing w:line="360" w:lineRule="auto"/>
        <w:ind w:firstLine="420" w:firstLineChars="200"/>
        <w:rPr>
          <w:rFonts w:ascii="宋体" w:hAnsi="宋体" w:eastAsia="宋体" w:cs="宋体"/>
          <w:color w:val="auto"/>
          <w:kern w:val="0"/>
          <w:szCs w:val="21"/>
          <w:highlight w:val="none"/>
        </w:rPr>
      </w:pP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5.12评标表格</w:t>
      </w:r>
    </w:p>
    <w:p>
      <w:pPr>
        <w:adjustRightInd w:val="0"/>
        <w:snapToGrid w:val="0"/>
        <w:spacing w:line="360" w:lineRule="auto"/>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商务标定性评审表</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7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20" w:name="商务标定性评审表" w:colFirst="0" w:colLast="0"/>
          </w:p>
        </w:tc>
        <w:tc>
          <w:tcPr>
            <w:tcW w:w="1555"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color w:val="auto"/>
                <w:kern w:val="0"/>
                <w:szCs w:val="21"/>
                <w:highlight w:val="none"/>
              </w:rPr>
            </w:pP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评标专家：                           评标日期：    年  月  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numPr>
          <w:ilvl w:val="0"/>
          <w:numId w:val="1"/>
        </w:num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本表适用于专家独立评审使用；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tabs>
          <w:tab w:val="left" w:pos="840"/>
        </w:tabs>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3、综合评价等级仅分为合格或不合格两个等级，不合格仅限于符合招标文件废标情形以及投标文件违反国家强制性条文标准的情形。</w:t>
      </w:r>
    </w:p>
    <w:p>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技术标</w:t>
      </w:r>
      <w:r>
        <w:rPr>
          <w:rFonts w:hint="eastAsia" w:ascii="宋体" w:hAnsi="宋体" w:eastAsia="宋体" w:cs="宋体"/>
          <w:b/>
          <w:color w:val="auto"/>
          <w:kern w:val="0"/>
          <w:sz w:val="28"/>
          <w:szCs w:val="28"/>
          <w:highlight w:val="none"/>
        </w:rPr>
        <w:t>定性评审表</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7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21" w:name="技术标定性评审表" w:colFirst="0" w:colLast="0"/>
          </w:p>
        </w:tc>
        <w:tc>
          <w:tcPr>
            <w:tcW w:w="1555"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color w:val="auto"/>
                <w:kern w:val="0"/>
                <w:szCs w:val="21"/>
                <w:highlight w:val="none"/>
              </w:rPr>
            </w:pP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综合评价等级：□合格    □不合格</w:t>
            </w:r>
          </w:p>
        </w:tc>
      </w:tr>
    </w:tbl>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评标专家：                                  评标日期：    年  月  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3、综合评价等级仅分为合格或不合格两个等级，不合格仅限于符合招标文件废标情形以及投标文件违反国家强制性条文标准的情形。</w:t>
      </w:r>
    </w:p>
    <w:p>
      <w:pPr>
        <w:adjustRightInd w:val="0"/>
        <w:snapToGrid w:val="0"/>
        <w:spacing w:line="360" w:lineRule="auto"/>
        <w:ind w:firstLine="420" w:firstLineChars="200"/>
        <w:rPr>
          <w:rFonts w:ascii="宋体" w:hAnsi="宋体" w:eastAsia="宋体" w:cs="宋体"/>
          <w:color w:val="auto"/>
          <w:kern w:val="0"/>
          <w:szCs w:val="21"/>
          <w:highlight w:val="none"/>
        </w:rPr>
      </w:pPr>
    </w:p>
    <w:p>
      <w:pPr>
        <w:adjustRightInd w:val="0"/>
        <w:snapToGrid w:val="0"/>
        <w:spacing w:line="360" w:lineRule="auto"/>
        <w:ind w:firstLine="420" w:firstLineChars="200"/>
        <w:rPr>
          <w:rFonts w:ascii="宋体" w:hAnsi="宋体" w:eastAsia="宋体" w:cs="宋体"/>
          <w:color w:val="auto"/>
          <w:szCs w:val="21"/>
          <w:highlight w:val="none"/>
        </w:rPr>
      </w:pPr>
    </w:p>
    <w:p>
      <w:pPr>
        <w:adjustRightInd w:val="0"/>
        <w:snapToGrid w:val="0"/>
        <w:spacing w:line="360" w:lineRule="auto"/>
        <w:jc w:val="center"/>
        <w:outlineLvl w:val="2"/>
        <w:rPr>
          <w:rFonts w:ascii="宋体" w:hAnsi="宋体" w:eastAsia="宋体" w:cs="宋体"/>
          <w:b/>
          <w:color w:val="auto"/>
          <w:kern w:val="0"/>
          <w:sz w:val="30"/>
          <w:highlight w:val="none"/>
        </w:rPr>
      </w:pPr>
      <w:bookmarkStart w:id="22" w:name="_Toc11935"/>
      <w:bookmarkStart w:id="23" w:name="_Toc10428"/>
      <w:bookmarkStart w:id="24" w:name="_Toc29510"/>
      <w:r>
        <w:rPr>
          <w:rFonts w:hint="eastAsia" w:ascii="宋体" w:hAnsi="宋体" w:eastAsia="宋体" w:cs="宋体"/>
          <w:b/>
          <w:color w:val="auto"/>
          <w:kern w:val="0"/>
          <w:sz w:val="30"/>
          <w:highlight w:val="none"/>
        </w:rPr>
        <w:t>（六）定标</w:t>
      </w:r>
      <w:bookmarkEnd w:id="22"/>
      <w:bookmarkEnd w:id="23"/>
      <w:bookmarkEnd w:id="24"/>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6.1 清标</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6.1.1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6.1.2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6.2定标方法</w:t>
      </w:r>
    </w:p>
    <w:p>
      <w:pPr>
        <w:adjustRightInd w:val="0"/>
        <w:snapToGrid w:val="0"/>
        <w:spacing w:line="360" w:lineRule="auto"/>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6.2.1直接票决定标法</w:t>
      </w:r>
    </w:p>
    <w:p>
      <w:pPr>
        <w:adjustRightInd w:val="0"/>
        <w:snapToGrid w:val="0"/>
        <w:spacing w:line="360" w:lineRule="auto"/>
        <w:ind w:firstLine="420" w:firstLineChars="200"/>
        <w:jc w:val="left"/>
        <w:rPr>
          <w:rFonts w:ascii="宋体" w:hAnsi="宋体" w:eastAsia="宋体" w:cs="宋体"/>
          <w:color w:val="auto"/>
          <w:kern w:val="0"/>
          <w:highlight w:val="none"/>
        </w:rPr>
      </w:pPr>
      <w:r>
        <w:rPr>
          <w:rFonts w:hint="eastAsia" w:ascii="宋体" w:hAnsi="宋体" w:eastAsia="宋体" w:cs="宋体"/>
          <w:color w:val="auto"/>
          <w:kern w:val="0"/>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6.2.2逐轮票决定标法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ascii="宋体" w:hAnsi="宋体" w:eastAsia="宋体" w:cs="宋体"/>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②对比胜出法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szCs w:val="21"/>
          <w:highlight w:val="none"/>
        </w:rPr>
        <w:t>根据前述规则，直至剩余1名投标人为中标人。</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6.2.</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集体议事定标法</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6.3定标原则</w:t>
      </w:r>
    </w:p>
    <w:p>
      <w:pPr>
        <w:adjustRightInd w:val="0"/>
        <w:snapToGrid w:val="0"/>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环节的择优因素主要考虑企业资质、企业规模、科技创新能力、项目管理人员经验与水平、同类工程经验（业绩）及履约评价、企业及其人员的廉政记录、信用等因素，其中初步设计和施工图设计招标重点考虑：投标方案经济性、技术可行性、功能结构合理性、设计精细化程度等因素。同等条件下，招标人可以优先考虑投标人合同稳定性、质量安全保障性、劳资纠纷可控度、</w:t>
      </w:r>
      <w:r>
        <w:rPr>
          <w:rFonts w:hint="eastAsia" w:ascii="宋体" w:hAnsi="宋体" w:eastAsia="宋体" w:cs="宋体"/>
          <w:color w:val="auto"/>
          <w:szCs w:val="21"/>
          <w:highlight w:val="none"/>
        </w:rPr>
        <w:t>BIM技术应用情况</w:t>
      </w:r>
      <w:r>
        <w:rPr>
          <w:rFonts w:hint="eastAsia" w:ascii="宋体" w:hAnsi="宋体" w:eastAsia="宋体" w:cs="宋体"/>
          <w:color w:val="auto"/>
          <w:kern w:val="0"/>
          <w:szCs w:val="21"/>
          <w:highlight w:val="none"/>
        </w:rPr>
        <w:t>等因素，方案设计招标除外。招标人可以根据项目实际情况增加择优</w:t>
      </w:r>
      <w:r>
        <w:rPr>
          <w:rFonts w:hint="eastAsia" w:ascii="宋体" w:hAnsi="宋体" w:eastAsia="宋体" w:cs="宋体"/>
          <w:color w:val="auto"/>
          <w:kern w:val="0"/>
          <w:szCs w:val="21"/>
          <w:highlight w:val="none"/>
          <w:lang w:val="en-US" w:eastAsia="zh-CN"/>
        </w:rPr>
        <w:t>因</w:t>
      </w:r>
      <w:r>
        <w:rPr>
          <w:rFonts w:hint="eastAsia" w:ascii="宋体" w:hAnsi="宋体" w:eastAsia="宋体" w:cs="宋体"/>
          <w:color w:val="auto"/>
          <w:kern w:val="0"/>
          <w:szCs w:val="21"/>
          <w:highlight w:val="none"/>
        </w:rPr>
        <w:t>素，也可以综合考虑择优因素或按择优因素的重要性，对投标人进行逐级淘汰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招标人可以结合项目实际要求投标人提供资信标作为定标参考因素之一，详见附件2《资信标要求一览表》。</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6.4定标程序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pPr>
        <w:adjustRightInd w:val="0"/>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6"/>
          <w:rFonts w:hint="eastAsia" w:ascii="宋体" w:hAnsi="宋体" w:eastAsia="宋体" w:cs="宋体"/>
          <w:color w:val="auto"/>
          <w:kern w:val="0"/>
          <w:szCs w:val="21"/>
          <w:highlight w:val="none"/>
          <w:lang w:val="en-US" w:eastAsia="zh-CN"/>
        </w:rPr>
        <w:t>[</w:t>
      </w:r>
      <w:r>
        <w:rPr>
          <w:rStyle w:val="136"/>
          <w:rFonts w:hint="eastAsia" w:ascii="宋体" w:hAnsi="宋体" w:eastAsia="宋体" w:cs="宋体"/>
          <w:color w:val="auto"/>
          <w:kern w:val="0"/>
          <w:szCs w:val="21"/>
          <w:highlight w:val="none"/>
          <w:lang w:val="en-US" w:eastAsia="zh-CN"/>
        </w:rPr>
        <w:footnoteReference w:id="5"/>
      </w:r>
      <w:r>
        <w:rPr>
          <w:rStyle w:val="136"/>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pPr>
        <w:adjustRightInd w:val="0"/>
        <w:snapToGrid w:val="0"/>
        <w:spacing w:line="360" w:lineRule="auto"/>
        <w:ind w:firstLine="420" w:firstLineChars="200"/>
        <w:rPr>
          <w:rFonts w:hint="eastAsia" w:ascii="宋体" w:hAnsi="宋体" w:eastAsia="宋体" w:cs="宋体"/>
          <w:strike w:val="0"/>
          <w:color w:val="auto"/>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3</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标投标行政监督部门批准后由评标委员会复核纠正</w:t>
      </w:r>
      <w:r>
        <w:rPr>
          <w:rStyle w:val="136"/>
          <w:rFonts w:hint="eastAsia" w:ascii="宋体" w:hAnsi="宋体" w:eastAsia="宋体" w:cs="宋体"/>
          <w:color w:val="auto"/>
          <w:szCs w:val="21"/>
          <w:highlight w:val="none"/>
        </w:rPr>
        <w:t>[</w:t>
      </w:r>
      <w:r>
        <w:rPr>
          <w:rStyle w:val="136"/>
          <w:rFonts w:hint="eastAsia" w:ascii="宋体" w:hAnsi="宋体" w:eastAsia="宋体" w:cs="宋体"/>
          <w:color w:val="auto"/>
          <w:szCs w:val="21"/>
          <w:highlight w:val="none"/>
        </w:rPr>
        <w:footnoteReference w:id="6"/>
      </w:r>
      <w:r>
        <w:rPr>
          <w:rStyle w:val="136"/>
          <w:rFonts w:hint="eastAsia" w:ascii="宋体" w:hAnsi="宋体" w:eastAsia="宋体" w:cs="宋体"/>
          <w:color w:val="auto"/>
          <w:szCs w:val="21"/>
          <w:highlight w:val="none"/>
        </w:rPr>
        <w:t>]</w:t>
      </w:r>
      <w:r>
        <w:rPr>
          <w:rFonts w:hint="eastAsia" w:ascii="宋体" w:hAnsi="宋体" w:eastAsia="宋体" w:cs="宋体"/>
          <w:strike w:val="0"/>
          <w:color w:val="auto"/>
          <w:szCs w:val="21"/>
          <w:highlight w:val="none"/>
          <w:lang w:eastAsia="zh-CN"/>
        </w:rPr>
        <w:t>。</w:t>
      </w:r>
    </w:p>
    <w:p>
      <w:pPr>
        <w:adjustRightInd w:val="0"/>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b w:val="0"/>
          <w:bCs/>
          <w:color w:val="auto"/>
          <w:kern w:val="0"/>
          <w:szCs w:val="21"/>
          <w:highlight w:val="none"/>
        </w:rPr>
        <w:t>6.4.</w:t>
      </w:r>
      <w:r>
        <w:rPr>
          <w:rFonts w:hint="eastAsia" w:ascii="宋体" w:hAnsi="宋体" w:eastAsia="宋体" w:cs="宋体"/>
          <w:b w:val="0"/>
          <w:bCs/>
          <w:color w:val="auto"/>
          <w:kern w:val="0"/>
          <w:szCs w:val="21"/>
          <w:highlight w:val="none"/>
          <w:lang w:eastAsia="zh-CN"/>
        </w:rPr>
        <w:t>4</w:t>
      </w:r>
      <w:r>
        <w:rPr>
          <w:rFonts w:hint="eastAsia" w:ascii="宋体" w:hAnsi="宋体" w:eastAsia="宋体" w:cs="宋体"/>
          <w:b w:val="0"/>
          <w:bCs/>
          <w:color w:val="auto"/>
          <w:kern w:val="0"/>
          <w:szCs w:val="21"/>
          <w:highlight w:val="none"/>
        </w:rPr>
        <w:t>定标委员会</w:t>
      </w:r>
      <w:r>
        <w:rPr>
          <w:rFonts w:hint="eastAsia" w:ascii="宋体" w:hAnsi="宋体" w:eastAsia="宋体" w:cs="宋体"/>
          <w:color w:val="auto"/>
          <w:szCs w:val="21"/>
          <w:highlight w:val="none"/>
        </w:rPr>
        <w:t>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可以按以下方式组建，具体组建方式由招标人在项目定标方案中予以明确</w:t>
      </w:r>
      <w:r>
        <w:rPr>
          <w:rStyle w:val="136"/>
          <w:rFonts w:hint="eastAsia" w:ascii="宋体" w:hAnsi="宋体" w:eastAsia="宋体" w:cs="宋体"/>
          <w:color w:val="auto"/>
          <w:szCs w:val="21"/>
          <w:highlight w:val="none"/>
        </w:rPr>
        <w:t>[</w:t>
      </w:r>
      <w:r>
        <w:rPr>
          <w:rStyle w:val="136"/>
          <w:rFonts w:hint="eastAsia" w:ascii="宋体" w:hAnsi="宋体" w:eastAsia="宋体" w:cs="宋体"/>
          <w:color w:val="auto"/>
          <w:szCs w:val="21"/>
          <w:highlight w:val="none"/>
        </w:rPr>
        <w:footnoteReference w:id="7"/>
      </w:r>
      <w:r>
        <w:rPr>
          <w:rStyle w:val="136"/>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pPr>
        <w:adjustRightInd w:val="0"/>
        <w:snapToGrid w:val="0"/>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r>
        <w:rPr>
          <w:rFonts w:hint="eastAsia" w:ascii="宋体" w:hAnsi="宋体" w:eastAsia="宋体" w:cs="宋体"/>
          <w:color w:val="auto"/>
          <w:szCs w:val="21"/>
          <w:highlight w:val="none"/>
          <w:lang w:val="en-US" w:eastAsia="zh-CN"/>
        </w:rPr>
        <w:t xml:space="preserve">   </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b w:val="0"/>
          <w:bCs/>
          <w:color w:val="auto"/>
          <w:kern w:val="0"/>
          <w:szCs w:val="21"/>
          <w:highlight w:val="none"/>
        </w:rPr>
        <w:t>6.4.</w:t>
      </w:r>
      <w:r>
        <w:rPr>
          <w:rFonts w:hint="eastAsia" w:ascii="宋体" w:hAnsi="宋体" w:eastAsia="宋体" w:cs="宋体"/>
          <w:b w:val="0"/>
          <w:bCs/>
          <w:color w:val="auto"/>
          <w:kern w:val="0"/>
          <w:szCs w:val="21"/>
          <w:highlight w:val="none"/>
          <w:lang w:val="en-US" w:eastAsia="zh-CN"/>
        </w:rPr>
        <w:t>5</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6"/>
          <w:rFonts w:hint="eastAsia" w:ascii="宋体" w:hAnsi="宋体" w:eastAsia="宋体" w:cs="宋体"/>
          <w:color w:val="auto"/>
          <w:szCs w:val="21"/>
          <w:highlight w:val="none"/>
        </w:rPr>
        <w:t>[</w:t>
      </w:r>
      <w:r>
        <w:rPr>
          <w:rStyle w:val="136"/>
          <w:rFonts w:hint="eastAsia" w:ascii="宋体" w:hAnsi="宋体" w:eastAsia="宋体" w:cs="宋体"/>
          <w:color w:val="auto"/>
          <w:szCs w:val="21"/>
          <w:highlight w:val="none"/>
        </w:rPr>
        <w:footnoteReference w:id="8"/>
      </w:r>
      <w:r>
        <w:rPr>
          <w:rStyle w:val="136"/>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ascii="宋体" w:hAnsi="宋体" w:eastAsia="宋体" w:cs="宋体"/>
          <w:strike/>
          <w:color w:val="auto"/>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招标人组建定标委员会后，进入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召开定标会。</w:t>
      </w:r>
      <w:r>
        <w:rPr>
          <w:rFonts w:hint="eastAsia" w:ascii="宋体" w:hAnsi="宋体" w:eastAsia="宋体" w:cs="宋体"/>
          <w:color w:val="auto"/>
          <w:szCs w:val="21"/>
          <w:highlight w:val="none"/>
        </w:rPr>
        <w:t>定标委员会在定标时查看加密的项目定标方案，在综合考量评标委员会评审意见、招标人清标情况的基础上，按照既定的项目定标方案独立行使投票权，并明确理由。定标委员会成员在定标系统中提交选票（须说明推荐理由），并打印选票签名确认，定标过程公开、公平、公正。定标委员会按有关规定及招标文件约定的定标方法确定一名中标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招标人应当自评标结束后10个工作日内进入</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进行定标。不能按时定标的，应当通过交易网公示延期原因和最终定标时间。</w:t>
      </w:r>
    </w:p>
    <w:p>
      <w:pPr>
        <w:adjustRightInd w:val="0"/>
        <w:snapToGrid w:val="0"/>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szCs w:val="21"/>
          <w:highlight w:val="none"/>
        </w:rPr>
        <w:t>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6.4.</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szCs w:val="21"/>
          <w:highlight w:val="none"/>
        </w:rPr>
        <w:t>招标人应当向定标委员会提供项目定标方案、清标报告作为定标辅助材料。定标结束后，项目定标方案、清标报告及定标委员投票结果等定标过程资料应当留存备查。</w:t>
      </w:r>
    </w:p>
    <w:p>
      <w:pPr>
        <w:adjustRightInd w:val="0"/>
        <w:snapToGrid w:val="0"/>
        <w:spacing w:line="360" w:lineRule="auto"/>
        <w:jc w:val="left"/>
        <w:rPr>
          <w:rFonts w:hint="default" w:ascii="宋体" w:hAnsi="宋体" w:eastAsia="宋体" w:cs="宋体"/>
          <w:b/>
          <w:strike/>
          <w:color w:val="auto"/>
          <w:kern w:val="0"/>
          <w:highlight w:val="none"/>
        </w:rPr>
      </w:pPr>
      <w:r>
        <w:rPr>
          <w:rFonts w:hint="eastAsia" w:ascii="宋体" w:hAnsi="宋体" w:eastAsia="宋体" w:cs="宋体"/>
          <w:b/>
          <w:color w:val="auto"/>
          <w:kern w:val="0"/>
          <w:highlight w:val="none"/>
        </w:rPr>
        <w:t>6.5</w:t>
      </w:r>
      <w:r>
        <w:rPr>
          <w:rFonts w:hint="eastAsia" w:ascii="宋体" w:hAnsi="宋体" w:eastAsia="宋体" w:cs="宋体"/>
          <w:b/>
          <w:strike w:val="0"/>
          <w:color w:val="auto"/>
          <w:kern w:val="0"/>
          <w:highlight w:val="none"/>
          <w:lang w:val="en-US" w:eastAsia="zh-CN"/>
        </w:rPr>
        <w:t>重新定标</w:t>
      </w:r>
    </w:p>
    <w:p>
      <w:pPr>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定标后有下列情形之一的，招标人可以从评审合格的其他投标人中采用原招标文件规定的定标方法，由原定标委员会确定中标人。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5.1中标人放弃中标资格或者拒不签订合同的；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5.2中标人不按照招标文件要求提交履约担保的；</w:t>
      </w:r>
    </w:p>
    <w:p>
      <w:pPr>
        <w:adjustRightInd/>
        <w:snapToGrid/>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5.3被查实存在影响中标结果违法行为的。</w:t>
      </w:r>
    </w:p>
    <w:p>
      <w:pPr>
        <w:adjustRightInd w:val="0"/>
        <w:snapToGrid w:val="0"/>
        <w:spacing w:line="360" w:lineRule="auto"/>
        <w:jc w:val="left"/>
        <w:rPr>
          <w:rFonts w:ascii="宋体" w:hAnsi="宋体" w:eastAsia="宋体" w:cs="宋体"/>
          <w:b/>
          <w:color w:val="auto"/>
          <w:kern w:val="0"/>
          <w:highlight w:val="none"/>
        </w:rPr>
      </w:pPr>
      <w:r>
        <w:rPr>
          <w:rFonts w:hint="eastAsia" w:ascii="宋体" w:hAnsi="宋体" w:eastAsia="宋体" w:cs="宋体"/>
          <w:b/>
          <w:color w:val="auto"/>
          <w:kern w:val="0"/>
          <w:highlight w:val="none"/>
        </w:rPr>
        <w:t>6.6资信标表格</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招标人可以结合项目实际要求投标人提供资信标作为定标参考因素之一。</w:t>
      </w:r>
    </w:p>
    <w:p>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资信标要求一览表（如有）</w:t>
      </w:r>
    </w:p>
    <w:tbl>
      <w:tblPr>
        <w:tblStyle w:val="7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0"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98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4113"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color w:val="auto"/>
                <w:kern w:val="0"/>
                <w:sz w:val="20"/>
                <w:szCs w:val="21"/>
                <w:highlight w:val="none"/>
              </w:rPr>
            </w:pPr>
            <w:bookmarkStart w:id="25" w:name="资信标要求一览表" w:colFirst="0" w:colLast="0"/>
          </w:p>
        </w:tc>
        <w:tc>
          <w:tcPr>
            <w:tcW w:w="2989" w:type="dxa"/>
            <w:vAlign w:val="center"/>
          </w:tcPr>
          <w:p>
            <w:pPr>
              <w:adjustRightInd w:val="0"/>
              <w:snapToGrid w:val="0"/>
              <w:spacing w:line="360" w:lineRule="auto"/>
              <w:rPr>
                <w:rFonts w:ascii="宋体" w:hAnsi="宋体" w:eastAsia="宋体" w:cs="宋体"/>
                <w:color w:val="auto"/>
                <w:kern w:val="0"/>
                <w:sz w:val="20"/>
                <w:szCs w:val="21"/>
                <w:highlight w:val="none"/>
              </w:rPr>
            </w:pPr>
          </w:p>
        </w:tc>
        <w:tc>
          <w:tcPr>
            <w:tcW w:w="4113" w:type="dxa"/>
            <w:vAlign w:val="center"/>
          </w:tcPr>
          <w:p>
            <w:pPr>
              <w:adjustRightInd w:val="0"/>
              <w:snapToGrid w:val="0"/>
              <w:spacing w:line="360" w:lineRule="auto"/>
              <w:rPr>
                <w:rFonts w:ascii="宋体" w:hAnsi="宋体" w:eastAsia="宋体" w:cs="宋体"/>
                <w:color w:val="auto"/>
                <w:kern w:val="0"/>
                <w:sz w:val="20"/>
                <w:szCs w:val="21"/>
                <w:highlight w:val="none"/>
              </w:rPr>
            </w:pPr>
          </w:p>
        </w:tc>
      </w:tr>
      <w:bookmarkEnd w:id="25"/>
    </w:tbl>
    <w:p>
      <w:pPr>
        <w:adjustRightInd w:val="0"/>
        <w:snapToGrid w:val="0"/>
        <w:spacing w:line="360" w:lineRule="auto"/>
        <w:rPr>
          <w:rFonts w:ascii="宋体" w:hAnsi="宋体" w:eastAsia="宋体" w:cs="宋体"/>
          <w:color w:val="auto"/>
          <w:kern w:val="0"/>
          <w:szCs w:val="21"/>
          <w:highlight w:val="none"/>
        </w:rPr>
      </w:pP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备注：资信要素不进行评审，真实性通过公示予以监督。</w:t>
      </w:r>
    </w:p>
    <w:p>
      <w:pPr>
        <w:adjustRightInd w:val="0"/>
        <w:snapToGrid w:val="0"/>
        <w:spacing w:line="360" w:lineRule="auto"/>
        <w:jc w:val="center"/>
        <w:outlineLvl w:val="2"/>
        <w:rPr>
          <w:rFonts w:ascii="宋体" w:hAnsi="宋体" w:eastAsia="宋体" w:cs="宋体"/>
          <w:b/>
          <w:color w:val="auto"/>
          <w:kern w:val="0"/>
          <w:sz w:val="30"/>
          <w:highlight w:val="none"/>
        </w:rPr>
      </w:pPr>
      <w:bookmarkStart w:id="26" w:name="_Toc4937"/>
      <w:bookmarkStart w:id="27" w:name="_Toc10227"/>
      <w:bookmarkStart w:id="28" w:name="_Toc158"/>
      <w:r>
        <w:rPr>
          <w:rFonts w:hint="eastAsia" w:ascii="宋体" w:hAnsi="宋体" w:eastAsia="宋体" w:cs="宋体"/>
          <w:b/>
          <w:color w:val="auto"/>
          <w:kern w:val="0"/>
          <w:sz w:val="30"/>
          <w:highlight w:val="none"/>
        </w:rPr>
        <w:t>（七）中标通知书</w:t>
      </w:r>
      <w:bookmarkEnd w:id="26"/>
      <w:bookmarkEnd w:id="27"/>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招标人应按前附表规定向中标人发出中标通知书。</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招标人在发出中标通知书之前因正当理由，经行政监督部门批准并经交易网公示3个工作日后，招标人有权接受或拒绝投标、宣布投标程序无效或拒绝所有投标。对受影响的投标人不承担任何责任。</w:t>
      </w:r>
    </w:p>
    <w:p>
      <w:pPr>
        <w:adjustRightInd w:val="0"/>
        <w:snapToGrid w:val="0"/>
        <w:spacing w:line="360" w:lineRule="auto"/>
        <w:jc w:val="center"/>
        <w:outlineLvl w:val="2"/>
        <w:rPr>
          <w:rFonts w:ascii="宋体" w:hAnsi="宋体" w:eastAsia="宋体" w:cs="宋体"/>
          <w:b/>
          <w:color w:val="auto"/>
          <w:kern w:val="0"/>
          <w:sz w:val="30"/>
          <w:highlight w:val="none"/>
        </w:rPr>
      </w:pPr>
      <w:bookmarkStart w:id="29" w:name="_Toc22074"/>
      <w:bookmarkStart w:id="30" w:name="_Toc5986"/>
      <w:r>
        <w:rPr>
          <w:rFonts w:hint="eastAsia" w:ascii="宋体" w:hAnsi="宋体" w:eastAsia="宋体" w:cs="宋体"/>
          <w:b/>
          <w:color w:val="auto"/>
          <w:kern w:val="0"/>
          <w:sz w:val="30"/>
          <w:highlight w:val="none"/>
        </w:rPr>
        <w:t>（八）合同授予</w:t>
      </w:r>
      <w:bookmarkEnd w:id="29"/>
      <w:bookmarkEnd w:id="30"/>
    </w:p>
    <w:p>
      <w:pPr>
        <w:adjustRightInd w:val="0"/>
        <w:snapToGrid w:val="0"/>
        <w:spacing w:line="360" w:lineRule="auto"/>
        <w:ind w:firstLine="420" w:firstLineChars="200"/>
        <w:jc w:val="left"/>
        <w:rPr>
          <w:rFonts w:ascii="宋体" w:hAnsi="宋体" w:eastAsia="宋体" w:cs="宋体"/>
          <w:color w:val="auto"/>
          <w:highlight w:val="none"/>
        </w:rPr>
      </w:pPr>
      <w:r>
        <w:rPr>
          <w:rFonts w:hint="eastAsia" w:ascii="宋体" w:hAnsi="宋体" w:eastAsia="宋体" w:cs="宋体"/>
          <w:color w:val="auto"/>
          <w:kern w:val="0"/>
          <w:szCs w:val="21"/>
          <w:highlight w:val="none"/>
        </w:rPr>
        <w:t>招标人应按照前附表规定时间，参照本示范文本第六章《合同条款》与中标人订立合同。招标人与中标人签订设计合同，必须遵守本招标文件和投标文件中的合同条件，不得随意更改。</w:t>
      </w:r>
    </w:p>
    <w:bookmarkEnd w:id="28"/>
    <w:p>
      <w:pPr>
        <w:rPr>
          <w:rFonts w:ascii="宋体" w:hAnsi="宋体" w:eastAsia="宋体" w:cs="宋体"/>
          <w:color w:val="auto"/>
          <w:highlight w:val="none"/>
        </w:rPr>
      </w:pPr>
      <w:bookmarkStart w:id="31" w:name="_Toc17283"/>
      <w:bookmarkStart w:id="32" w:name="_Toc22693"/>
      <w:bookmarkStart w:id="33" w:name="_Toc21003"/>
      <w:r>
        <w:rPr>
          <w:rFonts w:hint="eastAsia" w:ascii="宋体" w:hAnsi="宋体" w:eastAsia="宋体" w:cs="宋体"/>
          <w:color w:val="auto"/>
          <w:highlight w:val="none"/>
        </w:rPr>
        <w:br w:type="page"/>
      </w:r>
    </w:p>
    <w:p>
      <w:pPr>
        <w:adjustRightInd w:val="0"/>
        <w:snapToGrid w:val="0"/>
        <w:spacing w:line="360" w:lineRule="auto"/>
        <w:jc w:val="left"/>
        <w:outlineLvl w:val="3"/>
        <w:rPr>
          <w:rFonts w:ascii="宋体" w:hAnsi="宋体" w:eastAsia="宋体" w:cs="宋体"/>
          <w:b/>
          <w:color w:val="auto"/>
          <w:kern w:val="0"/>
          <w:highlight w:val="none"/>
        </w:rPr>
      </w:pPr>
      <w:r>
        <w:rPr>
          <w:rFonts w:hint="eastAsia" w:ascii="宋体" w:hAnsi="宋体" w:eastAsia="宋体" w:cs="宋体"/>
          <w:b/>
          <w:color w:val="auto"/>
          <w:kern w:val="0"/>
          <w:highlight w:val="none"/>
        </w:rPr>
        <w:t>附件1：评标要素</w:t>
      </w:r>
      <w:bookmarkEnd w:id="31"/>
      <w:bookmarkEnd w:id="32"/>
      <w:bookmarkEnd w:id="33"/>
      <w:r>
        <w:rPr>
          <w:rFonts w:hint="eastAsia" w:ascii="宋体" w:hAnsi="宋体" w:eastAsia="宋体" w:cs="宋体"/>
          <w:b/>
          <w:color w:val="auto"/>
          <w:kern w:val="0"/>
          <w:highlight w:val="none"/>
        </w:rPr>
        <w:t>（仅供参考）</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一、市政工程设计评标评审要素可设置如下：</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设计依据：设计依据是否充分，项目是否取得规划等政府有关部门或有关单位的批复文件；项目设计方案和经济技术指标等，是否符合规划用地条件和有关要求，是否响应招标文件；作为设计依据而选用的工程建设标准，是否适用、是否现行有效。</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（二）场地资料：建设项目现状的场地资料，是否收集齐全，是否表达准确。</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（三）设计范围：投标文件中设计范围是否完整、有无漏项，是否符合招标文件约定；是否含有海绵城市设施、水土保持和再生建材产品利用等内容；是否明确工程规模和概况等；</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设计内容：设计方案是否符合强制性工程建设标准、公共安全和公众利益，工程造价是否得到有效控制；交通组织是否合理、安全；结构及水、电、气等专业设计方案，总体上是否经济、合理、安全；桥梁造型、道路形态等，是否遵循工程美学设计原则，总体观感是否舒适；景观绿化设计是否协调等。</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（五）方案比较：主体工程是否有设计方案比较，方案比较是否充分、合理；所推荐设计方案是否合理、可行。</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（六）设计表达：投标文件格式是否规范，设计深度是否符合招标文件约定。</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（七）BIM应用：招标文件要求采用BIM技术的，投标文件的BIM实施方案、</w:t>
      </w:r>
      <w:r>
        <w:rPr>
          <w:rFonts w:hint="eastAsia" w:ascii="宋体" w:hAnsi="宋体" w:eastAsia="宋体" w:cs="宋体"/>
          <w:color w:val="auto"/>
          <w:szCs w:val="21"/>
          <w:highlight w:val="none"/>
        </w:rPr>
        <w:t>建模范围、建模精度、成果文件格式等</w:t>
      </w:r>
      <w:r>
        <w:rPr>
          <w:rFonts w:hint="eastAsia" w:ascii="宋体" w:hAnsi="宋体" w:eastAsia="宋体" w:cs="宋体"/>
          <w:color w:val="auto"/>
          <w:kern w:val="0"/>
          <w:szCs w:val="21"/>
          <w:highlight w:val="none"/>
        </w:rPr>
        <w:t>是否有效响应。</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（八）装配式建设：招标文件要求项目按装配式建设的，投标文件是否有效响应。</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（九）沙盘或实体模型：招标文件要求提交沙盘或实体工程模型的，投标人是否</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效响应。</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（十）招标文件约定的其他设计内容，以及工期、设计费、配合服务等，投标文件是否有效响应。</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二、按设计团队招标模式的，评标委员会主要评审投标人单位综合实力。评审要素可侧重设置如下：</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（一）团队成员：投标人拟投入设计团队人员的基本信息（姓名、专业、年龄、职称、注册、岗位）；主创设计人和各专业负责人的既往勘察设计业绩、勘察设计获奖和勘察设计类社会荣誉。</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（二）项目解读：阐明对于招标项目的独立理解和勘察设计构思，解读项目方案，设计项目能否满足“适用、经济、绿色、美观”建筑方针。 </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（三）单位资信：或考核企业信用信息、信用等级或信用评价结果；或考核企业近一年受到建设主管部门行政处罚或不良行为记录情况；或考核企业近三年勘察设计获奖和既往同类项目勘察设计业绩。</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服务能力：针对招标项目提出的勘察设计质量保障措施如何；勘察设计进度计划的合理性、可行性以及是否响应招标文件要求；勘察单位配合服务设计单位和施工单位；设计单位技术交底和施工现场服务等设计后续配合服务，是否承诺提供到位。</w:t>
      </w:r>
    </w:p>
    <w:p>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highlight w:val="none"/>
        </w:rPr>
        <w:br w:type="page"/>
      </w:r>
    </w:p>
    <w:p>
      <w:pPr>
        <w:adjustRightInd w:val="0"/>
        <w:snapToGrid w:val="0"/>
        <w:spacing w:line="360" w:lineRule="auto"/>
        <w:jc w:val="left"/>
        <w:outlineLvl w:val="3"/>
        <w:rPr>
          <w:rFonts w:ascii="宋体" w:hAnsi="宋体" w:eastAsia="宋体" w:cs="宋体"/>
          <w:b/>
          <w:color w:val="auto"/>
          <w:kern w:val="0"/>
          <w:highlight w:val="none"/>
        </w:rPr>
      </w:pPr>
      <w:bookmarkStart w:id="34" w:name="_Toc9035"/>
      <w:bookmarkStart w:id="35" w:name="_Toc14878"/>
      <w:bookmarkStart w:id="36" w:name="_Toc8651"/>
      <w:bookmarkStart w:id="37" w:name="_Toc25386"/>
      <w:r>
        <w:rPr>
          <w:rFonts w:hint="eastAsia" w:ascii="宋体" w:hAnsi="宋体" w:eastAsia="宋体" w:cs="宋体"/>
          <w:b/>
          <w:color w:val="auto"/>
          <w:kern w:val="0"/>
          <w:highlight w:val="none"/>
        </w:rPr>
        <w:t>附件2：定标要素</w:t>
      </w:r>
      <w:bookmarkEnd w:id="34"/>
      <w:bookmarkEnd w:id="35"/>
      <w:bookmarkEnd w:id="36"/>
      <w:bookmarkEnd w:id="37"/>
      <w:r>
        <w:rPr>
          <w:rFonts w:hint="eastAsia" w:ascii="宋体" w:hAnsi="宋体" w:eastAsia="宋体" w:cs="宋体"/>
          <w:b/>
          <w:color w:val="auto"/>
          <w:kern w:val="0"/>
          <w:highlight w:val="none"/>
        </w:rPr>
        <w:t>（仅供参考）</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项目按设计方案（或勘察方案）招标模式的，定标委员会侧重对投标文件内容完整性、项目功能布局和经济技术指标等要素进行简单复核，并可查验投标人单位信用概况。针对工程设计投标文件内容，定标评审要素可设置如下：</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（一）复核项目设计是否符合规划用地条件。</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（二）复核主要经济技术指标是否符合规划许可要求和招标文件要求。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（三）复核项目总体布置是否合理，是否出现重大漏项。</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（四）复核项目使用功能是否符合招标文件要求。</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五）复核招标文件中载明的如下设计内容是否漏项：（1）房屋建筑工程：结构、电气、给排水、通风空调、专项工程（建筑装饰工程、建筑幕墙工程、轻型钢结构工程、建筑智能化系统、消防设施工程、照明工程、风景园林工程、环境工程）、工业建筑复杂工艺、绿色建筑、海绵城市设施、装配式建筑和其他设计内容（燃气工程、特殊工艺、标识系统、基坑支护、设计前期工程咨询、路口开设或市政管线衔接等）；（2）市政工程：装配式建设模式、海绵城市设施、水土保持和再生建材产品利用等。</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（六）</w:t>
      </w:r>
      <w:r>
        <w:rPr>
          <w:rFonts w:hint="eastAsia" w:ascii="宋体" w:hAnsi="宋体" w:eastAsia="宋体" w:cs="宋体"/>
          <w:color w:val="auto"/>
          <w:kern w:val="0"/>
          <w:szCs w:val="21"/>
          <w:highlight w:val="none"/>
        </w:rPr>
        <w:t>复核基于BIM的成果文件的范围、精度、BIM实施能力、BIM实施方案等是否符合招标文件要求，查验沙盘或实体模型是否按招标文件要求提供。</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（七）复核设计进度（工期）、设计费是否满足招标文件要求；复核设计技术交底和施工现场服务等设计后续配合服务，是否承诺提供到位。</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（八）查验投标人的企业信用信息、信用等级或信用评价结果，或查验企业近一年受到工程建设主管部门行政处罚或不良行为记录情况。</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 项目按设计团队招标模式的，评标委员会侧重复核投标人单位综合实力，并可查验投标文件是否出现重大疏漏或差错。针对投标文件，定标评审要素可设置如下：</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（一）复核投标人拟投入团队主创设计人（或项目负责人）和各专业负责人的既往勘察设计业绩、勘察设计获奖和勘察设计类社会荣誉。</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（二）复核投标人的企业信用信息、信用等级或信用评价结果，或近一年受到工程建设主管部门行政处罚或不良行为记录情况；复核企业近三年设计获奖和既往同类项目业绩。</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查验勘察设计费约定是否招标文件要求；查验勘察设计进度计划是否合理、可行，是否响应招标文件要求；查验勘察设计质量保障措施是否全面、可靠；查验勘察单位配合服务设计单位和施工单位，以及设计技术交底和施工现场服务等设计后续配合服务，是否承诺提供到位；查验勘察工程技术人员配备情况。</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（四）查验设计投标文件主要经济技术指标是否符合规划许可要求。</w:t>
      </w:r>
    </w:p>
    <w:p>
      <w:pPr>
        <w:adjustRightInd w:val="0"/>
        <w:snapToGrid w:val="0"/>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（五）查验投标文件是否响应招标文件中载明的内容，是否出现漏项。</w:t>
      </w:r>
    </w:p>
    <w:p>
      <w:pPr>
        <w:adjustRightInd w:val="0"/>
        <w:snapToGrid w:val="0"/>
        <w:spacing w:line="360" w:lineRule="auto"/>
        <w:jc w:val="center"/>
        <w:outlineLvl w:val="0"/>
        <w:rPr>
          <w:rFonts w:ascii="黑体" w:eastAsia="黑体"/>
          <w:b/>
          <w:color w:val="auto"/>
          <w:kern w:val="0"/>
          <w:sz w:val="36"/>
          <w:highlight w:val="none"/>
        </w:rPr>
      </w:pPr>
      <w:r>
        <w:rPr>
          <w:rFonts w:ascii="宋体" w:hAnsi="宋体"/>
          <w:color w:val="auto"/>
          <w:kern w:val="0"/>
          <w:highlight w:val="none"/>
        </w:rPr>
        <w:br w:type="page"/>
      </w:r>
      <w:bookmarkStart w:id="38" w:name="_Toc13536"/>
      <w:bookmarkStart w:id="39" w:name="_Toc27341"/>
      <w:r>
        <w:rPr>
          <w:rFonts w:hint="eastAsia" w:ascii="黑体" w:eastAsia="黑体"/>
          <w:bCs/>
          <w:color w:val="auto"/>
          <w:kern w:val="0"/>
          <w:sz w:val="32"/>
          <w:szCs w:val="32"/>
          <w:highlight w:val="none"/>
        </w:rPr>
        <w:t xml:space="preserve">第三章 </w:t>
      </w:r>
      <w:r>
        <w:rPr>
          <w:rFonts w:ascii="黑体" w:eastAsia="黑体"/>
          <w:bCs/>
          <w:color w:val="auto"/>
          <w:kern w:val="0"/>
          <w:sz w:val="32"/>
          <w:szCs w:val="32"/>
          <w:highlight w:val="none"/>
        </w:rPr>
        <w:t xml:space="preserve"> </w:t>
      </w:r>
      <w:r>
        <w:rPr>
          <w:rFonts w:hint="eastAsia" w:ascii="黑体" w:eastAsia="黑体"/>
          <w:bCs/>
          <w:color w:val="auto"/>
          <w:kern w:val="0"/>
          <w:sz w:val="32"/>
          <w:szCs w:val="32"/>
          <w:highlight w:val="none"/>
        </w:rPr>
        <w:t>招标人对招标文件的补充/修改</w:t>
      </w:r>
      <w:bookmarkEnd w:id="38"/>
      <w:bookmarkEnd w:id="39"/>
    </w:p>
    <w:p>
      <w:pPr>
        <w:topLinePunct/>
        <w:adjustRightInd w:val="0"/>
        <w:snapToGrid w:val="0"/>
        <w:spacing w:line="360" w:lineRule="auto"/>
        <w:ind w:firstLine="420" w:firstLineChars="200"/>
        <w:rPr>
          <w:rFonts w:ascii="宋体" w:hAnsi="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招标人可根据工程实际情况，对本示范文本进行补充或修改，但有关补充或修改内容不得违法违规，且必须逐一列举在以下栏目中。请投标人认真阅读并遵照执行：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u w:val="single"/>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r>
        <w:rPr>
          <w:rFonts w:hint="eastAsia" w:ascii="宋体" w:hAnsi="宋体" w:eastAsia="宋体" w:cs="宋体"/>
          <w:color w:val="auto"/>
          <w:kern w:val="0"/>
          <w:szCs w:val="21"/>
          <w:highlight w:val="none"/>
          <w:u w:val="single"/>
        </w:rPr>
        <w:t xml:space="preserve">      </w:t>
      </w:r>
    </w:p>
    <w:p>
      <w:pPr>
        <w:rPr>
          <w:color w:val="auto"/>
          <w:highlight w:val="none"/>
        </w:rPr>
      </w:pPr>
      <w:r>
        <w:rPr>
          <w:rFonts w:hint="eastAsia"/>
          <w:color w:val="auto"/>
          <w:highlight w:val="none"/>
        </w:rPr>
        <w:br w:type="page"/>
      </w:r>
      <w:bookmarkStart w:id="40" w:name="_Toc13923"/>
      <w:bookmarkEnd w:id="40"/>
    </w:p>
    <w:p>
      <w:pPr>
        <w:adjustRightInd w:val="0"/>
        <w:snapToGrid w:val="0"/>
        <w:spacing w:line="360" w:lineRule="auto"/>
        <w:jc w:val="center"/>
        <w:outlineLvl w:val="0"/>
        <w:rPr>
          <w:rFonts w:ascii="黑体" w:hAnsi="黑体" w:eastAsia="黑体" w:cs="黑体"/>
          <w:b/>
          <w:color w:val="auto"/>
          <w:kern w:val="0"/>
          <w:sz w:val="32"/>
          <w:szCs w:val="32"/>
          <w:highlight w:val="none"/>
        </w:rPr>
      </w:pPr>
      <w:bookmarkStart w:id="41" w:name="_Toc7288"/>
      <w:r>
        <w:rPr>
          <w:rFonts w:hint="eastAsia" w:ascii="黑体" w:hAnsi="黑体" w:eastAsia="黑体" w:cs="黑体"/>
          <w:b/>
          <w:color w:val="auto"/>
          <w:kern w:val="0"/>
          <w:sz w:val="32"/>
          <w:szCs w:val="32"/>
          <w:highlight w:val="none"/>
        </w:rPr>
        <w:t>第四章  设计任务书及前期资料</w:t>
      </w:r>
      <w:bookmarkEnd w:id="41"/>
    </w:p>
    <w:p>
      <w:pP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设计任务书及前期资料</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BIM要求（仅供参考）</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 模型要求：</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 BIM模型设计要求：如BIM应用范围、精度、建筑指标分析等</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 BIM模型辅助展示：</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 BIM成果文件要求：</w:t>
      </w: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w:t>
      </w:r>
    </w:p>
    <w:p>
      <w:pPr>
        <w:adjustRightInd w:val="0"/>
        <w:snapToGrid w:val="0"/>
        <w:spacing w:line="360" w:lineRule="auto"/>
        <w:ind w:firstLine="420" w:firstLineChars="200"/>
        <w:jc w:val="left"/>
        <w:rPr>
          <w:rFonts w:ascii="宋体" w:hAnsi="宋体"/>
          <w:color w:val="auto"/>
          <w:kern w:val="0"/>
          <w:szCs w:val="21"/>
          <w:highlight w:val="none"/>
        </w:rPr>
      </w:pPr>
    </w:p>
    <w:p>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二、实施方案：</w:t>
      </w:r>
    </w:p>
    <w:p>
      <w:pPr>
        <w:adjustRightInd w:val="0"/>
        <w:snapToGrid w:val="0"/>
        <w:spacing w:line="360" w:lineRule="auto"/>
        <w:ind w:firstLine="420" w:firstLineChars="200"/>
        <w:jc w:val="left"/>
        <w:rPr>
          <w:rFonts w:ascii="宋体" w:hAnsi="宋体" w:eastAsia="宋体" w:cs="宋体"/>
          <w:color w:val="auto"/>
          <w:highlight w:val="none"/>
        </w:rPr>
        <w:sectPr>
          <w:footerReference r:id="rId4" w:type="default"/>
          <w:pgSz w:w="11906" w:h="16838"/>
          <w:pgMar w:top="1417" w:right="1417" w:bottom="1417" w:left="1417" w:header="851" w:footer="992" w:gutter="0"/>
          <w:cols w:space="425" w:num="1"/>
          <w:docGrid w:type="lines" w:linePitch="312" w:charSpace="0"/>
        </w:sectPr>
      </w:pPr>
      <w:r>
        <w:rPr>
          <w:rFonts w:hint="eastAsia" w:ascii="宋体" w:hAnsi="宋体"/>
          <w:color w:val="auto"/>
          <w:kern w:val="0"/>
          <w:szCs w:val="21"/>
          <w:highlight w:val="none"/>
        </w:rPr>
        <w:t>投标人自行编辑BIM建筑方案模型实施方案，格式要求为*.PDF，主要包括以下内容：实施目标、应用范围、实施团队、软硬件环境、模型精细度要求、协同实施、成果文件交付格式及内容、实施保障机制。</w:t>
      </w:r>
    </w:p>
    <w:p>
      <w:pPr>
        <w:adjustRightInd w:val="0"/>
        <w:snapToGrid w:val="0"/>
        <w:spacing w:line="360" w:lineRule="auto"/>
        <w:jc w:val="left"/>
        <w:rPr>
          <w:rFonts w:ascii="宋体" w:hAnsi="宋体"/>
          <w:snapToGrid w:val="0"/>
          <w:color w:val="auto"/>
          <w:kern w:val="0"/>
          <w:szCs w:val="21"/>
          <w:highlight w:val="none"/>
        </w:rPr>
      </w:pPr>
    </w:p>
    <w:p>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42" w:name="_Toc23337"/>
      <w:r>
        <w:rPr>
          <w:rFonts w:hint="eastAsia" w:ascii="黑体" w:hAnsi="黑体" w:eastAsia="黑体" w:cs="黑体"/>
          <w:bCs/>
          <w:color w:val="auto"/>
          <w:kern w:val="0"/>
          <w:sz w:val="32"/>
          <w:szCs w:val="32"/>
          <w:highlight w:val="none"/>
        </w:rPr>
        <w:t>第五章  投标文件格式</w:t>
      </w:r>
      <w:bookmarkEnd w:id="42"/>
    </w:p>
    <w:p>
      <w:pPr>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br w:type="page"/>
      </w:r>
    </w:p>
    <w:p>
      <w:pPr>
        <w:adjustRightInd w:val="0"/>
        <w:snapToGrid w:val="0"/>
        <w:spacing w:line="360" w:lineRule="auto"/>
        <w:jc w:val="center"/>
        <w:outlineLvl w:val="1"/>
        <w:rPr>
          <w:rFonts w:ascii="宋体" w:hAnsi="宋体" w:eastAsia="宋体" w:cs="宋体"/>
          <w:b/>
          <w:color w:val="auto"/>
          <w:kern w:val="0"/>
          <w:sz w:val="30"/>
          <w:highlight w:val="none"/>
        </w:rPr>
      </w:pPr>
      <w:bookmarkStart w:id="43" w:name="_Toc23958"/>
      <w:r>
        <w:rPr>
          <w:rFonts w:hint="eastAsia" w:ascii="宋体" w:hAnsi="宋体" w:eastAsia="宋体" w:cs="宋体"/>
          <w:b/>
          <w:color w:val="auto"/>
          <w:kern w:val="0"/>
          <w:sz w:val="30"/>
          <w:highlight w:val="none"/>
        </w:rPr>
        <w:t>5.1资信标</w:t>
      </w:r>
      <w:bookmarkEnd w:id="43"/>
    </w:p>
    <w:p>
      <w:pPr>
        <w:adjustRightInd w:val="0"/>
        <w:snapToGrid w:val="0"/>
        <w:spacing w:line="360" w:lineRule="auto"/>
        <w:jc w:val="left"/>
        <w:outlineLvl w:val="2"/>
        <w:rPr>
          <w:rFonts w:ascii="宋体" w:hAnsi="宋体" w:eastAsia="宋体" w:cs="宋体"/>
          <w:b/>
          <w:color w:val="auto"/>
          <w:kern w:val="0"/>
          <w:highlight w:val="none"/>
        </w:rPr>
      </w:pPr>
      <w:bookmarkStart w:id="44" w:name="_Toc32257"/>
      <w:r>
        <w:rPr>
          <w:rFonts w:hint="eastAsia" w:ascii="宋体" w:hAnsi="宋体" w:eastAsia="宋体" w:cs="宋体"/>
          <w:b/>
          <w:color w:val="auto"/>
          <w:kern w:val="0"/>
          <w:highlight w:val="none"/>
        </w:rPr>
        <w:t>投标附件1.投标函</w:t>
      </w:r>
      <w:bookmarkEnd w:id="44"/>
    </w:p>
    <w:p>
      <w:pPr>
        <w:adjustRightInd w:val="0"/>
        <w:snapToGrid w:val="0"/>
        <w:spacing w:line="360" w:lineRule="auto"/>
        <w:jc w:val="left"/>
        <w:rPr>
          <w:rFonts w:ascii="宋体" w:hAnsi="宋体" w:eastAsia="宋体" w:cs="宋体"/>
          <w:color w:val="auto"/>
          <w:kern w:val="0"/>
          <w:sz w:val="32"/>
          <w:szCs w:val="32"/>
          <w:highlight w:val="none"/>
        </w:rPr>
      </w:pPr>
      <w:r>
        <w:rPr>
          <w:rFonts w:hint="eastAsia" w:ascii="宋体" w:hAnsi="宋体" w:eastAsia="宋体" w:cs="宋体"/>
          <w:bCs/>
          <w:color w:val="auto"/>
          <w:kern w:val="0"/>
          <w:highlight w:val="none"/>
        </w:rPr>
        <w:t>（提示：本投标函中除明确由“招标人填写”外，其余空格均应由投标人填写完整。投标人一旦中标，该投标函将作为有关部门后续监管的依据。）</w:t>
      </w:r>
    </w:p>
    <w:p>
      <w:pPr>
        <w:adjustRightInd w:val="0"/>
        <w:snapToGrid w:val="0"/>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投标函</w:t>
      </w:r>
    </w:p>
    <w:p>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致招标人：______</w:t>
      </w:r>
      <w:r>
        <w:rPr>
          <w:rFonts w:hint="eastAsia" w:ascii="宋体" w:hAnsi="宋体" w:eastAsia="宋体" w:cs="宋体"/>
          <w:color w:val="auto"/>
          <w:kern w:val="0"/>
          <w:szCs w:val="21"/>
          <w:highlight w:val="none"/>
          <w:u w:val="single"/>
        </w:rPr>
        <w:t>（招标人名称，招标人填写）</w:t>
      </w:r>
      <w:r>
        <w:rPr>
          <w:rFonts w:hint="eastAsia" w:ascii="宋体" w:hAnsi="宋体" w:eastAsia="宋体" w:cs="宋体"/>
          <w:color w:val="auto"/>
          <w:kern w:val="0"/>
          <w:szCs w:val="21"/>
          <w:highlight w:val="none"/>
        </w:rPr>
        <w:t>____________</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为确保贵方招标项目__</w:t>
      </w:r>
      <w:r>
        <w:rPr>
          <w:rFonts w:hint="eastAsia" w:ascii="宋体" w:hAnsi="宋体" w:eastAsia="宋体" w:cs="宋体"/>
          <w:bCs/>
          <w:color w:val="auto"/>
          <w:kern w:val="0"/>
          <w:szCs w:val="21"/>
          <w:highlight w:val="none"/>
          <w:u w:val="single"/>
        </w:rPr>
        <w:t>（项目名称，招标人填写</w:t>
      </w:r>
      <w:r>
        <w:rPr>
          <w:rFonts w:hint="eastAsia" w:ascii="宋体" w:hAnsi="宋体" w:eastAsia="宋体" w:cs="宋体"/>
          <w:bCs/>
          <w:color w:val="auto"/>
          <w:kern w:val="0"/>
          <w:szCs w:val="21"/>
          <w:highlight w:val="none"/>
        </w:rPr>
        <w:t>____）招投标工作的顺利进行，加强与贵方长期友好合作，我方作为投标人，将严格执行工程建设相关法律法规，并完全理解和接受招标文件所有内容，为此郑重承诺如下：</w:t>
      </w:r>
    </w:p>
    <w:p>
      <w:pPr>
        <w:adjustRightInd w:val="0"/>
        <w:snapToGrid w:val="0"/>
        <w:spacing w:line="3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1、经分析研究，结合我方实际情况，我单位愿以</w:t>
      </w:r>
      <w:bookmarkStart w:id="45" w:name="固定总价"/>
      <w:r>
        <w:rPr>
          <w:rFonts w:hint="eastAsia" w:ascii="宋体" w:hAnsi="宋体" w:eastAsia="宋体" w:cs="宋体"/>
          <w:color w:val="auto"/>
          <w:kern w:val="0"/>
          <w:szCs w:val="21"/>
          <w:highlight w:val="none"/>
          <w:u w:val="single"/>
        </w:rPr>
        <w:t xml:space="preserve">       </w:t>
      </w:r>
      <w:bookmarkEnd w:id="45"/>
      <w:bookmarkStart w:id="46" w:name="其他"/>
      <w:r>
        <w:rPr>
          <w:rFonts w:hint="eastAsia" w:ascii="宋体" w:hAnsi="宋体" w:eastAsia="宋体" w:cs="宋体"/>
          <w:color w:val="auto"/>
          <w:kern w:val="0"/>
          <w:szCs w:val="21"/>
          <w:highlight w:val="none"/>
        </w:rPr>
        <w:t>___</w:t>
      </w:r>
      <w:r>
        <w:rPr>
          <w:rFonts w:hint="eastAsia" w:ascii="宋体" w:hAnsi="宋体" w:eastAsia="宋体" w:cs="宋体"/>
          <w:bCs/>
          <w:color w:val="auto"/>
          <w:kern w:val="0"/>
          <w:sz w:val="22"/>
          <w:highlight w:val="none"/>
        </w:rPr>
        <w:t>（按照前附表规定报价方式填写）</w:t>
      </w:r>
      <w:r>
        <w:rPr>
          <w:rFonts w:hint="eastAsia" w:ascii="宋体" w:hAnsi="宋体" w:eastAsia="宋体" w:cs="宋体"/>
          <w:color w:val="auto"/>
          <w:kern w:val="0"/>
          <w:szCs w:val="21"/>
          <w:highlight w:val="none"/>
        </w:rPr>
        <w:t>_</w:t>
      </w:r>
      <w:bookmarkEnd w:id="46"/>
      <w:r>
        <w:rPr>
          <w:rFonts w:hint="eastAsia" w:ascii="宋体" w:hAnsi="宋体" w:eastAsia="宋体" w:cs="宋体"/>
          <w:color w:val="auto"/>
          <w:kern w:val="0"/>
          <w:szCs w:val="21"/>
          <w:highlight w:val="none"/>
        </w:rPr>
        <w:t>结算，按实际完成的、由业主审核签认的合格工程量经审计部门审计后进行计算。（投标人填写）</w:t>
      </w:r>
    </w:p>
    <w:p>
      <w:pPr>
        <w:adjustRightInd w:val="0"/>
        <w:snapToGrid w:val="0"/>
        <w:spacing w:line="34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color w:val="auto"/>
          <w:kern w:val="0"/>
          <w:szCs w:val="21"/>
          <w:highlight w:val="none"/>
        </w:rPr>
        <w:t>我方同意所递交投标文件，在投标须知前附表规定的投标有效期内保持有效。在此期间内我方投标有可能中标，我方将受此约束。如果在投标有效期内撤回投标或放弃中标资格，我方投标担保将均被没收；由此给贵方造成的损失超过我方投标担保金额的，贵方有权依法要求我方对超过部分进行赔偿。</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3、我方保证所提交的保证金是从我单位基本账户汇出，银行保函是由我单位基本账户开户银行所在网点或其上级银行机构出具，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bCs/>
          <w:color w:val="auto"/>
          <w:kern w:val="0"/>
          <w:szCs w:val="21"/>
          <w:highlight w:val="none"/>
        </w:rPr>
        <w:t>保证保险的保费是通过我单位基本账户支付，如不按上述原则提交投标担保，招标人有权取消我方的中标资格或单方面终止合同，因此造成的责任由我方承担。</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r>
        <w:rPr>
          <w:rFonts w:ascii="宋体" w:hAnsi="宋体" w:eastAsia="宋体" w:cs="宋体"/>
          <w:bCs/>
          <w:color w:val="auto"/>
          <w:kern w:val="0"/>
          <w:szCs w:val="21"/>
          <w:highlight w:val="none"/>
        </w:rPr>
        <w:t>一旦我方中标，将保证在中标通知书发出之日起30日内，与贵方按招标文件、中标通知书中的内容签定</w:t>
      </w:r>
      <w:r>
        <w:rPr>
          <w:rFonts w:hint="eastAsia" w:ascii="宋体" w:hAnsi="宋体" w:eastAsia="宋体" w:cs="宋体"/>
          <w:bCs/>
          <w:color w:val="auto"/>
          <w:kern w:val="0"/>
          <w:szCs w:val="21"/>
          <w:highlight w:val="none"/>
        </w:rPr>
        <w:t>设计</w:t>
      </w:r>
      <w:r>
        <w:rPr>
          <w:rFonts w:ascii="宋体" w:hAnsi="宋体" w:eastAsia="宋体" w:cs="宋体"/>
          <w:bCs/>
          <w:color w:val="auto"/>
          <w:kern w:val="0"/>
          <w:szCs w:val="21"/>
          <w:highlight w:val="none"/>
        </w:rPr>
        <w:t>合同，否则，视为我方自愿放弃中标资格。</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5、按规定完成设计合同中所约定如下全部内容（与招标文件中招标范围一致）：</w:t>
      </w:r>
      <w:r>
        <w:rPr>
          <w:rFonts w:hint="eastAsia" w:ascii="宋体" w:hAnsi="宋体" w:eastAsia="宋体" w:cs="宋体"/>
          <w:bCs/>
          <w:color w:val="auto"/>
          <w:kern w:val="0"/>
          <w:szCs w:val="21"/>
          <w:highlight w:val="none"/>
          <w:u w:val="single"/>
        </w:rPr>
        <w:t>（投标人填写）</w:t>
      </w:r>
      <w:r>
        <w:rPr>
          <w:rFonts w:hint="eastAsia" w:ascii="宋体" w:hAnsi="宋体" w:eastAsia="宋体" w:cs="宋体"/>
          <w:bCs/>
          <w:color w:val="auto"/>
          <w:kern w:val="0"/>
          <w:szCs w:val="21"/>
          <w:highlight w:val="none"/>
        </w:rPr>
        <w:t>。</w:t>
      </w:r>
    </w:p>
    <w:p>
      <w:pPr>
        <w:adjustRightInd w:val="0"/>
        <w:snapToGrid w:val="0"/>
        <w:spacing w:line="34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我方将配备与招标公告和投标文件共同约定相一致的项目组主要设计成员。详见《拟投入的项目负责人基本情况表》（投标附件6）和《拟投入的项目组专业负责人基本情况表》（投标附件7）。我方一旦中标，则在变更招标公告已规定的项目负责人或专业负责人时，须事先征得贵方批准同意。我方若因非正当理由变更招标公告已规定且我方投标文件已承诺的项目负责人或专业负责人，则招标人有权取消我方中标资格，或酌减设计费，或单方面终止合同，由此造成的违约责任由我方承担。</w:t>
      </w:r>
    </w:p>
    <w:p>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、招标文件规定的其他主要承诺事项：</w:t>
      </w:r>
    </w:p>
    <w:p>
      <w:pPr>
        <w:adjustRightInd w:val="0"/>
        <w:snapToGrid w:val="0"/>
        <w:spacing w:line="340" w:lineRule="exact"/>
        <w:ind w:firstLine="420" w:firstLineChars="200"/>
        <w:jc w:val="left"/>
        <w:rPr>
          <w:rFonts w:hint="default" w:ascii="宋体" w:hAnsi="宋体" w:eastAsia="宋体" w:cs="宋体"/>
          <w:bCs/>
          <w:color w:val="auto"/>
          <w:kern w:val="0"/>
          <w:szCs w:val="21"/>
          <w:highlight w:val="none"/>
          <w:lang w:val="en-US"/>
        </w:rPr>
      </w:pPr>
      <w:r>
        <w:rPr>
          <w:rFonts w:hint="eastAsia" w:ascii="宋体" w:hAnsi="宋体" w:eastAsia="宋体" w:cs="宋体"/>
          <w:bCs/>
          <w:color w:val="auto"/>
          <w:szCs w:val="21"/>
          <w:highlight w:val="none"/>
          <w:u w:val="single"/>
        </w:rPr>
        <w:t>_</w:t>
      </w:r>
      <w:r>
        <w:rPr>
          <w:rFonts w:hint="eastAsia" w:ascii="宋体" w:hAnsi="宋体" w:eastAsia="宋体" w:cs="宋体"/>
          <w:bCs/>
          <w:color w:val="auto"/>
          <w:szCs w:val="21"/>
          <w:highlight w:val="none"/>
          <w:u w:val="single"/>
          <w:lang w:val="en-US" w:eastAsia="zh-CN"/>
        </w:rPr>
        <w:t xml:space="preserve"> 如承诺</w:t>
      </w:r>
      <w:r>
        <w:rPr>
          <w:rFonts w:hint="eastAsia" w:ascii="宋体" w:hAnsi="宋体" w:eastAsia="宋体" w:cs="宋体"/>
          <w:color w:val="auto"/>
          <w:kern w:val="0"/>
          <w:szCs w:val="21"/>
          <w:highlight w:val="none"/>
          <w:lang w:eastAsia="zh-CN"/>
        </w:rPr>
        <w:t>将中标金额的</w:t>
      </w:r>
      <w:r>
        <w:rPr>
          <w:rFonts w:hint="eastAsia" w:ascii="宋体" w:hAnsi="宋体" w:eastAsia="宋体" w:cs="宋体"/>
          <w:color w:val="auto"/>
          <w:kern w:val="0"/>
          <w:szCs w:val="21"/>
          <w:highlight w:val="none"/>
          <w:u w:val="single"/>
          <w:lang w:val="en-US" w:eastAsia="zh-CN"/>
        </w:rPr>
        <w:t xml:space="preserve">   % </w:t>
      </w:r>
      <w:r>
        <w:rPr>
          <w:rFonts w:hint="eastAsia" w:ascii="宋体" w:hAnsi="宋体" w:eastAsia="宋体" w:cs="宋体"/>
          <w:color w:val="auto"/>
          <w:kern w:val="0"/>
          <w:szCs w:val="21"/>
          <w:highlight w:val="none"/>
          <w:lang w:eastAsia="zh-CN"/>
        </w:rPr>
        <w:t>依法分包给满足条件的中小企业</w:t>
      </w:r>
      <w:r>
        <w:rPr>
          <w:rFonts w:hint="eastAsia" w:ascii="宋体" w:hAnsi="宋体" w:eastAsia="宋体" w:cs="宋体"/>
          <w:color w:val="auto"/>
          <w:kern w:val="0"/>
          <w:szCs w:val="21"/>
          <w:highlight w:val="none"/>
          <w:lang w:val="en-US" w:eastAsia="zh-CN"/>
        </w:rPr>
        <w:t>等</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lang w:val="en-US" w:eastAsia="zh-CN"/>
        </w:rPr>
        <w:t xml:space="preserve">                  </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我方在本次投标中无任何弄虚作假、串通投标、围标等不法行为。否则，我方甘愿接受取消投标资格、取消中标资格、解除设计合同、记录不良行为、暂停参加建设工程投标资格等处理；我方行为涉嫌构成犯罪的，将依法接受刑事责任追究并移送公安机关查处。</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、如果违反本投标函中任何条款，我方愿意接受：</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(1)视作我方单方面违约，并按照合同规定向贵方支付违约金或解除合同；</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(2)履约评价评定为良好及以下；</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(3)本工程招标人今后可拒绝我方参与投标；</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(4)建设行政主管部门（或相关主管部门）处以的不良行为记录或行政处罚。</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、除非贵我双方另外达成协议并生效，贵方招标文件、中标通知书和我方投标文件，将成为约束双方的合同条款的有效组成部分。</w:t>
      </w:r>
    </w:p>
    <w:p>
      <w:pPr>
        <w:adjustRightInd w:val="0"/>
        <w:snapToGrid w:val="0"/>
        <w:spacing w:line="340" w:lineRule="exact"/>
        <w:ind w:firstLine="420" w:firstLineChars="200"/>
        <w:jc w:val="left"/>
        <w:rPr>
          <w:rFonts w:ascii="宋体" w:hAnsi="宋体" w:eastAsia="宋体" w:cs="宋体"/>
          <w:bCs/>
          <w:color w:val="auto"/>
          <w:kern w:val="0"/>
          <w:szCs w:val="21"/>
          <w:highlight w:val="none"/>
        </w:rPr>
      </w:pPr>
    </w:p>
    <w:p>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投标人（单位公章）：__________________________________________________</w:t>
      </w:r>
    </w:p>
    <w:p>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投标人法定代表人签章：</w:t>
      </w:r>
    </w:p>
    <w:p>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单位地址：___________________________________________________________</w:t>
      </w:r>
    </w:p>
    <w:p>
      <w:pPr>
        <w:adjustRightInd w:val="0"/>
        <w:snapToGrid w:val="0"/>
        <w:spacing w:line="340" w:lineRule="exac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邮政编码：__________________电话：______________ 传真：______________</w:t>
      </w:r>
    </w:p>
    <w:p>
      <w:pPr>
        <w:adjustRightInd w:val="0"/>
        <w:snapToGrid w:val="0"/>
        <w:spacing w:line="340" w:lineRule="exact"/>
        <w:ind w:firstLine="4200" w:firstLineChars="2000"/>
        <w:jc w:val="left"/>
        <w:rPr>
          <w:rFonts w:hAnsi="宋体"/>
          <w:bCs/>
          <w:color w:val="auto"/>
          <w:kern w:val="0"/>
          <w:szCs w:val="21"/>
          <w:highlight w:val="none"/>
        </w:rPr>
      </w:pPr>
      <w:r>
        <w:rPr>
          <w:rFonts w:hint="eastAsia" w:ascii="宋体" w:hAnsi="宋体" w:eastAsia="宋体" w:cs="宋体"/>
          <w:bCs/>
          <w:color w:val="auto"/>
          <w:kern w:val="0"/>
          <w:szCs w:val="21"/>
          <w:highlight w:val="none"/>
        </w:rPr>
        <w:t>年   月   日</w:t>
      </w:r>
      <w:r>
        <w:rPr>
          <w:rFonts w:hint="eastAsia" w:ascii="宋体" w:hAnsi="宋体" w:eastAsia="宋体" w:cs="宋体"/>
          <w:bCs/>
          <w:color w:val="auto"/>
          <w:kern w:val="0"/>
          <w:szCs w:val="21"/>
          <w:highlight w:val="none"/>
        </w:rPr>
        <w:br w:type="page"/>
      </w:r>
    </w:p>
    <w:p>
      <w:pPr>
        <w:adjustRightInd w:val="0"/>
        <w:snapToGrid w:val="0"/>
        <w:spacing w:line="360" w:lineRule="auto"/>
        <w:jc w:val="left"/>
        <w:outlineLvl w:val="2"/>
        <w:rPr>
          <w:rFonts w:ascii="宋体" w:hAnsi="宋体" w:eastAsia="宋体" w:cs="宋体"/>
          <w:b/>
          <w:color w:val="auto"/>
          <w:kern w:val="0"/>
          <w:highlight w:val="none"/>
        </w:rPr>
      </w:pPr>
      <w:bookmarkStart w:id="47" w:name="_Toc15383"/>
      <w:r>
        <w:rPr>
          <w:rFonts w:hint="eastAsia" w:ascii="宋体" w:hAnsi="宋体" w:eastAsia="宋体" w:cs="宋体"/>
          <w:b/>
          <w:color w:val="auto"/>
          <w:kern w:val="0"/>
          <w:highlight w:val="none"/>
        </w:rPr>
        <w:t>投标附件2.投标人基本情况表</w:t>
      </w:r>
      <w:bookmarkEnd w:id="47"/>
    </w:p>
    <w:p>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投标人基本情况表</w:t>
      </w:r>
    </w:p>
    <w:tbl>
      <w:tblPr>
        <w:tblStyle w:val="79"/>
        <w:tblW w:w="9854"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518"/>
        <w:gridCol w:w="2980"/>
        <w:gridCol w:w="2550"/>
        <w:gridCol w:w="180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6"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企业名称</w:t>
            </w:r>
          </w:p>
        </w:tc>
        <w:tc>
          <w:tcPr>
            <w:tcW w:w="2980" w:type="dxa"/>
            <w:tcBorders>
              <w:top w:val="single" w:color="auto" w:sz="6"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550" w:type="dxa"/>
            <w:tcBorders>
              <w:top w:val="single" w:color="auto" w:sz="6"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企业</w:t>
            </w:r>
            <w:r>
              <w:rPr>
                <w:rFonts w:hint="eastAsia" w:ascii="宋体" w:hAnsi="宋体" w:eastAsia="宋体" w:cs="宋体"/>
                <w:bCs/>
                <w:color w:val="auto"/>
                <w:kern w:val="0"/>
                <w:highlight w:val="none"/>
              </w:rPr>
              <w:t>注册</w:t>
            </w:r>
            <w:r>
              <w:rPr>
                <w:rFonts w:hint="eastAsia" w:ascii="宋体" w:hAnsi="宋体" w:eastAsia="宋体" w:cs="宋体"/>
                <w:color w:val="auto"/>
                <w:kern w:val="0"/>
                <w:highlight w:val="none"/>
              </w:rPr>
              <w:t>资本</w:t>
            </w:r>
          </w:p>
        </w:tc>
        <w:tc>
          <w:tcPr>
            <w:tcW w:w="1806" w:type="dxa"/>
            <w:tcBorders>
              <w:top w:val="single" w:color="auto" w:sz="6"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ind w:firstLine="840" w:firstLineChars="400"/>
              <w:jc w:val="left"/>
              <w:rPr>
                <w:rFonts w:ascii="宋体" w:hAnsi="宋体" w:eastAsia="宋体" w:cs="宋体"/>
                <w:color w:val="auto"/>
                <w:kern w:val="0"/>
                <w:highlight w:val="none"/>
              </w:rPr>
            </w:pPr>
            <w:r>
              <w:rPr>
                <w:rFonts w:hint="eastAsia" w:ascii="宋体" w:hAnsi="宋体" w:eastAsia="宋体" w:cs="宋体"/>
                <w:color w:val="auto"/>
                <w:kern w:val="0"/>
                <w:highlight w:val="none"/>
              </w:rPr>
              <w:t>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企业地址</w:t>
            </w:r>
          </w:p>
        </w:tc>
        <w:tc>
          <w:tcPr>
            <w:tcW w:w="7336" w:type="dxa"/>
            <w:gridSpan w:val="3"/>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企业法定代表人姓名</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企业技术负责人姓名</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符合本工程设计资质类别及等级</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取得符合本工程要求的设计资质时间</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符合本工程要求的设计资质，是否已在建设主管部门信息管理系统备案</w:t>
            </w:r>
          </w:p>
        </w:tc>
        <w:tc>
          <w:tcPr>
            <w:tcW w:w="298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550"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在建设主管部门信息管理系统备案总人数</w:t>
            </w:r>
          </w:p>
        </w:tc>
        <w:tc>
          <w:tcPr>
            <w:tcW w:w="180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6"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企业质量管理体系认证证书名称、认证单位及取得时间</w:t>
            </w:r>
          </w:p>
        </w:tc>
        <w:tc>
          <w:tcPr>
            <w:tcW w:w="7336" w:type="dxa"/>
            <w:gridSpan w:val="3"/>
            <w:tcBorders>
              <w:top w:val="single" w:color="auto" w:sz="2" w:space="0"/>
              <w:left w:val="single" w:color="auto" w:sz="2" w:space="0"/>
              <w:bottom w:val="single" w:color="auto" w:sz="6"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518" w:type="dxa"/>
            <w:tcBorders>
              <w:top w:val="single" w:color="auto" w:sz="2" w:space="0"/>
              <w:left w:val="single" w:color="auto" w:sz="6" w:space="0"/>
              <w:bottom w:val="single" w:color="auto" w:sz="6"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备注</w:t>
            </w:r>
          </w:p>
        </w:tc>
        <w:tc>
          <w:tcPr>
            <w:tcW w:w="7336" w:type="dxa"/>
            <w:gridSpan w:val="3"/>
            <w:tcBorders>
              <w:top w:val="single" w:color="auto" w:sz="2" w:space="0"/>
              <w:left w:val="single" w:color="auto" w:sz="2" w:space="0"/>
              <w:bottom w:val="single" w:color="auto" w:sz="6"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bl>
    <w:p>
      <w:pPr>
        <w:rPr>
          <w:rFonts w:ascii="宋体" w:hAnsi="宋体" w:eastAsia="宋体" w:cs="宋体"/>
          <w:color w:val="auto"/>
          <w:highlight w:val="none"/>
        </w:rPr>
      </w:pPr>
    </w:p>
    <w:p>
      <w:pPr>
        <w:adjustRightInd w:val="0"/>
        <w:snapToGrid w:val="0"/>
        <w:spacing w:line="360" w:lineRule="auto"/>
        <w:jc w:val="left"/>
        <w:rPr>
          <w:rFonts w:ascii="宋体" w:hAnsi="宋体"/>
          <w:color w:val="auto"/>
          <w:kern w:val="0"/>
          <w:highlight w:val="none"/>
        </w:rPr>
      </w:pPr>
      <w:r>
        <w:rPr>
          <w:rFonts w:hint="eastAsia" w:ascii="楷体_GB2312" w:hAnsi="楷体_GB2312" w:eastAsia="楷体_GB2312" w:cs="楷体_GB2312"/>
          <w:color w:val="auto"/>
          <w:kern w:val="0"/>
          <w:highlight w:val="none"/>
        </w:rPr>
        <w:t>注：本表须与《资信要素一览表》配套使用。</w:t>
      </w:r>
      <w:r>
        <w:rPr>
          <w:rFonts w:hint="eastAsia" w:ascii="宋体" w:hAnsi="宋体" w:eastAsia="宋体" w:cs="宋体"/>
          <w:color w:val="auto"/>
          <w:kern w:val="0"/>
          <w:highlight w:val="none"/>
        </w:rPr>
        <w:br w:type="page"/>
      </w:r>
    </w:p>
    <w:p>
      <w:pPr>
        <w:adjustRightInd w:val="0"/>
        <w:snapToGrid w:val="0"/>
        <w:spacing w:line="360" w:lineRule="auto"/>
        <w:jc w:val="left"/>
        <w:outlineLvl w:val="2"/>
        <w:rPr>
          <w:rFonts w:ascii="宋体" w:hAnsi="宋体" w:eastAsia="宋体" w:cs="宋体"/>
          <w:b/>
          <w:color w:val="auto"/>
          <w:kern w:val="0"/>
          <w:highlight w:val="none"/>
        </w:rPr>
      </w:pPr>
      <w:bookmarkStart w:id="48" w:name="_Toc8320"/>
      <w:r>
        <w:rPr>
          <w:rFonts w:hint="eastAsia" w:ascii="宋体" w:hAnsi="宋体" w:eastAsia="宋体" w:cs="宋体"/>
          <w:b/>
          <w:color w:val="auto"/>
          <w:kern w:val="0"/>
          <w:highlight w:val="none"/>
        </w:rPr>
        <w:t>投标附件3.投标人工程业绩表</w:t>
      </w:r>
      <w:bookmarkEnd w:id="48"/>
    </w:p>
    <w:p>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投标人工程业绩表</w:t>
      </w:r>
    </w:p>
    <w:tbl>
      <w:tblPr>
        <w:tblStyle w:val="79"/>
        <w:tblW w:w="9853"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502"/>
        <w:gridCol w:w="1795"/>
        <w:gridCol w:w="2243"/>
        <w:gridCol w:w="1173"/>
        <w:gridCol w:w="1294"/>
        <w:gridCol w:w="184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6"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企业名称</w:t>
            </w:r>
          </w:p>
        </w:tc>
        <w:tc>
          <w:tcPr>
            <w:tcW w:w="8351" w:type="dxa"/>
            <w:gridSpan w:val="5"/>
            <w:tcBorders>
              <w:top w:val="single" w:color="auto" w:sz="6"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53" w:type="dxa"/>
            <w:gridSpan w:val="6"/>
            <w:tcBorders>
              <w:top w:val="single" w:color="auto" w:sz="2" w:space="0"/>
              <w:left w:val="single" w:color="auto" w:sz="6"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bCs/>
                <w:color w:val="auto"/>
                <w:kern w:val="0"/>
                <w:highlight w:val="none"/>
              </w:rPr>
              <w:t>企业近3年已签订同类工程合同（设计费均为50万元以上）的项目数量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bottom w:val="single" w:color="auto" w:sz="2"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本年度</w:t>
            </w:r>
          </w:p>
        </w:tc>
        <w:tc>
          <w:tcPr>
            <w:tcW w:w="1795"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p>
        </w:tc>
        <w:tc>
          <w:tcPr>
            <w:tcW w:w="2243"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前1年度</w:t>
            </w:r>
          </w:p>
        </w:tc>
        <w:tc>
          <w:tcPr>
            <w:tcW w:w="1173"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p>
        </w:tc>
        <w:tc>
          <w:tcPr>
            <w:tcW w:w="1294"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前2年度</w:t>
            </w: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853" w:type="dxa"/>
            <w:gridSpan w:val="6"/>
            <w:tcBorders>
              <w:top w:val="single" w:color="auto" w:sz="2" w:space="0"/>
              <w:left w:val="single" w:color="auto" w:sz="6"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企业近6年荣获市政类“优秀工程设计奖”数量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获奖年度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国家级</w:t>
            </w: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建设部级或中勘设协级</w:t>
            </w: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省厅级或省勘设协级</w:t>
            </w: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地市级或市勘设协级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本年度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前1年度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前2年度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前3年度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前4年度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前5年度</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top w:val="single" w:color="auto" w:sz="2" w:space="0"/>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合计</w:t>
            </w:r>
          </w:p>
        </w:tc>
        <w:tc>
          <w:tcPr>
            <w:tcW w:w="1795"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243" w:type="dxa"/>
            <w:tcBorders>
              <w:top w:val="single" w:color="auto" w:sz="2" w:space="0"/>
              <w:left w:val="single" w:color="auto" w:sz="2" w:space="0"/>
              <w:bottom w:val="single" w:color="auto" w:sz="2" w:space="0"/>
              <w:right w:val="single" w:color="auto" w:sz="2"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2467" w:type="dxa"/>
            <w:gridSpan w:val="2"/>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c>
          <w:tcPr>
            <w:tcW w:w="1846" w:type="dxa"/>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502" w:type="dxa"/>
            <w:tcBorders>
              <w:left w:val="single" w:color="auto" w:sz="6" w:space="0"/>
              <w:right w:val="single" w:color="auto" w:sz="2" w:space="0"/>
            </w:tcBorders>
            <w:shd w:val="clear" w:color="auto" w:fill="auto"/>
            <w:vAlign w:val="center"/>
          </w:tcPr>
          <w:p>
            <w:pPr>
              <w:adjustRightInd w:val="0"/>
              <w:snapToGrid w:val="0"/>
              <w:spacing w:line="360" w:lineRule="auto"/>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备注</w:t>
            </w:r>
          </w:p>
        </w:tc>
        <w:tc>
          <w:tcPr>
            <w:tcW w:w="8351" w:type="dxa"/>
            <w:gridSpan w:val="5"/>
            <w:tcBorders>
              <w:top w:val="single" w:color="auto" w:sz="2" w:space="0"/>
              <w:left w:val="single" w:color="auto" w:sz="2" w:space="0"/>
              <w:bottom w:val="single" w:color="auto" w:sz="2" w:space="0"/>
              <w:right w:val="single" w:color="auto" w:sz="6" w:space="0"/>
            </w:tcBorders>
            <w:shd w:val="clear" w:color="auto" w:fill="auto"/>
            <w:vAlign w:val="center"/>
          </w:tcPr>
          <w:p>
            <w:pPr>
              <w:adjustRightInd w:val="0"/>
              <w:snapToGrid w:val="0"/>
              <w:spacing w:line="360" w:lineRule="auto"/>
              <w:jc w:val="left"/>
              <w:rPr>
                <w:rFonts w:ascii="宋体" w:hAnsi="宋体" w:eastAsia="宋体" w:cs="宋体"/>
                <w:bCs/>
                <w:color w:val="auto"/>
                <w:kern w:val="0"/>
                <w:highlight w:val="none"/>
              </w:rPr>
            </w:pPr>
          </w:p>
        </w:tc>
      </w:tr>
    </w:tbl>
    <w:p>
      <w:pPr>
        <w:spacing w:line="360" w:lineRule="auto"/>
        <w:jc w:val="left"/>
        <w:rPr>
          <w:rFonts w:ascii="宋体" w:hAnsi="宋体" w:eastAsia="宋体" w:cs="宋体"/>
          <w:color w:val="auto"/>
          <w:highlight w:val="none"/>
        </w:rPr>
      </w:pPr>
    </w:p>
    <w:p>
      <w:pPr>
        <w:adjustRightInd w:val="0"/>
        <w:snapToGrid w:val="0"/>
        <w:spacing w:line="360" w:lineRule="auto"/>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注：1.</w:t>
      </w:r>
      <w:r>
        <w:rPr>
          <w:rFonts w:hint="eastAsia" w:ascii="楷体_GB2312" w:hAnsi="楷体_GB2312" w:eastAsia="楷体_GB2312" w:cs="楷体_GB2312"/>
          <w:color w:val="auto"/>
          <w:highlight w:val="none"/>
        </w:rPr>
        <w:t xml:space="preserve"> </w:t>
      </w:r>
      <w:r>
        <w:rPr>
          <w:rFonts w:hint="eastAsia" w:ascii="楷体_GB2312" w:hAnsi="楷体_GB2312" w:eastAsia="楷体_GB2312" w:cs="楷体_GB2312"/>
          <w:color w:val="auto"/>
          <w:kern w:val="0"/>
          <w:highlight w:val="none"/>
        </w:rPr>
        <w:t>同一个项目，只取其最高奖项记奖一次，可为联合获奖。</w:t>
      </w:r>
    </w:p>
    <w:p>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2.除如实填写本表外，尚应提交同类工程设计合同原件扫描件和《投标人近3年内签订同类工程合同的项目一览表》（投标附件4）。</w:t>
      </w:r>
    </w:p>
    <w:p>
      <w:pPr>
        <w:adjustRightInd w:val="0"/>
        <w:snapToGrid w:val="0"/>
        <w:spacing w:line="360" w:lineRule="auto"/>
        <w:ind w:firstLine="420" w:firstLineChars="200"/>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3.除如实填写本表外，尚应提交获奖项目的获奖证书原件扫描件，以及《投标人近6年荣获“优秀工程设计奖”一览表》（投标附件5）。</w:t>
      </w:r>
    </w:p>
    <w:p>
      <w:pPr>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br w:type="page"/>
      </w:r>
    </w:p>
    <w:p>
      <w:pPr>
        <w:adjustRightInd w:val="0"/>
        <w:snapToGrid w:val="0"/>
        <w:spacing w:line="360" w:lineRule="auto"/>
        <w:jc w:val="left"/>
        <w:outlineLvl w:val="2"/>
        <w:rPr>
          <w:rFonts w:ascii="宋体" w:hAnsi="宋体" w:eastAsia="宋体" w:cs="宋体"/>
          <w:b/>
          <w:color w:val="auto"/>
          <w:kern w:val="0"/>
          <w:highlight w:val="none"/>
        </w:rPr>
      </w:pPr>
      <w:bookmarkStart w:id="49" w:name="_Toc24889"/>
      <w:r>
        <w:rPr>
          <w:rFonts w:hint="eastAsia" w:ascii="宋体" w:hAnsi="宋体" w:eastAsia="宋体" w:cs="宋体"/>
          <w:b/>
          <w:color w:val="auto"/>
          <w:kern w:val="0"/>
          <w:highlight w:val="none"/>
        </w:rPr>
        <w:t>投标附件4.投标人近3年内签订同类工程合同的项目一览表</w:t>
      </w:r>
      <w:bookmarkEnd w:id="49"/>
    </w:p>
    <w:p>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投标人近3年内签订同类工程合同的项目一览表</w:t>
      </w:r>
    </w:p>
    <w:tbl>
      <w:tblPr>
        <w:tblStyle w:val="79"/>
        <w:tblW w:w="9802" w:type="dxa"/>
        <w:jc w:val="center"/>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510"/>
        <w:gridCol w:w="2268"/>
        <w:gridCol w:w="2237"/>
        <w:gridCol w:w="2672"/>
        <w:gridCol w:w="1001"/>
        <w:gridCol w:w="1114"/>
      </w:tblGrid>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tblHeader/>
          <w:jc w:val="center"/>
        </w:trPr>
        <w:tc>
          <w:tcPr>
            <w:tcW w:w="510"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26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 程 项 目 名 称</w:t>
            </w:r>
          </w:p>
        </w:tc>
        <w:tc>
          <w:tcPr>
            <w:tcW w:w="2237"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工程规模与主要特征</w:t>
            </w:r>
          </w:p>
        </w:tc>
        <w:tc>
          <w:tcPr>
            <w:tcW w:w="2672"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设计费合同额（万元。均应在50万元以上）</w:t>
            </w:r>
          </w:p>
        </w:tc>
        <w:tc>
          <w:tcPr>
            <w:tcW w:w="1001" w:type="dxa"/>
            <w:shd w:val="clear" w:color="auto" w:fill="auto"/>
            <w:tcMar>
              <w:top w:w="0" w:type="dxa"/>
              <w:left w:w="28" w:type="dxa"/>
              <w:bottom w:w="0" w:type="dxa"/>
              <w:right w:w="28"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设计开始设计时间</w:t>
            </w:r>
          </w:p>
        </w:tc>
        <w:tc>
          <w:tcPr>
            <w:tcW w:w="1114"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设计结束时间日期</w:t>
            </w: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54" w:hRule="atLeast"/>
          <w:jc w:val="center"/>
        </w:trPr>
        <w:tc>
          <w:tcPr>
            <w:tcW w:w="510"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2268"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223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2672"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bl>
    <w:p>
      <w:pPr>
        <w:adjustRightInd w:val="0"/>
        <w:snapToGrid w:val="0"/>
        <w:spacing w:line="360" w:lineRule="auto"/>
        <w:jc w:val="left"/>
        <w:rPr>
          <w:rFonts w:ascii="宋体" w:hAnsi="宋体" w:eastAsia="宋体" w:cs="宋体"/>
          <w:color w:val="auto"/>
          <w:kern w:val="0"/>
          <w:highlight w:val="none"/>
        </w:rPr>
      </w:pPr>
    </w:p>
    <w:p>
      <w:pPr>
        <w:adjustRightInd w:val="0"/>
        <w:snapToGrid w:val="0"/>
        <w:spacing w:line="360" w:lineRule="auto"/>
        <w:jc w:val="left"/>
        <w:rPr>
          <w:rFonts w:ascii="宋体" w:hAnsi="宋体"/>
          <w:color w:val="auto"/>
          <w:kern w:val="0"/>
          <w:highlight w:val="none"/>
        </w:rPr>
      </w:pPr>
      <w:r>
        <w:rPr>
          <w:rFonts w:hint="eastAsia" w:ascii="楷体_GB2312" w:hAnsi="楷体_GB2312" w:eastAsia="楷体_GB2312" w:cs="楷体_GB2312"/>
          <w:color w:val="auto"/>
          <w:kern w:val="0"/>
          <w:highlight w:val="none"/>
        </w:rPr>
        <w:t>注：本表须与《投标人工程业绩表》（投标附件3）配套使用。</w:t>
      </w:r>
      <w:r>
        <w:rPr>
          <w:rFonts w:ascii="宋体" w:hAnsi="宋体"/>
          <w:color w:val="auto"/>
          <w:kern w:val="0"/>
          <w:highlight w:val="none"/>
        </w:rPr>
        <w:br w:type="page"/>
      </w:r>
    </w:p>
    <w:p>
      <w:pPr>
        <w:adjustRightInd w:val="0"/>
        <w:snapToGrid w:val="0"/>
        <w:spacing w:line="360" w:lineRule="auto"/>
        <w:jc w:val="left"/>
        <w:outlineLvl w:val="2"/>
        <w:rPr>
          <w:rFonts w:ascii="宋体" w:hAnsi="宋体" w:eastAsia="宋体" w:cs="宋体"/>
          <w:b/>
          <w:color w:val="auto"/>
          <w:kern w:val="0"/>
          <w:highlight w:val="none"/>
        </w:rPr>
      </w:pPr>
      <w:bookmarkStart w:id="50" w:name="_Toc14180"/>
      <w:r>
        <w:rPr>
          <w:rFonts w:hint="eastAsia" w:ascii="宋体" w:hAnsi="宋体" w:eastAsia="宋体" w:cs="宋体"/>
          <w:b/>
          <w:color w:val="auto"/>
          <w:kern w:val="0"/>
          <w:highlight w:val="none"/>
        </w:rPr>
        <w:t>投标附件5.投标人近6年荣获“优秀工程设计奖”一览表</w:t>
      </w:r>
      <w:bookmarkEnd w:id="50"/>
    </w:p>
    <w:p>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投标人近6年荣获“优秀工程设计奖”一览表</w:t>
      </w:r>
    </w:p>
    <w:tbl>
      <w:tblPr>
        <w:tblStyle w:val="79"/>
        <w:tblW w:w="9803" w:type="dxa"/>
        <w:jc w:val="center"/>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558"/>
        <w:gridCol w:w="4346"/>
        <w:gridCol w:w="1447"/>
        <w:gridCol w:w="1337"/>
        <w:gridCol w:w="1001"/>
        <w:gridCol w:w="1114"/>
      </w:tblGrid>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558"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346"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获奖工程名称</w:t>
            </w:r>
          </w:p>
        </w:tc>
        <w:tc>
          <w:tcPr>
            <w:tcW w:w="1447"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获奖工程</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1337" w:type="dxa"/>
            <w:shd w:val="clear" w:color="auto" w:fill="auto"/>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颁奖单位</w:t>
            </w:r>
          </w:p>
        </w:tc>
        <w:tc>
          <w:tcPr>
            <w:tcW w:w="1001" w:type="dxa"/>
            <w:shd w:val="clear" w:color="auto" w:fill="auto"/>
            <w:tcMar>
              <w:top w:w="0" w:type="dxa"/>
              <w:left w:w="28" w:type="dxa"/>
              <w:bottom w:w="0" w:type="dxa"/>
              <w:right w:w="28"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获奖时间</w:t>
            </w:r>
          </w:p>
        </w:tc>
        <w:tc>
          <w:tcPr>
            <w:tcW w:w="1114"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获奖公告查询网址</w:t>
            </w: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r>
        <w:tblPrEx>
          <w:tblBorders>
            <w:top w:val="single" w:color="auto" w:sz="6" w:space="0"/>
            <w:left w:val="single" w:color="auto" w:sz="6" w:space="0"/>
            <w:bottom w:val="single" w:color="auto" w:sz="2"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58" w:type="dxa"/>
            <w:shd w:val="clear" w:color="auto" w:fill="auto"/>
            <w:vAlign w:val="center"/>
          </w:tcPr>
          <w:p>
            <w:pPr>
              <w:adjustRightInd w:val="0"/>
              <w:snapToGrid w:val="0"/>
              <w:spacing w:line="360" w:lineRule="auto"/>
              <w:ind w:right="31" w:rightChars="15"/>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4346"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b/>
                <w:color w:val="auto"/>
                <w:kern w:val="0"/>
                <w:szCs w:val="21"/>
                <w:highlight w:val="none"/>
              </w:rPr>
            </w:pPr>
          </w:p>
        </w:tc>
        <w:tc>
          <w:tcPr>
            <w:tcW w:w="1447" w:type="dxa"/>
            <w:shd w:val="clear" w:color="auto" w:fill="auto"/>
            <w:tcMar>
              <w:top w:w="0" w:type="dxa"/>
              <w:left w:w="57" w:type="dxa"/>
              <w:bottom w:w="0" w:type="dxa"/>
              <w:right w:w="57" w:type="dxa"/>
            </w:tcMar>
            <w:vAlign w:val="center"/>
          </w:tcPr>
          <w:p>
            <w:pPr>
              <w:adjustRightInd w:val="0"/>
              <w:snapToGrid w:val="0"/>
              <w:spacing w:line="360" w:lineRule="auto"/>
              <w:ind w:left="31" w:leftChars="15" w:right="31" w:rightChars="15"/>
              <w:jc w:val="center"/>
              <w:rPr>
                <w:rFonts w:ascii="宋体" w:hAnsi="宋体" w:eastAsia="宋体" w:cs="宋体"/>
                <w:color w:val="auto"/>
                <w:kern w:val="0"/>
                <w:szCs w:val="21"/>
                <w:highlight w:val="none"/>
              </w:rPr>
            </w:pPr>
          </w:p>
        </w:tc>
        <w:tc>
          <w:tcPr>
            <w:tcW w:w="1337"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c>
          <w:tcPr>
            <w:tcW w:w="1001" w:type="dxa"/>
            <w:shd w:val="clear" w:color="auto" w:fill="auto"/>
            <w:tcMar>
              <w:top w:w="0" w:type="dxa"/>
              <w:left w:w="57" w:type="dxa"/>
              <w:bottom w:w="0" w:type="dxa"/>
              <w:right w:w="57" w:type="dxa"/>
            </w:tcMar>
            <w:vAlign w:val="center"/>
          </w:tcPr>
          <w:p>
            <w:pPr>
              <w:adjustRightInd w:val="0"/>
              <w:snapToGrid w:val="0"/>
              <w:spacing w:line="360" w:lineRule="auto"/>
              <w:jc w:val="center"/>
              <w:rPr>
                <w:rFonts w:ascii="宋体" w:hAnsi="宋体" w:eastAsia="宋体" w:cs="宋体"/>
                <w:color w:val="auto"/>
                <w:kern w:val="0"/>
                <w:szCs w:val="21"/>
                <w:highlight w:val="none"/>
              </w:rPr>
            </w:pPr>
          </w:p>
        </w:tc>
        <w:tc>
          <w:tcPr>
            <w:tcW w:w="1114" w:type="dxa"/>
            <w:shd w:val="clear" w:color="auto" w:fill="auto"/>
            <w:vAlign w:val="center"/>
          </w:tcPr>
          <w:p>
            <w:pPr>
              <w:adjustRightInd w:val="0"/>
              <w:snapToGrid w:val="0"/>
              <w:spacing w:line="360" w:lineRule="auto"/>
              <w:jc w:val="center"/>
              <w:rPr>
                <w:rFonts w:ascii="宋体" w:hAnsi="宋体" w:eastAsia="宋体" w:cs="宋体"/>
                <w:b/>
                <w:color w:val="auto"/>
                <w:kern w:val="0"/>
                <w:szCs w:val="21"/>
                <w:highlight w:val="none"/>
              </w:rPr>
            </w:pPr>
          </w:p>
        </w:tc>
      </w:tr>
    </w:tbl>
    <w:p>
      <w:pPr>
        <w:adjustRightInd w:val="0"/>
        <w:snapToGrid w:val="0"/>
        <w:spacing w:line="360" w:lineRule="auto"/>
        <w:jc w:val="left"/>
        <w:rPr>
          <w:rFonts w:ascii="宋体" w:hAnsi="宋体" w:eastAsia="宋体" w:cs="宋体"/>
          <w:color w:val="auto"/>
          <w:kern w:val="0"/>
          <w:highlight w:val="none"/>
        </w:rPr>
      </w:pPr>
    </w:p>
    <w:p>
      <w:pPr>
        <w:adjustRightInd w:val="0"/>
        <w:snapToGrid w:val="0"/>
        <w:spacing w:line="360" w:lineRule="auto"/>
        <w:jc w:val="left"/>
        <w:rPr>
          <w:rFonts w:ascii="宋体" w:hAnsi="宋体"/>
          <w:color w:val="auto"/>
          <w:kern w:val="0"/>
          <w:highlight w:val="none"/>
        </w:rPr>
      </w:pPr>
      <w:r>
        <w:rPr>
          <w:rFonts w:hint="eastAsia" w:ascii="楷体_GB2312" w:hAnsi="楷体_GB2312" w:eastAsia="楷体_GB2312" w:cs="楷体_GB2312"/>
          <w:color w:val="auto"/>
          <w:kern w:val="0"/>
          <w:highlight w:val="none"/>
        </w:rPr>
        <w:t>注：本表须与《投标人工程业绩表》（投标附件3）配套使用。</w:t>
      </w:r>
      <w:r>
        <w:rPr>
          <w:rFonts w:ascii="宋体" w:hAnsi="宋体"/>
          <w:color w:val="auto"/>
          <w:kern w:val="0"/>
          <w:highlight w:val="none"/>
        </w:rPr>
        <w:br w:type="page"/>
      </w:r>
    </w:p>
    <w:p>
      <w:pPr>
        <w:adjustRightInd w:val="0"/>
        <w:snapToGrid w:val="0"/>
        <w:spacing w:line="360" w:lineRule="auto"/>
        <w:jc w:val="left"/>
        <w:outlineLvl w:val="2"/>
        <w:rPr>
          <w:rFonts w:ascii="宋体" w:hAnsi="宋体" w:eastAsia="宋体" w:cs="宋体"/>
          <w:b/>
          <w:color w:val="auto"/>
          <w:kern w:val="0"/>
          <w:highlight w:val="none"/>
        </w:rPr>
      </w:pPr>
      <w:bookmarkStart w:id="51" w:name="_Toc1357"/>
      <w:r>
        <w:rPr>
          <w:rFonts w:hint="eastAsia" w:ascii="宋体" w:hAnsi="宋体" w:eastAsia="宋体" w:cs="宋体"/>
          <w:b/>
          <w:color w:val="auto"/>
          <w:kern w:val="0"/>
          <w:highlight w:val="none"/>
        </w:rPr>
        <w:t>投标附件6.拟投入的项目负责人基本情况表</w:t>
      </w:r>
      <w:bookmarkEnd w:id="51"/>
    </w:p>
    <w:p>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拟投入的项目负责人基本情况表</w:t>
      </w:r>
    </w:p>
    <w:tbl>
      <w:tblPr>
        <w:tblStyle w:val="7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872"/>
        <w:gridCol w:w="986"/>
        <w:gridCol w:w="1774"/>
        <w:gridCol w:w="1039"/>
        <w:gridCol w:w="341"/>
        <w:gridCol w:w="57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姓名</w:t>
            </w:r>
          </w:p>
        </w:tc>
        <w:tc>
          <w:tcPr>
            <w:tcW w:w="287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98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性别</w:t>
            </w:r>
          </w:p>
        </w:tc>
        <w:tc>
          <w:tcPr>
            <w:tcW w:w="1774"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380"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出生年月</w:t>
            </w:r>
          </w:p>
        </w:tc>
        <w:tc>
          <w:tcPr>
            <w:tcW w:w="1773" w:type="dxa"/>
            <w:gridSpan w:val="2"/>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学历</w:t>
            </w:r>
          </w:p>
        </w:tc>
        <w:tc>
          <w:tcPr>
            <w:tcW w:w="287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98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学位</w:t>
            </w:r>
          </w:p>
        </w:tc>
        <w:tc>
          <w:tcPr>
            <w:tcW w:w="1774"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380"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所学专业</w:t>
            </w:r>
          </w:p>
        </w:tc>
        <w:tc>
          <w:tcPr>
            <w:tcW w:w="1773" w:type="dxa"/>
            <w:gridSpan w:val="2"/>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职务</w:t>
            </w:r>
          </w:p>
        </w:tc>
        <w:tc>
          <w:tcPr>
            <w:tcW w:w="3858"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774"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何专业何职称</w:t>
            </w:r>
          </w:p>
        </w:tc>
        <w:tc>
          <w:tcPr>
            <w:tcW w:w="3153" w:type="dxa"/>
            <w:gridSpan w:val="4"/>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执业注册资格</w:t>
            </w:r>
          </w:p>
        </w:tc>
        <w:tc>
          <w:tcPr>
            <w:tcW w:w="3858"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p>
        </w:tc>
        <w:tc>
          <w:tcPr>
            <w:tcW w:w="1774"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执业注册资格证书编号</w:t>
            </w:r>
          </w:p>
        </w:tc>
        <w:tc>
          <w:tcPr>
            <w:tcW w:w="3153" w:type="dxa"/>
            <w:gridSpan w:val="4"/>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5" w:type="dxa"/>
            <w:gridSpan w:val="8"/>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项目负责人近5年已主持完成设计的同类工程情况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287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工程名称</w:t>
            </w:r>
          </w:p>
        </w:tc>
        <w:tc>
          <w:tcPr>
            <w:tcW w:w="2760"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建设单位</w:t>
            </w:r>
          </w:p>
        </w:tc>
        <w:tc>
          <w:tcPr>
            <w:tcW w:w="103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设计时间</w:t>
            </w:r>
          </w:p>
        </w:tc>
        <w:tc>
          <w:tcPr>
            <w:tcW w:w="920" w:type="dxa"/>
            <w:gridSpan w:val="2"/>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建设规模</w:t>
            </w:r>
          </w:p>
        </w:tc>
        <w:tc>
          <w:tcPr>
            <w:tcW w:w="1194"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建成情况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287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287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287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287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287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shd w:val="clear" w:color="auto" w:fill="auto"/>
            <w:vAlign w:val="center"/>
          </w:tcPr>
          <w:p>
            <w:pPr>
              <w:adjustRightInd w:val="0"/>
              <w:snapToGrid w:val="0"/>
              <w:spacing w:line="360" w:lineRule="auto"/>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6</w:t>
            </w:r>
          </w:p>
        </w:tc>
        <w:tc>
          <w:tcPr>
            <w:tcW w:w="2872"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276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039"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920" w:type="dxa"/>
            <w:gridSpan w:val="2"/>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c>
          <w:tcPr>
            <w:tcW w:w="1194" w:type="dxa"/>
            <w:shd w:val="clear" w:color="auto" w:fill="auto"/>
            <w:vAlign w:val="center"/>
          </w:tcPr>
          <w:p>
            <w:pPr>
              <w:adjustRightInd w:val="0"/>
              <w:snapToGrid w:val="0"/>
              <w:spacing w:line="360" w:lineRule="auto"/>
              <w:jc w:val="left"/>
              <w:rPr>
                <w:rFonts w:ascii="宋体" w:hAnsi="宋体" w:eastAsia="宋体" w:cs="宋体"/>
                <w:color w:val="auto"/>
                <w:kern w:val="0"/>
                <w:sz w:val="22"/>
                <w:highlight w:val="none"/>
              </w:rPr>
            </w:pPr>
          </w:p>
        </w:tc>
      </w:tr>
    </w:tbl>
    <w:p>
      <w:pPr>
        <w:adjustRightInd w:val="0"/>
        <w:snapToGrid w:val="0"/>
        <w:spacing w:line="360" w:lineRule="auto"/>
        <w:jc w:val="left"/>
        <w:rPr>
          <w:rFonts w:ascii="宋体" w:hAnsi="宋体" w:eastAsia="宋体" w:cs="宋体"/>
          <w:color w:val="auto"/>
          <w:kern w:val="0"/>
          <w:highlight w:val="none"/>
        </w:rPr>
      </w:pPr>
    </w:p>
    <w:p>
      <w:pPr>
        <w:adjustRightInd w:val="0"/>
        <w:snapToGrid w:val="0"/>
        <w:spacing w:line="360" w:lineRule="auto"/>
        <w:jc w:val="left"/>
        <w:rPr>
          <w:rFonts w:ascii="楷体_GB2312" w:hAnsi="楷体_GB2312" w:eastAsia="楷体_GB2312" w:cs="楷体_GB2312"/>
          <w:color w:val="auto"/>
          <w:kern w:val="0"/>
          <w:highlight w:val="none"/>
        </w:rPr>
      </w:pPr>
      <w:r>
        <w:rPr>
          <w:rFonts w:hint="eastAsia" w:ascii="楷体_GB2312" w:hAnsi="楷体_GB2312" w:eastAsia="楷体_GB2312" w:cs="楷体_GB2312"/>
          <w:color w:val="auto"/>
          <w:kern w:val="0"/>
          <w:highlight w:val="none"/>
        </w:rPr>
        <w:t>注：1.须随本表提交项目负责人</w:t>
      </w:r>
      <w:r>
        <w:rPr>
          <w:rFonts w:hint="eastAsia" w:ascii="楷体_GB2312" w:hAnsi="楷体_GB2312" w:eastAsia="楷体_GB2312" w:cs="楷体_GB2312"/>
          <w:color w:val="auto"/>
          <w:kern w:val="0"/>
          <w:szCs w:val="21"/>
          <w:highlight w:val="none"/>
        </w:rPr>
        <w:t>执业注册资格证书（或职称证书）及毕业证原件扫描件、</w:t>
      </w:r>
      <w:r>
        <w:rPr>
          <w:rFonts w:hint="eastAsia" w:ascii="楷体_GB2312" w:hAnsi="楷体_GB2312" w:eastAsia="楷体_GB2312" w:cs="楷体_GB2312"/>
          <w:color w:val="auto"/>
          <w:kern w:val="0"/>
          <w:highlight w:val="none"/>
        </w:rPr>
        <w:t>近5年已主持完成设计的同类工程施工图关键页（1页即可）复印件及施工图审查合格书复印件。</w:t>
      </w:r>
    </w:p>
    <w:p>
      <w:pPr>
        <w:adjustRightInd w:val="0"/>
        <w:snapToGrid w:val="0"/>
        <w:spacing w:line="360" w:lineRule="auto"/>
        <w:ind w:firstLine="420" w:firstLineChars="200"/>
        <w:jc w:val="left"/>
        <w:rPr>
          <w:rFonts w:ascii="宋体" w:hAnsi="宋体"/>
          <w:color w:val="auto"/>
          <w:kern w:val="0"/>
          <w:highlight w:val="none"/>
        </w:rPr>
      </w:pPr>
      <w:r>
        <w:rPr>
          <w:rFonts w:hint="eastAsia" w:ascii="楷体_GB2312" w:hAnsi="楷体_GB2312" w:eastAsia="楷体_GB2312" w:cs="楷体_GB2312"/>
          <w:color w:val="auto"/>
          <w:kern w:val="0"/>
          <w:highlight w:val="none"/>
        </w:rPr>
        <w:t>2.同类工程业绩填写最多不得超过6项。</w:t>
      </w:r>
      <w:r>
        <w:rPr>
          <w:rFonts w:ascii="宋体" w:hAnsi="宋体"/>
          <w:color w:val="auto"/>
          <w:kern w:val="0"/>
          <w:highlight w:val="none"/>
        </w:rPr>
        <w:br w:type="page"/>
      </w:r>
    </w:p>
    <w:p>
      <w:pPr>
        <w:adjustRightInd w:val="0"/>
        <w:snapToGrid w:val="0"/>
        <w:spacing w:line="360" w:lineRule="auto"/>
        <w:jc w:val="left"/>
        <w:outlineLvl w:val="2"/>
        <w:rPr>
          <w:rFonts w:ascii="宋体" w:hAnsi="宋体" w:eastAsia="宋体" w:cs="宋体"/>
          <w:b/>
          <w:color w:val="auto"/>
          <w:kern w:val="0"/>
          <w:highlight w:val="none"/>
        </w:rPr>
      </w:pPr>
      <w:bookmarkStart w:id="52" w:name="_Toc7687"/>
      <w:r>
        <w:rPr>
          <w:rFonts w:hint="eastAsia" w:ascii="宋体" w:hAnsi="宋体" w:eastAsia="宋体" w:cs="宋体"/>
          <w:b/>
          <w:color w:val="auto"/>
          <w:kern w:val="0"/>
          <w:highlight w:val="none"/>
        </w:rPr>
        <w:t>投标附件7.拟投入的项目组专业负责人基本情况表</w:t>
      </w:r>
      <w:bookmarkEnd w:id="52"/>
    </w:p>
    <w:p>
      <w:pPr>
        <w:adjustRightInd w:val="0"/>
        <w:snapToGrid w:val="0"/>
        <w:spacing w:line="360" w:lineRule="auto"/>
        <w:jc w:val="center"/>
        <w:rPr>
          <w:rFonts w:ascii="宋体" w:hAnsi="宋体" w:eastAsia="宋体" w:cs="宋体"/>
          <w:color w:val="auto"/>
          <w:kern w:val="0"/>
          <w:sz w:val="30"/>
          <w:szCs w:val="30"/>
          <w:highlight w:val="none"/>
        </w:rPr>
      </w:pPr>
      <w:r>
        <w:rPr>
          <w:rFonts w:hint="eastAsia" w:ascii="宋体" w:hAnsi="宋体" w:eastAsia="宋体" w:cs="宋体"/>
          <w:b/>
          <w:color w:val="auto"/>
          <w:kern w:val="0"/>
          <w:sz w:val="30"/>
          <w:szCs w:val="30"/>
          <w:highlight w:val="none"/>
        </w:rPr>
        <w:t>拟投入的项目组专业负责人基本情况表</w:t>
      </w:r>
    </w:p>
    <w:tbl>
      <w:tblPr>
        <w:tblStyle w:val="79"/>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27"/>
        <w:gridCol w:w="1496"/>
        <w:gridCol w:w="1631"/>
        <w:gridCol w:w="1011"/>
        <w:gridCol w:w="1707"/>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1027"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姓  名</w:t>
            </w:r>
          </w:p>
        </w:tc>
        <w:tc>
          <w:tcPr>
            <w:tcW w:w="1496"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出生</w:t>
            </w:r>
          </w:p>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年月</w:t>
            </w:r>
          </w:p>
        </w:tc>
        <w:tc>
          <w:tcPr>
            <w:tcW w:w="1631"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注册资格</w:t>
            </w:r>
          </w:p>
        </w:tc>
        <w:tc>
          <w:tcPr>
            <w:tcW w:w="1011"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职称</w:t>
            </w:r>
          </w:p>
        </w:tc>
        <w:tc>
          <w:tcPr>
            <w:tcW w:w="1707"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拟在本项目中从事专业</w:t>
            </w:r>
          </w:p>
        </w:tc>
        <w:tc>
          <w:tcPr>
            <w:tcW w:w="2282"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社保购买单位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3</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5</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9</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shd w:val="clear" w:color="auto" w:fill="auto"/>
            <w:vAlign w:val="center"/>
          </w:tcPr>
          <w:p>
            <w:pPr>
              <w:adjustRightInd w:val="0"/>
              <w:snapToGrid w:val="0"/>
              <w:spacing w:line="360" w:lineRule="auto"/>
              <w:jc w:val="center"/>
              <w:rPr>
                <w:rFonts w:ascii="宋体" w:hAnsi="宋体" w:eastAsia="宋体" w:cs="宋体"/>
                <w:color w:val="auto"/>
                <w:kern w:val="0"/>
                <w:highlight w:val="none"/>
              </w:rPr>
            </w:pPr>
            <w:r>
              <w:rPr>
                <w:rFonts w:hint="eastAsia" w:ascii="宋体" w:hAnsi="宋体" w:eastAsia="宋体" w:cs="宋体"/>
                <w:color w:val="auto"/>
                <w:kern w:val="0"/>
                <w:highlight w:val="none"/>
              </w:rPr>
              <w:t>12</w:t>
            </w:r>
          </w:p>
        </w:tc>
        <w:tc>
          <w:tcPr>
            <w:tcW w:w="102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496"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63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011"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1707"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c>
          <w:tcPr>
            <w:tcW w:w="2282" w:type="dxa"/>
            <w:shd w:val="clear" w:color="auto" w:fill="auto"/>
            <w:vAlign w:val="center"/>
          </w:tcPr>
          <w:p>
            <w:pPr>
              <w:adjustRightInd w:val="0"/>
              <w:snapToGrid w:val="0"/>
              <w:spacing w:line="360" w:lineRule="auto"/>
              <w:jc w:val="left"/>
              <w:rPr>
                <w:rFonts w:ascii="宋体" w:hAnsi="宋体" w:eastAsia="宋体" w:cs="宋体"/>
                <w:color w:val="auto"/>
                <w:kern w:val="0"/>
                <w:highlight w:val="none"/>
              </w:rPr>
            </w:pPr>
          </w:p>
        </w:tc>
      </w:tr>
    </w:tbl>
    <w:p>
      <w:pPr>
        <w:adjustRightInd w:val="0"/>
        <w:snapToGrid w:val="0"/>
        <w:spacing w:line="360" w:lineRule="auto"/>
        <w:jc w:val="left"/>
        <w:rPr>
          <w:rFonts w:ascii="宋体" w:hAnsi="宋体" w:eastAsia="宋体" w:cs="宋体"/>
          <w:color w:val="auto"/>
          <w:kern w:val="0"/>
          <w:szCs w:val="21"/>
          <w:highlight w:val="none"/>
        </w:rPr>
      </w:pPr>
    </w:p>
    <w:p>
      <w:pPr>
        <w:adjustRightInd w:val="0"/>
        <w:snapToGrid w:val="0"/>
        <w:spacing w:line="360" w:lineRule="auto"/>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注：1.须随本表提交表中人员的执业注册资格证书（或职称证书）及毕业证原件扫描件。</w:t>
      </w:r>
    </w:p>
    <w:p>
      <w:pPr>
        <w:adjustRightInd w:val="0"/>
        <w:snapToGrid w:val="0"/>
        <w:spacing w:line="360" w:lineRule="auto"/>
        <w:ind w:firstLine="420" w:firstLineChars="200"/>
        <w:jc w:val="left"/>
        <w:rPr>
          <w:rFonts w:ascii="楷体_GB2312" w:hAnsi="楷体_GB2312" w:eastAsia="楷体_GB2312" w:cs="楷体_GB2312"/>
          <w:color w:val="auto"/>
          <w:kern w:val="0"/>
          <w:szCs w:val="21"/>
          <w:highlight w:val="none"/>
        </w:rPr>
      </w:pPr>
      <w:r>
        <w:rPr>
          <w:rFonts w:hint="eastAsia" w:ascii="楷体_GB2312" w:hAnsi="楷体_GB2312" w:eastAsia="楷体_GB2312" w:cs="楷体_GB2312"/>
          <w:color w:val="auto"/>
          <w:kern w:val="0"/>
          <w:szCs w:val="21"/>
          <w:highlight w:val="none"/>
        </w:rPr>
        <w:t>2.表中人员均须在建设行政主管部门信息管理系统中提前完成备案。</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楷体_GB2312" w:hAnsi="楷体_GB2312" w:eastAsia="楷体_GB2312" w:cs="楷体_GB2312"/>
          <w:color w:val="auto"/>
          <w:kern w:val="0"/>
          <w:szCs w:val="21"/>
          <w:highlight w:val="none"/>
        </w:rPr>
        <w:t>3.本表应按专业依次填写。表格不足时可续页。</w:t>
      </w:r>
      <w:r>
        <w:rPr>
          <w:rFonts w:hint="eastAsia" w:ascii="宋体" w:hAnsi="宋体" w:eastAsia="宋体" w:cs="宋体"/>
          <w:color w:val="auto"/>
          <w:kern w:val="0"/>
          <w:szCs w:val="21"/>
          <w:highlight w:val="none"/>
        </w:rPr>
        <w:br w:type="page"/>
      </w:r>
    </w:p>
    <w:p>
      <w:pPr>
        <w:adjustRightInd w:val="0"/>
        <w:snapToGrid w:val="0"/>
        <w:spacing w:line="360" w:lineRule="auto"/>
        <w:jc w:val="left"/>
        <w:outlineLvl w:val="2"/>
        <w:rPr>
          <w:rFonts w:ascii="宋体" w:hAnsi="宋体" w:eastAsia="宋体" w:cs="宋体"/>
          <w:b/>
          <w:color w:val="auto"/>
          <w:kern w:val="0"/>
          <w:highlight w:val="none"/>
        </w:rPr>
      </w:pPr>
      <w:r>
        <w:rPr>
          <w:rFonts w:hint="eastAsia" w:ascii="宋体" w:hAnsi="宋体" w:eastAsia="宋体" w:cs="宋体"/>
          <w:b/>
          <w:color w:val="auto"/>
          <w:kern w:val="0"/>
          <w:highlight w:val="none"/>
        </w:rPr>
        <w:t>投标附件8.联合体共同投标协议书</w:t>
      </w:r>
    </w:p>
    <w:p>
      <w:pPr>
        <w:adjustRightInd w:val="0"/>
        <w:snapToGri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联合体共同投标协议书</w:t>
      </w:r>
    </w:p>
    <w:p>
      <w:pPr>
        <w:adjustRightInd w:val="0"/>
        <w:snapToGrid w:val="0"/>
        <w:spacing w:line="360" w:lineRule="auto"/>
        <w:jc w:val="center"/>
        <w:rPr>
          <w:rFonts w:ascii="宋体" w:hAnsi="宋体" w:eastAsia="宋体" w:cs="宋体"/>
          <w:b/>
          <w:color w:val="auto"/>
          <w:kern w:val="0"/>
          <w:sz w:val="32"/>
          <w:szCs w:val="32"/>
          <w:highlight w:val="none"/>
        </w:rPr>
      </w:pP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______________________</w:t>
      </w:r>
      <w:r>
        <w:rPr>
          <w:rFonts w:hint="eastAsia" w:ascii="宋体" w:hAnsi="宋体" w:eastAsia="宋体" w:cs="宋体"/>
          <w:color w:val="auto"/>
          <w:kern w:val="0"/>
          <w:szCs w:val="21"/>
          <w:highlight w:val="none"/>
          <w:u w:val="single"/>
        </w:rPr>
        <w:t>（所有成员单位名称）</w:t>
      </w:r>
      <w:r>
        <w:rPr>
          <w:rFonts w:hint="eastAsia" w:ascii="宋体" w:hAnsi="宋体" w:eastAsia="宋体" w:cs="宋体"/>
          <w:color w:val="auto"/>
          <w:kern w:val="0"/>
          <w:szCs w:val="21"/>
          <w:highlight w:val="none"/>
        </w:rPr>
        <w:t>____________________自愿组成联合体，共同参加___________</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________的投标。现就联合体投标事宜订立如下协议：</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1、_______</w:t>
      </w:r>
      <w:r>
        <w:rPr>
          <w:rFonts w:hint="eastAsia" w:ascii="宋体" w:hAnsi="宋体" w:eastAsia="宋体" w:cs="宋体"/>
          <w:color w:val="auto"/>
          <w:kern w:val="0"/>
          <w:szCs w:val="21"/>
          <w:highlight w:val="none"/>
          <w:u w:val="single"/>
        </w:rPr>
        <w:t>（某成员单位名称）</w:t>
      </w:r>
      <w:r>
        <w:rPr>
          <w:rFonts w:hint="eastAsia" w:ascii="宋体" w:hAnsi="宋体" w:eastAsia="宋体" w:cs="宋体"/>
          <w:color w:val="auto"/>
          <w:kern w:val="0"/>
          <w:szCs w:val="21"/>
          <w:highlight w:val="none"/>
        </w:rPr>
        <w:t>______为本工程投标联合体牵头人。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2、联合体牵头人合法代表联合体各成员单位：接收及提交投标相关资料、信息或指令，并处理与之相关事务；负责本工程投标文件编制；负责合同谈判、签订及实施阶段的主导、组织和协调工作。</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3、联合体严格按照招标文件要求，准时递交投标文件，切实履行合同，并对外承担连带责任。</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4、联合体各成员单位内部职责分工如下：</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(1)联合体牵头人____________________，承担_____________工作；</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(2)联合体成员______________________，承担_____________工作；</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(3)联合体成员______________________，承担_____________工作。</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5、本协议书自签署之日起生效，未中标或者中标后合同履行完毕后，自动失效。</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6、本协议书一式_________份，联合体成员和招标人各执一份。</w:t>
      </w:r>
    </w:p>
    <w:p>
      <w:pPr>
        <w:adjustRightInd w:val="0"/>
        <w:snapToGrid w:val="0"/>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本投标协议同时兼作法定代表人证明书和法人授权委托书。</w:t>
      </w:r>
    </w:p>
    <w:p>
      <w:pPr>
        <w:adjustRightInd w:val="0"/>
        <w:snapToGrid w:val="0"/>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牵头人</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单位名称（盖单位公章）：</w:t>
      </w:r>
      <w:r>
        <w:rPr>
          <w:rFonts w:hint="eastAsia" w:ascii="宋体" w:hAnsi="宋体" w:eastAsia="宋体" w:cs="宋体"/>
          <w:color w:val="auto"/>
          <w:kern w:val="0"/>
          <w:szCs w:val="21"/>
          <w:highlight w:val="none"/>
          <w:u w:val="single"/>
        </w:rPr>
        <w:t>_________________________</w:t>
      </w:r>
      <w:r>
        <w:rPr>
          <w:rFonts w:hint="eastAsia" w:ascii="宋体" w:hAnsi="宋体" w:eastAsia="宋体" w:cs="宋体"/>
          <w:color w:val="auto"/>
          <w:kern w:val="0"/>
          <w:highlight w:val="none"/>
        </w:rPr>
        <w:t>_</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法定代表人或授权委托人（签字）：__________________</w:t>
      </w:r>
    </w:p>
    <w:p>
      <w:pPr>
        <w:adjustRightInd w:val="0"/>
        <w:snapToGrid w:val="0"/>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成员1</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单位名称（盖单位公章）：________________________</w:t>
      </w:r>
      <w:r>
        <w:rPr>
          <w:rFonts w:hint="eastAsia" w:ascii="宋体" w:hAnsi="宋体" w:eastAsia="宋体" w:cs="宋体"/>
          <w:color w:val="auto"/>
          <w:kern w:val="0"/>
          <w:highlight w:val="none"/>
        </w:rPr>
        <w:t>_</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法定代表人或授权委托人（签字）：_______________</w:t>
      </w:r>
      <w:r>
        <w:rPr>
          <w:rFonts w:hint="eastAsia" w:ascii="宋体" w:hAnsi="宋体" w:eastAsia="宋体" w:cs="宋体"/>
          <w:color w:val="auto"/>
          <w:kern w:val="0"/>
          <w:highlight w:val="none"/>
        </w:rPr>
        <w:t>__</w:t>
      </w:r>
    </w:p>
    <w:p>
      <w:pPr>
        <w:adjustRightInd w:val="0"/>
        <w:snapToGrid w:val="0"/>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成员2</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单位名称（盖单位公章）：________________________</w:t>
      </w:r>
      <w:r>
        <w:rPr>
          <w:rFonts w:hint="eastAsia" w:ascii="宋体" w:hAnsi="宋体" w:eastAsia="宋体" w:cs="宋体"/>
          <w:color w:val="auto"/>
          <w:kern w:val="0"/>
          <w:highlight w:val="none"/>
        </w:rPr>
        <w:t>_</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法定代表人或授权委托人（签字）：_______________</w:t>
      </w:r>
      <w:r>
        <w:rPr>
          <w:rFonts w:hint="eastAsia" w:ascii="宋体" w:hAnsi="宋体" w:eastAsia="宋体" w:cs="宋体"/>
          <w:color w:val="auto"/>
          <w:kern w:val="0"/>
          <w:highlight w:val="none"/>
        </w:rPr>
        <w:t>__</w:t>
      </w:r>
    </w:p>
    <w:p>
      <w:pPr>
        <w:adjustRightInd w:val="0"/>
        <w:snapToGrid w:val="0"/>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line="360" w:lineRule="auto"/>
        <w:ind w:firstLine="4200" w:firstLineChars="20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r>
        <w:rPr>
          <w:rFonts w:hint="eastAsia" w:ascii="宋体" w:hAnsi="宋体" w:eastAsia="宋体" w:cs="宋体"/>
          <w:color w:val="auto"/>
          <w:highlight w:val="none"/>
        </w:rPr>
        <w:br w:type="page"/>
      </w:r>
    </w:p>
    <w:p>
      <w:pPr>
        <w:adjustRightInd w:val="0"/>
        <w:snapToGrid w:val="0"/>
        <w:spacing w:line="360" w:lineRule="auto"/>
        <w:jc w:val="left"/>
        <w:outlineLvl w:val="2"/>
        <w:rPr>
          <w:rFonts w:hint="default" w:ascii="宋体" w:hAnsi="宋体" w:eastAsia="宋体" w:cs="宋体"/>
          <w:b/>
          <w:color w:val="auto"/>
          <w:kern w:val="0"/>
          <w:highlight w:val="none"/>
          <w:lang w:val="en-US" w:eastAsia="zh-CN"/>
        </w:rPr>
      </w:pPr>
      <w:bookmarkStart w:id="53" w:name="_Toc12651"/>
      <w:r>
        <w:rPr>
          <w:rFonts w:hint="eastAsia" w:ascii="宋体" w:hAnsi="宋体" w:eastAsia="宋体" w:cs="宋体"/>
          <w:b/>
          <w:color w:val="auto"/>
          <w:kern w:val="0"/>
          <w:highlight w:val="none"/>
        </w:rPr>
        <w:t>投标附件9.</w:t>
      </w:r>
      <w:r>
        <w:rPr>
          <w:rFonts w:hint="eastAsia" w:ascii="宋体" w:hAnsi="宋体" w:eastAsia="宋体" w:cs="宋体"/>
          <w:b/>
          <w:color w:val="auto"/>
          <w:kern w:val="0"/>
          <w:highlight w:val="none"/>
          <w:lang w:val="en-US" w:eastAsia="zh-CN"/>
        </w:rPr>
        <w:t>中小企业声明函</w:t>
      </w:r>
    </w:p>
    <w:p>
      <w:pPr>
        <w:pStyle w:val="227"/>
        <w:spacing w:before="0" w:beforeAutospacing="0" w:after="0" w:afterAutospacing="0" w:line="360" w:lineRule="auto"/>
        <w:jc w:val="center"/>
        <w:rPr>
          <w:rFonts w:hint="eastAsia" w:ascii="宋体" w:hAnsi="宋体" w:eastAsia="宋体" w:cs="宋体"/>
          <w:color w:val="auto"/>
          <w:kern w:val="2"/>
          <w:sz w:val="44"/>
          <w:szCs w:val="22"/>
          <w:highlight w:val="none"/>
        </w:rPr>
      </w:pPr>
    </w:p>
    <w:p>
      <w:pPr>
        <w:pStyle w:val="227"/>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pPr>
        <w:pStyle w:val="227"/>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pPr>
        <w:pStyle w:val="227"/>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pPr>
        <w:pStyle w:val="22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22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pPr>
        <w:pStyle w:val="22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pPr>
        <w:pStyle w:val="227"/>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227"/>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pPr>
        <w:pStyle w:val="227"/>
        <w:spacing w:before="0" w:beforeAutospacing="0" w:after="0" w:afterAutospacing="0" w:line="360" w:lineRule="auto"/>
        <w:ind w:firstLine="420" w:firstLineChars="200"/>
        <w:rPr>
          <w:rFonts w:hint="eastAsia" w:eastAsia="宋体"/>
          <w:color w:val="auto"/>
          <w:kern w:val="2"/>
          <w:sz w:val="21"/>
          <w:szCs w:val="21"/>
          <w:highlight w:val="none"/>
          <w:lang w:eastAsia="zh-CN"/>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0" w:firstLineChars="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ind w:firstLine="420" w:firstLineChars="200"/>
        <w:jc w:val="left"/>
        <w:outlineLvl w:val="9"/>
        <w:rPr>
          <w:rFonts w:hint="eastAsia" w:ascii="宋体" w:hAnsi="宋体" w:eastAsia="宋体" w:cs="宋体"/>
          <w:b w:val="0"/>
          <w:snapToGrid w:val="0"/>
          <w:color w:val="auto"/>
          <w:kern w:val="0"/>
          <w:highlight w:val="none"/>
        </w:rPr>
      </w:pPr>
    </w:p>
    <w:p>
      <w:pPr>
        <w:adjustRightInd w:val="0"/>
        <w:snapToGrid w:val="0"/>
        <w:spacing w:line="360" w:lineRule="auto"/>
        <w:jc w:val="left"/>
        <w:outlineLvl w:val="2"/>
        <w:rPr>
          <w:rFonts w:ascii="宋体" w:hAnsi="宋体" w:eastAsia="宋体" w:cs="宋体"/>
          <w:b/>
          <w:color w:val="auto"/>
          <w:kern w:val="0"/>
          <w:highlight w:val="none"/>
        </w:rPr>
      </w:pPr>
      <w:r>
        <w:rPr>
          <w:rFonts w:hint="eastAsia" w:ascii="宋体" w:hAnsi="宋体" w:eastAsia="宋体" w:cs="宋体"/>
          <w:b/>
          <w:color w:val="auto"/>
          <w:kern w:val="0"/>
          <w:highlight w:val="none"/>
        </w:rPr>
        <w:t>投标附件</w:t>
      </w:r>
      <w:r>
        <w:rPr>
          <w:rFonts w:hint="eastAsia" w:ascii="宋体" w:hAnsi="宋体" w:eastAsia="宋体" w:cs="宋体"/>
          <w:b/>
          <w:color w:val="auto"/>
          <w:kern w:val="0"/>
          <w:highlight w:val="none"/>
          <w:lang w:val="en-US" w:eastAsia="zh-CN"/>
        </w:rPr>
        <w:t>10</w:t>
      </w:r>
      <w:r>
        <w:rPr>
          <w:rFonts w:hint="eastAsia" w:ascii="宋体" w:hAnsi="宋体" w:eastAsia="宋体" w:cs="宋体"/>
          <w:b/>
          <w:color w:val="auto"/>
          <w:kern w:val="0"/>
          <w:highlight w:val="none"/>
        </w:rPr>
        <w:t>.其他</w:t>
      </w:r>
      <w:bookmarkEnd w:id="53"/>
    </w:p>
    <w:p>
      <w:pP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其他</w:t>
      </w:r>
      <w:r>
        <w:rPr>
          <w:rFonts w:hint="eastAsia" w:ascii="宋体" w:hAnsi="宋体" w:eastAsia="宋体" w:cs="宋体"/>
          <w:color w:val="auto"/>
          <w:highlight w:val="none"/>
        </w:rPr>
        <w:br w:type="page"/>
      </w:r>
    </w:p>
    <w:p>
      <w:pPr>
        <w:adjustRightInd w:val="0"/>
        <w:snapToGrid w:val="0"/>
        <w:spacing w:line="360" w:lineRule="auto"/>
        <w:jc w:val="center"/>
        <w:outlineLvl w:val="1"/>
        <w:rPr>
          <w:rFonts w:ascii="宋体" w:hAnsi="宋体" w:eastAsia="宋体" w:cs="宋体"/>
          <w:b/>
          <w:color w:val="auto"/>
          <w:kern w:val="0"/>
          <w:sz w:val="30"/>
          <w:highlight w:val="none"/>
        </w:rPr>
      </w:pPr>
      <w:bookmarkStart w:id="54" w:name="_Toc28600"/>
      <w:bookmarkStart w:id="55" w:name="资格审查文件"/>
      <w:r>
        <w:rPr>
          <w:rFonts w:hint="eastAsia" w:ascii="宋体" w:hAnsi="宋体" w:eastAsia="宋体" w:cs="宋体"/>
          <w:b/>
          <w:color w:val="auto"/>
          <w:kern w:val="0"/>
          <w:sz w:val="30"/>
          <w:highlight w:val="none"/>
        </w:rPr>
        <w:t>5.2资格审查文件</w:t>
      </w:r>
      <w:bookmarkEnd w:id="54"/>
    </w:p>
    <w:p>
      <w:pPr>
        <w:adjustRightInd w:val="0"/>
        <w:snapToGrid w:val="0"/>
        <w:spacing w:line="360" w:lineRule="auto"/>
        <w:jc w:val="center"/>
        <w:rPr>
          <w:rFonts w:ascii="宋体" w:hAnsi="宋体" w:eastAsia="宋体" w:cs="宋体"/>
          <w:b/>
          <w:color w:val="auto"/>
          <w:kern w:val="0"/>
          <w:sz w:val="30"/>
          <w:highlight w:val="none"/>
        </w:rPr>
      </w:pPr>
    </w:p>
    <w:p>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资格审查文件</w:t>
      </w:r>
    </w:p>
    <w:p>
      <w:pPr>
        <w:adjustRightInd w:val="0"/>
        <w:snapToGrid w:val="0"/>
        <w:spacing w:line="360" w:lineRule="auto"/>
        <w:jc w:val="center"/>
        <w:rPr>
          <w:rFonts w:ascii="宋体" w:hAnsi="宋体" w:eastAsia="宋体" w:cs="宋体"/>
          <w:b/>
          <w:color w:val="auto"/>
          <w:kern w:val="0"/>
          <w:highlight w:val="none"/>
        </w:rPr>
      </w:pPr>
    </w:p>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资格审查文件内容如下：</w:t>
      </w:r>
    </w:p>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(1)通过年审的营业执照副本（原件扫描件）；</w:t>
      </w:r>
    </w:p>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(2)企业资质证书（原件扫描件）；</w:t>
      </w:r>
    </w:p>
    <w:p>
      <w:pPr>
        <w:adjustRightInd w:val="0"/>
        <w:snapToGrid w:val="0"/>
        <w:spacing w:line="360" w:lineRule="auto"/>
        <w:jc w:val="left"/>
        <w:rPr>
          <w:rFonts w:ascii="宋体" w:hAnsi="宋体" w:eastAsia="宋体" w:cs="宋体"/>
          <w:bCs/>
          <w:color w:val="auto"/>
          <w:kern w:val="0"/>
          <w:highlight w:val="none"/>
        </w:rPr>
      </w:pPr>
      <w:r>
        <w:rPr>
          <w:rFonts w:hint="eastAsia" w:ascii="宋体" w:hAnsi="宋体" w:eastAsia="宋体" w:cs="宋体"/>
          <w:bCs/>
          <w:color w:val="auto"/>
          <w:kern w:val="0"/>
          <w:highlight w:val="none"/>
        </w:rPr>
        <w:t>(3)联合体共同投标协议（若有，原件扫描件）；</w:t>
      </w:r>
    </w:p>
    <w:p>
      <w:pPr>
        <w:widowControl/>
        <w:adjustRightInd w:val="0"/>
        <w:snapToGrid w:val="0"/>
        <w:spacing w:line="360" w:lineRule="auto"/>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(4)中小企业声明函扫描件（</w:t>
      </w:r>
      <w:r>
        <w:rPr>
          <w:rFonts w:hint="eastAsia" w:ascii="宋体" w:hAnsi="宋体" w:eastAsia="宋体" w:cs="宋体"/>
          <w:bCs/>
          <w:color w:val="auto"/>
          <w:kern w:val="0"/>
          <w:highlight w:val="none"/>
          <w:lang w:val="en-US" w:eastAsia="zh-CN"/>
        </w:rPr>
        <w:t>如招标文件有要求，则需提供</w:t>
      </w:r>
      <w:r>
        <w:rPr>
          <w:rFonts w:hint="eastAsia" w:ascii="宋体" w:hAnsi="宋体" w:eastAsia="宋体" w:cs="宋体"/>
          <w:bCs/>
          <w:color w:val="auto"/>
          <w:kern w:val="0"/>
          <w:highlight w:val="none"/>
        </w:rPr>
        <w:t>）；</w:t>
      </w:r>
    </w:p>
    <w:p>
      <w:pPr>
        <w:widowControl/>
        <w:adjustRightInd w:val="0"/>
        <w:snapToGrid w:val="0"/>
        <w:spacing w:line="360" w:lineRule="auto"/>
        <w:jc w:val="left"/>
        <w:rPr>
          <w:rFonts w:hint="eastAsia" w:ascii="宋体" w:hAnsi="宋体" w:eastAsia="宋体" w:cs="宋体"/>
          <w:bCs/>
          <w:color w:val="auto"/>
          <w:kern w:val="0"/>
          <w:highlight w:val="none"/>
          <w:u w:val="none"/>
        </w:rPr>
      </w:pPr>
      <w:r>
        <w:rPr>
          <w:rFonts w:hint="eastAsia" w:ascii="宋体" w:hAnsi="宋体" w:eastAsia="宋体" w:cs="宋体"/>
          <w:bCs/>
          <w:color w:val="auto"/>
          <w:kern w:val="0"/>
          <w:highlight w:val="none"/>
        </w:rPr>
        <w:t>(</w:t>
      </w:r>
      <w:r>
        <w:rPr>
          <w:rFonts w:hint="eastAsia" w:ascii="宋体" w:hAnsi="宋体" w:eastAsia="宋体" w:cs="宋体"/>
          <w:bCs/>
          <w:color w:val="auto"/>
          <w:kern w:val="0"/>
          <w:highlight w:val="none"/>
          <w:lang w:val="en-US" w:eastAsia="zh-CN"/>
        </w:rPr>
        <w:t>5</w:t>
      </w:r>
      <w:r>
        <w:rPr>
          <w:rFonts w:hint="eastAsia" w:ascii="宋体" w:hAnsi="宋体" w:eastAsia="宋体" w:cs="宋体"/>
          <w:bCs/>
          <w:color w:val="auto"/>
          <w:kern w:val="0"/>
          <w:highlight w:val="none"/>
        </w:rPr>
        <w:t>)其他</w:t>
      </w:r>
      <w:r>
        <w:rPr>
          <w:rFonts w:hint="eastAsia" w:ascii="宋体" w:hAnsi="宋体" w:eastAsia="宋体" w:cs="宋体"/>
          <w:bCs/>
          <w:color w:val="auto"/>
          <w:kern w:val="0"/>
          <w:highlight w:val="none"/>
          <w:u w:val="none"/>
        </w:rPr>
        <w:t xml:space="preserve">      </w:t>
      </w:r>
    </w:p>
    <w:p>
      <w:pPr>
        <w:widowControl/>
        <w:jc w:val="center"/>
        <w:rPr>
          <w:rFonts w:ascii="宋体" w:hAnsi="宋体" w:eastAsia="宋体" w:cs="宋体"/>
          <w:color w:val="auto"/>
          <w:sz w:val="44"/>
          <w:szCs w:val="44"/>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44"/>
          <w:szCs w:val="44"/>
          <w:highlight w:val="none"/>
        </w:rPr>
        <w:t>投标保函</w:t>
      </w:r>
    </w:p>
    <w:p>
      <w:pPr>
        <w:widowControl/>
        <w:jc w:val="right"/>
        <w:rPr>
          <w:rFonts w:ascii="宋体" w:hAnsi="宋体" w:eastAsia="宋体" w:cs="宋体"/>
          <w:color w:val="auto"/>
          <w:highlight w:val="none"/>
        </w:rPr>
      </w:pPr>
      <w:r>
        <w:rPr>
          <w:rFonts w:hint="eastAsia" w:ascii="宋体" w:hAnsi="宋体" w:eastAsia="宋体" w:cs="宋体"/>
          <w:color w:val="auto"/>
          <w:highlight w:val="none"/>
        </w:rPr>
        <w:t>保函编号：__________</w:t>
      </w:r>
    </w:p>
    <w:p>
      <w:pPr>
        <w:widowControl/>
        <w:jc w:val="left"/>
        <w:rPr>
          <w:rFonts w:ascii="宋体" w:hAnsi="宋体" w:eastAsia="宋体" w:cs="宋体"/>
          <w:color w:val="auto"/>
          <w:highlight w:val="none"/>
        </w:rPr>
      </w:pPr>
    </w:p>
    <w:p>
      <w:pPr>
        <w:widowControl/>
        <w:jc w:val="left"/>
        <w:rPr>
          <w:rFonts w:ascii="宋体" w:hAnsi="宋体" w:eastAsia="宋体" w:cs="宋体"/>
          <w:color w:val="auto"/>
          <w:highlight w:val="none"/>
        </w:rPr>
      </w:pPr>
      <w:r>
        <w:rPr>
          <w:rFonts w:hint="eastAsia" w:ascii="宋体" w:hAnsi="宋体" w:eastAsia="宋体" w:cs="宋体"/>
          <w:color w:val="auto"/>
          <w:highlight w:val="none"/>
        </w:rPr>
        <w:t>致______________________________（下称受益人）：</w:t>
      </w:r>
    </w:p>
    <w:p>
      <w:pPr>
        <w:widowControl/>
        <w:ind w:firstLine="630" w:firstLineChars="300"/>
        <w:jc w:val="left"/>
        <w:rPr>
          <w:rFonts w:ascii="宋体" w:hAnsi="宋体" w:eastAsia="宋体" w:cs="宋体"/>
          <w:color w:val="auto"/>
          <w:highlight w:val="none"/>
        </w:rPr>
      </w:pPr>
      <w:r>
        <w:rPr>
          <w:rFonts w:hint="eastAsia" w:ascii="宋体" w:hAnsi="宋体" w:eastAsia="宋体" w:cs="宋体"/>
          <w:color w:val="auto"/>
          <w:highlight w:val="none"/>
        </w:rPr>
        <w:t>鉴于_____________________________（下称被保证人）将参加贵方标段编号为______________的____________________________________项目的投标，我方接受被保证人的委托，在此向受益人提供不可撤销的投标保证：</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一、本保证担保的担保金额为______（币种）______元（小写）_____________（大写）。</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二、本保证担保的保证期间为该项目的投标有效期或延长的投标有效期后28日（含28日），延长投标有效期无须通知我方。</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三、在本保证担保的保证期间内，如果被保证人出现下列情形之一，受益人可以向我方提起索赔：</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1.被保证人在招标文件规定的投标有效期内撤回其投标；</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2.被保证人在投标有效期内收到受益人发出的中标通知书后，不能或拒绝按招标文件的要求签署合同；</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3.被保证人在投标有效期内收到受益人发出的中标通知书后，不能或拒绝按招标文件的规定提交履约担保。</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五、受益人的索赔通知应当说明索赔理由，并必须在本保证担保的保证期间内以专人送达或邮寄送达的方式送达我方。</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六、本保证担保项下的权利不得转让。</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七、本保证担保的保证期间届满，或我方已向受益人支付本保证担保的担保金额，我方的保证责任免除。</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八、本保证担保适用中华人民共和国法律。</w:t>
      </w:r>
    </w:p>
    <w:p>
      <w:pPr>
        <w:widowControl/>
        <w:ind w:firstLine="420" w:firstLineChars="200"/>
        <w:jc w:val="left"/>
        <w:rPr>
          <w:rFonts w:ascii="宋体" w:hAnsi="宋体" w:eastAsia="宋体" w:cs="宋体"/>
          <w:color w:val="auto"/>
          <w:highlight w:val="none"/>
        </w:rPr>
      </w:pPr>
      <w:r>
        <w:rPr>
          <w:rFonts w:hint="eastAsia" w:ascii="宋体" w:hAnsi="宋体" w:eastAsia="宋体" w:cs="宋体"/>
          <w:color w:val="auto"/>
          <w:highlight w:val="none"/>
        </w:rPr>
        <w:t>九、本保证担保以中文文本为准，涂改无效。</w:t>
      </w:r>
    </w:p>
    <w:p>
      <w:pPr>
        <w:widowControl/>
        <w:jc w:val="left"/>
        <w:rPr>
          <w:rFonts w:ascii="宋体" w:hAnsi="宋体" w:eastAsia="宋体" w:cs="宋体"/>
          <w:color w:val="auto"/>
          <w:highlight w:val="none"/>
        </w:rPr>
      </w:pPr>
      <w:r>
        <w:rPr>
          <w:rFonts w:hint="eastAsia" w:ascii="宋体" w:hAnsi="宋体" w:eastAsia="宋体" w:cs="宋体"/>
          <w:color w:val="auto"/>
          <w:highlight w:val="none"/>
        </w:rPr>
        <w:t>保证人（盖章）：___________________________________________________</w:t>
      </w:r>
    </w:p>
    <w:p>
      <w:pPr>
        <w:widowControl/>
        <w:jc w:val="left"/>
        <w:rPr>
          <w:rFonts w:ascii="宋体" w:hAnsi="宋体" w:eastAsia="宋体" w:cs="宋体"/>
          <w:color w:val="auto"/>
          <w:highlight w:val="none"/>
        </w:rPr>
      </w:pPr>
      <w:r>
        <w:rPr>
          <w:rFonts w:hint="eastAsia" w:ascii="宋体" w:hAnsi="宋体" w:eastAsia="宋体" w:cs="宋体"/>
          <w:color w:val="auto"/>
          <w:highlight w:val="none"/>
        </w:rPr>
        <w:t>法定代表人或其授权委托代理人（签字或盖章）：_______________________</w:t>
      </w:r>
    </w:p>
    <w:p>
      <w:pPr>
        <w:widowControl/>
        <w:jc w:val="left"/>
        <w:rPr>
          <w:rFonts w:ascii="宋体" w:hAnsi="宋体" w:eastAsia="宋体" w:cs="宋体"/>
          <w:color w:val="auto"/>
          <w:highlight w:val="none"/>
        </w:rPr>
      </w:pPr>
      <w:r>
        <w:rPr>
          <w:rFonts w:hint="eastAsia" w:ascii="宋体" w:hAnsi="宋体" w:eastAsia="宋体" w:cs="宋体"/>
          <w:color w:val="auto"/>
          <w:highlight w:val="none"/>
        </w:rPr>
        <w:t>单位地址：________________________________________________________</w:t>
      </w:r>
    </w:p>
    <w:p>
      <w:pPr>
        <w:widowControl/>
        <w:jc w:val="left"/>
        <w:rPr>
          <w:rFonts w:ascii="宋体" w:hAnsi="宋体" w:eastAsia="宋体" w:cs="宋体"/>
          <w:color w:val="auto"/>
          <w:highlight w:val="none"/>
        </w:rPr>
      </w:pPr>
      <w:r>
        <w:rPr>
          <w:rFonts w:hint="eastAsia" w:ascii="宋体" w:hAnsi="宋体" w:eastAsia="宋体" w:cs="宋体"/>
          <w:color w:val="auto"/>
          <w:highlight w:val="none"/>
        </w:rPr>
        <w:t>邮政编码：___________电话：_________________传真：________________</w:t>
      </w:r>
    </w:p>
    <w:p>
      <w:pPr>
        <w:widowControl/>
        <w:jc w:val="left"/>
        <w:rPr>
          <w:rFonts w:ascii="宋体" w:hAnsi="宋体" w:eastAsia="宋体" w:cs="宋体"/>
          <w:color w:val="auto"/>
          <w:highlight w:val="none"/>
        </w:rPr>
      </w:pPr>
      <w:r>
        <w:rPr>
          <w:rFonts w:hint="eastAsia" w:ascii="宋体" w:hAnsi="宋体" w:eastAsia="宋体" w:cs="宋体"/>
          <w:color w:val="auto"/>
          <w:highlight w:val="none"/>
        </w:rPr>
        <w:t>日期：__________年______月______日</w:t>
      </w:r>
    </w:p>
    <w:p>
      <w:pPr>
        <w:widowControl/>
        <w:jc w:val="left"/>
        <w:rPr>
          <w:rFonts w:ascii="宋体" w:hAnsi="宋体" w:eastAsia="宋体" w:cs="宋体"/>
          <w:color w:val="auto"/>
          <w:highlight w:val="none"/>
        </w:rPr>
      </w:pPr>
    </w:p>
    <w:p>
      <w:pPr>
        <w:widowControl/>
        <w:jc w:val="left"/>
        <w:rPr>
          <w:rFonts w:ascii="宋体" w:hAnsi="宋体" w:eastAsia="宋体" w:cs="宋体"/>
          <w:color w:val="auto"/>
          <w:highlight w:val="none"/>
        </w:rPr>
      </w:pPr>
    </w:p>
    <w:p>
      <w:pPr>
        <w:widowControl/>
        <w:jc w:val="left"/>
        <w:rPr>
          <w:rFonts w:ascii="宋体" w:hAnsi="宋体" w:eastAsia="宋体" w:cs="宋体"/>
          <w:color w:val="auto"/>
          <w:highlight w:val="none"/>
        </w:rPr>
      </w:pPr>
      <w:r>
        <w:rPr>
          <w:rFonts w:hint="eastAsia" w:ascii="宋体" w:hAnsi="宋体" w:eastAsia="宋体" w:cs="宋体"/>
          <w:color w:val="auto"/>
          <w:highlight w:val="none"/>
        </w:rPr>
        <w:t>（本保函失效后，请将原件退回我方注销）</w:t>
      </w:r>
    </w:p>
    <w:p>
      <w:pPr>
        <w:widowControl/>
        <w:jc w:val="left"/>
        <w:rPr>
          <w:rFonts w:ascii="宋体" w:hAnsi="宋体" w:eastAsia="宋体" w:cs="宋体"/>
          <w:color w:val="auto"/>
          <w:highlight w:val="none"/>
        </w:rPr>
      </w:pPr>
    </w:p>
    <w:p>
      <w:pPr>
        <w:widowControl/>
        <w:jc w:val="left"/>
        <w:rPr>
          <w:rFonts w:ascii="宋体" w:hAnsi="宋体" w:eastAsia="宋体" w:cs="宋体"/>
          <w:color w:val="auto"/>
          <w:highlight w:val="none"/>
        </w:rPr>
      </w:pPr>
      <w:r>
        <w:rPr>
          <w:rFonts w:hint="eastAsia" w:ascii="宋体" w:hAnsi="宋体" w:eastAsia="宋体" w:cs="宋体"/>
          <w:color w:val="auto"/>
          <w:highlight w:val="none"/>
        </w:rPr>
        <w:t>注：如果投标人不采用以上投标保函格式，拟采用的投标保函格式须经招标人确认。</w:t>
      </w:r>
    </w:p>
    <w:p>
      <w:pPr>
        <w:widowControl/>
        <w:jc w:val="left"/>
        <w:rPr>
          <w:rFonts w:ascii="宋体" w:hAnsi="宋体" w:eastAsia="宋体" w:cs="宋体"/>
          <w:color w:val="auto"/>
          <w:highlight w:val="none"/>
        </w:rPr>
      </w:pPr>
      <w:r>
        <w:rPr>
          <w:rFonts w:hint="eastAsia" w:ascii="宋体" w:hAnsi="宋体" w:eastAsia="宋体" w:cs="宋体"/>
          <w:color w:val="auto"/>
          <w:highlight w:val="none"/>
        </w:rPr>
        <w:br w:type="page"/>
      </w:r>
    </w:p>
    <w:p>
      <w:pPr>
        <w:adjustRightInd w:val="0"/>
        <w:snapToGrid w:val="0"/>
        <w:spacing w:line="360" w:lineRule="auto"/>
        <w:jc w:val="center"/>
        <w:rPr>
          <w:rFonts w:ascii="宋体" w:hAnsi="宋体" w:eastAsia="宋体" w:cs="宋体"/>
          <w:color w:val="auto"/>
          <w:sz w:val="44"/>
          <w:highlight w:val="none"/>
        </w:rPr>
      </w:pPr>
      <w:bookmarkStart w:id="56" w:name="_Hlk86676344"/>
      <w:r>
        <w:rPr>
          <w:rFonts w:hint="eastAsia" w:ascii="宋体" w:hAnsi="宋体" w:eastAsia="宋体" w:cs="宋体"/>
          <w:color w:val="auto"/>
          <w:sz w:val="44"/>
          <w:highlight w:val="none"/>
        </w:rPr>
        <w:t>投标保证保险保险凭证</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pPr>
        <w:pStyle w:val="227"/>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pPr>
        <w:pStyle w:val="227"/>
        <w:spacing w:before="0" w:beforeAutospacing="0" w:after="0" w:afterAutospacing="0" w:line="360" w:lineRule="auto"/>
        <w:rPr>
          <w:color w:val="auto"/>
          <w:kern w:val="2"/>
          <w:sz w:val="21"/>
          <w:szCs w:val="21"/>
          <w:highlight w:val="none"/>
        </w:rPr>
      </w:pP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pPr>
        <w:pStyle w:val="227"/>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pPr>
        <w:pStyle w:val="227"/>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pPr>
        <w:pStyle w:val="227"/>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56"/>
    <w:p>
      <w:pPr>
        <w:widowControl/>
        <w:jc w:val="left"/>
        <w:rPr>
          <w:rFonts w:ascii="宋体" w:hAnsi="宋体" w:eastAsia="宋体" w:cs="宋体"/>
          <w:color w:val="auto"/>
          <w:highlight w:val="none"/>
        </w:rPr>
      </w:pPr>
    </w:p>
    <w:p>
      <w:pPr>
        <w:widowControl/>
        <w:jc w:val="left"/>
        <w:rPr>
          <w:rFonts w:ascii="宋体" w:hAnsi="宋体" w:eastAsia="宋体" w:cs="宋体"/>
          <w:color w:val="auto"/>
          <w:highlight w:val="none"/>
        </w:rPr>
      </w:pPr>
    </w:p>
    <w:p>
      <w:pPr>
        <w:widowControl/>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widowControl/>
        <w:jc w:val="left"/>
        <w:rPr>
          <w:rFonts w:ascii="宋体" w:hAnsi="宋体" w:eastAsia="宋体" w:cs="宋体"/>
          <w:color w:val="auto"/>
          <w:kern w:val="0"/>
          <w:szCs w:val="21"/>
          <w:highlight w:val="none"/>
        </w:rPr>
      </w:pPr>
    </w:p>
    <w:p>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pPr>
        <w:numPr>
          <w:ilvl w:val="0"/>
          <w:numId w:val="2"/>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after="120"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color w:val="auto"/>
          <w:kern w:val="0"/>
          <w:szCs w:val="21"/>
          <w:highlight w:val="none"/>
        </w:rPr>
      </w:pPr>
    </w:p>
    <w:p>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pPr>
        <w:rPr>
          <w:rFonts w:ascii="宋体" w:hAnsi="宋体" w:eastAsia="宋体" w:cs="宋体"/>
          <w:color w:val="auto"/>
          <w:szCs w:val="21"/>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p>
      <w:pPr>
        <w:adjustRightInd w:val="0"/>
        <w:snapToGrid w:val="0"/>
        <w:spacing w:line="360" w:lineRule="auto"/>
        <w:jc w:val="left"/>
        <w:rPr>
          <w:rFonts w:ascii="宋体" w:hAnsi="宋体" w:eastAsia="宋体" w:cs="宋体"/>
          <w:color w:val="auto"/>
          <w:highlight w:val="none"/>
        </w:rPr>
      </w:pPr>
    </w:p>
    <w:bookmarkEnd w:id="55"/>
    <w:p>
      <w:pPr>
        <w:adjustRightInd w:val="0"/>
        <w:snapToGrid w:val="0"/>
        <w:spacing w:line="360" w:lineRule="auto"/>
        <w:jc w:val="center"/>
        <w:outlineLvl w:val="0"/>
        <w:rPr>
          <w:rFonts w:ascii="黑体" w:hAnsi="黑体" w:eastAsia="黑体" w:cs="黑体"/>
          <w:bCs/>
          <w:color w:val="auto"/>
          <w:kern w:val="0"/>
          <w:sz w:val="32"/>
          <w:szCs w:val="32"/>
          <w:highlight w:val="none"/>
        </w:rPr>
      </w:pPr>
      <w:bookmarkStart w:id="57" w:name="_Toc22487"/>
      <w:r>
        <w:rPr>
          <w:rFonts w:hint="eastAsia" w:ascii="黑体" w:hAnsi="黑体" w:eastAsia="黑体" w:cs="黑体"/>
          <w:bCs/>
          <w:color w:val="auto"/>
          <w:kern w:val="0"/>
          <w:sz w:val="32"/>
          <w:szCs w:val="32"/>
          <w:highlight w:val="none"/>
        </w:rPr>
        <w:t>第六章  合同条款</w:t>
      </w:r>
      <w:bookmarkEnd w:id="57"/>
    </w:p>
    <w:p>
      <w:pPr>
        <w:adjustRightInd w:val="0"/>
        <w:snapToGrid w:val="0"/>
        <w:spacing w:line="360" w:lineRule="auto"/>
        <w:jc w:val="left"/>
        <w:rPr>
          <w:rFonts w:ascii="宋体" w:hAnsi="宋体" w:eastAsia="宋体" w:cs="宋体"/>
          <w:color w:val="auto"/>
          <w:kern w:val="0"/>
          <w:highlight w:val="none"/>
        </w:rPr>
      </w:pPr>
      <w:r>
        <w:rPr>
          <w:rFonts w:hint="eastAsia" w:ascii="宋体" w:hAnsi="宋体" w:eastAsia="宋体" w:cs="宋体"/>
          <w:color w:val="auto"/>
          <w:kern w:val="0"/>
          <w:highlight w:val="none"/>
        </w:rPr>
        <w:t>合同条款</w:t>
      </w:r>
    </w:p>
    <w:p>
      <w:pPr>
        <w:rPr>
          <w:rFonts w:ascii="宋体" w:hAnsi="宋体" w:eastAsia="宋体" w:cs="宋体"/>
          <w:color w:val="auto"/>
          <w:highlight w:val="none"/>
        </w:rPr>
      </w:pPr>
      <w:r>
        <w:rPr>
          <w:rFonts w:hint="eastAsia" w:ascii="宋体" w:hAnsi="宋体" w:eastAsia="宋体" w:cs="宋体"/>
          <w:color w:val="auto"/>
          <w:highlight w:val="none"/>
        </w:rPr>
        <w:t>建议使用市造价管理部门发布的设计类合同示范范本</w:t>
      </w:r>
    </w:p>
    <w:p>
      <w:pPr>
        <w:rPr>
          <w:rFonts w:ascii="宋体" w:hAnsi="宋体" w:eastAsia="宋体" w:cs="宋体"/>
          <w:color w:val="auto"/>
          <w:highlight w:val="none"/>
        </w:rPr>
      </w:pPr>
    </w:p>
    <w:sectPr>
      <w:footerReference r:id="rId5" w:type="default"/>
      <w:pgSz w:w="11906" w:h="16838"/>
      <w:pgMar w:top="1134" w:right="1134" w:bottom="1134" w:left="1134"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1"/>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instrText xml:space="preserve">PAGE   \* MERGEFORMAT</w:instrText>
                          </w:r>
                          <w:r>
                            <w:fldChar w:fldCharType="separate"/>
                          </w:r>
                          <w:r>
                            <w:rPr>
                              <w:lang w:val="zh-CN"/>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jc w:val="center"/>
                    </w:pPr>
                    <w:r>
                      <w:fldChar w:fldCharType="begin"/>
                    </w:r>
                    <w:r>
                      <w:instrText xml:space="preserve">PAGE   \* MERGEFORMAT</w:instrText>
                    </w:r>
                    <w:r>
                      <w:fldChar w:fldCharType="separate"/>
                    </w:r>
                    <w:r>
                      <w:rPr>
                        <w:lang w:val="zh-CN"/>
                      </w:rPr>
                      <w:t>51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[2]的具体要求源自《深圳市人民政府关于进一步规范建设工程招标投标活动的通知》(深府规〔2024〕8号)第三条。</w:t>
      </w:r>
    </w:p>
  </w:footnote>
  <w:footnote w:id="2">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[3]、[4]的具体要求源自《深圳市人民政府关于进一步规范建设工程招标投标活动的通知》(深府规〔2024〕8号)第四、七条。</w:t>
      </w:r>
    </w:p>
  </w:footnote>
  <w:footnote w:id="3">
    <w:p>
      <w:pPr>
        <w:pStyle w:val="62"/>
        <w:snapToGrid w:val="0"/>
      </w:pPr>
    </w:p>
  </w:footnote>
  <w:footnote w:id="4">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[5]的具体要求源自《深圳市住房和建设局关于进一步规范招标投标有关事宜的通知》（深建市场〔2022〕4号）第三条。</w:t>
      </w:r>
    </w:p>
    <w:p>
      <w:pPr>
        <w:pStyle w:val="62"/>
        <w:snapToGrid w:val="0"/>
      </w:pPr>
    </w:p>
  </w:footnote>
  <w:footnote w:id="5">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[6]-[9]的具体要求源自《深圳市人民政府关于进一步规范建设工程招标投标活动的通知》(深</w:t>
      </w:r>
    </w:p>
  </w:footnote>
  <w:footnote w:id="6">
    <w:p>
      <w:pPr>
        <w:adjustRightInd w:val="0"/>
        <w:snapToGrid w:val="0"/>
      </w:pPr>
      <w:r>
        <w:rPr>
          <w:rFonts w:hint="eastAsia" w:ascii="宋体" w:hAnsi="宋体" w:eastAsia="宋体" w:cs="宋体"/>
          <w:color w:val="000000" w:themeColor="text1"/>
          <w:szCs w:val="21"/>
          <w:lang w:val="en-US" w:eastAsia="zh-CN"/>
          <w14:textFill>
            <w14:solidFill>
              <w14:schemeClr w14:val="tx1"/>
            </w14:solidFill>
          </w14:textFill>
        </w:rPr>
        <w:t>府规〔2024〕8号)第五、七、九条以及《深圳市人民政府印发关于建设工程招标投标改革若干规定</w:t>
      </w:r>
    </w:p>
  </w:footnote>
  <w:footnote w:id="7">
    <w:p>
      <w:pPr>
        <w:adjustRightInd w:val="0"/>
        <w:snapToGrid w:val="0"/>
        <w:ind w:firstLine="0"/>
      </w:pPr>
      <w:r>
        <w:rPr>
          <w:rFonts w:hint="eastAsia" w:ascii="宋体" w:hAnsi="宋体" w:eastAsia="宋体" w:cs="宋体"/>
          <w:color w:val="000000" w:themeColor="text1"/>
          <w:szCs w:val="21"/>
          <w:lang w:val="en-US" w:eastAsia="zh-CN"/>
          <w14:textFill>
            <w14:solidFill>
              <w14:schemeClr w14:val="tx1"/>
            </w14:solidFill>
          </w14:textFill>
        </w:rPr>
        <w:t>的通知》（深府〔2015〕73号）第四十七条。</w:t>
      </w:r>
    </w:p>
  </w:footnote>
  <w:footnote w:id="8">
    <w:p>
      <w:pPr>
        <w:pStyle w:val="62"/>
        <w:snapToGrid w:val="0"/>
        <w:rPr>
          <w:rFonts w:hint="default" w:eastAsia="宋体"/>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abstractNum w:abstractNumId="1">
    <w:nsid w:val="7D22672B"/>
    <w:multiLevelType w:val="multilevel"/>
    <w:tmpl w:val="7D22672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8f15e836-4dd9-4c90-8f71-4af0bc10ab1a"/>
  </w:docVars>
  <w:rsids>
    <w:rsidRoot w:val="0098207A"/>
    <w:rsid w:val="00005A05"/>
    <w:rsid w:val="000C2473"/>
    <w:rsid w:val="001B4F00"/>
    <w:rsid w:val="00214E57"/>
    <w:rsid w:val="00237ABD"/>
    <w:rsid w:val="002D0A40"/>
    <w:rsid w:val="00381040"/>
    <w:rsid w:val="00381D52"/>
    <w:rsid w:val="0039320D"/>
    <w:rsid w:val="003B07B5"/>
    <w:rsid w:val="00541338"/>
    <w:rsid w:val="005449F8"/>
    <w:rsid w:val="005651E2"/>
    <w:rsid w:val="00572956"/>
    <w:rsid w:val="00692E0C"/>
    <w:rsid w:val="006F2488"/>
    <w:rsid w:val="00704669"/>
    <w:rsid w:val="0094576B"/>
    <w:rsid w:val="00972F90"/>
    <w:rsid w:val="0098207A"/>
    <w:rsid w:val="00A51EB6"/>
    <w:rsid w:val="00A53C5C"/>
    <w:rsid w:val="00B94C65"/>
    <w:rsid w:val="00BB4731"/>
    <w:rsid w:val="00BE78E7"/>
    <w:rsid w:val="00C55466"/>
    <w:rsid w:val="00C6526C"/>
    <w:rsid w:val="00D16EBA"/>
    <w:rsid w:val="00D430D7"/>
    <w:rsid w:val="00DB7DD4"/>
    <w:rsid w:val="00DF3DD2"/>
    <w:rsid w:val="00DF73EB"/>
    <w:rsid w:val="00E1509A"/>
    <w:rsid w:val="00FF2678"/>
    <w:rsid w:val="010F3077"/>
    <w:rsid w:val="01222861"/>
    <w:rsid w:val="02543FEB"/>
    <w:rsid w:val="02AF7938"/>
    <w:rsid w:val="03404F08"/>
    <w:rsid w:val="03707562"/>
    <w:rsid w:val="03C12816"/>
    <w:rsid w:val="03D92499"/>
    <w:rsid w:val="03FD622B"/>
    <w:rsid w:val="04365740"/>
    <w:rsid w:val="04396E37"/>
    <w:rsid w:val="05124BCF"/>
    <w:rsid w:val="053053C9"/>
    <w:rsid w:val="058D598A"/>
    <w:rsid w:val="05975A9E"/>
    <w:rsid w:val="061340E1"/>
    <w:rsid w:val="069E7F76"/>
    <w:rsid w:val="06F15AA5"/>
    <w:rsid w:val="07757E6F"/>
    <w:rsid w:val="07CA0FD6"/>
    <w:rsid w:val="07E913A4"/>
    <w:rsid w:val="08135F56"/>
    <w:rsid w:val="08157702"/>
    <w:rsid w:val="08640511"/>
    <w:rsid w:val="08AD0891"/>
    <w:rsid w:val="08EB573C"/>
    <w:rsid w:val="09C54A03"/>
    <w:rsid w:val="0A735912"/>
    <w:rsid w:val="0BBD7762"/>
    <w:rsid w:val="0C225C38"/>
    <w:rsid w:val="0C746ABD"/>
    <w:rsid w:val="0C8B47F1"/>
    <w:rsid w:val="0CB115FB"/>
    <w:rsid w:val="0D4F4494"/>
    <w:rsid w:val="0D7B0878"/>
    <w:rsid w:val="0DDB4634"/>
    <w:rsid w:val="0DE6032D"/>
    <w:rsid w:val="0E75798A"/>
    <w:rsid w:val="0EC50E83"/>
    <w:rsid w:val="0F8B76DD"/>
    <w:rsid w:val="103C57C3"/>
    <w:rsid w:val="10746173"/>
    <w:rsid w:val="10C10A36"/>
    <w:rsid w:val="11025031"/>
    <w:rsid w:val="114F4368"/>
    <w:rsid w:val="125C0BBE"/>
    <w:rsid w:val="12773E40"/>
    <w:rsid w:val="12C578FE"/>
    <w:rsid w:val="130C6447"/>
    <w:rsid w:val="135037BF"/>
    <w:rsid w:val="141911AF"/>
    <w:rsid w:val="14B56429"/>
    <w:rsid w:val="14B57F9C"/>
    <w:rsid w:val="14FB27C8"/>
    <w:rsid w:val="158617B7"/>
    <w:rsid w:val="168439A7"/>
    <w:rsid w:val="169C4738"/>
    <w:rsid w:val="17321D9C"/>
    <w:rsid w:val="179D4832"/>
    <w:rsid w:val="181576A6"/>
    <w:rsid w:val="188624F1"/>
    <w:rsid w:val="18F964D4"/>
    <w:rsid w:val="18FE10DA"/>
    <w:rsid w:val="1A4563DB"/>
    <w:rsid w:val="1A491EAB"/>
    <w:rsid w:val="1AEE3B12"/>
    <w:rsid w:val="1AF5167A"/>
    <w:rsid w:val="1AF924BF"/>
    <w:rsid w:val="1B167F68"/>
    <w:rsid w:val="1B910D1B"/>
    <w:rsid w:val="1BAF6202"/>
    <w:rsid w:val="1C375572"/>
    <w:rsid w:val="1C771675"/>
    <w:rsid w:val="1C8A4F21"/>
    <w:rsid w:val="1C956884"/>
    <w:rsid w:val="1D220C6C"/>
    <w:rsid w:val="1DED2110"/>
    <w:rsid w:val="1DF75C3F"/>
    <w:rsid w:val="1EC26A69"/>
    <w:rsid w:val="1EE3319B"/>
    <w:rsid w:val="1F3212A3"/>
    <w:rsid w:val="1F4153C3"/>
    <w:rsid w:val="1FA31B8D"/>
    <w:rsid w:val="201F3622"/>
    <w:rsid w:val="20BB0CC8"/>
    <w:rsid w:val="22992700"/>
    <w:rsid w:val="231B6256"/>
    <w:rsid w:val="232C1B98"/>
    <w:rsid w:val="24160C67"/>
    <w:rsid w:val="242D7165"/>
    <w:rsid w:val="2439646A"/>
    <w:rsid w:val="245D5881"/>
    <w:rsid w:val="24FF672F"/>
    <w:rsid w:val="2530555E"/>
    <w:rsid w:val="2583059B"/>
    <w:rsid w:val="25872642"/>
    <w:rsid w:val="25970AA1"/>
    <w:rsid w:val="25AE4D6D"/>
    <w:rsid w:val="260475EE"/>
    <w:rsid w:val="263727CB"/>
    <w:rsid w:val="266F111A"/>
    <w:rsid w:val="26DD4C43"/>
    <w:rsid w:val="272522C5"/>
    <w:rsid w:val="278F5083"/>
    <w:rsid w:val="279C55DC"/>
    <w:rsid w:val="27E35050"/>
    <w:rsid w:val="28BE7803"/>
    <w:rsid w:val="28F21191"/>
    <w:rsid w:val="2A051DC6"/>
    <w:rsid w:val="2AC83A6C"/>
    <w:rsid w:val="2B927F41"/>
    <w:rsid w:val="2C2220D9"/>
    <w:rsid w:val="2C9E3311"/>
    <w:rsid w:val="2CFD7A89"/>
    <w:rsid w:val="2CFF2826"/>
    <w:rsid w:val="2D005D7F"/>
    <w:rsid w:val="2D191D8E"/>
    <w:rsid w:val="2D3C55BF"/>
    <w:rsid w:val="2D5219A3"/>
    <w:rsid w:val="2D956228"/>
    <w:rsid w:val="2DA51213"/>
    <w:rsid w:val="2DC55467"/>
    <w:rsid w:val="2E61338C"/>
    <w:rsid w:val="2EBF6305"/>
    <w:rsid w:val="2F2517AF"/>
    <w:rsid w:val="2F6F7D2B"/>
    <w:rsid w:val="2F834FA7"/>
    <w:rsid w:val="2FB57C11"/>
    <w:rsid w:val="30127E9C"/>
    <w:rsid w:val="303946BB"/>
    <w:rsid w:val="3058256D"/>
    <w:rsid w:val="31004A9C"/>
    <w:rsid w:val="319B716C"/>
    <w:rsid w:val="31B42E39"/>
    <w:rsid w:val="31C53C32"/>
    <w:rsid w:val="32134DD5"/>
    <w:rsid w:val="32384F3D"/>
    <w:rsid w:val="326276D3"/>
    <w:rsid w:val="329B2BE5"/>
    <w:rsid w:val="32FC004E"/>
    <w:rsid w:val="333F5C66"/>
    <w:rsid w:val="343B01DB"/>
    <w:rsid w:val="344829B6"/>
    <w:rsid w:val="351D3D85"/>
    <w:rsid w:val="352841D7"/>
    <w:rsid w:val="353E4554"/>
    <w:rsid w:val="35B75B3B"/>
    <w:rsid w:val="35BE6D1C"/>
    <w:rsid w:val="36353E74"/>
    <w:rsid w:val="369D743C"/>
    <w:rsid w:val="36AD7C62"/>
    <w:rsid w:val="36DF7544"/>
    <w:rsid w:val="37414E2F"/>
    <w:rsid w:val="376702E5"/>
    <w:rsid w:val="37D77A1D"/>
    <w:rsid w:val="37F667FF"/>
    <w:rsid w:val="38591578"/>
    <w:rsid w:val="38B8397F"/>
    <w:rsid w:val="39643D30"/>
    <w:rsid w:val="3A06498E"/>
    <w:rsid w:val="3A4A72A1"/>
    <w:rsid w:val="3ACE2A23"/>
    <w:rsid w:val="3B6062C9"/>
    <w:rsid w:val="3B770BFA"/>
    <w:rsid w:val="3BA02E0F"/>
    <w:rsid w:val="3BBE66E6"/>
    <w:rsid w:val="3BD96CCB"/>
    <w:rsid w:val="3C3635D6"/>
    <w:rsid w:val="3C371BB9"/>
    <w:rsid w:val="3C924665"/>
    <w:rsid w:val="3CD605BB"/>
    <w:rsid w:val="3CEF0D5F"/>
    <w:rsid w:val="3D74475E"/>
    <w:rsid w:val="3E120395"/>
    <w:rsid w:val="3E580094"/>
    <w:rsid w:val="3EBE557F"/>
    <w:rsid w:val="3F340649"/>
    <w:rsid w:val="3F8D4ADB"/>
    <w:rsid w:val="40140D3D"/>
    <w:rsid w:val="402402A1"/>
    <w:rsid w:val="40913795"/>
    <w:rsid w:val="40DB253A"/>
    <w:rsid w:val="412C6752"/>
    <w:rsid w:val="41526B64"/>
    <w:rsid w:val="41696CCA"/>
    <w:rsid w:val="41935B65"/>
    <w:rsid w:val="41BD2160"/>
    <w:rsid w:val="420B3BE6"/>
    <w:rsid w:val="42916A0C"/>
    <w:rsid w:val="43397FDC"/>
    <w:rsid w:val="43A21097"/>
    <w:rsid w:val="43DC3C38"/>
    <w:rsid w:val="43EC5437"/>
    <w:rsid w:val="44001CCE"/>
    <w:rsid w:val="443D74B5"/>
    <w:rsid w:val="44D258DF"/>
    <w:rsid w:val="451C45C0"/>
    <w:rsid w:val="45516B00"/>
    <w:rsid w:val="466D0097"/>
    <w:rsid w:val="46937505"/>
    <w:rsid w:val="46F72688"/>
    <w:rsid w:val="472B2756"/>
    <w:rsid w:val="474F00CC"/>
    <w:rsid w:val="478A7399"/>
    <w:rsid w:val="47936940"/>
    <w:rsid w:val="48270124"/>
    <w:rsid w:val="48B63D3D"/>
    <w:rsid w:val="48FA645F"/>
    <w:rsid w:val="494119E7"/>
    <w:rsid w:val="498B3C53"/>
    <w:rsid w:val="49D778EB"/>
    <w:rsid w:val="49E8778F"/>
    <w:rsid w:val="4A1D59B7"/>
    <w:rsid w:val="4A201D24"/>
    <w:rsid w:val="4AE22D26"/>
    <w:rsid w:val="4AF52893"/>
    <w:rsid w:val="4BDA36E3"/>
    <w:rsid w:val="4BDD5D96"/>
    <w:rsid w:val="4BFF2922"/>
    <w:rsid w:val="4C1A768C"/>
    <w:rsid w:val="4CDB3A16"/>
    <w:rsid w:val="4D2239F2"/>
    <w:rsid w:val="4DBF5582"/>
    <w:rsid w:val="4DEA4606"/>
    <w:rsid w:val="4FC74093"/>
    <w:rsid w:val="4FDF6815"/>
    <w:rsid w:val="4FF96A83"/>
    <w:rsid w:val="5101651E"/>
    <w:rsid w:val="51033507"/>
    <w:rsid w:val="51411532"/>
    <w:rsid w:val="52841DA5"/>
    <w:rsid w:val="52C050B6"/>
    <w:rsid w:val="53395710"/>
    <w:rsid w:val="53D778F9"/>
    <w:rsid w:val="54B24E99"/>
    <w:rsid w:val="5526344E"/>
    <w:rsid w:val="556644E4"/>
    <w:rsid w:val="55F34C3B"/>
    <w:rsid w:val="571E5A0F"/>
    <w:rsid w:val="57280663"/>
    <w:rsid w:val="574169AF"/>
    <w:rsid w:val="57BE2BBD"/>
    <w:rsid w:val="57E2278D"/>
    <w:rsid w:val="584D5A13"/>
    <w:rsid w:val="584D65AC"/>
    <w:rsid w:val="58692CBA"/>
    <w:rsid w:val="58B1683E"/>
    <w:rsid w:val="58E93DFA"/>
    <w:rsid w:val="59343F90"/>
    <w:rsid w:val="594E0C6A"/>
    <w:rsid w:val="598C1AAD"/>
    <w:rsid w:val="59D979CB"/>
    <w:rsid w:val="59F9006D"/>
    <w:rsid w:val="5A515808"/>
    <w:rsid w:val="5AA14FF6"/>
    <w:rsid w:val="5AD71C6E"/>
    <w:rsid w:val="5BED1FB7"/>
    <w:rsid w:val="5CC33BB7"/>
    <w:rsid w:val="5D054B36"/>
    <w:rsid w:val="5D082B9D"/>
    <w:rsid w:val="5D64571D"/>
    <w:rsid w:val="5DB36498"/>
    <w:rsid w:val="5E3B40ED"/>
    <w:rsid w:val="5E44663D"/>
    <w:rsid w:val="5EF955F9"/>
    <w:rsid w:val="5FEF25ED"/>
    <w:rsid w:val="606B7FFC"/>
    <w:rsid w:val="60760363"/>
    <w:rsid w:val="61253896"/>
    <w:rsid w:val="61CE2791"/>
    <w:rsid w:val="62612827"/>
    <w:rsid w:val="62974EEF"/>
    <w:rsid w:val="62AA2E12"/>
    <w:rsid w:val="62D36341"/>
    <w:rsid w:val="62E3549F"/>
    <w:rsid w:val="63F078A7"/>
    <w:rsid w:val="63F607E7"/>
    <w:rsid w:val="640658F6"/>
    <w:rsid w:val="645A795A"/>
    <w:rsid w:val="64892981"/>
    <w:rsid w:val="64C574CA"/>
    <w:rsid w:val="65037395"/>
    <w:rsid w:val="655E5E3C"/>
    <w:rsid w:val="656016CE"/>
    <w:rsid w:val="65DC4ACB"/>
    <w:rsid w:val="66106E6A"/>
    <w:rsid w:val="663A6E09"/>
    <w:rsid w:val="66D84A61"/>
    <w:rsid w:val="66F14244"/>
    <w:rsid w:val="6856228A"/>
    <w:rsid w:val="68B71BEF"/>
    <w:rsid w:val="68F30C8A"/>
    <w:rsid w:val="695D2339"/>
    <w:rsid w:val="69BA4EFE"/>
    <w:rsid w:val="6A576E16"/>
    <w:rsid w:val="6A61388B"/>
    <w:rsid w:val="6A6752A6"/>
    <w:rsid w:val="6B79220F"/>
    <w:rsid w:val="6BC24763"/>
    <w:rsid w:val="6BEB70C0"/>
    <w:rsid w:val="6C0C0C87"/>
    <w:rsid w:val="6C6A18D0"/>
    <w:rsid w:val="6CBB26FA"/>
    <w:rsid w:val="6D8002F0"/>
    <w:rsid w:val="6D87118A"/>
    <w:rsid w:val="6DF02D94"/>
    <w:rsid w:val="6EBE56B6"/>
    <w:rsid w:val="6F7E73B3"/>
    <w:rsid w:val="6FBD1AF1"/>
    <w:rsid w:val="70CA3F61"/>
    <w:rsid w:val="713D49A0"/>
    <w:rsid w:val="718524BB"/>
    <w:rsid w:val="71D376CA"/>
    <w:rsid w:val="71E61E59"/>
    <w:rsid w:val="72485261"/>
    <w:rsid w:val="72705C86"/>
    <w:rsid w:val="7279700A"/>
    <w:rsid w:val="72B648F6"/>
    <w:rsid w:val="730E4A24"/>
    <w:rsid w:val="731D700F"/>
    <w:rsid w:val="737D2D45"/>
    <w:rsid w:val="73DB73CE"/>
    <w:rsid w:val="74014CFD"/>
    <w:rsid w:val="741E53A2"/>
    <w:rsid w:val="74984C54"/>
    <w:rsid w:val="74A0585D"/>
    <w:rsid w:val="7563761F"/>
    <w:rsid w:val="75BD6F05"/>
    <w:rsid w:val="75CB7F75"/>
    <w:rsid w:val="763C648B"/>
    <w:rsid w:val="764F4E7B"/>
    <w:rsid w:val="7669667B"/>
    <w:rsid w:val="76C71663"/>
    <w:rsid w:val="76C9109B"/>
    <w:rsid w:val="7718691C"/>
    <w:rsid w:val="774562F7"/>
    <w:rsid w:val="779F2461"/>
    <w:rsid w:val="77D655FF"/>
    <w:rsid w:val="78276081"/>
    <w:rsid w:val="78652BF2"/>
    <w:rsid w:val="786F477A"/>
    <w:rsid w:val="78E56468"/>
    <w:rsid w:val="790C526F"/>
    <w:rsid w:val="797265B2"/>
    <w:rsid w:val="797A667D"/>
    <w:rsid w:val="79B20162"/>
    <w:rsid w:val="79F07CD6"/>
    <w:rsid w:val="79F707C4"/>
    <w:rsid w:val="7A8A11D0"/>
    <w:rsid w:val="7AA30990"/>
    <w:rsid w:val="7AAF70E6"/>
    <w:rsid w:val="7B6B1515"/>
    <w:rsid w:val="7CA4332E"/>
    <w:rsid w:val="7CE6267C"/>
    <w:rsid w:val="7CF40F8E"/>
    <w:rsid w:val="7D231DD8"/>
    <w:rsid w:val="7D787D79"/>
    <w:rsid w:val="7D7E21E3"/>
    <w:rsid w:val="7E2265CE"/>
    <w:rsid w:val="7E9677CA"/>
    <w:rsid w:val="7F09560F"/>
    <w:rsid w:val="7F497728"/>
    <w:rsid w:val="7F756EE0"/>
    <w:rsid w:val="7FFFB999"/>
    <w:rsid w:val="DF5A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name="E-mail Signature"/>
    <w:lsdException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1"/>
    <w:qFormat/>
    <w:uiPriority w:val="0"/>
    <w:pPr>
      <w:keepNext/>
      <w:keepLines/>
      <w:spacing w:before="260" w:after="260" w:line="416" w:lineRule="auto"/>
      <w:ind w:left="720" w:hanging="432"/>
      <w:outlineLvl w:val="2"/>
    </w:pPr>
    <w:rPr>
      <w:b/>
      <w:bCs/>
      <w:sz w:val="32"/>
      <w:szCs w:val="32"/>
    </w:rPr>
  </w:style>
  <w:style w:type="paragraph" w:styleId="5">
    <w:name w:val="heading 4"/>
    <w:basedOn w:val="1"/>
    <w:next w:val="1"/>
    <w:link w:val="142"/>
    <w:qFormat/>
    <w:uiPriority w:val="0"/>
    <w:pPr>
      <w:keepNext/>
      <w:keepLines/>
      <w:spacing w:before="280" w:after="290" w:line="376" w:lineRule="auto"/>
      <w:ind w:left="864" w:hanging="144"/>
      <w:outlineLvl w:val="3"/>
    </w:pPr>
    <w:rPr>
      <w:rFonts w:asciiTheme="majorHAnsi" w:hAnsiTheme="majorHAnsi" w:eastAsiaTheme="majorEastAsia" w:cstheme="majorBidi"/>
      <w:b/>
      <w:bCs/>
      <w:sz w:val="28"/>
      <w:szCs w:val="28"/>
    </w:rPr>
  </w:style>
  <w:style w:type="paragraph" w:styleId="6">
    <w:name w:val="heading 5"/>
    <w:basedOn w:val="1"/>
    <w:next w:val="1"/>
    <w:link w:val="143"/>
    <w:qFormat/>
    <w:uiPriority w:val="0"/>
    <w:pPr>
      <w:keepNext/>
      <w:keepLines/>
      <w:spacing w:before="280" w:after="290" w:line="376" w:lineRule="auto"/>
      <w:ind w:left="1008" w:hanging="432"/>
      <w:outlineLvl w:val="4"/>
    </w:pPr>
    <w:rPr>
      <w:b/>
      <w:bCs/>
      <w:sz w:val="28"/>
      <w:szCs w:val="28"/>
    </w:rPr>
  </w:style>
  <w:style w:type="paragraph" w:styleId="7">
    <w:name w:val="heading 6"/>
    <w:basedOn w:val="1"/>
    <w:next w:val="1"/>
    <w:link w:val="144"/>
    <w:qFormat/>
    <w:uiPriority w:val="0"/>
    <w:pPr>
      <w:keepNext/>
      <w:keepLines/>
      <w:spacing w:before="240" w:after="64" w:line="320" w:lineRule="auto"/>
      <w:ind w:left="1152" w:hanging="432"/>
      <w:outlineLvl w:val="5"/>
    </w:pPr>
    <w:rPr>
      <w:rFonts w:asciiTheme="majorHAnsi" w:hAnsiTheme="majorHAnsi" w:eastAsiaTheme="majorEastAsia" w:cstheme="majorBidi"/>
      <w:b/>
      <w:bCs/>
      <w:sz w:val="24"/>
      <w:szCs w:val="24"/>
    </w:rPr>
  </w:style>
  <w:style w:type="paragraph" w:styleId="8">
    <w:name w:val="heading 7"/>
    <w:basedOn w:val="1"/>
    <w:next w:val="1"/>
    <w:link w:val="145"/>
    <w:qFormat/>
    <w:uiPriority w:val="0"/>
    <w:pPr>
      <w:keepNext/>
      <w:keepLines/>
      <w:spacing w:before="240" w:after="64" w:line="320" w:lineRule="auto"/>
      <w:ind w:left="1296" w:hanging="288"/>
      <w:outlineLvl w:val="6"/>
    </w:pPr>
    <w:rPr>
      <w:b/>
      <w:bCs/>
      <w:sz w:val="24"/>
      <w:szCs w:val="24"/>
    </w:rPr>
  </w:style>
  <w:style w:type="paragraph" w:styleId="9">
    <w:name w:val="heading 8"/>
    <w:basedOn w:val="1"/>
    <w:next w:val="1"/>
    <w:link w:val="146"/>
    <w:qFormat/>
    <w:uiPriority w:val="0"/>
    <w:pPr>
      <w:keepNext/>
      <w:keepLines/>
      <w:spacing w:before="240" w:after="64" w:line="320" w:lineRule="auto"/>
      <w:ind w:left="1440" w:hanging="432"/>
      <w:outlineLvl w:val="7"/>
    </w:pPr>
    <w:rPr>
      <w:rFonts w:asciiTheme="majorHAnsi" w:hAnsiTheme="majorHAnsi" w:eastAsiaTheme="majorEastAsia" w:cstheme="majorBidi"/>
      <w:sz w:val="24"/>
      <w:szCs w:val="24"/>
    </w:rPr>
  </w:style>
  <w:style w:type="paragraph" w:styleId="10">
    <w:name w:val="heading 9"/>
    <w:basedOn w:val="1"/>
    <w:next w:val="1"/>
    <w:link w:val="147"/>
    <w:qFormat/>
    <w:uiPriority w:val="0"/>
    <w:pPr>
      <w:keepNext/>
      <w:keepLines/>
      <w:spacing w:before="240" w:after="64" w:line="320" w:lineRule="auto"/>
      <w:ind w:left="1584" w:hanging="144"/>
      <w:outlineLvl w:val="8"/>
    </w:pPr>
    <w:rPr>
      <w:rFonts w:asciiTheme="majorHAnsi" w:hAnsiTheme="majorHAnsi" w:eastAsiaTheme="majorEastAsia" w:cstheme="majorBidi"/>
      <w:szCs w:val="21"/>
    </w:rPr>
  </w:style>
  <w:style w:type="character" w:default="1" w:styleId="124">
    <w:name w:val="Default Paragraph Font"/>
    <w:semiHidden/>
    <w:unhideWhenUsed/>
    <w:qFormat/>
    <w:uiPriority w:val="1"/>
  </w:style>
  <w:style w:type="table" w:default="1" w:styleId="7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1260"/>
      <w:jc w:val="left"/>
    </w:pPr>
    <w:rPr>
      <w:rFonts w:ascii="Times New Roman" w:hAnsi="Times New Roman" w:eastAsia="宋体" w:cs="Times New Roman"/>
      <w:sz w:val="18"/>
      <w:szCs w:val="18"/>
    </w:rPr>
  </w:style>
  <w:style w:type="paragraph" w:styleId="13">
    <w:name w:val="List Number 2"/>
    <w:basedOn w:val="1"/>
    <w:semiHidden/>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1"/>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3"/>
    <w:semiHidden/>
    <w:qFormat/>
    <w:uiPriority w:val="0"/>
    <w:rPr>
      <w:rFonts w:ascii="Times New Roman" w:hAnsi="Times New Roman" w:eastAsia="宋体" w:cs="Times New Roman"/>
      <w:szCs w:val="24"/>
    </w:rPr>
  </w:style>
  <w:style w:type="paragraph" w:styleId="18">
    <w:name w:val="List Number"/>
    <w:basedOn w:val="1"/>
    <w:semiHidden/>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76"/>
    <w:unhideWhenUsed/>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7"/>
    <w:semiHidden/>
    <w:qFormat/>
    <w:uiPriority w:val="0"/>
    <w:rPr>
      <w:rFonts w:ascii="Times New Roman" w:hAnsi="Times New Roman" w:eastAsia="宋体" w:cs="Times New Roman"/>
      <w:szCs w:val="24"/>
    </w:rPr>
  </w:style>
  <w:style w:type="paragraph" w:styleId="27">
    <w:name w:val="Body Text 3"/>
    <w:basedOn w:val="1"/>
    <w:link w:val="158"/>
    <w:semiHidden/>
    <w:qFormat/>
    <w:uiPriority w:val="0"/>
    <w:pPr>
      <w:spacing w:after="120"/>
    </w:pPr>
    <w:rPr>
      <w:rFonts w:ascii="Times New Roman" w:hAnsi="Times New Roman" w:eastAsia="宋体" w:cs="Times New Roman"/>
      <w:sz w:val="16"/>
      <w:szCs w:val="16"/>
    </w:rPr>
  </w:style>
  <w:style w:type="paragraph" w:styleId="28">
    <w:name w:val="Closing"/>
    <w:basedOn w:val="1"/>
    <w:link w:val="168"/>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79"/>
    <w:semiHidden/>
    <w:unhideWhenUsed/>
    <w:qFormat/>
    <w:uiPriority w:val="99"/>
    <w:pPr>
      <w:spacing w:after="120"/>
    </w:pPr>
    <w:rPr>
      <w:rFonts w:ascii="Times New Roman" w:hAnsi="Times New Roman" w:eastAsia="宋体" w:cs="Times New Roman"/>
      <w:szCs w:val="20"/>
    </w:rPr>
  </w:style>
  <w:style w:type="paragraph" w:styleId="31">
    <w:name w:val="Body Text Indent"/>
    <w:basedOn w:val="1"/>
    <w:link w:val="200"/>
    <w:semiHidden/>
    <w:unhideWhenUsed/>
    <w:qFormat/>
    <w:uiPriority w:val="99"/>
    <w:pPr>
      <w:spacing w:after="120"/>
      <w:ind w:left="420" w:leftChars="200"/>
    </w:pPr>
    <w:rPr>
      <w:rFonts w:ascii="Times New Roman" w:hAnsi="Times New Roman" w:eastAsia="宋体" w:cs="Times New Roman"/>
      <w:szCs w:val="20"/>
    </w:rPr>
  </w:style>
  <w:style w:type="paragraph" w:styleId="32">
    <w:name w:val="List Number 3"/>
    <w:basedOn w:val="1"/>
    <w:semiHidden/>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6"/>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tabs>
        <w:tab w:val="right" w:leader="dot" w:pos="8948"/>
      </w:tabs>
      <w:spacing w:line="360" w:lineRule="auto"/>
      <w:ind w:left="420" w:leftChars="200" w:right="420" w:rightChars="200" w:firstLine="960" w:firstLineChars="400"/>
    </w:pPr>
    <w:rPr>
      <w:rFonts w:ascii="宋体" w:hAnsi="宋体" w:eastAsia="宋体" w:cs="Times New Roman"/>
      <w:kern w:val="0"/>
      <w:sz w:val="24"/>
      <w:szCs w:val="24"/>
    </w:rPr>
  </w:style>
  <w:style w:type="paragraph" w:styleId="40">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eastAsia="宋体" w:cs="Times New Roman"/>
      <w:b/>
      <w:iCs/>
      <w:sz w:val="24"/>
      <w:szCs w:val="24"/>
    </w:rPr>
  </w:style>
  <w:style w:type="paragraph" w:styleId="41">
    <w:name w:val="Plain Text"/>
    <w:basedOn w:val="1"/>
    <w:link w:val="203"/>
    <w:unhideWhenUsed/>
    <w:qFormat/>
    <w:uiPriority w:val="0"/>
    <w:rPr>
      <w:rFonts w:ascii="宋体" w:hAnsi="Courier New" w:eastAsia="宋体" w:cs="Times New Roman"/>
      <w:kern w:val="0"/>
      <w:sz w:val="20"/>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semiHidden/>
    <w:qFormat/>
    <w:uiPriority w:val="0"/>
    <w:pPr>
      <w:ind w:left="1470"/>
      <w:jc w:val="left"/>
    </w:pPr>
    <w:rPr>
      <w:rFonts w:ascii="Times New Roman" w:hAnsi="Times New Roman" w:eastAsia="宋体" w:cs="Times New Roman"/>
      <w:sz w:val="18"/>
      <w:szCs w:val="18"/>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225"/>
    <w:semiHidden/>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2"/>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215"/>
    <w:semiHidden/>
    <w:qFormat/>
    <w:uiPriority w:val="0"/>
    <w:pPr>
      <w:snapToGrid w:val="0"/>
      <w:jc w:val="left"/>
    </w:pPr>
    <w:rPr>
      <w:rFonts w:ascii="Times New Roman" w:hAnsi="Times New Roman" w:eastAsia="宋体" w:cs="Times New Roman"/>
      <w:szCs w:val="24"/>
    </w:rPr>
  </w:style>
  <w:style w:type="paragraph" w:styleId="49">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59"/>
    <w:semiHidden/>
    <w:qFormat/>
    <w:uiPriority w:val="0"/>
    <w:rPr>
      <w:rFonts w:ascii="Times New Roman" w:hAnsi="Times New Roman" w:eastAsia="宋体" w:cs="Times New Roman"/>
      <w:sz w:val="18"/>
      <w:szCs w:val="18"/>
    </w:rPr>
  </w:style>
  <w:style w:type="paragraph" w:styleId="51">
    <w:name w:val="footer"/>
    <w:basedOn w:val="1"/>
    <w:link w:val="155"/>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semiHidden/>
    <w:qFormat/>
    <w:uiPriority w:val="0"/>
    <w:pPr>
      <w:snapToGrid w:val="0"/>
    </w:pPr>
    <w:rPr>
      <w:rFonts w:ascii="Arial" w:hAnsi="Arial" w:eastAsia="宋体" w:cs="Arial"/>
      <w:szCs w:val="24"/>
    </w:rPr>
  </w:style>
  <w:style w:type="paragraph" w:styleId="53">
    <w:name w:val="header"/>
    <w:basedOn w:val="1"/>
    <w:link w:val="170"/>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49"/>
    <w:semiHidden/>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0"/>
    <w:pPr>
      <w:tabs>
        <w:tab w:val="right" w:leader="dot" w:pos="8949"/>
      </w:tabs>
      <w:adjustRightInd w:val="0"/>
      <w:snapToGrid w:val="0"/>
      <w:spacing w:line="360" w:lineRule="auto"/>
      <w:ind w:right="420" w:rightChars="200" w:firstLine="960" w:firstLineChars="400"/>
      <w:jc w:val="center"/>
    </w:pPr>
    <w:rPr>
      <w:rFonts w:ascii="宋体" w:hAnsi="宋体" w:eastAsia="宋体" w:cs="Times New Roman"/>
      <w:bCs/>
      <w:caps/>
      <w:sz w:val="24"/>
      <w:szCs w:val="24"/>
    </w:rPr>
  </w:style>
  <w:style w:type="paragraph" w:styleId="56">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eastAsia="宋体" w:cs="Times New Roman"/>
      <w:szCs w:val="21"/>
    </w:rPr>
  </w:style>
  <w:style w:type="paragraph" w:styleId="58">
    <w:name w:val="index heading"/>
    <w:basedOn w:val="1"/>
    <w:next w:val="59"/>
    <w:semiHidden/>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semiHidden/>
    <w:unhideWhenUsed/>
    <w:qFormat/>
    <w:uiPriority w:val="0"/>
    <w:rPr>
      <w:rFonts w:ascii="Times New Roman" w:hAnsi="Times New Roman" w:eastAsia="宋体" w:cs="Times New Roman"/>
      <w:szCs w:val="20"/>
    </w:rPr>
  </w:style>
  <w:style w:type="paragraph" w:styleId="60">
    <w:name w:val="List Number 5"/>
    <w:basedOn w:val="1"/>
    <w:semiHidden/>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semiHidden/>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216"/>
    <w:semiHidden/>
    <w:qFormat/>
    <w:uiPriority w:val="0"/>
    <w:pPr>
      <w:snapToGrid w:val="0"/>
      <w:jc w:val="left"/>
    </w:pPr>
    <w:rPr>
      <w:rFonts w:ascii="Times New Roman" w:hAnsi="Times New Roman" w:eastAsia="宋体" w:cs="Times New Roman"/>
      <w:sz w:val="18"/>
      <w:szCs w:val="20"/>
    </w:rPr>
  </w:style>
  <w:style w:type="paragraph" w:styleId="63">
    <w:name w:val="toc 6"/>
    <w:basedOn w:val="1"/>
    <w:next w:val="1"/>
    <w:semiHidden/>
    <w:qFormat/>
    <w:uiPriority w:val="0"/>
    <w:pPr>
      <w:ind w:left="1050"/>
      <w:jc w:val="left"/>
    </w:pPr>
    <w:rPr>
      <w:rFonts w:ascii="Times New Roman" w:hAnsi="Times New Roman" w:eastAsia="宋体" w:cs="Times New Roman"/>
      <w:sz w:val="18"/>
      <w:szCs w:val="18"/>
    </w:rPr>
  </w:style>
  <w:style w:type="paragraph" w:styleId="64">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semiHidden/>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0"/>
    <w:pPr>
      <w:tabs>
        <w:tab w:val="right" w:leader="dot" w:pos="8949"/>
      </w:tabs>
      <w:adjustRightInd w:val="0"/>
      <w:snapToGrid w:val="0"/>
      <w:spacing w:line="360" w:lineRule="auto"/>
      <w:ind w:right="420" w:rightChars="200" w:firstLine="964" w:firstLineChars="400"/>
      <w:jc w:val="distribute"/>
    </w:pPr>
    <w:rPr>
      <w:rFonts w:ascii="宋体" w:hAnsi="宋体" w:eastAsia="宋体" w:cs="Times New Roman"/>
      <w:b/>
      <w:smallCaps/>
      <w:sz w:val="24"/>
      <w:szCs w:val="24"/>
    </w:rPr>
  </w:style>
  <w:style w:type="paragraph" w:styleId="69">
    <w:name w:val="toc 9"/>
    <w:basedOn w:val="1"/>
    <w:next w:val="1"/>
    <w:semiHidden/>
    <w:qFormat/>
    <w:uiPriority w:val="0"/>
    <w:pPr>
      <w:ind w:left="1680"/>
      <w:jc w:val="left"/>
    </w:pPr>
    <w:rPr>
      <w:rFonts w:ascii="Times New Roman" w:hAnsi="Times New Roman" w:eastAsia="宋体" w:cs="Times New Roman"/>
      <w:sz w:val="18"/>
      <w:szCs w:val="18"/>
    </w:rPr>
  </w:style>
  <w:style w:type="paragraph" w:styleId="70">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57"/>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48"/>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5">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6">
    <w:name w:val="annotation subject"/>
    <w:basedOn w:val="24"/>
    <w:next w:val="24"/>
    <w:link w:val="160"/>
    <w:semiHidden/>
    <w:qFormat/>
    <w:uiPriority w:val="0"/>
    <w:rPr>
      <w:b/>
      <w:bCs/>
      <w:szCs w:val="24"/>
    </w:rPr>
  </w:style>
  <w:style w:type="paragraph" w:styleId="77">
    <w:name w:val="Body Text First Indent"/>
    <w:basedOn w:val="1"/>
    <w:link w:val="169"/>
    <w:semiHidden/>
    <w:qFormat/>
    <w:uiPriority w:val="0"/>
    <w:pPr>
      <w:spacing w:after="120"/>
      <w:ind w:firstLine="420" w:firstLineChars="100"/>
    </w:pPr>
    <w:rPr>
      <w:rFonts w:ascii="Times New Roman"/>
      <w:szCs w:val="24"/>
    </w:rPr>
  </w:style>
  <w:style w:type="paragraph" w:styleId="78">
    <w:name w:val="Body Text First Indent 2"/>
    <w:basedOn w:val="1"/>
    <w:link w:val="150"/>
    <w:semiHidden/>
    <w:qFormat/>
    <w:uiPriority w:val="0"/>
    <w:pPr>
      <w:spacing w:after="120"/>
      <w:ind w:left="420" w:leftChars="200" w:firstLine="420"/>
    </w:pPr>
    <w:rPr>
      <w:rFonts w:ascii="Times New Roman" w:hAnsi="Times New Roman"/>
      <w:szCs w:val="24"/>
    </w:rPr>
  </w:style>
  <w:style w:type="table" w:styleId="80">
    <w:name w:val="Table Grid"/>
    <w:basedOn w:val="7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Theme"/>
    <w:basedOn w:val="79"/>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Colorful 1"/>
    <w:basedOn w:val="79"/>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3">
    <w:name w:val="Table Colorful 2"/>
    <w:basedOn w:val="79"/>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4">
    <w:name w:val="Table Colorful 3"/>
    <w:basedOn w:val="79"/>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5">
    <w:name w:val="Table Elegant"/>
    <w:basedOn w:val="79"/>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6">
    <w:name w:val="Table Classic 1"/>
    <w:basedOn w:val="79"/>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7">
    <w:name w:val="Table Classic 2"/>
    <w:basedOn w:val="79"/>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8">
    <w:name w:val="Table Classic 3"/>
    <w:basedOn w:val="79"/>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9">
    <w:name w:val="Table Classic 4"/>
    <w:basedOn w:val="79"/>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0">
    <w:name w:val="Table Simple 1"/>
    <w:basedOn w:val="79"/>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1">
    <w:name w:val="Table Simple 2"/>
    <w:basedOn w:val="79"/>
    <w:semiHidden/>
    <w:qFormat/>
    <w:uiPriority w:val="0"/>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2">
    <w:name w:val="Table Simple 3"/>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3">
    <w:name w:val="Table Subtle 1"/>
    <w:basedOn w:val="79"/>
    <w:semiHidden/>
    <w:qFormat/>
    <w:uiPriority w:val="0"/>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4">
    <w:name w:val="Table Subtle 2"/>
    <w:basedOn w:val="79"/>
    <w:semiHidden/>
    <w:qFormat/>
    <w:uiPriority w:val="0"/>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5">
    <w:name w:val="Table 3D effects 1"/>
    <w:basedOn w:val="79"/>
    <w:semiHidden/>
    <w:qFormat/>
    <w:uiPriority w:val="0"/>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6">
    <w:name w:val="Table 3D effects 2"/>
    <w:basedOn w:val="79"/>
    <w:semiHidden/>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3D effects 3"/>
    <w:basedOn w:val="79"/>
    <w:semiHidden/>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8">
    <w:name w:val="Table List 1"/>
    <w:basedOn w:val="79"/>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9">
    <w:name w:val="Table List 2"/>
    <w:basedOn w:val="79"/>
    <w:semiHidden/>
    <w:qFormat/>
    <w:uiPriority w:val="0"/>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0">
    <w:name w:val="Table List 3"/>
    <w:basedOn w:val="79"/>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1">
    <w:name w:val="Table List 4"/>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2">
    <w:name w:val="Table List 5"/>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3">
    <w:name w:val="Table List 6"/>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4">
    <w:name w:val="Table List 7"/>
    <w:basedOn w:val="79"/>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5">
    <w:name w:val="Table List 8"/>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6">
    <w:name w:val="Table Contemporary"/>
    <w:basedOn w:val="79"/>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7">
    <w:name w:val="Table Columns 1"/>
    <w:basedOn w:val="79"/>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8">
    <w:name w:val="Table Columns 2"/>
    <w:basedOn w:val="79"/>
    <w:semiHidden/>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9">
    <w:name w:val="Table Columns 3"/>
    <w:basedOn w:val="79"/>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0">
    <w:name w:val="Table Columns 4"/>
    <w:basedOn w:val="79"/>
    <w:semiHidden/>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1">
    <w:name w:val="Table Columns 5"/>
    <w:basedOn w:val="79"/>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2">
    <w:name w:val="Table Grid 1"/>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79"/>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79"/>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79"/>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79"/>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79"/>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79"/>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Web 1"/>
    <w:basedOn w:val="79"/>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1">
    <w:name w:val="Table Web 2"/>
    <w:basedOn w:val="79"/>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2">
    <w:name w:val="Table Web 3"/>
    <w:basedOn w:val="79"/>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3">
    <w:name w:val="Table Professional"/>
    <w:basedOn w:val="79"/>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5">
    <w:name w:val="endnote reference"/>
    <w:semiHidden/>
    <w:qFormat/>
    <w:uiPriority w:val="0"/>
    <w:rPr>
      <w:vertAlign w:val="superscript"/>
    </w:rPr>
  </w:style>
  <w:style w:type="character" w:styleId="126">
    <w:name w:val="FollowedHyperlink"/>
    <w:unhideWhenUsed/>
    <w:qFormat/>
    <w:uiPriority w:val="99"/>
    <w:rPr>
      <w:color w:val="800080"/>
      <w:u w:val="single"/>
    </w:rPr>
  </w:style>
  <w:style w:type="character" w:styleId="127">
    <w:name w:val="line number"/>
    <w:basedOn w:val="124"/>
    <w:semiHidden/>
    <w:qFormat/>
    <w:uiPriority w:val="0"/>
  </w:style>
  <w:style w:type="character" w:styleId="128">
    <w:name w:val="HTML Definition"/>
    <w:semiHidden/>
    <w:qFormat/>
    <w:uiPriority w:val="0"/>
    <w:rPr>
      <w:i/>
      <w:iCs/>
    </w:rPr>
  </w:style>
  <w:style w:type="character" w:styleId="129">
    <w:name w:val="HTML Typewriter"/>
    <w:semiHidden/>
    <w:qFormat/>
    <w:uiPriority w:val="0"/>
    <w:rPr>
      <w:rFonts w:ascii="Courier New" w:hAnsi="Courier New" w:cs="Courier New"/>
      <w:sz w:val="20"/>
      <w:szCs w:val="20"/>
    </w:rPr>
  </w:style>
  <w:style w:type="character" w:styleId="130">
    <w:name w:val="HTML Acronym"/>
    <w:basedOn w:val="124"/>
    <w:semiHidden/>
    <w:qFormat/>
    <w:uiPriority w:val="0"/>
  </w:style>
  <w:style w:type="character" w:styleId="131">
    <w:name w:val="HTML Variable"/>
    <w:semiHidden/>
    <w:qFormat/>
    <w:uiPriority w:val="0"/>
    <w:rPr>
      <w:i/>
      <w:iCs/>
    </w:rPr>
  </w:style>
  <w:style w:type="character" w:styleId="132">
    <w:name w:val="Hyperlink"/>
    <w:basedOn w:val="124"/>
    <w:qFormat/>
    <w:uiPriority w:val="99"/>
    <w:rPr>
      <w:color w:val="333333"/>
      <w:u w:val="none"/>
      <w:vertAlign w:val="baseline"/>
    </w:rPr>
  </w:style>
  <w:style w:type="character" w:styleId="133">
    <w:name w:val="HTML Code"/>
    <w:semiHidden/>
    <w:qFormat/>
    <w:uiPriority w:val="0"/>
    <w:rPr>
      <w:rFonts w:ascii="Courier New" w:hAnsi="Courier New" w:cs="Courier New"/>
      <w:sz w:val="20"/>
      <w:szCs w:val="20"/>
    </w:rPr>
  </w:style>
  <w:style w:type="character" w:styleId="134">
    <w:name w:val="annotation reference"/>
    <w:semiHidden/>
    <w:qFormat/>
    <w:uiPriority w:val="0"/>
    <w:rPr>
      <w:sz w:val="21"/>
      <w:szCs w:val="21"/>
    </w:rPr>
  </w:style>
  <w:style w:type="character" w:styleId="135">
    <w:name w:val="HTML Cite"/>
    <w:semiHidden/>
    <w:qFormat/>
    <w:uiPriority w:val="0"/>
    <w:rPr>
      <w:i/>
      <w:iCs/>
    </w:rPr>
  </w:style>
  <w:style w:type="character" w:styleId="136">
    <w:name w:val="footnote reference"/>
    <w:semiHidden/>
    <w:qFormat/>
    <w:uiPriority w:val="0"/>
    <w:rPr>
      <w:vertAlign w:val="superscript"/>
    </w:rPr>
  </w:style>
  <w:style w:type="character" w:styleId="137">
    <w:name w:val="HTML Keyboard"/>
    <w:semiHidden/>
    <w:qFormat/>
    <w:uiPriority w:val="0"/>
    <w:rPr>
      <w:rFonts w:ascii="Courier New" w:hAnsi="Courier New" w:cs="Courier New"/>
      <w:sz w:val="20"/>
      <w:szCs w:val="20"/>
    </w:rPr>
  </w:style>
  <w:style w:type="character" w:styleId="138">
    <w:name w:val="HTML Sample"/>
    <w:semiHidden/>
    <w:qFormat/>
    <w:uiPriority w:val="0"/>
    <w:rPr>
      <w:rFonts w:ascii="Courier New" w:hAnsi="Courier New" w:cs="Courier New"/>
    </w:rPr>
  </w:style>
  <w:style w:type="character" w:customStyle="1" w:styleId="139">
    <w:name w:val="标题 1 字符"/>
    <w:basedOn w:val="124"/>
    <w:link w:val="2"/>
    <w:qFormat/>
    <w:uiPriority w:val="0"/>
    <w:rPr>
      <w:b/>
      <w:bCs/>
      <w:kern w:val="44"/>
      <w:sz w:val="44"/>
      <w:szCs w:val="44"/>
    </w:rPr>
  </w:style>
  <w:style w:type="character" w:customStyle="1" w:styleId="140">
    <w:name w:val="标题 2 字符"/>
    <w:basedOn w:val="124"/>
    <w:link w:val="3"/>
    <w:qFormat/>
    <w:uiPriority w:val="0"/>
    <w:rPr>
      <w:rFonts w:asciiTheme="majorHAnsi" w:hAnsiTheme="majorHAnsi" w:eastAsiaTheme="majorEastAsia" w:cstheme="majorBidi"/>
      <w:b/>
      <w:bCs/>
      <w:sz w:val="32"/>
      <w:szCs w:val="32"/>
    </w:rPr>
  </w:style>
  <w:style w:type="character" w:customStyle="1" w:styleId="141">
    <w:name w:val="标题 3 字符"/>
    <w:basedOn w:val="124"/>
    <w:link w:val="4"/>
    <w:qFormat/>
    <w:uiPriority w:val="0"/>
    <w:rPr>
      <w:b/>
      <w:bCs/>
      <w:sz w:val="32"/>
      <w:szCs w:val="32"/>
    </w:rPr>
  </w:style>
  <w:style w:type="character" w:customStyle="1" w:styleId="142">
    <w:name w:val="标题 4 字符"/>
    <w:basedOn w:val="124"/>
    <w:link w:val="5"/>
    <w:qFormat/>
    <w:uiPriority w:val="0"/>
    <w:rPr>
      <w:rFonts w:asciiTheme="majorHAnsi" w:hAnsiTheme="majorHAnsi" w:eastAsiaTheme="majorEastAsia" w:cstheme="majorBidi"/>
      <w:b/>
      <w:bCs/>
      <w:sz w:val="28"/>
      <w:szCs w:val="28"/>
    </w:rPr>
  </w:style>
  <w:style w:type="character" w:customStyle="1" w:styleId="143">
    <w:name w:val="标题 5 字符"/>
    <w:basedOn w:val="124"/>
    <w:link w:val="6"/>
    <w:qFormat/>
    <w:uiPriority w:val="0"/>
    <w:rPr>
      <w:b/>
      <w:bCs/>
      <w:sz w:val="28"/>
      <w:szCs w:val="28"/>
    </w:rPr>
  </w:style>
  <w:style w:type="character" w:customStyle="1" w:styleId="144">
    <w:name w:val="标题 6 字符"/>
    <w:basedOn w:val="124"/>
    <w:link w:val="7"/>
    <w:qFormat/>
    <w:uiPriority w:val="0"/>
    <w:rPr>
      <w:rFonts w:asciiTheme="majorHAnsi" w:hAnsiTheme="majorHAnsi" w:eastAsiaTheme="majorEastAsia" w:cstheme="majorBidi"/>
      <w:b/>
      <w:bCs/>
      <w:sz w:val="24"/>
      <w:szCs w:val="24"/>
    </w:rPr>
  </w:style>
  <w:style w:type="character" w:customStyle="1" w:styleId="145">
    <w:name w:val="标题 7 字符"/>
    <w:basedOn w:val="124"/>
    <w:link w:val="8"/>
    <w:qFormat/>
    <w:uiPriority w:val="0"/>
    <w:rPr>
      <w:b/>
      <w:bCs/>
      <w:sz w:val="24"/>
      <w:szCs w:val="24"/>
    </w:rPr>
  </w:style>
  <w:style w:type="character" w:customStyle="1" w:styleId="146">
    <w:name w:val="标题 8 字符"/>
    <w:basedOn w:val="124"/>
    <w:link w:val="9"/>
    <w:qFormat/>
    <w:uiPriority w:val="0"/>
    <w:rPr>
      <w:rFonts w:asciiTheme="majorHAnsi" w:hAnsiTheme="majorHAnsi" w:eastAsiaTheme="majorEastAsia" w:cstheme="majorBidi"/>
      <w:sz w:val="24"/>
      <w:szCs w:val="24"/>
    </w:rPr>
  </w:style>
  <w:style w:type="character" w:customStyle="1" w:styleId="147">
    <w:name w:val="标题 9 字符"/>
    <w:basedOn w:val="124"/>
    <w:link w:val="10"/>
    <w:qFormat/>
    <w:uiPriority w:val="0"/>
    <w:rPr>
      <w:rFonts w:asciiTheme="majorHAnsi" w:hAnsiTheme="majorHAnsi" w:eastAsiaTheme="majorEastAsia" w:cstheme="majorBidi"/>
      <w:szCs w:val="21"/>
    </w:rPr>
  </w:style>
  <w:style w:type="character" w:customStyle="1" w:styleId="148">
    <w:name w:val="HTML 预设格式 字符"/>
    <w:link w:val="73"/>
    <w:semiHidden/>
    <w:qFormat/>
    <w:uiPriority w:val="0"/>
    <w:rPr>
      <w:rFonts w:ascii="宋体" w:hAnsi="宋体" w:eastAsia="宋体" w:cs="宋体"/>
      <w:color w:val="000000"/>
      <w:kern w:val="0"/>
      <w:sz w:val="24"/>
      <w:szCs w:val="24"/>
    </w:rPr>
  </w:style>
  <w:style w:type="character" w:customStyle="1" w:styleId="149">
    <w:name w:val="签名 字符"/>
    <w:link w:val="54"/>
    <w:semiHidden/>
    <w:qFormat/>
    <w:uiPriority w:val="0"/>
    <w:rPr>
      <w:rFonts w:ascii="Times New Roman" w:hAnsi="Times New Roman" w:eastAsia="宋体" w:cs="Times New Roman"/>
      <w:szCs w:val="24"/>
    </w:rPr>
  </w:style>
  <w:style w:type="character" w:customStyle="1" w:styleId="150">
    <w:name w:val="正文首行缩进 2 字符"/>
    <w:link w:val="78"/>
    <w:semiHidden/>
    <w:qFormat/>
    <w:uiPriority w:val="0"/>
    <w:rPr>
      <w:rFonts w:ascii="Times New Roman" w:hAnsi="Times New Roman"/>
      <w:szCs w:val="24"/>
    </w:rPr>
  </w:style>
  <w:style w:type="character" w:customStyle="1" w:styleId="151">
    <w:name w:val="注释标题 字符"/>
    <w:link w:val="14"/>
    <w:semiHidden/>
    <w:qFormat/>
    <w:uiPriority w:val="0"/>
    <w:rPr>
      <w:rFonts w:ascii="Times New Roman" w:hAnsi="Times New Roman" w:eastAsia="宋体" w:cs="Times New Roman"/>
      <w:szCs w:val="24"/>
    </w:rPr>
  </w:style>
  <w:style w:type="character" w:customStyle="1" w:styleId="152">
    <w:name w:val="unnamed211"/>
    <w:semiHidden/>
    <w:qFormat/>
    <w:uiPriority w:val="0"/>
    <w:rPr>
      <w:sz w:val="23"/>
      <w:szCs w:val="23"/>
    </w:rPr>
  </w:style>
  <w:style w:type="character" w:customStyle="1" w:styleId="153">
    <w:name w:val="电子邮件签名 字符"/>
    <w:link w:val="17"/>
    <w:semiHidden/>
    <w:qFormat/>
    <w:uiPriority w:val="0"/>
    <w:rPr>
      <w:rFonts w:ascii="Times New Roman" w:hAnsi="Times New Roman" w:eastAsia="宋体" w:cs="Times New Roman"/>
      <w:szCs w:val="24"/>
    </w:rPr>
  </w:style>
  <w:style w:type="character" w:customStyle="1" w:styleId="154">
    <w:name w:val="批注文字 Char"/>
    <w:semiHidden/>
    <w:qFormat/>
    <w:uiPriority w:val="0"/>
    <w:rPr>
      <w:rFonts w:ascii="Times New Roman" w:hAnsi="Times New Roman" w:eastAsia="宋体" w:cs="Times New Roman"/>
      <w:szCs w:val="20"/>
    </w:rPr>
  </w:style>
  <w:style w:type="character" w:customStyle="1" w:styleId="155">
    <w:name w:val="页脚 字符"/>
    <w:link w:val="51"/>
    <w:qFormat/>
    <w:uiPriority w:val="0"/>
    <w:rPr>
      <w:rFonts w:ascii="Times New Roman" w:hAnsi="Times New Roman" w:eastAsia="宋体" w:cs="Times New Roman"/>
      <w:sz w:val="18"/>
      <w:szCs w:val="18"/>
    </w:rPr>
  </w:style>
  <w:style w:type="character" w:customStyle="1" w:styleId="156">
    <w:name w:val="文档结构图 字符"/>
    <w:link w:val="22"/>
    <w:qFormat/>
    <w:uiPriority w:val="0"/>
    <w:rPr>
      <w:rFonts w:ascii="Times New Roman" w:hAnsi="Times New Roman" w:eastAsia="宋体" w:cs="Times New Roman"/>
      <w:szCs w:val="20"/>
      <w:shd w:val="clear" w:color="auto" w:fill="000080"/>
    </w:rPr>
  </w:style>
  <w:style w:type="character" w:customStyle="1" w:styleId="157">
    <w:name w:val="信息标题 字符"/>
    <w:link w:val="72"/>
    <w:semiHidden/>
    <w:qFormat/>
    <w:uiPriority w:val="0"/>
    <w:rPr>
      <w:rFonts w:ascii="Arial" w:hAnsi="Arial" w:eastAsia="宋体" w:cs="Arial"/>
      <w:sz w:val="24"/>
      <w:szCs w:val="24"/>
      <w:shd w:val="pct20" w:color="auto" w:fill="auto"/>
    </w:rPr>
  </w:style>
  <w:style w:type="character" w:customStyle="1" w:styleId="158">
    <w:name w:val="正文文本 3 字符"/>
    <w:link w:val="27"/>
    <w:semiHidden/>
    <w:qFormat/>
    <w:uiPriority w:val="0"/>
    <w:rPr>
      <w:rFonts w:ascii="Times New Roman" w:hAnsi="Times New Roman" w:eastAsia="宋体" w:cs="Times New Roman"/>
      <w:sz w:val="16"/>
      <w:szCs w:val="16"/>
    </w:rPr>
  </w:style>
  <w:style w:type="character" w:customStyle="1" w:styleId="159">
    <w:name w:val="批注框文本 字符"/>
    <w:link w:val="50"/>
    <w:semiHidden/>
    <w:qFormat/>
    <w:uiPriority w:val="0"/>
    <w:rPr>
      <w:rFonts w:ascii="Times New Roman" w:hAnsi="Times New Roman" w:eastAsia="宋体" w:cs="Times New Roman"/>
      <w:sz w:val="18"/>
      <w:szCs w:val="18"/>
    </w:rPr>
  </w:style>
  <w:style w:type="character" w:customStyle="1" w:styleId="160">
    <w:name w:val="批注主题 字符"/>
    <w:link w:val="76"/>
    <w:semiHidden/>
    <w:qFormat/>
    <w:uiPriority w:val="0"/>
    <w:rPr>
      <w:rFonts w:ascii="Times New Roman" w:hAnsi="Times New Roman" w:eastAsia="宋体" w:cs="Times New Roman"/>
      <w:b/>
      <w:bCs/>
      <w:szCs w:val="24"/>
    </w:rPr>
  </w:style>
  <w:style w:type="character" w:customStyle="1" w:styleId="161">
    <w:name w:val="ss1"/>
    <w:semiHidden/>
    <w:qFormat/>
    <w:uiPriority w:val="0"/>
    <w:rPr>
      <w:rFonts w:hint="default" w:ascii="ˎ̥" w:hAnsi="ˎ̥"/>
      <w:color w:val="000000"/>
      <w:sz w:val="18"/>
      <w:szCs w:val="18"/>
      <w:u w:val="none"/>
    </w:rPr>
  </w:style>
  <w:style w:type="character" w:customStyle="1" w:styleId="162">
    <w:name w:val="正文文本缩进 2 字符"/>
    <w:link w:val="47"/>
    <w:semiHidden/>
    <w:qFormat/>
    <w:uiPriority w:val="0"/>
    <w:rPr>
      <w:rFonts w:ascii="Times New Roman" w:hAnsi="Times New Roman" w:eastAsia="宋体" w:cs="Times New Roman"/>
      <w:szCs w:val="24"/>
    </w:rPr>
  </w:style>
  <w:style w:type="character" w:customStyle="1" w:styleId="163">
    <w:name w:val="f142"/>
    <w:semiHidden/>
    <w:qFormat/>
    <w:uiPriority w:val="0"/>
    <w:rPr>
      <w:sz w:val="21"/>
      <w:szCs w:val="21"/>
    </w:rPr>
  </w:style>
  <w:style w:type="character" w:customStyle="1" w:styleId="164">
    <w:name w:val="f14b1"/>
    <w:semiHidden/>
    <w:qFormat/>
    <w:uiPriority w:val="0"/>
    <w:rPr>
      <w:b/>
      <w:bCs/>
      <w:sz w:val="21"/>
      <w:szCs w:val="21"/>
    </w:rPr>
  </w:style>
  <w:style w:type="character" w:customStyle="1" w:styleId="165">
    <w:name w:val="ggwenhao"/>
    <w:basedOn w:val="124"/>
    <w:semiHidden/>
    <w:qFormat/>
    <w:uiPriority w:val="0"/>
  </w:style>
  <w:style w:type="character" w:customStyle="1" w:styleId="166">
    <w:name w:val="HTML 地址 字符"/>
    <w:link w:val="37"/>
    <w:semiHidden/>
    <w:qFormat/>
    <w:uiPriority w:val="0"/>
    <w:rPr>
      <w:rFonts w:ascii="Times New Roman" w:hAnsi="Times New Roman" w:eastAsia="宋体" w:cs="Times New Roman"/>
      <w:i/>
      <w:iCs/>
      <w:szCs w:val="24"/>
    </w:rPr>
  </w:style>
  <w:style w:type="character" w:customStyle="1" w:styleId="167">
    <w:name w:val="称呼 字符"/>
    <w:link w:val="26"/>
    <w:semiHidden/>
    <w:qFormat/>
    <w:uiPriority w:val="0"/>
    <w:rPr>
      <w:rFonts w:ascii="Times New Roman" w:hAnsi="Times New Roman" w:eastAsia="宋体" w:cs="Times New Roman"/>
      <w:szCs w:val="24"/>
    </w:rPr>
  </w:style>
  <w:style w:type="character" w:customStyle="1" w:styleId="168">
    <w:name w:val="结束语 字符"/>
    <w:link w:val="28"/>
    <w:semiHidden/>
    <w:qFormat/>
    <w:uiPriority w:val="0"/>
    <w:rPr>
      <w:rFonts w:ascii="Times New Roman" w:hAnsi="Times New Roman" w:eastAsia="宋体" w:cs="Times New Roman"/>
      <w:szCs w:val="24"/>
    </w:rPr>
  </w:style>
  <w:style w:type="character" w:customStyle="1" w:styleId="169">
    <w:name w:val="正文首行缩进 字符"/>
    <w:link w:val="77"/>
    <w:semiHidden/>
    <w:qFormat/>
    <w:uiPriority w:val="0"/>
    <w:rPr>
      <w:rFonts w:ascii="Times New Roman"/>
      <w:szCs w:val="24"/>
    </w:rPr>
  </w:style>
  <w:style w:type="character" w:customStyle="1" w:styleId="170">
    <w:name w:val="页眉 字符"/>
    <w:link w:val="53"/>
    <w:qFormat/>
    <w:uiPriority w:val="0"/>
    <w:rPr>
      <w:rFonts w:ascii="Times New Roman" w:hAnsi="Times New Roman" w:eastAsia="宋体" w:cs="Times New Roman"/>
      <w:sz w:val="18"/>
      <w:szCs w:val="18"/>
    </w:rPr>
  </w:style>
  <w:style w:type="character" w:customStyle="1" w:styleId="171">
    <w:name w:val="ca-41"/>
    <w:qFormat/>
    <w:uiPriority w:val="0"/>
    <w:rPr>
      <w:rFonts w:hint="eastAsia" w:ascii="黑体" w:eastAsia="黑体"/>
      <w:b/>
      <w:bCs/>
      <w:spacing w:val="-20"/>
      <w:sz w:val="30"/>
      <w:szCs w:val="30"/>
    </w:rPr>
  </w:style>
  <w:style w:type="character" w:customStyle="1" w:styleId="172">
    <w:name w:val="注释标题 字符1"/>
    <w:basedOn w:val="124"/>
    <w:semiHidden/>
    <w:qFormat/>
    <w:uiPriority w:val="99"/>
  </w:style>
  <w:style w:type="character" w:customStyle="1" w:styleId="173">
    <w:name w:val="注释标题 Char1"/>
    <w:basedOn w:val="124"/>
    <w:semiHidden/>
    <w:qFormat/>
    <w:uiPriority w:val="99"/>
    <w:rPr>
      <w:rFonts w:ascii="Times New Roman" w:hAnsi="Times New Roman" w:eastAsia="宋体" w:cs="Times New Roman"/>
      <w:szCs w:val="20"/>
    </w:rPr>
  </w:style>
  <w:style w:type="character" w:customStyle="1" w:styleId="174">
    <w:name w:val="正文文本 3 字符1"/>
    <w:basedOn w:val="124"/>
    <w:semiHidden/>
    <w:qFormat/>
    <w:uiPriority w:val="99"/>
    <w:rPr>
      <w:sz w:val="16"/>
      <w:szCs w:val="16"/>
    </w:rPr>
  </w:style>
  <w:style w:type="character" w:customStyle="1" w:styleId="175">
    <w:name w:val="正文文本 3 Char1"/>
    <w:basedOn w:val="124"/>
    <w:semiHidden/>
    <w:qFormat/>
    <w:uiPriority w:val="99"/>
    <w:rPr>
      <w:rFonts w:ascii="Times New Roman" w:hAnsi="Times New Roman" w:eastAsia="宋体" w:cs="Times New Roman"/>
      <w:sz w:val="16"/>
      <w:szCs w:val="16"/>
    </w:rPr>
  </w:style>
  <w:style w:type="character" w:customStyle="1" w:styleId="176">
    <w:name w:val="批注文字 字符"/>
    <w:basedOn w:val="124"/>
    <w:link w:val="24"/>
    <w:qFormat/>
    <w:uiPriority w:val="0"/>
    <w:rPr>
      <w:rFonts w:ascii="Times New Roman" w:hAnsi="Times New Roman" w:eastAsia="宋体" w:cs="Times New Roman"/>
      <w:szCs w:val="20"/>
    </w:rPr>
  </w:style>
  <w:style w:type="character" w:customStyle="1" w:styleId="177">
    <w:name w:val="批注主题 字符1"/>
    <w:basedOn w:val="176"/>
    <w:semiHidden/>
    <w:qFormat/>
    <w:uiPriority w:val="99"/>
    <w:rPr>
      <w:rFonts w:ascii="Times New Roman" w:hAnsi="Times New Roman" w:eastAsia="宋体" w:cs="Times New Roman"/>
      <w:b/>
      <w:bCs/>
      <w:szCs w:val="20"/>
    </w:rPr>
  </w:style>
  <w:style w:type="character" w:customStyle="1" w:styleId="178">
    <w:name w:val="批注主题 Char1"/>
    <w:basedOn w:val="176"/>
    <w:semiHidden/>
    <w:qFormat/>
    <w:uiPriority w:val="99"/>
    <w:rPr>
      <w:rFonts w:ascii="Times New Roman" w:hAnsi="Times New Roman" w:eastAsia="宋体" w:cs="Times New Roman"/>
      <w:b/>
      <w:bCs/>
      <w:szCs w:val="20"/>
    </w:rPr>
  </w:style>
  <w:style w:type="character" w:customStyle="1" w:styleId="179">
    <w:name w:val="正文文本 字符"/>
    <w:basedOn w:val="124"/>
    <w:link w:val="30"/>
    <w:semiHidden/>
    <w:qFormat/>
    <w:uiPriority w:val="99"/>
    <w:rPr>
      <w:rFonts w:ascii="Times New Roman" w:hAnsi="Times New Roman" w:eastAsia="宋体" w:cs="Times New Roman"/>
      <w:szCs w:val="20"/>
    </w:rPr>
  </w:style>
  <w:style w:type="character" w:customStyle="1" w:styleId="180">
    <w:name w:val="正文文本首行缩进 字符1"/>
    <w:basedOn w:val="179"/>
    <w:semiHidden/>
    <w:qFormat/>
    <w:uiPriority w:val="99"/>
    <w:rPr>
      <w:rFonts w:ascii="Times New Roman" w:hAnsi="Times New Roman" w:eastAsia="宋体" w:cs="Times New Roman"/>
      <w:szCs w:val="20"/>
    </w:rPr>
  </w:style>
  <w:style w:type="character" w:customStyle="1" w:styleId="181">
    <w:name w:val="正文首行缩进 Char1"/>
    <w:basedOn w:val="179"/>
    <w:semiHidden/>
    <w:qFormat/>
    <w:uiPriority w:val="99"/>
    <w:rPr>
      <w:rFonts w:ascii="Times New Roman" w:hAnsi="Times New Roman" w:eastAsia="宋体" w:cs="Times New Roman"/>
      <w:szCs w:val="20"/>
    </w:rPr>
  </w:style>
  <w:style w:type="character" w:customStyle="1" w:styleId="182">
    <w:name w:val="结束语 字符1"/>
    <w:basedOn w:val="124"/>
    <w:semiHidden/>
    <w:qFormat/>
    <w:uiPriority w:val="99"/>
  </w:style>
  <w:style w:type="character" w:customStyle="1" w:styleId="183">
    <w:name w:val="结束语 Char1"/>
    <w:basedOn w:val="124"/>
    <w:semiHidden/>
    <w:qFormat/>
    <w:uiPriority w:val="99"/>
    <w:rPr>
      <w:rFonts w:ascii="Times New Roman" w:hAnsi="Times New Roman" w:eastAsia="宋体" w:cs="Times New Roman"/>
      <w:szCs w:val="20"/>
    </w:rPr>
  </w:style>
  <w:style w:type="character" w:customStyle="1" w:styleId="184">
    <w:name w:val="称呼 字符1"/>
    <w:basedOn w:val="124"/>
    <w:semiHidden/>
    <w:qFormat/>
    <w:uiPriority w:val="99"/>
  </w:style>
  <w:style w:type="character" w:customStyle="1" w:styleId="185">
    <w:name w:val="称呼 Char1"/>
    <w:basedOn w:val="124"/>
    <w:semiHidden/>
    <w:qFormat/>
    <w:uiPriority w:val="99"/>
    <w:rPr>
      <w:rFonts w:ascii="Times New Roman" w:hAnsi="Times New Roman" w:eastAsia="宋体" w:cs="Times New Roman"/>
      <w:szCs w:val="20"/>
    </w:rPr>
  </w:style>
  <w:style w:type="character" w:customStyle="1" w:styleId="186">
    <w:name w:val="电子邮件签名 字符1"/>
    <w:basedOn w:val="124"/>
    <w:semiHidden/>
    <w:qFormat/>
    <w:uiPriority w:val="99"/>
  </w:style>
  <w:style w:type="character" w:customStyle="1" w:styleId="187">
    <w:name w:val="电子邮件签名 Char1"/>
    <w:basedOn w:val="124"/>
    <w:semiHidden/>
    <w:qFormat/>
    <w:uiPriority w:val="99"/>
    <w:rPr>
      <w:rFonts w:ascii="Times New Roman" w:hAnsi="Times New Roman" w:eastAsia="宋体" w:cs="Times New Roman"/>
      <w:szCs w:val="20"/>
    </w:rPr>
  </w:style>
  <w:style w:type="character" w:customStyle="1" w:styleId="188">
    <w:name w:val="文档结构图 字符1"/>
    <w:basedOn w:val="124"/>
    <w:semiHidden/>
    <w:qFormat/>
    <w:uiPriority w:val="99"/>
    <w:rPr>
      <w:rFonts w:ascii="Microsoft YaHei UI" w:eastAsia="Microsoft YaHei UI"/>
      <w:sz w:val="18"/>
      <w:szCs w:val="18"/>
    </w:rPr>
  </w:style>
  <w:style w:type="character" w:customStyle="1" w:styleId="189">
    <w:name w:val="文档结构图 Char1"/>
    <w:basedOn w:val="124"/>
    <w:semiHidden/>
    <w:qFormat/>
    <w:uiPriority w:val="99"/>
    <w:rPr>
      <w:rFonts w:ascii="宋体" w:hAnsi="Times New Roman" w:eastAsia="宋体" w:cs="Times New Roman"/>
      <w:sz w:val="18"/>
      <w:szCs w:val="18"/>
    </w:rPr>
  </w:style>
  <w:style w:type="character" w:customStyle="1" w:styleId="190">
    <w:name w:val="签名 字符1"/>
    <w:basedOn w:val="124"/>
    <w:semiHidden/>
    <w:qFormat/>
    <w:uiPriority w:val="99"/>
  </w:style>
  <w:style w:type="character" w:customStyle="1" w:styleId="191">
    <w:name w:val="签名 Char1"/>
    <w:basedOn w:val="124"/>
    <w:semiHidden/>
    <w:qFormat/>
    <w:uiPriority w:val="99"/>
    <w:rPr>
      <w:rFonts w:ascii="Times New Roman" w:hAnsi="Times New Roman" w:eastAsia="宋体" w:cs="Times New Roman"/>
      <w:szCs w:val="20"/>
    </w:rPr>
  </w:style>
  <w:style w:type="character" w:customStyle="1" w:styleId="192">
    <w:name w:val="正文文本缩进 2 字符1"/>
    <w:basedOn w:val="124"/>
    <w:semiHidden/>
    <w:qFormat/>
    <w:uiPriority w:val="99"/>
  </w:style>
  <w:style w:type="character" w:customStyle="1" w:styleId="193">
    <w:name w:val="正文文本缩进 2 Char1"/>
    <w:basedOn w:val="124"/>
    <w:semiHidden/>
    <w:qFormat/>
    <w:uiPriority w:val="99"/>
    <w:rPr>
      <w:rFonts w:ascii="Times New Roman" w:hAnsi="Times New Roman" w:eastAsia="宋体" w:cs="Times New Roman"/>
      <w:szCs w:val="20"/>
    </w:rPr>
  </w:style>
  <w:style w:type="character" w:customStyle="1" w:styleId="194">
    <w:name w:val="HTML 预设格式 字符1"/>
    <w:basedOn w:val="124"/>
    <w:semiHidden/>
    <w:qFormat/>
    <w:uiPriority w:val="99"/>
    <w:rPr>
      <w:rFonts w:ascii="Courier New" w:hAnsi="Courier New" w:cs="Courier New"/>
      <w:sz w:val="20"/>
      <w:szCs w:val="20"/>
    </w:rPr>
  </w:style>
  <w:style w:type="character" w:customStyle="1" w:styleId="195">
    <w:name w:val="HTML 预设格式 Char1"/>
    <w:basedOn w:val="124"/>
    <w:semiHidden/>
    <w:qFormat/>
    <w:uiPriority w:val="99"/>
    <w:rPr>
      <w:rFonts w:ascii="Courier New" w:hAnsi="Courier New" w:eastAsia="宋体" w:cs="Courier New"/>
      <w:sz w:val="20"/>
      <w:szCs w:val="20"/>
    </w:rPr>
  </w:style>
  <w:style w:type="character" w:customStyle="1" w:styleId="196">
    <w:name w:val="页眉 字符1"/>
    <w:basedOn w:val="124"/>
    <w:semiHidden/>
    <w:qFormat/>
    <w:uiPriority w:val="99"/>
    <w:rPr>
      <w:sz w:val="18"/>
      <w:szCs w:val="18"/>
    </w:rPr>
  </w:style>
  <w:style w:type="character" w:customStyle="1" w:styleId="197">
    <w:name w:val="页眉 Char1"/>
    <w:basedOn w:val="124"/>
    <w:semiHidden/>
    <w:qFormat/>
    <w:uiPriority w:val="99"/>
    <w:rPr>
      <w:rFonts w:ascii="Times New Roman" w:hAnsi="Times New Roman" w:eastAsia="宋体" w:cs="Times New Roman"/>
      <w:sz w:val="18"/>
      <w:szCs w:val="18"/>
    </w:rPr>
  </w:style>
  <w:style w:type="character" w:customStyle="1" w:styleId="198">
    <w:name w:val="HTML 地址 字符1"/>
    <w:basedOn w:val="124"/>
    <w:semiHidden/>
    <w:qFormat/>
    <w:uiPriority w:val="99"/>
    <w:rPr>
      <w:i/>
      <w:iCs/>
    </w:rPr>
  </w:style>
  <w:style w:type="character" w:customStyle="1" w:styleId="199">
    <w:name w:val="HTML 地址 Char1"/>
    <w:basedOn w:val="124"/>
    <w:semiHidden/>
    <w:qFormat/>
    <w:uiPriority w:val="99"/>
    <w:rPr>
      <w:rFonts w:ascii="Times New Roman" w:hAnsi="Times New Roman" w:eastAsia="宋体" w:cs="Times New Roman"/>
      <w:i/>
      <w:iCs/>
      <w:szCs w:val="20"/>
    </w:rPr>
  </w:style>
  <w:style w:type="character" w:customStyle="1" w:styleId="200">
    <w:name w:val="正文文本缩进 字符"/>
    <w:basedOn w:val="124"/>
    <w:link w:val="31"/>
    <w:semiHidden/>
    <w:qFormat/>
    <w:uiPriority w:val="99"/>
    <w:rPr>
      <w:rFonts w:ascii="Times New Roman" w:hAnsi="Times New Roman" w:eastAsia="宋体" w:cs="Times New Roman"/>
      <w:szCs w:val="20"/>
    </w:rPr>
  </w:style>
  <w:style w:type="character" w:customStyle="1" w:styleId="201">
    <w:name w:val="正文文本首行缩进 2 字符1"/>
    <w:basedOn w:val="200"/>
    <w:semiHidden/>
    <w:qFormat/>
    <w:uiPriority w:val="99"/>
    <w:rPr>
      <w:rFonts w:ascii="Times New Roman" w:hAnsi="Times New Roman" w:eastAsia="宋体" w:cs="Times New Roman"/>
      <w:szCs w:val="20"/>
    </w:rPr>
  </w:style>
  <w:style w:type="character" w:customStyle="1" w:styleId="202">
    <w:name w:val="正文首行缩进 2 Char1"/>
    <w:basedOn w:val="200"/>
    <w:semiHidden/>
    <w:qFormat/>
    <w:uiPriority w:val="99"/>
    <w:rPr>
      <w:rFonts w:ascii="Times New Roman" w:hAnsi="Times New Roman" w:eastAsia="宋体" w:cs="Times New Roman"/>
      <w:szCs w:val="20"/>
    </w:rPr>
  </w:style>
  <w:style w:type="character" w:customStyle="1" w:styleId="203">
    <w:name w:val="纯文本 字符"/>
    <w:basedOn w:val="124"/>
    <w:link w:val="41"/>
    <w:qFormat/>
    <w:uiPriority w:val="0"/>
    <w:rPr>
      <w:rFonts w:ascii="宋体" w:hAnsi="Courier New" w:eastAsia="宋体" w:cs="Times New Roman"/>
      <w:kern w:val="0"/>
      <w:sz w:val="20"/>
      <w:szCs w:val="21"/>
    </w:rPr>
  </w:style>
  <w:style w:type="character" w:customStyle="1" w:styleId="204">
    <w:name w:val="批注框文本 字符1"/>
    <w:basedOn w:val="124"/>
    <w:semiHidden/>
    <w:qFormat/>
    <w:uiPriority w:val="99"/>
    <w:rPr>
      <w:sz w:val="18"/>
      <w:szCs w:val="18"/>
    </w:rPr>
  </w:style>
  <w:style w:type="character" w:customStyle="1" w:styleId="205">
    <w:name w:val="批注框文本 Char1"/>
    <w:basedOn w:val="124"/>
    <w:semiHidden/>
    <w:qFormat/>
    <w:uiPriority w:val="99"/>
    <w:rPr>
      <w:rFonts w:ascii="Times New Roman" w:hAnsi="Times New Roman" w:eastAsia="宋体" w:cs="Times New Roman"/>
      <w:sz w:val="18"/>
      <w:szCs w:val="18"/>
    </w:rPr>
  </w:style>
  <w:style w:type="character" w:customStyle="1" w:styleId="206">
    <w:name w:val="页脚 字符1"/>
    <w:basedOn w:val="124"/>
    <w:semiHidden/>
    <w:qFormat/>
    <w:uiPriority w:val="99"/>
    <w:rPr>
      <w:sz w:val="18"/>
      <w:szCs w:val="18"/>
    </w:rPr>
  </w:style>
  <w:style w:type="character" w:customStyle="1" w:styleId="207">
    <w:name w:val="页脚 Char1"/>
    <w:basedOn w:val="124"/>
    <w:semiHidden/>
    <w:qFormat/>
    <w:uiPriority w:val="99"/>
    <w:rPr>
      <w:rFonts w:ascii="Times New Roman" w:hAnsi="Times New Roman" w:eastAsia="宋体" w:cs="Times New Roman"/>
      <w:sz w:val="18"/>
      <w:szCs w:val="18"/>
    </w:rPr>
  </w:style>
  <w:style w:type="character" w:customStyle="1" w:styleId="208">
    <w:name w:val="信息标题 字符1"/>
    <w:basedOn w:val="124"/>
    <w:semiHidden/>
    <w:qFormat/>
    <w:uiPriority w:val="99"/>
    <w:rPr>
      <w:rFonts w:asciiTheme="majorHAnsi" w:hAnsiTheme="majorHAnsi" w:eastAsiaTheme="majorEastAsia" w:cstheme="majorBidi"/>
      <w:sz w:val="24"/>
      <w:szCs w:val="24"/>
      <w:shd w:val="pct20" w:color="auto" w:fill="auto"/>
    </w:rPr>
  </w:style>
  <w:style w:type="character" w:customStyle="1" w:styleId="209">
    <w:name w:val="信息标题 Char1"/>
    <w:basedOn w:val="124"/>
    <w:semiHidden/>
    <w:qFormat/>
    <w:uiPriority w:val="99"/>
    <w:rPr>
      <w:rFonts w:asciiTheme="majorHAnsi" w:hAnsiTheme="majorHAnsi" w:eastAsiaTheme="majorEastAsia" w:cstheme="majorBidi"/>
      <w:sz w:val="24"/>
      <w:szCs w:val="24"/>
      <w:shd w:val="pct20" w:color="auto" w:fill="auto"/>
    </w:rPr>
  </w:style>
  <w:style w:type="paragraph" w:customStyle="1" w:styleId="210">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1">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12">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3">
    <w:name w:val="纯文本 Char1"/>
    <w:qFormat/>
    <w:uiPriority w:val="0"/>
    <w:rPr>
      <w:rFonts w:ascii="宋体" w:hAnsi="Courier New" w:cs="Courier New"/>
      <w:kern w:val="2"/>
      <w:sz w:val="21"/>
      <w:szCs w:val="21"/>
    </w:rPr>
  </w:style>
  <w:style w:type="character" w:customStyle="1" w:styleId="214">
    <w:name w:val="Char Char23"/>
    <w:semiHidden/>
    <w:qFormat/>
    <w:uiPriority w:val="0"/>
    <w:rPr>
      <w:rFonts w:ascii="Times New Roman" w:hAnsi="Times New Roman" w:eastAsia="宋体" w:cs="Times New Roman"/>
      <w:b/>
      <w:bCs/>
      <w:szCs w:val="24"/>
    </w:rPr>
  </w:style>
  <w:style w:type="character" w:customStyle="1" w:styleId="215">
    <w:name w:val="尾注文本 字符"/>
    <w:link w:val="48"/>
    <w:semiHidden/>
    <w:qFormat/>
    <w:uiPriority w:val="0"/>
    <w:rPr>
      <w:rFonts w:ascii="Times New Roman" w:hAnsi="Times New Roman" w:eastAsia="宋体" w:cs="Times New Roman"/>
      <w:szCs w:val="24"/>
    </w:rPr>
  </w:style>
  <w:style w:type="character" w:customStyle="1" w:styleId="216">
    <w:name w:val="脚注文本 字符"/>
    <w:link w:val="62"/>
    <w:semiHidden/>
    <w:qFormat/>
    <w:uiPriority w:val="0"/>
    <w:rPr>
      <w:rFonts w:ascii="Times New Roman" w:hAnsi="Times New Roman" w:eastAsia="宋体" w:cs="Times New Roman"/>
      <w:sz w:val="18"/>
      <w:szCs w:val="20"/>
    </w:rPr>
  </w:style>
  <w:style w:type="character" w:customStyle="1" w:styleId="217">
    <w:name w:val="脚注文本 字符1"/>
    <w:basedOn w:val="124"/>
    <w:semiHidden/>
    <w:qFormat/>
    <w:uiPriority w:val="99"/>
    <w:rPr>
      <w:sz w:val="18"/>
      <w:szCs w:val="18"/>
    </w:rPr>
  </w:style>
  <w:style w:type="character" w:customStyle="1" w:styleId="218">
    <w:name w:val="脚注文本 Char1"/>
    <w:basedOn w:val="124"/>
    <w:semiHidden/>
    <w:qFormat/>
    <w:uiPriority w:val="99"/>
    <w:rPr>
      <w:rFonts w:ascii="Times New Roman" w:hAnsi="Times New Roman" w:eastAsia="宋体" w:cs="Times New Roman"/>
      <w:sz w:val="18"/>
      <w:szCs w:val="18"/>
    </w:rPr>
  </w:style>
  <w:style w:type="character" w:customStyle="1" w:styleId="219">
    <w:name w:val="尾注文本 字符1"/>
    <w:basedOn w:val="124"/>
    <w:semiHidden/>
    <w:qFormat/>
    <w:uiPriority w:val="99"/>
  </w:style>
  <w:style w:type="character" w:customStyle="1" w:styleId="220">
    <w:name w:val="尾注文本 Char1"/>
    <w:basedOn w:val="124"/>
    <w:semiHidden/>
    <w:qFormat/>
    <w:uiPriority w:val="99"/>
    <w:rPr>
      <w:rFonts w:ascii="Times New Roman" w:hAnsi="Times New Roman" w:eastAsia="宋体" w:cs="Times New Roman"/>
      <w:szCs w:val="20"/>
    </w:rPr>
  </w:style>
  <w:style w:type="paragraph" w:customStyle="1" w:styleId="221">
    <w:name w:val="z-窗体顶端1"/>
    <w:basedOn w:val="1"/>
    <w:next w:val="1"/>
    <w:link w:val="222"/>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22">
    <w:name w:val="z-窗体顶端 字符"/>
    <w:basedOn w:val="124"/>
    <w:link w:val="221"/>
    <w:qFormat/>
    <w:uiPriority w:val="99"/>
    <w:rPr>
      <w:rFonts w:ascii="Arial" w:hAnsi="Arial" w:eastAsia="宋体" w:cs="Times New Roman"/>
      <w:vanish/>
      <w:kern w:val="0"/>
      <w:sz w:val="16"/>
      <w:szCs w:val="16"/>
    </w:rPr>
  </w:style>
  <w:style w:type="paragraph" w:customStyle="1" w:styleId="223">
    <w:name w:val="z-窗体底端1"/>
    <w:basedOn w:val="1"/>
    <w:next w:val="1"/>
    <w:link w:val="224"/>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24">
    <w:name w:val="z-窗体底端 字符"/>
    <w:basedOn w:val="124"/>
    <w:link w:val="223"/>
    <w:qFormat/>
    <w:uiPriority w:val="99"/>
    <w:rPr>
      <w:rFonts w:ascii="Arial" w:hAnsi="Arial" w:eastAsia="宋体" w:cs="Times New Roman"/>
      <w:vanish/>
      <w:kern w:val="0"/>
      <w:sz w:val="16"/>
      <w:szCs w:val="16"/>
    </w:rPr>
  </w:style>
  <w:style w:type="character" w:customStyle="1" w:styleId="225">
    <w:name w:val="日期 字符"/>
    <w:basedOn w:val="124"/>
    <w:link w:val="46"/>
    <w:semiHidden/>
    <w:qFormat/>
    <w:uiPriority w:val="0"/>
    <w:rPr>
      <w:rFonts w:ascii="Times New Roman" w:hAnsi="Times New Roman" w:eastAsia="宋体" w:cs="Times New Roman"/>
      <w:szCs w:val="20"/>
    </w:rPr>
  </w:style>
  <w:style w:type="paragraph" w:customStyle="1" w:styleId="226">
    <w:name w:val="_Style 10"/>
    <w:qFormat/>
    <w:uiPriority w:val="0"/>
    <w:rPr>
      <w:rFonts w:ascii="Calibri" w:hAnsi="Calibri" w:eastAsia="宋体" w:cs="Times New Roman"/>
      <w:kern w:val="2"/>
      <w:sz w:val="21"/>
      <w:szCs w:val="22"/>
      <w:lang w:val="en-US" w:eastAsia="zh-CN" w:bidi="ar-SA"/>
    </w:rPr>
  </w:style>
  <w:style w:type="paragraph" w:customStyle="1" w:styleId="22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28700</Words>
  <Characters>30643</Characters>
  <Lines>222</Lines>
  <Paragraphs>62</Paragraphs>
  <TotalTime>0</TotalTime>
  <ScaleCrop>false</ScaleCrop>
  <LinksUpToDate>false</LinksUpToDate>
  <CharactersWithSpaces>31918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2021-11-02T03:24:00Z</dcterms:created>
  <dc:creator>靳 欢</dc:creator>
  <cp:lastModifiedBy>官伟杰</cp:lastModifiedBy>
  <dcterms:modified xsi:type="dcterms:W3CDTF">2024-12-04T11:33:11Z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FDAC39A265254EE9AC075A332F625E7B</vt:lpwstr>
  </property>
</Properties>
</file>