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  开</w:t>
      </w:r>
    </w:p>
    <w:p>
      <w:pPr>
        <w:bidi w:val="0"/>
        <w:ind w:left="0" w:leftChars="0" w:firstLine="0" w:firstLineChars="0"/>
        <w:jc w:val="left"/>
        <w:rPr>
          <w:rFonts w:hint="default" w:ascii="黑体" w:hAnsi="黑体" w:eastAsia="黑体" w:cs="黑体"/>
          <w:spacing w:val="768"/>
          <w:kern w:val="0"/>
          <w:fitText w:val="960" w:id="2046563430"/>
          <w:lang w:val="en-US" w:eastAsia="zh-CN"/>
        </w:rPr>
      </w:pPr>
      <w:r>
        <w:rPr>
          <w:rFonts w:hint="default" w:ascii="黑体" w:hAnsi="黑体" w:eastAsia="黑体" w:cs="黑体"/>
          <w:kern w:val="0"/>
          <w:lang w:val="en" w:eastAsia="zh-CN"/>
        </w:rPr>
        <w:t>B</w:t>
      </w:r>
      <w:r>
        <w:rPr>
          <w:rFonts w:hint="eastAsia" w:ascii="黑体" w:hAnsi="黑体" w:eastAsia="黑体" w:cs="黑体"/>
          <w:kern w:val="0"/>
          <w:lang w:val="en-US" w:eastAsia="zh-CN"/>
        </w:rPr>
        <w:t xml:space="preserve">  类</w:t>
      </w:r>
    </w:p>
    <w:p>
      <w:pPr>
        <w:pStyle w:val="5"/>
        <w:keepNext w:val="0"/>
        <w:keepLines w:val="0"/>
        <w:pageBreakBefore w:val="0"/>
        <w:widowControl/>
        <w:kinsoku/>
        <w:wordWrap/>
        <w:overflowPunct/>
        <w:topLinePunct w:val="0"/>
        <w:autoSpaceDE/>
        <w:autoSpaceDN/>
        <w:bidi w:val="0"/>
        <w:adjustRightInd/>
        <w:snapToGrid/>
        <w:spacing w:before="313" w:beforeLines="100"/>
        <w:textAlignment w:val="auto"/>
        <w:rPr>
          <w:rFonts w:hint="eastAsia"/>
          <w:lang w:val="en-US" w:eastAsia="zh-CN"/>
        </w:rPr>
      </w:pPr>
      <w:r>
        <w:rPr>
          <w:rFonts w:hint="eastAsia"/>
          <w:lang w:val="en-US" w:eastAsia="zh-CN"/>
        </w:rPr>
        <w:t>深圳市住房和建设局关于市七届人大五次</w:t>
      </w:r>
      <w:r>
        <w:rPr>
          <w:rFonts w:hint="eastAsia"/>
          <w:lang w:val="en-US" w:eastAsia="zh-CN"/>
        </w:rPr>
        <w:br w:type="textWrapping"/>
      </w:r>
      <w:r>
        <w:rPr>
          <w:rFonts w:hint="eastAsia"/>
          <w:lang w:val="en-US" w:eastAsia="zh-CN"/>
        </w:rPr>
        <w:t>会议第2024</w:t>
      </w:r>
      <w:r>
        <w:rPr>
          <w:rFonts w:hint="default"/>
          <w:lang w:val="en" w:eastAsia="zh-CN"/>
        </w:rPr>
        <w:t>0291</w:t>
      </w:r>
      <w:r>
        <w:rPr>
          <w:rFonts w:hint="eastAsia"/>
          <w:lang w:val="en-US" w:eastAsia="zh-CN"/>
        </w:rPr>
        <w:t>号建议答复的函</w:t>
      </w:r>
    </w:p>
    <w:p>
      <w:pPr>
        <w:keepNext w:val="0"/>
        <w:keepLines w:val="0"/>
        <w:pageBreakBefore w:val="0"/>
        <w:kinsoku/>
        <w:overflowPunct/>
        <w:topLinePunct w:val="0"/>
        <w:autoSpaceDE/>
        <w:autoSpaceDN/>
        <w:bidi w:val="0"/>
        <w:adjustRightInd/>
        <w:snapToGrid/>
        <w:textAlignment w:val="auto"/>
        <w:rPr>
          <w:rFonts w:hint="eastAsia"/>
          <w:lang w:val="en-US" w:eastAsia="zh-CN"/>
        </w:rPr>
      </w:pPr>
    </w:p>
    <w:p>
      <w:pPr>
        <w:keepNext w:val="0"/>
        <w:keepLines w:val="0"/>
        <w:pageBreakBefore w:val="0"/>
        <w:kinsoku/>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尊敬的</w:t>
      </w:r>
      <w:r>
        <w:rPr>
          <w:rFonts w:hint="eastAsia" w:ascii="仿宋_GB2312" w:hAnsi="仿宋_GB2312" w:eastAsia="仿宋_GB2312" w:cs="仿宋_GB2312"/>
          <w:b w:val="0"/>
          <w:sz w:val="32"/>
          <w:szCs w:val="32"/>
          <w:lang w:val="en-US" w:eastAsia="zh-CN"/>
        </w:rPr>
        <w:t>王海龙</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张勉</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刘正</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朱文豪</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唐芳</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邓俊杰</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房永斌</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王国彪</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宋涛</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黄静宜</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闵齐双</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吴刘菊兰</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李学武</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黄迈</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罗江萍</w:t>
      </w:r>
      <w:r>
        <w:rPr>
          <w:rFonts w:hint="eastAsia" w:cs="仿宋_GB2312"/>
          <w:b w:val="0"/>
          <w:sz w:val="32"/>
          <w:szCs w:val="32"/>
          <w:lang w:val="en-US" w:eastAsia="zh-CN"/>
        </w:rPr>
        <w:t>、</w:t>
      </w:r>
      <w:r>
        <w:rPr>
          <w:rFonts w:hint="eastAsia" w:ascii="仿宋_GB2312" w:hAnsi="仿宋_GB2312" w:eastAsia="仿宋_GB2312" w:cs="仿宋_GB2312"/>
          <w:b w:val="0"/>
          <w:sz w:val="32"/>
          <w:szCs w:val="32"/>
          <w:lang w:val="en-US" w:eastAsia="zh-CN"/>
        </w:rPr>
        <w:t>戴冯军</w:t>
      </w:r>
      <w:r>
        <w:rPr>
          <w:rFonts w:hint="eastAsia"/>
          <w:lang w:val="en-US" w:eastAsia="zh-CN"/>
        </w:rPr>
        <w:t>代表：</w:t>
      </w:r>
    </w:p>
    <w:p>
      <w:pPr>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您在市七届人大五次会议上提出的代表建议《</w:t>
      </w:r>
      <w:r>
        <w:rPr>
          <w:rFonts w:hint="eastAsia" w:ascii="仿宋_GB2312" w:hAnsi="仿宋_GB2312" w:eastAsia="仿宋_GB2312" w:cs="仿宋_GB2312"/>
          <w:b w:val="0"/>
          <w:sz w:val="30"/>
          <w:szCs w:val="30"/>
          <w:lang w:val="en-US" w:eastAsia="zh-CN"/>
        </w:rPr>
        <w:t>关于进一步实现传统管网井盖的智能化改造提升城市地下管网安全管理建议</w:t>
      </w:r>
      <w:r>
        <w:rPr>
          <w:rFonts w:hint="eastAsia"/>
          <w:lang w:val="en-US" w:eastAsia="zh-CN"/>
        </w:rPr>
        <w:t>》（建议第</w:t>
      </w:r>
      <w:r>
        <w:rPr>
          <w:rFonts w:hint="default"/>
          <w:lang w:val="en" w:eastAsia="zh-CN"/>
        </w:rPr>
        <w:t>2024</w:t>
      </w:r>
      <w:r>
        <w:rPr>
          <w:rFonts w:hint="eastAsia"/>
          <w:lang w:val="en-US" w:eastAsia="zh-CN"/>
        </w:rPr>
        <w:t>0291号）已经市人大常委会转我局办理。非常感谢您对我们工作的关心和支持。对您的建议，我们进行了认真研究，现答复如下：</w:t>
      </w:r>
    </w:p>
    <w:p>
      <w:pPr>
        <w:pStyle w:val="3"/>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一、关于“借助电子标签等技术手段逐步全面开展普查建档”的建议。</w:t>
      </w:r>
    </w:p>
    <w:p>
      <w:pPr>
        <w:keepNext w:val="0"/>
        <w:keepLines w:val="0"/>
        <w:pageBreakBefore w:val="0"/>
        <w:kinsoku/>
        <w:overflowPunct/>
        <w:topLinePunct w:val="0"/>
        <w:autoSpaceDE/>
        <w:autoSpaceDN/>
        <w:bidi w:val="0"/>
        <w:adjustRightInd/>
        <w:snapToGrid/>
        <w:textAlignment w:val="auto"/>
        <w:rPr>
          <w:rFonts w:hint="default"/>
          <w:lang w:val="en-US" w:eastAsia="zh-CN"/>
        </w:rPr>
      </w:pPr>
      <w:r>
        <w:rPr>
          <w:rFonts w:hint="eastAsia"/>
          <w:lang w:val="en-US" w:eastAsia="zh-CN"/>
        </w:rPr>
        <w:t>2022年5月，我局与市发展改革委等八部门联合印发了《深圳市窨井盖安全专项治理工作方案》，按照“谁主管，谁负责”“谁所有，谁治理”的原则，对我市各类窨井盖进行全面信息普查、确权、建档。</w:t>
      </w:r>
      <w:r>
        <w:rPr>
          <w:rFonts w:hint="eastAsia"/>
          <w:b/>
          <w:bCs/>
          <w:lang w:val="en-US" w:eastAsia="zh-CN"/>
        </w:rPr>
        <w:t>据统计，我市各类窨井盖共380余万座均已实现“一盖一编号，一井一档案”</w:t>
      </w:r>
      <w:r>
        <w:rPr>
          <w:rFonts w:hint="eastAsia"/>
          <w:lang w:val="en-US" w:eastAsia="zh-CN"/>
        </w:rPr>
        <w:t>。</w:t>
      </w:r>
      <w:r>
        <w:rPr>
          <w:rFonts w:hint="default"/>
          <w:lang w:val="en" w:eastAsia="zh-CN"/>
        </w:rPr>
        <w:t>我局</w:t>
      </w:r>
      <w:r>
        <w:rPr>
          <w:rFonts w:hint="eastAsia"/>
          <w:lang w:val="en-US" w:eastAsia="zh-CN"/>
        </w:rPr>
        <w:t>支持</w:t>
      </w:r>
      <w:r>
        <w:rPr>
          <w:rFonts w:hint="default"/>
          <w:lang w:val="en" w:eastAsia="zh-CN"/>
        </w:rPr>
        <w:t>、</w:t>
      </w:r>
      <w:r>
        <w:rPr>
          <w:rFonts w:hint="eastAsia"/>
          <w:lang w:val="en-US" w:eastAsia="zh-CN"/>
        </w:rPr>
        <w:t>鼓励权属单位创新窨井盖信息化管理手段，借助电子标签等技术给窨井盖进行赋码建档</w:t>
      </w:r>
      <w:r>
        <w:rPr>
          <w:rFonts w:hint="default"/>
          <w:lang w:val="en" w:eastAsia="zh-CN"/>
        </w:rPr>
        <w:t>，提高窨井盖管理效率</w:t>
      </w:r>
      <w:r>
        <w:rPr>
          <w:rFonts w:hint="eastAsia"/>
          <w:lang w:val="en" w:eastAsia="zh-CN"/>
        </w:rPr>
        <w:t>，如</w:t>
      </w:r>
      <w:r>
        <w:rPr>
          <w:rFonts w:hint="default"/>
          <w:lang w:val="en" w:eastAsia="zh-CN"/>
        </w:rPr>
        <w:t>市城管和综合执法局</w:t>
      </w:r>
      <w:r>
        <w:rPr>
          <w:rFonts w:hint="eastAsia"/>
          <w:lang w:val="en-US" w:eastAsia="zh-CN"/>
        </w:rPr>
        <w:t>采用虚拟电子二维码标签对路灯窨井盖进行全面建档，市环水集团正在推进重点路段窨井盖电子二维码试点应用，不断探索、推动实现窨井盖信息化。</w:t>
      </w:r>
    </w:p>
    <w:p>
      <w:pPr>
        <w:pStyle w:val="3"/>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二、关于“建立井盖数据专业大模型”的建议。</w:t>
      </w:r>
    </w:p>
    <w:p>
      <w:pPr>
        <w:keepNext w:val="0"/>
        <w:keepLines w:val="0"/>
        <w:pageBreakBefore w:val="0"/>
        <w:kinsoku/>
        <w:overflowPunct/>
        <w:topLinePunct w:val="0"/>
        <w:autoSpaceDE/>
        <w:autoSpaceDN/>
        <w:bidi w:val="0"/>
        <w:adjustRightInd/>
        <w:snapToGrid/>
        <w:textAlignment w:val="auto"/>
        <w:rPr>
          <w:rFonts w:hint="eastAsia"/>
          <w:b/>
          <w:bCs/>
          <w:lang w:val="en-US" w:eastAsia="zh-CN"/>
        </w:rPr>
      </w:pPr>
      <w:r>
        <w:rPr>
          <w:rFonts w:hint="eastAsia"/>
          <w:lang w:val="en-US" w:eastAsia="zh-CN"/>
        </w:rPr>
        <w:t>目前，大部分窨井盖权属单位内部基本已建立起权属范围内管网设施的地理信息系统（GIS），并将窨井盖基础信息数据作为管网附属设施的一部分纳入GIS系统中。</w:t>
      </w:r>
      <w:r>
        <w:rPr>
          <w:rFonts w:hint="eastAsia"/>
          <w:b/>
          <w:bCs/>
          <w:lang w:val="en-US" w:eastAsia="zh-CN"/>
        </w:rPr>
        <w:t>据统计，全市380余万座窨井盖中，约310万座已录入权属单位的信息化平台，录入率达到82%。</w:t>
      </w:r>
    </w:p>
    <w:p>
      <w:pPr>
        <w:keepNext w:val="0"/>
        <w:keepLines w:val="0"/>
        <w:pageBreakBefore w:val="0"/>
        <w:kinsoku/>
        <w:overflowPunct/>
        <w:topLinePunct w:val="0"/>
        <w:autoSpaceDE/>
        <w:autoSpaceDN/>
        <w:bidi w:val="0"/>
        <w:adjustRightInd/>
        <w:snapToGrid/>
        <w:textAlignment w:val="auto"/>
        <w:rPr>
          <w:rFonts w:hint="default"/>
          <w:lang w:val="en-US" w:eastAsia="zh-CN"/>
        </w:rPr>
      </w:pPr>
      <w:r>
        <w:rPr>
          <w:rFonts w:hint="eastAsia"/>
          <w:b w:val="0"/>
          <w:bCs w:val="0"/>
          <w:lang w:val="en-US" w:eastAsia="zh-CN"/>
        </w:rPr>
        <w:t>下一步，</w:t>
      </w:r>
      <w:r>
        <w:rPr>
          <w:rFonts w:hint="eastAsia"/>
          <w:lang w:val="en-US" w:eastAsia="zh-CN"/>
        </w:rPr>
        <w:t>按照市窨井盖专班办在2024年3月18日印发的《深圳市窨井盖一体化管理工作方案》要求，市城管和综合执法局负责牵头升级完善现有的数字城管系统，将其作为全市窨井盖信息数据共享的统一平台。在这统一的信息化平台上，市级行业主管部门组织权属单位开放企业内部系统端口与数字城管系统对接，将全市既有窨井盖的空间信息、属性信息和编码统一导入到数字城管系统中，实现“窨井盖建设一张图”。同时，权属单位通过周期勘测和日常巡检工作，定期将窨井盖新建、维护管理、改迁、废弃等信息更新至系统，进一步实现窨井盖全生命周期管理的目标。</w:t>
      </w:r>
    </w:p>
    <w:p>
      <w:pPr>
        <w:pStyle w:val="3"/>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三、关于“进一步强化最新传感技术在关键重要井盖位置的应用”的建议。</w:t>
      </w:r>
    </w:p>
    <w:p>
      <w:pPr>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2023年，我局先后印发了《关于确定传统窨井盖智能化改造试点的通知》《关于鼓励窨井盖权属单位推广应用智能窨井盖的通知》，要求</w:t>
      </w:r>
      <w:r>
        <w:rPr>
          <w:rFonts w:hint="default"/>
          <w:lang w:val="en" w:eastAsia="zh-CN"/>
        </w:rPr>
        <w:t>各类窨井盖权属单位结合行业特点，在重点路段和点位对传统窨井盖进行智能化改造，通过加装传感器或者电子密码锁，实现井盖异常状态报警、控制井盖开关权限等功能，将“传感器+物联网”应用在窨井盖安全管理工作上</w:t>
      </w:r>
      <w:r>
        <w:rPr>
          <w:rFonts w:hint="eastAsia"/>
          <w:lang w:val="en" w:eastAsia="zh-CN"/>
        </w:rPr>
        <w:t>。在各行业主管部门的指导下，各权属单位不断探索应用新技术，如市信息管线公司将最初的告警装置升级为智能密码锁窨井盖、深圳供电局积极开展智能电力窨井盖管理项目研究，市环水集团组织开展智能窨井盖相关产品研发并在重点区域试点应用</w:t>
      </w:r>
      <w:r>
        <w:rPr>
          <w:rFonts w:hint="default"/>
          <w:lang w:val="en" w:eastAsia="zh-CN"/>
        </w:rPr>
        <w:t>。</w:t>
      </w:r>
      <w:r>
        <w:rPr>
          <w:rFonts w:hint="eastAsia"/>
          <w:lang w:val="en" w:eastAsia="zh-CN"/>
        </w:rPr>
        <w:t>目前</w:t>
      </w:r>
      <w:r>
        <w:rPr>
          <w:rFonts w:hint="default"/>
          <w:lang w:val="en" w:eastAsia="zh-CN"/>
        </w:rPr>
        <w:t>我市现有智能</w:t>
      </w:r>
      <w:r>
        <w:rPr>
          <w:rFonts w:hint="eastAsia"/>
          <w:lang w:val="en" w:eastAsia="zh-CN"/>
        </w:rPr>
        <w:t>窨井盖</w:t>
      </w:r>
      <w:r>
        <w:rPr>
          <w:rFonts w:hint="default"/>
          <w:lang w:val="en" w:eastAsia="zh-CN"/>
        </w:rPr>
        <w:t>约2.7万座，其中通信类</w:t>
      </w:r>
      <w:r>
        <w:rPr>
          <w:rFonts w:hint="eastAsia"/>
          <w:lang w:val="en" w:eastAsia="zh-CN"/>
        </w:rPr>
        <w:t>智能密码锁窨井盖</w:t>
      </w:r>
      <w:r>
        <w:rPr>
          <w:rFonts w:hint="default"/>
          <w:lang w:val="en" w:eastAsia="zh-CN"/>
        </w:rPr>
        <w:t>占比96.30%</w:t>
      </w:r>
      <w:r>
        <w:rPr>
          <w:rFonts w:hint="eastAsia"/>
          <w:lang w:val="en-US" w:eastAsia="zh-CN"/>
        </w:rPr>
        <w:t>。</w:t>
      </w:r>
    </w:p>
    <w:p>
      <w:pPr>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下一步，围绕窨井盖安全管理“难点”“堵点”，我局将会同窨井盖各行业主管部门进一步研究窨井盖智能化改造的工作方向。由各行业主管部门牵头，组织权属单位结合本行业窨井盖特点，研究在低洼易涝地区、人员流动密集区域、重点路段持续试点推广智能窨井盖，争取在2024年7月底前制定本行业的窨井盖智能化改造计划，充分运用信息化技术提升窨井盖安全管理效率和水平。</w:t>
      </w:r>
    </w:p>
    <w:p>
      <w:pPr>
        <w:pStyle w:val="3"/>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四、关于“尽快制定新建井盖的规范标准”的建议。</w:t>
      </w:r>
    </w:p>
    <w:p>
      <w:pPr>
        <w:keepNext w:val="0"/>
        <w:keepLines w:val="0"/>
        <w:pageBreakBefore w:val="0"/>
        <w:kinsoku/>
        <w:overflowPunct/>
        <w:topLinePunct w:val="0"/>
        <w:autoSpaceDE/>
        <w:autoSpaceDN/>
        <w:bidi w:val="0"/>
        <w:adjustRightInd/>
        <w:snapToGrid/>
        <w:textAlignment w:val="auto"/>
        <w:rPr>
          <w:rFonts w:hint="eastAsia" w:cs="仿宋_GB2312"/>
          <w:szCs w:val="32"/>
          <w:lang w:val="en-US" w:eastAsia="zh-CN"/>
        </w:rPr>
      </w:pPr>
      <w:r>
        <w:rPr>
          <w:rFonts w:hint="eastAsia" w:cs="仿宋_GB2312"/>
          <w:sz w:val="32"/>
          <w:szCs w:val="32"/>
          <w:lang w:val="en" w:eastAsia="zh-CN"/>
        </w:rPr>
        <w:t>目前，</w:t>
      </w:r>
      <w:r>
        <w:rPr>
          <w:rFonts w:hint="default" w:cs="仿宋_GB2312"/>
          <w:sz w:val="32"/>
          <w:szCs w:val="32"/>
          <w:lang w:val="en" w:eastAsia="zh-CN"/>
        </w:rPr>
        <w:t>按照《深圳市窨井盖一体化管理工作方案》要求，</w:t>
      </w:r>
      <w:r>
        <w:rPr>
          <w:rFonts w:hint="eastAsia" w:ascii="仿宋_GB2312" w:hAnsi="仿宋_GB2312" w:eastAsia="仿宋_GB2312" w:cs="仿宋_GB2312"/>
          <w:sz w:val="32"/>
          <w:szCs w:val="32"/>
          <w:lang w:eastAsia="zh-CN"/>
        </w:rPr>
        <w:t>各行业主管部门已组织权属单位全面梳理、收集本</w:t>
      </w:r>
      <w:r>
        <w:rPr>
          <w:rFonts w:hint="eastAsia" w:ascii="仿宋_GB2312" w:hAnsi="仿宋_GB2312" w:eastAsia="仿宋_GB2312" w:cs="仿宋_GB2312"/>
          <w:sz w:val="32"/>
          <w:szCs w:val="32"/>
        </w:rPr>
        <w:t>行业</w:t>
      </w:r>
      <w:r>
        <w:rPr>
          <w:rFonts w:hint="eastAsia" w:ascii="仿宋_GB2312" w:hAnsi="仿宋_GB2312" w:eastAsia="仿宋_GB2312" w:cs="仿宋_GB2312"/>
          <w:sz w:val="32"/>
          <w:szCs w:val="32"/>
          <w:lang w:eastAsia="zh-CN"/>
        </w:rPr>
        <w:t>或领域包括但不限于窨井盖设计、建设、验收、管养等各环节现行有效的标准数量为</w:t>
      </w:r>
      <w:r>
        <w:rPr>
          <w:rFonts w:hint="eastAsia" w:cs="仿宋_GB2312"/>
          <w:sz w:val="32"/>
          <w:szCs w:val="32"/>
          <w:lang w:val="en-US" w:eastAsia="zh-CN"/>
        </w:rPr>
        <w:t>15</w:t>
      </w:r>
      <w:r>
        <w:rPr>
          <w:rFonts w:hint="eastAsia" w:ascii="仿宋_GB2312" w:hAnsi="仿宋_GB2312" w:eastAsia="仿宋_GB2312" w:cs="仿宋_GB2312"/>
          <w:sz w:val="32"/>
          <w:szCs w:val="32"/>
          <w:lang w:eastAsia="zh-CN"/>
        </w:rPr>
        <w:t>个（水务类5个、路灯类</w:t>
      </w:r>
      <w:r>
        <w:rPr>
          <w:rFonts w:hint="eastAsia" w:cs="仿宋_GB2312"/>
          <w:sz w:val="32"/>
          <w:szCs w:val="32"/>
          <w:lang w:val="en-US" w:eastAsia="zh-CN"/>
        </w:rPr>
        <w:t>2</w:t>
      </w:r>
      <w:r>
        <w:rPr>
          <w:rFonts w:hint="eastAsia" w:ascii="仿宋_GB2312" w:hAnsi="仿宋_GB2312" w:eastAsia="仿宋_GB2312" w:cs="仿宋_GB2312"/>
          <w:sz w:val="32"/>
          <w:szCs w:val="32"/>
          <w:lang w:eastAsia="zh-CN"/>
        </w:rPr>
        <w:t>个、电力类3个、通信类4个</w:t>
      </w:r>
      <w:r>
        <w:rPr>
          <w:rFonts w:hint="eastAsia" w:cs="仿宋_GB2312"/>
          <w:sz w:val="32"/>
          <w:szCs w:val="32"/>
          <w:lang w:eastAsia="zh-CN"/>
        </w:rPr>
        <w:t>、公安类</w:t>
      </w:r>
      <w:r>
        <w:rPr>
          <w:rFonts w:hint="eastAsia" w:cs="仿宋_GB2312"/>
          <w:sz w:val="32"/>
          <w:szCs w:val="32"/>
          <w:lang w:val="en-US" w:eastAsia="zh-CN"/>
        </w:rPr>
        <w:t>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cs="仿宋_GB2312"/>
          <w:sz w:val="32"/>
          <w:szCs w:val="32"/>
          <w:lang w:val="en-US" w:eastAsia="zh-CN"/>
        </w:rPr>
        <w:t>部分行业的</w:t>
      </w:r>
      <w:r>
        <w:rPr>
          <w:rFonts w:hint="eastAsia" w:ascii="仿宋_GB2312" w:hAnsi="仿宋_GB2312" w:eastAsia="仿宋_GB2312" w:cs="仿宋_GB2312"/>
          <w:sz w:val="32"/>
          <w:szCs w:val="32"/>
          <w:lang w:val="en-US" w:eastAsia="zh-CN"/>
        </w:rPr>
        <w:t>窨井盖</w:t>
      </w:r>
      <w:r>
        <w:rPr>
          <w:rFonts w:hint="eastAsia" w:cs="仿宋_GB2312"/>
          <w:sz w:val="32"/>
          <w:szCs w:val="32"/>
          <w:lang w:val="en-US" w:eastAsia="zh-CN"/>
        </w:rPr>
        <w:t>标准还</w:t>
      </w:r>
      <w:r>
        <w:rPr>
          <w:rFonts w:hint="eastAsia" w:ascii="仿宋_GB2312" w:hAnsi="仿宋_GB2312" w:eastAsia="仿宋_GB2312" w:cs="仿宋_GB2312"/>
          <w:sz w:val="32"/>
          <w:szCs w:val="32"/>
          <w:lang w:val="en-US" w:eastAsia="zh-CN"/>
        </w:rPr>
        <w:t>需进一步补充完善。各行业主管部门</w:t>
      </w:r>
      <w:r>
        <w:rPr>
          <w:rFonts w:hint="default" w:cs="仿宋_GB2312"/>
          <w:sz w:val="32"/>
          <w:szCs w:val="32"/>
          <w:lang w:val="en" w:eastAsia="zh-CN"/>
        </w:rPr>
        <w:t>将</w:t>
      </w:r>
      <w:r>
        <w:rPr>
          <w:rFonts w:hint="eastAsia" w:ascii="仿宋_GB2312" w:hAnsi="仿宋_GB2312" w:eastAsia="仿宋_GB2312" w:cs="仿宋_GB2312"/>
          <w:sz w:val="32"/>
          <w:szCs w:val="32"/>
          <w:lang w:eastAsia="zh-CN"/>
        </w:rPr>
        <w:t>在此基础上，结合行业实际，对本行业内缺少的标准抓紧进行补充完善、修订</w:t>
      </w:r>
      <w:r>
        <w:rPr>
          <w:rFonts w:hint="eastAsia" w:cs="仿宋_GB2312"/>
          <w:sz w:val="32"/>
          <w:szCs w:val="32"/>
          <w:lang w:eastAsia="zh-CN"/>
        </w:rPr>
        <w:t>；我局</w:t>
      </w:r>
      <w:r>
        <w:rPr>
          <w:rFonts w:hint="eastAsia" w:ascii="仿宋_GB2312" w:hAnsi="仿宋_GB2312" w:eastAsia="仿宋_GB2312" w:cs="仿宋_GB2312"/>
          <w:sz w:val="32"/>
          <w:szCs w:val="32"/>
          <w:lang w:eastAsia="zh-CN"/>
        </w:rPr>
        <w:t>将各行业窨井盖标准汇总集成，</w:t>
      </w:r>
      <w:r>
        <w:rPr>
          <w:rFonts w:hint="eastAsia" w:cs="仿宋_GB2312"/>
          <w:sz w:val="32"/>
          <w:szCs w:val="32"/>
          <w:lang w:eastAsia="zh-CN"/>
        </w:rPr>
        <w:t>在</w:t>
      </w:r>
      <w:r>
        <w:rPr>
          <w:rFonts w:hint="eastAsia" w:cs="仿宋_GB2312"/>
          <w:sz w:val="32"/>
          <w:szCs w:val="32"/>
          <w:lang w:val="en-US" w:eastAsia="zh-CN"/>
        </w:rPr>
        <w:t>2024年6月底前</w:t>
      </w:r>
      <w:r>
        <w:rPr>
          <w:rFonts w:hint="eastAsia" w:ascii="仿宋_GB2312" w:hAnsi="仿宋_GB2312" w:eastAsia="仿宋_GB2312" w:cs="仿宋_GB2312"/>
          <w:sz w:val="32"/>
          <w:szCs w:val="32"/>
          <w:lang w:eastAsia="zh-CN"/>
        </w:rPr>
        <w:t>形成我市窨井盖建设运行管理标准，从源头上规范</w:t>
      </w:r>
      <w:r>
        <w:rPr>
          <w:rFonts w:hint="eastAsia" w:ascii="仿宋_GB2312" w:hAnsi="仿宋_GB2312" w:eastAsia="仿宋_GB2312" w:cs="仿宋_GB2312"/>
          <w:sz w:val="32"/>
          <w:szCs w:val="32"/>
        </w:rPr>
        <w:t>窨井盖设计、选型、安装、养护、材料、工艺等</w:t>
      </w:r>
      <w:r>
        <w:rPr>
          <w:rFonts w:hint="default" w:cs="仿宋_GB2312"/>
          <w:sz w:val="32"/>
          <w:szCs w:val="32"/>
          <w:lang w:val="en"/>
        </w:rPr>
        <w:t>，提升窨井盖建设</w:t>
      </w:r>
      <w:r>
        <w:rPr>
          <w:rFonts w:hint="eastAsia" w:cs="仿宋_GB2312"/>
          <w:sz w:val="32"/>
          <w:szCs w:val="32"/>
          <w:lang w:val="en" w:eastAsia="zh-CN"/>
        </w:rPr>
        <w:t>和运行管理</w:t>
      </w:r>
      <w:r>
        <w:rPr>
          <w:rFonts w:hint="default" w:cs="仿宋_GB2312"/>
          <w:sz w:val="32"/>
          <w:szCs w:val="32"/>
          <w:lang w:val="en"/>
        </w:rPr>
        <w:t>质量</w:t>
      </w:r>
      <w:r>
        <w:rPr>
          <w:rFonts w:hint="eastAsia" w:cs="仿宋_GB2312"/>
          <w:szCs w:val="32"/>
          <w:lang w:val="en-US" w:eastAsia="zh-CN"/>
        </w:rPr>
        <w:t>。</w:t>
      </w:r>
    </w:p>
    <w:p>
      <w:pPr>
        <w:pStyle w:val="2"/>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会同窨井盖各行业主管部门、权属单位等有关单位进一步研究智能化窨井盖综合标准的制定，结合窨井盖工作重点，将最新的“传感器+物联”技术与各行业窨井盖维护管理需求相结合，积极协调标准化主管部门推动智能化窨井盖综合标准的编制工作，为智能井盖的设计、建设和维护管理提供工作依据和指导，发挥深圳的“先行示范”作用。</w:t>
      </w:r>
    </w:p>
    <w:p>
      <w:pPr>
        <w:keepNext w:val="0"/>
        <w:keepLines w:val="0"/>
        <w:pageBreakBefore w:val="0"/>
        <w:kinsoku/>
        <w:overflowPunct/>
        <w:topLinePunct w:val="0"/>
        <w:autoSpaceDE/>
        <w:autoSpaceDN/>
        <w:bidi w:val="0"/>
        <w:adjustRightInd/>
        <w:snapToGrid/>
        <w:textAlignment w:val="auto"/>
        <w:rPr>
          <w:rFonts w:hint="eastAsia"/>
          <w:lang w:val="en-US" w:eastAsia="zh-CN"/>
        </w:rPr>
      </w:pPr>
      <w:r>
        <w:rPr>
          <w:rFonts w:hint="eastAsia"/>
          <w:lang w:val="en-US" w:eastAsia="zh-CN"/>
        </w:rPr>
        <w:t>再次感谢您对我们工作的关心和支持！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right="1280" w:rightChars="400"/>
        <w:jc w:val="right"/>
        <w:textAlignment w:val="auto"/>
        <w:rPr>
          <w:rFonts w:hint="eastAsia"/>
          <w:lang w:val="en-US" w:eastAsia="zh-CN"/>
        </w:rPr>
      </w:pPr>
      <w:r>
        <w:rPr>
          <w:rFonts w:hint="eastAsia"/>
          <w:lang w:val="en-US" w:eastAsia="zh-CN"/>
        </w:rPr>
        <w:t>深圳市住房和建设局</w:t>
      </w:r>
    </w:p>
    <w:p>
      <w:pPr>
        <w:keepNext w:val="0"/>
        <w:keepLines w:val="0"/>
        <w:pageBreakBefore w:val="0"/>
        <w:kinsoku/>
        <w:wordWrap w:val="0"/>
        <w:overflowPunct/>
        <w:topLinePunct w:val="0"/>
        <w:autoSpaceDE/>
        <w:autoSpaceDN/>
        <w:bidi w:val="0"/>
        <w:adjustRightInd/>
        <w:snapToGrid/>
        <w:jc w:val="right"/>
        <w:textAlignment w:val="auto"/>
        <w:rPr>
          <w:rFonts w:hint="eastAsia"/>
          <w:lang w:val="en-US" w:eastAsia="zh-CN"/>
        </w:rPr>
      </w:pPr>
      <w:r>
        <w:rPr>
          <w:rFonts w:hint="eastAsia"/>
          <w:lang w:val="en-US" w:eastAsia="zh-CN"/>
        </w:rPr>
        <w:t>2024年5月</w:t>
      </w:r>
      <w:r>
        <w:rPr>
          <w:rFonts w:hint="default"/>
          <w:lang w:val="en" w:eastAsia="zh-CN"/>
        </w:rPr>
        <w:t>23</w:t>
      </w:r>
      <w:r>
        <w:rPr>
          <w:rFonts w:hint="eastAsia"/>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p>
    <w:p>
      <w:pPr>
        <w:pStyle w:val="2"/>
        <w:spacing w:line="560" w:lineRule="exact"/>
        <w:ind w:firstLine="0" w:firstLineChars="0"/>
      </w:pPr>
      <w:bookmarkStart w:id="0" w:name="_GoBack"/>
      <w:bookmarkEnd w:id="0"/>
    </w:p>
    <w:sectPr>
      <w:footerReference r:id="rId5" w:type="default"/>
      <w:pgSz w:w="11906" w:h="16838"/>
      <w:pgMar w:top="2041" w:right="1474" w:bottom="204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EFCFD"/>
    <w:rsid w:val="68DF17D7"/>
    <w:rsid w:val="6AF4A9AA"/>
    <w:rsid w:val="6F7DA706"/>
    <w:rsid w:val="74CF1838"/>
    <w:rsid w:val="7ACF010F"/>
    <w:rsid w:val="BFFF32C7"/>
    <w:rsid w:val="E67BB02B"/>
    <w:rsid w:val="F3F4C68D"/>
    <w:rsid w:val="FB5E615F"/>
    <w:rsid w:val="FBF731E7"/>
    <w:rsid w:val="FEFF8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3">
    <w:name w:val="heading 1"/>
    <w:next w:val="1"/>
    <w:qFormat/>
    <w:uiPriority w:val="0"/>
    <w:pPr>
      <w:spacing w:line="560" w:lineRule="exact"/>
      <w:ind w:left="0" w:firstLine="883" w:firstLineChars="200"/>
      <w:jc w:val="both"/>
      <w:outlineLvl w:val="0"/>
    </w:pPr>
    <w:rPr>
      <w:rFonts w:ascii="黑体" w:hAnsi="黑体" w:eastAsia="黑体"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next w:val="1"/>
    <w:qFormat/>
    <w:uiPriority w:val="0"/>
    <w:pPr>
      <w:spacing w:line="560" w:lineRule="exact"/>
      <w:jc w:val="center"/>
      <w:outlineLvl w:val="0"/>
    </w:pPr>
    <w:rPr>
      <w:rFonts w:ascii="方正小标宋_GBK" w:hAnsi="方正小标宋_GBK" w:eastAsia="方正小标宋_GBK" w:cs="宋体"/>
      <w:kern w:val="2"/>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2024-05-25T07:40:00Z</dcterms:created>
  <dc:creator>xiao</dc:creator>
  <cp:lastModifiedBy>xiao</cp:lastModifiedBy>
  <dcterms:modified xsi:type="dcterms:W3CDTF">2024-12-31T10:41:56Z</dcterms:modified>
  <dc:title>深圳市住房和建设局关于市七届人大五次_x000B_会议第20240291号建议答复的函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