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jc w:val="left"/>
        <w:rPr>
          <w:rFonts w:ascii="黑体" w:hAnsi="黑体" w:eastAsia="黑体" w:cs="黑体"/>
          <w:sz w:val="32"/>
          <w:szCs w:val="32"/>
        </w:rPr>
      </w:pPr>
      <w:bookmarkStart w:id="0" w:name="RiseOffice_body"/>
      <w:r>
        <w:rPr>
          <w:rFonts w:hint="eastAsia" w:ascii="黑体" w:hAnsi="黑体" w:eastAsia="黑体" w:cs="黑体"/>
          <w:sz w:val="32"/>
          <w:szCs w:val="32"/>
        </w:rPr>
        <w:t>公开</w:t>
      </w:r>
    </w:p>
    <w:p>
      <w:pPr>
        <w:adjustRightInd w:val="0"/>
        <w:snapToGrid w:val="0"/>
        <w:spacing w:line="560" w:lineRule="exact"/>
        <w:jc w:val="left"/>
        <w:rPr>
          <w:rFonts w:hint="eastAsia" w:ascii="黑体" w:hAnsi="黑体" w:eastAsia="黑体" w:cs="黑体"/>
          <w:kern w:val="0"/>
          <w:sz w:val="32"/>
          <w:szCs w:val="32"/>
        </w:rPr>
      </w:pPr>
      <w:r>
        <w:rPr>
          <w:rFonts w:hint="eastAsia" w:ascii="黑体" w:hAnsi="黑体" w:eastAsia="黑体" w:cs="黑体"/>
          <w:kern w:val="0"/>
          <w:sz w:val="32"/>
          <w:szCs w:val="32"/>
        </w:rPr>
        <w:t>B类</w:t>
      </w:r>
    </w:p>
    <w:p>
      <w:pPr>
        <w:pStyle w:val="3"/>
        <w:adjustRightInd w:val="0"/>
        <w:snapToGrid w:val="0"/>
        <w:spacing w:after="0" w:line="560" w:lineRule="exact"/>
      </w:pPr>
    </w:p>
    <w:p>
      <w:pPr>
        <w:pStyle w:val="4"/>
        <w:adjustRightInd w:val="0"/>
        <w:snapToGrid w:val="0"/>
        <w:spacing w:line="560" w:lineRule="exact"/>
        <w:ind w:firstLine="0" w:firstLineChars="0"/>
      </w:pPr>
    </w:p>
    <w:p>
      <w:pPr>
        <w:adjustRightInd w:val="0"/>
        <w:snapToGrid w:val="0"/>
        <w:spacing w:line="560" w:lineRule="exact"/>
        <w:ind w:left="0" w:hanging="660" w:hangingChars="150"/>
        <w:jc w:val="center"/>
        <w:rPr>
          <w:rFonts w:hint="eastAsia"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深圳市住房和建设局关于市七届人大</w:t>
      </w:r>
      <w:r>
        <w:rPr>
          <w:rFonts w:hint="eastAsia" w:ascii="方正小标宋简体" w:hAnsi="方正小标宋_GBK" w:eastAsia="方正小标宋简体" w:cs="方正小标宋_GBK"/>
          <w:sz w:val="44"/>
          <w:szCs w:val="44"/>
          <w:lang w:eastAsia="zh-CN"/>
        </w:rPr>
        <w:t>五</w:t>
      </w:r>
      <w:r>
        <w:rPr>
          <w:rFonts w:hint="eastAsia" w:ascii="方正小标宋简体" w:hAnsi="方正小标宋_GBK" w:eastAsia="方正小标宋简体" w:cs="方正小标宋_GBK"/>
          <w:sz w:val="44"/>
          <w:szCs w:val="44"/>
        </w:rPr>
        <w:t>次</w:t>
      </w:r>
    </w:p>
    <w:p>
      <w:pPr>
        <w:adjustRightInd w:val="0"/>
        <w:snapToGrid w:val="0"/>
        <w:spacing w:line="560" w:lineRule="exact"/>
        <w:ind w:left="660" w:leftChars="0" w:hanging="660" w:hangingChars="150"/>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会议第</w:t>
      </w:r>
      <w:r>
        <w:rPr>
          <w:rFonts w:hint="eastAsia" w:ascii="方正小标宋简体" w:hAnsi="方正小标宋_GBK" w:eastAsia="方正小标宋简体" w:cs="方正小标宋_GBK"/>
          <w:sz w:val="44"/>
          <w:szCs w:val="44"/>
          <w:lang w:val="en-US" w:eastAsia="zh-CN"/>
        </w:rPr>
        <w:t>20240470</w:t>
      </w:r>
      <w:r>
        <w:rPr>
          <w:rFonts w:hint="eastAsia" w:ascii="方正小标宋简体" w:hAnsi="方正小标宋_GBK" w:eastAsia="方正小标宋简体" w:cs="方正小标宋_GBK"/>
          <w:sz w:val="44"/>
          <w:szCs w:val="44"/>
        </w:rPr>
        <w:t>号建议答复的函</w:t>
      </w:r>
    </w:p>
    <w:p>
      <w:pPr>
        <w:adjustRightInd w:val="0"/>
        <w:snapToGrid w:val="0"/>
        <w:spacing w:line="560" w:lineRule="exact"/>
        <w:rPr>
          <w:rFonts w:hint="eastAsia" w:ascii="仿宋_GB2312" w:hAnsi="黑体" w:eastAsia="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78" w:lineRule="exact"/>
        <w:textAlignment w:val="auto"/>
        <w:rPr>
          <w:rFonts w:ascii="仿宋_GB2312" w:hAnsi="黑体" w:eastAsia="仿宋_GB2312"/>
          <w:sz w:val="32"/>
          <w:szCs w:val="32"/>
        </w:rPr>
      </w:pPr>
      <w:r>
        <w:rPr>
          <w:rFonts w:hint="eastAsia" w:ascii="仿宋_GB2312" w:hAnsi="黑体" w:eastAsia="仿宋_GB2312"/>
          <w:sz w:val="32"/>
          <w:szCs w:val="32"/>
        </w:rPr>
        <w:t>尊敬的</w:t>
      </w:r>
      <w:r>
        <w:rPr>
          <w:rFonts w:hint="eastAsia" w:ascii="仿宋_GB2312" w:hAnsi="仿宋_GB2312" w:eastAsia="仿宋_GB2312" w:cs="仿宋_GB2312"/>
          <w:b w:val="0"/>
          <w:sz w:val="32"/>
          <w:szCs w:val="32"/>
          <w:lang w:val="en-US" w:eastAsia="zh-CN"/>
        </w:rPr>
        <w:t>朱文豪</w:t>
      </w:r>
      <w:r>
        <w:rPr>
          <w:rFonts w:hint="eastAsia" w:ascii="仿宋_GB2312" w:hAnsi="仿宋_GB2312" w:eastAsia="仿宋_GB2312" w:cs="仿宋_GB2312"/>
          <w:sz w:val="32"/>
          <w:szCs w:val="32"/>
        </w:rPr>
        <w:t>代表</w:t>
      </w:r>
      <w:r>
        <w:rPr>
          <w:rFonts w:hint="eastAsia" w:ascii="仿宋_GB2312" w:hAnsi="黑体" w:eastAsia="仿宋_GB2312"/>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left="0" w:leftChars="0" w:right="0" w:rightChars="0" w:firstLine="640" w:firstLineChars="200"/>
        <w:textAlignment w:val="auto"/>
        <w:rPr>
          <w:rFonts w:ascii="仿宋_GB2312" w:hAnsi="仿宋_GB2312" w:eastAsia="仿宋_GB2312" w:cs="仿宋_GB2312"/>
          <w:sz w:val="30"/>
          <w:szCs w:val="30"/>
        </w:rPr>
      </w:pPr>
      <w:r>
        <w:rPr>
          <w:rFonts w:hint="eastAsia" w:ascii="仿宋_GB2312" w:hAnsi="黑体" w:eastAsia="仿宋_GB2312"/>
          <w:sz w:val="32"/>
          <w:szCs w:val="32"/>
        </w:rPr>
        <w:t>您在市七届人大</w:t>
      </w:r>
      <w:r>
        <w:rPr>
          <w:rFonts w:hint="eastAsia" w:ascii="仿宋_GB2312" w:hAnsi="黑体" w:eastAsia="仿宋_GB2312"/>
          <w:sz w:val="32"/>
          <w:szCs w:val="32"/>
          <w:lang w:eastAsia="zh-CN"/>
        </w:rPr>
        <w:t>五</w:t>
      </w:r>
      <w:r>
        <w:rPr>
          <w:rFonts w:hint="eastAsia" w:ascii="仿宋_GB2312" w:hAnsi="黑体" w:eastAsia="仿宋_GB2312"/>
          <w:sz w:val="32"/>
          <w:szCs w:val="32"/>
        </w:rPr>
        <w:t>次会议提出的《</w:t>
      </w:r>
      <w:r>
        <w:rPr>
          <w:rFonts w:hint="eastAsia" w:ascii="仿宋_GB2312" w:hAnsi="仿宋_GB2312" w:eastAsia="仿宋_GB2312" w:cs="仿宋_GB2312"/>
          <w:b w:val="0"/>
          <w:sz w:val="30"/>
          <w:szCs w:val="30"/>
          <w:lang w:val="en-US" w:eastAsia="zh-CN"/>
        </w:rPr>
        <w:t>关于调整放宽房地产限购政策的建议</w:t>
      </w:r>
      <w:r>
        <w:rPr>
          <w:rFonts w:hint="eastAsia" w:ascii="仿宋_GB2312" w:hAnsi="黑体" w:eastAsia="仿宋_GB2312"/>
          <w:sz w:val="32"/>
          <w:szCs w:val="32"/>
        </w:rPr>
        <w:t>》（</w:t>
      </w: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20240470</w:t>
      </w:r>
      <w:r>
        <w:rPr>
          <w:rFonts w:hint="eastAsia" w:ascii="仿宋_GB2312" w:hAnsi="仿宋_GB2312" w:eastAsia="仿宋_GB2312" w:cs="仿宋_GB2312"/>
          <w:b w:val="0"/>
          <w:sz w:val="32"/>
          <w:lang w:eastAsia="zh-CN"/>
        </w:rPr>
        <w:t>号</w:t>
      </w:r>
      <w:r>
        <w:rPr>
          <w:rFonts w:hint="eastAsia" w:ascii="仿宋_GB2312" w:hAnsi="黑体" w:eastAsia="仿宋_GB2312"/>
          <w:sz w:val="32"/>
          <w:szCs w:val="32"/>
        </w:rPr>
        <w:t>），已经市人大常委会转我局办理。非常感谢您对我们工作的关心和支持。</w:t>
      </w:r>
      <w:r>
        <w:rPr>
          <w:rFonts w:hint="eastAsia" w:ascii="仿宋_GB2312" w:hAnsi="黑体" w:eastAsia="仿宋_GB2312"/>
          <w:sz w:val="32"/>
          <w:szCs w:val="32"/>
          <w:lang w:eastAsia="zh-CN"/>
        </w:rPr>
        <w:t>对于</w:t>
      </w:r>
      <w:r>
        <w:rPr>
          <w:rFonts w:hint="eastAsia" w:ascii="仿宋_GB2312" w:hAnsi="黑体" w:eastAsia="仿宋_GB2312"/>
          <w:sz w:val="32"/>
          <w:szCs w:val="32"/>
        </w:rPr>
        <w:t>您</w:t>
      </w:r>
      <w:r>
        <w:rPr>
          <w:rFonts w:hint="eastAsia" w:ascii="仿宋_GB2312" w:hAnsi="黑体" w:eastAsia="仿宋_GB2312"/>
          <w:sz w:val="32"/>
          <w:szCs w:val="32"/>
          <w:lang w:eastAsia="zh-CN"/>
        </w:rPr>
        <w:t>提出关于</w:t>
      </w:r>
      <w:r>
        <w:rPr>
          <w:rFonts w:hint="eastAsia" w:ascii="仿宋_GB2312" w:hAnsi="黑体" w:eastAsia="仿宋_GB2312"/>
          <w:sz w:val="32"/>
          <w:szCs w:val="32"/>
        </w:rPr>
        <w:t>推动房地产市场平稳健康发展</w:t>
      </w:r>
      <w:r>
        <w:rPr>
          <w:rFonts w:hint="eastAsia" w:ascii="仿宋_GB2312" w:hAnsi="黑体" w:eastAsia="仿宋_GB2312"/>
          <w:sz w:val="32"/>
          <w:szCs w:val="32"/>
          <w:lang w:eastAsia="zh-CN"/>
        </w:rPr>
        <w:t>的建设性意见和</w:t>
      </w:r>
      <w:r>
        <w:rPr>
          <w:rFonts w:hint="eastAsia" w:ascii="仿宋_GB2312" w:hAnsi="黑体" w:eastAsia="仿宋_GB2312"/>
          <w:sz w:val="32"/>
          <w:szCs w:val="32"/>
        </w:rPr>
        <w:t>建议，我</w:t>
      </w:r>
      <w:r>
        <w:rPr>
          <w:rFonts w:hint="eastAsia" w:ascii="仿宋_GB2312" w:hAnsi="黑体" w:eastAsia="仿宋_GB2312"/>
          <w:sz w:val="32"/>
          <w:szCs w:val="32"/>
          <w:lang w:eastAsia="zh-CN"/>
        </w:rPr>
        <w:t>局</w:t>
      </w:r>
      <w:r>
        <w:rPr>
          <w:rFonts w:hint="eastAsia" w:ascii="仿宋_GB2312" w:hAnsi="黑体" w:eastAsia="仿宋_GB2312"/>
          <w:sz w:val="32"/>
          <w:szCs w:val="32"/>
        </w:rPr>
        <w:t>高度重视，认真</w:t>
      </w:r>
      <w:r>
        <w:rPr>
          <w:rFonts w:hint="eastAsia" w:ascii="仿宋_GB2312" w:hAnsi="黑体" w:eastAsia="仿宋_GB2312"/>
          <w:sz w:val="32"/>
          <w:szCs w:val="32"/>
          <w:lang w:eastAsia="zh-CN"/>
        </w:rPr>
        <w:t>分析</w:t>
      </w:r>
      <w:r>
        <w:rPr>
          <w:rFonts w:hint="eastAsia" w:ascii="仿宋_GB2312" w:hAnsi="黑体" w:eastAsia="仿宋_GB2312"/>
          <w:sz w:val="32"/>
          <w:szCs w:val="32"/>
        </w:rPr>
        <w:t>，</w:t>
      </w:r>
      <w:r>
        <w:rPr>
          <w:rFonts w:hint="eastAsia" w:ascii="仿宋_GB2312" w:hAnsi="黑体" w:eastAsia="仿宋_GB2312"/>
          <w:sz w:val="32"/>
          <w:szCs w:val="32"/>
          <w:lang w:eastAsia="zh-CN"/>
        </w:rPr>
        <w:t>并</w:t>
      </w:r>
      <w:r>
        <w:rPr>
          <w:rFonts w:hint="eastAsia" w:ascii="仿宋_GB2312" w:hAnsi="黑体" w:eastAsia="仿宋_GB2312"/>
          <w:sz w:val="32"/>
          <w:szCs w:val="32"/>
        </w:rPr>
        <w:t>在工作中</w:t>
      </w:r>
      <w:r>
        <w:rPr>
          <w:rFonts w:hint="eastAsia" w:ascii="仿宋_GB2312" w:hAnsi="黑体" w:eastAsia="仿宋_GB2312"/>
          <w:sz w:val="32"/>
          <w:szCs w:val="32"/>
          <w:lang w:eastAsia="zh-CN"/>
        </w:rPr>
        <w:t>研究</w:t>
      </w:r>
      <w:r>
        <w:rPr>
          <w:rFonts w:hint="eastAsia" w:ascii="仿宋_GB2312" w:hAnsi="黑体" w:eastAsia="仿宋_GB2312"/>
          <w:sz w:val="32"/>
          <w:szCs w:val="32"/>
        </w:rPr>
        <w:t>吸纳。现答复如下：</w:t>
      </w:r>
    </w:p>
    <w:p>
      <w:pPr>
        <w:keepNext w:val="0"/>
        <w:keepLines w:val="0"/>
        <w:pageBreakBefore w:val="0"/>
        <w:widowControl w:val="0"/>
        <w:kinsoku/>
        <w:wordWrap/>
        <w:overflowPunct/>
        <w:topLinePunct w:val="0"/>
        <w:autoSpaceDE/>
        <w:autoSpaceDN/>
        <w:bidi w:val="0"/>
        <w:adjustRightInd w:val="0"/>
        <w:snapToGrid w:val="0"/>
        <w:spacing w:line="578" w:lineRule="exact"/>
        <w:ind w:left="0" w:leftChars="0" w:right="0" w:rightChars="0" w:firstLine="640" w:firstLineChars="200"/>
        <w:textAlignment w:val="auto"/>
        <w:rPr>
          <w:rFonts w:hint="eastAsia" w:ascii="黑体" w:hAnsi="黑体" w:eastAsia="黑体" w:cs="黑体"/>
          <w:b w:val="0"/>
          <w:sz w:val="32"/>
          <w:szCs w:val="32"/>
          <w:lang w:val="en" w:eastAsia="zh-CN"/>
        </w:rPr>
      </w:pPr>
      <w:r>
        <w:rPr>
          <w:rFonts w:hint="eastAsia" w:ascii="黑体" w:hAnsi="黑体" w:eastAsia="黑体" w:cs="黑体"/>
          <w:b w:val="0"/>
          <w:sz w:val="32"/>
          <w:szCs w:val="32"/>
          <w:lang w:val="en" w:eastAsia="zh-CN"/>
        </w:rPr>
        <w:t>关于</w:t>
      </w:r>
      <w:r>
        <w:rPr>
          <w:rFonts w:hint="eastAsia" w:ascii="黑体" w:hAnsi="黑体" w:eastAsia="黑体" w:cs="黑体"/>
          <w:b w:val="0"/>
          <w:bCs w:val="0"/>
          <w:sz w:val="32"/>
          <w:szCs w:val="32"/>
          <w:lang w:val="en" w:eastAsia="zh-CN"/>
        </w:rPr>
        <w:t>“</w:t>
      </w:r>
      <w:r>
        <w:rPr>
          <w:rFonts w:hint="eastAsia" w:ascii="黑体" w:hAnsi="黑体" w:eastAsia="黑体" w:cs="黑体"/>
          <w:b w:val="0"/>
          <w:bCs w:val="0"/>
          <w:sz w:val="32"/>
          <w:szCs w:val="32"/>
          <w:lang w:val="en-US" w:eastAsia="zh-CN"/>
        </w:rPr>
        <w:t>在执行国家‘房住不炒’的政策基础上，建议深圳市在适当的时候考虑调整放宽房地产限购政策，盘活房地产市场，助力经济高质量发展</w:t>
      </w:r>
      <w:r>
        <w:rPr>
          <w:rFonts w:hint="eastAsia" w:ascii="黑体" w:hAnsi="黑体" w:eastAsia="黑体" w:cs="黑体"/>
          <w:b w:val="0"/>
          <w:bCs w:val="0"/>
          <w:sz w:val="32"/>
          <w:szCs w:val="32"/>
          <w:lang w:val="en" w:eastAsia="zh-CN"/>
        </w:rPr>
        <w:t>”</w:t>
      </w:r>
      <w:r>
        <w:rPr>
          <w:rFonts w:hint="eastAsia" w:ascii="黑体" w:hAnsi="黑体" w:eastAsia="黑体" w:cs="黑体"/>
          <w:b w:val="0"/>
          <w:sz w:val="32"/>
          <w:szCs w:val="32"/>
          <w:lang w:val="en" w:eastAsia="zh-CN"/>
        </w:rPr>
        <w:t>建议。</w:t>
      </w:r>
    </w:p>
    <w:p>
      <w:pPr>
        <w:keepNext w:val="0"/>
        <w:keepLines w:val="0"/>
        <w:pageBreakBefore w:val="0"/>
        <w:widowControl w:val="0"/>
        <w:kinsoku/>
        <w:wordWrap/>
        <w:overflowPunct/>
        <w:topLinePunct w:val="0"/>
        <w:autoSpaceDE/>
        <w:autoSpaceDN/>
        <w:bidi w:val="0"/>
        <w:adjustRightInd w:val="0"/>
        <w:snapToGrid w:val="0"/>
        <w:spacing w:line="578" w:lineRule="exact"/>
        <w:ind w:left="0" w:leftChars="0"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eastAsia="仿宋_GB2312"/>
          <w:bCs/>
          <w:color w:val="000000"/>
          <w:sz w:val="32"/>
          <w:szCs w:val="32"/>
          <w:lang w:val="en" w:eastAsia="zh-CN"/>
        </w:rPr>
        <w:t>为</w:t>
      </w:r>
      <w:r>
        <w:rPr>
          <w:rFonts w:hint="eastAsia" w:ascii="仿宋_GB2312" w:hAnsi="仿宋_GB2312" w:eastAsia="仿宋_GB2312" w:cs="仿宋_GB2312"/>
          <w:kern w:val="2"/>
          <w:sz w:val="32"/>
          <w:szCs w:val="32"/>
          <w:lang w:val="en-US" w:eastAsia="zh-CN" w:bidi="ar-SA"/>
        </w:rPr>
        <w:t>支持居民刚性和改善性住房需求，2023年8月以来，我市陆续出台了“认房不认贷”、调整个人住房贷款利率下限、允许港澳居民购买商办物业和商务公寓、调整二套住房最低首付款比例、优化普通住房认定标准等政策措施。今年以来，经市政府同意，市住房建设局先后两次调整优化房地产限购政策，不断降低居民购房门槛。</w:t>
      </w:r>
    </w:p>
    <w:p>
      <w:pPr>
        <w:keepNext w:val="0"/>
        <w:keepLines w:val="0"/>
        <w:pageBreakBefore w:val="0"/>
        <w:widowControl w:val="0"/>
        <w:kinsoku/>
        <w:wordWrap/>
        <w:overflowPunct/>
        <w:topLinePunct w:val="0"/>
        <w:autoSpaceDE/>
        <w:autoSpaceDN/>
        <w:bidi w:val="0"/>
        <w:snapToGrid w:val="0"/>
        <w:spacing w:line="578" w:lineRule="exact"/>
        <w:ind w:left="0" w:leftChars="0"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（一）优化住房限购政策。</w:t>
      </w:r>
      <w:r>
        <w:rPr>
          <w:rFonts w:hint="eastAsia" w:ascii="仿宋_GB2312" w:hAnsi="仿宋_GB2312" w:eastAsia="仿宋_GB2312" w:cs="仿宋_GB2312"/>
          <w:kern w:val="2"/>
          <w:sz w:val="32"/>
          <w:szCs w:val="32"/>
          <w:lang w:val="en-US" w:eastAsia="zh-CN" w:bidi="ar-SA"/>
        </w:rPr>
        <w:t>2024年2月7日，发布《关于优化住房限购政策的通知》，明确：本市户籍居民家庭限购2套住房，本市户籍成年单身人士限购1套住房，对户籍居民不再限定落户年限以及缴纳个人所得税、社会保险年限。非本市户籍居民家庭及成年单身人士购买住房个人所得税、社会保险年限要求由5年调整为3年。</w:t>
      </w:r>
    </w:p>
    <w:p>
      <w:pPr>
        <w:keepNext w:val="0"/>
        <w:keepLines w:val="0"/>
        <w:pageBreakBefore w:val="0"/>
        <w:widowControl w:val="0"/>
        <w:kinsoku/>
        <w:wordWrap/>
        <w:overflowPunct/>
        <w:topLinePunct w:val="0"/>
        <w:autoSpaceDE/>
        <w:autoSpaceDN/>
        <w:bidi w:val="0"/>
        <w:adjustRightInd/>
        <w:snapToGrid w:val="0"/>
        <w:spacing w:line="578" w:lineRule="exact"/>
        <w:ind w:firstLine="640" w:firstLineChars="200"/>
        <w:textAlignment w:val="auto"/>
        <w:rPr>
          <w:rFonts w:ascii="仿宋_GB2312" w:eastAsia="仿宋_GB2312"/>
          <w:sz w:val="32"/>
          <w:szCs w:val="36"/>
        </w:rPr>
      </w:pPr>
      <w:r>
        <w:rPr>
          <w:rFonts w:hint="eastAsia" w:ascii="仿宋_GB2312" w:hAnsi="仿宋_GB2312" w:eastAsia="仿宋_GB2312" w:cs="仿宋_GB2312"/>
          <w:b w:val="0"/>
          <w:bCs w:val="0"/>
          <w:kern w:val="2"/>
          <w:sz w:val="32"/>
          <w:szCs w:val="32"/>
          <w:lang w:val="en-US" w:eastAsia="zh-CN" w:bidi="ar-SA"/>
        </w:rPr>
        <w:t>（二）进一步优化房地产政策。</w:t>
      </w:r>
      <w:r>
        <w:rPr>
          <w:rFonts w:hint="eastAsia" w:ascii="仿宋_GB2312" w:hAnsi="仿宋_GB2312" w:eastAsia="仿宋_GB2312" w:cs="仿宋_GB2312"/>
          <w:kern w:val="2"/>
          <w:sz w:val="32"/>
          <w:szCs w:val="32"/>
          <w:lang w:val="en-US" w:eastAsia="zh-CN" w:bidi="ar-SA"/>
        </w:rPr>
        <w:t>2024年5月6日，发布《关于进一步优化房地产政策的通知》，</w:t>
      </w:r>
      <w:r>
        <w:rPr>
          <w:rFonts w:hint="eastAsia" w:ascii="仿宋_GB2312" w:eastAsia="仿宋_GB2312"/>
          <w:sz w:val="32"/>
          <w:szCs w:val="36"/>
        </w:rPr>
        <w:t>从分区优化住房限购政策、调整企事业单位购买商品住房政策、提升二手房交易便利化三个方面进一步优化房地产政策。</w:t>
      </w:r>
    </w:p>
    <w:p>
      <w:pPr>
        <w:keepNext w:val="0"/>
        <w:keepLines w:val="0"/>
        <w:pageBreakBefore w:val="0"/>
        <w:widowControl w:val="0"/>
        <w:kinsoku/>
        <w:wordWrap/>
        <w:overflowPunct/>
        <w:topLinePunct w:val="0"/>
        <w:autoSpaceDE/>
        <w:autoSpaceDN/>
        <w:bidi w:val="0"/>
        <w:snapToGrid w:val="0"/>
        <w:spacing w:line="578" w:lineRule="exact"/>
        <w:ind w:firstLine="640" w:firstLineChars="200"/>
        <w:textAlignment w:val="auto"/>
        <w:rPr>
          <w:rFonts w:ascii="仿宋_GB2312" w:hAnsi="黑体" w:eastAsia="仿宋_GB2312" w:cs="Times New Roman"/>
          <w:sz w:val="32"/>
          <w:szCs w:val="32"/>
        </w:rPr>
      </w:pPr>
      <w:r>
        <w:rPr>
          <w:rFonts w:hint="eastAsia" w:ascii="仿宋_GB2312" w:eastAsia="仿宋_GB2312"/>
          <w:sz w:val="32"/>
          <w:szCs w:val="36"/>
          <w:lang w:eastAsia="zh-CN"/>
        </w:rPr>
        <w:t>一是分区优化住房限购政策。</w:t>
      </w:r>
      <w:r>
        <w:rPr>
          <w:rFonts w:hint="eastAsia" w:ascii="仿宋_GB2312" w:hAnsi="仿宋_GB2312" w:eastAsia="仿宋_GB2312" w:cs="仿宋_GB2312"/>
          <w:sz w:val="32"/>
          <w:szCs w:val="32"/>
        </w:rPr>
        <w:t>非本市户籍居民家庭</w:t>
      </w:r>
      <w:r>
        <w:rPr>
          <w:rFonts w:ascii="仿宋_GB2312" w:hAnsi="仿宋_GB2312" w:eastAsia="仿宋_GB2312" w:cs="仿宋_GB2312"/>
          <w:sz w:val="32"/>
          <w:szCs w:val="32"/>
          <w:lang w:val="en"/>
        </w:rPr>
        <w:t>及</w:t>
      </w:r>
      <w:r>
        <w:rPr>
          <w:rFonts w:ascii="仿宋_GB2312" w:hAnsi="仿宋_GB2312" w:eastAsia="仿宋_GB2312" w:cs="仿宋_GB2312"/>
          <w:sz w:val="32"/>
          <w:szCs w:val="32"/>
        </w:rPr>
        <w:t>成年单身人士（含离异）</w:t>
      </w:r>
      <w:r>
        <w:rPr>
          <w:rFonts w:hint="eastAsia" w:ascii="仿宋_GB2312" w:hAnsi="Times New Roman" w:eastAsia="仿宋_GB2312"/>
          <w:sz w:val="32"/>
          <w:szCs w:val="32"/>
        </w:rPr>
        <w:t>限购</w:t>
      </w:r>
      <w:r>
        <w:rPr>
          <w:rFonts w:ascii="仿宋_GB2312" w:hAnsi="Times New Roman" w:eastAsia="仿宋_GB2312"/>
          <w:sz w:val="32"/>
          <w:szCs w:val="32"/>
        </w:rPr>
        <w:t>1套住房</w:t>
      </w:r>
      <w:r>
        <w:rPr>
          <w:rFonts w:hint="eastAsia" w:ascii="仿宋_GB2312" w:hAnsi="Times New Roman" w:eastAsia="仿宋_GB2312"/>
          <w:sz w:val="32"/>
          <w:szCs w:val="32"/>
        </w:rPr>
        <w:t>，</w:t>
      </w:r>
      <w:r>
        <w:rPr>
          <w:rFonts w:hint="eastAsia" w:ascii="仿宋_GB2312" w:hAnsi="等线" w:eastAsia="仿宋_GB2312" w:cs="Times New Roman"/>
          <w:snapToGrid w:val="0"/>
          <w:sz w:val="32"/>
          <w:szCs w:val="32"/>
        </w:rPr>
        <w:t>在</w:t>
      </w:r>
      <w:r>
        <w:rPr>
          <w:rFonts w:ascii="仿宋_GB2312" w:hAnsi="等线" w:eastAsia="仿宋_GB2312" w:cs="Times New Roman"/>
          <w:snapToGrid w:val="0"/>
          <w:sz w:val="32"/>
          <w:szCs w:val="32"/>
        </w:rPr>
        <w:t>盐田区、宝安区（不含新安街道、西乡街道）、龙岗区、龙华区、坪山区、光明区、大鹏新区</w:t>
      </w:r>
      <w:r>
        <w:rPr>
          <w:rFonts w:hint="eastAsia" w:ascii="仿宋_GB2312" w:hAnsi="等线" w:eastAsia="仿宋_GB2312" w:cs="Times New Roman"/>
          <w:snapToGrid w:val="0"/>
          <w:sz w:val="32"/>
          <w:szCs w:val="32"/>
        </w:rPr>
        <w:t>范围内购买住房</w:t>
      </w:r>
      <w:r>
        <w:rPr>
          <w:rFonts w:hint="eastAsia" w:ascii="仿宋_GB2312" w:hAnsi="黑体" w:eastAsia="仿宋_GB2312" w:cs="Times New Roman"/>
          <w:sz w:val="32"/>
          <w:szCs w:val="32"/>
        </w:rPr>
        <w:t>，</w:t>
      </w:r>
      <w:r>
        <w:rPr>
          <w:rFonts w:hint="eastAsia" w:ascii="仿宋_GB2312" w:hAnsi="仿宋_GB2312" w:eastAsia="仿宋_GB2312" w:cs="仿宋_GB2312"/>
          <w:sz w:val="32"/>
          <w:szCs w:val="32"/>
        </w:rPr>
        <w:t>个人所得税、社会保险</w:t>
      </w:r>
      <w:r>
        <w:rPr>
          <w:rFonts w:hint="eastAsia" w:ascii="仿宋_GB2312" w:hAnsi="仿宋_GB2312" w:eastAsia="仿宋_GB2312" w:cs="仿宋_GB2312"/>
          <w:sz w:val="32"/>
          <w:szCs w:val="32"/>
          <w:lang w:eastAsia="zh-CN"/>
        </w:rPr>
        <w:t>的缴交</w:t>
      </w:r>
      <w:r>
        <w:rPr>
          <w:rFonts w:hint="eastAsia" w:ascii="仿宋_GB2312" w:hAnsi="仿宋_GB2312" w:eastAsia="仿宋_GB2312" w:cs="仿宋_GB2312"/>
          <w:sz w:val="32"/>
          <w:szCs w:val="32"/>
        </w:rPr>
        <w:t>年限要求由3年调整为</w:t>
      </w:r>
      <w:r>
        <w:rPr>
          <w:rFonts w:hint="eastAsia" w:ascii="仿宋_GB2312" w:hAnsi="仿宋_GB2312" w:eastAsia="仿宋_GB2312" w:cs="仿宋_GB2312"/>
          <w:sz w:val="32"/>
          <w:szCs w:val="32"/>
          <w:lang w:val="en"/>
        </w:rPr>
        <w:t>1</w:t>
      </w:r>
      <w:r>
        <w:rPr>
          <w:rFonts w:hint="eastAsia" w:ascii="仿宋_GB2312" w:hAnsi="仿宋_GB2312" w:eastAsia="仿宋_GB2312" w:cs="仿宋_GB2312"/>
          <w:sz w:val="32"/>
          <w:szCs w:val="32"/>
        </w:rPr>
        <w:t>年，在</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范围内购买住房，个人所得税、社会保险</w:t>
      </w:r>
      <w:r>
        <w:rPr>
          <w:rFonts w:hint="eastAsia" w:ascii="仿宋_GB2312" w:hAnsi="仿宋_GB2312" w:eastAsia="仿宋_GB2312" w:cs="仿宋_GB2312"/>
          <w:sz w:val="32"/>
          <w:szCs w:val="32"/>
          <w:lang w:eastAsia="zh-CN"/>
        </w:rPr>
        <w:t>的缴交</w:t>
      </w:r>
      <w:r>
        <w:rPr>
          <w:rFonts w:hint="eastAsia" w:ascii="仿宋_GB2312" w:hAnsi="仿宋_GB2312" w:eastAsia="仿宋_GB2312" w:cs="仿宋_GB2312"/>
          <w:sz w:val="32"/>
          <w:szCs w:val="32"/>
        </w:rPr>
        <w:t>年限要求仍为3年。</w:t>
      </w:r>
      <w:r>
        <w:rPr>
          <w:rFonts w:hint="eastAsia" w:ascii="仿宋_GB2312" w:hAnsi="Times New Roman" w:eastAsia="仿宋_GB2312"/>
          <w:sz w:val="32"/>
          <w:szCs w:val="32"/>
        </w:rPr>
        <w:t>有两个及以上未成年子女的本市户籍居民家庭，在执行现有住房限购政策的基础上，可在盐田区、宝安区（不含新安街道、西乡街道）、龙岗区、龙华区、坪山区、光明区、大鹏新区范围内再购买</w:t>
      </w:r>
      <w:r>
        <w:rPr>
          <w:rFonts w:ascii="仿宋_GB2312" w:hAnsi="Times New Roman" w:eastAsia="仿宋_GB2312"/>
          <w:sz w:val="32"/>
          <w:szCs w:val="32"/>
        </w:rPr>
        <w:t>1套住房。</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ascii="仿宋_GB2312" w:hAnsi="仿宋_GB2312" w:eastAsia="仿宋_GB2312" w:cs="仿宋_GB2312"/>
          <w:sz w:val="32"/>
          <w:szCs w:val="32"/>
        </w:rPr>
      </w:pPr>
      <w:r>
        <w:rPr>
          <w:rFonts w:hint="eastAsia" w:ascii="仿宋_GB2312" w:eastAsia="仿宋_GB2312"/>
          <w:sz w:val="32"/>
          <w:szCs w:val="36"/>
          <w:lang w:eastAsia="zh-CN"/>
        </w:rPr>
        <w:t>二是</w:t>
      </w:r>
      <w:r>
        <w:rPr>
          <w:rFonts w:hint="eastAsia" w:ascii="仿宋_GB2312" w:eastAsia="仿宋_GB2312"/>
          <w:sz w:val="32"/>
          <w:szCs w:val="36"/>
        </w:rPr>
        <w:t>调整企事业单位购买商品住房政策</w:t>
      </w:r>
      <w:r>
        <w:rPr>
          <w:rFonts w:hint="eastAsia" w:ascii="仿宋_GB2312" w:eastAsia="仿宋_GB2312"/>
          <w:sz w:val="32"/>
          <w:szCs w:val="36"/>
          <w:lang w:eastAsia="zh-CN"/>
        </w:rPr>
        <w:t>。</w:t>
      </w:r>
      <w:r>
        <w:rPr>
          <w:rFonts w:hint="eastAsia" w:ascii="仿宋_GB2312" w:hAnsi="仿宋_GB2312" w:eastAsia="仿宋_GB2312" w:cs="仿宋_GB2312"/>
          <w:sz w:val="32"/>
          <w:szCs w:val="32"/>
        </w:rPr>
        <w:t>对于设立年限已满</w:t>
      </w:r>
      <w:r>
        <w:rPr>
          <w:rFonts w:ascii="仿宋_GB2312" w:hAnsi="仿宋_GB2312" w:eastAsia="仿宋_GB2312" w:cs="仿宋_GB2312"/>
          <w:sz w:val="32"/>
          <w:szCs w:val="32"/>
        </w:rPr>
        <w:t>1年</w:t>
      </w:r>
      <w:r>
        <w:rPr>
          <w:rFonts w:hint="eastAsia" w:ascii="仿宋_GB2312" w:hAnsi="仿宋_GB2312" w:eastAsia="仿宋_GB2312" w:cs="仿宋_GB2312"/>
          <w:sz w:val="32"/>
          <w:szCs w:val="32"/>
        </w:rPr>
        <w:t>、在本市累计缴纳税款金额已达</w:t>
      </w:r>
      <w:r>
        <w:rPr>
          <w:rFonts w:ascii="仿宋_GB2312" w:hAnsi="仿宋_GB2312" w:eastAsia="仿宋_GB2312" w:cs="仿宋_GB2312"/>
          <w:sz w:val="32"/>
          <w:szCs w:val="32"/>
        </w:rPr>
        <w:t>100万元人民币</w:t>
      </w:r>
      <w:r>
        <w:rPr>
          <w:rFonts w:hint="eastAsia" w:ascii="仿宋_GB2312" w:hAnsi="仿宋_GB2312" w:eastAsia="仿宋_GB2312" w:cs="仿宋_GB2312"/>
          <w:sz w:val="32"/>
          <w:szCs w:val="32"/>
        </w:rPr>
        <w:t>、员工人数</w:t>
      </w:r>
      <w:r>
        <w:rPr>
          <w:rFonts w:ascii="仿宋_GB2312" w:hAnsi="仿宋_GB2312" w:eastAsia="仿宋_GB2312" w:cs="仿宋_GB2312"/>
          <w:sz w:val="32"/>
          <w:szCs w:val="32"/>
        </w:rPr>
        <w:t>10名及以上</w:t>
      </w:r>
      <w:r>
        <w:rPr>
          <w:rFonts w:hint="eastAsia" w:ascii="仿宋_GB2312" w:hAnsi="仿宋_GB2312" w:eastAsia="仿宋_GB2312" w:cs="仿宋_GB2312"/>
          <w:sz w:val="32"/>
          <w:szCs w:val="32"/>
        </w:rPr>
        <w:t>的企事业单位，可在盐田区、宝安区（不含新安街道、西乡街道）、龙岗区、龙华区、坪山区、光明区、大鹏新区购买商品住房，用于解决员工住房等需求</w:t>
      </w:r>
      <w:r>
        <w:rPr>
          <w:rFonts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left="0" w:leftChars="0"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eastAsia="仿宋_GB2312"/>
          <w:sz w:val="32"/>
          <w:szCs w:val="36"/>
          <w:lang w:eastAsia="zh-CN"/>
        </w:rPr>
        <w:t>三是</w:t>
      </w:r>
      <w:r>
        <w:rPr>
          <w:rFonts w:hint="eastAsia" w:ascii="仿宋_GB2312" w:eastAsia="仿宋_GB2312"/>
          <w:sz w:val="32"/>
          <w:szCs w:val="36"/>
        </w:rPr>
        <w:t>提升二手房交易便利化</w:t>
      </w:r>
      <w:r>
        <w:rPr>
          <w:rFonts w:hint="eastAsia" w:ascii="仿宋_GB2312" w:eastAsia="仿宋_GB2312"/>
          <w:sz w:val="32"/>
          <w:szCs w:val="36"/>
          <w:lang w:eastAsia="zh-CN"/>
        </w:rPr>
        <w:t>。</w:t>
      </w:r>
      <w:r>
        <w:rPr>
          <w:rFonts w:hint="eastAsia" w:ascii="仿宋_GB2312" w:hAnsi="Calibri" w:eastAsia="仿宋_GB2312" w:cs="Times New Roman"/>
          <w:bCs/>
          <w:sz w:val="32"/>
          <w:szCs w:val="32"/>
        </w:rPr>
        <w:t>支持在本市有开发项目的房地产开发企业以及相关房地产中介机构开展商品住房“收旧换新”和“以旧换新”工作。对于实施“收旧换新”的房地产开发企业，收购换房人旧房时不受本市关于企事业单位、社会组织等法人单位购房政策的限制。</w:t>
      </w:r>
      <w:r>
        <w:rPr>
          <w:rFonts w:hint="eastAsia" w:ascii="仿宋_GB2312" w:hAnsi="仿宋_GB2312" w:eastAsia="仿宋_GB2312" w:cs="仿宋_GB2312"/>
          <w:sz w:val="32"/>
          <w:szCs w:val="32"/>
        </w:rPr>
        <w:t>市住房公积金管理中心</w:t>
      </w:r>
      <w:r>
        <w:rPr>
          <w:rFonts w:hint="eastAsia" w:ascii="仿宋_GB2312" w:hAnsi="Calibri" w:eastAsia="仿宋_GB2312" w:cs="Times New Roman"/>
          <w:bCs/>
          <w:sz w:val="32"/>
          <w:szCs w:val="32"/>
        </w:rPr>
        <w:t>提供房屋交易便民服务，</w:t>
      </w:r>
      <w:r>
        <w:rPr>
          <w:rFonts w:hint="eastAsia" w:ascii="仿宋_GB2312" w:hAnsi="仿宋_GB2312" w:eastAsia="仿宋_GB2312" w:cs="仿宋_GB2312"/>
          <w:sz w:val="32"/>
          <w:szCs w:val="32"/>
        </w:rPr>
        <w:t>优化商品住房“带押过户”流程，提升房地产交易便利度</w:t>
      </w:r>
      <w:r>
        <w:rPr>
          <w:rFonts w:hint="eastAsia" w:ascii="仿宋_GB2312" w:eastAsia="仿宋_GB2312"/>
          <w:sz w:val="32"/>
          <w:szCs w:val="36"/>
        </w:rPr>
        <w:t>。</w:t>
      </w:r>
    </w:p>
    <w:p>
      <w:pPr>
        <w:keepNext w:val="0"/>
        <w:keepLines w:val="0"/>
        <w:pageBreakBefore w:val="0"/>
        <w:widowControl w:val="0"/>
        <w:kinsoku/>
        <w:wordWrap/>
        <w:overflowPunct/>
        <w:topLinePunct w:val="0"/>
        <w:autoSpaceDE/>
        <w:autoSpaceDN/>
        <w:bidi w:val="0"/>
        <w:snapToGrid w:val="0"/>
        <w:spacing w:line="578" w:lineRule="exact"/>
        <w:ind w:left="0" w:leftChars="0" w:right="0" w:rightChars="0" w:firstLine="640" w:firstLineChars="200"/>
        <w:textAlignment w:val="auto"/>
        <w:rPr>
          <w:rFonts w:hint="eastAsia" w:ascii="仿宋_GB2312" w:hAnsi="仿宋_GB2312" w:eastAsia="仿宋_GB2312" w:cs="仿宋_GB2312"/>
          <w:i w:val="0"/>
          <w:caps w:val="0"/>
          <w:spacing w:val="0"/>
          <w:kern w:val="2"/>
          <w:sz w:val="32"/>
          <w:szCs w:val="32"/>
          <w:shd w:val="clear" w:color="auto" w:fill="auto"/>
          <w:lang w:val="en-US" w:eastAsia="zh-CN" w:bidi="ar"/>
        </w:rPr>
      </w:pPr>
      <w:r>
        <w:rPr>
          <w:rFonts w:hint="eastAsia" w:ascii="仿宋_GB2312" w:hAnsi="仿宋_GB2312" w:eastAsia="仿宋_GB2312" w:cs="仿宋_GB2312"/>
          <w:b w:val="0"/>
          <w:bCs w:val="0"/>
          <w:sz w:val="32"/>
          <w:szCs w:val="32"/>
          <w:lang w:val="en-US" w:eastAsia="zh-CN"/>
        </w:rPr>
        <w:t>下一步，我局</w:t>
      </w:r>
      <w:r>
        <w:rPr>
          <w:rFonts w:hint="eastAsia" w:ascii="仿宋_GB2312" w:hAnsi="仿宋_GB2312" w:eastAsia="仿宋_GB2312" w:cs="仿宋_GB2312"/>
          <w:sz w:val="32"/>
          <w:szCs w:val="32"/>
        </w:rPr>
        <w:t>将结合房地产市场实际情况，在市委、市政府领导下，</w:t>
      </w:r>
      <w:r>
        <w:rPr>
          <w:rFonts w:hint="eastAsia" w:ascii="仿宋_GB2312" w:hAnsi="仿宋_GB2312" w:eastAsia="仿宋_GB2312" w:cs="仿宋_GB2312"/>
          <w:sz w:val="32"/>
          <w:szCs w:val="32"/>
          <w:lang w:eastAsia="zh-CN"/>
        </w:rPr>
        <w:t>继续做好</w:t>
      </w:r>
      <w:r>
        <w:rPr>
          <w:rFonts w:hint="eastAsia" w:ascii="仿宋_GB2312" w:hAnsi="仿宋_GB2312" w:eastAsia="仿宋_GB2312" w:cs="仿宋_GB2312"/>
          <w:color w:val="000000"/>
          <w:sz w:val="32"/>
          <w:szCs w:val="32"/>
        </w:rPr>
        <w:t>房地产政策</w:t>
      </w:r>
      <w:r>
        <w:rPr>
          <w:rFonts w:hint="eastAsia" w:ascii="仿宋_GB2312" w:hAnsi="仿宋_GB2312" w:eastAsia="仿宋_GB2312" w:cs="仿宋_GB2312"/>
          <w:color w:val="000000"/>
          <w:sz w:val="32"/>
          <w:szCs w:val="32"/>
          <w:lang w:eastAsia="zh-CN"/>
        </w:rPr>
        <w:t>研究</w:t>
      </w:r>
      <w:r>
        <w:rPr>
          <w:rFonts w:hint="eastAsia" w:ascii="仿宋_GB2312" w:hAnsi="仿宋_GB2312" w:eastAsia="仿宋_GB2312" w:cs="仿宋_GB2312"/>
          <w:color w:val="000000"/>
          <w:sz w:val="32"/>
          <w:szCs w:val="32"/>
        </w:rPr>
        <w:t>优化</w:t>
      </w:r>
      <w:r>
        <w:rPr>
          <w:rFonts w:hint="eastAsia" w:ascii="仿宋_GB2312" w:hAnsi="仿宋_GB2312" w:eastAsia="仿宋_GB2312" w:cs="仿宋_GB2312"/>
          <w:color w:val="000000"/>
          <w:sz w:val="32"/>
          <w:szCs w:val="32"/>
          <w:lang w:eastAsia="zh-CN"/>
        </w:rPr>
        <w:t>工作</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因城施策用好政策工具箱，更好满足居民刚性和</w:t>
      </w:r>
      <w:r>
        <w:rPr>
          <w:rFonts w:hint="eastAsia" w:ascii="仿宋_GB2312" w:hAnsi="仿宋_GB2312" w:eastAsia="仿宋_GB2312" w:cs="仿宋_GB2312"/>
          <w:sz w:val="32"/>
          <w:szCs w:val="32"/>
          <w:lang w:eastAsia="zh-CN"/>
        </w:rPr>
        <w:t>多样化</w:t>
      </w:r>
      <w:r>
        <w:rPr>
          <w:rFonts w:hint="eastAsia" w:ascii="仿宋_GB2312" w:hAnsi="仿宋_GB2312" w:eastAsia="仿宋_GB2312" w:cs="仿宋_GB2312"/>
          <w:sz w:val="32"/>
          <w:szCs w:val="32"/>
        </w:rPr>
        <w:t>改善性住房需求，促进我市房地产市场平稳健康发展。</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ascii="仿宋_GB2312" w:hAnsi="黑体" w:eastAsia="仿宋_GB2312"/>
          <w:sz w:val="32"/>
          <w:szCs w:val="32"/>
        </w:rPr>
      </w:pPr>
      <w:r>
        <w:rPr>
          <w:rFonts w:hint="eastAsia" w:ascii="仿宋_GB2312" w:hAnsi="黑体" w:eastAsia="仿宋_GB2312"/>
          <w:sz w:val="32"/>
          <w:szCs w:val="32"/>
        </w:rPr>
        <w:t>再次感谢您对我们工作的关心和支持。</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ascii="仿宋_GB2312" w:hAnsi="黑体" w:eastAsia="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jc w:val="right"/>
        <w:textAlignment w:val="auto"/>
        <w:rPr>
          <w:rFonts w:hint="eastAsia" w:ascii="仿宋_GB2312" w:hAnsi="黑体" w:eastAsia="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jc w:val="center"/>
        <w:textAlignment w:val="auto"/>
        <w:rPr>
          <w:rFonts w:ascii="仿宋_GB2312" w:hAnsi="黑体" w:eastAsia="仿宋_GB2312"/>
          <w:sz w:val="32"/>
          <w:szCs w:val="32"/>
        </w:rPr>
      </w:pPr>
      <w:r>
        <w:rPr>
          <w:rFonts w:hint="eastAsia" w:ascii="仿宋_GB2312" w:hAnsi="黑体" w:eastAsia="仿宋_GB2312"/>
          <w:sz w:val="32"/>
          <w:szCs w:val="32"/>
          <w:lang w:val="en-US" w:eastAsia="zh-CN"/>
        </w:rPr>
        <w:t xml:space="preserve">                   </w:t>
      </w:r>
      <w:r>
        <w:rPr>
          <w:rFonts w:hint="default" w:ascii="仿宋_GB2312" w:hAnsi="黑体" w:eastAsia="仿宋_GB2312"/>
          <w:sz w:val="32"/>
          <w:szCs w:val="32"/>
          <w:lang w:val="en" w:eastAsia="zh-CN"/>
        </w:rPr>
        <w:t xml:space="preserve">     </w:t>
      </w:r>
      <w:r>
        <w:rPr>
          <w:rFonts w:hint="eastAsia" w:ascii="仿宋_GB2312" w:hAnsi="黑体" w:eastAsia="仿宋_GB2312"/>
          <w:sz w:val="32"/>
          <w:szCs w:val="32"/>
        </w:rPr>
        <w:t>深圳市住房和建设局</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jc w:val="center"/>
        <w:textAlignment w:val="auto"/>
        <w:rPr>
          <w:rFonts w:ascii="仿宋_GB2312" w:hAnsi="黑体" w:eastAsia="仿宋_GB2312"/>
          <w:sz w:val="32"/>
          <w:szCs w:val="32"/>
        </w:rPr>
      </w:pPr>
      <w:r>
        <w:rPr>
          <w:rFonts w:hint="eastAsia" w:ascii="仿宋_GB2312" w:hAnsi="黑体" w:eastAsia="仿宋_GB2312"/>
          <w:sz w:val="32"/>
          <w:szCs w:val="32"/>
          <w:lang w:val="en-US" w:eastAsia="zh-CN"/>
        </w:rPr>
        <w:t xml:space="preserve">                  </w:t>
      </w:r>
      <w:r>
        <w:rPr>
          <w:rFonts w:hint="default" w:ascii="仿宋_GB2312" w:hAnsi="黑体" w:eastAsia="仿宋_GB2312"/>
          <w:sz w:val="32"/>
          <w:szCs w:val="32"/>
          <w:lang w:val="en" w:eastAsia="zh-CN"/>
        </w:rPr>
        <w:t xml:space="preserve">      </w:t>
      </w:r>
      <w:r>
        <w:rPr>
          <w:rFonts w:hint="eastAsia" w:ascii="仿宋_GB2312" w:hAnsi="黑体" w:eastAsia="仿宋_GB2312"/>
          <w:sz w:val="32"/>
          <w:szCs w:val="32"/>
        </w:rPr>
        <w:t>202</w:t>
      </w:r>
      <w:r>
        <w:rPr>
          <w:rFonts w:hint="default" w:ascii="仿宋_GB2312" w:hAnsi="黑体" w:eastAsia="仿宋_GB2312"/>
          <w:sz w:val="32"/>
          <w:szCs w:val="32"/>
          <w:lang w:val="en"/>
        </w:rPr>
        <w:t>4</w:t>
      </w:r>
      <w:r>
        <w:rPr>
          <w:rFonts w:hint="eastAsia" w:ascii="仿宋_GB2312" w:hAnsi="黑体" w:eastAsia="仿宋_GB2312"/>
          <w:sz w:val="32"/>
          <w:szCs w:val="32"/>
        </w:rPr>
        <w:t>年</w:t>
      </w:r>
      <w:r>
        <w:rPr>
          <w:rFonts w:hint="eastAsia" w:ascii="仿宋_GB2312" w:hAnsi="黑体" w:eastAsia="仿宋_GB2312"/>
          <w:sz w:val="32"/>
          <w:szCs w:val="32"/>
          <w:lang w:val="en-US" w:eastAsia="zh-CN"/>
        </w:rPr>
        <w:t>5</w:t>
      </w:r>
      <w:r>
        <w:rPr>
          <w:rFonts w:hint="eastAsia" w:ascii="仿宋_GB2312" w:hAnsi="黑体" w:eastAsia="仿宋_GB2312"/>
          <w:sz w:val="32"/>
          <w:szCs w:val="32"/>
        </w:rPr>
        <w:t>月</w:t>
      </w:r>
      <w:r>
        <w:rPr>
          <w:rFonts w:hint="default" w:ascii="仿宋_GB2312" w:hAnsi="黑体" w:eastAsia="仿宋_GB2312"/>
          <w:sz w:val="32"/>
          <w:szCs w:val="32"/>
          <w:lang w:val="en"/>
        </w:rPr>
        <w:t>11</w:t>
      </w:r>
      <w:r>
        <w:rPr>
          <w:rFonts w:hint="eastAsia" w:ascii="仿宋_GB2312" w:hAnsi="黑体" w:eastAsia="仿宋_GB2312"/>
          <w:sz w:val="32"/>
          <w:szCs w:val="32"/>
        </w:rPr>
        <w:t>日</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textAlignment w:val="auto"/>
        <w:rPr>
          <w:rFonts w:ascii="仿宋_GB2312" w:hAnsi="黑体" w:eastAsia="仿宋_GB2312"/>
          <w:sz w:val="32"/>
          <w:szCs w:val="32"/>
        </w:rPr>
      </w:pPr>
    </w:p>
    <w:p>
      <w:pPr>
        <w:keepNext w:val="0"/>
        <w:keepLines w:val="0"/>
        <w:pageBreakBefore w:val="0"/>
        <w:widowControl w:val="0"/>
        <w:kinsoku/>
        <w:wordWrap/>
        <w:overflowPunct/>
        <w:topLinePunct w:val="0"/>
        <w:autoSpaceDE/>
        <w:autoSpaceDN/>
        <w:bidi w:val="0"/>
        <w:snapToGrid w:val="0"/>
        <w:spacing w:line="578" w:lineRule="exact"/>
        <w:textAlignment w:val="auto"/>
      </w:pPr>
      <w:bookmarkStart w:id="1" w:name="_GoBack"/>
      <w:bookmarkEnd w:id="1"/>
    </w:p>
    <w:bookmarkEnd w:id="0"/>
    <w:p>
      <w:pPr>
        <w:spacing w:line="560" w:lineRule="exact"/>
      </w:pPr>
    </w:p>
    <w:sectPr>
      <w:headerReference r:id="rId5" w:type="first"/>
      <w:headerReference r:id="rId3" w:type="default"/>
      <w:footerReference r:id="rId6" w:type="default"/>
      <w:headerReference r:id="rId4" w:type="even"/>
      <w:pgSz w:w="11906" w:h="16838"/>
      <w:pgMar w:top="2098" w:right="1531" w:bottom="1871"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文星简小标宋">
    <w:altName w:val="方正小标宋_GBK"/>
    <w:panose1 w:val="00000000000000000000"/>
    <w:charset w:val="00"/>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52DA"/>
    <w:rsid w:val="0000667E"/>
    <w:rsid w:val="00007729"/>
    <w:rsid w:val="00024C61"/>
    <w:rsid w:val="00032DAA"/>
    <w:rsid w:val="0004678C"/>
    <w:rsid w:val="00062C54"/>
    <w:rsid w:val="00080CE4"/>
    <w:rsid w:val="000A3BE4"/>
    <w:rsid w:val="000B50E8"/>
    <w:rsid w:val="000B7AB9"/>
    <w:rsid w:val="000F239A"/>
    <w:rsid w:val="000F6D01"/>
    <w:rsid w:val="0010169D"/>
    <w:rsid w:val="0012321F"/>
    <w:rsid w:val="001255FD"/>
    <w:rsid w:val="001307EC"/>
    <w:rsid w:val="0014231F"/>
    <w:rsid w:val="00154686"/>
    <w:rsid w:val="001572A5"/>
    <w:rsid w:val="00165BBD"/>
    <w:rsid w:val="00177E87"/>
    <w:rsid w:val="00182460"/>
    <w:rsid w:val="001A350A"/>
    <w:rsid w:val="001B5B8D"/>
    <w:rsid w:val="001B6160"/>
    <w:rsid w:val="001C098C"/>
    <w:rsid w:val="001E7F98"/>
    <w:rsid w:val="001F6F14"/>
    <w:rsid w:val="00210A79"/>
    <w:rsid w:val="00213A77"/>
    <w:rsid w:val="00220A3A"/>
    <w:rsid w:val="00250C85"/>
    <w:rsid w:val="00274BF5"/>
    <w:rsid w:val="00286334"/>
    <w:rsid w:val="002926E0"/>
    <w:rsid w:val="00293896"/>
    <w:rsid w:val="00296D45"/>
    <w:rsid w:val="002B08F5"/>
    <w:rsid w:val="002C288C"/>
    <w:rsid w:val="002C51D5"/>
    <w:rsid w:val="002D0EF0"/>
    <w:rsid w:val="002D1577"/>
    <w:rsid w:val="002E3505"/>
    <w:rsid w:val="003341F8"/>
    <w:rsid w:val="00354FB6"/>
    <w:rsid w:val="00356BF9"/>
    <w:rsid w:val="00367947"/>
    <w:rsid w:val="003701FA"/>
    <w:rsid w:val="00387E53"/>
    <w:rsid w:val="00393DCD"/>
    <w:rsid w:val="003C1279"/>
    <w:rsid w:val="003E0222"/>
    <w:rsid w:val="003E3A0F"/>
    <w:rsid w:val="00411B2A"/>
    <w:rsid w:val="00411F4F"/>
    <w:rsid w:val="00417C32"/>
    <w:rsid w:val="004453CB"/>
    <w:rsid w:val="004556F8"/>
    <w:rsid w:val="004657E2"/>
    <w:rsid w:val="0049106C"/>
    <w:rsid w:val="004D103B"/>
    <w:rsid w:val="004E0C48"/>
    <w:rsid w:val="005135AE"/>
    <w:rsid w:val="00523EE9"/>
    <w:rsid w:val="005323B9"/>
    <w:rsid w:val="00541231"/>
    <w:rsid w:val="005564B4"/>
    <w:rsid w:val="005627CD"/>
    <w:rsid w:val="00583BC5"/>
    <w:rsid w:val="0059528C"/>
    <w:rsid w:val="0059780C"/>
    <w:rsid w:val="005A14C3"/>
    <w:rsid w:val="005C7286"/>
    <w:rsid w:val="005E18BD"/>
    <w:rsid w:val="005E4CA5"/>
    <w:rsid w:val="005F343B"/>
    <w:rsid w:val="00610645"/>
    <w:rsid w:val="006205A8"/>
    <w:rsid w:val="006265D7"/>
    <w:rsid w:val="006273AD"/>
    <w:rsid w:val="0062740B"/>
    <w:rsid w:val="00641A48"/>
    <w:rsid w:val="006552DA"/>
    <w:rsid w:val="00674797"/>
    <w:rsid w:val="00680F0D"/>
    <w:rsid w:val="006A0207"/>
    <w:rsid w:val="006A2379"/>
    <w:rsid w:val="006A77CF"/>
    <w:rsid w:val="006C13DB"/>
    <w:rsid w:val="006C6283"/>
    <w:rsid w:val="006E295D"/>
    <w:rsid w:val="006F35B9"/>
    <w:rsid w:val="0071239B"/>
    <w:rsid w:val="00737C59"/>
    <w:rsid w:val="0074369D"/>
    <w:rsid w:val="007637D2"/>
    <w:rsid w:val="00781D0A"/>
    <w:rsid w:val="00792DD9"/>
    <w:rsid w:val="007A129F"/>
    <w:rsid w:val="007A5F76"/>
    <w:rsid w:val="007D3A89"/>
    <w:rsid w:val="007E1EED"/>
    <w:rsid w:val="007E6360"/>
    <w:rsid w:val="00837927"/>
    <w:rsid w:val="0085019E"/>
    <w:rsid w:val="00856A66"/>
    <w:rsid w:val="00860E46"/>
    <w:rsid w:val="00866259"/>
    <w:rsid w:val="008763D1"/>
    <w:rsid w:val="008867BF"/>
    <w:rsid w:val="0088750E"/>
    <w:rsid w:val="00892CFB"/>
    <w:rsid w:val="008A3A5C"/>
    <w:rsid w:val="008B067C"/>
    <w:rsid w:val="008B4452"/>
    <w:rsid w:val="008C6E5D"/>
    <w:rsid w:val="008C7FE3"/>
    <w:rsid w:val="008F2E99"/>
    <w:rsid w:val="008F7869"/>
    <w:rsid w:val="00914A1C"/>
    <w:rsid w:val="009364AE"/>
    <w:rsid w:val="00943AE5"/>
    <w:rsid w:val="009468EC"/>
    <w:rsid w:val="00954216"/>
    <w:rsid w:val="00957333"/>
    <w:rsid w:val="00957950"/>
    <w:rsid w:val="00974925"/>
    <w:rsid w:val="00985C6F"/>
    <w:rsid w:val="00997F54"/>
    <w:rsid w:val="009B3AB2"/>
    <w:rsid w:val="009B628D"/>
    <w:rsid w:val="009C19EB"/>
    <w:rsid w:val="009E1C2E"/>
    <w:rsid w:val="009F5E69"/>
    <w:rsid w:val="00A22FEC"/>
    <w:rsid w:val="00A455F4"/>
    <w:rsid w:val="00A53171"/>
    <w:rsid w:val="00A8486D"/>
    <w:rsid w:val="00A9788B"/>
    <w:rsid w:val="00AE74C1"/>
    <w:rsid w:val="00AF07A0"/>
    <w:rsid w:val="00AF2DAE"/>
    <w:rsid w:val="00AF3887"/>
    <w:rsid w:val="00B0464E"/>
    <w:rsid w:val="00B26EE7"/>
    <w:rsid w:val="00B56901"/>
    <w:rsid w:val="00B6470A"/>
    <w:rsid w:val="00B83AAE"/>
    <w:rsid w:val="00B9393B"/>
    <w:rsid w:val="00BB53FA"/>
    <w:rsid w:val="00BC35A2"/>
    <w:rsid w:val="00BD5E6E"/>
    <w:rsid w:val="00BE6611"/>
    <w:rsid w:val="00BE6F79"/>
    <w:rsid w:val="00BF55CD"/>
    <w:rsid w:val="00C12C74"/>
    <w:rsid w:val="00C34C19"/>
    <w:rsid w:val="00C44E60"/>
    <w:rsid w:val="00C816A8"/>
    <w:rsid w:val="00C825BF"/>
    <w:rsid w:val="00C93C45"/>
    <w:rsid w:val="00CD33BC"/>
    <w:rsid w:val="00D2501D"/>
    <w:rsid w:val="00D31036"/>
    <w:rsid w:val="00D32CB9"/>
    <w:rsid w:val="00D35B55"/>
    <w:rsid w:val="00D61938"/>
    <w:rsid w:val="00D7788F"/>
    <w:rsid w:val="00D95318"/>
    <w:rsid w:val="00DA52EB"/>
    <w:rsid w:val="00DD1E39"/>
    <w:rsid w:val="00DD3415"/>
    <w:rsid w:val="00DD7C8E"/>
    <w:rsid w:val="00E158B7"/>
    <w:rsid w:val="00E305D9"/>
    <w:rsid w:val="00E46D15"/>
    <w:rsid w:val="00E55D4D"/>
    <w:rsid w:val="00E61332"/>
    <w:rsid w:val="00E9413C"/>
    <w:rsid w:val="00ED4638"/>
    <w:rsid w:val="00EF2E8B"/>
    <w:rsid w:val="00F07A70"/>
    <w:rsid w:val="00F16D79"/>
    <w:rsid w:val="00F32554"/>
    <w:rsid w:val="00F7016C"/>
    <w:rsid w:val="00FA5A3A"/>
    <w:rsid w:val="00FD5195"/>
    <w:rsid w:val="00FD56EC"/>
    <w:rsid w:val="00FF3D41"/>
    <w:rsid w:val="07C34D62"/>
    <w:rsid w:val="08011187"/>
    <w:rsid w:val="088450E1"/>
    <w:rsid w:val="09CF71D6"/>
    <w:rsid w:val="0B123679"/>
    <w:rsid w:val="0B357B54"/>
    <w:rsid w:val="0B5B5827"/>
    <w:rsid w:val="0D98031D"/>
    <w:rsid w:val="13CC3B43"/>
    <w:rsid w:val="143810DB"/>
    <w:rsid w:val="15215B08"/>
    <w:rsid w:val="153B357C"/>
    <w:rsid w:val="15A81355"/>
    <w:rsid w:val="194D542C"/>
    <w:rsid w:val="1A6F6865"/>
    <w:rsid w:val="20AE1C43"/>
    <w:rsid w:val="21F74161"/>
    <w:rsid w:val="22F95B27"/>
    <w:rsid w:val="23762E6F"/>
    <w:rsid w:val="2B273F2C"/>
    <w:rsid w:val="2D5D3824"/>
    <w:rsid w:val="2E32014C"/>
    <w:rsid w:val="2F720B99"/>
    <w:rsid w:val="30F21E45"/>
    <w:rsid w:val="328D4F83"/>
    <w:rsid w:val="33A4564D"/>
    <w:rsid w:val="33DF4DB3"/>
    <w:rsid w:val="36073EF8"/>
    <w:rsid w:val="36786E6B"/>
    <w:rsid w:val="38D9213E"/>
    <w:rsid w:val="39272542"/>
    <w:rsid w:val="39BB696E"/>
    <w:rsid w:val="3A8E6D05"/>
    <w:rsid w:val="3F8027D1"/>
    <w:rsid w:val="3FE63DD0"/>
    <w:rsid w:val="3FF43264"/>
    <w:rsid w:val="40612EA2"/>
    <w:rsid w:val="47D27B02"/>
    <w:rsid w:val="4AB316B1"/>
    <w:rsid w:val="4B3D04C7"/>
    <w:rsid w:val="4B571658"/>
    <w:rsid w:val="4E161529"/>
    <w:rsid w:val="51DF0FC8"/>
    <w:rsid w:val="52A95B7E"/>
    <w:rsid w:val="531731CF"/>
    <w:rsid w:val="57AB5CE0"/>
    <w:rsid w:val="59720169"/>
    <w:rsid w:val="5A930B4C"/>
    <w:rsid w:val="5AF65467"/>
    <w:rsid w:val="5D18753A"/>
    <w:rsid w:val="5E9631D0"/>
    <w:rsid w:val="60C62A60"/>
    <w:rsid w:val="62E84DF9"/>
    <w:rsid w:val="65381AA1"/>
    <w:rsid w:val="66B53723"/>
    <w:rsid w:val="67DD4E09"/>
    <w:rsid w:val="695D67DB"/>
    <w:rsid w:val="6BD22CD2"/>
    <w:rsid w:val="6C2C00DF"/>
    <w:rsid w:val="6C3521CE"/>
    <w:rsid w:val="6E8D70E3"/>
    <w:rsid w:val="6F2A5540"/>
    <w:rsid w:val="6FC67957"/>
    <w:rsid w:val="73822B82"/>
    <w:rsid w:val="7460668E"/>
    <w:rsid w:val="77157410"/>
    <w:rsid w:val="777A2A29"/>
    <w:rsid w:val="790F368C"/>
    <w:rsid w:val="7AB71795"/>
    <w:rsid w:val="7BCC7913"/>
    <w:rsid w:val="7C3D333D"/>
    <w:rsid w:val="7E1F3417"/>
    <w:rsid w:val="7E970DF3"/>
    <w:rsid w:val="7F9F2CA6"/>
    <w:rsid w:val="BFFD745C"/>
    <w:rsid w:val="DB5EC17C"/>
    <w:rsid w:val="DF7C1343"/>
    <w:rsid w:val="FB3EBCA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Indent 2"/>
    <w:basedOn w:val="1"/>
    <w:next w:val="1"/>
    <w:unhideWhenUsed/>
    <w:qFormat/>
    <w:uiPriority w:val="99"/>
    <w:pPr>
      <w:adjustRightInd w:val="0"/>
      <w:snapToGrid w:val="0"/>
      <w:spacing w:line="560" w:lineRule="atLeast"/>
      <w:ind w:firstLine="768" w:firstLineChars="240"/>
    </w:pPr>
    <w:rPr>
      <w:rFonts w:eastAsia="仿宋_GB2312"/>
      <w:sz w:val="32"/>
      <w:szCs w:val="32"/>
    </w:rPr>
  </w:style>
  <w:style w:type="paragraph" w:styleId="3">
    <w:name w:val="Body Text"/>
    <w:basedOn w:val="1"/>
    <w:next w:val="4"/>
    <w:unhideWhenUsed/>
    <w:qFormat/>
    <w:uiPriority w:val="0"/>
    <w:pPr>
      <w:spacing w:after="120"/>
    </w:pPr>
  </w:style>
  <w:style w:type="paragraph" w:styleId="4">
    <w:name w:val="Body Text First Indent"/>
    <w:basedOn w:val="3"/>
    <w:next w:val="3"/>
    <w:qFormat/>
    <w:uiPriority w:val="0"/>
    <w:pPr>
      <w:spacing w:after="0"/>
      <w:ind w:firstLine="420" w:firstLineChars="100"/>
    </w:pPr>
    <w:rPr>
      <w:rFonts w:ascii="Times New Roman" w:hAnsi="Times New Roman" w:eastAsia="文星简小标宋" w:cs="Times New Roman"/>
      <w:sz w:val="44"/>
      <w:szCs w:val="20"/>
    </w:rPr>
  </w:style>
  <w:style w:type="paragraph" w:styleId="5">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2020-09-02T17:47:00Z</dcterms:created>
  <dc:creator>孟祥辰</dc:creator>
  <cp:lastModifiedBy>xiao</cp:lastModifiedBy>
  <dcterms:modified xsi:type="dcterms:W3CDTF">2024-12-31T10:53:17Z</dcterms:modified>
  <dc:title>深 圳 市 住 房 和 建 设 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