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lang w:val="en-US" w:eastAsia="zh-CN"/>
        </w:rPr>
        <w:t>密级：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公开</w:t>
      </w:r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bookmarkStart w:id="0" w:name="_GoBack"/>
      <w:bookmarkEnd w:id="0"/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建议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第</w:t>
      </w:r>
      <w:r>
        <w:rPr>
          <w:rFonts w:hint="eastAsia" w:ascii="仿宋_GB2312" w:hAnsi="仿宋_GB2312" w:eastAsia="仿宋_GB2312" w:cs="仿宋_GB2312"/>
          <w:b w:val="0"/>
          <w:sz w:val="28"/>
          <w:lang w:val="en-US" w:eastAsia="zh-CN"/>
        </w:rPr>
        <w:t>20240470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号</w:t>
      </w:r>
    </w:p>
    <w:p>
      <w:pPr>
        <w:spacing w:line="240" w:lineRule="auto"/>
        <w:ind w:left="1506" w:leftChars="0" w:right="0" w:rightChars="0" w:hanging="1506" w:hangingChars="500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案    由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val="en-US" w:eastAsia="zh-CN"/>
        </w:rPr>
        <w:t>关于调整放宽房地产限购政策的建议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提 出 人：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朱文豪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(共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名)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办理类型：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承办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承办单位：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市住房和建设局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内    容：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一、案由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2024年深圳市政府工作报告显示，深圳民生福祉再上新水平，九大类民生支出3310亿元。在保障性住房方面，2023年建设筹集公共住房18.9万套（间）、供应分配10.3万套（间）。加上2022年建设筹集保障性住房14.2万套（间），供应分配12万套（间）、2021年建设设筹集公共住房9.7万套（间）、供应分配4.2万套（间）。十四五的开局三年，建设筹集公共住房达到了43.4万套（间）、供应分配26.5万套（间）。到2024年底，建设筹集公共住房53.4万套（间）、供应分配33万套（间）。数据表明，深圳尽了最大的民生责任，也坚决执行了国家有关房住不炒的政策。然而，大量的民生投入也必须有财政收入支持，从政府工作报告可以看出，2024年经济社会发展预期目标是：地区生产总值增长5.5％，地方一般公共预算收入增长1.0％。财政收入增长乏力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房地产商品房方面，据不完全统计数据，2023年深圳网签31621套一手住宅，同比下跌8.2%，这也是近5年来新房市场成交的最低点。新房成交均价约每平方米6万元，同比微跌1.6%。二手房市场方面，2023年深圳二手住宅过户32768套，同比上涨51%，但拉长时间周期来看，这一成交量也还不够理想，比2008年的成交量还少1万套。与此同时，2023年四季度深圳二手房价为每平方米6.5万元左右，对比2022年下跌12%，比2021年一季度的历史最高点下跌22%，部分片区及楼盘的成交价已经回到2018年，与最高点相比的跌幅更高达30%至40%。另一方面，深圳2024年第一季度计划入市的商品房项目19个，预计供应房源面积为1175005.96平方米，12386套。可以看出，目前的市场情况对于很多楼盘来说仍是难熬的隆冬，虽然多条利好政策刺激，“去化难”问题依旧没有得到改善，甚至更加严峻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二、建议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在执行国家“房住不炒”的政策基础上，建议深圳市在适当的时候考虑调整放宽房地产限购政策，盘活房地产市场，助力经济高质量发展。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A26917"/>
    <w:rsid w:val="03FA7913"/>
    <w:rsid w:val="08AD0527"/>
    <w:rsid w:val="0CA81750"/>
    <w:rsid w:val="104457BF"/>
    <w:rsid w:val="142D5EF2"/>
    <w:rsid w:val="1A8370F8"/>
    <w:rsid w:val="1C52129C"/>
    <w:rsid w:val="1D7E45BC"/>
    <w:rsid w:val="1E4C6E49"/>
    <w:rsid w:val="1F7774AB"/>
    <w:rsid w:val="23B47B07"/>
    <w:rsid w:val="28F64EC4"/>
    <w:rsid w:val="2A5B2BC4"/>
    <w:rsid w:val="2AC820BB"/>
    <w:rsid w:val="2DAC5DFC"/>
    <w:rsid w:val="353A69D5"/>
    <w:rsid w:val="35507787"/>
    <w:rsid w:val="36ED4BEC"/>
    <w:rsid w:val="3A1A2BE3"/>
    <w:rsid w:val="49FA03AF"/>
    <w:rsid w:val="4F955F9D"/>
    <w:rsid w:val="526966EA"/>
    <w:rsid w:val="56D80994"/>
    <w:rsid w:val="574C0B47"/>
    <w:rsid w:val="581F309E"/>
    <w:rsid w:val="5F693127"/>
    <w:rsid w:val="66135703"/>
    <w:rsid w:val="6C5816D0"/>
    <w:rsid w:val="6E9C1746"/>
    <w:rsid w:val="70F449E4"/>
    <w:rsid w:val="713C1E52"/>
    <w:rsid w:val="731474DA"/>
    <w:rsid w:val="732C1598"/>
    <w:rsid w:val="73735F79"/>
    <w:rsid w:val="79DA1477"/>
    <w:rsid w:val="7A075E2D"/>
    <w:rsid w:val="7E2F2A5C"/>
    <w:rsid w:val="7F9F38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limjeon</dc:creator>
  <cp:lastModifiedBy>不如吃茶去</cp:lastModifiedBy>
  <dcterms:modified xsi:type="dcterms:W3CDTF">2021-08-23T03:26:00Z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541166959B6841688F680FB6A261768C</vt:lpwstr>
  </property>
</Properties>
</file>