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20240873</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关于优化深圳市“工业上楼”项目审批及实施的建议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钟观宜,张天奉,徐浙鸿,梁燕英,胡春华,邱铨,黄宝明</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7</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市住房和建设局(主办),市国有资产监督管理委员会,市工业和信息化局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一、背景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当前深圳制造业面临产业空间不足、现状旧工业厂房需升级改造、以及土地资源紧缺需工业上楼等痛点、难点，为解决制造业生产空间难题以及推动制造业高质量发展，深圳市在 2023 年出台了《深圳市“工业上楼”项目审批实施方案》，要求把工业空间作为城市基础设施加以保障，旨在坚持把发展经济的着力点放在实体经济上、加快建设制造强国。经调研，该方案虽然是可以实现以较低成本获取产业空间，但是以出租为主，限定了较高的考核条件以及限制低于原值价格转让等，让很多有产业空间需求的生产企业望而却步。为此针对上述条款及为更好的促进推动释放更大面积规模的产业空间，针对自持比例、考核条件、保本售价以及实施主体提出了以下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方案要求项目新建工业厂房实施主体自持比例≥2/3，剩余厂房可用于回迁安置或按相关规定分割销售。制造空间是企业的家，通过出租的方式难以维系稳定的经营发展，企业很容易搬走，需通过购买厂房让企业扎根，落户完整的生产、研发和运营。为此建议不限制项目自持比例，助力留住优质制造业企业和保障长期稳定发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2、方案要求项目内部收益率原则上≤4.5%，同时自持厂房建成后平均租赁价格≤35 元/平方米·月，租赁价格年涨幅≤5%。项目前期建设及运营投入大，资金周转慢、长期将资金承压，建议顺应市场行为定价，同时为降低制造业企业成本，如可限制以市场评估价的80%销售及租赁，既可减轻项目方资金及运营压力，也能减轻制造业安家成本，还能将回款资金用于推动释放更大范围的产业空间。</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目前已出让的产业空间试点项目遴选方案中要求企业5年累计完成监管协议要求考核，如未能完成考核则缴纳违约金后强制退出等，且完成后也不得以高于原值的价格转让。企业购买厂房，解决生产空间的同时，也会占用大量资金以及承担还贷的利息等成本，限制转让让厂房流通性变差，对企业来讲就不再是资产而是更高成本的负担。为此建议项目可要求按照深圳市“20+8”产业要求引进优质制造业，同时提高入驻门槛，如需是国高或规上、专精特新等方式，来严控企业质量，另外还可限定5年内不能转让，但完成考核后建议厂房可市场化交易，不再限制转让价格。</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4、目前深圳“工业上楼”均是由国有企业带头参与，建设主体和招商及运营管理主体是分开的，为了全面加大力度的推动实现更大规模的工业上楼空间，建议增加集建设、招商及运营一体化的经营主体建设和规划，因一体化的主体有产业基础，也有产业园建设及运营经验，通过自带产业流量也能高效能实现招商前置，通过定制化的厂房满足企业对工艺等的需求，打造的是一个高价值的产业集群，同时在生产经营上有业务往来合作，可高粘合度的解决企业发展空间受限、生存成本高、无法聚焦发展的痛点，形成产业服务+高端制造的生态圈，为此可以高契合度的推动优质制造业留深。另外，因为园区企业是该一体化主体的上下游企业，并由他们招商引进，建议对园区的整体进行考核，即由园区主体把控整体达标，无需考核到园区里每一个企业，帮助减轻政府的监管压力。</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