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bookmarkStart w:id="0" w:name="_GoBack"/>
      <w:bookmarkEnd w:id="0"/>
    </w:p>
    <w:sectPr>
      <w:footerReference r:id="rId3" w:type="default"/>
      <w:pgSz w:w="11906" w:h="16838"/>
      <w:pgMar w:top="1440" w:right="1800" w:bottom="1440" w:left="1800" w:header="851" w:footer="992" w:gutter="0"/>
      <w:pgNumType w:fmt="decimal" w:start="1"/>
      <w:cols w:space="425" w:num="1"/>
      <w:docGrid w:type="lines" w:linePitch="312" w:charSpace="0"/>
    </w:sectPr>
    <w:tbl>
      <w:tblPr>
        <w:tblStyle w:val="TableGrid"/>
        <w:tblW w:w="8222" w:type="dxa"/>
        <w:tblInd w:w="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78"/>
        <w:gridCol w:w="1693"/>
        <w:gridCol w:w="58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34" w:hRule="atLeast"/>
        </w:trPr>
        <w:tc>
          <w:tcPr>
            <w:tcW w:w="678" w:type="dxa"/>
          </w:tcPr>
          <w:p>
            <w:pPr>
              <w:keepNext w:val="0"/>
              <w:keepLines w:val="0"/>
              <w:pageBreakBefore w:val="0"/>
              <w:widowControl w:val="0"/>
              <w:kinsoku/>
              <w:wordWrap/>
              <w:overflowPunct/>
              <w:topLinePunct w:val="0"/>
              <w:autoSpaceDE/>
              <w:autoSpaceDN/>
              <w:bidi w:val="0"/>
              <w:adjustRightInd/>
              <w:snapToGrid/>
              <w:spacing w:line="480" w:lineRule="auto"/>
              <w:ind w:left="0"/>
              <w:jc w:val="center"/>
              <w:textAlignment w:val="auto"/>
              <w:rPr>
                <w:rFonts w:hint="eastAsia" w:eastAsia="华文仿宋"/>
                <w:color w:val="000000" w:themeColor="text1"/>
                <w:sz w:val="32"/>
                <w:szCs w:val="32"/>
                <w:lang w:val="en-US" w:eastAsia="zh-CN"/>
                <w14:textFill>
                  <w14:solidFill>
                    <w14:schemeClr w14:val="tx1"/>
                  </w14:solidFill>
                </w14:textFill>
              </w:rPr>
            </w:pPr>
            <w:r>
              <w:rPr>
                <w:rFonts w:hint="eastAsia" w:ascii="Times New Roman" w:eastAsia="华文仿宋"/>
                <w:color w:val="000000" w:themeColor="text1"/>
                <w:sz w:val="32"/>
                <w:szCs w:val="32"/>
                <w:lang w:val="en-US" w:eastAsia="zh-CN"/>
                <w14:textFill>
                  <w14:solidFill>
                    <w14:schemeClr w14:val="tx1"/>
                  </w14:solidFill>
                </w14:textFill>
              </w:rPr>
              <w:t>7</w:t>
            </w:r>
          </w:p>
        </w:tc>
        <w:tc>
          <w:tcPr>
            <w:tcW w:w="7516" w:type="dxa"/>
            <w:gridSpan w:val="2"/>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eastAsiaTheme="minorEastAsia"/>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关于鼓励在现有民营产业园区增加“工业上楼”面积，为解决深圳高端产业发展空间难题做贡献的建议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8" w:hRule="atLeast"/>
        </w:trPr>
        <w:tc>
          <w:tcPr>
            <w:tcW w:w="678" w:type="dxa"/>
          </w:tcPr>
          <w:p>
            <w:pPr>
              <w:keepNext w:val="0"/>
              <w:keepLines w:val="0"/>
              <w:pageBreakBefore w:val="0"/>
              <w:widowControl w:val="0"/>
              <w:tabs>
                <w:tab w:val="left" w:pos="810"/>
              </w:tabs>
              <w:kinsoku/>
              <w:wordWrap/>
              <w:overflowPunct/>
              <w:topLinePunct w:val="0"/>
              <w:autoSpaceDE/>
              <w:autoSpaceDN/>
              <w:bidi w:val="0"/>
              <w:adjustRightInd/>
              <w:snapToGrid/>
              <w:spacing w:line="560" w:lineRule="exact"/>
              <w:ind w:left="0"/>
              <w:textAlignment w:val="auto"/>
              <w:rPr>
                <w:rFonts w:hint="eastAsia" w:ascii="黑体" w:eastAsia="黑体"/>
                <w:color w:val="000000" w:themeColor="text1"/>
                <w:sz w:val="32"/>
                <w:szCs w:val="32"/>
                <w14:textFill>
                  <w14:solidFill>
                    <w14:schemeClr w14:val="tx1"/>
                  </w14:solidFill>
                </w14:textFill>
              </w:rPr>
            </w:pPr>
          </w:p>
        </w:tc>
        <w:tc>
          <w:tcPr>
            <w:tcW w:w="1693" w:type="dxa"/>
          </w:tcPr>
          <w:p>
            <w:pPr>
              <w:keepNext w:val="0"/>
              <w:keepLines w:val="0"/>
              <w:pageBreakBefore w:val="0"/>
              <w:widowControl w:val="0"/>
              <w:tabs>
                <w:tab w:val="left" w:pos="810"/>
              </w:tabs>
              <w:kinsoku/>
              <w:wordWrap/>
              <w:overflowPunct/>
              <w:topLinePunct w:val="0"/>
              <w:autoSpaceDE/>
              <w:autoSpaceDN/>
              <w:bidi w:val="0"/>
              <w:adjustRightInd/>
              <w:snapToGrid/>
              <w:spacing w:line="560" w:lineRule="exact"/>
              <w:ind w:left="0"/>
              <w:textAlignment w:val="auto"/>
              <w:rPr>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提 出 人：</w:t>
            </w:r>
          </w:p>
        </w:tc>
        <w:tc>
          <w:tcPr>
            <w:tcW w:w="5823" w:type="dxa"/>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陈志列李勇,李小平,蒋希勇,方修元,章杨清,周南,李其乐,孙亚富,冯国章,韩金龙,但红学,陈建湘,郭晓林,厉伟松,朱力,金立扬,侯松容,高锦民,林宣妤,刘晓钰,聂泉,杨小松,薛命侬,黄腾新,商剑锋,王治军,常远,刘俊琳,林振伟,胡翔海,程宗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trPr>
        <w:tc>
          <w:tcPr>
            <w:tcW w:w="678" w:type="dxa"/>
          </w:tcPr>
          <w:p>
            <w:pPr>
              <w:keepNext w:val="0"/>
              <w:keepLines w:val="0"/>
              <w:pageBreakBefore w:val="0"/>
              <w:widowControl w:val="0"/>
              <w:tabs>
                <w:tab w:val="left" w:pos="810"/>
              </w:tabs>
              <w:kinsoku/>
              <w:wordWrap/>
              <w:overflowPunct/>
              <w:topLinePunct w:val="0"/>
              <w:autoSpaceDE/>
              <w:autoSpaceDN/>
              <w:bidi w:val="0"/>
              <w:adjustRightInd/>
              <w:snapToGrid/>
              <w:spacing w:line="560" w:lineRule="exact"/>
              <w:ind w:left="0"/>
              <w:textAlignment w:val="auto"/>
              <w:rPr>
                <w:rFonts w:hint="eastAsia" w:ascii="黑体" w:eastAsia="黑体"/>
                <w:color w:val="000000" w:themeColor="text1"/>
                <w:sz w:val="32"/>
                <w:szCs w:val="32"/>
                <w:lang w:val="en-US" w:eastAsia="zh-CN"/>
                <w14:textFill>
                  <w14:solidFill>
                    <w14:schemeClr w14:val="tx1"/>
                  </w14:solidFill>
                </w14:textFill>
              </w:rPr>
            </w:pPr>
          </w:p>
        </w:tc>
        <w:tc>
          <w:tcPr>
            <w:tcW w:w="1693" w:type="dxa"/>
          </w:tcPr>
          <w:p>
            <w:pPr>
              <w:keepNext w:val="0"/>
              <w:keepLines w:val="0"/>
              <w:pageBreakBefore w:val="0"/>
              <w:widowControl w:val="0"/>
              <w:tabs>
                <w:tab w:val="left" w:pos="810"/>
              </w:tabs>
              <w:kinsoku/>
              <w:wordWrap/>
              <w:overflowPunct/>
              <w:topLinePunct w:val="0"/>
              <w:autoSpaceDE/>
              <w:autoSpaceDN/>
              <w:bidi w:val="0"/>
              <w:adjustRightInd/>
              <w:snapToGrid/>
              <w:spacing w:line="560" w:lineRule="exact"/>
              <w:ind w:left="0"/>
              <w:textAlignment w:val="auto"/>
              <w:rPr>
                <w:rFonts w:hint="eastAsia" w:ascii="黑体" w:eastAsia="黑体"/>
                <w:color w:val="000000" w:themeColor="text1"/>
                <w:sz w:val="32"/>
                <w:szCs w:val="32"/>
                <w:lang w:val="en-US" w:eastAsia="zh-CN"/>
                <w14:textFill>
                  <w14:solidFill>
                    <w14:schemeClr w14:val="tx1"/>
                  </w14:solidFill>
                </w14:textFill>
              </w:rPr>
            </w:pPr>
            <w:r>
              <w:rPr>
                <w:rFonts w:hint="eastAsia" w:ascii="黑体" w:eastAsia="黑体"/>
                <w:color w:val="000000" w:themeColor="text1"/>
                <w:sz w:val="32"/>
                <w:szCs w:val="32"/>
                <w:lang w:val="en-US" w:eastAsia="zh-CN"/>
                <w14:textFill>
                  <w14:solidFill>
                    <w14:schemeClr w14:val="tx1"/>
                  </w14:solidFill>
                </w14:textFill>
              </w:rPr>
              <w:t>提 案 号：</w:t>
            </w:r>
          </w:p>
        </w:tc>
        <w:tc>
          <w:tcPr>
            <w:tcW w:w="5823" w:type="dxa"/>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20240194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678" w:type="dxa"/>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黑体" w:eastAsia="黑体"/>
                <w:color w:val="000000" w:themeColor="text1"/>
                <w:sz w:val="32"/>
                <w:szCs w:val="32"/>
                <w14:textFill>
                  <w14:solidFill>
                    <w14:schemeClr w14:val="tx1"/>
                  </w14:solidFill>
                </w14:textFill>
              </w:rPr>
            </w:pPr>
          </w:p>
        </w:tc>
        <w:tc>
          <w:tcPr>
            <w:tcW w:w="1693" w:type="dxa"/>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办理类型：</w:t>
            </w:r>
          </w:p>
        </w:tc>
        <w:tc>
          <w:tcPr>
            <w:tcW w:w="5823" w:type="dxa"/>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主办会办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678" w:type="dxa"/>
          </w:tcPr>
          <w:p>
            <w:pPr>
              <w:keepNext w:val="0"/>
              <w:keepLines w:val="0"/>
              <w:pageBreakBefore w:val="0"/>
              <w:widowControl w:val="0"/>
              <w:kinsoku/>
              <w:wordWrap/>
              <w:overflowPunct/>
              <w:topLinePunct w:val="0"/>
              <w:autoSpaceDE/>
              <w:autoSpaceDN/>
              <w:bidi w:val="0"/>
              <w:adjustRightInd/>
              <w:snapToGrid/>
              <w:spacing w:line="560" w:lineRule="exact"/>
              <w:ind w:left="0" w:hanging="1600" w:hangingChars="500"/>
              <w:textAlignment w:val="auto"/>
              <w:rPr>
                <w:rFonts w:hint="eastAsia" w:ascii="黑体" w:eastAsia="黑体"/>
                <w:color w:val="000000" w:themeColor="text1"/>
                <w:sz w:val="32"/>
                <w:szCs w:val="32"/>
                <w14:textFill>
                  <w14:solidFill>
                    <w14:schemeClr w14:val="tx1"/>
                  </w14:solidFill>
                </w14:textFill>
              </w:rPr>
            </w:pPr>
          </w:p>
        </w:tc>
        <w:tc>
          <w:tcPr>
            <w:tcW w:w="1693" w:type="dxa"/>
          </w:tcPr>
          <w:p>
            <w:pPr>
              <w:keepNext w:val="0"/>
              <w:keepLines w:val="0"/>
              <w:pageBreakBefore w:val="0"/>
              <w:widowControl w:val="0"/>
              <w:kinsoku/>
              <w:wordWrap/>
              <w:overflowPunct/>
              <w:topLinePunct w:val="0"/>
              <w:autoSpaceDE/>
              <w:autoSpaceDN/>
              <w:bidi w:val="0"/>
              <w:adjustRightInd/>
              <w:snapToGrid/>
              <w:spacing w:line="560" w:lineRule="exact"/>
              <w:ind w:left="0" w:hanging="1600" w:hangingChars="500"/>
              <w:textAlignment w:val="auto"/>
              <w:rPr>
                <w:rFonts w:ascii="Times New Roman" w:eastAsia="华文仿宋"/>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主办单位：</w:t>
            </w:r>
          </w:p>
        </w:tc>
        <w:tc>
          <w:tcPr>
            <w:tcW w:w="5823" w:type="dxa"/>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市住房和建设局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678" w:type="dxa"/>
          </w:tcPr>
          <w:p>
            <w:pPr>
              <w:keepNext w:val="0"/>
              <w:keepLines w:val="0"/>
              <w:pageBreakBefore w:val="0"/>
              <w:widowControl w:val="0"/>
              <w:kinsoku/>
              <w:wordWrap/>
              <w:overflowPunct/>
              <w:topLinePunct w:val="0"/>
              <w:autoSpaceDE/>
              <w:autoSpaceDN/>
              <w:bidi w:val="0"/>
              <w:adjustRightInd/>
              <w:snapToGrid/>
              <w:spacing w:line="560" w:lineRule="exact"/>
              <w:ind w:left="0" w:hanging="1600" w:hangingChars="500"/>
              <w:textAlignment w:val="auto"/>
              <w:rPr>
                <w:rFonts w:hint="eastAsia" w:ascii="黑体" w:eastAsia="黑体"/>
                <w:color w:val="000000" w:themeColor="text1"/>
                <w:sz w:val="32"/>
                <w:szCs w:val="32"/>
                <w14:textFill>
                  <w14:solidFill>
                    <w14:schemeClr w14:val="tx1"/>
                  </w14:solidFill>
                </w14:textFill>
              </w:rPr>
            </w:pPr>
          </w:p>
        </w:tc>
        <w:tc>
          <w:tcPr>
            <w:tcW w:w="1693" w:type="dxa"/>
          </w:tcPr>
          <w:p>
            <w:pPr>
              <w:keepNext w:val="0"/>
              <w:keepLines w:val="0"/>
              <w:pageBreakBefore w:val="0"/>
              <w:widowControl w:val="0"/>
              <w:kinsoku/>
              <w:wordWrap/>
              <w:overflowPunct/>
              <w:topLinePunct w:val="0"/>
              <w:autoSpaceDE/>
              <w:autoSpaceDN/>
              <w:bidi w:val="0"/>
              <w:adjustRightInd/>
              <w:snapToGrid/>
              <w:spacing w:line="560" w:lineRule="exact"/>
              <w:ind w:left="0" w:hanging="1600" w:hangingChars="500"/>
              <w:textAlignment w:val="auto"/>
              <w:rPr>
                <w:rFonts w:ascii="Times New Roman" w:eastAsia="华文仿宋"/>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会办单位：</w:t>
            </w:r>
          </w:p>
        </w:tc>
        <w:tc>
          <w:tcPr>
            <w:tcW w:w="5823" w:type="dxa"/>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市工业和信息化局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8194" w:type="dxa"/>
            <w:gridSpan w:val="3"/>
          </w:tcPr>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华文仿宋" w:hAnsi="华文仿宋" w:eastAsia="华文仿宋"/>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案由：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194" w:type="dxa"/>
            <w:gridSpan w:val="3"/>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工业是深圳市打造“竞争力、创新力、影响力卓著的全球标杆城市”的立市之本。作为全国重要的工业大市、制造强市，深圳市委市政府高度重视制造业发展，坚持工业立市、制造业强市战略，加快推动制造业高端化、智能化、绿色化发展，多次研究部署加快打造高品质产业空间工作，加大制造业空间供给力度，着力发展以先进制造业为主体的“20+8”产业集群，推动制造业高质量发展。已经出台执行的工业上楼政策就是保持深圳“全国工业第一市”地位的重大举措。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br/>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深圳与其它城市相比，最突出的特点就是民营企业不仅数量多，而且科技创新实力强。在政府鼓励创新、企业敢于创新的良好营商环境下，近年来深圳民营工业产业园也在不断优化产业生态环境，引领园区产业向高端化、规模化、集群化方向发展。为助推解决深圳高端产业发展空间难题，加快将深圳打造成为全球领先的重要的先进制造业中心和制造强国的典范，我提出以下三点建议：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br/>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1、建议市委市政府出台政策，大力支持和鼓励行业龙头产业链链主在自己现有园区里面增加“工业上楼”面积。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br/>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2、建议加快和简化民营产业园区增加“工业上楼”面积的审批流程。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br/>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3、建议市委市政府出台政策，鼓励民营产业园区适当退还园区道路和适当缩小现有绿化面积，以增加园区建筑面积。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atLeast"/>
        </w:trPr>
        <w:tc>
          <w:tcPr>
            <w:tcW w:w="8194" w:type="dxa"/>
            <w:gridSpan w:val="3"/>
          </w:tcPr>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等线" w:hAnsi="等线" w:eastAsia="等线" w:cs="等线"/>
                <w:color w:val="000000"/>
                <w:sz w:val="32"/>
                <w:szCs w:val="32"/>
              </w:rPr>
            </w:pPr>
            <w:r>
              <w:rPr>
                <w:rFonts w:hint="eastAsia" w:ascii="黑体" w:eastAsia="黑体"/>
                <w:color w:val="000000" w:themeColor="text1"/>
                <w:sz w:val="32"/>
                <w:szCs w:val="32"/>
                <w14:textFill>
                  <w14:solidFill>
                    <w14:schemeClr w14:val="tx1"/>
                  </w14:solidFill>
                </w14:textFill>
              </w:rPr>
              <w:t>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194" w:type="dxa"/>
            <w:gridSpan w:val="3"/>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等线" w:hAnsi="等线" w:eastAsia="等线"/>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建议一、建议市委市政府出台链政策，大力支持和鼓励行业龙头产业链主在自己现有园区里面增加“工业上楼”面积。
</w:t>
            </w:r>
            <w:r>
              <w:rPr>
                <w:rFonts w:hint="eastAsia" w:ascii="仿宋_GB2312" w:hAnsi="仿宋_GB2312" w:eastAsia="仿宋_GB2312" w:cs="仿宋_GB2312"/>
                <w:color w:val="000000" w:themeColor="text1"/>
                <w:sz w:val="32"/>
                <w:szCs w:val="32"/>
                <w14:textFill>
                  <w14:solidFill>
                    <w14:schemeClr w14:val="tx1"/>
                  </w14:solidFill>
                </w14:textFill>
              </w:rPr>
              <w:br/>
            </w:r>
            <w:r>
              <w:rPr>
                <w:rFonts w:hint="eastAsia" w:ascii="仿宋_GB2312" w:hAnsi="仿宋_GB2312" w:eastAsia="仿宋_GB2312" w:cs="仿宋_GB2312"/>
                <w:color w:val="000000" w:themeColor="text1"/>
                <w:sz w:val="32"/>
                <w:szCs w:val="32"/>
                <w14:textFill>
                  <w14:solidFill>
                    <w14:schemeClr w14:val="tx1"/>
                  </w14:solidFill>
                </w14:textFill>
              </w:rPr>
              <w:t xml:space="preserve">    补充说明：建议市委市政府出台政策，尽可能多地发掘民营产业园区的潜力，大力支持和鼓励行业龙头产业链链主在自己现有园区里面增加“工业上楼”面积，以行业龙头企业引领和带动重点产业链发展，激发强链、延链、补链的强大“链式效应”，以“链”聚能，加快打造“工业上楼”的优势产业集群，吸引全球和全国优势企业的高端制造、研发和中试进入深圳，吸引“20+8” 的高端技术产业“上楼”，从而对稳住深圳高端制造业基本盘、解决高端产业发展空间难题起到积极的推进作用，能够在空间资源有限的情况下，创造出最大的产值。
</w:t>
            </w:r>
            <w:r>
              <w:rPr>
                <w:rFonts w:hint="eastAsia" w:ascii="仿宋_GB2312" w:hAnsi="仿宋_GB2312" w:eastAsia="仿宋_GB2312" w:cs="仿宋_GB2312"/>
                <w:color w:val="000000" w:themeColor="text1"/>
                <w:sz w:val="32"/>
                <w:szCs w:val="32"/>
                <w14:textFill>
                  <w14:solidFill>
                    <w14:schemeClr w14:val="tx1"/>
                  </w14:solidFill>
                </w14:textFill>
              </w:rPr>
              <w:br/>
            </w:r>
            <w:r>
              <w:rPr>
                <w:rFonts w:hint="eastAsia" w:ascii="仿宋_GB2312" w:hAnsi="仿宋_GB2312" w:eastAsia="仿宋_GB2312" w:cs="仿宋_GB2312"/>
                <w:color w:val="000000" w:themeColor="text1"/>
                <w:sz w:val="32"/>
                <w:szCs w:val="32"/>
                <w14:textFill>
                  <w14:solidFill>
                    <w14:schemeClr w14:val="tx1"/>
                  </w14:solidFill>
                </w14:textFill>
              </w:rPr>
              <w:t xml:space="preserve">    建议二、建议加快和简化民营产业园区增加“工业上楼”面积的审批流程。
</w:t>
            </w:r>
            <w:r>
              <w:rPr>
                <w:rFonts w:hint="eastAsia" w:ascii="仿宋_GB2312" w:hAnsi="仿宋_GB2312" w:eastAsia="仿宋_GB2312" w:cs="仿宋_GB2312"/>
                <w:color w:val="000000" w:themeColor="text1"/>
                <w:sz w:val="32"/>
                <w:szCs w:val="32"/>
                <w14:textFill>
                  <w14:solidFill>
                    <w14:schemeClr w14:val="tx1"/>
                  </w14:solidFill>
                </w14:textFill>
              </w:rPr>
              <w:br/>
            </w:r>
            <w:r>
              <w:rPr>
                <w:rFonts w:hint="eastAsia" w:ascii="仿宋_GB2312" w:hAnsi="仿宋_GB2312" w:eastAsia="仿宋_GB2312" w:cs="仿宋_GB2312"/>
                <w:color w:val="000000" w:themeColor="text1"/>
                <w:sz w:val="32"/>
                <w:szCs w:val="32"/>
                <w14:textFill>
                  <w14:solidFill>
                    <w14:schemeClr w14:val="tx1"/>
                  </w14:solidFill>
                </w14:textFill>
              </w:rPr>
              <w:t xml:space="preserve">    补充说明：对于符合“20+8”产业“工业上楼”发展要求的重点项目，建议在增加“工业上楼”面积的申报过程中，全力提速审批效能，由主管部门对项目进行全程跟踪指导服务，量身定制快捷报批流程，并联合相关职能部门实现并联审批，缩短审批流程和时间。
</w:t>
            </w:r>
            <w:r>
              <w:rPr>
                <w:rFonts w:hint="eastAsia" w:ascii="仿宋_GB2312" w:hAnsi="仿宋_GB2312" w:eastAsia="仿宋_GB2312" w:cs="仿宋_GB2312"/>
                <w:color w:val="000000" w:themeColor="text1"/>
                <w:sz w:val="32"/>
                <w:szCs w:val="32"/>
                <w14:textFill>
                  <w14:solidFill>
                    <w14:schemeClr w14:val="tx1"/>
                  </w14:solidFill>
                </w14:textFill>
              </w:rPr>
              <w:br/>
            </w:r>
            <w:r>
              <w:rPr>
                <w:rFonts w:hint="eastAsia" w:ascii="仿宋_GB2312" w:hAnsi="仿宋_GB2312" w:eastAsia="仿宋_GB2312" w:cs="仿宋_GB2312"/>
                <w:color w:val="000000" w:themeColor="text1"/>
                <w:sz w:val="32"/>
                <w:szCs w:val="32"/>
                <w14:textFill>
                  <w14:solidFill>
                    <w14:schemeClr w14:val="tx1"/>
                  </w14:solidFill>
                </w14:textFill>
              </w:rPr>
              <w:t xml:space="preserve">    建议三、建议市委市政府出台政策，鼓励民营产业园区适当退还园区道路和适当缩小现有绿化面积，以增加园区建筑面积。
</w:t>
            </w:r>
            <w:r>
              <w:rPr>
                <w:rFonts w:hint="eastAsia" w:ascii="仿宋_GB2312" w:hAnsi="仿宋_GB2312" w:eastAsia="仿宋_GB2312" w:cs="仿宋_GB2312"/>
                <w:color w:val="000000" w:themeColor="text1"/>
                <w:sz w:val="32"/>
                <w:szCs w:val="32"/>
                <w14:textFill>
                  <w14:solidFill>
                    <w14:schemeClr w14:val="tx1"/>
                  </w14:solidFill>
                </w14:textFill>
              </w:rPr>
              <w:br/>
            </w:r>
            <w:r>
              <w:rPr>
                <w:rFonts w:hint="eastAsia" w:ascii="仿宋_GB2312" w:hAnsi="仿宋_GB2312" w:eastAsia="仿宋_GB2312" w:cs="仿宋_GB2312"/>
                <w:color w:val="000000" w:themeColor="text1"/>
                <w:sz w:val="32"/>
                <w:szCs w:val="32"/>
                <w14:textFill>
                  <w14:solidFill>
                    <w14:schemeClr w14:val="tx1"/>
                  </w14:solidFill>
                </w14:textFill>
              </w:rPr>
              <w:t xml:space="preserve">    补充说明：对于“寸土寸金”的深圳来说，充分利用工业用地是实现高质量发展需要破解的一个难题。建议市委市政府出台政策，鼓励民营产业园区在保留一定绿化景观的基础上，适当退还园区道路和适当缩小产业园区现有的绿化面积，以增加园区建筑面积，进一步提升土地利用率，尽量增大“工业上楼”项目的空间；为避免同一个楼里面存在两种管理体制造成的不便，建议将民营产业园区增加“工业上楼”面积中原规定的捐赠面积改为捐赠绿地和捐赠道路，将整栋楼由园区统一管理，减少政府管理的工作量，也减少入驻企业的困惑，使产业园区“工业上楼”更有成效。
</w:t>
            </w:r>
            <w:r>
              <w:rPr>
                <w:rFonts w:hint="eastAsia" w:ascii="仿宋_GB2312" w:hAnsi="仿宋_GB2312" w:eastAsia="仿宋_GB2312" w:cs="仿宋_GB2312"/>
                <w:color w:val="000000" w:themeColor="text1"/>
                <w:sz w:val="32"/>
                <w:szCs w:val="32"/>
                <w14:textFill>
                  <w14:solidFill>
                    <w14:schemeClr w14:val="tx1"/>
                  </w14:solidFill>
                </w14:textFill>
              </w:rPr>
              <w:br/>
            </w:r>
            <w:r>
              <w:rPr>
                <w:rFonts w:hint="eastAsia" w:ascii="仿宋_GB2312" w:hAnsi="仿宋_GB2312" w:eastAsia="仿宋_GB2312" w:cs="仿宋_GB2312"/>
                <w:color w:val="000000" w:themeColor="text1"/>
                <w:sz w:val="32"/>
                <w:szCs w:val="32"/>
                <w14:textFill>
                  <w14:solidFill>
                    <w14:schemeClr w14:val="tx1"/>
                  </w14:solidFill>
                </w14:textFill>
              </w:rPr>
              <w:br w:type="textWrapping"/>
            </w:r>
          </w:p>
        </w:tc>
      </w:tr>
    </w:tbl>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lYzhjNjM5MmQ5NWFjOTZkMDY3ZGQzM2E4YzI1NjAifQ=="/>
  </w:docVars>
  <w:rsids>
    <w:rsidRoot w:val="000D41E6"/>
    <w:rsid w:val="00042432"/>
    <w:rsid w:val="000D41E6"/>
    <w:rsid w:val="001114EC"/>
    <w:rsid w:val="00147BCA"/>
    <w:rsid w:val="00166A4D"/>
    <w:rsid w:val="001A0FF8"/>
    <w:rsid w:val="001C3C90"/>
    <w:rsid w:val="002031D5"/>
    <w:rsid w:val="00227F39"/>
    <w:rsid w:val="00236E41"/>
    <w:rsid w:val="00260F67"/>
    <w:rsid w:val="002914C5"/>
    <w:rsid w:val="002C0D47"/>
    <w:rsid w:val="00310FF0"/>
    <w:rsid w:val="00334546"/>
    <w:rsid w:val="003911DC"/>
    <w:rsid w:val="003A2443"/>
    <w:rsid w:val="003D7F99"/>
    <w:rsid w:val="0044291E"/>
    <w:rsid w:val="004C0288"/>
    <w:rsid w:val="004C293B"/>
    <w:rsid w:val="004C7B0D"/>
    <w:rsid w:val="004E154D"/>
    <w:rsid w:val="004E6A0C"/>
    <w:rsid w:val="004F68A2"/>
    <w:rsid w:val="005B6100"/>
    <w:rsid w:val="00602884"/>
    <w:rsid w:val="00673758"/>
    <w:rsid w:val="006A7092"/>
    <w:rsid w:val="00732C1E"/>
    <w:rsid w:val="00793158"/>
    <w:rsid w:val="00797A98"/>
    <w:rsid w:val="007E338C"/>
    <w:rsid w:val="008144F1"/>
    <w:rsid w:val="0083551E"/>
    <w:rsid w:val="008D308A"/>
    <w:rsid w:val="008E4222"/>
    <w:rsid w:val="008F421A"/>
    <w:rsid w:val="0092585E"/>
    <w:rsid w:val="00935CC5"/>
    <w:rsid w:val="00941347"/>
    <w:rsid w:val="00967712"/>
    <w:rsid w:val="00994498"/>
    <w:rsid w:val="009C485E"/>
    <w:rsid w:val="009E2147"/>
    <w:rsid w:val="00A34BBB"/>
    <w:rsid w:val="00A82B87"/>
    <w:rsid w:val="00A9009C"/>
    <w:rsid w:val="00AD0C0A"/>
    <w:rsid w:val="00AD26F5"/>
    <w:rsid w:val="00AD367B"/>
    <w:rsid w:val="00B21855"/>
    <w:rsid w:val="00B27728"/>
    <w:rsid w:val="00B30441"/>
    <w:rsid w:val="00B447A8"/>
    <w:rsid w:val="00B61CC8"/>
    <w:rsid w:val="00B6488E"/>
    <w:rsid w:val="00BA05D7"/>
    <w:rsid w:val="00BA78B0"/>
    <w:rsid w:val="00C249E2"/>
    <w:rsid w:val="00C542F7"/>
    <w:rsid w:val="00C6715C"/>
    <w:rsid w:val="00C74D4D"/>
    <w:rsid w:val="00CB7179"/>
    <w:rsid w:val="00D30A2D"/>
    <w:rsid w:val="00D604D5"/>
    <w:rsid w:val="00D82E5F"/>
    <w:rsid w:val="00D922D5"/>
    <w:rsid w:val="00DB7E1D"/>
    <w:rsid w:val="00E63E06"/>
    <w:rsid w:val="00F0289C"/>
    <w:rsid w:val="00F336A0"/>
    <w:rsid w:val="00F50B82"/>
    <w:rsid w:val="00F87CE5"/>
    <w:rsid w:val="00FE6055"/>
    <w:rsid w:val="08CE6F70"/>
    <w:rsid w:val="0FD27D79"/>
    <w:rsid w:val="134F76DA"/>
    <w:rsid w:val="13E3273E"/>
    <w:rsid w:val="13F803AD"/>
    <w:rsid w:val="169D5372"/>
    <w:rsid w:val="20AD64FF"/>
    <w:rsid w:val="2192492D"/>
    <w:rsid w:val="25F80A39"/>
    <w:rsid w:val="2B8A6344"/>
    <w:rsid w:val="2E59180F"/>
    <w:rsid w:val="373B464F"/>
    <w:rsid w:val="3F5E17DA"/>
    <w:rsid w:val="44360900"/>
    <w:rsid w:val="4E8D4E8C"/>
    <w:rsid w:val="4EE062F9"/>
    <w:rsid w:val="514C5B9B"/>
    <w:rsid w:val="54992EC7"/>
    <w:rsid w:val="58FB2054"/>
    <w:rsid w:val="5EA62400"/>
    <w:rsid w:val="6ADA0666"/>
    <w:rsid w:val="70A46629"/>
    <w:rsid w:val="79EF7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autoRedefine/>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3"/>
    <w:autoRedefine/>
    <w:unhideWhenUsed/>
    <w:qFormat/>
    <w:uiPriority w:val="99"/>
    <w:pPr>
      <w:tabs>
        <w:tab w:val="center" w:pos="4153"/>
        <w:tab w:val="right" w:pos="8306"/>
      </w:tabs>
      <w:snapToGrid w:val="0"/>
      <w:jc w:val="left"/>
    </w:pPr>
    <w:rPr>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table" w:styleId="8">
    <w:name w:val="Table Grid"/>
    <w:basedOn w:val="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
    <w:name w:val="Light Shading Accent 2"/>
    <w:autoRedefine/>
    <w:qFormat/>
    <w:uiPriority w:val="60"/>
    <w:rPr>
      <w:color w:val="C55A11" w:themeColor="accent2" w:themeShade="BF"/>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character" w:styleId="11">
    <w:name w:val="annotation reference"/>
    <w:basedOn w:val="10"/>
    <w:semiHidden/>
    <w:unhideWhenUsed/>
    <w:qFormat/>
    <w:uiPriority w:val="99"/>
    <w:rPr>
      <w:sz w:val="21"/>
      <w:szCs w:val="21"/>
    </w:rPr>
  </w:style>
  <w:style w:type="character" w:customStyle="1" w:styleId="12">
    <w:name w:val="页眉 字符"/>
    <w:basedOn w:val="10"/>
    <w:link w:val="5"/>
    <w:qFormat/>
    <w:uiPriority w:val="99"/>
    <w:rPr>
      <w:sz w:val="18"/>
      <w:szCs w:val="18"/>
    </w:rPr>
  </w:style>
  <w:style w:type="character" w:customStyle="1" w:styleId="13">
    <w:name w:val="页脚 字符"/>
    <w:basedOn w:val="10"/>
    <w:link w:val="4"/>
    <w:qFormat/>
    <w:uiPriority w:val="99"/>
    <w:rPr>
      <w:sz w:val="18"/>
      <w:szCs w:val="18"/>
    </w:rPr>
  </w:style>
  <w:style w:type="character" w:customStyle="1" w:styleId="14">
    <w:name w:val="批注文字 字符"/>
    <w:basedOn w:val="10"/>
    <w:link w:val="2"/>
    <w:semiHidden/>
    <w:qFormat/>
    <w:uiPriority w:val="99"/>
  </w:style>
  <w:style w:type="character" w:customStyle="1" w:styleId="15">
    <w:name w:val="批注主题 字符"/>
    <w:basedOn w:val="14"/>
    <w:link w:val="6"/>
    <w:semiHidden/>
    <w:qFormat/>
    <w:uiPriority w:val="99"/>
    <w:rPr>
      <w:b/>
      <w:bCs/>
    </w:rPr>
  </w:style>
  <w:style w:type="character" w:customStyle="1" w:styleId="16">
    <w:name w:val="批注框文本 字符"/>
    <w:basedOn w:val="10"/>
    <w:link w:val="3"/>
    <w:semiHidden/>
    <w:qFormat/>
    <w:uiPriority w:val="99"/>
    <w:rPr>
      <w:sz w:val="18"/>
      <w:szCs w:val="18"/>
    </w:rPr>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unnamedxuan</Company>
  <Pages>1</Pages>
  <Words>39</Words>
  <Characters>41</Characters>
  <Lines>1</Lines>
  <Paragraphs>1</Paragraphs>
  <TotalTime>0</TotalTime>
  <ScaleCrop>false</ScaleCrop>
  <LinksUpToDate>false</LinksUpToDate>
  <CharactersWithSpaces>45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2014-03-05T06:43:00Z</dcterms:created>
  <dc:creator>unnamedxuan@qq.com</dc:creator>
  <cp:lastModifiedBy>lenovo</cp:lastModifiedBy>
  <dcterms:modified xsi:type="dcterms:W3CDTF">2024-06-24T03:05:11Z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22EB438B6E71432982BA343865294FE5</vt:lpwstr>
  </property>
</Properties>
</file>