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0" w:firstLineChars="0"/>
        <w:jc w:val="left"/>
        <w:textAlignment w:val="auto"/>
        <w:outlineLvl w:val="0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0" w:firstLineChars="0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深圳市建设工程新技术推广目录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）</w:t>
      </w:r>
    </w:p>
    <w:tbl>
      <w:tblPr>
        <w:tblStyle w:val="9"/>
        <w:tblW w:w="14907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660"/>
        <w:gridCol w:w="6015"/>
        <w:gridCol w:w="2116"/>
        <w:gridCol w:w="2886"/>
        <w:gridCol w:w="15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tblHeader/>
        </w:trPr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</w:rPr>
              <w:t>序号</w:t>
            </w:r>
          </w:p>
        </w:tc>
        <w:tc>
          <w:tcPr>
            <w:tcW w:w="16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</w:rPr>
              <w:t>新技术名称</w:t>
            </w:r>
          </w:p>
        </w:tc>
        <w:tc>
          <w:tcPr>
            <w:tcW w:w="60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</w:rPr>
              <w:t>技术要点</w:t>
            </w:r>
          </w:p>
        </w:tc>
        <w:tc>
          <w:tcPr>
            <w:tcW w:w="211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</w:rPr>
              <w:t>适用范围</w:t>
            </w:r>
          </w:p>
        </w:tc>
        <w:tc>
          <w:tcPr>
            <w:tcW w:w="288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</w:rPr>
              <w:t>典型案例名称</w:t>
            </w:r>
          </w:p>
        </w:tc>
        <w:tc>
          <w:tcPr>
            <w:tcW w:w="15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</w:rPr>
              <w:t>申报单位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3" w:hRule="atLeast"/>
        </w:trPr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6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建筑物绿色拆除与废弃物综合利用技术</w:t>
            </w:r>
          </w:p>
        </w:tc>
        <w:tc>
          <w:tcPr>
            <w:tcW w:w="60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该技术根据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建筑结构、建筑材料性质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进行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分类拆除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与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收集，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u w:val="none"/>
                <w:lang w:val="en" w:eastAsia="zh-CN" w:bidi="ar-SA"/>
              </w:rPr>
              <w:t>在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u w:val="none"/>
                <w:lang w:val="en" w:eastAsia="zh-CN" w:bidi="ar-SA"/>
              </w:rPr>
              <w:t>拆除施工过程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u w:val="none"/>
                <w:lang w:val="en" w:eastAsia="zh-CN" w:bidi="ar-SA"/>
              </w:rPr>
              <w:t>中优化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u w:val="none"/>
                <w:lang w:val="en" w:eastAsia="zh-CN" w:bidi="ar-SA"/>
              </w:rPr>
              <w:t>噪音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u w:val="none"/>
                <w:lang w:val="en" w:eastAsia="zh-CN" w:bidi="ar-SA"/>
              </w:rPr>
              <w:t>和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u w:val="none"/>
                <w:lang w:val="en" w:eastAsia="zh-CN" w:bidi="ar-SA"/>
              </w:rPr>
              <w:t>扬尘控制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u w:val="none"/>
                <w:lang w:val="en" w:eastAsia="zh-CN" w:bidi="ar-SA"/>
              </w:rPr>
              <w:t>、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u w:val="none"/>
                <w:lang w:val="en" w:eastAsia="zh-CN" w:bidi="ar-SA"/>
              </w:rPr>
              <w:t>安全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u w:val="none"/>
                <w:lang w:val="en" w:eastAsia="zh-CN" w:bidi="ar-SA"/>
              </w:rPr>
              <w:t>管控、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u w:val="none"/>
                <w:lang w:val="en" w:eastAsia="zh-CN" w:bidi="ar-SA"/>
              </w:rPr>
              <w:t>应急预案等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u w:val="none"/>
                <w:lang w:val="en" w:eastAsia="zh-CN" w:bidi="ar-SA"/>
              </w:rPr>
              <w:t>措施，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根据建筑废弃物成分类型设计综合利用再生建材产品。</w:t>
            </w:r>
          </w:p>
        </w:tc>
        <w:tc>
          <w:tcPr>
            <w:tcW w:w="21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cs="Times New Roman"/>
                <w:color w:val="auto"/>
                <w:lang w:val="en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适用于房屋建筑工程拆除与建筑废弃物回收利用</w:t>
            </w:r>
          </w:p>
        </w:tc>
        <w:tc>
          <w:tcPr>
            <w:tcW w:w="28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宝安区新安街道宝城43区碧海花园棚户区改造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项目</w:t>
            </w:r>
          </w:p>
        </w:tc>
        <w:tc>
          <w:tcPr>
            <w:tcW w:w="15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深圳市天健（集团）股份有限公司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3" w:hRule="atLeast"/>
        </w:trPr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4"/>
                <w:lang w:val="en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4"/>
                <w:lang w:val="en" w:eastAsia="zh-CN"/>
              </w:rPr>
              <w:t>2</w:t>
            </w:r>
          </w:p>
        </w:tc>
        <w:tc>
          <w:tcPr>
            <w:tcW w:w="16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钢结构叠箱模块化建筑标准化设计及快速建造技术</w:t>
            </w:r>
          </w:p>
        </w:tc>
        <w:tc>
          <w:tcPr>
            <w:tcW w:w="6015" w:type="dxa"/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firstLine="0" w:firstLineChars="0"/>
              <w:jc w:val="both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该技术为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组合式叠箱模块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化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建筑快装体系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和一体化楼地面构造体系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包括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标准化设计方法、快装连接节点技术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、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模块化建筑AI辅助设计技术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、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模块化箱体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建筑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装配式生产线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和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现场快速吊装施工技术。</w:t>
            </w:r>
          </w:p>
        </w:tc>
        <w:tc>
          <w:tcPr>
            <w:tcW w:w="211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适用于钢结构叠箱模块化建筑施工</w:t>
            </w:r>
          </w:p>
        </w:tc>
        <w:tc>
          <w:tcPr>
            <w:tcW w:w="28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lang w:val="e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深圳市湾区会展国际酒店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、光明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区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荣胜小学</w:t>
            </w:r>
          </w:p>
        </w:tc>
        <w:tc>
          <w:tcPr>
            <w:tcW w:w="15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中建科工集团有限公司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3" w:hRule="atLeast"/>
        </w:trPr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4"/>
                <w:lang w:val="en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4"/>
                <w:lang w:val="en" w:eastAsia="zh-CN"/>
              </w:rPr>
              <w:t>3</w:t>
            </w:r>
          </w:p>
        </w:tc>
        <w:tc>
          <w:tcPr>
            <w:tcW w:w="16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多类型装配式结构构件施工技术</w:t>
            </w:r>
          </w:p>
        </w:tc>
        <w:tc>
          <w:tcPr>
            <w:tcW w:w="6015" w:type="dxa"/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firstLine="0" w:firstLineChars="0"/>
              <w:jc w:val="both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该技术在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结构深化阶段建立全专业设计及施工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建筑信息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模型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  <w:t>BIM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）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在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设计、生产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、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施工过程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中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对预制柱、预制梁、预应力空心板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的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构件生产、连接节点构造、安装工序等进行优化，实现快速绿色建造。</w:t>
            </w:r>
          </w:p>
        </w:tc>
        <w:tc>
          <w:tcPr>
            <w:tcW w:w="211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适用于装配式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建筑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结构预制梁、柱、叠合板和预应力空心板的安装及相应节点的连接</w:t>
            </w:r>
          </w:p>
        </w:tc>
        <w:tc>
          <w:tcPr>
            <w:tcW w:w="28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lang w:val="e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坪山区碧岭小学扩建项目、坪山区科韵学校</w:t>
            </w:r>
          </w:p>
        </w:tc>
        <w:tc>
          <w:tcPr>
            <w:tcW w:w="15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中建科技集团有限公司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3" w:hRule="atLeast"/>
        </w:trPr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4"/>
                <w:lang w:val="en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4"/>
                <w:lang w:val="en" w:eastAsia="zh-CN"/>
              </w:rPr>
              <w:t>4</w:t>
            </w:r>
          </w:p>
        </w:tc>
        <w:tc>
          <w:tcPr>
            <w:tcW w:w="16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装配式室内装修建造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highlight w:val="none"/>
                <w:lang w:val="en" w:eastAsia="zh-CN" w:bidi="ar-SA"/>
              </w:rPr>
              <w:t>体系</w:t>
            </w:r>
          </w:p>
        </w:tc>
        <w:tc>
          <w:tcPr>
            <w:tcW w:w="6015" w:type="dxa"/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firstLine="0" w:firstLineChars="0"/>
              <w:jc w:val="both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该技术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以</w:t>
            </w:r>
            <w:r>
              <w:rPr>
                <w:rFonts w:hint="default" w:ascii="仿宋_GB2312" w:hAnsi="仿宋_GB2312" w:eastAsia="仿宋_GB2312" w:cs="仿宋_GB2312"/>
                <w:color w:val="auto"/>
                <w:lang w:val="en"/>
              </w:rPr>
              <w:t>墙面、地面</w:t>
            </w:r>
            <w:r>
              <w:rPr>
                <w:rFonts w:hint="eastAsia" w:ascii="仿宋_GB2312" w:hAnsi="仿宋_GB2312" w:eastAsia="仿宋_GB2312" w:cs="仿宋_GB2312"/>
                <w:color w:val="auto"/>
                <w:lang w:val="en" w:eastAsia="zh-CN"/>
              </w:rPr>
              <w:t>、</w:t>
            </w:r>
            <w:r>
              <w:rPr>
                <w:rFonts w:hint="default" w:ascii="仿宋_GB2312" w:hAnsi="仿宋_GB2312" w:eastAsia="仿宋_GB2312" w:cs="仿宋_GB2312"/>
                <w:color w:val="auto"/>
                <w:lang w:val="en"/>
              </w:rPr>
              <w:t>天花，</w:t>
            </w:r>
            <w:r>
              <w:rPr>
                <w:rFonts w:hint="eastAsia" w:ascii="仿宋_GB2312" w:hAnsi="仿宋_GB2312" w:eastAsia="仿宋_GB2312" w:cs="仿宋_GB2312"/>
                <w:color w:val="auto"/>
                <w:lang w:val="en" w:eastAsia="zh-CN"/>
              </w:rPr>
              <w:t>以及</w:t>
            </w:r>
            <w:r>
              <w:rPr>
                <w:rFonts w:hint="default" w:ascii="仿宋_GB2312" w:hAnsi="仿宋_GB2312" w:eastAsia="仿宋_GB2312" w:cs="仿宋_GB2312"/>
                <w:color w:val="auto"/>
                <w:lang w:val="en"/>
              </w:rPr>
              <w:t>整体卫浴、集成式厨房、一体化收纳、管线分离</w:t>
            </w:r>
            <w:r>
              <w:rPr>
                <w:rFonts w:hint="eastAsia" w:ascii="仿宋_GB2312" w:hAnsi="仿宋_GB2312" w:eastAsia="仿宋_GB2312" w:cs="仿宋_GB2312"/>
                <w:color w:val="auto"/>
                <w:lang w:val="en" w:eastAsia="zh-CN"/>
              </w:rPr>
              <w:t>等</w:t>
            </w:r>
            <w:r>
              <w:rPr>
                <w:rFonts w:hint="default" w:ascii="仿宋_GB2312" w:hAnsi="仿宋_GB2312" w:eastAsia="仿宋_GB2312" w:cs="仿宋_GB2312"/>
                <w:color w:val="auto"/>
                <w:lang w:val="en"/>
              </w:rPr>
              <w:t>系统</w:t>
            </w:r>
            <w:r>
              <w:rPr>
                <w:rFonts w:hint="eastAsia" w:ascii="仿宋_GB2312" w:hAnsi="仿宋_GB2312" w:eastAsia="仿宋_GB2312" w:cs="仿宋_GB2312"/>
                <w:color w:val="auto"/>
                <w:lang w:val="en" w:eastAsia="zh-CN"/>
              </w:rPr>
              <w:t>组成全装配式内装产品技术体系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通过协同建筑信息模型（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  <w:t>BIM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  <w:t>和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信息化管理，</w:t>
            </w:r>
            <w:r>
              <w:rPr>
                <w:rFonts w:hint="default" w:ascii="仿宋_GB2312" w:hAnsi="仿宋_GB2312" w:eastAsia="仿宋_GB2312" w:cs="仿宋_GB2312"/>
                <w:color w:val="auto"/>
                <w:lang w:val="en"/>
              </w:rPr>
              <w:t>形成涵盖策划、设计选型、部品研发、生产供应、安装服务的全产业链模式</w:t>
            </w:r>
            <w:r>
              <w:rPr>
                <w:rFonts w:hint="eastAsia" w:ascii="仿宋_GB2312" w:hAnsi="仿宋_GB2312" w:eastAsia="仿宋_GB2312" w:cs="仿宋_GB2312"/>
                <w:color w:val="auto"/>
                <w:lang w:val="en" w:eastAsia="zh-CN"/>
              </w:rPr>
              <w:t>，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提升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室内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装配式装修品质。</w:t>
            </w:r>
          </w:p>
        </w:tc>
        <w:tc>
          <w:tcPr>
            <w:tcW w:w="211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适用于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住宅、公寓、酒店、办公楼、城中村改造等工程的室内装修</w:t>
            </w:r>
          </w:p>
        </w:tc>
        <w:tc>
          <w:tcPr>
            <w:tcW w:w="28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lang w:val="e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半山港湾花园、安居锦园</w:t>
            </w:r>
          </w:p>
        </w:tc>
        <w:tc>
          <w:tcPr>
            <w:tcW w:w="15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深圳时代装饰股份有限公司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4"/>
                <w:lang w:val="en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4"/>
                <w:lang w:val="en" w:eastAsia="zh-CN"/>
              </w:rPr>
              <w:t>5</w:t>
            </w:r>
          </w:p>
        </w:tc>
        <w:tc>
          <w:tcPr>
            <w:tcW w:w="16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模块化自饰面非承重隔墙</w:t>
            </w:r>
          </w:p>
        </w:tc>
        <w:tc>
          <w:tcPr>
            <w:tcW w:w="60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该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隔墙板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将无机板表面与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饰面层复合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，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中间填充岩棉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，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实现一体化。通过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墙板间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部件的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连接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及组装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，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形成多个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可拆卸、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依次排列的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隔墙。</w:t>
            </w:r>
          </w:p>
        </w:tc>
        <w:tc>
          <w:tcPr>
            <w:tcW w:w="21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适用于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商业、医院、学校等室内装饰隔墙</w:t>
            </w:r>
          </w:p>
        </w:tc>
        <w:tc>
          <w:tcPr>
            <w:tcW w:w="28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lang w:val="e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lang w:val="en"/>
              </w:rPr>
              <w:t>光明区实验学校同心小学</w:t>
            </w:r>
          </w:p>
        </w:tc>
        <w:tc>
          <w:tcPr>
            <w:tcW w:w="15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深圳市康缔美建筑装饰新材料有限公司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3" w:hRule="atLeast"/>
        </w:trPr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lang w:val="en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4"/>
                <w:lang w:val="en" w:eastAsia="zh-CN"/>
              </w:rPr>
              <w:t>6</w:t>
            </w:r>
          </w:p>
        </w:tc>
        <w:tc>
          <w:tcPr>
            <w:tcW w:w="16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混凝土灌注桩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  <w:t>竖向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抗拔静载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  <w:t>试验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快速连接反力装置和连接技术</w:t>
            </w:r>
          </w:p>
        </w:tc>
        <w:tc>
          <w:tcPr>
            <w:tcW w:w="6015" w:type="dxa"/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firstLine="0" w:firstLineChars="0"/>
              <w:jc w:val="both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shd w:val="clear" w:color="auto" w:fill="auto"/>
                <w:lang w:val="en" w:eastAsia="zh-CN" w:bidi="ar-SA"/>
              </w:rPr>
              <w:t>该技术采用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shd w:val="clear" w:color="auto" w:fill="auto"/>
                <w:lang w:val="en" w:eastAsia="zh-CN" w:bidi="ar-SA"/>
              </w:rPr>
              <w:t>可循环使用的专用底盘和顶盘，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shd w:val="clear" w:color="auto" w:fill="auto"/>
                <w:lang w:val="en" w:eastAsia="zh-CN" w:bidi="ar-SA"/>
              </w:rPr>
              <w:t>通过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shd w:val="clear" w:color="auto" w:fill="auto"/>
                <w:lang w:val="en" w:eastAsia="zh-CN" w:bidi="ar-SA"/>
              </w:rPr>
              <w:t>平行钢隔板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shd w:val="clear" w:color="auto" w:fill="auto"/>
                <w:lang w:val="en-US" w:eastAsia="zh-CN" w:bidi="ar-SA"/>
              </w:rPr>
              <w:t>与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shd w:val="clear" w:color="auto" w:fill="auto"/>
                <w:lang w:val="en" w:eastAsia="zh-CN" w:bidi="ar-SA"/>
              </w:rPr>
              <w:t>专用锚具锁紧连接试桩顶全部钢筋、高强螺纹拉杆连接底盘和顶盘的机械连接方式，达到灌注桩抗拔检测免焊连接目的。</w:t>
            </w:r>
          </w:p>
        </w:tc>
        <w:tc>
          <w:tcPr>
            <w:tcW w:w="211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shd w:val="clear" w:color="auto" w:fill="auto"/>
                <w:lang w:val="en" w:eastAsia="zh-CN" w:bidi="ar-SA"/>
              </w:rPr>
              <w:t>适用于桩径800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shd w:val="clear" w:color="auto" w:fill="auto"/>
                <w:lang w:val="en-US" w:eastAsia="zh-CN" w:bidi="ar-SA"/>
              </w:rPr>
              <w:t>mm至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shd w:val="clear" w:color="auto" w:fill="auto"/>
                <w:lang w:val="en" w:eastAsia="zh-CN" w:bidi="ar-SA"/>
              </w:rPr>
              <w:t>1500mm混凝土灌注桩的竖向抗拔静载试验，最大抗拔试验荷载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shd w:val="clear" w:color="auto" w:fill="auto"/>
                <w:lang w:val="en" w:eastAsia="zh-CN" w:bidi="ar-SA"/>
              </w:rPr>
              <w:t>小于等于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shd w:val="clear" w:color="auto" w:fill="auto"/>
                <w:lang w:val="en" w:eastAsia="zh-CN" w:bidi="ar-SA"/>
              </w:rPr>
              <w:t>10000KN</w:t>
            </w:r>
          </w:p>
        </w:tc>
        <w:tc>
          <w:tcPr>
            <w:tcW w:w="28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shd w:val="clear" w:color="auto" w:fill="auto"/>
                <w:lang w:val="en" w:eastAsia="zh-CN" w:bidi="ar-SA"/>
              </w:rPr>
              <w:t>湾区智慧广场、前海T102-0330宗地项目</w:t>
            </w:r>
          </w:p>
        </w:tc>
        <w:tc>
          <w:tcPr>
            <w:tcW w:w="15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shd w:val="clear" w:color="auto" w:fill="auto"/>
                <w:lang w:val="en" w:eastAsia="zh-CN" w:bidi="ar-SA"/>
              </w:rPr>
              <w:t>深圳市盐田区工程质量安全监督中心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7" w:hRule="atLeast"/>
        </w:trPr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lang w:val="en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4"/>
                <w:lang w:val="en" w:eastAsia="zh-CN"/>
              </w:rPr>
              <w:t>7</w:t>
            </w:r>
          </w:p>
        </w:tc>
        <w:tc>
          <w:tcPr>
            <w:tcW w:w="16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大面积沉降变形地坪整体提升修复施工技术</w:t>
            </w:r>
          </w:p>
        </w:tc>
        <w:tc>
          <w:tcPr>
            <w:tcW w:w="6015" w:type="dxa"/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firstLine="0" w:firstLineChars="0"/>
              <w:jc w:val="both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shd w:val="clear" w:color="auto" w:fill="auto"/>
                <w:lang w:val="en" w:eastAsia="zh-CN" w:bidi="ar-SA"/>
              </w:rPr>
              <w:t>该技术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shd w:val="clear" w:color="auto" w:fill="auto"/>
                <w:lang w:val="en" w:eastAsia="zh-CN" w:bidi="ar-SA"/>
              </w:rPr>
              <w:t>通过一套由提升钢筋、钢桁梁和千斤顶等组成的地坪提升装置，结合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shd w:val="clear" w:color="auto" w:fill="auto"/>
                <w:lang w:val="en-US" w:eastAsia="zh-CN" w:bidi="ar-SA"/>
              </w:rPr>
              <w:t>压力灌注轻质混凝土技术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shd w:val="clear" w:color="auto" w:fill="auto"/>
                <w:lang w:val="en" w:eastAsia="zh-CN" w:bidi="ar-SA"/>
              </w:rPr>
              <w:t>，实现大面积沉降变形地坪的快速提升修复。</w:t>
            </w:r>
          </w:p>
        </w:tc>
        <w:tc>
          <w:tcPr>
            <w:tcW w:w="211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适用于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shd w:val="clear" w:color="auto" w:fill="auto"/>
                <w:lang w:val="en" w:eastAsia="zh-CN" w:bidi="ar-SA"/>
              </w:rPr>
              <w:t>大面积沉降变形地坪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shd w:val="clear" w:color="auto" w:fill="auto"/>
                <w:lang w:val="en" w:eastAsia="zh-CN" w:bidi="ar-SA"/>
              </w:rPr>
              <w:t>的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shd w:val="clear" w:color="auto" w:fill="auto"/>
                <w:lang w:val="en-US" w:eastAsia="zh-CN" w:bidi="ar-SA"/>
              </w:rPr>
              <w:t>提升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shd w:val="clear" w:color="auto" w:fill="auto"/>
                <w:lang w:val="en" w:eastAsia="zh-CN" w:bidi="ar-SA"/>
              </w:rPr>
              <w:t>修复</w:t>
            </w:r>
          </w:p>
        </w:tc>
        <w:tc>
          <w:tcPr>
            <w:tcW w:w="28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深国际西部物流B1栋</w:t>
            </w:r>
          </w:p>
        </w:tc>
        <w:tc>
          <w:tcPr>
            <w:tcW w:w="15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深圳市苏勘岩土工程有限公司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8" w:hRule="atLeast"/>
        </w:trPr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val="en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lang w:val="en" w:eastAsia="zh-CN"/>
              </w:rPr>
              <w:t>8</w:t>
            </w:r>
          </w:p>
        </w:tc>
        <w:tc>
          <w:tcPr>
            <w:tcW w:w="16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shd w:val="clear" w:color="auto" w:fill="auto"/>
                <w:lang w:val="en" w:eastAsia="zh-CN" w:bidi="ar-SA"/>
              </w:rPr>
              <w:t>上下错位幕墙收口系统及安装方法</w:t>
            </w:r>
          </w:p>
        </w:tc>
        <w:tc>
          <w:tcPr>
            <w:tcW w:w="6015" w:type="dxa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Autospacing="0" w:line="240" w:lineRule="auto"/>
              <w:ind w:left="0" w:right="0"/>
              <w:jc w:val="both"/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val="en"/>
              </w:rPr>
              <w:t>该技术通过</w:t>
            </w: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>将</w:t>
            </w:r>
            <w:r>
              <w:rPr>
                <w:rFonts w:hint="eastAsia" w:ascii="仿宋_GB2312" w:hAnsi="仿宋_GB2312" w:eastAsia="仿宋_GB2312" w:cs="仿宋_GB2312"/>
                <w:color w:val="auto"/>
                <w:lang w:val="en"/>
              </w:rPr>
              <w:t>错位幕墙的相邻收口板</w:t>
            </w:r>
            <w:r>
              <w:rPr>
                <w:rFonts w:hint="eastAsia" w:ascii="仿宋_GB2312" w:hAnsi="仿宋_GB2312" w:eastAsia="仿宋_GB2312" w:cs="仿宋_GB2312"/>
                <w:color w:val="auto"/>
                <w:lang w:val="en" w:eastAsia="zh-CN"/>
              </w:rPr>
              <w:t>块设</w:t>
            </w:r>
            <w:r>
              <w:rPr>
                <w:rFonts w:hint="eastAsia" w:ascii="仿宋_GB2312" w:hAnsi="仿宋_GB2312" w:eastAsia="仿宋_GB2312" w:cs="仿宋_GB2312"/>
                <w:color w:val="auto"/>
                <w:lang w:val="en"/>
              </w:rPr>
              <w:t>为外伸与内凹构件，其拼接咬合部分置于上方板</w:t>
            </w:r>
            <w:r>
              <w:rPr>
                <w:rFonts w:hint="eastAsia" w:ascii="仿宋_GB2312" w:hAnsi="仿宋_GB2312" w:eastAsia="仿宋_GB2312" w:cs="仿宋_GB2312"/>
                <w:color w:val="auto"/>
                <w:lang w:val="en" w:eastAsia="zh-CN"/>
              </w:rPr>
              <w:t>块</w:t>
            </w:r>
            <w:r>
              <w:rPr>
                <w:rFonts w:hint="eastAsia" w:ascii="仿宋_GB2312" w:hAnsi="仿宋_GB2312" w:eastAsia="仿宋_GB2312" w:cs="仿宋_GB2312"/>
                <w:color w:val="auto"/>
                <w:lang w:val="en"/>
              </w:rPr>
              <w:t>侧面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shd w:val="clear" w:color="auto" w:fill="auto"/>
                <w:lang w:val="en" w:eastAsia="zh-CN" w:bidi="ar-SA"/>
              </w:rPr>
              <w:t>，为横滑块及披水板提供安装空间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shd w:val="clear" w:color="auto" w:fill="auto"/>
                <w:lang w:val="en" w:eastAsia="zh-CN" w:bidi="ar-SA"/>
              </w:rPr>
              <w:t>，并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shd w:val="clear" w:color="auto" w:fill="auto"/>
                <w:lang w:val="en" w:eastAsia="zh-CN" w:bidi="ar-SA"/>
              </w:rPr>
              <w:t>在预留位置安装防水面板及装饰面板，提升防水性能和装饰效果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shd w:val="clear" w:color="auto" w:fill="auto"/>
                <w:lang w:val="en" w:eastAsia="zh-CN" w:bidi="ar-SA"/>
              </w:rPr>
              <w:t>。通过优化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shd w:val="clear" w:color="auto" w:fill="auto"/>
                <w:lang w:val="en" w:eastAsia="zh-CN" w:bidi="ar-SA"/>
              </w:rPr>
              <w:t>工序安排，提高安装效率和质量。</w:t>
            </w:r>
          </w:p>
        </w:tc>
        <w:tc>
          <w:tcPr>
            <w:tcW w:w="211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shd w:val="clear" w:color="auto" w:fill="auto"/>
                <w:lang w:val="en" w:eastAsia="zh-CN" w:bidi="ar-SA"/>
              </w:rPr>
              <w:t>适用于需要采用错缝单元式幕墙的建筑装饰工程，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shd w:val="clear" w:color="auto" w:fill="auto"/>
                <w:lang w:val="en" w:eastAsia="zh-CN" w:bidi="ar-SA"/>
              </w:rPr>
              <w:t>如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shd w:val="clear" w:color="auto" w:fill="auto"/>
                <w:lang w:val="en" w:eastAsia="zh-CN" w:bidi="ar-SA"/>
              </w:rPr>
              <w:t>电梯预留口、塔吊预留口等幕墙施工</w:t>
            </w:r>
          </w:p>
        </w:tc>
        <w:tc>
          <w:tcPr>
            <w:tcW w:w="28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shd w:val="clear" w:color="auto" w:fill="auto"/>
                <w:lang w:val="en" w:eastAsia="zh-CN" w:bidi="ar-SA"/>
              </w:rPr>
              <w:t>华侨城大厦、</w:t>
            </w:r>
            <w:r>
              <w:rPr>
                <w:rFonts w:hint="eastAsia" w:ascii="仿宋_GB2312" w:hAnsi="仿宋_GB2312" w:eastAsia="仿宋_GB2312" w:cs="仿宋_GB2312"/>
                <w:strike w:val="0"/>
                <w:dstrike w:val="0"/>
                <w:color w:val="auto"/>
                <w:kern w:val="2"/>
                <w:sz w:val="21"/>
                <w:szCs w:val="24"/>
                <w:shd w:val="clear" w:color="auto" w:fill="auto"/>
                <w:lang w:val="en-US" w:eastAsia="zh-CN" w:bidi="ar-SA"/>
              </w:rPr>
              <w:t>华强创意产业园六期</w:t>
            </w:r>
          </w:p>
        </w:tc>
        <w:tc>
          <w:tcPr>
            <w:tcW w:w="15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shd w:val="clear" w:color="auto" w:fill="auto"/>
                <w:lang w:val="en" w:eastAsia="zh-CN" w:bidi="ar-SA"/>
              </w:rPr>
              <w:t>深圳市方大建科集团有限公司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8" w:hRule="atLeast"/>
        </w:trPr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lang w:val="en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lang w:val="en" w:eastAsia="zh-CN"/>
              </w:rPr>
              <w:t>9</w:t>
            </w:r>
          </w:p>
        </w:tc>
        <w:tc>
          <w:tcPr>
            <w:tcW w:w="16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国产化BIM快速建模软件Railworks</w:t>
            </w:r>
          </w:p>
        </w:tc>
        <w:tc>
          <w:tcPr>
            <w:tcW w:w="60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该技术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" w:eastAsia="zh-CN"/>
              </w:rPr>
              <w:t>为</w:t>
            </w:r>
            <w:r>
              <w:rPr>
                <w:rFonts w:hint="default" w:ascii="仿宋_GB2312" w:hAnsi="仿宋_GB2312" w:eastAsia="仿宋_GB2312" w:cs="仿宋_GB2312"/>
                <w:color w:val="auto"/>
                <w:szCs w:val="21"/>
                <w:lang w:val="en" w:eastAsia="zh-CN"/>
              </w:rPr>
              <w:t>自主可控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" w:eastAsia="zh-CN"/>
              </w:rPr>
              <w:t>建筑信息模型（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BIM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" w:eastAsia="zh-CN"/>
              </w:rPr>
              <w:t>）</w:t>
            </w:r>
            <w:r>
              <w:rPr>
                <w:rFonts w:hint="default" w:ascii="仿宋_GB2312" w:hAnsi="仿宋_GB2312" w:eastAsia="仿宋_GB2312" w:cs="仿宋_GB2312"/>
                <w:color w:val="auto"/>
                <w:szCs w:val="21"/>
                <w:lang w:val="en"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" w:eastAsia="zh-CN"/>
              </w:rPr>
              <w:t>具备</w:t>
            </w:r>
            <w:r>
              <w:rPr>
                <w:rFonts w:hint="default" w:ascii="仿宋_GB2312" w:hAnsi="仿宋_GB2312" w:eastAsia="仿宋_GB2312" w:cs="仿宋_GB2312"/>
                <w:color w:val="auto"/>
                <w:szCs w:val="21"/>
                <w:lang w:val="en" w:eastAsia="zh-CN"/>
              </w:rPr>
              <w:t>参数化构件、线路设计、桥梁设计、隧道设计、路基设计、</w:t>
            </w:r>
            <w:r>
              <w:rPr>
                <w:rFonts w:hint="eastAsia" w:ascii="仿宋_GB2312" w:hAnsi="仿宋_GB2312" w:eastAsia="仿宋_GB2312" w:cs="仿宋_GB2312"/>
                <w:strike w:val="0"/>
                <w:dstrike w:val="0"/>
                <w:color w:val="auto"/>
                <w:szCs w:val="21"/>
                <w:lang w:eastAsia="zh-CN"/>
              </w:rPr>
              <w:t>房建</w:t>
            </w:r>
            <w:r>
              <w:rPr>
                <w:rFonts w:hint="default" w:ascii="仿宋_GB2312" w:hAnsi="仿宋_GB2312" w:eastAsia="仿宋_GB2312" w:cs="仿宋_GB2312"/>
                <w:color w:val="auto"/>
                <w:szCs w:val="21"/>
                <w:lang w:val="en"/>
              </w:rPr>
              <w:t>设计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  <w:t>、数据级协同</w:t>
            </w:r>
            <w:r>
              <w:rPr>
                <w:rFonts w:hint="default" w:ascii="仿宋_GB2312" w:hAnsi="仿宋_GB2312" w:eastAsia="仿宋_GB2312" w:cs="仿宋_GB2312"/>
                <w:color w:val="auto"/>
                <w:szCs w:val="21"/>
                <w:lang w:val="en"/>
              </w:rPr>
              <w:t>等功能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"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  <w:t>支撑正向设计、施工深化和运营维护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全生命周期应用。</w:t>
            </w:r>
            <w:r>
              <w:rPr>
                <w:rFonts w:hint="default" w:ascii="仿宋_GB2312" w:hAnsi="仿宋_GB2312" w:eastAsia="仿宋_GB2312" w:cs="仿宋_GB2312"/>
                <w:color w:val="auto"/>
                <w:szCs w:val="21"/>
                <w:lang w:val="en"/>
              </w:rPr>
              <w:t>基于云原生架构模式，采用web端建模技术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" w:eastAsia="zh-CN"/>
              </w:rPr>
              <w:t>实现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BIM轻量化应用</w:t>
            </w:r>
            <w:r>
              <w:rPr>
                <w:rFonts w:hint="default" w:ascii="仿宋_GB2312" w:hAnsi="仿宋_GB2312" w:eastAsia="仿宋_GB2312" w:cs="仿宋_GB2312"/>
                <w:color w:val="auto"/>
                <w:szCs w:val="21"/>
                <w:lang w:val="en"/>
              </w:rPr>
              <w:t>。</w:t>
            </w:r>
          </w:p>
        </w:tc>
        <w:tc>
          <w:tcPr>
            <w:tcW w:w="211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适用于</w:t>
            </w:r>
            <w:r>
              <w:rPr>
                <w:rFonts w:hint="default" w:ascii="仿宋_GB2312" w:hAnsi="仿宋_GB2312" w:eastAsia="仿宋_GB2312" w:cs="仿宋_GB2312"/>
                <w:color w:val="auto"/>
                <w:szCs w:val="21"/>
                <w:lang w:val="en" w:eastAsia="zh-CN"/>
              </w:rPr>
              <w:t>BIM设计、施工</w:t>
            </w:r>
            <w:r>
              <w:rPr>
                <w:rFonts w:hint="eastAsia" w:ascii="仿宋_GB2312" w:hAnsi="仿宋_GB2312" w:eastAsia="仿宋_GB2312" w:cs="仿宋_GB2312"/>
                <w:strike w:val="0"/>
                <w:dstrike w:val="0"/>
                <w:color w:val="auto"/>
                <w:szCs w:val="21"/>
                <w:lang w:val="en-US" w:eastAsia="zh-CN"/>
              </w:rPr>
              <w:t>管理、运维管理</w:t>
            </w:r>
          </w:p>
        </w:tc>
        <w:tc>
          <w:tcPr>
            <w:tcW w:w="28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深圳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市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城市轨道交通3号线四期、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深汕高铁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5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  <w:t>铁科院（深圳）研究设计院有限公司、北京经纬信息技术有限公司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8" w:hRule="atLeast"/>
        </w:trPr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lang w:val="en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lang w:val="en" w:eastAsia="zh-CN"/>
              </w:rPr>
              <w:t>10</w:t>
            </w:r>
          </w:p>
        </w:tc>
        <w:tc>
          <w:tcPr>
            <w:tcW w:w="16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  <w:t>基于BIM的企业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  <w:t>级建筑设计和项目管理平台</w:t>
            </w:r>
          </w:p>
        </w:tc>
        <w:tc>
          <w:tcPr>
            <w:tcW w:w="60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该平台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创建线上管理标准企业资源库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支持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多源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  <w:t>建筑信息模型（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BIM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数据轻量化转换和数据平台管理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实现多端跨企业协同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一体化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应用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  <w:t>。</w:t>
            </w:r>
          </w:p>
        </w:tc>
        <w:tc>
          <w:tcPr>
            <w:tcW w:w="211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适用于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建设工程项目和设计管理</w:t>
            </w:r>
          </w:p>
        </w:tc>
        <w:tc>
          <w:tcPr>
            <w:tcW w:w="28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  <w:t>华阳国际现代建筑产业中心1号厂房、龙华设计产业园总部大厦</w:t>
            </w:r>
          </w:p>
        </w:tc>
        <w:tc>
          <w:tcPr>
            <w:tcW w:w="15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  <w:t>深圳市华阳国际工程设计股份有限公司、深圳市华阳国际城市科技有限公司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1" w:hRule="atLeast"/>
        </w:trPr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val="en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lang w:val="en" w:eastAsia="zh-CN"/>
              </w:rPr>
              <w:t>11</w:t>
            </w:r>
          </w:p>
        </w:tc>
        <w:tc>
          <w:tcPr>
            <w:tcW w:w="16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  <w:t>超高层建筑风振舒适度监测与安全预警技术</w:t>
            </w:r>
          </w:p>
        </w:tc>
        <w:tc>
          <w:tcPr>
            <w:tcW w:w="60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shd w:val="clear" w:color="auto" w:fill="auto"/>
                <w:lang w:val="e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该技术采用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  <w:t>5G工业互联网和“北斗”卫星精准授时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  <w:t>功能进行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  <w:t>分布式同步采集，提高海量结构响应数据的传输效率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  <w:t>。通过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  <w:t>监测系统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  <w:t>数据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  <w:t>为后续结构控制设备研发提供关键参数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  <w:t>，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  <w:t>实现基于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  <w:t>动态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  <w:t>倾角测量的高层结构动位移实时在线监测。</w:t>
            </w:r>
          </w:p>
        </w:tc>
        <w:tc>
          <w:tcPr>
            <w:tcW w:w="211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shd w:val="clear" w:color="auto" w:fill="auto"/>
                <w:lang w:val="e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适用于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  <w:t>超高层建筑</w:t>
            </w:r>
          </w:p>
        </w:tc>
        <w:tc>
          <w:tcPr>
            <w:tcW w:w="28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shd w:val="clear" w:color="auto" w:fill="auto"/>
                <w:lang w:val="e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  <w:t>京基100大厦、金地大百汇</w:t>
            </w:r>
          </w:p>
        </w:tc>
        <w:tc>
          <w:tcPr>
            <w:tcW w:w="15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  <w:t>哈尔滨工业大学（深圳）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8" w:hRule="atLeast"/>
        </w:trPr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val="en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lang w:val="en" w:eastAsia="zh-CN"/>
              </w:rPr>
              <w:t>12</w:t>
            </w:r>
          </w:p>
        </w:tc>
        <w:tc>
          <w:tcPr>
            <w:tcW w:w="16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  <w:t>智能建造安全监测与调度系统</w:t>
            </w:r>
          </w:p>
        </w:tc>
        <w:tc>
          <w:tcPr>
            <w:tcW w:w="60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shd w:val="clear" w:color="auto" w:fill="auto"/>
                <w:lang w:val="e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该技术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集成巡检机器人与无人机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实现无人化、全自动的工地巡检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。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通过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施工进度自动识别与调度算法，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将建筑信息模型（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BIM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设计与实景模型对比，自动计算施工进度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并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进行智能调度。</w:t>
            </w:r>
          </w:p>
        </w:tc>
        <w:tc>
          <w:tcPr>
            <w:tcW w:w="211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shd w:val="clear" w:color="auto" w:fill="auto"/>
                <w:lang w:val="e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适用于各类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建筑工程</w:t>
            </w:r>
          </w:p>
        </w:tc>
        <w:tc>
          <w:tcPr>
            <w:tcW w:w="28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  <w:t>坪山区沙湖应急隔离场所、深圳工业软件园</w:t>
            </w:r>
          </w:p>
        </w:tc>
        <w:tc>
          <w:tcPr>
            <w:tcW w:w="15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  <w:t>深圳市奇航疆域技术有限公司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05" w:hRule="atLeast"/>
        </w:trPr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val="en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lang w:val="en" w:eastAsia="zh-CN"/>
              </w:rPr>
              <w:t>13</w:t>
            </w:r>
          </w:p>
        </w:tc>
        <w:tc>
          <w:tcPr>
            <w:tcW w:w="16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建筑设备智能管控平台</w:t>
            </w:r>
          </w:p>
        </w:tc>
        <w:tc>
          <w:tcPr>
            <w:tcW w:w="60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该技术以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" w:eastAsia="zh-CN"/>
              </w:rPr>
              <w:t>建筑能碳双控和高效供能为目标，</w:t>
            </w:r>
            <w:r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lang w:val="en" w:eastAsia="zh-CN"/>
              </w:rPr>
              <w:t>集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能碳</w:t>
            </w:r>
            <w:r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lang w:val="en" w:eastAsia="zh-CN"/>
              </w:rPr>
              <w:t>监测分析、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设备</w:t>
            </w:r>
            <w:r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lang w:val="en" w:eastAsia="zh-CN"/>
              </w:rPr>
              <w:t>优化控制、智慧运维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" w:eastAsia="zh-CN"/>
              </w:rPr>
              <w:t>及数据可视化展示等</w:t>
            </w:r>
            <w:r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lang w:val="en" w:eastAsia="zh-CN"/>
              </w:rPr>
              <w:t>功能于一体，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" w:eastAsia="zh-CN"/>
              </w:rPr>
              <w:t>对建筑设备用能进行精细化和智能化管理</w:t>
            </w:r>
            <w:r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lang w:val="en" w:eastAsia="zh-CN"/>
              </w:rPr>
              <w:t>。</w:t>
            </w:r>
          </w:p>
        </w:tc>
        <w:tc>
          <w:tcPr>
            <w:tcW w:w="211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适用于</w:t>
            </w:r>
            <w:r>
              <w:rPr>
                <w:rFonts w:hint="eastAsia" w:ascii="仿宋_GB2312" w:hAnsi="仿宋_GB2312" w:eastAsia="仿宋_GB2312" w:cs="仿宋_GB2312"/>
                <w:strike w:val="0"/>
                <w:dstrike w:val="0"/>
                <w:color w:val="auto"/>
                <w:sz w:val="21"/>
                <w:szCs w:val="21"/>
                <w:lang w:val="en-US" w:eastAsia="zh-CN"/>
              </w:rPr>
              <w:t>建筑设备能碳监测分析、建筑设备优化群控和智慧运维</w:t>
            </w:r>
          </w:p>
        </w:tc>
        <w:tc>
          <w:tcPr>
            <w:tcW w:w="28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  <w:t>宝安区公共文化体育服务中心宝安图书馆与“宝安1990”节能改造项目、宝安区新桥文化艺术中心节能改造项目</w:t>
            </w:r>
          </w:p>
        </w:tc>
        <w:tc>
          <w:tcPr>
            <w:tcW w:w="15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深圳市紫衡技术有限公司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03" w:hRule="atLeast"/>
        </w:trPr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4"/>
                <w:lang w:val="en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4"/>
                <w:lang w:val="en" w:eastAsia="zh-CN"/>
              </w:rPr>
              <w:t>14</w:t>
            </w:r>
          </w:p>
        </w:tc>
        <w:tc>
          <w:tcPr>
            <w:tcW w:w="16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基于微波感应的地下室智能灯具排布及施工工艺</w:t>
            </w:r>
          </w:p>
        </w:tc>
        <w:tc>
          <w:tcPr>
            <w:tcW w:w="60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该技术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基于发射和接收微波信号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监测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地下室环境中的移动物体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，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通过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自动亮度调节、预设模式切换及无线遥控技术，实现施工现场照明的智能化管理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。</w:t>
            </w:r>
          </w:p>
        </w:tc>
        <w:tc>
          <w:tcPr>
            <w:tcW w:w="211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适用于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在建工程地下室等部位的施工照明</w:t>
            </w:r>
          </w:p>
        </w:tc>
        <w:tc>
          <w:tcPr>
            <w:tcW w:w="28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深圳工业软件园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、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怀德万利商务中心</w:t>
            </w:r>
          </w:p>
        </w:tc>
        <w:tc>
          <w:tcPr>
            <w:tcW w:w="15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中建五局第三建设有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限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8" w:hRule="atLeast"/>
        </w:trPr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4"/>
                <w:lang w:val="en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4"/>
                <w:lang w:val="en" w:eastAsia="zh-CN"/>
              </w:rPr>
              <w:t>15</w:t>
            </w:r>
          </w:p>
        </w:tc>
        <w:tc>
          <w:tcPr>
            <w:tcW w:w="16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  <w:t>物联网地下车库灯光引导系统</w:t>
            </w:r>
          </w:p>
        </w:tc>
        <w:tc>
          <w:tcPr>
            <w:tcW w:w="60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该技术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基于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" w:eastAsia="zh-CN" w:bidi="ar-SA"/>
              </w:rPr>
              <w:t>软件云服务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平台开发了物联网智能照明管理系统，实现大型车库智能照明与停车场系统对接、智能指引车辆行驶路线等功能。</w:t>
            </w:r>
          </w:p>
        </w:tc>
        <w:tc>
          <w:tcPr>
            <w:tcW w:w="211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适用于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物联网照明工程</w:t>
            </w:r>
          </w:p>
        </w:tc>
        <w:tc>
          <w:tcPr>
            <w:tcW w:w="28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  <w:t>天安云谷产业园、万科梅林智能制造项目</w:t>
            </w:r>
          </w:p>
        </w:tc>
        <w:tc>
          <w:tcPr>
            <w:tcW w:w="15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  <w:t>深圳市铭灏天智能照明设备有限公司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4" w:hRule="atLeast"/>
        </w:trPr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4"/>
                <w:lang w:val="en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4"/>
                <w:lang w:val="en" w:eastAsia="zh-CN"/>
              </w:rPr>
              <w:t>16</w:t>
            </w:r>
          </w:p>
        </w:tc>
        <w:tc>
          <w:tcPr>
            <w:tcW w:w="16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低压物联网测控仪和有电信控网关技术产品</w:t>
            </w:r>
          </w:p>
        </w:tc>
        <w:tc>
          <w:tcPr>
            <w:tcW w:w="6015" w:type="dxa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该技术通过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安装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物联网测控仪及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有电信控网关，利用建筑物既有的电力配电系统构建数字通信系统，进行各个独立终端用电安全信息及能耗信息的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精细化采集和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传输。</w:t>
            </w:r>
          </w:p>
        </w:tc>
        <w:tc>
          <w:tcPr>
            <w:tcW w:w="21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适用于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酒店、办公、机场、广场、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医院、学校、实验室、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保障性住房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及相关改造项目</w:t>
            </w:r>
          </w:p>
        </w:tc>
        <w:tc>
          <w:tcPr>
            <w:tcW w:w="28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梅沙街道小梅沙片区城市更新单元、莲花大厦改造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项目</w:t>
            </w:r>
          </w:p>
        </w:tc>
        <w:tc>
          <w:tcPr>
            <w:tcW w:w="15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深圳市凌祺实业有限公司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" w:eastAsia="zh-CN" w:bidi="ar-SA"/>
              </w:rPr>
              <w:t>、深圳瑞祺科技有限公司</w:t>
            </w:r>
          </w:p>
        </w:tc>
      </w:tr>
    </w:tbl>
    <w:p>
      <w:pPr>
        <w:numPr>
          <w:ilvl w:val="0"/>
          <w:numId w:val="0"/>
        </w:numPr>
        <w:spacing w:line="320" w:lineRule="exact"/>
        <w:ind w:left="0" w:leftChars="0" w:firstLine="0" w:firstLineChars="0"/>
        <w:jc w:val="both"/>
        <w:rPr>
          <w:rFonts w:hint="default" w:ascii="仿宋_GB2312" w:eastAsia="仿宋_GB2312"/>
          <w:sz w:val="24"/>
          <w:lang w:val="en-US" w:eastAsia="zh-CN"/>
        </w:rPr>
      </w:pPr>
    </w:p>
    <w:sectPr>
      <w:footerReference r:id="rId3" w:type="default"/>
      <w:pgSz w:w="16838" w:h="11906" w:orient="landscape"/>
      <w:pgMar w:top="1474" w:right="1134" w:bottom="113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icrosoft YaHei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false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FgAAAGRycy9QSwECFAAUAAAACACHTuJAaGmCS9MAAAAF&#10;AQAADwAAAAAAAAABACAAAAA4AAAAZHJzL2Rvd25yZXYueG1sUEsBAhQAFAAAAAgAh07iQP7DqV3S&#10;AQAAhQMAAA4AAAAAAAAAAQAgAAAAOAEAAGRycy9lMm9Eb2MueG1sUEsFBgAAAAAGAAYAWQEAAHwF&#10;AAAAAA=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false"/>
  <w:bordersDoNotSurroundFooter w:val="fals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true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U1ODAxNmU5MmY4Y2M1OWRiNTdmMzhkNGYyNjAxMGUifQ=="/>
  </w:docVars>
  <w:rsids>
    <w:rsidRoot w:val="00172A27"/>
    <w:rsid w:val="0003291A"/>
    <w:rsid w:val="0003722B"/>
    <w:rsid w:val="00074541"/>
    <w:rsid w:val="000F2855"/>
    <w:rsid w:val="00107CD9"/>
    <w:rsid w:val="001B2682"/>
    <w:rsid w:val="001F0CD1"/>
    <w:rsid w:val="001F0DC9"/>
    <w:rsid w:val="00216E77"/>
    <w:rsid w:val="00244AC7"/>
    <w:rsid w:val="002E5C3C"/>
    <w:rsid w:val="00394D7B"/>
    <w:rsid w:val="00395393"/>
    <w:rsid w:val="003C7061"/>
    <w:rsid w:val="00443C6E"/>
    <w:rsid w:val="00446961"/>
    <w:rsid w:val="00466A98"/>
    <w:rsid w:val="004D3230"/>
    <w:rsid w:val="004E0155"/>
    <w:rsid w:val="00514A58"/>
    <w:rsid w:val="00534509"/>
    <w:rsid w:val="00560435"/>
    <w:rsid w:val="005915C7"/>
    <w:rsid w:val="00596458"/>
    <w:rsid w:val="005D1656"/>
    <w:rsid w:val="006533EC"/>
    <w:rsid w:val="00666EA6"/>
    <w:rsid w:val="00721FCE"/>
    <w:rsid w:val="007A189F"/>
    <w:rsid w:val="007B741B"/>
    <w:rsid w:val="007E4D81"/>
    <w:rsid w:val="00803EDB"/>
    <w:rsid w:val="008315D8"/>
    <w:rsid w:val="008F232A"/>
    <w:rsid w:val="008F529F"/>
    <w:rsid w:val="0093732E"/>
    <w:rsid w:val="00941412"/>
    <w:rsid w:val="00976426"/>
    <w:rsid w:val="009E7A39"/>
    <w:rsid w:val="00AC5131"/>
    <w:rsid w:val="00BD73B7"/>
    <w:rsid w:val="00BF5FC0"/>
    <w:rsid w:val="00C77C78"/>
    <w:rsid w:val="00CA7E2B"/>
    <w:rsid w:val="00CD4855"/>
    <w:rsid w:val="00D20416"/>
    <w:rsid w:val="00DB0B77"/>
    <w:rsid w:val="00E0053F"/>
    <w:rsid w:val="00E10B6D"/>
    <w:rsid w:val="00E34B47"/>
    <w:rsid w:val="00E40ADA"/>
    <w:rsid w:val="00E86336"/>
    <w:rsid w:val="00E9766F"/>
    <w:rsid w:val="00EA64F8"/>
    <w:rsid w:val="00EC253E"/>
    <w:rsid w:val="00EE5331"/>
    <w:rsid w:val="00F02837"/>
    <w:rsid w:val="00F443C1"/>
    <w:rsid w:val="00F97251"/>
    <w:rsid w:val="00FC01F4"/>
    <w:rsid w:val="01653F35"/>
    <w:rsid w:val="0214137F"/>
    <w:rsid w:val="02D7032B"/>
    <w:rsid w:val="03265AA7"/>
    <w:rsid w:val="03BD0A12"/>
    <w:rsid w:val="044349A8"/>
    <w:rsid w:val="04B26C7E"/>
    <w:rsid w:val="053F7B22"/>
    <w:rsid w:val="056C5A14"/>
    <w:rsid w:val="05897B64"/>
    <w:rsid w:val="06BF0EB3"/>
    <w:rsid w:val="09042364"/>
    <w:rsid w:val="09170314"/>
    <w:rsid w:val="09F37E27"/>
    <w:rsid w:val="0A1659F9"/>
    <w:rsid w:val="0B8A2E46"/>
    <w:rsid w:val="0BA9076D"/>
    <w:rsid w:val="0C2D3A89"/>
    <w:rsid w:val="0DBF3735"/>
    <w:rsid w:val="0FA82FA8"/>
    <w:rsid w:val="0FEE2FFB"/>
    <w:rsid w:val="0FFBB0D2"/>
    <w:rsid w:val="10861DCA"/>
    <w:rsid w:val="10B21F25"/>
    <w:rsid w:val="10D27457"/>
    <w:rsid w:val="12654321"/>
    <w:rsid w:val="12ED5476"/>
    <w:rsid w:val="13DE3FA9"/>
    <w:rsid w:val="14811B16"/>
    <w:rsid w:val="14F11F69"/>
    <w:rsid w:val="16CE749C"/>
    <w:rsid w:val="16F46383"/>
    <w:rsid w:val="18D8125D"/>
    <w:rsid w:val="19CE16F4"/>
    <w:rsid w:val="1A0E40CA"/>
    <w:rsid w:val="1A650741"/>
    <w:rsid w:val="1B1C34B2"/>
    <w:rsid w:val="1B79308F"/>
    <w:rsid w:val="1BD8204A"/>
    <w:rsid w:val="1C284A0B"/>
    <w:rsid w:val="1C881D45"/>
    <w:rsid w:val="1CD27DB2"/>
    <w:rsid w:val="1CD719CF"/>
    <w:rsid w:val="1D3D42F0"/>
    <w:rsid w:val="1E076D4C"/>
    <w:rsid w:val="1E3B7723"/>
    <w:rsid w:val="1E527461"/>
    <w:rsid w:val="1E5C1BC7"/>
    <w:rsid w:val="1F4941B3"/>
    <w:rsid w:val="1F706606"/>
    <w:rsid w:val="1FFC3713"/>
    <w:rsid w:val="202B3996"/>
    <w:rsid w:val="20364A62"/>
    <w:rsid w:val="21C430AA"/>
    <w:rsid w:val="226C0332"/>
    <w:rsid w:val="22714800"/>
    <w:rsid w:val="235D7A49"/>
    <w:rsid w:val="23970988"/>
    <w:rsid w:val="23A2759A"/>
    <w:rsid w:val="23B36AC2"/>
    <w:rsid w:val="24730705"/>
    <w:rsid w:val="24A5483D"/>
    <w:rsid w:val="258609AC"/>
    <w:rsid w:val="258D0E07"/>
    <w:rsid w:val="259E3438"/>
    <w:rsid w:val="26613544"/>
    <w:rsid w:val="28590B87"/>
    <w:rsid w:val="2AE4641D"/>
    <w:rsid w:val="2B084504"/>
    <w:rsid w:val="2B3D339C"/>
    <w:rsid w:val="2BA02A20"/>
    <w:rsid w:val="2D85331A"/>
    <w:rsid w:val="2D8B6A5B"/>
    <w:rsid w:val="2D9359B5"/>
    <w:rsid w:val="2E280966"/>
    <w:rsid w:val="2EF31932"/>
    <w:rsid w:val="2F167A80"/>
    <w:rsid w:val="2F6A271D"/>
    <w:rsid w:val="2F6F44D2"/>
    <w:rsid w:val="2F77CAE4"/>
    <w:rsid w:val="2F863568"/>
    <w:rsid w:val="30335D97"/>
    <w:rsid w:val="304402E8"/>
    <w:rsid w:val="304E6769"/>
    <w:rsid w:val="3127022B"/>
    <w:rsid w:val="315B61D2"/>
    <w:rsid w:val="31741E81"/>
    <w:rsid w:val="317950E7"/>
    <w:rsid w:val="31F74DDB"/>
    <w:rsid w:val="3307638A"/>
    <w:rsid w:val="33975AA0"/>
    <w:rsid w:val="33995D77"/>
    <w:rsid w:val="347B3CE7"/>
    <w:rsid w:val="34F511B8"/>
    <w:rsid w:val="35181174"/>
    <w:rsid w:val="36367B57"/>
    <w:rsid w:val="364048E6"/>
    <w:rsid w:val="36776C4A"/>
    <w:rsid w:val="36952A3D"/>
    <w:rsid w:val="374E0544"/>
    <w:rsid w:val="37F34F40"/>
    <w:rsid w:val="385D1E0F"/>
    <w:rsid w:val="39290FD6"/>
    <w:rsid w:val="39864FD2"/>
    <w:rsid w:val="39F6E8A0"/>
    <w:rsid w:val="3A1451FA"/>
    <w:rsid w:val="3A3F6B04"/>
    <w:rsid w:val="3A854D8B"/>
    <w:rsid w:val="3AFB0611"/>
    <w:rsid w:val="3B33E66F"/>
    <w:rsid w:val="3B585036"/>
    <w:rsid w:val="3BB50B55"/>
    <w:rsid w:val="3BDAB17D"/>
    <w:rsid w:val="3BED222E"/>
    <w:rsid w:val="3CC305E6"/>
    <w:rsid w:val="3D08104C"/>
    <w:rsid w:val="3D0D6625"/>
    <w:rsid w:val="3DFDBB6B"/>
    <w:rsid w:val="3E3F4AB1"/>
    <w:rsid w:val="3E8B4D1E"/>
    <w:rsid w:val="3F0F07AC"/>
    <w:rsid w:val="3F217C08"/>
    <w:rsid w:val="3F4D5A2C"/>
    <w:rsid w:val="3FA515A2"/>
    <w:rsid w:val="3FAEBE97"/>
    <w:rsid w:val="3FBA10EC"/>
    <w:rsid w:val="3FFFDDFB"/>
    <w:rsid w:val="40485708"/>
    <w:rsid w:val="40715642"/>
    <w:rsid w:val="409E70EF"/>
    <w:rsid w:val="41A30E84"/>
    <w:rsid w:val="42261BF1"/>
    <w:rsid w:val="429F0B96"/>
    <w:rsid w:val="42CD7465"/>
    <w:rsid w:val="42D130EE"/>
    <w:rsid w:val="42DF6415"/>
    <w:rsid w:val="42EF0F7B"/>
    <w:rsid w:val="43004F98"/>
    <w:rsid w:val="430A3EE5"/>
    <w:rsid w:val="4324765E"/>
    <w:rsid w:val="44422AB1"/>
    <w:rsid w:val="444A4B27"/>
    <w:rsid w:val="454B6152"/>
    <w:rsid w:val="45BC068B"/>
    <w:rsid w:val="45F26AE7"/>
    <w:rsid w:val="46381E58"/>
    <w:rsid w:val="46817071"/>
    <w:rsid w:val="47CE09C1"/>
    <w:rsid w:val="47DF317C"/>
    <w:rsid w:val="480E49F0"/>
    <w:rsid w:val="48132528"/>
    <w:rsid w:val="48250431"/>
    <w:rsid w:val="4851715A"/>
    <w:rsid w:val="497D4A7D"/>
    <w:rsid w:val="49BF20A4"/>
    <w:rsid w:val="4B41261D"/>
    <w:rsid w:val="4B434ACB"/>
    <w:rsid w:val="4BA76BC0"/>
    <w:rsid w:val="4CE379AF"/>
    <w:rsid w:val="4E367E91"/>
    <w:rsid w:val="4EC0008E"/>
    <w:rsid w:val="4F086C5B"/>
    <w:rsid w:val="4FF9696A"/>
    <w:rsid w:val="505A3B73"/>
    <w:rsid w:val="51686E77"/>
    <w:rsid w:val="51766187"/>
    <w:rsid w:val="5302429B"/>
    <w:rsid w:val="533A5B56"/>
    <w:rsid w:val="538D6932"/>
    <w:rsid w:val="53DC2379"/>
    <w:rsid w:val="54122E96"/>
    <w:rsid w:val="5486329D"/>
    <w:rsid w:val="55A17692"/>
    <w:rsid w:val="563D3ECA"/>
    <w:rsid w:val="567D16D9"/>
    <w:rsid w:val="568A1113"/>
    <w:rsid w:val="568C5430"/>
    <w:rsid w:val="56B624FB"/>
    <w:rsid w:val="578D583C"/>
    <w:rsid w:val="57BE722E"/>
    <w:rsid w:val="57BF3CA7"/>
    <w:rsid w:val="58BC2305"/>
    <w:rsid w:val="58EA163E"/>
    <w:rsid w:val="590439D8"/>
    <w:rsid w:val="5966C29B"/>
    <w:rsid w:val="598B337A"/>
    <w:rsid w:val="599128D2"/>
    <w:rsid w:val="5AF745AD"/>
    <w:rsid w:val="5B815FDB"/>
    <w:rsid w:val="5B87302D"/>
    <w:rsid w:val="5B9B46A3"/>
    <w:rsid w:val="5BFCDAFE"/>
    <w:rsid w:val="5BFFACD4"/>
    <w:rsid w:val="5C24723B"/>
    <w:rsid w:val="5D5028CA"/>
    <w:rsid w:val="5DE96B84"/>
    <w:rsid w:val="5E3A4245"/>
    <w:rsid w:val="5EC12E6E"/>
    <w:rsid w:val="5F11CDA1"/>
    <w:rsid w:val="5FFF95E4"/>
    <w:rsid w:val="60FA6527"/>
    <w:rsid w:val="61524EDE"/>
    <w:rsid w:val="61C05D8E"/>
    <w:rsid w:val="61CA666E"/>
    <w:rsid w:val="61E909C7"/>
    <w:rsid w:val="62807110"/>
    <w:rsid w:val="62E5561A"/>
    <w:rsid w:val="634B0692"/>
    <w:rsid w:val="63C935FC"/>
    <w:rsid w:val="63E46062"/>
    <w:rsid w:val="642746E4"/>
    <w:rsid w:val="64524B2C"/>
    <w:rsid w:val="645B4C1F"/>
    <w:rsid w:val="654B30A8"/>
    <w:rsid w:val="65A0D7A4"/>
    <w:rsid w:val="65C06E48"/>
    <w:rsid w:val="65E943A3"/>
    <w:rsid w:val="66155631"/>
    <w:rsid w:val="661B07EE"/>
    <w:rsid w:val="661D67AC"/>
    <w:rsid w:val="66287D10"/>
    <w:rsid w:val="6677F8BE"/>
    <w:rsid w:val="66E720A3"/>
    <w:rsid w:val="673A4663"/>
    <w:rsid w:val="67B34633"/>
    <w:rsid w:val="68046A8E"/>
    <w:rsid w:val="68300EDA"/>
    <w:rsid w:val="68652974"/>
    <w:rsid w:val="68CB0AB7"/>
    <w:rsid w:val="68E21C27"/>
    <w:rsid w:val="694E0D4E"/>
    <w:rsid w:val="69705D1F"/>
    <w:rsid w:val="69965CF2"/>
    <w:rsid w:val="6A7F5346"/>
    <w:rsid w:val="6ABC335A"/>
    <w:rsid w:val="6B293A59"/>
    <w:rsid w:val="6B5F774B"/>
    <w:rsid w:val="6B895619"/>
    <w:rsid w:val="6BAE38A1"/>
    <w:rsid w:val="6BB63610"/>
    <w:rsid w:val="6BF7F759"/>
    <w:rsid w:val="6C694928"/>
    <w:rsid w:val="6E214EBC"/>
    <w:rsid w:val="6E5D548C"/>
    <w:rsid w:val="6E897321"/>
    <w:rsid w:val="6EB845FB"/>
    <w:rsid w:val="6ED73BC2"/>
    <w:rsid w:val="6F002971"/>
    <w:rsid w:val="6F67197D"/>
    <w:rsid w:val="6FDFB20F"/>
    <w:rsid w:val="6FE76EC6"/>
    <w:rsid w:val="6FFF5C47"/>
    <w:rsid w:val="701521DA"/>
    <w:rsid w:val="71593AEE"/>
    <w:rsid w:val="71D277F8"/>
    <w:rsid w:val="72027B7D"/>
    <w:rsid w:val="72A77D9B"/>
    <w:rsid w:val="72A908DB"/>
    <w:rsid w:val="7357CCA1"/>
    <w:rsid w:val="737D41CE"/>
    <w:rsid w:val="73F932B2"/>
    <w:rsid w:val="756F6432"/>
    <w:rsid w:val="75AF314D"/>
    <w:rsid w:val="75E34CCC"/>
    <w:rsid w:val="772643E8"/>
    <w:rsid w:val="7777BE24"/>
    <w:rsid w:val="77910024"/>
    <w:rsid w:val="77FC0992"/>
    <w:rsid w:val="781D7784"/>
    <w:rsid w:val="79CB3E55"/>
    <w:rsid w:val="79DF06EF"/>
    <w:rsid w:val="7AA81F1A"/>
    <w:rsid w:val="7AEB4CB9"/>
    <w:rsid w:val="7BDB9998"/>
    <w:rsid w:val="7BFDC853"/>
    <w:rsid w:val="7C607C05"/>
    <w:rsid w:val="7CFD2771"/>
    <w:rsid w:val="7D12538F"/>
    <w:rsid w:val="7D5DC2D3"/>
    <w:rsid w:val="7DD03F56"/>
    <w:rsid w:val="7E464B8E"/>
    <w:rsid w:val="7E7F6E8F"/>
    <w:rsid w:val="7EF649F8"/>
    <w:rsid w:val="7F6FD2C4"/>
    <w:rsid w:val="7FAD15B5"/>
    <w:rsid w:val="7FBEE3EC"/>
    <w:rsid w:val="7FBF2B60"/>
    <w:rsid w:val="7FCF630B"/>
    <w:rsid w:val="7FFDC495"/>
    <w:rsid w:val="81FF248D"/>
    <w:rsid w:val="AFEB066F"/>
    <w:rsid w:val="B1FF96C5"/>
    <w:rsid w:val="B2F771EB"/>
    <w:rsid w:val="B77E2134"/>
    <w:rsid w:val="BA7B23C6"/>
    <w:rsid w:val="BB2FF9A6"/>
    <w:rsid w:val="BB7556C8"/>
    <w:rsid w:val="BBCD545F"/>
    <w:rsid w:val="BDDF65AC"/>
    <w:rsid w:val="BDFBAC9B"/>
    <w:rsid w:val="BF6FE3CF"/>
    <w:rsid w:val="BFF749EC"/>
    <w:rsid w:val="BFFCE887"/>
    <w:rsid w:val="CF8F3B2A"/>
    <w:rsid w:val="D16780A1"/>
    <w:rsid w:val="D5F37C4F"/>
    <w:rsid w:val="D72FC309"/>
    <w:rsid w:val="DD7F8C3E"/>
    <w:rsid w:val="DDFDF1AA"/>
    <w:rsid w:val="DEBE5316"/>
    <w:rsid w:val="DF75C77E"/>
    <w:rsid w:val="DFFEBB3B"/>
    <w:rsid w:val="EE5A81E4"/>
    <w:rsid w:val="EEE5C3D0"/>
    <w:rsid w:val="F1FA7822"/>
    <w:rsid w:val="F2AF361D"/>
    <w:rsid w:val="F2BF29CD"/>
    <w:rsid w:val="F32FD333"/>
    <w:rsid w:val="F7F52178"/>
    <w:rsid w:val="F7FF78AC"/>
    <w:rsid w:val="F7FFF177"/>
    <w:rsid w:val="F87F7708"/>
    <w:rsid w:val="F99B29D6"/>
    <w:rsid w:val="FBDBE999"/>
    <w:rsid w:val="FCF98240"/>
    <w:rsid w:val="FD672B1D"/>
    <w:rsid w:val="FDD7DDF1"/>
    <w:rsid w:val="FDF79DC1"/>
    <w:rsid w:val="FDF7A0ED"/>
    <w:rsid w:val="FEBF3771"/>
    <w:rsid w:val="FEE7A739"/>
    <w:rsid w:val="FF3FD4C6"/>
    <w:rsid w:val="FF5BE87C"/>
    <w:rsid w:val="FF7D8C1E"/>
    <w:rsid w:val="FF7FA0DC"/>
    <w:rsid w:val="FFA87568"/>
    <w:rsid w:val="FFFC3D77"/>
    <w:rsid w:val="FFFD1A2B"/>
    <w:rsid w:val="FFFDB9DD"/>
    <w:rsid w:val="FFFF07C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Body Text Indent"/>
    <w:basedOn w:val="1"/>
    <w:qFormat/>
    <w:uiPriority w:val="0"/>
    <w:pPr>
      <w:ind w:firstLine="547" w:firstLineChars="228"/>
    </w:pPr>
    <w:rPr>
      <w:rFonts w:hint="eastAsia" w:ascii="仿宋_GB2312" w:eastAsia="仿宋_GB2312"/>
      <w:sz w:val="24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7">
    <w:name w:val="Body Text First Indent"/>
    <w:basedOn w:val="2"/>
    <w:qFormat/>
    <w:uiPriority w:val="0"/>
    <w:pPr>
      <w:ind w:firstLine="420" w:firstLineChars="100"/>
    </w:pPr>
  </w:style>
  <w:style w:type="paragraph" w:styleId="8">
    <w:name w:val="Body Text First Indent 2"/>
    <w:basedOn w:val="3"/>
    <w:qFormat/>
    <w:uiPriority w:val="99"/>
    <w:pPr>
      <w:ind w:firstLine="420" w:firstLineChars="200"/>
    </w:pPr>
  </w:style>
  <w:style w:type="character" w:customStyle="1" w:styleId="11">
    <w:name w:val="页脚 Char"/>
    <w:link w:val="4"/>
    <w:qFormat/>
    <w:uiPriority w:val="0"/>
    <w:rPr>
      <w:kern w:val="2"/>
      <w:sz w:val="18"/>
      <w:szCs w:val="18"/>
    </w:rPr>
  </w:style>
  <w:style w:type="character" w:customStyle="1" w:styleId="12">
    <w:name w:val="页眉 Char"/>
    <w:link w:val="5"/>
    <w:qFormat/>
    <w:uiPriority w:val="0"/>
    <w:rPr>
      <w:kern w:val="2"/>
      <w:sz w:val="18"/>
      <w:szCs w:val="18"/>
    </w:rPr>
  </w:style>
  <w:style w:type="character" w:customStyle="1" w:styleId="13">
    <w:name w:val="l-btn-left2"/>
    <w:basedOn w:val="10"/>
    <w:qFormat/>
    <w:uiPriority w:val="0"/>
  </w:style>
  <w:style w:type="character" w:customStyle="1" w:styleId="14">
    <w:name w:val="l-btn-left3"/>
    <w:basedOn w:val="10"/>
    <w:qFormat/>
    <w:uiPriority w:val="0"/>
  </w:style>
  <w:style w:type="character" w:customStyle="1" w:styleId="15">
    <w:name w:val="l-btn-left1"/>
    <w:qFormat/>
    <w:uiPriority w:val="0"/>
  </w:style>
  <w:style w:type="character" w:customStyle="1" w:styleId="16">
    <w:name w:val="l-btn-empty"/>
    <w:qFormat/>
    <w:uiPriority w:val="0"/>
  </w:style>
  <w:style w:type="character" w:customStyle="1" w:styleId="17">
    <w:name w:val="l-btn-left"/>
    <w:qFormat/>
    <w:uiPriority w:val="0"/>
  </w:style>
  <w:style w:type="character" w:customStyle="1" w:styleId="18">
    <w:name w:val="l-btn-text"/>
    <w:qFormat/>
    <w:uiPriority w:val="0"/>
  </w:style>
  <w:style w:type="paragraph" w:styleId="19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20">
    <w:name w:val="Char"/>
    <w:basedOn w:val="1"/>
    <w:next w:val="2"/>
    <w:qFormat/>
    <w:uiPriority w:val="0"/>
    <w:pPr>
      <w:snapToGrid w:val="0"/>
      <w:spacing w:line="440" w:lineRule="exact"/>
      <w:ind w:firstLine="20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微软用户</Company>
  <Pages>1</Pages>
  <Words>51</Words>
  <Characters>297</Characters>
  <Lines>2</Lines>
  <Paragraphs>1</Paragraphs>
  <TotalTime>22</TotalTime>
  <ScaleCrop>false</ScaleCrop>
  <LinksUpToDate>false</LinksUpToDate>
  <CharactersWithSpaces>347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2017-04-12T17:20:00Z</dcterms:created>
  <dc:creator>陈凯</dc:creator>
  <cp:lastModifiedBy>cj_hyx</cp:lastModifiedBy>
  <cp:lastPrinted>2024-12-01T01:36:00Z</cp:lastPrinted>
  <dcterms:modified xsi:type="dcterms:W3CDTF">2024-12-31T17:43:07Z</dcterms:modified>
  <dc:title>附件：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7A304C017F5DC441B9897367A59F81AE</vt:lpwstr>
  </property>
</Properties>
</file>