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968B8">
      <w:pPr>
        <w:adjustRightInd w:val="0"/>
        <w:snapToGrid w:val="0"/>
        <w:spacing w:line="360" w:lineRule="auto"/>
        <w:jc w:val="left"/>
        <w:rPr>
          <w:rFonts w:ascii="宋体" w:hAnsi="宋体" w:eastAsia="宋体" w:cs="宋体"/>
          <w:b/>
          <w:bCs/>
          <w:color w:val="auto"/>
          <w:kern w:val="0"/>
          <w:highlight w:val="none"/>
        </w:rPr>
      </w:pPr>
      <w:r>
        <w:rPr>
          <w:rFonts w:hint="eastAsia" w:ascii="宋体" w:hAnsi="宋体" w:eastAsia="宋体" w:cs="宋体"/>
          <w:b/>
          <w:bCs/>
          <w:color w:val="auto"/>
          <w:kern w:val="0"/>
          <w:highlight w:val="none"/>
        </w:rPr>
        <w:t>版本号：202</w:t>
      </w:r>
      <w:r>
        <w:rPr>
          <w:rFonts w:hint="eastAsia" w:ascii="宋体" w:hAnsi="宋体" w:eastAsia="宋体" w:cs="宋体"/>
          <w:b/>
          <w:bCs/>
          <w:color w:val="auto"/>
          <w:kern w:val="0"/>
          <w:highlight w:val="none"/>
          <w:lang w:val="en-US" w:eastAsia="zh-CN"/>
        </w:rPr>
        <w:t>4</w:t>
      </w:r>
      <w:r>
        <w:rPr>
          <w:rFonts w:hint="eastAsia" w:ascii="宋体" w:hAnsi="宋体" w:eastAsia="宋体" w:cs="宋体"/>
          <w:b/>
          <w:bCs/>
          <w:color w:val="auto"/>
          <w:kern w:val="0"/>
          <w:highlight w:val="none"/>
        </w:rPr>
        <w:t>年1</w:t>
      </w:r>
      <w:r>
        <w:rPr>
          <w:rFonts w:hint="eastAsia" w:ascii="宋体" w:hAnsi="宋体" w:eastAsia="宋体" w:cs="宋体"/>
          <w:b/>
          <w:bCs/>
          <w:color w:val="auto"/>
          <w:kern w:val="0"/>
          <w:highlight w:val="none"/>
          <w:lang w:val="en-US" w:eastAsia="zh-CN"/>
        </w:rPr>
        <w:t>1</w:t>
      </w:r>
      <w:r>
        <w:rPr>
          <w:rFonts w:hint="eastAsia" w:ascii="宋体" w:hAnsi="宋体" w:eastAsia="宋体" w:cs="宋体"/>
          <w:b/>
          <w:bCs/>
          <w:color w:val="auto"/>
          <w:kern w:val="0"/>
          <w:highlight w:val="none"/>
        </w:rPr>
        <w:t>月版</w:t>
      </w:r>
    </w:p>
    <w:p w14:paraId="2BCFFB7D">
      <w:pPr>
        <w:adjustRightInd w:val="0"/>
        <w:snapToGrid w:val="0"/>
        <w:spacing w:line="360" w:lineRule="auto"/>
        <w:jc w:val="left"/>
        <w:rPr>
          <w:rFonts w:ascii="宋体" w:hAnsi="宋体" w:eastAsia="宋体" w:cs="宋体"/>
          <w:b/>
          <w:bCs/>
          <w:color w:val="auto"/>
          <w:kern w:val="0"/>
          <w:highlight w:val="none"/>
        </w:rPr>
      </w:pPr>
    </w:p>
    <w:p w14:paraId="1BE1BDFD">
      <w:pPr>
        <w:adjustRightInd w:val="0"/>
        <w:snapToGrid w:val="0"/>
        <w:spacing w:line="360" w:lineRule="auto"/>
        <w:jc w:val="right"/>
        <w:rPr>
          <w:rFonts w:asciiTheme="minorEastAsia" w:hAnsiTheme="minorEastAsia"/>
          <w:b/>
          <w:color w:val="auto"/>
          <w:kern w:val="0"/>
          <w:sz w:val="28"/>
          <w:szCs w:val="28"/>
          <w:highlight w:val="none"/>
        </w:rPr>
      </w:pPr>
      <w:r>
        <w:rPr>
          <w:rFonts w:hint="eastAsia" w:ascii="宋体" w:hAnsi="宋体" w:eastAsia="宋体" w:cs="宋体"/>
          <w:b/>
          <w:color w:val="auto"/>
          <w:kern w:val="0"/>
          <w:sz w:val="28"/>
          <w:szCs w:val="28"/>
          <w:highlight w:val="none"/>
        </w:rPr>
        <w:t>标段编号：</w:t>
      </w:r>
      <w:r>
        <w:rPr>
          <w:rFonts w:hint="eastAsia" w:asciiTheme="minorEastAsia" w:hAnsiTheme="minorEastAsia"/>
          <w:b/>
          <w:color w:val="auto"/>
          <w:kern w:val="0"/>
          <w:sz w:val="28"/>
          <w:szCs w:val="28"/>
          <w:highlight w:val="none"/>
          <w:u w:val="single"/>
        </w:rPr>
        <w:t xml:space="preserve">      </w:t>
      </w:r>
    </w:p>
    <w:p w14:paraId="4929F87C">
      <w:pPr>
        <w:adjustRightInd w:val="0"/>
        <w:snapToGrid w:val="0"/>
        <w:spacing w:line="360" w:lineRule="auto"/>
        <w:jc w:val="center"/>
        <w:rPr>
          <w:rFonts w:ascii="黑体" w:hAnsi="宋体" w:eastAsia="黑体"/>
          <w:b/>
          <w:color w:val="auto"/>
          <w:kern w:val="0"/>
          <w:sz w:val="72"/>
          <w:szCs w:val="72"/>
          <w:highlight w:val="none"/>
        </w:rPr>
      </w:pPr>
    </w:p>
    <w:p w14:paraId="415282D9">
      <w:pPr>
        <w:adjustRightInd w:val="0"/>
        <w:snapToGrid w:val="0"/>
        <w:spacing w:line="360" w:lineRule="auto"/>
        <w:jc w:val="center"/>
        <w:rPr>
          <w:rFonts w:ascii="黑体" w:hAnsi="宋体" w:eastAsia="黑体"/>
          <w:b/>
          <w:color w:val="auto"/>
          <w:kern w:val="0"/>
          <w:sz w:val="72"/>
          <w:szCs w:val="72"/>
          <w:highlight w:val="none"/>
        </w:rPr>
      </w:pPr>
      <w:r>
        <w:rPr>
          <w:rFonts w:hint="eastAsia" w:ascii="黑体" w:hAnsi="宋体" w:eastAsia="黑体"/>
          <w:b/>
          <w:color w:val="auto"/>
          <w:kern w:val="0"/>
          <w:sz w:val="72"/>
          <w:szCs w:val="72"/>
          <w:highlight w:val="none"/>
        </w:rPr>
        <w:t>深圳市建设工程</w:t>
      </w:r>
    </w:p>
    <w:p w14:paraId="455CB2F7">
      <w:pPr>
        <w:adjustRightInd w:val="0"/>
        <w:snapToGrid w:val="0"/>
        <w:spacing w:line="360" w:lineRule="auto"/>
        <w:jc w:val="center"/>
        <w:rPr>
          <w:rFonts w:ascii="黑体" w:hAnsi="宋体" w:eastAsia="黑体"/>
          <w:b/>
          <w:color w:val="auto"/>
          <w:kern w:val="0"/>
          <w:sz w:val="72"/>
          <w:szCs w:val="72"/>
          <w:highlight w:val="none"/>
        </w:rPr>
      </w:pPr>
      <w:r>
        <w:rPr>
          <w:rFonts w:hint="eastAsia" w:ascii="黑体" w:hAnsi="宋体" w:eastAsia="黑体"/>
          <w:b/>
          <w:color w:val="auto"/>
          <w:kern w:val="0"/>
          <w:sz w:val="72"/>
          <w:szCs w:val="72"/>
          <w:highlight w:val="none"/>
        </w:rPr>
        <w:t>设计类招标文件</w:t>
      </w:r>
    </w:p>
    <w:p w14:paraId="78D5AED6">
      <w:pPr>
        <w:adjustRightInd w:val="0"/>
        <w:snapToGrid w:val="0"/>
        <w:spacing w:line="360" w:lineRule="auto"/>
        <w:jc w:val="center"/>
        <w:rPr>
          <w:rFonts w:ascii="黑体" w:hAnsi="宋体" w:eastAsia="黑体"/>
          <w:b/>
          <w:color w:val="auto"/>
          <w:kern w:val="0"/>
          <w:sz w:val="72"/>
          <w:szCs w:val="72"/>
          <w:highlight w:val="none"/>
        </w:rPr>
      </w:pPr>
      <w:r>
        <w:rPr>
          <w:rFonts w:hint="eastAsia" w:ascii="黑体" w:hAnsi="宋体" w:eastAsia="黑体"/>
          <w:b/>
          <w:color w:val="auto"/>
          <w:kern w:val="0"/>
          <w:sz w:val="36"/>
          <w:szCs w:val="36"/>
          <w:highlight w:val="none"/>
        </w:rPr>
        <w:t>（建筑方案设计类除外）</w:t>
      </w:r>
    </w:p>
    <w:p w14:paraId="7614BDD0">
      <w:pPr>
        <w:adjustRightInd w:val="0"/>
        <w:snapToGrid w:val="0"/>
        <w:spacing w:line="360" w:lineRule="auto"/>
        <w:jc w:val="center"/>
        <w:rPr>
          <w:rFonts w:asciiTheme="minorEastAsia" w:hAnsiTheme="minorEastAsia"/>
          <w:b/>
          <w:color w:val="auto"/>
          <w:kern w:val="0"/>
          <w:sz w:val="36"/>
          <w:szCs w:val="36"/>
          <w:highlight w:val="none"/>
        </w:rPr>
      </w:pPr>
    </w:p>
    <w:p w14:paraId="2112D5E5">
      <w:pPr>
        <w:adjustRightInd w:val="0"/>
        <w:snapToGrid w:val="0"/>
        <w:spacing w:line="360" w:lineRule="auto"/>
        <w:jc w:val="center"/>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（示范文本）</w:t>
      </w:r>
    </w:p>
    <w:p w14:paraId="55F701D9">
      <w:pPr>
        <w:adjustRightInd w:val="0"/>
        <w:snapToGrid w:val="0"/>
        <w:spacing w:line="360" w:lineRule="auto"/>
        <w:jc w:val="center"/>
        <w:rPr>
          <w:rFonts w:ascii="宋体" w:hAnsi="宋体" w:eastAsia="宋体" w:cs="宋体"/>
          <w:b/>
          <w:color w:val="auto"/>
          <w:kern w:val="0"/>
          <w:sz w:val="72"/>
          <w:szCs w:val="72"/>
          <w:highlight w:val="none"/>
        </w:rPr>
      </w:pPr>
    </w:p>
    <w:p w14:paraId="3F28F622">
      <w:pPr>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标段名称：</w:t>
      </w:r>
      <w:r>
        <w:rPr>
          <w:rFonts w:hint="eastAsia" w:ascii="宋体" w:hAnsi="宋体" w:eastAsia="宋体" w:cs="宋体"/>
          <w:color w:val="auto"/>
          <w:kern w:val="0"/>
          <w:sz w:val="28"/>
          <w:szCs w:val="28"/>
          <w:highlight w:val="none"/>
          <w:u w:val="single"/>
        </w:rPr>
        <w:t xml:space="preserve">      </w:t>
      </w:r>
    </w:p>
    <w:p w14:paraId="66424E91">
      <w:pPr>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招 标 人：</w:t>
      </w:r>
      <w:r>
        <w:rPr>
          <w:rFonts w:hint="eastAsia" w:ascii="宋体" w:hAnsi="宋体" w:eastAsia="宋体" w:cs="宋体"/>
          <w:color w:val="auto"/>
          <w:kern w:val="0"/>
          <w:sz w:val="28"/>
          <w:szCs w:val="28"/>
          <w:highlight w:val="none"/>
          <w:u w:val="single"/>
        </w:rPr>
        <w:t xml:space="preserve">      </w:t>
      </w:r>
    </w:p>
    <w:p w14:paraId="21C4F010">
      <w:pPr>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法定代表人或其委托代理人：</w:t>
      </w:r>
      <w:r>
        <w:rPr>
          <w:rFonts w:hint="eastAsia" w:ascii="宋体" w:hAnsi="宋体" w:eastAsia="宋体" w:cs="宋体"/>
          <w:color w:val="auto"/>
          <w:kern w:val="0"/>
          <w:sz w:val="28"/>
          <w:szCs w:val="28"/>
          <w:highlight w:val="none"/>
          <w:u w:val="single"/>
        </w:rPr>
        <w:t xml:space="preserve">      </w:t>
      </w:r>
    </w:p>
    <w:p w14:paraId="4B07378C">
      <w:pPr>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招标代理机构：</w:t>
      </w:r>
      <w:r>
        <w:rPr>
          <w:rFonts w:hint="eastAsia" w:ascii="宋体" w:hAnsi="宋体" w:eastAsia="宋体" w:cs="宋体"/>
          <w:color w:val="auto"/>
          <w:kern w:val="0"/>
          <w:sz w:val="28"/>
          <w:szCs w:val="28"/>
          <w:highlight w:val="none"/>
          <w:u w:val="single"/>
        </w:rPr>
        <w:t xml:space="preserve">      </w:t>
      </w:r>
    </w:p>
    <w:p w14:paraId="4DD34951">
      <w:pPr>
        <w:adjustRightInd w:val="0"/>
        <w:snapToGrid w:val="0"/>
        <w:spacing w:line="360" w:lineRule="auto"/>
        <w:ind w:firstLine="560" w:firstLineChars="200"/>
        <w:jc w:val="left"/>
        <w:rPr>
          <w:rFonts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法定代表人或其委托代理人：</w:t>
      </w:r>
      <w:r>
        <w:rPr>
          <w:rFonts w:hint="eastAsia" w:ascii="宋体" w:hAnsi="宋体" w:eastAsia="宋体" w:cs="宋体"/>
          <w:color w:val="auto"/>
          <w:kern w:val="0"/>
          <w:sz w:val="28"/>
          <w:szCs w:val="28"/>
          <w:highlight w:val="none"/>
          <w:u w:val="single"/>
        </w:rPr>
        <w:t xml:space="preserve">      </w:t>
      </w:r>
    </w:p>
    <w:p w14:paraId="3883527C">
      <w:pPr>
        <w:adjustRightInd w:val="0"/>
        <w:snapToGrid w:val="0"/>
        <w:spacing w:line="360" w:lineRule="auto"/>
        <w:ind w:firstLine="560" w:firstLineChars="200"/>
        <w:jc w:val="left"/>
        <w:rPr>
          <w:rFonts w:ascii="宋体" w:hAnsi="宋体"/>
          <w:color w:val="auto"/>
          <w:kern w:val="0"/>
          <w:sz w:val="28"/>
          <w:szCs w:val="28"/>
          <w:highlight w:val="none"/>
          <w:u w:val="single"/>
        </w:rPr>
      </w:pPr>
    </w:p>
    <w:p w14:paraId="38360AB4">
      <w:pPr>
        <w:adjustRightInd w:val="0"/>
        <w:snapToGrid w:val="0"/>
        <w:spacing w:line="360" w:lineRule="auto"/>
        <w:ind w:firstLine="560" w:firstLineChars="200"/>
        <w:jc w:val="left"/>
        <w:rPr>
          <w:rFonts w:ascii="宋体" w:hAnsi="宋体"/>
          <w:color w:val="auto"/>
          <w:kern w:val="0"/>
          <w:sz w:val="28"/>
          <w:szCs w:val="28"/>
          <w:highlight w:val="none"/>
          <w:u w:val="single"/>
        </w:rPr>
      </w:pPr>
    </w:p>
    <w:p w14:paraId="37C30E45">
      <w:pPr>
        <w:adjustRightInd w:val="0"/>
        <w:snapToGrid w:val="0"/>
        <w:spacing w:line="360" w:lineRule="auto"/>
        <w:jc w:val="center"/>
        <w:rPr>
          <w:rFonts w:ascii="宋体" w:hAnsi="宋体" w:eastAsia="宋体" w:cs="宋体"/>
          <w:b/>
          <w:bCs/>
          <w:color w:val="auto"/>
          <w:sz w:val="36"/>
          <w:szCs w:val="36"/>
          <w:highlight w:val="none"/>
        </w:rPr>
      </w:pPr>
    </w:p>
    <w:p w14:paraId="09DEF4D5">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42358BAF">
      <w:pPr>
        <w:adjustRightInd w:val="0"/>
        <w:snapToGrid w:val="0"/>
        <w:spacing w:line="360" w:lineRule="auto"/>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6D703F50">
      <w:pPr>
        <w:pStyle w:val="55"/>
        <w:tabs>
          <w:tab w:val="right" w:leader="dot" w:pos="9638"/>
          <w:tab w:val="clear" w:pos="8949"/>
        </w:tabs>
        <w:ind w:right="0" w:rightChars="0" w:firstLine="0" w:firstLineChars="0"/>
        <w:rPr>
          <w:rFonts w:cs="宋体"/>
          <w:color w:val="auto"/>
          <w:highlight w:val="none"/>
        </w:rPr>
      </w:pPr>
      <w:r>
        <w:rPr>
          <w:rFonts w:hint="eastAsia" w:cs="宋体"/>
          <w:color w:val="auto"/>
          <w:highlight w:val="none"/>
        </w:rPr>
        <w:fldChar w:fldCharType="begin"/>
      </w:r>
      <w:r>
        <w:rPr>
          <w:rFonts w:hint="eastAsia" w:cs="宋体"/>
          <w:color w:val="auto"/>
          <w:highlight w:val="none"/>
        </w:rPr>
        <w:instrText xml:space="preserve">TOC \o "1-3" \h \u </w:instrText>
      </w:r>
      <w:r>
        <w:rPr>
          <w:rFonts w:hint="eastAsia" w:cs="宋体"/>
          <w:color w:val="auto"/>
          <w:highlight w:val="none"/>
        </w:rPr>
        <w:fldChar w:fldCharType="separate"/>
      </w:r>
      <w:r>
        <w:rPr>
          <w:color w:val="auto"/>
          <w:highlight w:val="none"/>
        </w:rPr>
        <w:fldChar w:fldCharType="begin"/>
      </w:r>
      <w:r>
        <w:rPr>
          <w:color w:val="auto"/>
          <w:highlight w:val="none"/>
        </w:rPr>
        <w:instrText xml:space="preserve"> HYPERLINK \l "_Toc17187" </w:instrText>
      </w:r>
      <w:r>
        <w:rPr>
          <w:color w:val="auto"/>
          <w:highlight w:val="none"/>
        </w:rPr>
        <w:fldChar w:fldCharType="separate"/>
      </w:r>
      <w:r>
        <w:rPr>
          <w:rFonts w:hint="eastAsia" w:cs="宋体"/>
          <w:color w:val="auto"/>
          <w:kern w:val="0"/>
          <w:highlight w:val="none"/>
        </w:rPr>
        <w:t>第一章 使用说明</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_Toc17187 </w:instrText>
      </w:r>
      <w:r>
        <w:rPr>
          <w:rFonts w:hint="eastAsia" w:cs="宋体"/>
          <w:color w:val="auto"/>
          <w:highlight w:val="none"/>
        </w:rPr>
        <w:fldChar w:fldCharType="separate"/>
      </w:r>
      <w:r>
        <w:rPr>
          <w:rFonts w:hint="eastAsia" w:cs="宋体"/>
          <w:color w:val="auto"/>
          <w:highlight w:val="none"/>
        </w:rPr>
        <w:t>3</w:t>
      </w:r>
      <w:r>
        <w:rPr>
          <w:rFonts w:hint="eastAsia" w:cs="宋体"/>
          <w:color w:val="auto"/>
          <w:highlight w:val="none"/>
        </w:rPr>
        <w:fldChar w:fldCharType="end"/>
      </w:r>
      <w:r>
        <w:rPr>
          <w:rFonts w:hint="eastAsia" w:cs="宋体"/>
          <w:color w:val="auto"/>
          <w:highlight w:val="none"/>
        </w:rPr>
        <w:fldChar w:fldCharType="end"/>
      </w:r>
    </w:p>
    <w:p w14:paraId="036B7BD0">
      <w:pPr>
        <w:pStyle w:val="55"/>
        <w:tabs>
          <w:tab w:val="right" w:leader="dot" w:pos="9638"/>
          <w:tab w:val="clear" w:pos="8949"/>
        </w:tabs>
        <w:ind w:right="0" w:rightChars="0" w:firstLine="0" w:firstLineChars="0"/>
        <w:rPr>
          <w:rFonts w:cs="宋体"/>
          <w:color w:val="auto"/>
          <w:highlight w:val="none"/>
        </w:rPr>
      </w:pPr>
      <w:r>
        <w:rPr>
          <w:color w:val="auto"/>
          <w:highlight w:val="none"/>
        </w:rPr>
        <w:fldChar w:fldCharType="begin"/>
      </w:r>
      <w:r>
        <w:rPr>
          <w:color w:val="auto"/>
          <w:highlight w:val="none"/>
        </w:rPr>
        <w:instrText xml:space="preserve"> HYPERLINK \l "_Toc5080" </w:instrText>
      </w:r>
      <w:r>
        <w:rPr>
          <w:color w:val="auto"/>
          <w:highlight w:val="none"/>
        </w:rPr>
        <w:fldChar w:fldCharType="separate"/>
      </w:r>
      <w:r>
        <w:rPr>
          <w:rFonts w:hint="eastAsia" w:cs="宋体"/>
          <w:color w:val="auto"/>
          <w:kern w:val="0"/>
          <w:highlight w:val="none"/>
        </w:rPr>
        <w:t>第二章  投标须知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_Toc5080 </w:instrText>
      </w:r>
      <w:r>
        <w:rPr>
          <w:rFonts w:hint="eastAsia" w:cs="宋体"/>
          <w:color w:val="auto"/>
          <w:highlight w:val="none"/>
        </w:rPr>
        <w:fldChar w:fldCharType="separate"/>
      </w:r>
      <w:r>
        <w:rPr>
          <w:rFonts w:hint="eastAsia" w:cs="宋体"/>
          <w:color w:val="auto"/>
          <w:highlight w:val="none"/>
        </w:rPr>
        <w:t>7</w:t>
      </w:r>
      <w:r>
        <w:rPr>
          <w:rFonts w:hint="eastAsia" w:cs="宋体"/>
          <w:color w:val="auto"/>
          <w:highlight w:val="none"/>
        </w:rPr>
        <w:fldChar w:fldCharType="end"/>
      </w:r>
      <w:r>
        <w:rPr>
          <w:rFonts w:hint="eastAsia" w:cs="宋体"/>
          <w:color w:val="auto"/>
          <w:highlight w:val="none"/>
        </w:rPr>
        <w:fldChar w:fldCharType="end"/>
      </w:r>
    </w:p>
    <w:p w14:paraId="649D7E79">
      <w:pPr>
        <w:pStyle w:val="68"/>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"_Toc8591" </w:instrText>
      </w:r>
      <w:r>
        <w:rPr>
          <w:color w:val="auto"/>
          <w:highlight w:val="none"/>
        </w:rPr>
        <w:fldChar w:fldCharType="separate"/>
      </w:r>
      <w:r>
        <w:rPr>
          <w:rFonts w:hint="eastAsia" w:cs="宋体"/>
          <w:b w:val="0"/>
          <w:bCs/>
          <w:color w:val="auto"/>
          <w:kern w:val="0"/>
          <w:highlight w:val="none"/>
        </w:rPr>
        <w:t>一、 投标须知前附表</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_Toc8591 </w:instrText>
      </w:r>
      <w:r>
        <w:rPr>
          <w:rFonts w:hint="eastAsia" w:cs="宋体"/>
          <w:b w:val="0"/>
          <w:bCs/>
          <w:color w:val="auto"/>
          <w:highlight w:val="none"/>
        </w:rPr>
        <w:fldChar w:fldCharType="separate"/>
      </w:r>
      <w:r>
        <w:rPr>
          <w:rFonts w:hint="eastAsia" w:cs="宋体"/>
          <w:b w:val="0"/>
          <w:bCs/>
          <w:color w:val="auto"/>
          <w:highlight w:val="none"/>
        </w:rPr>
        <w:t>7</w:t>
      </w:r>
      <w:r>
        <w:rPr>
          <w:rFonts w:hint="eastAsia" w:cs="宋体"/>
          <w:b w:val="0"/>
          <w:bCs/>
          <w:color w:val="auto"/>
          <w:highlight w:val="none"/>
        </w:rPr>
        <w:fldChar w:fldCharType="end"/>
      </w:r>
      <w:r>
        <w:rPr>
          <w:rFonts w:hint="eastAsia" w:cs="宋体"/>
          <w:b w:val="0"/>
          <w:bCs/>
          <w:color w:val="auto"/>
          <w:highlight w:val="none"/>
        </w:rPr>
        <w:fldChar w:fldCharType="end"/>
      </w:r>
    </w:p>
    <w:p w14:paraId="581AD0BA">
      <w:pPr>
        <w:pStyle w:val="40"/>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"_Toc19411" </w:instrText>
      </w:r>
      <w:r>
        <w:rPr>
          <w:color w:val="auto"/>
          <w:highlight w:val="none"/>
        </w:rPr>
        <w:fldChar w:fldCharType="separate"/>
      </w:r>
      <w:r>
        <w:rPr>
          <w:rFonts w:hint="eastAsia" w:cs="宋体"/>
          <w:b w:val="0"/>
          <w:bCs/>
          <w:color w:val="auto"/>
          <w:kern w:val="0"/>
          <w:highlight w:val="none"/>
        </w:rPr>
        <w:t>（一）招标项目基本情况</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_Toc19411 </w:instrText>
      </w:r>
      <w:r>
        <w:rPr>
          <w:rFonts w:hint="eastAsia" w:cs="宋体"/>
          <w:b w:val="0"/>
          <w:bCs/>
          <w:color w:val="auto"/>
          <w:highlight w:val="none"/>
        </w:rPr>
        <w:fldChar w:fldCharType="separate"/>
      </w:r>
      <w:r>
        <w:rPr>
          <w:rFonts w:hint="eastAsia" w:cs="宋体"/>
          <w:b w:val="0"/>
          <w:bCs/>
          <w:color w:val="auto"/>
          <w:highlight w:val="none"/>
        </w:rPr>
        <w:t>7</w:t>
      </w:r>
      <w:r>
        <w:rPr>
          <w:rFonts w:hint="eastAsia" w:cs="宋体"/>
          <w:b w:val="0"/>
          <w:bCs/>
          <w:color w:val="auto"/>
          <w:highlight w:val="none"/>
        </w:rPr>
        <w:fldChar w:fldCharType="end"/>
      </w:r>
      <w:r>
        <w:rPr>
          <w:rFonts w:hint="eastAsia" w:cs="宋体"/>
          <w:b w:val="0"/>
          <w:bCs/>
          <w:color w:val="auto"/>
          <w:highlight w:val="none"/>
        </w:rPr>
        <w:fldChar w:fldCharType="end"/>
      </w:r>
    </w:p>
    <w:p w14:paraId="4287E61B">
      <w:pPr>
        <w:pStyle w:val="40"/>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"_Toc6655" </w:instrText>
      </w:r>
      <w:r>
        <w:rPr>
          <w:color w:val="auto"/>
          <w:highlight w:val="none"/>
        </w:rPr>
        <w:fldChar w:fldCharType="separate"/>
      </w:r>
      <w:r>
        <w:rPr>
          <w:rFonts w:hint="eastAsia" w:cs="宋体"/>
          <w:b w:val="0"/>
          <w:bCs/>
          <w:color w:val="auto"/>
          <w:kern w:val="0"/>
          <w:highlight w:val="none"/>
        </w:rPr>
        <w:t>（二）投标文件编制成果及要求</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_Toc6655 </w:instrText>
      </w:r>
      <w:r>
        <w:rPr>
          <w:rFonts w:hint="eastAsia" w:cs="宋体"/>
          <w:b w:val="0"/>
          <w:bCs/>
          <w:color w:val="auto"/>
          <w:highlight w:val="none"/>
        </w:rPr>
        <w:fldChar w:fldCharType="separate"/>
      </w:r>
      <w:r>
        <w:rPr>
          <w:rFonts w:hint="eastAsia" w:cs="宋体"/>
          <w:b w:val="0"/>
          <w:bCs/>
          <w:color w:val="auto"/>
          <w:highlight w:val="none"/>
        </w:rPr>
        <w:t>11</w:t>
      </w:r>
      <w:r>
        <w:rPr>
          <w:rFonts w:hint="eastAsia" w:cs="宋体"/>
          <w:b w:val="0"/>
          <w:bCs/>
          <w:color w:val="auto"/>
          <w:highlight w:val="none"/>
        </w:rPr>
        <w:fldChar w:fldCharType="end"/>
      </w:r>
      <w:r>
        <w:rPr>
          <w:rFonts w:hint="eastAsia" w:cs="宋体"/>
          <w:b w:val="0"/>
          <w:bCs/>
          <w:color w:val="auto"/>
          <w:highlight w:val="none"/>
        </w:rPr>
        <w:fldChar w:fldCharType="end"/>
      </w:r>
    </w:p>
    <w:p w14:paraId="15AB4138">
      <w:pPr>
        <w:pStyle w:val="40"/>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"_Toc13058" </w:instrText>
      </w:r>
      <w:r>
        <w:rPr>
          <w:color w:val="auto"/>
          <w:highlight w:val="none"/>
        </w:rPr>
        <w:fldChar w:fldCharType="separate"/>
      </w:r>
      <w:r>
        <w:rPr>
          <w:rFonts w:hint="eastAsia" w:cs="宋体"/>
          <w:b w:val="0"/>
          <w:bCs/>
          <w:color w:val="auto"/>
          <w:kern w:val="0"/>
          <w:highlight w:val="none"/>
        </w:rPr>
        <w:t>（三）招标投标分段限时投诉的规定</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_Toc13058 </w:instrText>
      </w:r>
      <w:r>
        <w:rPr>
          <w:rFonts w:hint="eastAsia" w:cs="宋体"/>
          <w:b w:val="0"/>
          <w:bCs/>
          <w:color w:val="auto"/>
          <w:highlight w:val="none"/>
        </w:rPr>
        <w:fldChar w:fldCharType="separate"/>
      </w:r>
      <w:r>
        <w:rPr>
          <w:rFonts w:hint="eastAsia" w:cs="宋体"/>
          <w:b w:val="0"/>
          <w:bCs/>
          <w:color w:val="auto"/>
          <w:highlight w:val="none"/>
        </w:rPr>
        <w:t>14</w:t>
      </w:r>
      <w:r>
        <w:rPr>
          <w:rFonts w:hint="eastAsia" w:cs="宋体"/>
          <w:b w:val="0"/>
          <w:bCs/>
          <w:color w:val="auto"/>
          <w:highlight w:val="none"/>
        </w:rPr>
        <w:fldChar w:fldCharType="end"/>
      </w:r>
      <w:r>
        <w:rPr>
          <w:rFonts w:hint="eastAsia" w:cs="宋体"/>
          <w:b w:val="0"/>
          <w:bCs/>
          <w:color w:val="auto"/>
          <w:highlight w:val="none"/>
        </w:rPr>
        <w:fldChar w:fldCharType="end"/>
      </w:r>
    </w:p>
    <w:p w14:paraId="164F943F">
      <w:pPr>
        <w:pStyle w:val="68"/>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"_Toc24081" </w:instrText>
      </w:r>
      <w:r>
        <w:rPr>
          <w:color w:val="auto"/>
          <w:highlight w:val="none"/>
        </w:rPr>
        <w:fldChar w:fldCharType="separate"/>
      </w:r>
      <w:r>
        <w:rPr>
          <w:rFonts w:hint="eastAsia" w:cs="宋体"/>
          <w:b w:val="0"/>
          <w:bCs/>
          <w:color w:val="auto"/>
          <w:kern w:val="0"/>
          <w:highlight w:val="none"/>
        </w:rPr>
        <w:t>二、投标文件否决性条款</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_Toc24081 </w:instrText>
      </w:r>
      <w:r>
        <w:rPr>
          <w:rFonts w:hint="eastAsia" w:cs="宋体"/>
          <w:b w:val="0"/>
          <w:bCs/>
          <w:color w:val="auto"/>
          <w:highlight w:val="none"/>
        </w:rPr>
        <w:fldChar w:fldCharType="separate"/>
      </w:r>
      <w:r>
        <w:rPr>
          <w:rFonts w:hint="eastAsia" w:cs="宋体"/>
          <w:b w:val="0"/>
          <w:bCs/>
          <w:color w:val="auto"/>
          <w:highlight w:val="none"/>
        </w:rPr>
        <w:t>15</w:t>
      </w:r>
      <w:r>
        <w:rPr>
          <w:rFonts w:hint="eastAsia" w:cs="宋体"/>
          <w:b w:val="0"/>
          <w:bCs/>
          <w:color w:val="auto"/>
          <w:highlight w:val="none"/>
        </w:rPr>
        <w:fldChar w:fldCharType="end"/>
      </w:r>
      <w:r>
        <w:rPr>
          <w:rFonts w:hint="eastAsia" w:cs="宋体"/>
          <w:b w:val="0"/>
          <w:bCs/>
          <w:color w:val="auto"/>
          <w:highlight w:val="none"/>
        </w:rPr>
        <w:fldChar w:fldCharType="end"/>
      </w:r>
    </w:p>
    <w:p w14:paraId="4F7B2588">
      <w:pPr>
        <w:pStyle w:val="68"/>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"_Toc14481" </w:instrText>
      </w:r>
      <w:r>
        <w:rPr>
          <w:color w:val="auto"/>
          <w:highlight w:val="none"/>
        </w:rPr>
        <w:fldChar w:fldCharType="separate"/>
      </w:r>
      <w:r>
        <w:rPr>
          <w:rFonts w:hint="eastAsia" w:cs="宋体"/>
          <w:b w:val="0"/>
          <w:bCs/>
          <w:color w:val="auto"/>
          <w:kern w:val="0"/>
          <w:highlight w:val="none"/>
        </w:rPr>
        <w:t>三、招投标须知正文</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_Toc14481 </w:instrText>
      </w:r>
      <w:r>
        <w:rPr>
          <w:rFonts w:hint="eastAsia" w:cs="宋体"/>
          <w:b w:val="0"/>
          <w:bCs/>
          <w:color w:val="auto"/>
          <w:highlight w:val="none"/>
        </w:rPr>
        <w:fldChar w:fldCharType="separate"/>
      </w:r>
      <w:r>
        <w:rPr>
          <w:rFonts w:hint="eastAsia" w:cs="宋体"/>
          <w:b w:val="0"/>
          <w:bCs/>
          <w:color w:val="auto"/>
          <w:highlight w:val="none"/>
        </w:rPr>
        <w:t>17</w:t>
      </w:r>
      <w:r>
        <w:rPr>
          <w:rFonts w:hint="eastAsia" w:cs="宋体"/>
          <w:b w:val="0"/>
          <w:bCs/>
          <w:color w:val="auto"/>
          <w:highlight w:val="none"/>
        </w:rPr>
        <w:fldChar w:fldCharType="end"/>
      </w:r>
      <w:r>
        <w:rPr>
          <w:rFonts w:hint="eastAsia" w:cs="宋体"/>
          <w:b w:val="0"/>
          <w:bCs/>
          <w:color w:val="auto"/>
          <w:highlight w:val="none"/>
        </w:rPr>
        <w:fldChar w:fldCharType="end"/>
      </w:r>
    </w:p>
    <w:p w14:paraId="656BDD5D">
      <w:pPr>
        <w:pStyle w:val="40"/>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"_Toc7229" </w:instrText>
      </w:r>
      <w:r>
        <w:rPr>
          <w:color w:val="auto"/>
          <w:highlight w:val="none"/>
        </w:rPr>
        <w:fldChar w:fldCharType="separate"/>
      </w:r>
      <w:r>
        <w:rPr>
          <w:rFonts w:hint="eastAsia" w:cs="宋体"/>
          <w:b w:val="0"/>
          <w:bCs/>
          <w:color w:val="auto"/>
          <w:kern w:val="0"/>
          <w:highlight w:val="none"/>
        </w:rPr>
        <w:t>（一）招标</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_Toc7229 </w:instrText>
      </w:r>
      <w:r>
        <w:rPr>
          <w:rFonts w:hint="eastAsia" w:cs="宋体"/>
          <w:b w:val="0"/>
          <w:bCs/>
          <w:color w:val="auto"/>
          <w:highlight w:val="none"/>
        </w:rPr>
        <w:fldChar w:fldCharType="separate"/>
      </w:r>
      <w:r>
        <w:rPr>
          <w:rFonts w:hint="eastAsia" w:cs="宋体"/>
          <w:b w:val="0"/>
          <w:bCs/>
          <w:color w:val="auto"/>
          <w:highlight w:val="none"/>
        </w:rPr>
        <w:t>17</w:t>
      </w:r>
      <w:r>
        <w:rPr>
          <w:rFonts w:hint="eastAsia" w:cs="宋体"/>
          <w:b w:val="0"/>
          <w:bCs/>
          <w:color w:val="auto"/>
          <w:highlight w:val="none"/>
        </w:rPr>
        <w:fldChar w:fldCharType="end"/>
      </w:r>
      <w:r>
        <w:rPr>
          <w:rFonts w:hint="eastAsia" w:cs="宋体"/>
          <w:b w:val="0"/>
          <w:bCs/>
          <w:color w:val="auto"/>
          <w:highlight w:val="none"/>
        </w:rPr>
        <w:fldChar w:fldCharType="end"/>
      </w:r>
    </w:p>
    <w:p w14:paraId="53869484">
      <w:pPr>
        <w:pStyle w:val="40"/>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"_Toc17700" </w:instrText>
      </w:r>
      <w:r>
        <w:rPr>
          <w:color w:val="auto"/>
          <w:highlight w:val="none"/>
        </w:rPr>
        <w:fldChar w:fldCharType="separate"/>
      </w:r>
      <w:r>
        <w:rPr>
          <w:rFonts w:hint="eastAsia" w:cs="宋体"/>
          <w:b w:val="0"/>
          <w:bCs/>
          <w:color w:val="auto"/>
          <w:kern w:val="0"/>
          <w:highlight w:val="none"/>
        </w:rPr>
        <w:t>（二）投标</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_Toc17700 </w:instrText>
      </w:r>
      <w:r>
        <w:rPr>
          <w:rFonts w:hint="eastAsia" w:cs="宋体"/>
          <w:b w:val="0"/>
          <w:bCs/>
          <w:color w:val="auto"/>
          <w:highlight w:val="none"/>
        </w:rPr>
        <w:fldChar w:fldCharType="separate"/>
      </w:r>
      <w:r>
        <w:rPr>
          <w:rFonts w:hint="eastAsia" w:cs="宋体"/>
          <w:b w:val="0"/>
          <w:bCs/>
          <w:color w:val="auto"/>
          <w:highlight w:val="none"/>
        </w:rPr>
        <w:t>17</w:t>
      </w:r>
      <w:r>
        <w:rPr>
          <w:rFonts w:hint="eastAsia" w:cs="宋体"/>
          <w:b w:val="0"/>
          <w:bCs/>
          <w:color w:val="auto"/>
          <w:highlight w:val="none"/>
        </w:rPr>
        <w:fldChar w:fldCharType="end"/>
      </w:r>
      <w:r>
        <w:rPr>
          <w:rFonts w:hint="eastAsia" w:cs="宋体"/>
          <w:b w:val="0"/>
          <w:bCs/>
          <w:color w:val="auto"/>
          <w:highlight w:val="none"/>
        </w:rPr>
        <w:fldChar w:fldCharType="end"/>
      </w:r>
    </w:p>
    <w:p w14:paraId="1A8C17BA">
      <w:pPr>
        <w:pStyle w:val="40"/>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"_Toc1632" </w:instrText>
      </w:r>
      <w:r>
        <w:rPr>
          <w:color w:val="auto"/>
          <w:highlight w:val="none"/>
        </w:rPr>
        <w:fldChar w:fldCharType="separate"/>
      </w:r>
      <w:r>
        <w:rPr>
          <w:rFonts w:hint="eastAsia" w:cs="宋体"/>
          <w:b w:val="0"/>
          <w:bCs/>
          <w:color w:val="auto"/>
          <w:kern w:val="0"/>
          <w:highlight w:val="none"/>
        </w:rPr>
        <w:t>（三）资格后审</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_Toc1632 </w:instrText>
      </w:r>
      <w:r>
        <w:rPr>
          <w:rFonts w:hint="eastAsia" w:cs="宋体"/>
          <w:b w:val="0"/>
          <w:bCs/>
          <w:color w:val="auto"/>
          <w:highlight w:val="none"/>
        </w:rPr>
        <w:fldChar w:fldCharType="separate"/>
      </w:r>
      <w:r>
        <w:rPr>
          <w:rFonts w:hint="eastAsia" w:cs="宋体"/>
          <w:b w:val="0"/>
          <w:bCs/>
          <w:color w:val="auto"/>
          <w:highlight w:val="none"/>
        </w:rPr>
        <w:t>20</w:t>
      </w:r>
      <w:r>
        <w:rPr>
          <w:rFonts w:hint="eastAsia" w:cs="宋体"/>
          <w:b w:val="0"/>
          <w:bCs/>
          <w:color w:val="auto"/>
          <w:highlight w:val="none"/>
        </w:rPr>
        <w:fldChar w:fldCharType="end"/>
      </w:r>
      <w:r>
        <w:rPr>
          <w:rFonts w:hint="eastAsia" w:cs="宋体"/>
          <w:b w:val="0"/>
          <w:bCs/>
          <w:color w:val="auto"/>
          <w:highlight w:val="none"/>
        </w:rPr>
        <w:fldChar w:fldCharType="end"/>
      </w:r>
    </w:p>
    <w:p w14:paraId="674078A7">
      <w:pPr>
        <w:pStyle w:val="40"/>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"_Toc10182" </w:instrText>
      </w:r>
      <w:r>
        <w:rPr>
          <w:color w:val="auto"/>
          <w:highlight w:val="none"/>
        </w:rPr>
        <w:fldChar w:fldCharType="separate"/>
      </w:r>
      <w:r>
        <w:rPr>
          <w:rFonts w:hint="eastAsia" w:cs="宋体"/>
          <w:b w:val="0"/>
          <w:bCs/>
          <w:color w:val="auto"/>
          <w:kern w:val="0"/>
          <w:highlight w:val="none"/>
        </w:rPr>
        <w:t>（四）开标</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_Toc10182 </w:instrText>
      </w:r>
      <w:r>
        <w:rPr>
          <w:rFonts w:hint="eastAsia" w:cs="宋体"/>
          <w:b w:val="0"/>
          <w:bCs/>
          <w:color w:val="auto"/>
          <w:highlight w:val="none"/>
        </w:rPr>
        <w:fldChar w:fldCharType="separate"/>
      </w:r>
      <w:r>
        <w:rPr>
          <w:rFonts w:hint="eastAsia" w:cs="宋体"/>
          <w:b w:val="0"/>
          <w:bCs/>
          <w:color w:val="auto"/>
          <w:highlight w:val="none"/>
        </w:rPr>
        <w:t>20</w:t>
      </w:r>
      <w:r>
        <w:rPr>
          <w:rFonts w:hint="eastAsia" w:cs="宋体"/>
          <w:b w:val="0"/>
          <w:bCs/>
          <w:color w:val="auto"/>
          <w:highlight w:val="none"/>
        </w:rPr>
        <w:fldChar w:fldCharType="end"/>
      </w:r>
      <w:r>
        <w:rPr>
          <w:rFonts w:hint="eastAsia" w:cs="宋体"/>
          <w:b w:val="0"/>
          <w:bCs/>
          <w:color w:val="auto"/>
          <w:highlight w:val="none"/>
        </w:rPr>
        <w:fldChar w:fldCharType="end"/>
      </w:r>
    </w:p>
    <w:p w14:paraId="4641BC4F">
      <w:pPr>
        <w:pStyle w:val="40"/>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"_Toc2418" </w:instrText>
      </w:r>
      <w:r>
        <w:rPr>
          <w:color w:val="auto"/>
          <w:highlight w:val="none"/>
        </w:rPr>
        <w:fldChar w:fldCharType="separate"/>
      </w:r>
      <w:r>
        <w:rPr>
          <w:rFonts w:hint="eastAsia" w:cs="宋体"/>
          <w:b w:val="0"/>
          <w:bCs/>
          <w:color w:val="auto"/>
          <w:kern w:val="0"/>
          <w:highlight w:val="none"/>
        </w:rPr>
        <w:t>（五）评标</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_Toc2418 </w:instrText>
      </w:r>
      <w:r>
        <w:rPr>
          <w:rFonts w:hint="eastAsia" w:cs="宋体"/>
          <w:b w:val="0"/>
          <w:bCs/>
          <w:color w:val="auto"/>
          <w:highlight w:val="none"/>
        </w:rPr>
        <w:fldChar w:fldCharType="separate"/>
      </w:r>
      <w:r>
        <w:rPr>
          <w:rFonts w:hint="eastAsia" w:cs="宋体"/>
          <w:b w:val="0"/>
          <w:bCs/>
          <w:color w:val="auto"/>
          <w:highlight w:val="none"/>
        </w:rPr>
        <w:t>21</w:t>
      </w:r>
      <w:r>
        <w:rPr>
          <w:rFonts w:hint="eastAsia" w:cs="宋体"/>
          <w:b w:val="0"/>
          <w:bCs/>
          <w:color w:val="auto"/>
          <w:highlight w:val="none"/>
        </w:rPr>
        <w:fldChar w:fldCharType="end"/>
      </w:r>
      <w:r>
        <w:rPr>
          <w:rFonts w:hint="eastAsia" w:cs="宋体"/>
          <w:b w:val="0"/>
          <w:bCs/>
          <w:color w:val="auto"/>
          <w:highlight w:val="none"/>
        </w:rPr>
        <w:fldChar w:fldCharType="end"/>
      </w:r>
    </w:p>
    <w:p w14:paraId="2E221B96">
      <w:pPr>
        <w:pStyle w:val="40"/>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"_Toc29510" </w:instrText>
      </w:r>
      <w:r>
        <w:rPr>
          <w:color w:val="auto"/>
          <w:highlight w:val="none"/>
        </w:rPr>
        <w:fldChar w:fldCharType="separate"/>
      </w:r>
      <w:r>
        <w:rPr>
          <w:rFonts w:hint="eastAsia" w:cs="宋体"/>
          <w:b w:val="0"/>
          <w:bCs/>
          <w:color w:val="auto"/>
          <w:kern w:val="0"/>
          <w:highlight w:val="none"/>
        </w:rPr>
        <w:t>（六）定标</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_Toc29510 </w:instrText>
      </w:r>
      <w:r>
        <w:rPr>
          <w:rFonts w:hint="eastAsia" w:cs="宋体"/>
          <w:b w:val="0"/>
          <w:bCs/>
          <w:color w:val="auto"/>
          <w:highlight w:val="none"/>
        </w:rPr>
        <w:fldChar w:fldCharType="separate"/>
      </w:r>
      <w:r>
        <w:rPr>
          <w:rFonts w:hint="eastAsia" w:cs="宋体"/>
          <w:b w:val="0"/>
          <w:bCs/>
          <w:color w:val="auto"/>
          <w:highlight w:val="none"/>
        </w:rPr>
        <w:t>24</w:t>
      </w:r>
      <w:r>
        <w:rPr>
          <w:rFonts w:hint="eastAsia" w:cs="宋体"/>
          <w:b w:val="0"/>
          <w:bCs/>
          <w:color w:val="auto"/>
          <w:highlight w:val="none"/>
        </w:rPr>
        <w:fldChar w:fldCharType="end"/>
      </w:r>
      <w:r>
        <w:rPr>
          <w:rFonts w:hint="eastAsia" w:cs="宋体"/>
          <w:b w:val="0"/>
          <w:bCs/>
          <w:color w:val="auto"/>
          <w:highlight w:val="none"/>
        </w:rPr>
        <w:fldChar w:fldCharType="end"/>
      </w:r>
    </w:p>
    <w:p w14:paraId="6758CC6C">
      <w:pPr>
        <w:pStyle w:val="40"/>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"_Toc10227" </w:instrText>
      </w:r>
      <w:r>
        <w:rPr>
          <w:color w:val="auto"/>
          <w:highlight w:val="none"/>
        </w:rPr>
        <w:fldChar w:fldCharType="separate"/>
      </w:r>
      <w:r>
        <w:rPr>
          <w:rFonts w:hint="eastAsia" w:cs="宋体"/>
          <w:b w:val="0"/>
          <w:bCs/>
          <w:color w:val="auto"/>
          <w:kern w:val="0"/>
          <w:highlight w:val="none"/>
        </w:rPr>
        <w:t>（七）中标通知书</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_Toc10227 </w:instrText>
      </w:r>
      <w:r>
        <w:rPr>
          <w:rFonts w:hint="eastAsia" w:cs="宋体"/>
          <w:b w:val="0"/>
          <w:bCs/>
          <w:color w:val="auto"/>
          <w:highlight w:val="none"/>
        </w:rPr>
        <w:fldChar w:fldCharType="separate"/>
      </w:r>
      <w:r>
        <w:rPr>
          <w:rFonts w:hint="eastAsia" w:cs="宋体"/>
          <w:b w:val="0"/>
          <w:bCs/>
          <w:color w:val="auto"/>
          <w:highlight w:val="none"/>
        </w:rPr>
        <w:t>28</w:t>
      </w:r>
      <w:r>
        <w:rPr>
          <w:rFonts w:hint="eastAsia" w:cs="宋体"/>
          <w:b w:val="0"/>
          <w:bCs/>
          <w:color w:val="auto"/>
          <w:highlight w:val="none"/>
        </w:rPr>
        <w:fldChar w:fldCharType="end"/>
      </w:r>
      <w:r>
        <w:rPr>
          <w:rFonts w:hint="eastAsia" w:cs="宋体"/>
          <w:b w:val="0"/>
          <w:bCs/>
          <w:color w:val="auto"/>
          <w:highlight w:val="none"/>
        </w:rPr>
        <w:fldChar w:fldCharType="end"/>
      </w:r>
    </w:p>
    <w:p w14:paraId="657EB08F">
      <w:pPr>
        <w:pStyle w:val="40"/>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"_Toc5986" </w:instrText>
      </w:r>
      <w:r>
        <w:rPr>
          <w:color w:val="auto"/>
          <w:highlight w:val="none"/>
        </w:rPr>
        <w:fldChar w:fldCharType="separate"/>
      </w:r>
      <w:r>
        <w:rPr>
          <w:rFonts w:hint="eastAsia" w:cs="宋体"/>
          <w:b w:val="0"/>
          <w:bCs/>
          <w:color w:val="auto"/>
          <w:kern w:val="0"/>
          <w:highlight w:val="none"/>
        </w:rPr>
        <w:t>（八）合同授予</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_Toc5986 </w:instrText>
      </w:r>
      <w:r>
        <w:rPr>
          <w:rFonts w:hint="eastAsia" w:cs="宋体"/>
          <w:b w:val="0"/>
          <w:bCs/>
          <w:color w:val="auto"/>
          <w:highlight w:val="none"/>
        </w:rPr>
        <w:fldChar w:fldCharType="separate"/>
      </w:r>
      <w:r>
        <w:rPr>
          <w:rFonts w:hint="eastAsia" w:cs="宋体"/>
          <w:b w:val="0"/>
          <w:bCs/>
          <w:color w:val="auto"/>
          <w:highlight w:val="none"/>
        </w:rPr>
        <w:t>28</w:t>
      </w:r>
      <w:r>
        <w:rPr>
          <w:rFonts w:hint="eastAsia" w:cs="宋体"/>
          <w:b w:val="0"/>
          <w:bCs/>
          <w:color w:val="auto"/>
          <w:highlight w:val="none"/>
        </w:rPr>
        <w:fldChar w:fldCharType="end"/>
      </w:r>
      <w:r>
        <w:rPr>
          <w:rFonts w:hint="eastAsia" w:cs="宋体"/>
          <w:b w:val="0"/>
          <w:bCs/>
          <w:color w:val="auto"/>
          <w:highlight w:val="none"/>
        </w:rPr>
        <w:fldChar w:fldCharType="end"/>
      </w:r>
    </w:p>
    <w:p w14:paraId="44AF213D">
      <w:pPr>
        <w:pStyle w:val="55"/>
        <w:tabs>
          <w:tab w:val="right" w:leader="dot" w:pos="9638"/>
          <w:tab w:val="clear" w:pos="8949"/>
        </w:tabs>
        <w:ind w:right="0" w:rightChars="0" w:firstLine="0" w:firstLineChars="0"/>
        <w:rPr>
          <w:rFonts w:cs="宋体"/>
          <w:color w:val="auto"/>
          <w:highlight w:val="none"/>
        </w:rPr>
      </w:pPr>
      <w:r>
        <w:rPr>
          <w:color w:val="auto"/>
          <w:highlight w:val="none"/>
        </w:rPr>
        <w:fldChar w:fldCharType="begin"/>
      </w:r>
      <w:r>
        <w:rPr>
          <w:color w:val="auto"/>
          <w:highlight w:val="none"/>
        </w:rPr>
        <w:instrText xml:space="preserve"> HYPERLINK \l "_Toc13536" </w:instrText>
      </w:r>
      <w:r>
        <w:rPr>
          <w:color w:val="auto"/>
          <w:highlight w:val="none"/>
        </w:rPr>
        <w:fldChar w:fldCharType="separate"/>
      </w:r>
      <w:r>
        <w:rPr>
          <w:rFonts w:hint="eastAsia" w:cs="宋体"/>
          <w:color w:val="auto"/>
          <w:kern w:val="0"/>
          <w:highlight w:val="none"/>
        </w:rPr>
        <w:t>第三章  招标人对招标文件的补充/修改</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_Toc13536 </w:instrText>
      </w:r>
      <w:r>
        <w:rPr>
          <w:rFonts w:hint="eastAsia" w:cs="宋体"/>
          <w:color w:val="auto"/>
          <w:highlight w:val="none"/>
        </w:rPr>
        <w:fldChar w:fldCharType="separate"/>
      </w:r>
      <w:r>
        <w:rPr>
          <w:rFonts w:hint="eastAsia" w:cs="宋体"/>
          <w:color w:val="auto"/>
          <w:highlight w:val="none"/>
        </w:rPr>
        <w:t>33</w:t>
      </w:r>
      <w:r>
        <w:rPr>
          <w:rFonts w:hint="eastAsia" w:cs="宋体"/>
          <w:color w:val="auto"/>
          <w:highlight w:val="none"/>
        </w:rPr>
        <w:fldChar w:fldCharType="end"/>
      </w:r>
      <w:r>
        <w:rPr>
          <w:rFonts w:hint="eastAsia" w:cs="宋体"/>
          <w:color w:val="auto"/>
          <w:highlight w:val="none"/>
        </w:rPr>
        <w:fldChar w:fldCharType="end"/>
      </w:r>
    </w:p>
    <w:p w14:paraId="1CCEFEC9">
      <w:pPr>
        <w:pStyle w:val="55"/>
        <w:tabs>
          <w:tab w:val="right" w:leader="dot" w:pos="9638"/>
          <w:tab w:val="clear" w:pos="8949"/>
        </w:tabs>
        <w:ind w:right="0" w:rightChars="0" w:firstLine="0" w:firstLineChars="0"/>
        <w:rPr>
          <w:rFonts w:cs="宋体"/>
          <w:color w:val="auto"/>
          <w:highlight w:val="none"/>
        </w:rPr>
      </w:pPr>
      <w:r>
        <w:rPr>
          <w:color w:val="auto"/>
          <w:highlight w:val="none"/>
        </w:rPr>
        <w:fldChar w:fldCharType="begin"/>
      </w:r>
      <w:r>
        <w:rPr>
          <w:color w:val="auto"/>
          <w:highlight w:val="none"/>
        </w:rPr>
        <w:instrText xml:space="preserve"> HYPERLINK \l "_Toc7288" </w:instrText>
      </w:r>
      <w:r>
        <w:rPr>
          <w:color w:val="auto"/>
          <w:highlight w:val="none"/>
        </w:rPr>
        <w:fldChar w:fldCharType="separate"/>
      </w:r>
      <w:r>
        <w:rPr>
          <w:rFonts w:hint="eastAsia" w:cs="宋体"/>
          <w:color w:val="auto"/>
          <w:kern w:val="0"/>
          <w:highlight w:val="none"/>
        </w:rPr>
        <w:t>第四章  设计任务书及前期资料</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_Toc7288 </w:instrText>
      </w:r>
      <w:r>
        <w:rPr>
          <w:rFonts w:hint="eastAsia" w:cs="宋体"/>
          <w:color w:val="auto"/>
          <w:highlight w:val="none"/>
        </w:rPr>
        <w:fldChar w:fldCharType="separate"/>
      </w:r>
      <w:r>
        <w:rPr>
          <w:rFonts w:hint="eastAsia" w:cs="宋体"/>
          <w:color w:val="auto"/>
          <w:highlight w:val="none"/>
        </w:rPr>
        <w:t>34</w:t>
      </w:r>
      <w:r>
        <w:rPr>
          <w:rFonts w:hint="eastAsia" w:cs="宋体"/>
          <w:color w:val="auto"/>
          <w:highlight w:val="none"/>
        </w:rPr>
        <w:fldChar w:fldCharType="end"/>
      </w:r>
      <w:r>
        <w:rPr>
          <w:rFonts w:hint="eastAsia" w:cs="宋体"/>
          <w:color w:val="auto"/>
          <w:highlight w:val="none"/>
        </w:rPr>
        <w:fldChar w:fldCharType="end"/>
      </w:r>
    </w:p>
    <w:p w14:paraId="525F50AA">
      <w:pPr>
        <w:pStyle w:val="55"/>
        <w:tabs>
          <w:tab w:val="right" w:leader="dot" w:pos="9638"/>
          <w:tab w:val="clear" w:pos="8949"/>
        </w:tabs>
        <w:ind w:right="0" w:rightChars="0" w:firstLine="0" w:firstLineChars="0"/>
        <w:rPr>
          <w:rFonts w:cs="宋体"/>
          <w:color w:val="auto"/>
          <w:highlight w:val="none"/>
        </w:rPr>
      </w:pPr>
      <w:r>
        <w:rPr>
          <w:color w:val="auto"/>
          <w:highlight w:val="none"/>
        </w:rPr>
        <w:fldChar w:fldCharType="begin"/>
      </w:r>
      <w:r>
        <w:rPr>
          <w:color w:val="auto"/>
          <w:highlight w:val="none"/>
        </w:rPr>
        <w:instrText xml:space="preserve"> HYPERLINK \l "_Toc23337" </w:instrText>
      </w:r>
      <w:r>
        <w:rPr>
          <w:color w:val="auto"/>
          <w:highlight w:val="none"/>
        </w:rPr>
        <w:fldChar w:fldCharType="separate"/>
      </w:r>
      <w:r>
        <w:rPr>
          <w:rFonts w:hint="eastAsia" w:cs="宋体"/>
          <w:color w:val="auto"/>
          <w:kern w:val="0"/>
          <w:highlight w:val="none"/>
        </w:rPr>
        <w:t>第五章  投标文件格式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_Toc23337 </w:instrText>
      </w:r>
      <w:r>
        <w:rPr>
          <w:rFonts w:hint="eastAsia" w:cs="宋体"/>
          <w:color w:val="auto"/>
          <w:highlight w:val="none"/>
        </w:rPr>
        <w:fldChar w:fldCharType="separate"/>
      </w:r>
      <w:r>
        <w:rPr>
          <w:rFonts w:hint="eastAsia" w:cs="宋体"/>
          <w:color w:val="auto"/>
          <w:highlight w:val="none"/>
        </w:rPr>
        <w:t>35</w:t>
      </w:r>
      <w:r>
        <w:rPr>
          <w:rFonts w:hint="eastAsia" w:cs="宋体"/>
          <w:color w:val="auto"/>
          <w:highlight w:val="none"/>
        </w:rPr>
        <w:fldChar w:fldCharType="end"/>
      </w:r>
      <w:r>
        <w:rPr>
          <w:rFonts w:hint="eastAsia" w:cs="宋体"/>
          <w:color w:val="auto"/>
          <w:highlight w:val="none"/>
        </w:rPr>
        <w:fldChar w:fldCharType="end"/>
      </w:r>
    </w:p>
    <w:p w14:paraId="19329BD2">
      <w:pPr>
        <w:pStyle w:val="55"/>
        <w:tabs>
          <w:tab w:val="right" w:leader="dot" w:pos="9638"/>
          <w:tab w:val="clear" w:pos="8949"/>
        </w:tabs>
        <w:ind w:right="0" w:rightChars="0" w:firstLine="0" w:firstLineChars="0"/>
        <w:rPr>
          <w:rFonts w:cs="宋体"/>
          <w:color w:val="auto"/>
          <w:highlight w:val="none"/>
        </w:rPr>
      </w:pPr>
      <w:r>
        <w:rPr>
          <w:color w:val="auto"/>
          <w:highlight w:val="none"/>
        </w:rPr>
        <w:fldChar w:fldCharType="begin"/>
      </w:r>
      <w:r>
        <w:rPr>
          <w:color w:val="auto"/>
          <w:highlight w:val="none"/>
        </w:rPr>
        <w:instrText xml:space="preserve"> HYPERLINK \l "_Toc22487" </w:instrText>
      </w:r>
      <w:r>
        <w:rPr>
          <w:color w:val="auto"/>
          <w:highlight w:val="none"/>
        </w:rPr>
        <w:fldChar w:fldCharType="separate"/>
      </w:r>
      <w:r>
        <w:rPr>
          <w:rFonts w:hint="eastAsia" w:cs="宋体"/>
          <w:color w:val="auto"/>
          <w:kern w:val="0"/>
          <w:highlight w:val="none"/>
        </w:rPr>
        <w:t>第六章  合同条款</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_Toc22487 </w:instrText>
      </w:r>
      <w:r>
        <w:rPr>
          <w:rFonts w:hint="eastAsia" w:cs="宋体"/>
          <w:color w:val="auto"/>
          <w:highlight w:val="none"/>
        </w:rPr>
        <w:fldChar w:fldCharType="separate"/>
      </w:r>
      <w:r>
        <w:rPr>
          <w:rFonts w:hint="eastAsia" w:cs="宋体"/>
          <w:color w:val="auto"/>
          <w:highlight w:val="none"/>
        </w:rPr>
        <w:t>51</w:t>
      </w:r>
      <w:r>
        <w:rPr>
          <w:rFonts w:hint="eastAsia" w:cs="宋体"/>
          <w:color w:val="auto"/>
          <w:highlight w:val="none"/>
        </w:rPr>
        <w:fldChar w:fldCharType="end"/>
      </w:r>
      <w:r>
        <w:rPr>
          <w:rFonts w:hint="eastAsia" w:cs="宋体"/>
          <w:color w:val="auto"/>
          <w:highlight w:val="none"/>
        </w:rPr>
        <w:fldChar w:fldCharType="end"/>
      </w:r>
    </w:p>
    <w:p w14:paraId="456A3D05">
      <w:pPr>
        <w:adjustRightInd w:val="0"/>
        <w:snapToGrid w:val="0"/>
        <w:spacing w:line="360" w:lineRule="auto"/>
        <w:jc w:val="center"/>
        <w:rPr>
          <w:color w:val="auto"/>
          <w:highlight w:val="none"/>
        </w:rPr>
      </w:pPr>
      <w:r>
        <w:rPr>
          <w:rFonts w:hint="eastAsia" w:ascii="宋体" w:hAnsi="宋体" w:eastAsia="宋体" w:cs="宋体"/>
          <w:bCs/>
          <w:color w:val="auto"/>
          <w:sz w:val="24"/>
          <w:szCs w:val="24"/>
          <w:highlight w:val="none"/>
        </w:rPr>
        <w:fldChar w:fldCharType="end"/>
      </w:r>
    </w:p>
    <w:p w14:paraId="05D71AF2">
      <w:pPr>
        <w:adjustRightInd w:val="0"/>
        <w:snapToGrid w:val="0"/>
        <w:spacing w:line="360" w:lineRule="auto"/>
        <w:jc w:val="center"/>
        <w:rPr>
          <w:color w:val="auto"/>
          <w:highlight w:val="none"/>
        </w:rPr>
      </w:pPr>
      <w:r>
        <w:rPr>
          <w:color w:val="auto"/>
          <w:highlight w:val="none"/>
        </w:rPr>
        <w:br w:type="page"/>
      </w:r>
    </w:p>
    <w:p w14:paraId="223E5E47">
      <w:pPr>
        <w:adjustRightInd w:val="0"/>
        <w:snapToGrid w:val="0"/>
        <w:spacing w:line="360" w:lineRule="auto"/>
        <w:jc w:val="center"/>
        <w:outlineLvl w:val="0"/>
        <w:rPr>
          <w:rFonts w:ascii="黑体" w:eastAsia="黑体"/>
          <w:bCs/>
          <w:color w:val="auto"/>
          <w:kern w:val="0"/>
          <w:sz w:val="32"/>
          <w:szCs w:val="32"/>
          <w:highlight w:val="none"/>
        </w:rPr>
      </w:pPr>
      <w:bookmarkStart w:id="0" w:name="_Toc17187"/>
      <w:r>
        <w:rPr>
          <w:rFonts w:hint="eastAsia" w:ascii="黑体" w:eastAsia="黑体"/>
          <w:bCs/>
          <w:color w:val="auto"/>
          <w:kern w:val="0"/>
          <w:sz w:val="32"/>
          <w:szCs w:val="32"/>
          <w:highlight w:val="none"/>
        </w:rPr>
        <w:t>第一章 使用说明</w:t>
      </w:r>
      <w:bookmarkEnd w:id="0"/>
    </w:p>
    <w:p w14:paraId="185D12A3">
      <w:pPr>
        <w:adjustRightInd w:val="0"/>
        <w:snapToGrid w:val="0"/>
        <w:spacing w:line="440" w:lineRule="exact"/>
        <w:ind w:firstLine="420" w:firstLineChars="200"/>
        <w:rPr>
          <w:rFonts w:hint="eastAsia"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一、为了规范工程设计招标投标活动，保障招标人和投标人的合法权益，根据国家及深圳市有关法律、法规、规章和规范性文件的规定，结合我市实际，遵循公开、公平、公正和诚实信用的原则，深圳市住房和建设局制定了《深圳市建设工程设计类招标文件（建筑方案设计类除外）》（以下简称“本范本”）。</w:t>
      </w:r>
    </w:p>
    <w:p w14:paraId="06E2ADFA">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二、本范本适用于采用电子招投标及计算机评标的设计类（建筑方案设计类除外）招标工程。</w:t>
      </w:r>
    </w:p>
    <w:p w14:paraId="43B5861E">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三、本范本的主要编写依据：</w:t>
      </w:r>
    </w:p>
    <w:p w14:paraId="2BDB1612">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1．《中华人民共和国建筑法》；</w:t>
      </w:r>
    </w:p>
    <w:p w14:paraId="617A02F0">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2．《中华人民共和国招标投标法》；</w:t>
      </w:r>
    </w:p>
    <w:p w14:paraId="14F6AAB8">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《中华人民共和国招标投标法实施条例》；</w:t>
      </w:r>
    </w:p>
    <w:p w14:paraId="395DD472">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《工程建设项目勘察设计招标投标办法》；</w:t>
      </w:r>
    </w:p>
    <w:p w14:paraId="7B7DBE06">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 《建筑工程设计招标投标管理办法》；</w:t>
      </w:r>
    </w:p>
    <w:p w14:paraId="44F86EDD">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 《电子招标投标办法》；</w:t>
      </w:r>
    </w:p>
    <w:p w14:paraId="6C552B3A">
      <w:pPr>
        <w:adjustRightInd w:val="0"/>
        <w:snapToGrid w:val="0"/>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 《关于创新完善体制机制推动招标投标市场规范健康发展的意见》(国办发〔2024〕21号）；</w:t>
      </w:r>
    </w:p>
    <w:p w14:paraId="666F874E">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．《关于建设工程招标投标改革的若干规定》(深府〔2015〕73号)；</w:t>
      </w:r>
    </w:p>
    <w:p w14:paraId="28DCD110">
      <w:pPr>
        <w:adjustRightInd w:val="0"/>
        <w:snapToGrid w:val="0"/>
        <w:spacing w:line="44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《关于进一步规范建设工程招标投标活动的通知》</w:t>
      </w:r>
      <w:r>
        <w:rPr>
          <w:rFonts w:hint="eastAsia" w:ascii="宋体" w:hAnsi="宋体" w:eastAsia="宋体" w:cs="宋体"/>
          <w:color w:val="auto"/>
          <w:kern w:val="0"/>
          <w:szCs w:val="21"/>
          <w:highlight w:val="none"/>
        </w:rPr>
        <w:t>(深府</w:t>
      </w:r>
      <w:r>
        <w:rPr>
          <w:rFonts w:hint="eastAsia" w:ascii="宋体" w:hAnsi="宋体" w:eastAsia="宋体" w:cs="宋体"/>
          <w:color w:val="auto"/>
          <w:kern w:val="0"/>
          <w:szCs w:val="21"/>
          <w:highlight w:val="none"/>
          <w:lang w:val="en-US" w:eastAsia="zh-CN"/>
        </w:rPr>
        <w:t>规</w:t>
      </w:r>
      <w:r>
        <w:rPr>
          <w:rFonts w:hint="eastAsia" w:ascii="宋体" w:hAnsi="宋体" w:eastAsia="宋体" w:cs="宋体"/>
          <w:color w:val="auto"/>
          <w:kern w:val="0"/>
          <w:szCs w:val="21"/>
          <w:highlight w:val="none"/>
        </w:rPr>
        <w:t>〔20</w:t>
      </w:r>
      <w:r>
        <w:rPr>
          <w:rFonts w:hint="eastAsia" w:ascii="宋体" w:hAnsi="宋体" w:eastAsia="宋体" w:cs="宋体"/>
          <w:color w:val="auto"/>
          <w:kern w:val="0"/>
          <w:szCs w:val="21"/>
          <w:highlight w:val="none"/>
          <w:lang w:val="en-US" w:eastAsia="zh-CN"/>
        </w:rPr>
        <w:t>24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号)</w:t>
      </w:r>
      <w:r>
        <w:rPr>
          <w:rFonts w:hint="eastAsia" w:ascii="宋体" w:hAnsi="宋体" w:eastAsia="宋体" w:cs="宋体"/>
          <w:color w:val="auto"/>
          <w:kern w:val="0"/>
          <w:szCs w:val="21"/>
          <w:highlight w:val="none"/>
          <w:lang w:eastAsia="zh-CN"/>
        </w:rPr>
        <w:t>；</w:t>
      </w:r>
    </w:p>
    <w:p w14:paraId="52FDF488">
      <w:pPr>
        <w:adjustRightInd w:val="0"/>
        <w:snapToGrid w:val="0"/>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.《关于进一步完善建设工程招标投标制度的若干措施》(深建规〔2020〕1号)；</w:t>
      </w:r>
    </w:p>
    <w:p w14:paraId="4B1D78D5">
      <w:pPr>
        <w:adjustRightInd w:val="0"/>
        <w:snapToGrid w:val="0"/>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11</w:t>
      </w:r>
      <w:r>
        <w:rPr>
          <w:rFonts w:hint="eastAsia" w:ascii="宋体" w:hAnsi="宋体" w:eastAsia="宋体" w:cs="宋体"/>
          <w:color w:val="auto"/>
          <w:kern w:val="0"/>
          <w:szCs w:val="21"/>
          <w:highlight w:val="none"/>
        </w:rPr>
        <w:t>.《工程信息模型应用统一标准》（GB/T51212-2016）；</w:t>
      </w:r>
    </w:p>
    <w:p w14:paraId="799E9C7E">
      <w:pPr>
        <w:adjustRightInd w:val="0"/>
        <w:snapToGrid w:val="0"/>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.《建筑信息模型设计交付标准》（GB/T51301-2018）；</w:t>
      </w:r>
    </w:p>
    <w:p w14:paraId="646752D4">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其他有关工程建设的法律、法规、规章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规范性文件</w:t>
      </w:r>
      <w:r>
        <w:rPr>
          <w:rFonts w:hint="eastAsia" w:ascii="宋体" w:hAnsi="宋体" w:eastAsia="宋体" w:cs="宋体"/>
          <w:color w:val="auto"/>
          <w:szCs w:val="21"/>
          <w:highlight w:val="none"/>
          <w:lang w:val="en-US" w:eastAsia="zh-CN"/>
        </w:rPr>
        <w:t>和政策文件</w:t>
      </w:r>
      <w:r>
        <w:rPr>
          <w:rFonts w:hint="eastAsia" w:ascii="宋体" w:hAnsi="宋体" w:eastAsia="宋体" w:cs="宋体"/>
          <w:color w:val="auto"/>
          <w:szCs w:val="21"/>
          <w:highlight w:val="none"/>
        </w:rPr>
        <w:t>。</w:t>
      </w:r>
    </w:p>
    <w:p w14:paraId="690F7D25">
      <w:pPr>
        <w:adjustRightInd w:val="0"/>
        <w:snapToGrid w:val="0"/>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四、本工程招标投标活动在</w:t>
      </w:r>
      <w:r>
        <w:rPr>
          <w:rFonts w:hint="eastAsia" w:ascii="宋体" w:hAnsi="宋体" w:eastAsia="宋体" w:cs="宋体"/>
          <w:b w:val="0"/>
          <w:bCs w:val="0"/>
          <w:i w:val="0"/>
          <w:iCs w:val="0"/>
          <w:color w:val="auto"/>
          <w:spacing w:val="0"/>
          <w:w w:val="100"/>
          <w:sz w:val="21"/>
          <w:szCs w:val="21"/>
          <w:highlight w:val="none"/>
          <w:vertAlign w:val="baseline"/>
        </w:rPr>
        <w:t>深圳交易集团有限公司（深圳公共资源交易中心）</w:t>
      </w:r>
      <w:r>
        <w:rPr>
          <w:rFonts w:hint="eastAsia" w:ascii="宋体" w:hAnsi="宋体" w:eastAsia="宋体" w:cs="宋体"/>
          <w:color w:val="auto"/>
          <w:kern w:val="0"/>
          <w:szCs w:val="21"/>
          <w:highlight w:val="none"/>
        </w:rPr>
        <w:t>进行。</w:t>
      </w:r>
    </w:p>
    <w:p w14:paraId="273ED39B">
      <w:pPr>
        <w:wordWrap w:val="0"/>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五、本招标文件所指交易网为：</w:t>
      </w:r>
      <w:r>
        <w:rPr>
          <w:rFonts w:hint="eastAsia" w:ascii="宋体" w:hAnsi="宋体" w:eastAsia="宋体" w:cs="宋体"/>
          <w:color w:val="auto"/>
          <w:szCs w:val="21"/>
          <w:highlight w:val="none"/>
        </w:rPr>
        <w:t>深圳公共资源交易网（http://www.szggzy.com/）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本招标文件所指交易平台的网址详见投标须知前附表。</w:t>
      </w:r>
    </w:p>
    <w:p w14:paraId="6998B729">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六、招标人和投标人应事先办理企业的数字证书或电子营业执照，同时应办理相关人员的数字证书。有关手续请查看交易网中的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建设工程</w:t>
      </w:r>
      <w:r>
        <w:rPr>
          <w:rFonts w:hint="eastAsia" w:ascii="宋体" w:hAnsi="宋体" w:eastAsia="宋体" w:cs="宋体"/>
          <w:color w:val="auto"/>
          <w:szCs w:val="21"/>
          <w:highlight w:val="none"/>
        </w:rPr>
        <w:t>数字证书办事指南”。</w:t>
      </w:r>
      <w:r>
        <w:rPr>
          <w:rFonts w:hint="eastAsia" w:ascii="宋体" w:hAnsi="宋体" w:eastAsia="宋体" w:cs="宋体"/>
          <w:color w:val="auto"/>
          <w:kern w:val="0"/>
          <w:szCs w:val="21"/>
          <w:highlight w:val="none"/>
        </w:rPr>
        <w:t>使用电子营业执照的，须提前在</w:t>
      </w:r>
      <w:r>
        <w:rPr>
          <w:rFonts w:hint="eastAsia" w:ascii="宋体" w:hAnsi="宋体" w:eastAsia="宋体" w:cs="宋体"/>
          <w:color w:val="auto"/>
          <w:szCs w:val="21"/>
          <w:highlight w:val="none"/>
        </w:rPr>
        <w:t>国家市场监督管理总局</w:t>
      </w:r>
      <w:r>
        <w:rPr>
          <w:rFonts w:hint="eastAsia" w:ascii="宋体" w:hAnsi="宋体" w:eastAsia="宋体" w:cs="宋体"/>
          <w:color w:val="auto"/>
          <w:kern w:val="0"/>
          <w:szCs w:val="21"/>
          <w:highlight w:val="none"/>
        </w:rPr>
        <w:t>“电子营业执照”微信小程序电子营业执照应用程序中下载本企业电子营业执照，</w:t>
      </w:r>
      <w:r>
        <w:rPr>
          <w:rFonts w:hint="eastAsia" w:ascii="宋体" w:hAnsi="宋体" w:eastAsia="宋体" w:cs="宋体"/>
          <w:b w:val="0"/>
          <w:bCs w:val="0"/>
          <w:i w:val="0"/>
          <w:iCs w:val="0"/>
          <w:color w:val="auto"/>
          <w:spacing w:val="0"/>
          <w:w w:val="100"/>
          <w:sz w:val="21"/>
          <w:szCs w:val="21"/>
          <w:highlight w:val="none"/>
          <w:vertAlign w:val="baseline"/>
        </w:rPr>
        <w:t>有关手续请查看交易网“电子营业执照用户使用手册”。</w:t>
      </w:r>
    </w:p>
    <w:p w14:paraId="3800EC99">
      <w:pPr>
        <w:adjustRightInd w:val="0"/>
        <w:snapToGrid w:val="0"/>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七、电子招标文件通过</w:t>
      </w:r>
      <w:r>
        <w:rPr>
          <w:rFonts w:hint="eastAsia" w:ascii="宋体" w:hAnsi="宋体" w:eastAsia="宋体" w:cs="宋体"/>
          <w:color w:val="auto"/>
          <w:szCs w:val="21"/>
          <w:highlight w:val="none"/>
          <w:lang w:val="en-US" w:eastAsia="zh-CN"/>
        </w:rPr>
        <w:t>交易平台在线编制</w:t>
      </w:r>
      <w:r>
        <w:rPr>
          <w:rFonts w:hint="eastAsia" w:ascii="宋体" w:hAnsi="宋体" w:eastAsia="宋体" w:cs="宋体"/>
          <w:color w:val="auto"/>
          <w:szCs w:val="21"/>
          <w:highlight w:val="none"/>
          <w:lang w:eastAsia="zh-CN"/>
        </w:rPr>
        <w:t>，电子投标文件编制工具在交易网的服务</w:t>
      </w:r>
      <w:r>
        <w:rPr>
          <w:rFonts w:hint="eastAsia" w:ascii="宋体" w:hAnsi="宋体" w:eastAsia="宋体" w:cs="宋体"/>
          <w:color w:val="auto"/>
          <w:szCs w:val="21"/>
          <w:highlight w:val="none"/>
          <w:lang w:val="en-US" w:eastAsia="zh-CN"/>
        </w:rPr>
        <w:t>指南</w:t>
      </w:r>
      <w:r>
        <w:rPr>
          <w:rFonts w:hint="eastAsia" w:ascii="宋体" w:hAnsi="宋体" w:eastAsia="宋体" w:cs="宋体"/>
          <w:color w:val="auto"/>
          <w:szCs w:val="21"/>
          <w:highlight w:val="none"/>
          <w:lang w:eastAsia="zh-CN"/>
        </w:rPr>
        <w:t>-建设工程-资料下载-工具下载（</w:t>
      </w:r>
      <w:r>
        <w:rPr>
          <w:rFonts w:hint="eastAsia" w:ascii="宋体" w:hAnsi="宋体" w:eastAsia="宋体" w:cs="宋体"/>
          <w:color w:val="auto"/>
          <w:szCs w:val="21"/>
          <w:highlight w:val="none"/>
          <w:lang w:val="en-US" w:eastAsia="zh-CN"/>
        </w:rPr>
        <w:t>投标编制文件</w:t>
      </w:r>
      <w:r>
        <w:rPr>
          <w:rFonts w:hint="eastAsia" w:ascii="宋体" w:hAnsi="宋体" w:eastAsia="宋体" w:cs="宋体"/>
          <w:color w:val="auto"/>
          <w:szCs w:val="21"/>
          <w:highlight w:val="none"/>
          <w:lang w:eastAsia="zh-CN"/>
        </w:rPr>
        <w:t>）页面获取。</w:t>
      </w:r>
    </w:p>
    <w:p w14:paraId="5DE331C5">
      <w:pPr>
        <w:adjustRightInd w:val="0"/>
        <w:snapToGrid w:val="0"/>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本项目的招标公告在深圳公共资源交易网(https://www</w:t>
      </w:r>
      <w:bookmarkStart w:id="58" w:name="_GoBack"/>
      <w:bookmarkEnd w:id="58"/>
      <w:r>
        <w:rPr>
          <w:rFonts w:hint="eastAsia" w:ascii="宋体" w:hAnsi="宋体" w:eastAsia="宋体" w:cs="宋体"/>
          <w:color w:val="auto"/>
          <w:szCs w:val="21"/>
          <w:highlight w:val="none"/>
          <w:lang w:eastAsia="zh-CN"/>
        </w:rPr>
        <w:t>.szggzy.com/)、广东省公共资源交易平台（https://ygp.gdzwfw.gov.cn/#/44/index）、广东省招标投标监管网(网址:http://zbtb.gd. gov.sn/)和中国招标投标公共服务平台(网址:http://www.cebpubservice.com/)发布。</w:t>
      </w:r>
    </w:p>
    <w:p w14:paraId="4859BDEE">
      <w:pPr>
        <w:adjustRightInd w:val="0"/>
        <w:snapToGrid w:val="0"/>
        <w:spacing w:line="44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八、有关招标问题的说明</w:t>
      </w:r>
    </w:p>
    <w:p w14:paraId="54759A5C">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文件中的所有空格招标人必须按实填写，无内容者或不采用者应填写“无”。对本招标文件示范文本进行补充、删除或修改的内容，应统一写入本招标文件的第三章。同时，应明确注明是对招标文件示范文本具体章节条款进行补充或修改。第三章内容与其他部分有冲突时，以第三章内容为准，但与相关法律、法规、政策相冲突的除外。</w:t>
      </w:r>
    </w:p>
    <w:p w14:paraId="2280F399">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2．采用本示范文本以外的评标方法应经建设、交通行政主管部门批准，并且必须在招标文件的评标方法中进行详细描述。</w:t>
      </w:r>
    </w:p>
    <w:p w14:paraId="6BAFE96B">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3.采用本示范文本以外的定标方法应经建设、交通行政主管部门批准，并且必须在招标文件中进行详细描述。</w:t>
      </w:r>
    </w:p>
    <w:p w14:paraId="7F8E0A91">
      <w:pPr>
        <w:adjustRightInd w:val="0"/>
        <w:snapToGrid w:val="0"/>
        <w:spacing w:line="44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4.招标人注意事项：</w:t>
      </w:r>
    </w:p>
    <w:p w14:paraId="7E80F2F5">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4.1招标人所提交电子招标文件格式应为*.SJZB。该文件格式必须是由</w:t>
      </w:r>
      <w:r>
        <w:rPr>
          <w:rFonts w:hint="eastAsia" w:ascii="宋体" w:hAnsi="宋体" w:eastAsia="宋体" w:cs="宋体"/>
          <w:color w:val="auto"/>
          <w:szCs w:val="21"/>
          <w:highlight w:val="none"/>
          <w:lang w:val="en-US" w:eastAsia="zh-CN"/>
        </w:rPr>
        <w:t>交易平台编制</w:t>
      </w:r>
      <w:r>
        <w:rPr>
          <w:rFonts w:hint="eastAsia" w:ascii="宋体" w:hAnsi="宋体" w:eastAsia="宋体" w:cs="宋体"/>
          <w:color w:val="auto"/>
          <w:kern w:val="0"/>
          <w:szCs w:val="21"/>
          <w:highlight w:val="none"/>
        </w:rPr>
        <w:t>生成。</w:t>
      </w:r>
    </w:p>
    <w:p w14:paraId="1010758E">
      <w:pPr>
        <w:adjustRightInd w:val="0"/>
        <w:snapToGrid w:val="0"/>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4.2</w:t>
      </w:r>
      <w:r>
        <w:rPr>
          <w:rFonts w:hint="eastAsia" w:ascii="宋体" w:hAnsi="宋体" w:eastAsia="宋体" w:cs="宋体"/>
          <w:color w:val="auto"/>
          <w:kern w:val="0"/>
          <w:szCs w:val="21"/>
          <w:highlight w:val="none"/>
        </w:rPr>
        <w:t>根据《深圳市人民政府办公厅关于印发加快推进建筑信息模型（BIM）技术应用的实施意见（试行）的通知》（深府办函〔2021〕103号）的规定，2022年1月1日起，新建（立项、核准备案）市区政府投资和国有资金投资建设项目、市区重大项目、重点片区工程项目全面实施BIM技术应用，上述项目于2022 年6月1日起，在办理规划许可、施工许可、竣工验收各审批报建环节提交BIM模型，市区政府投资和国有资金投资建设项目在招投标环节采用BIM 电子招投标系统。招标人应严格落实上述要求，并在招标策划时明确BIM技术应用阶段、内容、费用和成果文件等内容。</w:t>
      </w:r>
    </w:p>
    <w:p w14:paraId="172DB9E3">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4.3 对于采用BIM技术的招标项目，招标人应在招标文件中明确实施BIM的具体要求（如BIM设计范围、内容、深度、成果文件格式等），并提供方案设计阶段BIM成果文件（如有），同时充分考虑投标人编制BIM标书的时间。</w:t>
      </w:r>
    </w:p>
    <w:p w14:paraId="58252BCD">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4.4具有数字证书或电子营业执照签名的电子招标文件，方为合法、有效；未对电子文件进行数字证书或电子营业执照签名的，将不予备案与发布。</w:t>
      </w:r>
    </w:p>
    <w:p w14:paraId="067C3AE4">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4.5如对招标文件作任何修改，均须保证投标文件足够编制时间。</w:t>
      </w:r>
    </w:p>
    <w:p w14:paraId="66E8FF88">
      <w:pPr>
        <w:adjustRightInd w:val="0"/>
        <w:snapToGrid w:val="0"/>
        <w:spacing w:line="44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九、有关投标问题的说明</w:t>
      </w:r>
    </w:p>
    <w:p w14:paraId="62039A25">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1.投标人获取招标文件后，应仔细阅读招标文件及附件的全部内容，附件与招标文件具有同等效力。</w:t>
      </w:r>
    </w:p>
    <w:p w14:paraId="4422F525">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2.投标人应在投标截止时间前，登录</w:t>
      </w:r>
      <w:r>
        <w:rPr>
          <w:rFonts w:hint="eastAsia" w:ascii="宋体" w:hAnsi="宋体" w:eastAsia="宋体" w:cs="宋体"/>
          <w:color w:val="auto"/>
          <w:szCs w:val="21"/>
          <w:highlight w:val="none"/>
          <w:lang w:val="en-US" w:eastAsia="zh-CN"/>
        </w:rPr>
        <w:t>交易网</w:t>
      </w:r>
      <w:r>
        <w:rPr>
          <w:rFonts w:hint="eastAsia" w:ascii="宋体" w:hAnsi="宋体" w:eastAsia="宋体" w:cs="宋体"/>
          <w:color w:val="auto"/>
          <w:kern w:val="0"/>
          <w:szCs w:val="21"/>
          <w:highlight w:val="none"/>
        </w:rPr>
        <w:t>免费查阅或下载招标文件、答疑及招标文件补充通知。</w:t>
      </w:r>
    </w:p>
    <w:p w14:paraId="10DEAB3E">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3.投标人对招标文件有不同意见或不明之处，应在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kern w:val="0"/>
          <w:szCs w:val="21"/>
          <w:highlight w:val="none"/>
        </w:rPr>
        <w:t>向招标人提出。</w:t>
      </w:r>
    </w:p>
    <w:p w14:paraId="317007D3">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4.投标人应在遵循招标文件的各项规定和要求的前提下，编制投标文件。投标文件必须满足招标文件中的实质性要求和条件。投标文件若出现否决性条款的情形其投标将会被否决。</w:t>
      </w:r>
    </w:p>
    <w:p w14:paraId="023E86EE">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zCs w:val="21"/>
          <w:highlight w:val="none"/>
          <w:lang w:val="en-US" w:eastAsia="zh-CN"/>
        </w:rPr>
        <w:t>交易网</w:t>
      </w:r>
      <w:r>
        <w:rPr>
          <w:rFonts w:hint="eastAsia" w:ascii="宋体" w:hAnsi="宋体" w:eastAsia="宋体" w:cs="宋体"/>
          <w:color w:val="auto"/>
          <w:kern w:val="0"/>
          <w:szCs w:val="21"/>
          <w:highlight w:val="none"/>
        </w:rPr>
        <w:t>是投标人获取建设工程电子招标文件唯一合法渠道。投标人需随时关注交易网</w:t>
      </w:r>
      <w:r>
        <w:rPr>
          <w:rFonts w:hint="eastAsia" w:ascii="宋体" w:hAnsi="宋体" w:eastAsia="宋体" w:cs="宋体"/>
          <w:color w:val="auto"/>
          <w:kern w:val="0"/>
          <w:szCs w:val="21"/>
          <w:highlight w:val="none"/>
          <w:lang w:val="en-US" w:eastAsia="zh-CN"/>
        </w:rPr>
        <w:t>或</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kern w:val="0"/>
          <w:szCs w:val="21"/>
          <w:highlight w:val="none"/>
        </w:rPr>
        <w:t>上招标文件更新情况，并根据最后一次发布的电子招标文件制作及更新投标文件。如因未使用最新版招标文件制作投标文件导致不利后果的，由投标人自行承担。</w:t>
      </w:r>
    </w:p>
    <w:p w14:paraId="7CF97172">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6.投标人应当遵守</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的相关规定，违反规定导致不利后果的，由投标人自行承担。</w:t>
      </w:r>
    </w:p>
    <w:p w14:paraId="09097B22">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投标人须对投标资料的真实性负责。招标人有权将投标文件的部分或全部内容向外公示，若公示期间收到有关弄虚作假投诉的，招标人将提请建设行政主管部门或有关行政管理部门查处。一旦查实将严格按照法律法规作出处理。</w:t>
      </w:r>
    </w:p>
    <w:p w14:paraId="47C549E7">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8.投标人注意事项：</w:t>
      </w:r>
    </w:p>
    <w:p w14:paraId="5494EC9D">
      <w:pPr>
        <w:adjustRightInd w:val="0"/>
        <w:snapToGrid w:val="0"/>
        <w:spacing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8.1投标人（含联合体各方）须办理企业信息登记。勘察、设计、施工、监理、造价、检测等</w:t>
      </w:r>
    </w:p>
    <w:p w14:paraId="726ED665">
      <w:pPr>
        <w:wordWrap w:val="0"/>
        <w:adjustRightInd w:val="0"/>
        <w:snapToGrid w:val="0"/>
        <w:spacing w:line="380" w:lineRule="exact"/>
        <w:ind w:firstLine="0" w:firstLineChars="0"/>
        <w:jc w:val="left"/>
        <w:rPr>
          <w:rFonts w:hint="eastAsia"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企业须在深圳市住房和建设局“企业与人员信息诚信申报平台”办理信息登记，</w:t>
      </w:r>
      <w:r>
        <w:rPr>
          <w:rFonts w:hint="eastAsia" w:ascii="宋体" w:hAnsi="宋体" w:eastAsia="宋体" w:cs="宋体"/>
          <w:b w:val="0"/>
          <w:bCs w:val="0"/>
          <w:i w:val="0"/>
          <w:iCs w:val="0"/>
          <w:color w:val="auto"/>
          <w:spacing w:val="0"/>
          <w:w w:val="100"/>
          <w:sz w:val="21"/>
          <w:szCs w:val="21"/>
          <w:highlight w:val="none"/>
          <w:vertAlign w:val="baseline"/>
        </w:rPr>
        <w:t>其他企业在深圳交易集团有限公司（深圳公共资源交易中心）-统一用户中心办理企业信息登记（https://trade.szggzy.com/ggzy/center/#/login）。</w:t>
      </w:r>
    </w:p>
    <w:p w14:paraId="6E0D21EC">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8.2投标人应事先办理企业数字证书或电子营业执照及其相关人员的数字证书及录入投标员信息。有关手续请查看交易网的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建设工程</w:t>
      </w:r>
      <w:r>
        <w:rPr>
          <w:rFonts w:hint="eastAsia" w:ascii="宋体" w:hAnsi="宋体" w:eastAsia="宋体" w:cs="宋体"/>
          <w:color w:val="auto"/>
          <w:szCs w:val="21"/>
          <w:highlight w:val="none"/>
        </w:rPr>
        <w:t>数字证书办事指南”</w:t>
      </w:r>
      <w:r>
        <w:rPr>
          <w:rFonts w:hint="eastAsia" w:ascii="宋体" w:hAnsi="宋体" w:eastAsia="宋体" w:cs="宋体"/>
          <w:color w:val="auto"/>
          <w:kern w:val="0"/>
          <w:szCs w:val="21"/>
          <w:highlight w:val="none"/>
        </w:rPr>
        <w:t>。市住房和建设局企业与人员信息半天交换一次，请投标人提前办好备案和变更手续。使用电子营业执照的，须提前在国家市场监督管理监管总局“电子营业执照”微信小程序电子营业执照应用程序中下载本企业电子营业执照，有关手续请查看“电子营业执照用户使用手册”。</w:t>
      </w:r>
    </w:p>
    <w:p w14:paraId="09E7500B">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8.3投标人所提交电子投标文件格式为*.SJTB，资格审查文件格式为*.SJTZS，业绩文件格式为*.SJTYJ。这些文件格式必须是由交易网所下载最新版本的“电子文件编制工具”生成。因电子投标文件编制不规范而导致投标文件内容无法导入系统导致不利后果的，由投标人自行承担。编制投标文件时，如需粘贴图片，</w:t>
      </w:r>
      <w:r>
        <w:rPr>
          <w:rFonts w:hint="eastAsia" w:ascii="宋体" w:hAnsi="宋体" w:eastAsia="宋体" w:cs="宋体"/>
          <w:color w:val="auto"/>
          <w:szCs w:val="21"/>
          <w:highlight w:val="none"/>
        </w:rPr>
        <w:t>可使用JPG/PNG/BMP格式</w:t>
      </w:r>
      <w:r>
        <w:rPr>
          <w:rFonts w:hint="eastAsia" w:ascii="宋体" w:hAnsi="宋体" w:eastAsia="宋体" w:cs="宋体"/>
          <w:color w:val="auto"/>
          <w:kern w:val="0"/>
          <w:szCs w:val="21"/>
          <w:highlight w:val="none"/>
        </w:rPr>
        <w:t>，且其分辨率不得低于100dpi。设计文本文件和资信标一共所占用磁盘空间必须小于50M，方案演示文件所占用磁盘空间必须小于1024M，展示图板所占用磁盘空间必须小于1024M，资格审查文件所占用磁盘空间必须小于200M。</w:t>
      </w:r>
    </w:p>
    <w:p w14:paraId="1F9505D7">
      <w:pPr>
        <w:adjustRightInd w:val="0"/>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8.4  招标人提供了方案设计阶段BIM成果文件的，投标人应在该文件的基础上应用BIM技术进行深化设计，在编制BIM标书文件时，使用符合</w:t>
      </w:r>
      <w:r>
        <w:rPr>
          <w:rFonts w:hint="eastAsia" w:ascii="宋体" w:hAnsi="宋体" w:eastAsia="宋体" w:cs="宋体"/>
          <w:color w:val="auto"/>
          <w:highlight w:val="none"/>
        </w:rPr>
        <w:t>建设工程招投标平台</w:t>
      </w:r>
      <w:r>
        <w:rPr>
          <w:rFonts w:hint="eastAsia" w:ascii="宋体" w:hAnsi="宋体" w:eastAsia="宋体" w:cs="宋体"/>
          <w:color w:val="auto"/>
          <w:szCs w:val="21"/>
          <w:highlight w:val="none"/>
        </w:rPr>
        <w:t xml:space="preserve"> BIM 电子招投标系统兼容要求的设计模型标书编制工具，将 BIM 模型、地标文件及相关附件进行整合，整合完成后将输出资料导入“电子文件编制工具”进行签名，生成 BIM 标书文件(格式为*</w:t>
      </w:r>
      <w:r>
        <w:rPr>
          <w:rFonts w:hint="eastAsia" w:ascii="宋体" w:hAnsi="宋体" w:eastAsia="宋体" w:cs="宋体"/>
          <w:color w:val="auto"/>
          <w:kern w:val="0"/>
          <w:szCs w:val="21"/>
          <w:highlight w:val="none"/>
        </w:rPr>
        <w:t>SJTB</w:t>
      </w:r>
      <w:r>
        <w:rPr>
          <w:rFonts w:hint="eastAsia" w:ascii="宋体" w:hAnsi="宋体" w:eastAsia="宋体" w:cs="宋体"/>
          <w:color w:val="auto"/>
          <w:szCs w:val="21"/>
          <w:highlight w:val="none"/>
        </w:rPr>
        <w:t>)。BIM模型的建模范围、建模精度、成果文件格式等应当符合招标文件的要求，BIM模型所占用磁盘空间建议小于 400M。</w:t>
      </w:r>
    </w:p>
    <w:p w14:paraId="0043EC14">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8.5电子投标文件必须具有数字证书或电子营业执照签名，方为合法、有效；因未对电子文件进行数字证书或电子营业执照签名导致不利后果的，由投标人自行承担。</w:t>
      </w:r>
    </w:p>
    <w:p w14:paraId="57DD3D14">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在电子投标文件编制工具中，生成电子标书时，必须对电子标书进行《单位机构数字证书》或电子营业执照签名以及《法定代表人个人数字证书》签名。</w:t>
      </w:r>
    </w:p>
    <w:p w14:paraId="5F3596DA">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8.6投标人应严格按招标文件要求，在截标前使用投标人（或联合体主体）单位机构数字证书或电子营业执照，通过交易平台递交电子投标文件，上传成功后打印回执；为防止网络阻塞，建议预留充足时间上传投标文件。投标人在递交投标文件时登记的投标员应为本单位在职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在该</w:t>
      </w:r>
      <w:r>
        <w:rPr>
          <w:rFonts w:hint="eastAsia" w:ascii="宋体" w:hAnsi="宋体" w:eastAsia="宋体" w:cs="宋体"/>
          <w:color w:val="auto"/>
          <w:kern w:val="0"/>
          <w:szCs w:val="21"/>
          <w:highlight w:val="none"/>
          <w:lang w:eastAsia="zh-CN"/>
        </w:rPr>
        <w:t>单位工作且签订劳动合同,并</w:t>
      </w:r>
      <w:r>
        <w:rPr>
          <w:rFonts w:hint="eastAsia" w:ascii="宋体" w:hAnsi="宋体" w:eastAsia="宋体" w:cs="宋体"/>
          <w:color w:val="auto"/>
          <w:kern w:val="0"/>
          <w:szCs w:val="21"/>
          <w:highlight w:val="none"/>
          <w:lang w:val="en-US" w:eastAsia="zh-CN"/>
        </w:rPr>
        <w:t>由该</w:t>
      </w:r>
      <w:r>
        <w:rPr>
          <w:rFonts w:hint="eastAsia" w:ascii="宋体" w:hAnsi="宋体" w:eastAsia="宋体" w:cs="宋体"/>
          <w:color w:val="auto"/>
          <w:kern w:val="0"/>
          <w:szCs w:val="21"/>
          <w:highlight w:val="none"/>
          <w:lang w:eastAsia="zh-CN"/>
        </w:rPr>
        <w:t>单位</w:t>
      </w:r>
      <w:r>
        <w:rPr>
          <w:rFonts w:hint="eastAsia" w:ascii="宋体" w:hAnsi="宋体" w:eastAsia="宋体" w:cs="宋体"/>
          <w:color w:val="auto"/>
          <w:kern w:val="0"/>
          <w:szCs w:val="21"/>
          <w:highlight w:val="none"/>
          <w:lang w:val="en-US" w:eastAsia="zh-CN"/>
        </w:rPr>
        <w:t>购买</w:t>
      </w:r>
      <w:r>
        <w:rPr>
          <w:rFonts w:hint="eastAsia" w:ascii="宋体" w:hAnsi="宋体" w:eastAsia="宋体" w:cs="宋体"/>
          <w:color w:val="auto"/>
          <w:kern w:val="0"/>
          <w:szCs w:val="21"/>
          <w:highlight w:val="none"/>
          <w:lang w:eastAsia="zh-CN"/>
        </w:rPr>
        <w:t>社会保险</w:t>
      </w:r>
      <w:r>
        <w:rPr>
          <w:rFonts w:hint="eastAsia" w:ascii="宋体" w:hAnsi="宋体" w:eastAsia="宋体" w:cs="宋体"/>
          <w:color w:val="auto"/>
          <w:kern w:val="0"/>
          <w:szCs w:val="21"/>
          <w:highlight w:val="none"/>
          <w:lang w:val="en-US" w:eastAsia="zh-CN"/>
        </w:rPr>
        <w:t>的人员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，投标人应对投标员身份信息的真实性、有效性负责。</w:t>
      </w:r>
    </w:p>
    <w:p w14:paraId="6871126F">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8.7投标人可使用电子投标文件编制工具中的加密功能对电子投标文件中各部分内容进行加密（可使用数字证书或电子营业执照进行加密）,其中：用于投标文件加密的数字证书必须是本单位的任意一个数字证书，包括机构数字证书、机构个人数字证书。用于投标文件加密的电子营业执照必须是由本单位法定代表人在市场监督管理总局的电子营业执照小程序中下载的真实有效的电子营业执照，且投标操作人员须法定代表人在授权并下载本单位电子营业执照后才可进行标书加密等相关操作。</w:t>
      </w:r>
    </w:p>
    <w:p w14:paraId="50751010">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对电子投标文件加密的，需在开标会时登录</w:t>
      </w:r>
      <w:r>
        <w:rPr>
          <w:rFonts w:hint="eastAsia" w:ascii="宋体" w:hAnsi="宋体" w:eastAsia="宋体" w:cs="宋体"/>
          <w:color w:val="auto"/>
          <w:kern w:val="0"/>
          <w:szCs w:val="21"/>
          <w:highlight w:val="none"/>
          <w:lang w:val="en-US" w:eastAsia="zh-CN"/>
        </w:rPr>
        <w:t>交易平台</w:t>
      </w:r>
      <w:r>
        <w:rPr>
          <w:rFonts w:hint="eastAsia" w:ascii="宋体" w:hAnsi="宋体" w:eastAsia="宋体" w:cs="宋体"/>
          <w:color w:val="auto"/>
          <w:kern w:val="0"/>
          <w:szCs w:val="21"/>
          <w:highlight w:val="none"/>
        </w:rPr>
        <w:t>远程解密或携带用于加密的数字证书或电子营业执照在开标会上进行解密。因未成功解密导致不利后果的，由投标人自行承担。</w:t>
      </w:r>
    </w:p>
    <w:p w14:paraId="4A6C7ACC">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9.本工程将采用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kern w:val="0"/>
          <w:szCs w:val="21"/>
          <w:highlight w:val="none"/>
        </w:rPr>
        <w:t>进行投标、开标及评标，请认真阅读本说明，若有疑问可通过载明的联系方式要求技术咨询。</w:t>
      </w:r>
    </w:p>
    <w:p w14:paraId="6EEFF8B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十、关于</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咨询方式：</w:t>
      </w:r>
    </w:p>
    <w:p w14:paraId="6F0246DE">
      <w:pPr>
        <w:adjustRightInd w:val="0"/>
        <w:snapToGrid w:val="0"/>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建设工程技术咨询电话:0755-36568999、0755-88653390</w:t>
      </w:r>
      <w:r>
        <w:rPr>
          <w:rFonts w:hint="eastAsia" w:ascii="宋体" w:hAnsi="宋体" w:eastAsia="宋体" w:cs="宋体"/>
          <w:color w:val="auto"/>
          <w:szCs w:val="21"/>
          <w:highlight w:val="none"/>
          <w:lang w:val="en-US" w:eastAsia="zh-CN"/>
        </w:rPr>
        <w:t>。</w:t>
      </w:r>
    </w:p>
    <w:p w14:paraId="31E26C98">
      <w:pPr>
        <w:rPr>
          <w:color w:val="auto"/>
          <w:highlight w:val="none"/>
        </w:rPr>
      </w:pPr>
    </w:p>
    <w:p w14:paraId="1FE8FB60">
      <w:pPr>
        <w:adjustRightInd w:val="0"/>
        <w:snapToGrid w:val="0"/>
        <w:spacing w:before="93" w:beforeLines="30" w:line="360" w:lineRule="auto"/>
        <w:ind w:firstLine="420" w:firstLineChars="200"/>
        <w:jc w:val="left"/>
        <w:rPr>
          <w:rFonts w:ascii="宋体" w:hAnsi="宋体" w:eastAsia="宋体" w:cs="宋体"/>
          <w:color w:val="auto"/>
          <w:kern w:val="0"/>
          <w:szCs w:val="21"/>
          <w:highlight w:val="none"/>
        </w:rPr>
      </w:pPr>
    </w:p>
    <w:p w14:paraId="79433E59">
      <w:pPr>
        <w:adjustRightInd w:val="0"/>
        <w:snapToGrid w:val="0"/>
        <w:spacing w:before="93" w:beforeLines="30" w:line="360" w:lineRule="auto"/>
        <w:jc w:val="left"/>
        <w:rPr>
          <w:rFonts w:ascii="宋体" w:hAnsi="宋体" w:eastAsia="宋体" w:cs="宋体"/>
          <w:color w:val="auto"/>
          <w:kern w:val="0"/>
          <w:szCs w:val="21"/>
          <w:highlight w:val="none"/>
        </w:rPr>
      </w:pPr>
    </w:p>
    <w:tbl>
      <w:tblPr>
        <w:tblStyle w:val="79"/>
        <w:tblW w:w="9854" w:type="dxa"/>
        <w:jc w:val="center"/>
        <w:tblLayout w:type="fixed"/>
        <w:tblCellMar>
          <w:top w:w="0" w:type="dxa"/>
          <w:left w:w="108" w:type="dxa"/>
          <w:bottom w:w="0" w:type="dxa"/>
          <w:right w:w="108" w:type="dxa"/>
        </w:tblCellMar>
      </w:tblPr>
      <w:tblGrid>
        <w:gridCol w:w="1587"/>
        <w:gridCol w:w="3212"/>
        <w:gridCol w:w="1957"/>
        <w:gridCol w:w="3098"/>
      </w:tblGrid>
      <w:tr w14:paraId="00AE5C03">
        <w:tblPrEx>
          <w:tblCellMar>
            <w:top w:w="0" w:type="dxa"/>
            <w:left w:w="108" w:type="dxa"/>
            <w:bottom w:w="0" w:type="dxa"/>
            <w:right w:w="108" w:type="dxa"/>
          </w:tblCellMar>
        </w:tblPrEx>
        <w:trPr>
          <w:trHeight w:val="454" w:hRule="atLeast"/>
          <w:jc w:val="center"/>
        </w:trPr>
        <w:tc>
          <w:tcPr>
            <w:tcW w:w="1587" w:type="dxa"/>
            <w:shd w:val="clear" w:color="auto" w:fill="auto"/>
            <w:vAlign w:val="center"/>
          </w:tcPr>
          <w:p w14:paraId="17A2B1E3">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 标 人：</w:t>
            </w:r>
          </w:p>
        </w:tc>
        <w:tc>
          <w:tcPr>
            <w:tcW w:w="3212" w:type="dxa"/>
            <w:shd w:val="clear" w:color="auto" w:fill="auto"/>
            <w:vAlign w:val="center"/>
          </w:tcPr>
          <w:p w14:paraId="246D2CAD">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1957" w:type="dxa"/>
            <w:shd w:val="clear" w:color="auto" w:fill="auto"/>
            <w:vAlign w:val="center"/>
          </w:tcPr>
          <w:p w14:paraId="2EE51209">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098" w:type="dxa"/>
            <w:shd w:val="clear" w:color="auto" w:fill="auto"/>
            <w:vAlign w:val="center"/>
          </w:tcPr>
          <w:p w14:paraId="16583118">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14:paraId="48009853">
        <w:tblPrEx>
          <w:tblCellMar>
            <w:top w:w="0" w:type="dxa"/>
            <w:left w:w="108" w:type="dxa"/>
            <w:bottom w:w="0" w:type="dxa"/>
            <w:right w:w="108" w:type="dxa"/>
          </w:tblCellMar>
        </w:tblPrEx>
        <w:trPr>
          <w:trHeight w:val="454" w:hRule="atLeast"/>
          <w:jc w:val="center"/>
        </w:trPr>
        <w:tc>
          <w:tcPr>
            <w:tcW w:w="1587" w:type="dxa"/>
            <w:shd w:val="clear" w:color="auto" w:fill="auto"/>
            <w:vAlign w:val="center"/>
          </w:tcPr>
          <w:p w14:paraId="35074233">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p>
        </w:tc>
        <w:tc>
          <w:tcPr>
            <w:tcW w:w="3212" w:type="dxa"/>
            <w:shd w:val="clear" w:color="auto" w:fill="auto"/>
            <w:vAlign w:val="center"/>
          </w:tcPr>
          <w:p w14:paraId="5AB3E4D4">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1957" w:type="dxa"/>
            <w:shd w:val="clear" w:color="auto" w:fill="auto"/>
            <w:vAlign w:val="center"/>
          </w:tcPr>
          <w:p w14:paraId="0F8CC54B">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w:t>
            </w:r>
          </w:p>
          <w:p w14:paraId="5AE4A057">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其委托代理人：</w:t>
            </w:r>
          </w:p>
        </w:tc>
        <w:tc>
          <w:tcPr>
            <w:tcW w:w="3098" w:type="dxa"/>
            <w:shd w:val="clear" w:color="auto" w:fill="auto"/>
            <w:vAlign w:val="center"/>
          </w:tcPr>
          <w:p w14:paraId="114AA1BD">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14:paraId="35CC0A44">
        <w:tblPrEx>
          <w:tblCellMar>
            <w:top w:w="0" w:type="dxa"/>
            <w:left w:w="108" w:type="dxa"/>
            <w:bottom w:w="0" w:type="dxa"/>
            <w:right w:w="108" w:type="dxa"/>
          </w:tblCellMar>
        </w:tblPrEx>
        <w:trPr>
          <w:trHeight w:val="454" w:hRule="atLeast"/>
          <w:jc w:val="center"/>
        </w:trPr>
        <w:tc>
          <w:tcPr>
            <w:tcW w:w="1587" w:type="dxa"/>
            <w:shd w:val="clear" w:color="auto" w:fill="auto"/>
            <w:vAlign w:val="center"/>
          </w:tcPr>
          <w:p w14:paraId="58237F81">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w:t>
            </w:r>
          </w:p>
        </w:tc>
        <w:tc>
          <w:tcPr>
            <w:tcW w:w="3212" w:type="dxa"/>
            <w:shd w:val="clear" w:color="auto" w:fill="auto"/>
            <w:vAlign w:val="center"/>
          </w:tcPr>
          <w:p w14:paraId="3CFAD178">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1957" w:type="dxa"/>
            <w:shd w:val="clear" w:color="auto" w:fill="auto"/>
            <w:vAlign w:val="center"/>
          </w:tcPr>
          <w:p w14:paraId="39C790AF">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w:t>
            </w:r>
          </w:p>
        </w:tc>
        <w:tc>
          <w:tcPr>
            <w:tcW w:w="3098" w:type="dxa"/>
            <w:shd w:val="clear" w:color="auto" w:fill="auto"/>
            <w:vAlign w:val="center"/>
          </w:tcPr>
          <w:p w14:paraId="495CBAE0">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14:paraId="15F41DB7">
        <w:tblPrEx>
          <w:tblCellMar>
            <w:top w:w="0" w:type="dxa"/>
            <w:left w:w="108" w:type="dxa"/>
            <w:bottom w:w="0" w:type="dxa"/>
            <w:right w:w="108" w:type="dxa"/>
          </w:tblCellMar>
        </w:tblPrEx>
        <w:trPr>
          <w:trHeight w:val="454" w:hRule="atLeast"/>
          <w:jc w:val="center"/>
        </w:trPr>
        <w:tc>
          <w:tcPr>
            <w:tcW w:w="1587" w:type="dxa"/>
            <w:shd w:val="clear" w:color="auto" w:fill="auto"/>
            <w:vAlign w:val="center"/>
          </w:tcPr>
          <w:p w14:paraId="08137A78">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3212" w:type="dxa"/>
            <w:shd w:val="clear" w:color="auto" w:fill="auto"/>
            <w:vAlign w:val="center"/>
          </w:tcPr>
          <w:p w14:paraId="1CD3030D">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1957" w:type="dxa"/>
            <w:shd w:val="clear" w:color="auto" w:fill="auto"/>
            <w:vAlign w:val="center"/>
          </w:tcPr>
          <w:p w14:paraId="273C0CCC">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3098" w:type="dxa"/>
            <w:shd w:val="clear" w:color="auto" w:fill="auto"/>
            <w:vAlign w:val="center"/>
          </w:tcPr>
          <w:p w14:paraId="3863DE16">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14:paraId="72AC077E">
        <w:tblPrEx>
          <w:tblCellMar>
            <w:top w:w="0" w:type="dxa"/>
            <w:left w:w="108" w:type="dxa"/>
            <w:bottom w:w="0" w:type="dxa"/>
            <w:right w:w="108" w:type="dxa"/>
          </w:tblCellMar>
        </w:tblPrEx>
        <w:trPr>
          <w:trHeight w:val="454" w:hRule="atLeast"/>
          <w:jc w:val="center"/>
        </w:trPr>
        <w:tc>
          <w:tcPr>
            <w:tcW w:w="1587" w:type="dxa"/>
            <w:shd w:val="clear" w:color="auto" w:fill="auto"/>
            <w:vAlign w:val="center"/>
          </w:tcPr>
          <w:p w14:paraId="397DDBE8">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传真电话：</w:t>
            </w:r>
          </w:p>
        </w:tc>
        <w:tc>
          <w:tcPr>
            <w:tcW w:w="3212" w:type="dxa"/>
            <w:shd w:val="clear" w:color="auto" w:fill="auto"/>
            <w:vAlign w:val="center"/>
          </w:tcPr>
          <w:p w14:paraId="3442D821">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1957" w:type="dxa"/>
            <w:shd w:val="clear" w:color="auto" w:fill="auto"/>
            <w:vAlign w:val="center"/>
          </w:tcPr>
          <w:p w14:paraId="64422478">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传真电话：</w:t>
            </w:r>
          </w:p>
        </w:tc>
        <w:tc>
          <w:tcPr>
            <w:tcW w:w="3098" w:type="dxa"/>
            <w:shd w:val="clear" w:color="auto" w:fill="auto"/>
            <w:vAlign w:val="center"/>
          </w:tcPr>
          <w:p w14:paraId="3DA39C3B">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14:paraId="609BF906">
        <w:tblPrEx>
          <w:tblCellMar>
            <w:top w:w="0" w:type="dxa"/>
            <w:left w:w="108" w:type="dxa"/>
            <w:bottom w:w="0" w:type="dxa"/>
            <w:right w:w="108" w:type="dxa"/>
          </w:tblCellMar>
        </w:tblPrEx>
        <w:trPr>
          <w:trHeight w:val="454" w:hRule="atLeast"/>
          <w:jc w:val="center"/>
        </w:trPr>
        <w:tc>
          <w:tcPr>
            <w:tcW w:w="1587" w:type="dxa"/>
            <w:shd w:val="clear" w:color="auto" w:fill="auto"/>
            <w:vAlign w:val="center"/>
          </w:tcPr>
          <w:p w14:paraId="7539789B">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w:t>
            </w:r>
          </w:p>
        </w:tc>
        <w:tc>
          <w:tcPr>
            <w:tcW w:w="3212" w:type="dxa"/>
            <w:shd w:val="clear" w:color="auto" w:fill="auto"/>
            <w:vAlign w:val="center"/>
          </w:tcPr>
          <w:p w14:paraId="479633DC">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1957" w:type="dxa"/>
            <w:shd w:val="clear" w:color="auto" w:fill="auto"/>
            <w:vAlign w:val="center"/>
          </w:tcPr>
          <w:p w14:paraId="31CE9C6E">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w:t>
            </w:r>
          </w:p>
        </w:tc>
        <w:tc>
          <w:tcPr>
            <w:tcW w:w="3098" w:type="dxa"/>
            <w:shd w:val="clear" w:color="auto" w:fill="auto"/>
            <w:vAlign w:val="center"/>
          </w:tcPr>
          <w:p w14:paraId="76DB38FE">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14:paraId="0726B52E">
        <w:tblPrEx>
          <w:tblCellMar>
            <w:top w:w="0" w:type="dxa"/>
            <w:left w:w="108" w:type="dxa"/>
            <w:bottom w:w="0" w:type="dxa"/>
            <w:right w:w="108" w:type="dxa"/>
          </w:tblCellMar>
        </w:tblPrEx>
        <w:trPr>
          <w:trHeight w:val="454" w:hRule="atLeast"/>
          <w:jc w:val="center"/>
        </w:trPr>
        <w:tc>
          <w:tcPr>
            <w:tcW w:w="1587" w:type="dxa"/>
            <w:shd w:val="clear" w:color="auto" w:fill="auto"/>
            <w:vAlign w:val="center"/>
          </w:tcPr>
          <w:p w14:paraId="1AA25719">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p>
        </w:tc>
        <w:tc>
          <w:tcPr>
            <w:tcW w:w="3212" w:type="dxa"/>
            <w:shd w:val="clear" w:color="auto" w:fill="auto"/>
            <w:vAlign w:val="center"/>
          </w:tcPr>
          <w:p w14:paraId="624C465F">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1957" w:type="dxa"/>
            <w:shd w:val="clear" w:color="auto" w:fill="auto"/>
            <w:vAlign w:val="center"/>
          </w:tcPr>
          <w:p w14:paraId="67D6B179">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p>
        </w:tc>
        <w:tc>
          <w:tcPr>
            <w:tcW w:w="3098" w:type="dxa"/>
            <w:shd w:val="clear" w:color="auto" w:fill="auto"/>
            <w:vAlign w:val="center"/>
          </w:tcPr>
          <w:p w14:paraId="47D72D08">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bl>
    <w:p w14:paraId="309D84BB">
      <w:pPr>
        <w:widowControl/>
        <w:spacing w:line="20" w:lineRule="exact"/>
        <w:jc w:val="left"/>
        <w:rPr>
          <w:color w:val="auto"/>
          <w:highlight w:val="none"/>
        </w:rPr>
      </w:pPr>
      <w:r>
        <w:rPr>
          <w:color w:val="auto"/>
          <w:highlight w:val="none"/>
        </w:rPr>
        <w:br w:type="page"/>
      </w:r>
    </w:p>
    <w:p w14:paraId="3B3E014D">
      <w:pPr>
        <w:adjustRightInd w:val="0"/>
        <w:snapToGrid w:val="0"/>
        <w:spacing w:line="360" w:lineRule="auto"/>
        <w:jc w:val="center"/>
        <w:outlineLvl w:val="0"/>
        <w:rPr>
          <w:rFonts w:ascii="黑体" w:eastAsia="黑体"/>
          <w:bCs/>
          <w:color w:val="auto"/>
          <w:kern w:val="0"/>
          <w:sz w:val="32"/>
          <w:szCs w:val="32"/>
          <w:highlight w:val="none"/>
        </w:rPr>
      </w:pPr>
      <w:bookmarkStart w:id="1" w:name="_Toc5080"/>
      <w:r>
        <w:rPr>
          <w:rFonts w:hint="eastAsia" w:ascii="黑体" w:eastAsia="黑体"/>
          <w:bCs/>
          <w:color w:val="auto"/>
          <w:kern w:val="0"/>
          <w:sz w:val="32"/>
          <w:szCs w:val="32"/>
          <w:highlight w:val="none"/>
        </w:rPr>
        <w:t>第二章  投标须知</w:t>
      </w:r>
      <w:bookmarkEnd w:id="1"/>
    </w:p>
    <w:p w14:paraId="3CF4DDF1">
      <w:pPr>
        <w:adjustRightInd w:val="0"/>
        <w:snapToGrid w:val="0"/>
        <w:spacing w:line="360" w:lineRule="auto"/>
        <w:jc w:val="center"/>
        <w:outlineLvl w:val="1"/>
        <w:rPr>
          <w:rFonts w:ascii="黑体" w:hAnsi="黑体" w:eastAsia="黑体" w:cs="黑体"/>
          <w:bCs/>
          <w:color w:val="auto"/>
          <w:kern w:val="0"/>
          <w:sz w:val="32"/>
          <w:szCs w:val="32"/>
          <w:highlight w:val="none"/>
        </w:rPr>
      </w:pPr>
      <w:bookmarkStart w:id="2" w:name="_Toc8591"/>
      <w:r>
        <w:rPr>
          <w:rFonts w:hint="eastAsia" w:ascii="黑体" w:hAnsi="黑体" w:eastAsia="黑体" w:cs="黑体"/>
          <w:bCs/>
          <w:color w:val="auto"/>
          <w:kern w:val="0"/>
          <w:sz w:val="32"/>
          <w:szCs w:val="32"/>
          <w:highlight w:val="none"/>
        </w:rPr>
        <w:t>一、 投标须知前附表</w:t>
      </w:r>
      <w:bookmarkEnd w:id="2"/>
    </w:p>
    <w:p w14:paraId="052D4E42">
      <w:pPr>
        <w:adjustRightInd w:val="0"/>
        <w:snapToGrid w:val="0"/>
        <w:spacing w:line="360" w:lineRule="auto"/>
        <w:jc w:val="center"/>
        <w:outlineLvl w:val="2"/>
        <w:rPr>
          <w:rFonts w:ascii="宋体" w:hAnsi="宋体" w:eastAsia="宋体" w:cs="宋体"/>
          <w:b/>
          <w:color w:val="auto"/>
          <w:kern w:val="0"/>
          <w:sz w:val="30"/>
          <w:szCs w:val="30"/>
          <w:highlight w:val="none"/>
        </w:rPr>
      </w:pPr>
      <w:bookmarkStart w:id="3" w:name="_Toc19411"/>
      <w:r>
        <w:rPr>
          <w:rFonts w:hint="eastAsia" w:ascii="宋体" w:hAnsi="宋体" w:eastAsia="宋体" w:cs="宋体"/>
          <w:b/>
          <w:color w:val="auto"/>
          <w:kern w:val="0"/>
          <w:sz w:val="30"/>
          <w:szCs w:val="30"/>
          <w:highlight w:val="none"/>
        </w:rPr>
        <w:t>（一）招标项目基本情况</w:t>
      </w:r>
      <w:bookmarkEnd w:id="3"/>
    </w:p>
    <w:tbl>
      <w:tblPr>
        <w:tblStyle w:val="79"/>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115"/>
        <w:gridCol w:w="6588"/>
      </w:tblGrid>
      <w:tr w14:paraId="326F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80" w:type="dxa"/>
            <w:shd w:val="clear" w:color="auto" w:fill="auto"/>
            <w:vAlign w:val="center"/>
          </w:tcPr>
          <w:p w14:paraId="0DBFC08C">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115" w:type="dxa"/>
            <w:shd w:val="clear" w:color="auto" w:fill="auto"/>
            <w:vAlign w:val="center"/>
          </w:tcPr>
          <w:p w14:paraId="4D977837">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内容</w:t>
            </w:r>
          </w:p>
        </w:tc>
        <w:tc>
          <w:tcPr>
            <w:tcW w:w="6588" w:type="dxa"/>
            <w:shd w:val="clear" w:color="auto" w:fill="auto"/>
            <w:vAlign w:val="center"/>
          </w:tcPr>
          <w:p w14:paraId="7A8AD723">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规 定</w:t>
            </w:r>
          </w:p>
        </w:tc>
      </w:tr>
      <w:tr w14:paraId="4196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shd w:val="clear" w:color="auto" w:fill="auto"/>
            <w:vAlign w:val="center"/>
          </w:tcPr>
          <w:p w14:paraId="05FA5129">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15" w:type="dxa"/>
            <w:shd w:val="clear" w:color="auto" w:fill="auto"/>
            <w:vAlign w:val="center"/>
          </w:tcPr>
          <w:p w14:paraId="5CCED12E">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标段名称</w:t>
            </w:r>
          </w:p>
        </w:tc>
        <w:tc>
          <w:tcPr>
            <w:tcW w:w="6588" w:type="dxa"/>
            <w:shd w:val="clear" w:color="auto" w:fill="auto"/>
            <w:vAlign w:val="center"/>
          </w:tcPr>
          <w:p w14:paraId="753334B2">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14:paraId="1D40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shd w:val="clear" w:color="auto" w:fill="auto"/>
            <w:vAlign w:val="center"/>
          </w:tcPr>
          <w:p w14:paraId="246C3005">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115" w:type="dxa"/>
            <w:shd w:val="clear" w:color="auto" w:fill="auto"/>
            <w:vAlign w:val="center"/>
          </w:tcPr>
          <w:p w14:paraId="73084774">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工程地点</w:t>
            </w:r>
          </w:p>
        </w:tc>
        <w:tc>
          <w:tcPr>
            <w:tcW w:w="6588" w:type="dxa"/>
            <w:shd w:val="clear" w:color="auto" w:fill="auto"/>
            <w:vAlign w:val="center"/>
          </w:tcPr>
          <w:p w14:paraId="416148A8">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14:paraId="635A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shd w:val="clear" w:color="auto" w:fill="auto"/>
            <w:vAlign w:val="center"/>
          </w:tcPr>
          <w:p w14:paraId="4F204B59">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115" w:type="dxa"/>
            <w:shd w:val="clear" w:color="auto" w:fill="auto"/>
            <w:vAlign w:val="center"/>
          </w:tcPr>
          <w:p w14:paraId="6AC5EF08">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是否场外工程</w:t>
            </w:r>
          </w:p>
        </w:tc>
        <w:tc>
          <w:tcPr>
            <w:tcW w:w="6588" w:type="dxa"/>
            <w:shd w:val="clear" w:color="auto" w:fill="auto"/>
            <w:vAlign w:val="center"/>
          </w:tcPr>
          <w:p w14:paraId="5675C424">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   □否</w:t>
            </w:r>
          </w:p>
          <w:p w14:paraId="243E34FA">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行政监督部门</w:t>
            </w:r>
            <w:r>
              <w:rPr>
                <w:rFonts w:hint="eastAsia" w:ascii="宋体" w:hAnsi="宋体" w:eastAsia="宋体" w:cs="宋体"/>
                <w:color w:val="auto"/>
                <w:kern w:val="0"/>
                <w:szCs w:val="21"/>
                <w:highlight w:val="none"/>
                <w:u w:val="single"/>
              </w:rPr>
              <w:t xml:space="preserve">      </w:t>
            </w:r>
          </w:p>
        </w:tc>
      </w:tr>
      <w:tr w14:paraId="6761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shd w:val="clear" w:color="auto" w:fill="auto"/>
            <w:vAlign w:val="center"/>
          </w:tcPr>
          <w:p w14:paraId="2DE2FCE4">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115" w:type="dxa"/>
            <w:shd w:val="clear" w:color="auto" w:fill="auto"/>
            <w:vAlign w:val="center"/>
          </w:tcPr>
          <w:p w14:paraId="14FD9CB0">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工程规模及主要特征</w:t>
            </w:r>
          </w:p>
        </w:tc>
        <w:tc>
          <w:tcPr>
            <w:tcW w:w="6588" w:type="dxa"/>
            <w:shd w:val="clear" w:color="auto" w:fill="auto"/>
            <w:vAlign w:val="center"/>
          </w:tcPr>
          <w:p w14:paraId="62D29B88">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u w:val="single"/>
              </w:rPr>
              <w:t xml:space="preserve">      </w:t>
            </w:r>
          </w:p>
        </w:tc>
      </w:tr>
      <w:tr w14:paraId="20E0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shd w:val="clear" w:color="auto" w:fill="auto"/>
            <w:vAlign w:val="center"/>
          </w:tcPr>
          <w:p w14:paraId="09E0D958">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115" w:type="dxa"/>
            <w:shd w:val="clear" w:color="auto" w:fill="auto"/>
            <w:vAlign w:val="center"/>
          </w:tcPr>
          <w:p w14:paraId="54E627A2">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6588" w:type="dxa"/>
            <w:shd w:val="clear" w:color="auto" w:fill="auto"/>
            <w:vAlign w:val="center"/>
          </w:tcPr>
          <w:p w14:paraId="612B3AFD">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u w:val="single"/>
              </w:rPr>
              <w:t xml:space="preserve">      </w:t>
            </w:r>
          </w:p>
        </w:tc>
      </w:tr>
      <w:tr w14:paraId="157F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680" w:type="dxa"/>
            <w:vMerge w:val="restart"/>
            <w:shd w:val="clear" w:color="auto" w:fill="auto"/>
            <w:vAlign w:val="center"/>
          </w:tcPr>
          <w:p w14:paraId="41D652A7">
            <w:pPr>
              <w:adjustRightInd w:val="0"/>
              <w:snapToGri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2115" w:type="dxa"/>
            <w:vMerge w:val="restart"/>
            <w:shd w:val="clear" w:color="auto" w:fill="auto"/>
            <w:vAlign w:val="center"/>
          </w:tcPr>
          <w:p w14:paraId="24CB6D39">
            <w:pPr>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r>
              <w:rPr>
                <w:rFonts w:hint="eastAsia" w:ascii="宋体" w:hAnsi="宋体" w:eastAsia="宋体" w:cs="宋体"/>
                <w:color w:val="auto"/>
                <w:kern w:val="0"/>
                <w:szCs w:val="21"/>
                <w:highlight w:val="none"/>
                <w:lang w:eastAsia="zh-CN"/>
              </w:rPr>
              <w:t>及支持中小企业发展措施</w:t>
            </w:r>
          </w:p>
        </w:tc>
        <w:tc>
          <w:tcPr>
            <w:tcW w:w="6588" w:type="dxa"/>
            <w:shd w:val="clear" w:color="auto" w:fill="auto"/>
            <w:vAlign w:val="center"/>
          </w:tcPr>
          <w:p w14:paraId="51DB05A1">
            <w:pPr>
              <w:adjustRightInd/>
              <w:snapToGrid/>
              <w:spacing w:line="240" w:lineRule="auto"/>
              <w:rPr>
                <w:rFonts w:hint="eastAsia" w:ascii="宋体" w:hAnsi="宋体" w:eastAsia="宋体" w:cs="宋体"/>
                <w:bCs/>
                <w:color w:val="auto"/>
                <w:kern w:val="0"/>
                <w:szCs w:val="21"/>
                <w:highlight w:val="none"/>
                <w:u w:val="none"/>
              </w:rPr>
            </w:pPr>
            <w:r>
              <w:rPr>
                <w:rFonts w:hint="eastAsia" w:ascii="宋体" w:hAnsi="宋体" w:eastAsia="宋体" w:cs="宋体"/>
                <w:bCs/>
                <w:color w:val="auto"/>
                <w:kern w:val="0"/>
                <w:szCs w:val="21"/>
                <w:highlight w:val="none"/>
                <w:u w:val="none"/>
                <w:lang w:eastAsia="zh-CN"/>
              </w:rPr>
              <w:t>资金来源：</w:t>
            </w:r>
            <w:r>
              <w:rPr>
                <w:rFonts w:hint="eastAsia" w:ascii="宋体" w:hAnsi="宋体" w:eastAsia="宋体" w:cs="宋体"/>
                <w:bCs/>
                <w:color w:val="auto"/>
                <w:kern w:val="0"/>
                <w:szCs w:val="21"/>
                <w:highlight w:val="none"/>
                <w:u w:val="none"/>
              </w:rPr>
              <w:t xml:space="preserve"> </w:t>
            </w:r>
            <w:r>
              <w:rPr>
                <w:rFonts w:hint="eastAsia" w:ascii="宋体" w:hAnsi="宋体" w:eastAsia="宋体" w:cs="宋体"/>
                <w:bCs/>
                <w:color w:val="auto"/>
                <w:kern w:val="0"/>
                <w:szCs w:val="21"/>
                <w:highlight w:val="none"/>
                <w:u w:val="none"/>
                <w:lang w:val="en-US" w:eastAsia="zh-CN"/>
              </w:rPr>
              <w:t xml:space="preserve">     </w:t>
            </w:r>
            <w:r>
              <w:rPr>
                <w:rFonts w:hint="eastAsia" w:ascii="宋体" w:hAnsi="宋体" w:eastAsia="宋体" w:cs="宋体"/>
                <w:bCs/>
                <w:color w:val="auto"/>
                <w:kern w:val="0"/>
                <w:szCs w:val="21"/>
                <w:highlight w:val="none"/>
                <w:u w:val="none"/>
              </w:rPr>
              <w:t xml:space="preserve">     </w:t>
            </w:r>
          </w:p>
          <w:p w14:paraId="7346BE73">
            <w:pPr>
              <w:adjustRightInd/>
              <w:snapToGrid/>
              <w:spacing w:line="24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政府投资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14:paraId="5D99CD90">
            <w:pPr>
              <w:adjustRightInd/>
              <w:snapToGrid/>
              <w:spacing w:line="24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□国有企业投资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14:paraId="488E1936">
            <w:pPr>
              <w:adjustRightInd/>
              <w:snapToGrid/>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□集体资金投资</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14:paraId="129C0238">
            <w:pPr>
              <w:adjustRightInd/>
              <w:snapToGrid/>
              <w:spacing w:line="240" w:lineRule="auto"/>
              <w:rPr>
                <w:rFonts w:hint="eastAsia" w:ascii="宋体" w:hAnsi="宋体" w:eastAsia="宋体" w:cs="宋体"/>
                <w:bCs/>
                <w:color w:val="auto"/>
                <w:kern w:val="0"/>
                <w:szCs w:val="21"/>
                <w:highlight w:val="none"/>
                <w:u w:val="single"/>
                <w:lang w:val="en-US" w:eastAsia="zh-CN"/>
              </w:rPr>
            </w:pP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tc>
      </w:tr>
      <w:tr w14:paraId="2EED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shd w:val="clear" w:color="auto" w:fill="auto"/>
            <w:vAlign w:val="center"/>
          </w:tcPr>
          <w:p w14:paraId="6366A839">
            <w:pPr>
              <w:adjustRightInd w:val="0"/>
              <w:snapToGrid w:val="0"/>
              <w:spacing w:line="360" w:lineRule="auto"/>
              <w:jc w:val="center"/>
              <w:rPr>
                <w:rFonts w:hint="eastAsia" w:ascii="宋体" w:hAnsi="宋体" w:eastAsia="宋体" w:cs="宋体"/>
                <w:color w:val="auto"/>
                <w:kern w:val="0"/>
                <w:szCs w:val="21"/>
                <w:highlight w:val="none"/>
                <w:lang w:val="en-US" w:eastAsia="zh-CN"/>
              </w:rPr>
            </w:pPr>
          </w:p>
        </w:tc>
        <w:tc>
          <w:tcPr>
            <w:tcW w:w="2115" w:type="dxa"/>
            <w:vMerge w:val="continue"/>
            <w:shd w:val="clear" w:color="auto" w:fill="auto"/>
            <w:vAlign w:val="center"/>
          </w:tcPr>
          <w:p w14:paraId="6C9D6215">
            <w:pPr>
              <w:adjustRightInd w:val="0"/>
              <w:snapToGrid w:val="0"/>
              <w:spacing w:line="360" w:lineRule="auto"/>
              <w:jc w:val="center"/>
              <w:rPr>
                <w:rFonts w:hint="eastAsia" w:ascii="宋体" w:hAnsi="宋体" w:eastAsia="宋体" w:cs="宋体"/>
                <w:color w:val="auto"/>
                <w:kern w:val="0"/>
                <w:szCs w:val="21"/>
                <w:highlight w:val="none"/>
              </w:rPr>
            </w:pPr>
          </w:p>
        </w:tc>
        <w:tc>
          <w:tcPr>
            <w:tcW w:w="6588" w:type="dxa"/>
            <w:shd w:val="clear" w:color="auto" w:fill="auto"/>
            <w:vAlign w:val="center"/>
          </w:tcPr>
          <w:p w14:paraId="50B17C47">
            <w:pPr>
              <w:adjustRightInd w:val="0"/>
              <w:snapToGrid w:val="0"/>
              <w:spacing w:line="360" w:lineRule="auto"/>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val="en-US" w:eastAsia="zh-CN"/>
              </w:rPr>
              <w:t>是否采取下列支持中小企业发展措施：</w:t>
            </w: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是</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kern w:val="0"/>
                <w:szCs w:val="21"/>
                <w:highlight w:val="none"/>
                <w:u w:val="none"/>
                <w:lang w:eastAsia="zh-CN"/>
              </w:rPr>
              <w:t>□否</w:t>
            </w:r>
          </w:p>
          <w:p w14:paraId="44405952">
            <w:pPr>
              <w:adjustRightInd w:val="0"/>
              <w:snapToGrid w:val="0"/>
              <w:spacing w:line="360" w:lineRule="auto"/>
              <w:ind w:firstLine="0" w:firstLineChars="0"/>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同等条件下优先选择符合条件的中小企业中标。</w:t>
            </w:r>
          </w:p>
          <w:p w14:paraId="6BAD067A">
            <w:pPr>
              <w:adjustRightInd w:val="0"/>
              <w:snapToGrid w:val="0"/>
              <w:spacing w:line="360" w:lineRule="auto"/>
              <w:ind w:firstLine="0" w:firstLineChars="0"/>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投标人为大型企业的，中标后需将合同金额的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%依法分包给符合条件的中小企业。</w:t>
            </w:r>
          </w:p>
          <w:p w14:paraId="364983ED">
            <w:pPr>
              <w:adjustRightInd w:val="0"/>
              <w:snapToGrid w:val="0"/>
              <w:spacing w:line="360" w:lineRule="auto"/>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default" w:ascii="宋体" w:hAnsi="宋体" w:eastAsia="宋体" w:cs="宋体"/>
                <w:color w:val="auto"/>
                <w:kern w:val="0"/>
                <w:szCs w:val="21"/>
                <w:highlight w:val="none"/>
                <w:u w:val="none"/>
                <w:lang w:val="en-US" w:eastAsia="zh-CN"/>
              </w:rPr>
              <w:t>以联合体形式参加本次投标的，</w:t>
            </w:r>
            <w:r>
              <w:rPr>
                <w:rFonts w:hint="eastAsia" w:ascii="宋体" w:hAnsi="宋体" w:eastAsia="宋体" w:cs="宋体"/>
                <w:color w:val="auto"/>
                <w:kern w:val="0"/>
                <w:szCs w:val="21"/>
                <w:highlight w:val="none"/>
                <w:u w:val="none"/>
                <w:lang w:val="en-US" w:eastAsia="zh-CN"/>
              </w:rPr>
              <w:t>联合体中中小企业承担的</w:t>
            </w:r>
            <w:r>
              <w:rPr>
                <w:rFonts w:hint="default" w:ascii="宋体" w:hAnsi="宋体" w:eastAsia="宋体" w:cs="宋体"/>
                <w:color w:val="auto"/>
                <w:kern w:val="0"/>
                <w:szCs w:val="21"/>
                <w:highlight w:val="none"/>
                <w:u w:val="none"/>
                <w:lang w:val="en-US" w:eastAsia="zh-CN"/>
              </w:rPr>
              <w:t>合同份额需达到</w:t>
            </w:r>
            <w:r>
              <w:rPr>
                <w:rFonts w:hint="eastAsia" w:ascii="宋体" w:hAnsi="宋体" w:eastAsia="宋体" w:cs="宋体"/>
                <w:color w:val="auto"/>
                <w:kern w:val="0"/>
                <w:szCs w:val="21"/>
                <w:highlight w:val="none"/>
                <w:u w:val="single"/>
                <w:lang w:val="en-US" w:eastAsia="zh-CN"/>
              </w:rPr>
              <w:t xml:space="preserve">   </w:t>
            </w:r>
            <w:r>
              <w:rPr>
                <w:rFonts w:hint="default" w:ascii="宋体" w:hAnsi="宋体" w:eastAsia="宋体" w:cs="宋体"/>
                <w:color w:val="auto"/>
                <w:kern w:val="0"/>
                <w:szCs w:val="21"/>
                <w:highlight w:val="none"/>
                <w:u w:val="none"/>
                <w:lang w:val="en-US" w:eastAsia="zh-CN"/>
              </w:rPr>
              <w:t>%以上。</w:t>
            </w:r>
          </w:p>
          <w:p w14:paraId="6082039A">
            <w:pPr>
              <w:adjustRightInd w:val="0"/>
              <w:snapToGrid w:val="0"/>
              <w:spacing w:line="360" w:lineRule="auto"/>
              <w:rPr>
                <w:color w:val="auto"/>
                <w:highlight w:val="none"/>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val="en-US" w:eastAsia="zh-CN"/>
              </w:rPr>
              <w:t>其他措施</w:t>
            </w:r>
            <w:r>
              <w:rPr>
                <w:rFonts w:hint="eastAsia" w:ascii="宋体" w:hAnsi="宋体" w:eastAsia="宋体" w:cs="宋体"/>
                <w:color w:val="auto"/>
                <w:kern w:val="0"/>
                <w:szCs w:val="21"/>
                <w:highlight w:val="none"/>
                <w:u w:val="single"/>
                <w:lang w:val="en-US" w:eastAsia="zh-CN"/>
              </w:rPr>
              <w:t xml:space="preserve">            </w:t>
            </w:r>
          </w:p>
          <w:p w14:paraId="34BB2B1C">
            <w:pPr>
              <w:adjustRightInd w:val="0"/>
              <w:snapToGrid w:val="0"/>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u w:val="none"/>
                <w:lang w:eastAsia="zh-CN"/>
              </w:rPr>
              <w:t>注：根据《深圳市住房和建设局关于在政府投资建设工程招标投标中落实支持中小企业发展政策的通知》（深建市场〔2024〕3号）的规定，依法必须进行招标且适宜由中小企业承接的</w:t>
            </w:r>
            <w:r>
              <w:rPr>
                <w:rFonts w:hint="eastAsia" w:ascii="宋体" w:hAnsi="宋体" w:eastAsia="宋体" w:cs="宋体"/>
                <w:b/>
                <w:bCs/>
                <w:color w:val="auto"/>
                <w:kern w:val="0"/>
                <w:szCs w:val="21"/>
                <w:highlight w:val="none"/>
                <w:u w:val="none"/>
                <w:lang w:eastAsia="zh-CN"/>
              </w:rPr>
              <w:t>政府投资建设工程项目</w:t>
            </w:r>
            <w:r>
              <w:rPr>
                <w:rFonts w:hint="eastAsia" w:ascii="宋体" w:hAnsi="宋体" w:eastAsia="宋体" w:cs="宋体"/>
                <w:color w:val="auto"/>
                <w:kern w:val="0"/>
                <w:szCs w:val="21"/>
                <w:highlight w:val="none"/>
                <w:u w:val="none"/>
                <w:lang w:eastAsia="zh-CN"/>
              </w:rPr>
              <w:t>，建设单位可以采取相应措施促进中小企业发展，并确保中小企业承接（含分包）部分的预算金额达到项目预算总额的40%</w:t>
            </w:r>
            <w:r>
              <w:rPr>
                <w:rFonts w:hint="eastAsia" w:ascii="宋体" w:hAnsi="宋体" w:eastAsia="宋体" w:cs="宋体"/>
                <w:color w:val="auto"/>
                <w:kern w:val="0"/>
                <w:szCs w:val="21"/>
                <w:highlight w:val="none"/>
                <w:lang w:val="en-US" w:eastAsia="zh-CN"/>
              </w:rPr>
              <w:t>。</w:t>
            </w:r>
          </w:p>
        </w:tc>
      </w:tr>
      <w:tr w14:paraId="44E7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shd w:val="clear" w:color="auto" w:fill="auto"/>
            <w:vAlign w:val="center"/>
          </w:tcPr>
          <w:p w14:paraId="323CD3A0">
            <w:pPr>
              <w:adjustRightInd w:val="0"/>
              <w:snapToGrid w:val="0"/>
              <w:spacing w:line="360" w:lineRule="auto"/>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7</w:t>
            </w:r>
          </w:p>
        </w:tc>
        <w:tc>
          <w:tcPr>
            <w:tcW w:w="2115" w:type="dxa"/>
            <w:shd w:val="clear" w:color="auto" w:fill="auto"/>
            <w:vAlign w:val="center"/>
          </w:tcPr>
          <w:p w14:paraId="1B20F691">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投标人资质要求</w:t>
            </w:r>
          </w:p>
        </w:tc>
        <w:tc>
          <w:tcPr>
            <w:tcW w:w="6588" w:type="dxa"/>
            <w:shd w:val="clear" w:color="auto" w:fill="auto"/>
            <w:vAlign w:val="center"/>
          </w:tcPr>
          <w:p w14:paraId="03EF3AC0">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u w:val="single"/>
              </w:rPr>
              <w:t xml:space="preserve">      </w:t>
            </w:r>
          </w:p>
        </w:tc>
      </w:tr>
      <w:tr w14:paraId="769B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shd w:val="clear" w:color="auto" w:fill="auto"/>
            <w:vAlign w:val="center"/>
          </w:tcPr>
          <w:p w14:paraId="3206D71E">
            <w:pPr>
              <w:adjustRightInd w:val="0"/>
              <w:snapToGrid w:val="0"/>
              <w:spacing w:line="360" w:lineRule="auto"/>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8</w:t>
            </w:r>
          </w:p>
        </w:tc>
        <w:tc>
          <w:tcPr>
            <w:tcW w:w="2115" w:type="dxa"/>
            <w:shd w:val="clear" w:color="auto" w:fill="auto"/>
            <w:vAlign w:val="center"/>
          </w:tcPr>
          <w:p w14:paraId="25A5130F">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投标人业绩要求</w:t>
            </w:r>
          </w:p>
        </w:tc>
        <w:tc>
          <w:tcPr>
            <w:tcW w:w="6588" w:type="dxa"/>
            <w:shd w:val="clear" w:color="auto" w:fill="auto"/>
            <w:vAlign w:val="center"/>
          </w:tcPr>
          <w:p w14:paraId="536A62CD">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14:paraId="3818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80" w:type="dxa"/>
            <w:shd w:val="clear" w:color="auto" w:fill="auto"/>
            <w:vAlign w:val="center"/>
          </w:tcPr>
          <w:p w14:paraId="3FE0C07D">
            <w:pPr>
              <w:adjustRightInd w:val="0"/>
              <w:snapToGrid w:val="0"/>
              <w:spacing w:line="360" w:lineRule="auto"/>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9</w:t>
            </w:r>
          </w:p>
        </w:tc>
        <w:tc>
          <w:tcPr>
            <w:tcW w:w="2115" w:type="dxa"/>
            <w:shd w:val="clear" w:color="auto" w:fill="auto"/>
            <w:vAlign w:val="center"/>
          </w:tcPr>
          <w:p w14:paraId="62B1A3C2">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6588" w:type="dxa"/>
            <w:shd w:val="clear" w:color="auto" w:fill="auto"/>
            <w:vAlign w:val="center"/>
          </w:tcPr>
          <w:p w14:paraId="0E6198CB">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□不接受</w:t>
            </w:r>
          </w:p>
          <w:p w14:paraId="47925BFC">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□接受</w:t>
            </w:r>
          </w:p>
          <w:p w14:paraId="0DE380A5">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注：联合体资质应符合法律法规的规定，并按照联合体协议约定的分工进行认定。</w:t>
            </w:r>
          </w:p>
        </w:tc>
      </w:tr>
      <w:tr w14:paraId="7B4A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shd w:val="clear" w:color="auto" w:fill="auto"/>
            <w:vAlign w:val="center"/>
          </w:tcPr>
          <w:p w14:paraId="748B660D">
            <w:pPr>
              <w:adjustRightInd w:val="0"/>
              <w:snapToGrid w:val="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Cs w:val="21"/>
                <w:highlight w:val="none"/>
                <w:lang w:val="en-US" w:eastAsia="zh-CN"/>
              </w:rPr>
              <w:t>10</w:t>
            </w:r>
          </w:p>
        </w:tc>
        <w:tc>
          <w:tcPr>
            <w:tcW w:w="2115" w:type="dxa"/>
            <w:shd w:val="clear" w:color="auto" w:fill="auto"/>
            <w:vAlign w:val="center"/>
          </w:tcPr>
          <w:p w14:paraId="65496F82">
            <w:pPr>
              <w:adjustRightInd w:val="0"/>
              <w:snapToGrid w:val="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是否接受利害关系单位投标</w:t>
            </w:r>
          </w:p>
        </w:tc>
        <w:tc>
          <w:tcPr>
            <w:tcW w:w="6588" w:type="dxa"/>
            <w:shd w:val="clear" w:color="auto" w:fill="auto"/>
            <w:vAlign w:val="center"/>
          </w:tcPr>
          <w:p w14:paraId="29486748">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□接受    □不接受</w:t>
            </w:r>
          </w:p>
          <w:p w14:paraId="22D92759">
            <w:pPr>
              <w:adjustRightInd w:val="0"/>
              <w:snapToGrid w:val="0"/>
              <w:spacing w:line="360" w:lineRule="auto"/>
              <w:rPr>
                <w:rFonts w:hint="eastAsia" w:ascii="宋体" w:hAnsi="宋体" w:eastAsia="宋体" w:cs="宋体"/>
                <w:b/>
                <w:color w:val="auto"/>
                <w:kern w:val="0"/>
                <w:sz w:val="21"/>
                <w:szCs w:val="21"/>
                <w:highlight w:val="none"/>
                <w:lang w:val="en-US" w:eastAsia="zh-CN" w:bidi="ar-SA"/>
              </w:rPr>
            </w:pPr>
            <w:r>
              <w:rPr>
                <w:rFonts w:hint="default" w:ascii="宋体" w:hAnsi="宋体" w:eastAsia="宋体" w:cs="宋体"/>
                <w:b w:val="0"/>
                <w:bCs w:val="0"/>
                <w:color w:val="auto"/>
                <w:kern w:val="0"/>
                <w:sz w:val="21"/>
                <w:szCs w:val="21"/>
                <w:highlight w:val="none"/>
                <w:lang w:val="en-US" w:eastAsia="zh-CN"/>
              </w:rPr>
              <w:t>招标人可接受与其存在利害关系单位的投标，但在评标委员会评审合格投标人中，按照投标报价由低往高排序，该利害关系单位的排位未在前1/2（含与其中投标报价差价不超过1%的投标人）人数时，不得确定其为中标人</w:t>
            </w:r>
            <w:r>
              <w:rPr>
                <w:rFonts w:hint="eastAsia" w:ascii="宋体" w:hAnsi="宋体" w:eastAsia="宋体" w:cs="宋体"/>
                <w:b w:val="0"/>
                <w:bCs w:val="0"/>
                <w:color w:val="auto"/>
                <w:kern w:val="0"/>
                <w:sz w:val="21"/>
                <w:szCs w:val="21"/>
                <w:highlight w:val="none"/>
                <w:vertAlign w:val="superscript"/>
                <w:lang w:val="en-US" w:eastAsia="zh-CN"/>
              </w:rPr>
              <w:t>[</w:t>
            </w:r>
            <w:r>
              <w:rPr>
                <w:rStyle w:val="136"/>
                <w:rFonts w:hint="eastAsia" w:ascii="宋体" w:hAnsi="宋体" w:eastAsia="宋体" w:cs="宋体"/>
                <w:b w:val="0"/>
                <w:bCs w:val="0"/>
                <w:color w:val="auto"/>
                <w:kern w:val="0"/>
                <w:sz w:val="21"/>
                <w:szCs w:val="21"/>
                <w:highlight w:val="none"/>
                <w:lang w:val="en-US" w:eastAsia="zh-CN"/>
              </w:rPr>
              <w:footnoteReference w:id="0"/>
            </w:r>
            <w:r>
              <w:rPr>
                <w:rFonts w:hint="eastAsia" w:ascii="宋体" w:hAnsi="宋体" w:eastAsia="宋体" w:cs="宋体"/>
                <w:b w:val="0"/>
                <w:bCs w:val="0"/>
                <w:color w:val="auto"/>
                <w:kern w:val="0"/>
                <w:sz w:val="21"/>
                <w:szCs w:val="21"/>
                <w:highlight w:val="none"/>
                <w:vertAlign w:val="superscript"/>
                <w:lang w:val="en-US" w:eastAsia="zh-CN"/>
              </w:rPr>
              <w:t>]</w:t>
            </w:r>
            <w:r>
              <w:rPr>
                <w:rFonts w:hint="default" w:ascii="宋体" w:hAnsi="宋体" w:eastAsia="宋体" w:cs="宋体"/>
                <w:b w:val="0"/>
                <w:bCs w:val="0"/>
                <w:color w:val="auto"/>
                <w:kern w:val="0"/>
                <w:sz w:val="21"/>
                <w:szCs w:val="21"/>
                <w:highlight w:val="none"/>
                <w:lang w:val="en-US" w:eastAsia="zh-CN"/>
              </w:rPr>
              <w:t>。</w:t>
            </w:r>
          </w:p>
        </w:tc>
      </w:tr>
      <w:tr w14:paraId="4B42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shd w:val="clear" w:color="auto" w:fill="auto"/>
            <w:vAlign w:val="center"/>
          </w:tcPr>
          <w:p w14:paraId="6B0CD001">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w:t>
            </w:r>
          </w:p>
        </w:tc>
        <w:tc>
          <w:tcPr>
            <w:tcW w:w="2115" w:type="dxa"/>
            <w:shd w:val="clear" w:color="auto" w:fill="auto"/>
            <w:vAlign w:val="center"/>
          </w:tcPr>
          <w:p w14:paraId="645943B6">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设计周期</w:t>
            </w:r>
          </w:p>
        </w:tc>
        <w:tc>
          <w:tcPr>
            <w:tcW w:w="6588" w:type="dxa"/>
            <w:shd w:val="clear" w:color="auto" w:fill="auto"/>
            <w:vAlign w:val="center"/>
          </w:tcPr>
          <w:p w14:paraId="4884A512">
            <w:pPr>
              <w:tabs>
                <w:tab w:val="left" w:pos="4370"/>
              </w:tabs>
              <w:adjustRightInd w:val="0"/>
              <w:snapToGrid w:val="0"/>
              <w:spacing w:line="360" w:lineRule="auto"/>
              <w:jc w:val="left"/>
              <w:rPr>
                <w:rFonts w:hint="eastAsia" w:ascii="宋体" w:hAnsi="宋体" w:eastAsia="宋体" w:cs="宋体"/>
                <w:b/>
                <w:bCs/>
                <w:color w:val="auto"/>
                <w:kern w:val="0"/>
                <w:szCs w:val="21"/>
                <w:highlight w:val="none"/>
                <w:lang w:eastAsia="zh-CN"/>
              </w:rPr>
            </w:pPr>
            <w:r>
              <w:rPr>
                <w:rFonts w:hint="eastAsia" w:ascii="宋体" w:hAnsi="宋体" w:eastAsia="宋体" w:cs="宋体"/>
                <w:bCs/>
                <w:color w:val="auto"/>
                <w:kern w:val="0"/>
                <w:szCs w:val="21"/>
                <w:highlight w:val="none"/>
                <w:u w:val="single"/>
              </w:rPr>
              <w:t xml:space="preserve">      </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ab/>
            </w:r>
          </w:p>
        </w:tc>
      </w:tr>
      <w:tr w14:paraId="6F29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shd w:val="clear" w:color="auto" w:fill="auto"/>
            <w:vAlign w:val="center"/>
          </w:tcPr>
          <w:p w14:paraId="02363A46">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2</w:t>
            </w:r>
          </w:p>
        </w:tc>
        <w:tc>
          <w:tcPr>
            <w:tcW w:w="2115" w:type="dxa"/>
            <w:shd w:val="clear" w:color="auto" w:fill="auto"/>
            <w:vAlign w:val="center"/>
          </w:tcPr>
          <w:p w14:paraId="33A3750B">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工程总投资估算额</w:t>
            </w:r>
          </w:p>
        </w:tc>
        <w:tc>
          <w:tcPr>
            <w:tcW w:w="6588" w:type="dxa"/>
            <w:shd w:val="clear" w:color="auto" w:fill="auto"/>
            <w:vAlign w:val="center"/>
          </w:tcPr>
          <w:p w14:paraId="1B767544">
            <w:pPr>
              <w:adjustRightInd w:val="0"/>
              <w:snapToGrid w:val="0"/>
              <w:spacing w:line="360" w:lineRule="auto"/>
              <w:jc w:val="left"/>
              <w:rPr>
                <w:rFonts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p>
        </w:tc>
      </w:tr>
      <w:tr w14:paraId="5F1C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shd w:val="clear" w:color="auto" w:fill="auto"/>
            <w:vAlign w:val="center"/>
          </w:tcPr>
          <w:p w14:paraId="4ABD7C81">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13</w:t>
            </w:r>
          </w:p>
        </w:tc>
        <w:tc>
          <w:tcPr>
            <w:tcW w:w="2115" w:type="dxa"/>
            <w:shd w:val="clear" w:color="auto" w:fill="auto"/>
            <w:vAlign w:val="center"/>
          </w:tcPr>
          <w:p w14:paraId="26DC0A14">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资格审查方式</w:t>
            </w:r>
          </w:p>
        </w:tc>
        <w:tc>
          <w:tcPr>
            <w:tcW w:w="6588" w:type="dxa"/>
            <w:shd w:val="clear" w:color="auto" w:fill="auto"/>
            <w:vAlign w:val="center"/>
          </w:tcPr>
          <w:p w14:paraId="29ED33DC">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资格后审。截标后，由招标人登陆交易网进行审查，审查结果在网上公示。</w:t>
            </w:r>
          </w:p>
        </w:tc>
      </w:tr>
      <w:tr w14:paraId="1247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jc w:val="center"/>
        </w:trPr>
        <w:tc>
          <w:tcPr>
            <w:tcW w:w="680" w:type="dxa"/>
            <w:shd w:val="clear" w:color="auto" w:fill="auto"/>
            <w:vAlign w:val="center"/>
          </w:tcPr>
          <w:p w14:paraId="6EB33C16">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4</w:t>
            </w:r>
          </w:p>
        </w:tc>
        <w:tc>
          <w:tcPr>
            <w:tcW w:w="2115" w:type="dxa"/>
            <w:shd w:val="clear" w:color="auto" w:fill="auto"/>
            <w:vAlign w:val="center"/>
          </w:tcPr>
          <w:p w14:paraId="17D303F0">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设计费</w:t>
            </w:r>
          </w:p>
        </w:tc>
        <w:tc>
          <w:tcPr>
            <w:tcW w:w="6588" w:type="dxa"/>
            <w:shd w:val="clear" w:color="auto" w:fill="auto"/>
            <w:vAlign w:val="center"/>
          </w:tcPr>
          <w:p w14:paraId="3647AE6A">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□固定报价</w:t>
            </w:r>
          </w:p>
          <w:p w14:paraId="12023984">
            <w:pPr>
              <w:adjustRightInd w:val="0"/>
              <w:snapToGrid w:val="0"/>
              <w:spacing w:line="360" w:lineRule="auto"/>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□固定总价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14:paraId="55B70F35">
            <w:pPr>
              <w:adjustRightInd w:val="0"/>
              <w:snapToGrid w:val="0"/>
              <w:spacing w:line="360" w:lineRule="auto"/>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□基准价的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2E4F8868">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□浮动报价</w:t>
            </w:r>
          </w:p>
          <w:p w14:paraId="11864408">
            <w:pPr>
              <w:adjustRightInd w:val="0"/>
              <w:snapToGrid w:val="0"/>
              <w:spacing w:line="360" w:lineRule="auto"/>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□不高于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14:paraId="30B889A1">
            <w:pPr>
              <w:adjustRightInd w:val="0"/>
              <w:snapToGrid w:val="0"/>
              <w:spacing w:line="360" w:lineRule="auto"/>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□不高于基准价的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76A2030C">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p w14:paraId="2D38DBFD">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计费依据：</w:t>
            </w:r>
            <w:r>
              <w:rPr>
                <w:rFonts w:hint="eastAsia" w:ascii="宋体" w:hAnsi="宋体" w:eastAsia="宋体" w:cs="宋体"/>
                <w:color w:val="auto"/>
                <w:kern w:val="0"/>
                <w:szCs w:val="21"/>
                <w:highlight w:val="none"/>
                <w:u w:val="single"/>
              </w:rPr>
              <w:t xml:space="preserve">      </w:t>
            </w:r>
          </w:p>
          <w:p w14:paraId="38171279">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注：设计费用应充分考虑实施BIM所需</w:t>
            </w:r>
            <w:r>
              <w:rPr>
                <w:rFonts w:ascii="宋体" w:hAnsi="宋体" w:eastAsia="宋体" w:cs="宋体"/>
                <w:color w:val="auto"/>
                <w:kern w:val="0"/>
                <w:szCs w:val="21"/>
                <w:highlight w:val="none"/>
              </w:rPr>
              <w:t>软件、硬件、人员</w:t>
            </w:r>
            <w:r>
              <w:rPr>
                <w:rFonts w:hint="eastAsia" w:ascii="宋体" w:hAnsi="宋体" w:eastAsia="宋体" w:cs="宋体"/>
                <w:color w:val="auto"/>
                <w:kern w:val="0"/>
                <w:szCs w:val="21"/>
                <w:highlight w:val="none"/>
              </w:rPr>
              <w:t>等费用</w:t>
            </w:r>
          </w:p>
        </w:tc>
      </w:tr>
      <w:tr w14:paraId="3104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shd w:val="clear" w:color="auto" w:fill="auto"/>
            <w:vAlign w:val="center"/>
          </w:tcPr>
          <w:p w14:paraId="69273366">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5</w:t>
            </w:r>
          </w:p>
        </w:tc>
        <w:tc>
          <w:tcPr>
            <w:tcW w:w="2115" w:type="dxa"/>
            <w:shd w:val="clear" w:color="auto" w:fill="auto"/>
            <w:vAlign w:val="center"/>
          </w:tcPr>
          <w:p w14:paraId="3B45A746">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588" w:type="dxa"/>
            <w:shd w:val="clear" w:color="auto" w:fill="auto"/>
            <w:vAlign w:val="center"/>
          </w:tcPr>
          <w:p w14:paraId="23F263BE">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r>
              <w:rPr>
                <w:rFonts w:hint="eastAsia" w:ascii="宋体" w:hAnsi="宋体" w:eastAsia="宋体" w:cs="宋体"/>
                <w:color w:val="auto"/>
                <w:kern w:val="0"/>
                <w:szCs w:val="21"/>
                <w:highlight w:val="none"/>
                <w:u w:val="single"/>
              </w:rPr>
              <w:t xml:space="preserve">      </w:t>
            </w:r>
          </w:p>
          <w:p w14:paraId="0F91B93B">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r>
              <w:rPr>
                <w:rFonts w:hint="eastAsia" w:ascii="宋体" w:hAnsi="宋体" w:eastAsia="宋体" w:cs="宋体"/>
                <w:color w:val="auto"/>
                <w:kern w:val="0"/>
                <w:szCs w:val="21"/>
                <w:highlight w:val="none"/>
                <w:u w:val="single"/>
              </w:rPr>
              <w:t xml:space="preserve">      </w:t>
            </w:r>
          </w:p>
        </w:tc>
      </w:tr>
      <w:tr w14:paraId="206B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680" w:type="dxa"/>
            <w:shd w:val="clear" w:color="auto" w:fill="auto"/>
            <w:vAlign w:val="center"/>
          </w:tcPr>
          <w:p w14:paraId="17E14739">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6</w:t>
            </w:r>
          </w:p>
        </w:tc>
        <w:tc>
          <w:tcPr>
            <w:tcW w:w="2115" w:type="dxa"/>
            <w:shd w:val="clear" w:color="auto" w:fill="auto"/>
            <w:vAlign w:val="center"/>
          </w:tcPr>
          <w:p w14:paraId="054F654A">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投标人质疑的期限与方式</w:t>
            </w:r>
          </w:p>
        </w:tc>
        <w:tc>
          <w:tcPr>
            <w:tcW w:w="6588" w:type="dxa"/>
            <w:shd w:val="clear" w:color="auto" w:fill="auto"/>
            <w:vAlign w:val="center"/>
          </w:tcPr>
          <w:p w14:paraId="2089337B">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投标人质疑截止时间：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（投标截止日期前不少于10日）。</w:t>
            </w:r>
          </w:p>
          <w:p w14:paraId="131543ED">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投标人提交疑问的方式：</w:t>
            </w:r>
          </w:p>
          <w:p w14:paraId="22D63D73">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□投标人对招标事宜的质疑以不署名的形式登录交易网提出</w:t>
            </w:r>
          </w:p>
          <w:p w14:paraId="16F1EC9D">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14:paraId="04D0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80" w:type="dxa"/>
            <w:shd w:val="clear" w:color="auto" w:fill="auto"/>
            <w:vAlign w:val="center"/>
          </w:tcPr>
          <w:p w14:paraId="7BABFF28">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7</w:t>
            </w:r>
          </w:p>
        </w:tc>
        <w:tc>
          <w:tcPr>
            <w:tcW w:w="2115" w:type="dxa"/>
            <w:shd w:val="clear" w:color="auto" w:fill="auto"/>
            <w:vAlign w:val="center"/>
          </w:tcPr>
          <w:p w14:paraId="3E0AD8EA">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6588" w:type="dxa"/>
            <w:shd w:val="clear" w:color="auto" w:fill="auto"/>
            <w:vAlign w:val="center"/>
          </w:tcPr>
          <w:p w14:paraId="3E1C4B01">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14:paraId="56CC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80" w:type="dxa"/>
            <w:shd w:val="clear" w:color="auto" w:fill="auto"/>
            <w:vAlign w:val="center"/>
          </w:tcPr>
          <w:p w14:paraId="3B55C920">
            <w:pPr>
              <w:adjustRightInd w:val="0"/>
              <w:snapToGrid w:val="0"/>
              <w:spacing w:line="360" w:lineRule="auto"/>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Cs w:val="21"/>
                <w:highlight w:val="none"/>
              </w:rPr>
              <w:t>1</w:t>
            </w:r>
            <w:r>
              <w:rPr>
                <w:rFonts w:hint="eastAsia" w:ascii="宋体" w:hAnsi="宋体" w:eastAsia="宋体" w:cs="宋体"/>
                <w:bCs/>
                <w:color w:val="auto"/>
                <w:kern w:val="0"/>
                <w:szCs w:val="21"/>
                <w:highlight w:val="none"/>
                <w:lang w:val="en-US" w:eastAsia="zh-CN"/>
              </w:rPr>
              <w:t>8</w:t>
            </w:r>
          </w:p>
        </w:tc>
        <w:tc>
          <w:tcPr>
            <w:tcW w:w="2115" w:type="dxa"/>
            <w:shd w:val="clear" w:color="auto" w:fill="auto"/>
            <w:vAlign w:val="center"/>
          </w:tcPr>
          <w:p w14:paraId="30144275">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6588" w:type="dxa"/>
            <w:shd w:val="clear" w:color="auto" w:fill="auto"/>
            <w:vAlign w:val="center"/>
          </w:tcPr>
          <w:p w14:paraId="7FC0C8D1">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日历天（从投标截止之日算起）</w:t>
            </w:r>
          </w:p>
        </w:tc>
      </w:tr>
      <w:tr w14:paraId="3B26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80" w:type="dxa"/>
            <w:vMerge w:val="restart"/>
            <w:shd w:val="clear" w:color="auto" w:fill="auto"/>
            <w:vAlign w:val="center"/>
          </w:tcPr>
          <w:p w14:paraId="395781D6">
            <w:pPr>
              <w:adjustRightInd w:val="0"/>
              <w:snapToGrid w:val="0"/>
              <w:spacing w:line="360" w:lineRule="auto"/>
              <w:jc w:val="center"/>
              <w:rPr>
                <w:rFonts w:hint="eastAsia" w:ascii="宋体" w:hAnsi="宋体" w:eastAsia="宋体" w:cs="宋体"/>
                <w:bCs/>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9</w:t>
            </w:r>
          </w:p>
        </w:tc>
        <w:tc>
          <w:tcPr>
            <w:tcW w:w="2115" w:type="dxa"/>
            <w:vMerge w:val="restart"/>
            <w:shd w:val="clear" w:color="auto" w:fill="auto"/>
            <w:vAlign w:val="center"/>
          </w:tcPr>
          <w:p w14:paraId="78CAA2A4">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投标担保</w:t>
            </w:r>
          </w:p>
        </w:tc>
        <w:tc>
          <w:tcPr>
            <w:tcW w:w="6588" w:type="dxa"/>
            <w:shd w:val="clear" w:color="auto" w:fill="auto"/>
            <w:vAlign w:val="center"/>
          </w:tcPr>
          <w:p w14:paraId="4E93B502">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□投标担保的金额：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14:paraId="3FFA1F23">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□无需提供投标担保</w:t>
            </w:r>
          </w:p>
          <w:p w14:paraId="356C46BB">
            <w:pPr>
              <w:adjustRightInd w:val="0"/>
              <w:snapToGrid w:val="0"/>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注：</w:t>
            </w:r>
            <w:r>
              <w:rPr>
                <w:rFonts w:hint="eastAsia" w:ascii="宋体" w:hAnsi="宋体" w:eastAsia="宋体" w:cs="宋体"/>
                <w:color w:val="auto"/>
                <w:kern w:val="0"/>
                <w:szCs w:val="21"/>
                <w:highlight w:val="none"/>
                <w:lang w:val="en-US" w:eastAsia="zh-CN"/>
              </w:rPr>
              <w:t>根据《深圳市住房和建设局关于推行差异化缴纳投标保证金进一步降低招标投标交易成本的通知》（深建市场〔2023〕2号）的规定，</w:t>
            </w:r>
          </w:p>
          <w:p w14:paraId="46D8255C">
            <w:pPr>
              <w:adjustRightInd w:val="0"/>
              <w:snapToGrid w:val="0"/>
              <w:spacing w:line="360" w:lineRule="auto"/>
              <w:jc w:val="left"/>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政府投资建设工程的设计等服务类项目原则上不再收取投标保证金，政府投资建设工程以外的其他依法必须招标建设工程项目，鼓励招标人免收投标保证金。</w:t>
            </w:r>
          </w:p>
        </w:tc>
      </w:tr>
      <w:tr w14:paraId="2423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680" w:type="dxa"/>
            <w:vMerge w:val="continue"/>
            <w:shd w:val="clear" w:color="auto" w:fill="auto"/>
            <w:vAlign w:val="center"/>
          </w:tcPr>
          <w:p w14:paraId="4C5BC970">
            <w:pPr>
              <w:adjustRightInd w:val="0"/>
              <w:snapToGrid w:val="0"/>
              <w:spacing w:line="360" w:lineRule="auto"/>
              <w:jc w:val="center"/>
              <w:rPr>
                <w:rFonts w:ascii="宋体" w:hAnsi="宋体" w:eastAsia="宋体" w:cs="宋体"/>
                <w:color w:val="auto"/>
                <w:kern w:val="0"/>
                <w:sz w:val="21"/>
                <w:szCs w:val="21"/>
                <w:highlight w:val="none"/>
                <w:lang w:val="en-US" w:eastAsia="zh-CN" w:bidi="ar-SA"/>
              </w:rPr>
            </w:pPr>
          </w:p>
        </w:tc>
        <w:tc>
          <w:tcPr>
            <w:tcW w:w="2115" w:type="dxa"/>
            <w:vMerge w:val="continue"/>
            <w:shd w:val="clear" w:color="auto" w:fill="auto"/>
            <w:vAlign w:val="center"/>
          </w:tcPr>
          <w:p w14:paraId="2D2B4E4C">
            <w:pPr>
              <w:adjustRightInd w:val="0"/>
              <w:snapToGrid w:val="0"/>
              <w:spacing w:line="360" w:lineRule="auto"/>
              <w:jc w:val="center"/>
              <w:rPr>
                <w:rFonts w:ascii="宋体" w:hAnsi="宋体" w:eastAsia="宋体" w:cs="宋体"/>
                <w:color w:val="auto"/>
                <w:kern w:val="0"/>
                <w:szCs w:val="21"/>
                <w:highlight w:val="none"/>
              </w:rPr>
            </w:pPr>
          </w:p>
        </w:tc>
        <w:tc>
          <w:tcPr>
            <w:tcW w:w="6588" w:type="dxa"/>
            <w:shd w:val="clear" w:color="auto" w:fill="auto"/>
            <w:vAlign w:val="center"/>
          </w:tcPr>
          <w:p w14:paraId="33531A1C">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担保形式：</w:t>
            </w:r>
          </w:p>
          <w:p w14:paraId="3249ECC0">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1.银行保函（电子/纸质），由投标人基本账户开户银行所在网点或其上级银行机构出具</w:t>
            </w:r>
          </w:p>
          <w:p w14:paraId="4B794C80">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2.保证金（现金/支票），从投标人基本账户汇出</w:t>
            </w:r>
            <w:r>
              <w:rPr>
                <w:rFonts w:hint="eastAsia" w:ascii="宋体" w:hAnsi="宋体" w:eastAsia="宋体" w:cs="宋体"/>
                <w:color w:val="auto"/>
                <w:kern w:val="0"/>
                <w:szCs w:val="21"/>
                <w:highlight w:val="none"/>
                <w:u w:val="single"/>
              </w:rPr>
              <w:t xml:space="preserve">      </w:t>
            </w:r>
          </w:p>
          <w:p w14:paraId="671698A2">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3.保证保险（电子/纸质），保费通过投标人基本账户支付</w:t>
            </w:r>
          </w:p>
          <w:p w14:paraId="434126FA">
            <w:pPr>
              <w:adjustRightInd w:val="0"/>
              <w:snapToGrid w:val="0"/>
              <w:spacing w:line="360" w:lineRule="auto"/>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lang w:val="en-US" w:eastAsia="zh-CN"/>
              </w:rPr>
              <w:t>4.其他</w:t>
            </w:r>
            <w:r>
              <w:rPr>
                <w:rFonts w:hint="eastAsia" w:ascii="宋体" w:hAnsi="宋体" w:eastAsia="宋体" w:cs="宋体"/>
                <w:color w:val="auto"/>
                <w:kern w:val="0"/>
                <w:szCs w:val="21"/>
                <w:highlight w:val="none"/>
                <w:u w:val="single"/>
                <w:lang w:val="en-US" w:eastAsia="zh-CN"/>
              </w:rPr>
              <w:t xml:space="preserve">                 </w:t>
            </w:r>
          </w:p>
          <w:p w14:paraId="30FA5CC1">
            <w:pPr>
              <w:adjustRightInd w:val="0"/>
              <w:snapToGrid w:val="0"/>
              <w:spacing w:line="360" w:lineRule="auto"/>
              <w:rPr>
                <w:rFonts w:hint="eastAsia" w:ascii="宋体" w:hAnsi="宋体" w:eastAsia="宋体" w:cs="宋体"/>
                <w:strike w:val="0"/>
                <w:color w:val="auto"/>
                <w:kern w:val="0"/>
                <w:szCs w:val="21"/>
                <w:highlight w:val="none"/>
                <w:lang w:eastAsia="zh-CN"/>
              </w:rPr>
            </w:pPr>
            <w:r>
              <w:rPr>
                <w:rFonts w:hint="eastAsia" w:ascii="宋体" w:hAnsi="宋体" w:eastAsia="宋体" w:cs="宋体"/>
                <w:color w:val="auto"/>
                <w:kern w:val="0"/>
                <w:szCs w:val="21"/>
                <w:highlight w:val="none"/>
                <w:lang w:val="en-US" w:eastAsia="zh-CN"/>
              </w:rPr>
              <w:t>注：1.</w:t>
            </w:r>
            <w:r>
              <w:rPr>
                <w:rFonts w:hint="eastAsia" w:ascii="宋体" w:hAnsi="宋体" w:eastAsia="宋体" w:cs="宋体"/>
                <w:strike w:val="0"/>
                <w:color w:val="auto"/>
                <w:kern w:val="0"/>
                <w:szCs w:val="21"/>
                <w:highlight w:val="none"/>
                <w:lang w:val="en-US" w:eastAsia="zh-CN"/>
              </w:rPr>
              <w:t>招标人可自主选择是否允许其他方式，如担保公司保函，采用其他方式的应要求</w:t>
            </w:r>
            <w:r>
              <w:rPr>
                <w:rFonts w:hint="eastAsia" w:ascii="宋体" w:hAnsi="宋体" w:eastAsia="宋体" w:cs="宋体"/>
                <w:strike w:val="0"/>
                <w:color w:val="auto"/>
                <w:kern w:val="0"/>
                <w:szCs w:val="21"/>
                <w:highlight w:val="none"/>
              </w:rPr>
              <w:t>保费通过投标人基本账户支付</w:t>
            </w:r>
            <w:r>
              <w:rPr>
                <w:rFonts w:hint="eastAsia" w:ascii="宋体" w:hAnsi="宋体" w:eastAsia="宋体" w:cs="宋体"/>
                <w:strike w:val="0"/>
                <w:color w:val="auto"/>
                <w:kern w:val="0"/>
                <w:szCs w:val="21"/>
                <w:highlight w:val="none"/>
                <w:lang w:eastAsia="zh-CN"/>
              </w:rPr>
              <w:t>。</w:t>
            </w:r>
          </w:p>
          <w:p w14:paraId="4CB3E50C">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2.鼓励投标人使用电子保函、保险。</w:t>
            </w:r>
          </w:p>
        </w:tc>
      </w:tr>
      <w:tr w14:paraId="2B10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80" w:type="dxa"/>
            <w:shd w:val="clear" w:color="auto" w:fill="auto"/>
            <w:vAlign w:val="center"/>
          </w:tcPr>
          <w:p w14:paraId="6CC7E871">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p>
        </w:tc>
        <w:tc>
          <w:tcPr>
            <w:tcW w:w="2115" w:type="dxa"/>
            <w:shd w:val="clear" w:color="auto" w:fill="auto"/>
            <w:vAlign w:val="center"/>
          </w:tcPr>
          <w:p w14:paraId="3EAB8A35">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招标会议时间</w:t>
            </w:r>
          </w:p>
        </w:tc>
        <w:tc>
          <w:tcPr>
            <w:tcW w:w="6588" w:type="dxa"/>
            <w:shd w:val="clear" w:color="auto" w:fill="auto"/>
            <w:vAlign w:val="center"/>
          </w:tcPr>
          <w:p w14:paraId="7D3C25E0">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开标会、评标会、定标会议时间及地点，在交易网进行查询。</w:t>
            </w:r>
          </w:p>
        </w:tc>
      </w:tr>
      <w:tr w14:paraId="51F8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680" w:type="dxa"/>
            <w:vMerge w:val="restart"/>
            <w:shd w:val="clear" w:color="auto" w:fill="auto"/>
            <w:vAlign w:val="center"/>
          </w:tcPr>
          <w:p w14:paraId="45E30419">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21</w:t>
            </w:r>
          </w:p>
        </w:tc>
        <w:tc>
          <w:tcPr>
            <w:tcW w:w="2115" w:type="dxa"/>
            <w:vMerge w:val="restart"/>
            <w:shd w:val="clear" w:color="auto" w:fill="auto"/>
            <w:vAlign w:val="center"/>
          </w:tcPr>
          <w:p w14:paraId="26C5CF42">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过多投标人淘汰环节</w:t>
            </w:r>
          </w:p>
          <w:p w14:paraId="038D5ADF">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（资格审查合格的投标人＞20名）</w:t>
            </w:r>
          </w:p>
        </w:tc>
        <w:tc>
          <w:tcPr>
            <w:tcW w:w="6588" w:type="dxa"/>
            <w:shd w:val="clear" w:color="auto" w:fill="auto"/>
            <w:vAlign w:val="center"/>
          </w:tcPr>
          <w:p w14:paraId="3A05CB0F">
            <w:pPr>
              <w:widowControl/>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资格审查合格的投标人＞20名时，经淘汰进入后续招标程序的投标人为15至20名，具体数量产生方式为：</w:t>
            </w:r>
          </w:p>
          <w:p w14:paraId="277182E0">
            <w:pPr>
              <w:widowControl/>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□由计算机随机产生</w:t>
            </w:r>
          </w:p>
          <w:p w14:paraId="10097A8A">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□招标人自行确定：</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名</w:t>
            </w:r>
          </w:p>
        </w:tc>
      </w:tr>
      <w:tr w14:paraId="66B5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vMerge w:val="continue"/>
            <w:shd w:val="clear" w:color="auto" w:fill="auto"/>
            <w:vAlign w:val="center"/>
          </w:tcPr>
          <w:p w14:paraId="2B386F77">
            <w:pPr>
              <w:adjustRightInd w:val="0"/>
              <w:snapToGrid w:val="0"/>
              <w:spacing w:line="360" w:lineRule="auto"/>
              <w:jc w:val="center"/>
              <w:rPr>
                <w:rFonts w:ascii="宋体" w:hAnsi="宋体" w:eastAsia="宋体" w:cs="宋体"/>
                <w:color w:val="auto"/>
                <w:kern w:val="0"/>
                <w:szCs w:val="21"/>
                <w:highlight w:val="none"/>
              </w:rPr>
            </w:pPr>
          </w:p>
        </w:tc>
        <w:tc>
          <w:tcPr>
            <w:tcW w:w="2115" w:type="dxa"/>
            <w:vMerge w:val="continue"/>
            <w:shd w:val="clear" w:color="auto" w:fill="auto"/>
            <w:vAlign w:val="center"/>
          </w:tcPr>
          <w:p w14:paraId="1BF4EB06">
            <w:pPr>
              <w:adjustRightInd w:val="0"/>
              <w:snapToGrid w:val="0"/>
              <w:spacing w:line="360" w:lineRule="auto"/>
              <w:jc w:val="center"/>
              <w:rPr>
                <w:rFonts w:ascii="宋体" w:hAnsi="宋体" w:eastAsia="宋体" w:cs="宋体"/>
                <w:color w:val="auto"/>
                <w:kern w:val="0"/>
                <w:szCs w:val="21"/>
                <w:highlight w:val="none"/>
              </w:rPr>
            </w:pPr>
          </w:p>
        </w:tc>
        <w:tc>
          <w:tcPr>
            <w:tcW w:w="6588" w:type="dxa"/>
            <w:shd w:val="clear" w:color="auto" w:fill="auto"/>
            <w:vAlign w:val="center"/>
          </w:tcPr>
          <w:p w14:paraId="42396CC0">
            <w:pPr>
              <w:widowControl/>
              <w:adjustRightInd w:val="0"/>
              <w:snapToGrid w:val="0"/>
              <w:spacing w:line="360" w:lineRule="auto"/>
              <w:ind w:firstLine="0" w:firstLineChars="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w:t>
            </w:r>
            <w:r>
              <w:rPr>
                <w:rFonts w:hint="eastAsia" w:ascii="宋体" w:hAnsi="宋体" w:eastAsia="宋体" w:cs="宋体"/>
                <w:color w:val="auto"/>
                <w:kern w:val="0"/>
                <w:szCs w:val="21"/>
                <w:highlight w:val="none"/>
                <w:lang w:val="en-US" w:eastAsia="zh-CN"/>
              </w:rPr>
              <w:t>方案</w:t>
            </w:r>
            <w:r>
              <w:rPr>
                <w:rStyle w:val="136"/>
                <w:rFonts w:hint="eastAsia" w:ascii="宋体" w:hAnsi="宋体" w:eastAsia="宋体" w:cs="宋体"/>
                <w:color w:val="auto"/>
                <w:kern w:val="0"/>
                <w:szCs w:val="21"/>
                <w:highlight w:val="none"/>
                <w:lang w:val="en-US" w:eastAsia="zh-CN"/>
              </w:rPr>
              <w:t>[</w:t>
            </w:r>
            <w:r>
              <w:rPr>
                <w:rStyle w:val="136"/>
                <w:rFonts w:hint="eastAsia" w:ascii="宋体" w:hAnsi="宋体" w:eastAsia="宋体" w:cs="宋体"/>
                <w:color w:val="auto"/>
                <w:kern w:val="0"/>
                <w:szCs w:val="21"/>
                <w:highlight w:val="none"/>
                <w:lang w:val="en-US" w:eastAsia="zh-CN"/>
              </w:rPr>
              <w:footnoteReference w:id="1"/>
            </w:r>
            <w:r>
              <w:rPr>
                <w:rStyle w:val="136"/>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14:paraId="13F2A566">
            <w:pPr>
              <w:adjustRightInd w:val="0"/>
              <w:snapToGrid w:val="0"/>
              <w:spacing w:line="360" w:lineRule="auto"/>
              <w:ind w:firstLine="0"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注：1.招标人应结合项目实际，提前制定规则清晰、可操作性强的过多投标人淘汰方案，并在过多投标人淘汰方案中合规合理设置择优因素，明确各择优因素的优先程度。</w:t>
            </w:r>
          </w:p>
          <w:p w14:paraId="03A96F84">
            <w:pPr>
              <w:adjustRightInd w:val="0"/>
              <w:snapToGrid w:val="0"/>
              <w:spacing w:line="360" w:lineRule="auto"/>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2.择优因素的设置应以投标人能否高质量履约为导向，可以突出投标人</w:t>
            </w:r>
            <w:r>
              <w:rPr>
                <w:rFonts w:hint="eastAsia" w:ascii="宋体" w:hAnsi="宋体" w:eastAsia="宋体" w:cs="宋体"/>
                <w:color w:val="auto"/>
                <w:sz w:val="21"/>
                <w:szCs w:val="21"/>
                <w:highlight w:val="none"/>
                <w:lang w:val="en-US" w:eastAsia="zh-CN"/>
              </w:rPr>
              <w:t>拟派项目负责人及管理团队成员的资历、能力、信誉，企业资质、业绩、履约等，具体择优因素由招标人根据实际确定。</w:t>
            </w:r>
          </w:p>
        </w:tc>
      </w:tr>
      <w:tr w14:paraId="18C1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680" w:type="dxa"/>
            <w:vMerge w:val="continue"/>
            <w:shd w:val="clear" w:color="auto" w:fill="auto"/>
            <w:vAlign w:val="center"/>
          </w:tcPr>
          <w:p w14:paraId="7E22A4D0">
            <w:pPr>
              <w:adjustRightInd w:val="0"/>
              <w:snapToGrid w:val="0"/>
              <w:spacing w:line="360" w:lineRule="auto"/>
              <w:jc w:val="center"/>
              <w:rPr>
                <w:rFonts w:ascii="宋体" w:hAnsi="宋体" w:eastAsia="宋体" w:cs="宋体"/>
                <w:color w:val="auto"/>
                <w:kern w:val="0"/>
                <w:szCs w:val="21"/>
                <w:highlight w:val="none"/>
              </w:rPr>
            </w:pPr>
          </w:p>
        </w:tc>
        <w:tc>
          <w:tcPr>
            <w:tcW w:w="2115" w:type="dxa"/>
            <w:vMerge w:val="continue"/>
            <w:shd w:val="clear" w:color="auto" w:fill="auto"/>
            <w:vAlign w:val="center"/>
          </w:tcPr>
          <w:p w14:paraId="6C959C12">
            <w:pPr>
              <w:adjustRightInd w:val="0"/>
              <w:snapToGrid w:val="0"/>
              <w:spacing w:line="360" w:lineRule="auto"/>
              <w:jc w:val="center"/>
              <w:rPr>
                <w:rFonts w:ascii="宋体" w:hAnsi="宋体" w:eastAsia="宋体" w:cs="宋体"/>
                <w:color w:val="auto"/>
                <w:kern w:val="0"/>
                <w:szCs w:val="21"/>
                <w:highlight w:val="none"/>
              </w:rPr>
            </w:pPr>
          </w:p>
        </w:tc>
        <w:tc>
          <w:tcPr>
            <w:tcW w:w="6588" w:type="dxa"/>
            <w:shd w:val="clear" w:color="auto" w:fill="auto"/>
            <w:vAlign w:val="center"/>
          </w:tcPr>
          <w:p w14:paraId="45B748C6">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w:t>
            </w:r>
            <w:bookmarkStart w:id="4" w:name="OLE_LINK1"/>
            <w:r>
              <w:rPr>
                <w:rFonts w:hint="eastAsia" w:ascii="宋体" w:hAnsi="宋体" w:eastAsia="宋体" w:cs="宋体"/>
                <w:color w:val="auto"/>
                <w:kern w:val="0"/>
                <w:szCs w:val="21"/>
                <w:highlight w:val="none"/>
              </w:rPr>
              <w:t>投标人淘汰方式</w:t>
            </w:r>
            <w:bookmarkEnd w:id="4"/>
            <w:r>
              <w:rPr>
                <w:rFonts w:hint="eastAsia" w:ascii="宋体" w:hAnsi="宋体" w:eastAsia="宋体" w:cs="宋体"/>
                <w:color w:val="auto"/>
                <w:kern w:val="0"/>
                <w:szCs w:val="21"/>
                <w:highlight w:val="none"/>
              </w:rPr>
              <w:t>：</w:t>
            </w:r>
          </w:p>
          <w:p w14:paraId="019E5316">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□直接票决   □逐轮票决  </w:t>
            </w:r>
          </w:p>
          <w:p w14:paraId="1467A3F2">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计算规则（采用直接票决或逐轮票决的）：</w:t>
            </w:r>
            <w:bookmarkStart w:id="5" w:name="OLE_LINK9"/>
            <w:r>
              <w:rPr>
                <w:rFonts w:hint="eastAsia" w:ascii="宋体" w:hAnsi="宋体" w:eastAsia="宋体" w:cs="宋体"/>
                <w:color w:val="auto"/>
                <w:kern w:val="0"/>
                <w:szCs w:val="21"/>
                <w:highlight w:val="none"/>
              </w:rPr>
              <w:t>简单多数。当被淘汰最后一名有并列情况以至超过应淘汰投标人数时，对此并列的投标人采取</w:t>
            </w:r>
            <w:r>
              <w:rPr>
                <w:rFonts w:hint="eastAsia" w:ascii="宋体" w:hAnsi="宋体" w:eastAsia="宋体" w:cs="宋体"/>
                <w:color w:val="auto"/>
                <w:kern w:val="0"/>
                <w:szCs w:val="21"/>
                <w:highlight w:val="none"/>
                <w:lang w:val="en-US" w:eastAsia="zh-CN"/>
              </w:rPr>
              <w:t>继续票决方式</w:t>
            </w:r>
            <w:r>
              <w:rPr>
                <w:rFonts w:hint="eastAsia" w:ascii="宋体" w:hAnsi="宋体" w:eastAsia="宋体" w:cs="宋体"/>
                <w:color w:val="auto"/>
                <w:kern w:val="0"/>
                <w:szCs w:val="21"/>
                <w:highlight w:val="none"/>
              </w:rPr>
              <w:t>确定</w:t>
            </w:r>
            <w:r>
              <w:rPr>
                <w:rFonts w:hint="eastAsia" w:ascii="宋体" w:hAnsi="宋体" w:eastAsia="宋体" w:cs="宋体"/>
                <w:color w:val="auto"/>
                <w:kern w:val="0"/>
                <w:szCs w:val="21"/>
                <w:highlight w:val="none"/>
                <w:lang w:val="en-US" w:eastAsia="zh-CN"/>
              </w:rPr>
              <w:t>入围投标人</w:t>
            </w:r>
            <w:r>
              <w:rPr>
                <w:rFonts w:hint="eastAsia" w:ascii="宋体" w:hAnsi="宋体" w:eastAsia="宋体" w:cs="宋体"/>
                <w:color w:val="auto"/>
                <w:kern w:val="0"/>
                <w:szCs w:val="21"/>
                <w:highlight w:val="none"/>
                <w:lang w:eastAsia="zh-CN"/>
              </w:rPr>
              <w:t>。</w:t>
            </w:r>
            <w:bookmarkEnd w:id="5"/>
          </w:p>
        </w:tc>
      </w:tr>
      <w:tr w14:paraId="798A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80" w:type="dxa"/>
            <w:shd w:val="clear" w:color="auto" w:fill="auto"/>
            <w:vAlign w:val="center"/>
          </w:tcPr>
          <w:p w14:paraId="05F6EE26">
            <w:pPr>
              <w:adjustRightInd w:val="0"/>
              <w:snapToGrid w:val="0"/>
              <w:spacing w:line="360"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22</w:t>
            </w:r>
          </w:p>
        </w:tc>
        <w:tc>
          <w:tcPr>
            <w:tcW w:w="2115" w:type="dxa"/>
            <w:shd w:val="clear" w:color="auto" w:fill="auto"/>
            <w:vAlign w:val="center"/>
          </w:tcPr>
          <w:p w14:paraId="23F74B0F">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评标方法及标准</w:t>
            </w:r>
          </w:p>
        </w:tc>
        <w:tc>
          <w:tcPr>
            <w:tcW w:w="6588" w:type="dxa"/>
            <w:shd w:val="clear" w:color="auto" w:fill="auto"/>
            <w:vAlign w:val="center"/>
          </w:tcPr>
          <w:p w14:paraId="4B032E4D">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□定性评审法</w:t>
            </w:r>
          </w:p>
          <w:p w14:paraId="598E51FA">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□经建设、交通主管部门批准的其他方法:</w:t>
            </w:r>
            <w:r>
              <w:rPr>
                <w:rFonts w:hint="eastAsia" w:ascii="宋体" w:hAnsi="宋体" w:eastAsia="宋体" w:cs="宋体"/>
                <w:color w:val="auto"/>
                <w:kern w:val="0"/>
                <w:szCs w:val="21"/>
                <w:highlight w:val="none"/>
                <w:u w:val="single"/>
              </w:rPr>
              <w:t xml:space="preserve">      </w:t>
            </w:r>
          </w:p>
        </w:tc>
      </w:tr>
      <w:tr w14:paraId="5EB9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80" w:type="dxa"/>
            <w:shd w:val="clear" w:color="auto" w:fill="auto"/>
            <w:vAlign w:val="center"/>
          </w:tcPr>
          <w:p w14:paraId="44B013B8">
            <w:pPr>
              <w:adjustRightInd w:val="0"/>
              <w:snapToGrid w:val="0"/>
              <w:spacing w:line="360" w:lineRule="auto"/>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3</w:t>
            </w:r>
          </w:p>
        </w:tc>
        <w:tc>
          <w:tcPr>
            <w:tcW w:w="2115" w:type="dxa"/>
            <w:shd w:val="clear" w:color="auto" w:fill="auto"/>
            <w:vAlign w:val="center"/>
          </w:tcPr>
          <w:p w14:paraId="43944D75">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专家推荐原则</w:t>
            </w:r>
          </w:p>
        </w:tc>
        <w:tc>
          <w:tcPr>
            <w:tcW w:w="6588" w:type="dxa"/>
            <w:shd w:val="clear" w:color="auto" w:fill="auto"/>
            <w:vAlign w:val="center"/>
          </w:tcPr>
          <w:p w14:paraId="1D3FF00A">
            <w:pPr>
              <w:numPr>
                <w:ilvl w:val="0"/>
                <w:numId w:val="0"/>
              </w:numPr>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招标人应根据项目实际合理设置评审要素，对专家评标质量提出要求，并明确专家推荐</w:t>
            </w:r>
            <w:r>
              <w:rPr>
                <w:rFonts w:hint="eastAsia" w:ascii="宋体" w:hAnsi="宋体" w:eastAsia="宋体" w:cs="宋体"/>
                <w:color w:val="auto"/>
                <w:kern w:val="0"/>
                <w:szCs w:val="21"/>
                <w:highlight w:val="none"/>
                <w:lang w:eastAsia="zh-CN"/>
              </w:rPr>
              <w:t>中标候选人</w:t>
            </w:r>
            <w:r>
              <w:rPr>
                <w:rFonts w:hint="eastAsia" w:ascii="宋体" w:hAnsi="宋体" w:eastAsia="宋体" w:cs="宋体"/>
                <w:color w:val="auto"/>
                <w:kern w:val="0"/>
                <w:szCs w:val="21"/>
                <w:highlight w:val="none"/>
              </w:rPr>
              <w:t>原则</w:t>
            </w:r>
            <w:r>
              <w:rPr>
                <w:rStyle w:val="136"/>
                <w:rFonts w:hint="eastAsia" w:ascii="宋体" w:hAnsi="宋体" w:eastAsia="宋体" w:cs="宋体"/>
                <w:color w:val="auto"/>
                <w:kern w:val="0"/>
                <w:szCs w:val="21"/>
                <w:highlight w:val="none"/>
                <w:lang w:val="en-US" w:eastAsia="zh-CN"/>
              </w:rPr>
              <w:t>[</w:t>
            </w:r>
            <w:r>
              <w:rPr>
                <w:rStyle w:val="136"/>
                <w:rFonts w:hint="eastAsia" w:ascii="宋体" w:hAnsi="宋体" w:eastAsia="宋体" w:cs="宋体"/>
                <w:color w:val="auto"/>
                <w:kern w:val="0"/>
                <w:szCs w:val="21"/>
                <w:highlight w:val="none"/>
                <w:lang w:val="en-US" w:eastAsia="zh-CN"/>
              </w:rPr>
              <w:footnoteReference w:id="2"/>
            </w:r>
            <w:r>
              <w:rPr>
                <w:rStyle w:val="136"/>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14:paraId="37D65285">
            <w:pPr>
              <w:numPr>
                <w:ilvl w:val="0"/>
                <w:numId w:val="0"/>
              </w:numPr>
              <w:adjustRightInd w:val="0"/>
              <w:snapToGrid w:val="0"/>
              <w:spacing w:line="360" w:lineRule="auto"/>
              <w:jc w:val="left"/>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u w:val="single"/>
                <w:lang w:val="en-US" w:eastAsia="zh-CN"/>
              </w:rPr>
              <w:t>注：招标人应根据项目实际，设置规则清晰、可操作性强的推荐中标候选人原则，可以重点考虑</w:t>
            </w:r>
            <w:r>
              <w:rPr>
                <w:rFonts w:hint="eastAsia" w:ascii="宋体" w:hAnsi="宋体" w:eastAsia="宋体" w:cs="宋体"/>
                <w:color w:val="auto"/>
                <w:kern w:val="0"/>
                <w:szCs w:val="21"/>
                <w:highlight w:val="none"/>
              </w:rPr>
              <w:t>投标方案经济性、技术可行性、功能结构合理性、设计精细化程度等因素</w:t>
            </w:r>
            <w:r>
              <w:rPr>
                <w:rFonts w:hint="eastAsia" w:ascii="宋体" w:hAnsi="宋体" w:eastAsia="宋体" w:cs="宋体"/>
                <w:color w:val="auto"/>
                <w:kern w:val="0"/>
                <w:szCs w:val="21"/>
                <w:highlight w:val="none"/>
                <w:lang w:eastAsia="zh-CN"/>
              </w:rPr>
              <w:t>。</w:t>
            </w:r>
          </w:p>
        </w:tc>
      </w:tr>
      <w:tr w14:paraId="2C5E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80" w:type="dxa"/>
            <w:shd w:val="clear" w:color="auto" w:fill="auto"/>
            <w:vAlign w:val="center"/>
          </w:tcPr>
          <w:p w14:paraId="0571F39A">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p>
        </w:tc>
        <w:tc>
          <w:tcPr>
            <w:tcW w:w="2115" w:type="dxa"/>
            <w:shd w:val="clear" w:color="auto" w:fill="auto"/>
            <w:vAlign w:val="center"/>
          </w:tcPr>
          <w:p w14:paraId="2322DE79">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评标地点</w:t>
            </w:r>
          </w:p>
        </w:tc>
        <w:tc>
          <w:tcPr>
            <w:tcW w:w="6588" w:type="dxa"/>
            <w:shd w:val="clear" w:color="auto" w:fill="auto"/>
            <w:vAlign w:val="center"/>
          </w:tcPr>
          <w:p w14:paraId="116F1E7B">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□交易场所评标</w:t>
            </w:r>
          </w:p>
          <w:p w14:paraId="5ECBAE98">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14:paraId="02C9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680" w:type="dxa"/>
            <w:shd w:val="clear" w:color="auto" w:fill="auto"/>
            <w:vAlign w:val="center"/>
          </w:tcPr>
          <w:p w14:paraId="407571FE">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p>
        </w:tc>
        <w:tc>
          <w:tcPr>
            <w:tcW w:w="2115" w:type="dxa"/>
            <w:shd w:val="clear" w:color="auto" w:fill="auto"/>
            <w:vAlign w:val="center"/>
          </w:tcPr>
          <w:p w14:paraId="6C099863">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评标委员会的人员组成</w:t>
            </w:r>
          </w:p>
        </w:tc>
        <w:tc>
          <w:tcPr>
            <w:tcW w:w="6588" w:type="dxa"/>
            <w:shd w:val="clear" w:color="auto" w:fill="auto"/>
            <w:vAlign w:val="center"/>
          </w:tcPr>
          <w:p w14:paraId="3CBA33BE">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由招标人依法组建</w:t>
            </w:r>
          </w:p>
          <w:p w14:paraId="04888522">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注：采用BIM技术的招标项目</w:t>
            </w:r>
            <w:r>
              <w:rPr>
                <w:rFonts w:ascii="宋体" w:hAnsi="宋体" w:eastAsia="宋体" w:cs="宋体"/>
                <w:color w:val="auto"/>
                <w:kern w:val="0"/>
                <w:szCs w:val="21"/>
                <w:highlight w:val="none"/>
              </w:rPr>
              <w:t>，评标专家应</w:t>
            </w:r>
            <w:r>
              <w:rPr>
                <w:rFonts w:hint="eastAsia" w:ascii="宋体" w:hAnsi="宋体" w:eastAsia="宋体" w:cs="宋体"/>
                <w:color w:val="auto"/>
                <w:kern w:val="0"/>
                <w:szCs w:val="21"/>
                <w:highlight w:val="none"/>
              </w:rPr>
              <w:t>具备评审</w:t>
            </w:r>
            <w:r>
              <w:rPr>
                <w:rFonts w:ascii="宋体" w:hAnsi="宋体" w:eastAsia="宋体" w:cs="宋体"/>
                <w:color w:val="auto"/>
                <w:kern w:val="0"/>
                <w:szCs w:val="21"/>
                <w:highlight w:val="none"/>
              </w:rPr>
              <w:t>BIM</w:t>
            </w:r>
            <w:r>
              <w:rPr>
                <w:rFonts w:hint="eastAsia" w:ascii="宋体" w:hAnsi="宋体" w:eastAsia="宋体" w:cs="宋体"/>
                <w:color w:val="auto"/>
                <w:kern w:val="0"/>
                <w:szCs w:val="21"/>
                <w:highlight w:val="none"/>
              </w:rPr>
              <w:t>模型的能力</w:t>
            </w:r>
            <w:r>
              <w:rPr>
                <w:rFonts w:ascii="宋体" w:hAnsi="宋体" w:eastAsia="宋体" w:cs="宋体"/>
                <w:color w:val="auto"/>
                <w:kern w:val="0"/>
                <w:szCs w:val="21"/>
                <w:highlight w:val="none"/>
              </w:rPr>
              <w:t>。</w:t>
            </w:r>
          </w:p>
        </w:tc>
      </w:tr>
      <w:tr w14:paraId="3DF2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680" w:type="dxa"/>
            <w:shd w:val="clear" w:color="auto" w:fill="auto"/>
            <w:vAlign w:val="center"/>
          </w:tcPr>
          <w:p w14:paraId="0C8DA217">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6</w:t>
            </w:r>
          </w:p>
        </w:tc>
        <w:tc>
          <w:tcPr>
            <w:tcW w:w="2115" w:type="dxa"/>
            <w:shd w:val="clear" w:color="auto" w:fill="auto"/>
            <w:vAlign w:val="center"/>
          </w:tcPr>
          <w:p w14:paraId="5E158737">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定标工作规则和项目定标方案</w:t>
            </w:r>
          </w:p>
        </w:tc>
        <w:tc>
          <w:tcPr>
            <w:tcW w:w="6588" w:type="dxa"/>
            <w:shd w:val="clear" w:color="auto" w:fill="auto"/>
            <w:vAlign w:val="center"/>
          </w:tcPr>
          <w:p w14:paraId="45D7DA36">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定标工作规则：</w:t>
            </w:r>
            <w:r>
              <w:rPr>
                <w:rFonts w:hint="eastAsia" w:ascii="宋体" w:hAnsi="宋体" w:eastAsia="宋体" w:cs="宋体"/>
                <w:color w:val="auto"/>
                <w:kern w:val="0"/>
                <w:szCs w:val="21"/>
                <w:highlight w:val="none"/>
                <w:u w:val="single"/>
              </w:rPr>
              <w:t xml:space="preserve">           </w:t>
            </w:r>
          </w:p>
          <w:p w14:paraId="5518B982">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项目定标方案：在报内设（上级）的纪检监察机构（或督察机构）备案的基础上，于招标公告备案时上传至备案系统加密保存</w:t>
            </w:r>
            <w:r>
              <w:rPr>
                <w:rStyle w:val="136"/>
                <w:rFonts w:hint="eastAsia" w:ascii="宋体" w:hAnsi="宋体" w:eastAsia="宋体" w:cs="宋体"/>
                <w:color w:val="auto"/>
                <w:kern w:val="0"/>
                <w:szCs w:val="21"/>
                <w:highlight w:val="none"/>
              </w:rPr>
              <w:t>[</w:t>
            </w:r>
            <w:r>
              <w:rPr>
                <w:rStyle w:val="136"/>
                <w:rFonts w:hint="eastAsia" w:ascii="宋体" w:hAnsi="宋体" w:eastAsia="宋体" w:cs="宋体"/>
                <w:color w:val="auto"/>
                <w:kern w:val="0"/>
                <w:szCs w:val="21"/>
                <w:highlight w:val="none"/>
              </w:rPr>
              <w:footnoteReference w:id="3"/>
            </w:r>
            <w:r>
              <w:rPr>
                <w:rStyle w:val="136"/>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w:t>
            </w:r>
          </w:p>
          <w:p w14:paraId="2A995D09">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注：1.招标人应事先制定定标工作规则，</w:t>
            </w:r>
            <w:r>
              <w:rPr>
                <w:rFonts w:hint="eastAsia" w:ascii="宋体" w:hAnsi="宋体" w:eastAsia="宋体" w:cs="宋体"/>
                <w:color w:val="auto"/>
                <w:szCs w:val="21"/>
                <w:highlight w:val="none"/>
              </w:rPr>
              <w:t>对不同类别项目择优竞价结合方式、择优因素、竞价方法予以明确</w:t>
            </w:r>
            <w:r>
              <w:rPr>
                <w:rFonts w:hint="eastAsia" w:ascii="宋体" w:hAnsi="宋体" w:eastAsia="宋体" w:cs="宋体"/>
                <w:color w:val="auto"/>
                <w:szCs w:val="21"/>
                <w:highlight w:val="none"/>
                <w:lang w:val="en-US" w:eastAsia="zh-CN"/>
              </w:rPr>
              <w:t>。</w:t>
            </w:r>
          </w:p>
          <w:p w14:paraId="076762E2">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w:t>
            </w:r>
            <w:r>
              <w:rPr>
                <w:rFonts w:hint="eastAsia" w:ascii="宋体" w:hAnsi="宋体" w:eastAsia="宋体" w:cs="宋体"/>
                <w:color w:val="auto"/>
                <w:kern w:val="0"/>
                <w:szCs w:val="21"/>
                <w:highlight w:val="none"/>
                <w:lang w:val="en-US" w:eastAsia="zh-CN"/>
              </w:rPr>
              <w:t>定标委员会成员构成、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w:t>
            </w:r>
            <w:r>
              <w:rPr>
                <w:rFonts w:hint="eastAsia" w:ascii="宋体" w:hAnsi="宋体" w:eastAsia="宋体" w:cs="宋体"/>
                <w:color w:val="auto"/>
                <w:kern w:val="0"/>
                <w:szCs w:val="21"/>
                <w:highlight w:val="none"/>
                <w:lang w:eastAsia="zh-CN"/>
              </w:rPr>
              <w:t>。</w:t>
            </w:r>
          </w:p>
        </w:tc>
      </w:tr>
      <w:tr w14:paraId="5922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80" w:type="dxa"/>
            <w:vMerge w:val="restart"/>
            <w:shd w:val="clear" w:color="auto" w:fill="auto"/>
            <w:vAlign w:val="center"/>
          </w:tcPr>
          <w:p w14:paraId="7E1B99CE">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27</w:t>
            </w:r>
          </w:p>
        </w:tc>
        <w:tc>
          <w:tcPr>
            <w:tcW w:w="2115" w:type="dxa"/>
            <w:vMerge w:val="restart"/>
            <w:shd w:val="clear" w:color="auto" w:fill="auto"/>
            <w:vAlign w:val="center"/>
          </w:tcPr>
          <w:p w14:paraId="0AAA098B">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定标方法</w:t>
            </w:r>
          </w:p>
        </w:tc>
        <w:tc>
          <w:tcPr>
            <w:tcW w:w="6588" w:type="dxa"/>
            <w:shd w:val="clear" w:color="auto" w:fill="auto"/>
            <w:vAlign w:val="center"/>
          </w:tcPr>
          <w:p w14:paraId="3DBC3411">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□直接票决定标法</w:t>
            </w:r>
          </w:p>
          <w:p w14:paraId="4A69B08A">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14:paraId="763891C1">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□简单多数     □简单多数（且过半数）    □对比胜出</w:t>
            </w:r>
          </w:p>
        </w:tc>
      </w:tr>
      <w:tr w14:paraId="740D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680" w:type="dxa"/>
            <w:vMerge w:val="continue"/>
            <w:shd w:val="clear" w:color="auto" w:fill="auto"/>
            <w:vAlign w:val="center"/>
          </w:tcPr>
          <w:p w14:paraId="5D10E1DF">
            <w:pPr>
              <w:adjustRightInd w:val="0"/>
              <w:snapToGrid w:val="0"/>
              <w:spacing w:line="360" w:lineRule="auto"/>
              <w:jc w:val="left"/>
              <w:rPr>
                <w:color w:val="auto"/>
                <w:highlight w:val="none"/>
              </w:rPr>
            </w:pPr>
          </w:p>
        </w:tc>
        <w:tc>
          <w:tcPr>
            <w:tcW w:w="2115" w:type="dxa"/>
            <w:vMerge w:val="continue"/>
            <w:shd w:val="clear" w:color="auto" w:fill="auto"/>
            <w:vAlign w:val="center"/>
          </w:tcPr>
          <w:p w14:paraId="096C23C5">
            <w:pPr>
              <w:adjustRightInd w:val="0"/>
              <w:snapToGrid w:val="0"/>
              <w:spacing w:line="360" w:lineRule="auto"/>
              <w:jc w:val="left"/>
              <w:rPr>
                <w:color w:val="auto"/>
                <w:highlight w:val="none"/>
              </w:rPr>
            </w:pPr>
          </w:p>
        </w:tc>
        <w:tc>
          <w:tcPr>
            <w:tcW w:w="6588" w:type="dxa"/>
            <w:shd w:val="clear" w:color="auto" w:fill="auto"/>
            <w:vAlign w:val="center"/>
          </w:tcPr>
          <w:p w14:paraId="178DC573">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□逐轮票决定标法</w:t>
            </w:r>
          </w:p>
          <w:p w14:paraId="2C09F96E">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14:paraId="4763FA26">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□简单多数      □对比胜出       □先票决后淘汰</w:t>
            </w:r>
          </w:p>
        </w:tc>
      </w:tr>
      <w:tr w14:paraId="3D1E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80" w:type="dxa"/>
            <w:vMerge w:val="continue"/>
            <w:shd w:val="clear" w:color="auto" w:fill="auto"/>
            <w:vAlign w:val="center"/>
          </w:tcPr>
          <w:p w14:paraId="04341E58">
            <w:pPr>
              <w:adjustRightInd w:val="0"/>
              <w:snapToGrid w:val="0"/>
              <w:spacing w:line="360" w:lineRule="auto"/>
              <w:jc w:val="left"/>
              <w:rPr>
                <w:color w:val="auto"/>
                <w:highlight w:val="none"/>
              </w:rPr>
            </w:pPr>
          </w:p>
        </w:tc>
        <w:tc>
          <w:tcPr>
            <w:tcW w:w="2115" w:type="dxa"/>
            <w:vMerge w:val="continue"/>
            <w:shd w:val="clear" w:color="auto" w:fill="auto"/>
            <w:vAlign w:val="center"/>
          </w:tcPr>
          <w:p w14:paraId="0738FC55">
            <w:pPr>
              <w:adjustRightInd w:val="0"/>
              <w:snapToGrid w:val="0"/>
              <w:spacing w:line="360" w:lineRule="auto"/>
              <w:jc w:val="left"/>
              <w:rPr>
                <w:color w:val="auto"/>
                <w:highlight w:val="none"/>
              </w:rPr>
            </w:pPr>
          </w:p>
        </w:tc>
        <w:tc>
          <w:tcPr>
            <w:tcW w:w="6588" w:type="dxa"/>
            <w:shd w:val="clear" w:color="auto" w:fill="auto"/>
            <w:vAlign w:val="center"/>
          </w:tcPr>
          <w:p w14:paraId="3B1958D6">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□集体议事定标法</w:t>
            </w:r>
          </w:p>
        </w:tc>
      </w:tr>
      <w:tr w14:paraId="26DD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80" w:type="dxa"/>
            <w:vMerge w:val="continue"/>
            <w:shd w:val="clear" w:color="auto" w:fill="auto"/>
            <w:vAlign w:val="center"/>
          </w:tcPr>
          <w:p w14:paraId="1EED4888">
            <w:pPr>
              <w:jc w:val="left"/>
              <w:rPr>
                <w:color w:val="auto"/>
                <w:highlight w:val="none"/>
              </w:rPr>
            </w:pPr>
          </w:p>
        </w:tc>
        <w:tc>
          <w:tcPr>
            <w:tcW w:w="2115" w:type="dxa"/>
            <w:vMerge w:val="continue"/>
            <w:shd w:val="clear" w:color="auto" w:fill="auto"/>
            <w:vAlign w:val="center"/>
          </w:tcPr>
          <w:p w14:paraId="5403F8AA">
            <w:pPr>
              <w:jc w:val="left"/>
              <w:rPr>
                <w:color w:val="auto"/>
                <w:highlight w:val="none"/>
              </w:rPr>
            </w:pPr>
          </w:p>
        </w:tc>
        <w:tc>
          <w:tcPr>
            <w:tcW w:w="6588" w:type="dxa"/>
            <w:shd w:val="clear" w:color="auto" w:fill="auto"/>
            <w:vAlign w:val="center"/>
          </w:tcPr>
          <w:p w14:paraId="379FEA75">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□经建设、交通主管部门批准的其他方法:</w:t>
            </w:r>
            <w:r>
              <w:rPr>
                <w:rFonts w:hint="eastAsia" w:ascii="宋体" w:hAnsi="宋体" w:eastAsia="宋体" w:cs="宋体"/>
                <w:color w:val="auto"/>
                <w:kern w:val="0"/>
                <w:szCs w:val="21"/>
                <w:highlight w:val="none"/>
                <w:u w:val="single"/>
              </w:rPr>
              <w:t xml:space="preserve">      </w:t>
            </w:r>
          </w:p>
        </w:tc>
      </w:tr>
      <w:tr w14:paraId="0E39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680" w:type="dxa"/>
            <w:shd w:val="clear" w:color="auto" w:fill="auto"/>
            <w:vAlign w:val="center"/>
          </w:tcPr>
          <w:p w14:paraId="588EA07B">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p>
        </w:tc>
        <w:tc>
          <w:tcPr>
            <w:tcW w:w="2115" w:type="dxa"/>
            <w:shd w:val="clear" w:color="auto" w:fill="auto"/>
            <w:vAlign w:val="center"/>
          </w:tcPr>
          <w:p w14:paraId="088868F0">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发出中标通知书及签订合同</w:t>
            </w:r>
          </w:p>
        </w:tc>
        <w:tc>
          <w:tcPr>
            <w:tcW w:w="6588" w:type="dxa"/>
            <w:shd w:val="clear" w:color="auto" w:fill="auto"/>
            <w:vAlign w:val="center"/>
          </w:tcPr>
          <w:p w14:paraId="775F91CA">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招标人和中标人应当自中标通知书发出之日起三十日内，按照招标文件和中标人的投标文件签订合同（因投诉暂停的除外）。</w:t>
            </w:r>
          </w:p>
        </w:tc>
      </w:tr>
      <w:tr w14:paraId="41AC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80" w:type="dxa"/>
            <w:shd w:val="clear" w:color="auto" w:fill="auto"/>
            <w:vAlign w:val="center"/>
          </w:tcPr>
          <w:p w14:paraId="63E1A8C2">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9</w:t>
            </w:r>
          </w:p>
        </w:tc>
        <w:tc>
          <w:tcPr>
            <w:tcW w:w="2115" w:type="dxa"/>
            <w:shd w:val="clear" w:color="auto" w:fill="auto"/>
            <w:vAlign w:val="center"/>
          </w:tcPr>
          <w:p w14:paraId="6E16B327">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投标补偿</w:t>
            </w:r>
          </w:p>
        </w:tc>
        <w:tc>
          <w:tcPr>
            <w:tcW w:w="6588" w:type="dxa"/>
            <w:shd w:val="clear" w:color="auto" w:fill="auto"/>
            <w:vAlign w:val="center"/>
          </w:tcPr>
          <w:p w14:paraId="65E7D3D2">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□无投标补偿</w:t>
            </w:r>
          </w:p>
          <w:p w14:paraId="534BE140">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□有投标补偿。具体补偿方案为：</w:t>
            </w:r>
            <w:r>
              <w:rPr>
                <w:rFonts w:hint="eastAsia" w:ascii="宋体" w:hAnsi="宋体" w:eastAsia="宋体" w:cs="宋体"/>
                <w:color w:val="auto"/>
                <w:kern w:val="0"/>
                <w:szCs w:val="21"/>
                <w:highlight w:val="none"/>
                <w:u w:val="single"/>
              </w:rPr>
              <w:t xml:space="preserve">      </w:t>
            </w:r>
          </w:p>
        </w:tc>
      </w:tr>
    </w:tbl>
    <w:p w14:paraId="29DA648E">
      <w:pPr>
        <w:widowControl/>
        <w:spacing w:line="20" w:lineRule="exact"/>
        <w:jc w:val="left"/>
        <w:rPr>
          <w:color w:val="auto"/>
          <w:highlight w:val="none"/>
        </w:rPr>
      </w:pPr>
      <w:r>
        <w:rPr>
          <w:color w:val="auto"/>
          <w:highlight w:val="none"/>
        </w:rPr>
        <w:br w:type="page"/>
      </w:r>
    </w:p>
    <w:p w14:paraId="0B8D0620">
      <w:pPr>
        <w:adjustRightInd w:val="0"/>
        <w:snapToGrid w:val="0"/>
        <w:spacing w:line="360" w:lineRule="auto"/>
        <w:jc w:val="center"/>
        <w:outlineLvl w:val="2"/>
        <w:rPr>
          <w:rFonts w:ascii="宋体" w:hAnsi="宋体" w:eastAsia="宋体" w:cs="宋体"/>
          <w:b/>
          <w:color w:val="auto"/>
          <w:kern w:val="0"/>
          <w:sz w:val="30"/>
          <w:szCs w:val="30"/>
          <w:highlight w:val="none"/>
        </w:rPr>
      </w:pPr>
      <w:bookmarkStart w:id="6" w:name="_Toc6655"/>
      <w:r>
        <w:rPr>
          <w:rFonts w:hint="eastAsia" w:ascii="宋体" w:hAnsi="宋体" w:eastAsia="宋体" w:cs="宋体"/>
          <w:b/>
          <w:color w:val="auto"/>
          <w:kern w:val="0"/>
          <w:sz w:val="30"/>
          <w:szCs w:val="30"/>
          <w:highlight w:val="none"/>
        </w:rPr>
        <w:t>（二）投标文件编制成果及要求</w:t>
      </w:r>
      <w:bookmarkEnd w:id="6"/>
    </w:p>
    <w:tbl>
      <w:tblPr>
        <w:tblStyle w:val="7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942"/>
        <w:gridCol w:w="1054"/>
        <w:gridCol w:w="7181"/>
      </w:tblGrid>
      <w:tr w14:paraId="5255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77" w:type="dxa"/>
            <w:shd w:val="clear" w:color="auto" w:fill="auto"/>
            <w:vAlign w:val="center"/>
          </w:tcPr>
          <w:p w14:paraId="5B5A418A">
            <w:pPr>
              <w:adjustRightInd w:val="0"/>
              <w:snapToGrid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996" w:type="dxa"/>
            <w:gridSpan w:val="2"/>
            <w:shd w:val="clear" w:color="auto" w:fill="auto"/>
            <w:vAlign w:val="center"/>
          </w:tcPr>
          <w:p w14:paraId="6771F4BC">
            <w:pPr>
              <w:adjustRightInd w:val="0"/>
              <w:snapToGrid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内容</w:t>
            </w:r>
          </w:p>
        </w:tc>
        <w:tc>
          <w:tcPr>
            <w:tcW w:w="7181" w:type="dxa"/>
            <w:shd w:val="clear" w:color="auto" w:fill="auto"/>
            <w:vAlign w:val="center"/>
          </w:tcPr>
          <w:p w14:paraId="491C8130">
            <w:pPr>
              <w:adjustRightInd w:val="0"/>
              <w:snapToGrid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 定</w:t>
            </w:r>
          </w:p>
        </w:tc>
      </w:tr>
      <w:tr w14:paraId="04CC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77" w:type="dxa"/>
            <w:vMerge w:val="restart"/>
            <w:shd w:val="clear" w:color="auto" w:fill="auto"/>
            <w:vAlign w:val="center"/>
          </w:tcPr>
          <w:p w14:paraId="5A21515E">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942" w:type="dxa"/>
            <w:vMerge w:val="restart"/>
            <w:shd w:val="clear" w:color="auto" w:fill="auto"/>
            <w:vAlign w:val="center"/>
          </w:tcPr>
          <w:p w14:paraId="03447675">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技术标</w:t>
            </w:r>
          </w:p>
        </w:tc>
        <w:tc>
          <w:tcPr>
            <w:tcW w:w="1054" w:type="dxa"/>
            <w:vMerge w:val="restart"/>
            <w:shd w:val="clear" w:color="auto" w:fill="auto"/>
            <w:vAlign w:val="center"/>
          </w:tcPr>
          <w:p w14:paraId="170784D1">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w:t>
            </w:r>
          </w:p>
          <w:p w14:paraId="7F1AA397">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文本</w:t>
            </w:r>
          </w:p>
          <w:p w14:paraId="01E51E0D">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文件</w:t>
            </w:r>
          </w:p>
        </w:tc>
        <w:tc>
          <w:tcPr>
            <w:tcW w:w="7181" w:type="dxa"/>
            <w:shd w:val="clear" w:color="auto" w:fill="auto"/>
            <w:vAlign w:val="center"/>
          </w:tcPr>
          <w:p w14:paraId="15450CAC">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暗标</w:t>
            </w:r>
            <w:r>
              <w:rPr>
                <w:rFonts w:hint="eastAsia" w:ascii="宋体" w:hAnsi="宋体" w:eastAsia="宋体" w:cs="宋体"/>
                <w:color w:val="auto"/>
                <w:kern w:val="0"/>
                <w:szCs w:val="21"/>
                <w:highlight w:val="none"/>
              </w:rPr>
              <w:t>形式</w:t>
            </w:r>
          </w:p>
          <w:p w14:paraId="06738526">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明标</w:t>
            </w:r>
            <w:r>
              <w:rPr>
                <w:rFonts w:hint="eastAsia" w:ascii="宋体" w:hAnsi="宋体" w:eastAsia="宋体" w:cs="宋体"/>
                <w:color w:val="auto"/>
                <w:kern w:val="0"/>
                <w:szCs w:val="21"/>
                <w:highlight w:val="none"/>
              </w:rPr>
              <w:t>形式</w:t>
            </w:r>
          </w:p>
        </w:tc>
      </w:tr>
      <w:tr w14:paraId="3D97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Merge w:val="continue"/>
            <w:shd w:val="clear" w:color="auto" w:fill="auto"/>
            <w:vAlign w:val="center"/>
          </w:tcPr>
          <w:p w14:paraId="44897956">
            <w:pPr>
              <w:adjustRightInd w:val="0"/>
              <w:snapToGrid w:val="0"/>
              <w:spacing w:line="360" w:lineRule="auto"/>
              <w:jc w:val="center"/>
              <w:rPr>
                <w:rFonts w:ascii="宋体" w:hAnsi="宋体" w:eastAsia="宋体" w:cs="宋体"/>
                <w:b/>
                <w:color w:val="auto"/>
                <w:kern w:val="0"/>
                <w:szCs w:val="21"/>
                <w:highlight w:val="none"/>
              </w:rPr>
            </w:pPr>
          </w:p>
        </w:tc>
        <w:tc>
          <w:tcPr>
            <w:tcW w:w="942" w:type="dxa"/>
            <w:vMerge w:val="continue"/>
            <w:shd w:val="clear" w:color="auto" w:fill="auto"/>
            <w:vAlign w:val="center"/>
          </w:tcPr>
          <w:p w14:paraId="585676A8">
            <w:pPr>
              <w:adjustRightInd w:val="0"/>
              <w:snapToGrid w:val="0"/>
              <w:spacing w:line="360" w:lineRule="auto"/>
              <w:jc w:val="center"/>
              <w:rPr>
                <w:rFonts w:ascii="宋体" w:hAnsi="宋体" w:eastAsia="宋体" w:cs="宋体"/>
                <w:b/>
                <w:color w:val="auto"/>
                <w:kern w:val="0"/>
                <w:szCs w:val="21"/>
                <w:highlight w:val="none"/>
              </w:rPr>
            </w:pPr>
          </w:p>
        </w:tc>
        <w:tc>
          <w:tcPr>
            <w:tcW w:w="1054" w:type="dxa"/>
            <w:vMerge w:val="continue"/>
            <w:shd w:val="clear" w:color="auto" w:fill="auto"/>
            <w:vAlign w:val="center"/>
          </w:tcPr>
          <w:p w14:paraId="4655ED54">
            <w:pPr>
              <w:adjustRightInd w:val="0"/>
              <w:snapToGrid w:val="0"/>
              <w:spacing w:line="360" w:lineRule="auto"/>
              <w:jc w:val="center"/>
              <w:rPr>
                <w:rFonts w:ascii="宋体" w:hAnsi="宋体" w:eastAsia="宋体" w:cs="宋体"/>
                <w:b/>
                <w:color w:val="auto"/>
                <w:kern w:val="0"/>
                <w:szCs w:val="21"/>
                <w:highlight w:val="none"/>
              </w:rPr>
            </w:pPr>
          </w:p>
        </w:tc>
        <w:tc>
          <w:tcPr>
            <w:tcW w:w="7181" w:type="dxa"/>
            <w:shd w:val="clear" w:color="auto" w:fill="auto"/>
            <w:vAlign w:val="center"/>
          </w:tcPr>
          <w:p w14:paraId="18F7CC98">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编制内容（图纸可作为文本附件或穿插文本其中）：</w:t>
            </w:r>
          </w:p>
          <w:p w14:paraId="200AADDB">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1、项目分析及技术措施</w:t>
            </w:r>
          </w:p>
          <w:p w14:paraId="249F7D53">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2、工期质量保障措施</w:t>
            </w:r>
          </w:p>
          <w:p w14:paraId="1F597930">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3、节能、环保措施及四新应用情况</w:t>
            </w:r>
          </w:p>
          <w:p w14:paraId="22B1D916">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14:paraId="6555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677" w:type="dxa"/>
            <w:vMerge w:val="continue"/>
            <w:shd w:val="clear" w:color="auto" w:fill="auto"/>
            <w:vAlign w:val="center"/>
          </w:tcPr>
          <w:p w14:paraId="4A0B144B">
            <w:pPr>
              <w:adjustRightInd w:val="0"/>
              <w:snapToGrid w:val="0"/>
              <w:spacing w:line="360" w:lineRule="auto"/>
              <w:jc w:val="center"/>
              <w:rPr>
                <w:rFonts w:ascii="宋体" w:hAnsi="宋体" w:eastAsia="宋体" w:cs="宋体"/>
                <w:b/>
                <w:color w:val="auto"/>
                <w:kern w:val="0"/>
                <w:szCs w:val="21"/>
                <w:highlight w:val="none"/>
              </w:rPr>
            </w:pPr>
          </w:p>
        </w:tc>
        <w:tc>
          <w:tcPr>
            <w:tcW w:w="942" w:type="dxa"/>
            <w:vMerge w:val="continue"/>
            <w:shd w:val="clear" w:color="auto" w:fill="auto"/>
            <w:vAlign w:val="center"/>
          </w:tcPr>
          <w:p w14:paraId="471A60FF">
            <w:pPr>
              <w:adjustRightInd w:val="0"/>
              <w:snapToGrid w:val="0"/>
              <w:spacing w:line="360" w:lineRule="auto"/>
              <w:jc w:val="center"/>
              <w:rPr>
                <w:rFonts w:ascii="宋体" w:hAnsi="宋体" w:eastAsia="宋体" w:cs="宋体"/>
                <w:b/>
                <w:color w:val="auto"/>
                <w:kern w:val="0"/>
                <w:szCs w:val="21"/>
                <w:highlight w:val="none"/>
              </w:rPr>
            </w:pPr>
          </w:p>
        </w:tc>
        <w:tc>
          <w:tcPr>
            <w:tcW w:w="1054" w:type="dxa"/>
            <w:vMerge w:val="continue"/>
            <w:shd w:val="clear" w:color="auto" w:fill="auto"/>
            <w:vAlign w:val="center"/>
          </w:tcPr>
          <w:p w14:paraId="13A5A830">
            <w:pPr>
              <w:adjustRightInd w:val="0"/>
              <w:snapToGrid w:val="0"/>
              <w:spacing w:line="360" w:lineRule="auto"/>
              <w:jc w:val="center"/>
              <w:rPr>
                <w:rFonts w:ascii="宋体" w:hAnsi="宋体" w:eastAsia="宋体" w:cs="宋体"/>
                <w:b/>
                <w:color w:val="auto"/>
                <w:kern w:val="0"/>
                <w:szCs w:val="21"/>
                <w:highlight w:val="none"/>
              </w:rPr>
            </w:pPr>
          </w:p>
        </w:tc>
        <w:tc>
          <w:tcPr>
            <w:tcW w:w="7181" w:type="dxa"/>
            <w:shd w:val="clear" w:color="auto" w:fill="auto"/>
            <w:vAlign w:val="center"/>
          </w:tcPr>
          <w:p w14:paraId="13F05871">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1、电子文件应采用电子投标文件编制工具制作，文件格式要求详见本范本“使用说明”。</w:t>
            </w:r>
          </w:p>
          <w:p w14:paraId="16528223">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Cs/>
                <w:color w:val="auto"/>
                <w:kern w:val="0"/>
                <w:szCs w:val="21"/>
                <w:highlight w:val="none"/>
              </w:rPr>
              <w:t>2、文本中图片命名规则：序号+图名（其中“序号”为阿拉伯数字），例如：01道路横断面图。</w:t>
            </w:r>
          </w:p>
        </w:tc>
      </w:tr>
      <w:tr w14:paraId="4727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677" w:type="dxa"/>
            <w:vMerge w:val="restart"/>
            <w:shd w:val="clear" w:color="auto" w:fill="auto"/>
            <w:vAlign w:val="center"/>
          </w:tcPr>
          <w:p w14:paraId="76012E07">
            <w:pPr>
              <w:adjustRightInd w:val="0"/>
              <w:snapToGrid w:val="0"/>
              <w:spacing w:line="360" w:lineRule="auto"/>
              <w:jc w:val="center"/>
              <w:rPr>
                <w:rFonts w:ascii="宋体" w:hAnsi="宋体" w:eastAsia="宋体" w:cs="宋体"/>
                <w:color w:val="auto"/>
                <w:kern w:val="0"/>
                <w:szCs w:val="21"/>
                <w:highlight w:val="none"/>
              </w:rPr>
            </w:pPr>
            <w:bookmarkStart w:id="7" w:name="方案演示文件" w:colFirst="3" w:colLast="3"/>
            <w:r>
              <w:rPr>
                <w:rFonts w:hint="eastAsia" w:ascii="宋体" w:hAnsi="宋体" w:eastAsia="宋体" w:cs="宋体"/>
                <w:color w:val="auto"/>
                <w:kern w:val="0"/>
                <w:szCs w:val="21"/>
                <w:highlight w:val="none"/>
              </w:rPr>
              <w:t>2</w:t>
            </w:r>
          </w:p>
        </w:tc>
        <w:tc>
          <w:tcPr>
            <w:tcW w:w="942" w:type="dxa"/>
            <w:vMerge w:val="continue"/>
            <w:shd w:val="clear" w:color="auto" w:fill="auto"/>
            <w:vAlign w:val="center"/>
          </w:tcPr>
          <w:p w14:paraId="7C0C10BA">
            <w:pPr>
              <w:adjustRightInd w:val="0"/>
              <w:snapToGrid w:val="0"/>
              <w:spacing w:line="360" w:lineRule="auto"/>
              <w:jc w:val="center"/>
              <w:rPr>
                <w:rFonts w:ascii="宋体" w:hAnsi="宋体" w:eastAsia="宋体" w:cs="宋体"/>
                <w:color w:val="auto"/>
                <w:kern w:val="0"/>
                <w:szCs w:val="21"/>
                <w:highlight w:val="none"/>
              </w:rPr>
            </w:pPr>
          </w:p>
        </w:tc>
        <w:tc>
          <w:tcPr>
            <w:tcW w:w="1054" w:type="dxa"/>
            <w:vMerge w:val="restart"/>
            <w:shd w:val="clear" w:color="auto" w:fill="auto"/>
            <w:vAlign w:val="center"/>
          </w:tcPr>
          <w:p w14:paraId="0FCAC42D">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□方案</w:t>
            </w:r>
          </w:p>
          <w:p w14:paraId="57F4B188">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演示</w:t>
            </w:r>
          </w:p>
          <w:p w14:paraId="4B1BE480">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文件</w:t>
            </w:r>
          </w:p>
        </w:tc>
        <w:tc>
          <w:tcPr>
            <w:tcW w:w="7181" w:type="dxa"/>
            <w:shd w:val="clear" w:color="auto" w:fill="auto"/>
            <w:vAlign w:val="center"/>
          </w:tcPr>
          <w:p w14:paraId="2A90D5B2">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暗标</w:t>
            </w:r>
            <w:r>
              <w:rPr>
                <w:rFonts w:hint="eastAsia" w:ascii="宋体" w:hAnsi="宋体" w:eastAsia="宋体" w:cs="宋体"/>
                <w:color w:val="auto"/>
                <w:kern w:val="0"/>
                <w:szCs w:val="21"/>
                <w:highlight w:val="none"/>
              </w:rPr>
              <w:t>形式</w:t>
            </w:r>
          </w:p>
          <w:p w14:paraId="563432FB">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明标</w:t>
            </w:r>
            <w:r>
              <w:rPr>
                <w:rFonts w:hint="eastAsia" w:ascii="宋体" w:hAnsi="宋体" w:eastAsia="宋体" w:cs="宋体"/>
                <w:color w:val="auto"/>
                <w:kern w:val="0"/>
                <w:szCs w:val="21"/>
                <w:highlight w:val="none"/>
              </w:rPr>
              <w:t>形式</w:t>
            </w:r>
          </w:p>
          <w:p w14:paraId="14CA6827">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演示时间不超过</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分钟</w:t>
            </w:r>
          </w:p>
        </w:tc>
      </w:tr>
      <w:tr w14:paraId="0B8F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77" w:type="dxa"/>
            <w:vMerge w:val="continue"/>
            <w:shd w:val="clear" w:color="auto" w:fill="auto"/>
            <w:vAlign w:val="center"/>
          </w:tcPr>
          <w:p w14:paraId="5034E3D4">
            <w:pPr>
              <w:adjustRightInd w:val="0"/>
              <w:snapToGrid w:val="0"/>
              <w:spacing w:line="360" w:lineRule="auto"/>
              <w:jc w:val="center"/>
              <w:rPr>
                <w:rFonts w:ascii="宋体" w:hAnsi="宋体" w:eastAsia="宋体" w:cs="宋体"/>
                <w:color w:val="auto"/>
                <w:kern w:val="0"/>
                <w:szCs w:val="21"/>
                <w:highlight w:val="none"/>
              </w:rPr>
            </w:pPr>
          </w:p>
        </w:tc>
        <w:tc>
          <w:tcPr>
            <w:tcW w:w="942" w:type="dxa"/>
            <w:vMerge w:val="continue"/>
            <w:shd w:val="clear" w:color="auto" w:fill="auto"/>
            <w:vAlign w:val="center"/>
          </w:tcPr>
          <w:p w14:paraId="69DCFA7E">
            <w:pPr>
              <w:adjustRightInd w:val="0"/>
              <w:snapToGrid w:val="0"/>
              <w:spacing w:line="360" w:lineRule="auto"/>
              <w:jc w:val="center"/>
              <w:rPr>
                <w:rFonts w:ascii="宋体" w:hAnsi="宋体" w:eastAsia="宋体" w:cs="宋体"/>
                <w:color w:val="auto"/>
                <w:kern w:val="0"/>
                <w:szCs w:val="21"/>
                <w:highlight w:val="none"/>
              </w:rPr>
            </w:pPr>
          </w:p>
        </w:tc>
        <w:tc>
          <w:tcPr>
            <w:tcW w:w="1054" w:type="dxa"/>
            <w:vMerge w:val="continue"/>
            <w:shd w:val="clear" w:color="auto" w:fill="auto"/>
            <w:vAlign w:val="center"/>
          </w:tcPr>
          <w:p w14:paraId="35F0A853">
            <w:pPr>
              <w:adjustRightInd w:val="0"/>
              <w:snapToGrid w:val="0"/>
              <w:spacing w:line="360" w:lineRule="auto"/>
              <w:jc w:val="center"/>
              <w:rPr>
                <w:rFonts w:ascii="宋体" w:hAnsi="宋体" w:eastAsia="宋体" w:cs="宋体"/>
                <w:color w:val="auto"/>
                <w:kern w:val="0"/>
                <w:szCs w:val="21"/>
                <w:highlight w:val="none"/>
              </w:rPr>
            </w:pPr>
          </w:p>
        </w:tc>
        <w:tc>
          <w:tcPr>
            <w:tcW w:w="7181" w:type="dxa"/>
            <w:shd w:val="clear" w:color="auto" w:fill="auto"/>
            <w:vAlign w:val="center"/>
          </w:tcPr>
          <w:p w14:paraId="562E1067">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电子文件应采用电子投标文件编制工具制作，文件格式要求详见本范本“使用说明”。</w:t>
            </w:r>
          </w:p>
        </w:tc>
      </w:tr>
      <w:bookmarkEnd w:id="7"/>
      <w:tr w14:paraId="4885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77" w:type="dxa"/>
            <w:vMerge w:val="restart"/>
            <w:shd w:val="clear" w:color="auto" w:fill="auto"/>
            <w:vAlign w:val="center"/>
          </w:tcPr>
          <w:p w14:paraId="6594D742">
            <w:pPr>
              <w:adjustRightInd w:val="0"/>
              <w:snapToGrid w:val="0"/>
              <w:spacing w:line="360" w:lineRule="auto"/>
              <w:jc w:val="center"/>
              <w:rPr>
                <w:rFonts w:ascii="宋体" w:hAnsi="宋体" w:eastAsia="宋体" w:cs="宋体"/>
                <w:color w:val="auto"/>
                <w:kern w:val="0"/>
                <w:szCs w:val="21"/>
                <w:highlight w:val="none"/>
              </w:rPr>
            </w:pPr>
            <w:bookmarkStart w:id="8" w:name="展示图板" w:colFirst="3" w:colLast="3"/>
            <w:r>
              <w:rPr>
                <w:rFonts w:hint="eastAsia" w:ascii="宋体" w:hAnsi="宋体" w:eastAsia="宋体" w:cs="宋体"/>
                <w:color w:val="auto"/>
                <w:kern w:val="0"/>
                <w:szCs w:val="21"/>
                <w:highlight w:val="none"/>
              </w:rPr>
              <w:t>3</w:t>
            </w:r>
          </w:p>
        </w:tc>
        <w:tc>
          <w:tcPr>
            <w:tcW w:w="942" w:type="dxa"/>
            <w:vMerge w:val="continue"/>
            <w:shd w:val="clear" w:color="auto" w:fill="auto"/>
            <w:vAlign w:val="center"/>
          </w:tcPr>
          <w:p w14:paraId="07FF54C7">
            <w:pPr>
              <w:adjustRightInd w:val="0"/>
              <w:snapToGrid w:val="0"/>
              <w:spacing w:line="360" w:lineRule="auto"/>
              <w:jc w:val="center"/>
              <w:rPr>
                <w:rFonts w:ascii="宋体" w:hAnsi="宋体" w:eastAsia="宋体" w:cs="宋体"/>
                <w:color w:val="auto"/>
                <w:kern w:val="0"/>
                <w:szCs w:val="21"/>
                <w:highlight w:val="none"/>
              </w:rPr>
            </w:pPr>
          </w:p>
        </w:tc>
        <w:tc>
          <w:tcPr>
            <w:tcW w:w="1054" w:type="dxa"/>
            <w:vMerge w:val="restart"/>
            <w:shd w:val="clear" w:color="auto" w:fill="auto"/>
            <w:vAlign w:val="center"/>
          </w:tcPr>
          <w:p w14:paraId="28C1F905">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□展示</w:t>
            </w:r>
          </w:p>
          <w:p w14:paraId="4AF1F0A7">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图板</w:t>
            </w:r>
          </w:p>
        </w:tc>
        <w:tc>
          <w:tcPr>
            <w:tcW w:w="7181" w:type="dxa"/>
            <w:shd w:val="clear" w:color="auto" w:fill="auto"/>
            <w:vAlign w:val="center"/>
          </w:tcPr>
          <w:p w14:paraId="08DBCFD8">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暗标</w:t>
            </w:r>
            <w:r>
              <w:rPr>
                <w:rFonts w:hint="eastAsia" w:ascii="宋体" w:hAnsi="宋体" w:eastAsia="宋体" w:cs="宋体"/>
                <w:color w:val="auto"/>
                <w:kern w:val="0"/>
                <w:szCs w:val="21"/>
                <w:highlight w:val="none"/>
              </w:rPr>
              <w:t>形式</w:t>
            </w:r>
          </w:p>
          <w:p w14:paraId="7C0DAFA9">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明标</w:t>
            </w:r>
            <w:r>
              <w:rPr>
                <w:rFonts w:hint="eastAsia" w:ascii="宋体" w:hAnsi="宋体" w:eastAsia="宋体" w:cs="宋体"/>
                <w:color w:val="auto"/>
                <w:kern w:val="0"/>
                <w:szCs w:val="21"/>
                <w:highlight w:val="none"/>
              </w:rPr>
              <w:t>形式</w:t>
            </w:r>
          </w:p>
        </w:tc>
      </w:tr>
      <w:tr w14:paraId="276B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77" w:type="dxa"/>
            <w:vMerge w:val="continue"/>
            <w:shd w:val="clear" w:color="auto" w:fill="auto"/>
            <w:vAlign w:val="center"/>
          </w:tcPr>
          <w:p w14:paraId="114ECA19">
            <w:pPr>
              <w:adjustRightInd w:val="0"/>
              <w:snapToGrid w:val="0"/>
              <w:spacing w:line="360" w:lineRule="auto"/>
              <w:jc w:val="center"/>
              <w:rPr>
                <w:rFonts w:ascii="宋体" w:hAnsi="宋体" w:eastAsia="宋体" w:cs="宋体"/>
                <w:color w:val="auto"/>
                <w:kern w:val="0"/>
                <w:szCs w:val="21"/>
                <w:highlight w:val="none"/>
              </w:rPr>
            </w:pPr>
          </w:p>
        </w:tc>
        <w:tc>
          <w:tcPr>
            <w:tcW w:w="942" w:type="dxa"/>
            <w:vMerge w:val="continue"/>
            <w:shd w:val="clear" w:color="auto" w:fill="auto"/>
            <w:vAlign w:val="center"/>
          </w:tcPr>
          <w:p w14:paraId="539D2173">
            <w:pPr>
              <w:adjustRightInd w:val="0"/>
              <w:snapToGrid w:val="0"/>
              <w:spacing w:line="360" w:lineRule="auto"/>
              <w:jc w:val="center"/>
              <w:rPr>
                <w:rFonts w:ascii="宋体" w:hAnsi="宋体" w:eastAsia="宋体" w:cs="宋体"/>
                <w:color w:val="auto"/>
                <w:kern w:val="0"/>
                <w:szCs w:val="21"/>
                <w:highlight w:val="none"/>
              </w:rPr>
            </w:pPr>
          </w:p>
        </w:tc>
        <w:tc>
          <w:tcPr>
            <w:tcW w:w="1054" w:type="dxa"/>
            <w:vMerge w:val="continue"/>
            <w:shd w:val="clear" w:color="auto" w:fill="auto"/>
            <w:vAlign w:val="center"/>
          </w:tcPr>
          <w:p w14:paraId="2F3CE62E">
            <w:pPr>
              <w:adjustRightInd w:val="0"/>
              <w:snapToGrid w:val="0"/>
              <w:spacing w:line="360" w:lineRule="auto"/>
              <w:jc w:val="center"/>
              <w:rPr>
                <w:rFonts w:ascii="宋体" w:hAnsi="宋体" w:eastAsia="宋体" w:cs="宋体"/>
                <w:color w:val="auto"/>
                <w:kern w:val="0"/>
                <w:szCs w:val="21"/>
                <w:highlight w:val="none"/>
              </w:rPr>
            </w:pPr>
          </w:p>
        </w:tc>
        <w:tc>
          <w:tcPr>
            <w:tcW w:w="7181" w:type="dxa"/>
            <w:shd w:val="clear" w:color="auto" w:fill="auto"/>
            <w:vAlign w:val="center"/>
          </w:tcPr>
          <w:p w14:paraId="1BF71338">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展示图不超过</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块</w:t>
            </w:r>
            <w:r>
              <w:rPr>
                <w:rFonts w:hint="eastAsia" w:ascii="宋体" w:hAnsi="宋体" w:eastAsia="宋体" w:cs="宋体"/>
                <w:bCs/>
                <w:color w:val="auto"/>
                <w:kern w:val="0"/>
                <w:szCs w:val="21"/>
                <w:highlight w:val="none"/>
              </w:rPr>
              <w:t>，应表现</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等处的立体透视效果。</w:t>
            </w:r>
          </w:p>
          <w:p w14:paraId="7AD19D55">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图板内容应着重表现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的立体效果。</w:t>
            </w:r>
          </w:p>
        </w:tc>
      </w:tr>
      <w:tr w14:paraId="17A2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77" w:type="dxa"/>
            <w:vMerge w:val="continue"/>
            <w:shd w:val="clear" w:color="auto" w:fill="auto"/>
            <w:vAlign w:val="center"/>
          </w:tcPr>
          <w:p w14:paraId="2719BBAD">
            <w:pPr>
              <w:adjustRightInd w:val="0"/>
              <w:snapToGrid w:val="0"/>
              <w:spacing w:line="360" w:lineRule="auto"/>
              <w:jc w:val="center"/>
              <w:rPr>
                <w:rFonts w:ascii="宋体" w:hAnsi="宋体" w:eastAsia="宋体" w:cs="宋体"/>
                <w:color w:val="auto"/>
                <w:kern w:val="0"/>
                <w:szCs w:val="21"/>
                <w:highlight w:val="none"/>
              </w:rPr>
            </w:pPr>
          </w:p>
        </w:tc>
        <w:tc>
          <w:tcPr>
            <w:tcW w:w="942" w:type="dxa"/>
            <w:vMerge w:val="continue"/>
            <w:shd w:val="clear" w:color="auto" w:fill="auto"/>
            <w:vAlign w:val="center"/>
          </w:tcPr>
          <w:p w14:paraId="1EC4D900">
            <w:pPr>
              <w:adjustRightInd w:val="0"/>
              <w:snapToGrid w:val="0"/>
              <w:spacing w:line="360" w:lineRule="auto"/>
              <w:jc w:val="center"/>
              <w:rPr>
                <w:rFonts w:ascii="宋体" w:hAnsi="宋体" w:eastAsia="宋体" w:cs="宋体"/>
                <w:color w:val="auto"/>
                <w:kern w:val="0"/>
                <w:szCs w:val="21"/>
                <w:highlight w:val="none"/>
              </w:rPr>
            </w:pPr>
          </w:p>
        </w:tc>
        <w:tc>
          <w:tcPr>
            <w:tcW w:w="1054" w:type="dxa"/>
            <w:vMerge w:val="continue"/>
            <w:shd w:val="clear" w:color="auto" w:fill="auto"/>
            <w:vAlign w:val="center"/>
          </w:tcPr>
          <w:p w14:paraId="2BCB0BD8">
            <w:pPr>
              <w:adjustRightInd w:val="0"/>
              <w:snapToGrid w:val="0"/>
              <w:spacing w:line="360" w:lineRule="auto"/>
              <w:jc w:val="center"/>
              <w:rPr>
                <w:rFonts w:ascii="宋体" w:hAnsi="宋体" w:eastAsia="宋体" w:cs="宋体"/>
                <w:color w:val="auto"/>
                <w:kern w:val="0"/>
                <w:szCs w:val="21"/>
                <w:highlight w:val="none"/>
              </w:rPr>
            </w:pPr>
          </w:p>
        </w:tc>
        <w:tc>
          <w:tcPr>
            <w:tcW w:w="7181" w:type="dxa"/>
            <w:shd w:val="clear" w:color="auto" w:fill="auto"/>
            <w:vAlign w:val="center"/>
          </w:tcPr>
          <w:p w14:paraId="23D71A4C">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□提交展示图版，展示图版均为</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号图；</w:t>
            </w:r>
          </w:p>
          <w:p w14:paraId="5F6218CE">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□提交电子文件形式，应使用电子投标文件编制工具制作，文件格式要求详见本范本“使用说明”。</w:t>
            </w:r>
          </w:p>
        </w:tc>
      </w:tr>
      <w:bookmarkEnd w:id="8"/>
      <w:tr w14:paraId="2B73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77" w:type="dxa"/>
            <w:vMerge w:val="restart"/>
            <w:shd w:val="clear" w:color="auto" w:fill="auto"/>
            <w:vAlign w:val="center"/>
          </w:tcPr>
          <w:p w14:paraId="796E1DAA">
            <w:pPr>
              <w:adjustRightInd w:val="0"/>
              <w:snapToGrid w:val="0"/>
              <w:spacing w:line="360" w:lineRule="auto"/>
              <w:jc w:val="center"/>
              <w:rPr>
                <w:rFonts w:ascii="宋体" w:hAnsi="宋体" w:eastAsia="宋体" w:cs="宋体"/>
                <w:color w:val="auto"/>
                <w:kern w:val="0"/>
                <w:szCs w:val="21"/>
                <w:highlight w:val="none"/>
              </w:rPr>
            </w:pPr>
            <w:bookmarkStart w:id="9" w:name="实物设计模型" w:colFirst="3" w:colLast="3"/>
            <w:r>
              <w:rPr>
                <w:rFonts w:hint="eastAsia" w:ascii="宋体" w:hAnsi="宋体" w:eastAsia="宋体" w:cs="宋体"/>
                <w:color w:val="auto"/>
                <w:kern w:val="0"/>
                <w:szCs w:val="21"/>
                <w:highlight w:val="none"/>
              </w:rPr>
              <w:t>4</w:t>
            </w:r>
          </w:p>
        </w:tc>
        <w:tc>
          <w:tcPr>
            <w:tcW w:w="942" w:type="dxa"/>
            <w:vMerge w:val="continue"/>
            <w:shd w:val="clear" w:color="auto" w:fill="auto"/>
            <w:vAlign w:val="center"/>
          </w:tcPr>
          <w:p w14:paraId="780B5082">
            <w:pPr>
              <w:adjustRightInd w:val="0"/>
              <w:snapToGrid w:val="0"/>
              <w:spacing w:line="360" w:lineRule="auto"/>
              <w:jc w:val="center"/>
              <w:rPr>
                <w:rFonts w:ascii="宋体" w:hAnsi="宋体" w:eastAsia="宋体" w:cs="宋体"/>
                <w:color w:val="auto"/>
                <w:kern w:val="0"/>
                <w:szCs w:val="21"/>
                <w:highlight w:val="none"/>
              </w:rPr>
            </w:pPr>
          </w:p>
        </w:tc>
        <w:tc>
          <w:tcPr>
            <w:tcW w:w="1054" w:type="dxa"/>
            <w:vMerge w:val="restart"/>
            <w:shd w:val="clear" w:color="auto" w:fill="auto"/>
            <w:vAlign w:val="center"/>
          </w:tcPr>
          <w:p w14:paraId="692746D5">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□实物</w:t>
            </w:r>
          </w:p>
          <w:p w14:paraId="7D3071AD">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w:t>
            </w:r>
          </w:p>
          <w:p w14:paraId="55A19908">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模型</w:t>
            </w:r>
          </w:p>
        </w:tc>
        <w:tc>
          <w:tcPr>
            <w:tcW w:w="7181" w:type="dxa"/>
            <w:shd w:val="clear" w:color="auto" w:fill="auto"/>
            <w:vAlign w:val="center"/>
          </w:tcPr>
          <w:p w14:paraId="01CA1655">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暗标</w:t>
            </w:r>
            <w:r>
              <w:rPr>
                <w:rFonts w:hint="eastAsia" w:ascii="宋体" w:hAnsi="宋体" w:eastAsia="宋体" w:cs="宋体"/>
                <w:color w:val="auto"/>
                <w:kern w:val="0"/>
                <w:szCs w:val="21"/>
                <w:highlight w:val="none"/>
              </w:rPr>
              <w:t>形式</w:t>
            </w:r>
          </w:p>
          <w:p w14:paraId="1B5F3AA1">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明标</w:t>
            </w:r>
            <w:r>
              <w:rPr>
                <w:rFonts w:hint="eastAsia" w:ascii="宋体" w:hAnsi="宋体" w:eastAsia="宋体" w:cs="宋体"/>
                <w:color w:val="auto"/>
                <w:kern w:val="0"/>
                <w:szCs w:val="21"/>
                <w:highlight w:val="none"/>
              </w:rPr>
              <w:t>形式</w:t>
            </w:r>
          </w:p>
        </w:tc>
      </w:tr>
      <w:tr w14:paraId="2FD7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7" w:type="dxa"/>
            <w:vMerge w:val="continue"/>
            <w:shd w:val="clear" w:color="auto" w:fill="auto"/>
            <w:vAlign w:val="center"/>
          </w:tcPr>
          <w:p w14:paraId="2B6D53AF">
            <w:pPr>
              <w:adjustRightInd w:val="0"/>
              <w:snapToGrid w:val="0"/>
              <w:spacing w:line="360" w:lineRule="auto"/>
              <w:jc w:val="center"/>
              <w:rPr>
                <w:rFonts w:ascii="宋体" w:hAnsi="宋体" w:eastAsia="宋体" w:cs="宋体"/>
                <w:b/>
                <w:color w:val="auto"/>
                <w:kern w:val="0"/>
                <w:szCs w:val="21"/>
                <w:highlight w:val="none"/>
              </w:rPr>
            </w:pPr>
          </w:p>
        </w:tc>
        <w:tc>
          <w:tcPr>
            <w:tcW w:w="942" w:type="dxa"/>
            <w:vMerge w:val="continue"/>
            <w:shd w:val="clear" w:color="auto" w:fill="auto"/>
            <w:vAlign w:val="center"/>
          </w:tcPr>
          <w:p w14:paraId="01BF2C2D">
            <w:pPr>
              <w:adjustRightInd w:val="0"/>
              <w:snapToGrid w:val="0"/>
              <w:spacing w:line="360" w:lineRule="auto"/>
              <w:jc w:val="center"/>
              <w:rPr>
                <w:rFonts w:ascii="宋体" w:hAnsi="宋体" w:eastAsia="宋体" w:cs="宋体"/>
                <w:b/>
                <w:color w:val="auto"/>
                <w:kern w:val="0"/>
                <w:szCs w:val="21"/>
                <w:highlight w:val="none"/>
              </w:rPr>
            </w:pPr>
          </w:p>
        </w:tc>
        <w:tc>
          <w:tcPr>
            <w:tcW w:w="1054" w:type="dxa"/>
            <w:vMerge w:val="continue"/>
            <w:shd w:val="clear" w:color="auto" w:fill="auto"/>
            <w:vAlign w:val="center"/>
          </w:tcPr>
          <w:p w14:paraId="09529E3D">
            <w:pPr>
              <w:adjustRightInd w:val="0"/>
              <w:snapToGrid w:val="0"/>
              <w:spacing w:line="360" w:lineRule="auto"/>
              <w:jc w:val="center"/>
              <w:rPr>
                <w:rFonts w:ascii="宋体" w:hAnsi="宋体" w:eastAsia="宋体" w:cs="宋体"/>
                <w:b/>
                <w:color w:val="auto"/>
                <w:kern w:val="0"/>
                <w:szCs w:val="21"/>
                <w:highlight w:val="none"/>
              </w:rPr>
            </w:pPr>
          </w:p>
        </w:tc>
        <w:tc>
          <w:tcPr>
            <w:tcW w:w="7181" w:type="dxa"/>
            <w:shd w:val="clear" w:color="auto" w:fill="auto"/>
            <w:vAlign w:val="center"/>
          </w:tcPr>
          <w:p w14:paraId="6C4756E8">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比例尺为1︰</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□素色模型  □彩色模型</w:t>
            </w:r>
          </w:p>
        </w:tc>
      </w:tr>
      <w:tr w14:paraId="081E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77" w:type="dxa"/>
            <w:vMerge w:val="continue"/>
            <w:shd w:val="clear" w:color="auto" w:fill="auto"/>
            <w:vAlign w:val="center"/>
          </w:tcPr>
          <w:p w14:paraId="42556A80">
            <w:pPr>
              <w:adjustRightInd w:val="0"/>
              <w:snapToGrid w:val="0"/>
              <w:spacing w:line="360" w:lineRule="auto"/>
              <w:jc w:val="center"/>
              <w:rPr>
                <w:rFonts w:ascii="宋体" w:hAnsi="宋体" w:eastAsia="宋体" w:cs="宋体"/>
                <w:b/>
                <w:color w:val="auto"/>
                <w:kern w:val="0"/>
                <w:szCs w:val="21"/>
                <w:highlight w:val="none"/>
              </w:rPr>
            </w:pPr>
          </w:p>
        </w:tc>
        <w:tc>
          <w:tcPr>
            <w:tcW w:w="942" w:type="dxa"/>
            <w:vMerge w:val="continue"/>
            <w:shd w:val="clear" w:color="auto" w:fill="auto"/>
            <w:vAlign w:val="center"/>
          </w:tcPr>
          <w:p w14:paraId="38578832">
            <w:pPr>
              <w:adjustRightInd w:val="0"/>
              <w:snapToGrid w:val="0"/>
              <w:spacing w:line="360" w:lineRule="auto"/>
              <w:jc w:val="center"/>
              <w:rPr>
                <w:rFonts w:ascii="宋体" w:hAnsi="宋体" w:eastAsia="宋体" w:cs="宋体"/>
                <w:b/>
                <w:color w:val="auto"/>
                <w:kern w:val="0"/>
                <w:szCs w:val="21"/>
                <w:highlight w:val="none"/>
              </w:rPr>
            </w:pPr>
          </w:p>
        </w:tc>
        <w:tc>
          <w:tcPr>
            <w:tcW w:w="1054" w:type="dxa"/>
            <w:vMerge w:val="continue"/>
            <w:shd w:val="clear" w:color="auto" w:fill="auto"/>
            <w:vAlign w:val="center"/>
          </w:tcPr>
          <w:p w14:paraId="19EB8ECD">
            <w:pPr>
              <w:adjustRightInd w:val="0"/>
              <w:snapToGrid w:val="0"/>
              <w:spacing w:line="360" w:lineRule="auto"/>
              <w:jc w:val="center"/>
              <w:rPr>
                <w:rFonts w:ascii="宋体" w:hAnsi="宋体" w:eastAsia="宋体" w:cs="宋体"/>
                <w:b/>
                <w:color w:val="auto"/>
                <w:kern w:val="0"/>
                <w:szCs w:val="21"/>
                <w:highlight w:val="none"/>
              </w:rPr>
            </w:pPr>
          </w:p>
        </w:tc>
        <w:tc>
          <w:tcPr>
            <w:tcW w:w="7181" w:type="dxa"/>
            <w:shd w:val="clear" w:color="auto" w:fill="auto"/>
            <w:vAlign w:val="center"/>
          </w:tcPr>
          <w:p w14:paraId="28244E26">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采用沙盘形式。沙盘面积不宜超过3m</w:t>
            </w:r>
            <w:r>
              <w:rPr>
                <w:rFonts w:hint="eastAsia" w:ascii="宋体" w:hAnsi="宋体" w:eastAsia="宋体" w:cs="宋体"/>
                <w:color w:val="auto"/>
                <w:kern w:val="0"/>
                <w:szCs w:val="21"/>
                <w:highlight w:val="none"/>
                <w:vertAlign w:val="superscript"/>
              </w:rPr>
              <w:t>2</w:t>
            </w:r>
            <w:r>
              <w:rPr>
                <w:rFonts w:hint="eastAsia" w:ascii="宋体" w:hAnsi="宋体" w:eastAsia="宋体" w:cs="宋体"/>
                <w:color w:val="auto"/>
                <w:kern w:val="0"/>
                <w:szCs w:val="21"/>
                <w:highlight w:val="none"/>
              </w:rPr>
              <w:t>。</w:t>
            </w:r>
          </w:p>
        </w:tc>
      </w:tr>
      <w:tr w14:paraId="634D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7" w:type="dxa"/>
            <w:vMerge w:val="continue"/>
            <w:shd w:val="clear" w:color="auto" w:fill="auto"/>
            <w:vAlign w:val="center"/>
          </w:tcPr>
          <w:p w14:paraId="6497EA1F">
            <w:pPr>
              <w:adjustRightInd w:val="0"/>
              <w:snapToGrid w:val="0"/>
              <w:spacing w:line="360" w:lineRule="auto"/>
              <w:jc w:val="center"/>
              <w:rPr>
                <w:rFonts w:ascii="宋体" w:hAnsi="宋体" w:eastAsia="宋体" w:cs="宋体"/>
                <w:b/>
                <w:color w:val="auto"/>
                <w:kern w:val="0"/>
                <w:szCs w:val="21"/>
                <w:highlight w:val="none"/>
              </w:rPr>
            </w:pPr>
          </w:p>
        </w:tc>
        <w:tc>
          <w:tcPr>
            <w:tcW w:w="942" w:type="dxa"/>
            <w:vMerge w:val="continue"/>
            <w:shd w:val="clear" w:color="auto" w:fill="auto"/>
            <w:vAlign w:val="center"/>
          </w:tcPr>
          <w:p w14:paraId="1812302C">
            <w:pPr>
              <w:adjustRightInd w:val="0"/>
              <w:snapToGrid w:val="0"/>
              <w:spacing w:line="360" w:lineRule="auto"/>
              <w:jc w:val="center"/>
              <w:rPr>
                <w:rFonts w:ascii="宋体" w:hAnsi="宋体" w:eastAsia="宋体" w:cs="宋体"/>
                <w:b/>
                <w:color w:val="auto"/>
                <w:kern w:val="0"/>
                <w:szCs w:val="21"/>
                <w:highlight w:val="none"/>
              </w:rPr>
            </w:pPr>
          </w:p>
        </w:tc>
        <w:tc>
          <w:tcPr>
            <w:tcW w:w="1054" w:type="dxa"/>
            <w:vMerge w:val="restart"/>
            <w:shd w:val="clear" w:color="auto" w:fill="auto"/>
            <w:vAlign w:val="center"/>
          </w:tcPr>
          <w:p w14:paraId="1EB7BC88">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 xml:space="preserve"> 设计BIM标</w:t>
            </w:r>
            <w:r>
              <w:rPr>
                <w:rFonts w:hint="eastAsia" w:ascii="宋体" w:hAnsi="宋体" w:eastAsia="宋体" w:cs="宋体"/>
                <w:color w:val="auto"/>
                <w:kern w:val="0"/>
                <w:szCs w:val="21"/>
                <w:highlight w:val="none"/>
              </w:rPr>
              <w:t>书文件</w:t>
            </w:r>
          </w:p>
        </w:tc>
        <w:tc>
          <w:tcPr>
            <w:tcW w:w="7181" w:type="dxa"/>
            <w:shd w:val="clear" w:color="auto" w:fill="auto"/>
            <w:vAlign w:val="center"/>
          </w:tcPr>
          <w:p w14:paraId="46E1E08D">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 xml:space="preserve"> 采用暗标形式</w:t>
            </w:r>
            <w:r>
              <w:rPr>
                <w:rFonts w:hint="eastAsia" w:ascii="宋体" w:hAnsi="宋体" w:eastAsia="宋体" w:cs="宋体"/>
                <w:bCs/>
                <w:color w:val="auto"/>
                <w:kern w:val="0"/>
                <w:szCs w:val="21"/>
                <w:highlight w:val="none"/>
              </w:rPr>
              <w:t xml:space="preserve">                </w:t>
            </w:r>
            <w:r>
              <w:rPr>
                <w:rFonts w:ascii="宋体" w:hAnsi="宋体" w:eastAsia="宋体" w:cs="宋体"/>
                <w:bCs/>
                <w:color w:val="auto"/>
                <w:kern w:val="0"/>
                <w:szCs w:val="21"/>
                <w:highlight w:val="none"/>
              </w:rPr>
              <w:t>□ 采用明标形式</w:t>
            </w:r>
          </w:p>
        </w:tc>
      </w:tr>
      <w:tr w14:paraId="4A18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77" w:type="dxa"/>
            <w:vMerge w:val="continue"/>
            <w:shd w:val="clear" w:color="auto" w:fill="auto"/>
            <w:vAlign w:val="center"/>
          </w:tcPr>
          <w:p w14:paraId="349B7749">
            <w:pPr>
              <w:adjustRightInd w:val="0"/>
              <w:snapToGrid w:val="0"/>
              <w:spacing w:line="360" w:lineRule="auto"/>
              <w:jc w:val="center"/>
              <w:rPr>
                <w:rFonts w:ascii="宋体" w:hAnsi="宋体" w:eastAsia="宋体" w:cs="宋体"/>
                <w:b/>
                <w:color w:val="auto"/>
                <w:kern w:val="0"/>
                <w:szCs w:val="21"/>
                <w:highlight w:val="none"/>
              </w:rPr>
            </w:pPr>
          </w:p>
        </w:tc>
        <w:tc>
          <w:tcPr>
            <w:tcW w:w="942" w:type="dxa"/>
            <w:vMerge w:val="continue"/>
            <w:shd w:val="clear" w:color="auto" w:fill="auto"/>
            <w:vAlign w:val="center"/>
          </w:tcPr>
          <w:p w14:paraId="603CF3DC">
            <w:pPr>
              <w:adjustRightInd w:val="0"/>
              <w:snapToGrid w:val="0"/>
              <w:spacing w:line="360" w:lineRule="auto"/>
              <w:jc w:val="center"/>
              <w:rPr>
                <w:rFonts w:ascii="宋体" w:hAnsi="宋体" w:eastAsia="宋体" w:cs="宋体"/>
                <w:b/>
                <w:color w:val="auto"/>
                <w:kern w:val="0"/>
                <w:szCs w:val="21"/>
                <w:highlight w:val="none"/>
              </w:rPr>
            </w:pPr>
          </w:p>
        </w:tc>
        <w:tc>
          <w:tcPr>
            <w:tcW w:w="1054" w:type="dxa"/>
            <w:vMerge w:val="continue"/>
            <w:shd w:val="clear" w:color="auto" w:fill="auto"/>
            <w:vAlign w:val="center"/>
          </w:tcPr>
          <w:p w14:paraId="4E3E587B">
            <w:pPr>
              <w:adjustRightInd w:val="0"/>
              <w:snapToGrid w:val="0"/>
              <w:spacing w:line="360" w:lineRule="auto"/>
              <w:jc w:val="center"/>
              <w:rPr>
                <w:rFonts w:ascii="宋体" w:hAnsi="宋体" w:eastAsia="宋体" w:cs="宋体"/>
                <w:b/>
                <w:color w:val="auto"/>
                <w:kern w:val="0"/>
                <w:szCs w:val="21"/>
                <w:highlight w:val="none"/>
              </w:rPr>
            </w:pPr>
          </w:p>
        </w:tc>
        <w:tc>
          <w:tcPr>
            <w:tcW w:w="7181" w:type="dxa"/>
            <w:shd w:val="clear" w:color="auto" w:fill="auto"/>
            <w:vAlign w:val="center"/>
          </w:tcPr>
          <w:p w14:paraId="50833E84">
            <w:pPr>
              <w:adjustRightInd w:val="0"/>
              <w:snapToGrid w:val="0"/>
              <w:spacing w:line="360" w:lineRule="auto"/>
              <w:jc w:val="left"/>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BIM标书文件编制：</w:t>
            </w:r>
          </w:p>
          <w:p w14:paraId="582D8343">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bCs/>
                <w:color w:val="auto"/>
                <w:kern w:val="0"/>
                <w:szCs w:val="21"/>
                <w:highlight w:val="none"/>
              </w:rPr>
              <w:t>1</w:t>
            </w:r>
            <w:r>
              <w:rPr>
                <w:rFonts w:ascii="宋体" w:hAnsi="宋体" w:eastAsia="宋体" w:cs="宋体"/>
                <w:bCs/>
                <w:color w:val="auto"/>
                <w:kern w:val="0"/>
                <w:szCs w:val="21"/>
                <w:highlight w:val="none"/>
              </w:rPr>
              <w:t>、BIM实施方案</w:t>
            </w:r>
          </w:p>
          <w:p w14:paraId="408BEEF0">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bCs/>
                <w:color w:val="auto"/>
                <w:kern w:val="0"/>
                <w:szCs w:val="21"/>
                <w:highlight w:val="none"/>
              </w:rPr>
              <w:t>2</w:t>
            </w:r>
            <w:r>
              <w:rPr>
                <w:rFonts w:ascii="宋体" w:hAnsi="宋体" w:eastAsia="宋体" w:cs="宋体"/>
                <w:bCs/>
                <w:color w:val="auto"/>
                <w:kern w:val="0"/>
                <w:szCs w:val="21"/>
                <w:highlight w:val="none"/>
              </w:rPr>
              <w:t>、设计BIM模型、预留视点及备注；</w:t>
            </w:r>
          </w:p>
          <w:p w14:paraId="09E7895E">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bCs/>
                <w:color w:val="auto"/>
                <w:kern w:val="0"/>
                <w:szCs w:val="21"/>
                <w:highlight w:val="none"/>
              </w:rPr>
              <w:t>3</w:t>
            </w:r>
            <w:r>
              <w:rPr>
                <w:rFonts w:ascii="宋体" w:hAnsi="宋体" w:eastAsia="宋体" w:cs="宋体"/>
                <w:bCs/>
                <w:color w:val="auto"/>
                <w:kern w:val="0"/>
                <w:szCs w:val="21"/>
                <w:highlight w:val="none"/>
              </w:rPr>
              <w:t>、建筑内外部漫游动画；</w:t>
            </w:r>
          </w:p>
          <w:p w14:paraId="3BE2DBD9">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4、</w:t>
            </w:r>
            <w:r>
              <w:rPr>
                <w:rFonts w:hint="eastAsia" w:ascii="仿宋_GB2312" w:hAnsi="仿宋_GB2312" w:eastAsia="仿宋_GB2312" w:cs="仿宋_GB2312"/>
                <w:bCs/>
                <w:color w:val="auto"/>
                <w:kern w:val="0"/>
                <w:szCs w:val="21"/>
                <w:highlight w:val="none"/>
                <w:lang w:val="en-US" w:eastAsia="zh-CN"/>
              </w:rPr>
              <w:t>模型和周边环境GIS整合</w:t>
            </w:r>
            <w:r>
              <w:rPr>
                <w:rFonts w:hint="eastAsia" w:ascii="仿宋_GB2312" w:hAnsi="仿宋_GB2312" w:eastAsia="仿宋_GB2312" w:cs="仿宋_GB2312"/>
                <w:bCs/>
                <w:color w:val="auto"/>
                <w:kern w:val="0"/>
                <w:szCs w:val="21"/>
                <w:highlight w:val="none"/>
              </w:rPr>
              <w:t>；</w:t>
            </w:r>
          </w:p>
          <w:p w14:paraId="3E26BD8D">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14:paraId="09A0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677" w:type="dxa"/>
            <w:vMerge w:val="continue"/>
            <w:shd w:val="clear" w:color="auto" w:fill="auto"/>
            <w:vAlign w:val="center"/>
          </w:tcPr>
          <w:p w14:paraId="19DE18BD">
            <w:pPr>
              <w:adjustRightInd w:val="0"/>
              <w:snapToGrid w:val="0"/>
              <w:spacing w:line="360" w:lineRule="auto"/>
              <w:jc w:val="center"/>
              <w:rPr>
                <w:rFonts w:ascii="宋体" w:hAnsi="宋体" w:eastAsia="宋体" w:cs="宋体"/>
                <w:b/>
                <w:color w:val="auto"/>
                <w:kern w:val="0"/>
                <w:szCs w:val="21"/>
                <w:highlight w:val="none"/>
              </w:rPr>
            </w:pPr>
          </w:p>
        </w:tc>
        <w:tc>
          <w:tcPr>
            <w:tcW w:w="942" w:type="dxa"/>
            <w:vMerge w:val="continue"/>
            <w:shd w:val="clear" w:color="auto" w:fill="auto"/>
            <w:vAlign w:val="center"/>
          </w:tcPr>
          <w:p w14:paraId="6D301A64">
            <w:pPr>
              <w:adjustRightInd w:val="0"/>
              <w:snapToGrid w:val="0"/>
              <w:spacing w:line="360" w:lineRule="auto"/>
              <w:jc w:val="center"/>
              <w:rPr>
                <w:rFonts w:ascii="宋体" w:hAnsi="宋体" w:eastAsia="宋体" w:cs="宋体"/>
                <w:b/>
                <w:color w:val="auto"/>
                <w:kern w:val="0"/>
                <w:szCs w:val="21"/>
                <w:highlight w:val="none"/>
              </w:rPr>
            </w:pPr>
          </w:p>
        </w:tc>
        <w:tc>
          <w:tcPr>
            <w:tcW w:w="1054" w:type="dxa"/>
            <w:vMerge w:val="continue"/>
            <w:shd w:val="clear" w:color="auto" w:fill="auto"/>
            <w:vAlign w:val="center"/>
          </w:tcPr>
          <w:p w14:paraId="4DA53026">
            <w:pPr>
              <w:adjustRightInd w:val="0"/>
              <w:snapToGrid w:val="0"/>
              <w:spacing w:line="360" w:lineRule="auto"/>
              <w:jc w:val="center"/>
              <w:rPr>
                <w:rFonts w:ascii="宋体" w:hAnsi="宋体" w:eastAsia="宋体" w:cs="宋体"/>
                <w:b/>
                <w:color w:val="auto"/>
                <w:kern w:val="0"/>
                <w:szCs w:val="21"/>
                <w:highlight w:val="none"/>
              </w:rPr>
            </w:pPr>
          </w:p>
        </w:tc>
        <w:tc>
          <w:tcPr>
            <w:tcW w:w="7181" w:type="dxa"/>
            <w:shd w:val="clear" w:color="auto" w:fill="auto"/>
            <w:vAlign w:val="center"/>
          </w:tcPr>
          <w:p w14:paraId="2DD3BE4F">
            <w:pPr>
              <w:adjustRightInd w:val="0"/>
              <w:snapToGrid w:val="0"/>
              <w:spacing w:line="380" w:lineRule="exact"/>
              <w:rPr>
                <w:rFonts w:ascii="宋体" w:hAnsi="宋体" w:eastAsia="宋体" w:cs="宋体"/>
                <w:b/>
                <w:bCs/>
                <w:color w:val="auto"/>
                <w:kern w:val="0"/>
                <w:szCs w:val="21"/>
                <w:highlight w:val="none"/>
              </w:rPr>
            </w:pPr>
            <w:r>
              <w:rPr>
                <w:rFonts w:hint="eastAsia" w:ascii="微软雅黑" w:hAnsi="微软雅黑" w:eastAsia="微软雅黑" w:cs="微软雅黑"/>
                <w:b/>
                <w:bCs/>
                <w:color w:val="auto"/>
                <w:sz w:val="18"/>
                <w:szCs w:val="18"/>
                <w:highlight w:val="none"/>
              </w:rPr>
              <w:t>本项目属于☐</w:t>
            </w:r>
            <w:r>
              <w:rPr>
                <w:rFonts w:hint="eastAsia"/>
                <w:b/>
                <w:bCs/>
                <w:color w:val="auto"/>
                <w:sz w:val="18"/>
                <w:szCs w:val="18"/>
                <w:highlight w:val="none"/>
              </w:rPr>
              <w:t xml:space="preserve">房建BIM项目  </w:t>
            </w:r>
            <w:r>
              <w:rPr>
                <w:rFonts w:hint="eastAsia" w:ascii="微软雅黑" w:hAnsi="微软雅黑" w:eastAsia="微软雅黑" w:cs="微软雅黑"/>
                <w:b/>
                <w:bCs/>
                <w:color w:val="auto"/>
                <w:sz w:val="18"/>
                <w:szCs w:val="18"/>
                <w:highlight w:val="none"/>
              </w:rPr>
              <w:t>☐</w:t>
            </w:r>
            <w:r>
              <w:rPr>
                <w:rFonts w:hint="eastAsia"/>
                <w:b/>
                <w:bCs/>
                <w:color w:val="auto"/>
                <w:sz w:val="18"/>
                <w:szCs w:val="18"/>
                <w:highlight w:val="none"/>
              </w:rPr>
              <w:t xml:space="preserve">市政基础设施BIM项目  </w:t>
            </w:r>
            <w:r>
              <w:rPr>
                <w:rFonts w:hint="eastAsia" w:ascii="微软雅黑" w:hAnsi="微软雅黑" w:eastAsia="微软雅黑" w:cs="微软雅黑"/>
                <w:b/>
                <w:bCs/>
                <w:color w:val="auto"/>
                <w:sz w:val="18"/>
                <w:szCs w:val="18"/>
                <w:highlight w:val="none"/>
              </w:rPr>
              <w:t>☐</w:t>
            </w:r>
            <w:r>
              <w:rPr>
                <w:rFonts w:hint="eastAsia"/>
                <w:b/>
                <w:bCs/>
                <w:color w:val="auto"/>
                <w:sz w:val="18"/>
                <w:szCs w:val="18"/>
                <w:highlight w:val="none"/>
              </w:rPr>
              <w:t>水务工程BIM项目</w:t>
            </w:r>
          </w:p>
          <w:p w14:paraId="62B97F32">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color w:val="auto"/>
                <w:szCs w:val="21"/>
                <w:highlight w:val="none"/>
              </w:rPr>
              <w:t>使用符合</w:t>
            </w:r>
            <w:r>
              <w:rPr>
                <w:rFonts w:hint="eastAsia"/>
                <w:color w:val="auto"/>
                <w:highlight w:val="none"/>
              </w:rPr>
              <w:t>建设工程招投标平台</w:t>
            </w:r>
            <w:r>
              <w:rPr>
                <w:rFonts w:hint="eastAsia" w:ascii="宋体" w:hAnsi="宋体" w:eastAsia="宋体" w:cs="宋体"/>
                <w:color w:val="auto"/>
                <w:szCs w:val="21"/>
                <w:highlight w:val="none"/>
              </w:rPr>
              <w:t>BIM 电子招投标系统兼容要求的设计模型标书编制工具，完成</w:t>
            </w:r>
            <w:r>
              <w:rPr>
                <w:rFonts w:hint="eastAsia" w:ascii="宋体" w:hAnsi="宋体" w:eastAsia="宋体" w:cs="宋体"/>
                <w:color w:val="auto"/>
                <w:szCs w:val="21"/>
                <w:highlight w:val="none"/>
                <w:lang w:val="en-US" w:eastAsia="zh-CN"/>
              </w:rPr>
              <w:t>标书编制</w:t>
            </w:r>
            <w:r>
              <w:rPr>
                <w:rFonts w:hint="eastAsia" w:ascii="宋体" w:hAnsi="宋体" w:eastAsia="宋体" w:cs="宋体"/>
                <w:color w:val="auto"/>
                <w:szCs w:val="21"/>
                <w:highlight w:val="none"/>
              </w:rPr>
              <w:t>后将输出资料导入电子投标文件编制工具进行签名，生成 BIM 标书文件</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格式为*</w:t>
            </w:r>
            <w:r>
              <w:rPr>
                <w:rFonts w:ascii="宋体" w:hAnsi="宋体" w:eastAsia="宋体" w:cs="宋体"/>
                <w:color w:val="auto"/>
                <w:kern w:val="0"/>
                <w:szCs w:val="21"/>
                <w:highlight w:val="none"/>
              </w:rPr>
              <w:t>SJTB</w:t>
            </w:r>
            <w:r>
              <w:rPr>
                <w:rFonts w:hint="eastAsia" w:ascii="宋体" w:hAnsi="宋体" w:eastAsia="宋体" w:cs="宋体"/>
                <w:color w:val="auto"/>
                <w:szCs w:val="21"/>
                <w:highlight w:val="none"/>
              </w:rPr>
              <w:t>)。</w:t>
            </w:r>
          </w:p>
        </w:tc>
      </w:tr>
      <w:bookmarkEnd w:id="9"/>
      <w:tr w14:paraId="5E9F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7" w:type="dxa"/>
            <w:vMerge w:val="restart"/>
            <w:shd w:val="clear" w:color="auto" w:fill="auto"/>
            <w:vAlign w:val="center"/>
          </w:tcPr>
          <w:p w14:paraId="4DE4B109">
            <w:pPr>
              <w:adjustRightInd w:val="0"/>
              <w:snapToGrid w:val="0"/>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p>
        </w:tc>
        <w:tc>
          <w:tcPr>
            <w:tcW w:w="1996" w:type="dxa"/>
            <w:gridSpan w:val="2"/>
            <w:vMerge w:val="restart"/>
            <w:shd w:val="clear" w:color="auto" w:fill="auto"/>
            <w:vAlign w:val="center"/>
          </w:tcPr>
          <w:p w14:paraId="6B95E71A">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资信标</w:t>
            </w:r>
          </w:p>
        </w:tc>
        <w:tc>
          <w:tcPr>
            <w:tcW w:w="7181" w:type="dxa"/>
            <w:shd w:val="clear" w:color="auto" w:fill="auto"/>
            <w:vAlign w:val="center"/>
          </w:tcPr>
          <w:p w14:paraId="228D1011">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明标</w:t>
            </w:r>
            <w:r>
              <w:rPr>
                <w:rFonts w:hint="eastAsia" w:ascii="宋体" w:hAnsi="宋体" w:eastAsia="宋体" w:cs="宋体"/>
                <w:color w:val="auto"/>
                <w:kern w:val="0"/>
                <w:szCs w:val="21"/>
                <w:highlight w:val="none"/>
              </w:rPr>
              <w:t>形式。</w:t>
            </w:r>
          </w:p>
        </w:tc>
      </w:tr>
      <w:tr w14:paraId="6C3F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jc w:val="center"/>
        </w:trPr>
        <w:tc>
          <w:tcPr>
            <w:tcW w:w="677" w:type="dxa"/>
            <w:vMerge w:val="continue"/>
            <w:shd w:val="clear" w:color="auto" w:fill="auto"/>
            <w:vAlign w:val="center"/>
          </w:tcPr>
          <w:p w14:paraId="1784C4A4">
            <w:pPr>
              <w:adjustRightInd w:val="0"/>
              <w:snapToGrid w:val="0"/>
              <w:spacing w:line="360" w:lineRule="auto"/>
              <w:jc w:val="center"/>
              <w:rPr>
                <w:rFonts w:ascii="宋体" w:hAnsi="宋体" w:eastAsia="宋体" w:cs="宋体"/>
                <w:b/>
                <w:color w:val="auto"/>
                <w:kern w:val="0"/>
                <w:szCs w:val="21"/>
                <w:highlight w:val="none"/>
              </w:rPr>
            </w:pPr>
          </w:p>
        </w:tc>
        <w:tc>
          <w:tcPr>
            <w:tcW w:w="1996" w:type="dxa"/>
            <w:gridSpan w:val="2"/>
            <w:vMerge w:val="continue"/>
            <w:shd w:val="clear" w:color="auto" w:fill="auto"/>
            <w:vAlign w:val="center"/>
          </w:tcPr>
          <w:p w14:paraId="500DDBAD">
            <w:pPr>
              <w:adjustRightInd w:val="0"/>
              <w:snapToGrid w:val="0"/>
              <w:spacing w:line="360" w:lineRule="auto"/>
              <w:jc w:val="center"/>
              <w:rPr>
                <w:rFonts w:ascii="宋体" w:hAnsi="宋体" w:eastAsia="宋体" w:cs="宋体"/>
                <w:b/>
                <w:color w:val="auto"/>
                <w:kern w:val="0"/>
                <w:szCs w:val="21"/>
                <w:highlight w:val="none"/>
              </w:rPr>
            </w:pPr>
          </w:p>
        </w:tc>
        <w:tc>
          <w:tcPr>
            <w:tcW w:w="7181" w:type="dxa"/>
            <w:shd w:val="clear" w:color="auto" w:fill="auto"/>
            <w:vAlign w:val="center"/>
          </w:tcPr>
          <w:p w14:paraId="7A268EF9">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编制内容：</w:t>
            </w:r>
          </w:p>
          <w:p w14:paraId="2EFF1E35">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1、投标函；</w:t>
            </w:r>
          </w:p>
          <w:p w14:paraId="0BFC8332">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2、《投标人基本情况表》；</w:t>
            </w:r>
          </w:p>
          <w:p w14:paraId="709FC792">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 3、</w:t>
            </w:r>
            <w:r>
              <w:rPr>
                <w:rFonts w:hint="eastAsia" w:ascii="宋体" w:hAnsi="宋体" w:eastAsia="宋体" w:cs="宋体"/>
                <w:color w:val="auto"/>
                <w:kern w:val="0"/>
                <w:szCs w:val="21"/>
                <w:highlight w:val="none"/>
              </w:rPr>
              <w:t>《投标人工程业绩表》；</w:t>
            </w:r>
          </w:p>
          <w:p w14:paraId="500C876B">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4、《投标人近3年内签订同类工程合同的项目一览表》；</w:t>
            </w:r>
          </w:p>
          <w:p w14:paraId="653EC60C">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5、《投标人近6年荣获“优秀工程设计奖”一览表》；</w:t>
            </w:r>
          </w:p>
          <w:p w14:paraId="249D05AA">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6、《拟投入的项目负责人基本情况表》；</w:t>
            </w:r>
          </w:p>
          <w:p w14:paraId="25CF52E2">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7、《拟投入的项目组专业负责人基本情况表》；</w:t>
            </w:r>
          </w:p>
          <w:p w14:paraId="3C96244B">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8、联合体共同投标协议书；</w:t>
            </w:r>
          </w:p>
          <w:p w14:paraId="373CF3ED">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9、前述2～8款表格所涉相关证明材料；</w:t>
            </w:r>
          </w:p>
          <w:p w14:paraId="43979FB2">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10、其他</w:t>
            </w:r>
            <w:r>
              <w:rPr>
                <w:rFonts w:hint="eastAsia" w:ascii="宋体" w:hAnsi="宋体" w:eastAsia="宋体" w:cs="宋体"/>
                <w:color w:val="auto"/>
                <w:kern w:val="0"/>
                <w:szCs w:val="21"/>
                <w:highlight w:val="none"/>
                <w:u w:val="single"/>
              </w:rPr>
              <w:t xml:space="preserve">      </w:t>
            </w:r>
          </w:p>
        </w:tc>
      </w:tr>
      <w:tr w14:paraId="44DF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7" w:type="dxa"/>
            <w:vMerge w:val="continue"/>
            <w:shd w:val="clear" w:color="auto" w:fill="auto"/>
            <w:vAlign w:val="center"/>
          </w:tcPr>
          <w:p w14:paraId="54BE4341">
            <w:pPr>
              <w:adjustRightInd w:val="0"/>
              <w:snapToGrid w:val="0"/>
              <w:spacing w:line="360" w:lineRule="auto"/>
              <w:jc w:val="center"/>
              <w:rPr>
                <w:rFonts w:ascii="宋体" w:hAnsi="宋体" w:eastAsia="宋体" w:cs="宋体"/>
                <w:b/>
                <w:color w:val="auto"/>
                <w:kern w:val="0"/>
                <w:szCs w:val="21"/>
                <w:highlight w:val="none"/>
              </w:rPr>
            </w:pPr>
          </w:p>
        </w:tc>
        <w:tc>
          <w:tcPr>
            <w:tcW w:w="1996" w:type="dxa"/>
            <w:gridSpan w:val="2"/>
            <w:vMerge w:val="continue"/>
            <w:shd w:val="clear" w:color="auto" w:fill="auto"/>
            <w:vAlign w:val="center"/>
          </w:tcPr>
          <w:p w14:paraId="0C938656">
            <w:pPr>
              <w:adjustRightInd w:val="0"/>
              <w:snapToGrid w:val="0"/>
              <w:spacing w:line="360" w:lineRule="auto"/>
              <w:jc w:val="center"/>
              <w:rPr>
                <w:rFonts w:ascii="宋体" w:hAnsi="宋体" w:eastAsia="宋体" w:cs="宋体"/>
                <w:b/>
                <w:color w:val="auto"/>
                <w:kern w:val="0"/>
                <w:szCs w:val="21"/>
                <w:highlight w:val="none"/>
              </w:rPr>
            </w:pPr>
          </w:p>
        </w:tc>
        <w:tc>
          <w:tcPr>
            <w:tcW w:w="7181" w:type="dxa"/>
            <w:shd w:val="clear" w:color="auto" w:fill="auto"/>
            <w:vAlign w:val="center"/>
          </w:tcPr>
          <w:p w14:paraId="236B01BC">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电子文件应采用电子投标文件编制工具制作，文件格式要求详见本范本“使用说明”。</w:t>
            </w:r>
          </w:p>
        </w:tc>
      </w:tr>
      <w:tr w14:paraId="0351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677" w:type="dxa"/>
            <w:vMerge w:val="restart"/>
            <w:shd w:val="clear" w:color="auto" w:fill="auto"/>
            <w:vAlign w:val="center"/>
          </w:tcPr>
          <w:p w14:paraId="48261A36">
            <w:pPr>
              <w:adjustRightInd w:val="0"/>
              <w:snapToGrid w:val="0"/>
              <w:spacing w:line="360" w:lineRule="auto"/>
              <w:jc w:val="center"/>
              <w:rPr>
                <w:rFonts w:ascii="宋体" w:hAnsi="宋体" w:eastAsia="宋体" w:cs="宋体"/>
                <w:color w:val="auto"/>
                <w:kern w:val="0"/>
                <w:szCs w:val="21"/>
                <w:highlight w:val="none"/>
              </w:rPr>
            </w:pPr>
            <w:bookmarkStart w:id="10" w:name="资格审查文件1" w:colFirst="2" w:colLast="2"/>
            <w:r>
              <w:rPr>
                <w:rFonts w:ascii="宋体" w:hAnsi="宋体" w:eastAsia="宋体" w:cs="宋体"/>
                <w:color w:val="auto"/>
                <w:kern w:val="0"/>
                <w:szCs w:val="21"/>
                <w:highlight w:val="none"/>
              </w:rPr>
              <w:t>6</w:t>
            </w:r>
          </w:p>
        </w:tc>
        <w:tc>
          <w:tcPr>
            <w:tcW w:w="1996" w:type="dxa"/>
            <w:gridSpan w:val="2"/>
            <w:vMerge w:val="restart"/>
            <w:shd w:val="clear" w:color="auto" w:fill="auto"/>
            <w:vAlign w:val="center"/>
          </w:tcPr>
          <w:p w14:paraId="55364098">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□资格审查文件</w:t>
            </w:r>
          </w:p>
        </w:tc>
        <w:tc>
          <w:tcPr>
            <w:tcW w:w="7181" w:type="dxa"/>
            <w:shd w:val="clear" w:color="auto" w:fill="auto"/>
            <w:vAlign w:val="center"/>
          </w:tcPr>
          <w:p w14:paraId="4D0A98A3">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编制内容：</w:t>
            </w:r>
          </w:p>
          <w:p w14:paraId="265D1610">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1、通过年审的营业执照副本（原件扫描件）；</w:t>
            </w:r>
          </w:p>
          <w:p w14:paraId="63655CC9">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2、企业资质证书（原件扫描件）；</w:t>
            </w:r>
          </w:p>
          <w:p w14:paraId="3E95913A">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3、联合体共同投标协议（若有，原件扫描件）；</w:t>
            </w:r>
          </w:p>
          <w:p w14:paraId="5215CFA0">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4、其他：</w:t>
            </w:r>
            <w:r>
              <w:rPr>
                <w:rFonts w:hint="eastAsia" w:ascii="宋体" w:hAnsi="宋体" w:eastAsia="宋体" w:cs="宋体"/>
                <w:bCs/>
                <w:color w:val="auto"/>
                <w:kern w:val="0"/>
                <w:szCs w:val="21"/>
                <w:highlight w:val="none"/>
                <w:u w:val="single"/>
              </w:rPr>
              <w:t xml:space="preserve">      </w:t>
            </w:r>
          </w:p>
        </w:tc>
      </w:tr>
      <w:tr w14:paraId="61D3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continue"/>
            <w:shd w:val="clear" w:color="auto" w:fill="auto"/>
            <w:vAlign w:val="center"/>
          </w:tcPr>
          <w:p w14:paraId="0970D37D">
            <w:pPr>
              <w:adjustRightInd w:val="0"/>
              <w:snapToGrid w:val="0"/>
              <w:spacing w:line="360" w:lineRule="auto"/>
              <w:jc w:val="center"/>
              <w:rPr>
                <w:rFonts w:ascii="宋体" w:hAnsi="宋体" w:eastAsia="宋体" w:cs="宋体"/>
                <w:color w:val="auto"/>
                <w:kern w:val="0"/>
                <w:szCs w:val="21"/>
                <w:highlight w:val="none"/>
              </w:rPr>
            </w:pPr>
          </w:p>
        </w:tc>
        <w:tc>
          <w:tcPr>
            <w:tcW w:w="1996" w:type="dxa"/>
            <w:gridSpan w:val="2"/>
            <w:vMerge w:val="continue"/>
            <w:shd w:val="clear" w:color="auto" w:fill="auto"/>
            <w:vAlign w:val="center"/>
          </w:tcPr>
          <w:p w14:paraId="487A57F3">
            <w:pPr>
              <w:adjustRightInd w:val="0"/>
              <w:snapToGrid w:val="0"/>
              <w:spacing w:line="360" w:lineRule="auto"/>
              <w:jc w:val="center"/>
              <w:rPr>
                <w:rFonts w:ascii="宋体" w:hAnsi="宋体" w:eastAsia="宋体" w:cs="宋体"/>
                <w:color w:val="auto"/>
                <w:kern w:val="0"/>
                <w:szCs w:val="21"/>
                <w:highlight w:val="none"/>
              </w:rPr>
            </w:pPr>
          </w:p>
        </w:tc>
        <w:tc>
          <w:tcPr>
            <w:tcW w:w="7181" w:type="dxa"/>
            <w:shd w:val="clear" w:color="auto" w:fill="auto"/>
            <w:vAlign w:val="center"/>
          </w:tcPr>
          <w:p w14:paraId="1308EA5F">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电子文件应采用电子投标文件编制工具制作，文件格式要求详见本范本“使用说明”。</w:t>
            </w:r>
          </w:p>
        </w:tc>
      </w:tr>
      <w:bookmarkEnd w:id="10"/>
      <w:tr w14:paraId="1350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677" w:type="dxa"/>
            <w:vMerge w:val="restart"/>
            <w:shd w:val="clear" w:color="auto" w:fill="auto"/>
            <w:vAlign w:val="center"/>
          </w:tcPr>
          <w:p w14:paraId="444A5AD5">
            <w:pPr>
              <w:adjustRightInd w:val="0"/>
              <w:snapToGrid w:val="0"/>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7</w:t>
            </w:r>
          </w:p>
        </w:tc>
        <w:tc>
          <w:tcPr>
            <w:tcW w:w="1996" w:type="dxa"/>
            <w:gridSpan w:val="2"/>
            <w:vMerge w:val="restart"/>
            <w:shd w:val="clear" w:color="auto" w:fill="auto"/>
            <w:vAlign w:val="center"/>
          </w:tcPr>
          <w:p w14:paraId="4332FBE6">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业绩文件</w:t>
            </w:r>
          </w:p>
        </w:tc>
        <w:tc>
          <w:tcPr>
            <w:tcW w:w="7181" w:type="dxa"/>
            <w:shd w:val="clear" w:color="auto" w:fill="auto"/>
            <w:vAlign w:val="center"/>
          </w:tcPr>
          <w:p w14:paraId="34FE6FA5">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编制内容：</w:t>
            </w:r>
          </w:p>
          <w:p w14:paraId="6EBB982E">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1、业绩一览表；</w:t>
            </w:r>
          </w:p>
          <w:p w14:paraId="2C229D13">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2、业绩要求证明材料</w:t>
            </w:r>
          </w:p>
          <w:p w14:paraId="73FC6E5B">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业绩文件包含：招标文件中要求提供的所有业绩证明文件。</w:t>
            </w:r>
          </w:p>
        </w:tc>
      </w:tr>
      <w:tr w14:paraId="00E1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677" w:type="dxa"/>
            <w:vMerge w:val="continue"/>
            <w:shd w:val="clear" w:color="auto" w:fill="auto"/>
            <w:vAlign w:val="center"/>
          </w:tcPr>
          <w:p w14:paraId="4FFB600D">
            <w:pPr>
              <w:adjustRightInd w:val="0"/>
              <w:snapToGrid w:val="0"/>
              <w:spacing w:line="360" w:lineRule="auto"/>
              <w:jc w:val="center"/>
              <w:rPr>
                <w:rFonts w:ascii="宋体" w:hAnsi="宋体" w:eastAsia="宋体" w:cs="宋体"/>
                <w:color w:val="auto"/>
                <w:kern w:val="0"/>
                <w:szCs w:val="21"/>
                <w:highlight w:val="none"/>
              </w:rPr>
            </w:pPr>
          </w:p>
        </w:tc>
        <w:tc>
          <w:tcPr>
            <w:tcW w:w="1996" w:type="dxa"/>
            <w:gridSpan w:val="2"/>
            <w:vMerge w:val="continue"/>
            <w:shd w:val="clear" w:color="auto" w:fill="auto"/>
            <w:vAlign w:val="center"/>
          </w:tcPr>
          <w:p w14:paraId="116B0656">
            <w:pPr>
              <w:adjustRightInd w:val="0"/>
              <w:snapToGrid w:val="0"/>
              <w:spacing w:line="360" w:lineRule="auto"/>
              <w:jc w:val="center"/>
              <w:rPr>
                <w:rFonts w:ascii="宋体" w:hAnsi="宋体" w:eastAsia="宋体" w:cs="宋体"/>
                <w:color w:val="auto"/>
                <w:kern w:val="0"/>
                <w:szCs w:val="21"/>
                <w:highlight w:val="none"/>
              </w:rPr>
            </w:pPr>
          </w:p>
        </w:tc>
        <w:tc>
          <w:tcPr>
            <w:tcW w:w="7181" w:type="dxa"/>
            <w:shd w:val="clear" w:color="auto" w:fill="auto"/>
            <w:vAlign w:val="center"/>
          </w:tcPr>
          <w:p w14:paraId="6E0A8E96">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采用电子文件形式。应使用电子投标文件编制工具制作，文件格式要求详见本范本“使用说明”。</w:t>
            </w:r>
          </w:p>
        </w:tc>
      </w:tr>
      <w:tr w14:paraId="2420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jc w:val="center"/>
        </w:trPr>
        <w:tc>
          <w:tcPr>
            <w:tcW w:w="677" w:type="dxa"/>
            <w:shd w:val="clear" w:color="auto" w:fill="auto"/>
            <w:vAlign w:val="center"/>
          </w:tcPr>
          <w:p w14:paraId="47F3A441">
            <w:pPr>
              <w:adjustRightInd w:val="0"/>
              <w:snapToGrid w:val="0"/>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8</w:t>
            </w:r>
          </w:p>
        </w:tc>
        <w:tc>
          <w:tcPr>
            <w:tcW w:w="1996" w:type="dxa"/>
            <w:gridSpan w:val="2"/>
            <w:shd w:val="clear" w:color="auto" w:fill="auto"/>
            <w:vAlign w:val="center"/>
          </w:tcPr>
          <w:p w14:paraId="4FB5EC9F">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投标文件递交</w:t>
            </w:r>
          </w:p>
        </w:tc>
        <w:tc>
          <w:tcPr>
            <w:tcW w:w="7181" w:type="dxa"/>
            <w:shd w:val="clear" w:color="auto" w:fill="auto"/>
            <w:vAlign w:val="center"/>
          </w:tcPr>
          <w:p w14:paraId="27122563">
            <w:pPr>
              <w:adjustRightInd w:val="0"/>
              <w:snapToGrid w:val="0"/>
              <w:spacing w:line="360" w:lineRule="auto"/>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bCs/>
                <w:color w:val="auto"/>
                <w:kern w:val="0"/>
                <w:szCs w:val="21"/>
                <w:highlight w:val="none"/>
              </w:rPr>
              <w:t>□网上递交</w:t>
            </w:r>
            <w:r>
              <w:rPr>
                <w:rFonts w:hint="eastAsia" w:ascii="宋体" w:hAnsi="宋体" w:eastAsia="宋体" w:cs="宋体"/>
                <w:bCs/>
                <w:color w:val="auto"/>
                <w:kern w:val="0"/>
                <w:szCs w:val="21"/>
                <w:highlight w:val="none"/>
                <w:lang w:val="en-US" w:eastAsia="zh-CN"/>
              </w:rPr>
              <w:t>,</w:t>
            </w:r>
            <w:r>
              <w:rPr>
                <w:rFonts w:hint="eastAsia" w:ascii="宋体" w:hAnsi="宋体" w:eastAsia="宋体" w:cs="宋体"/>
                <w:color w:val="auto"/>
                <w:kern w:val="0"/>
                <w:szCs w:val="21"/>
                <w:highlight w:val="none"/>
              </w:rPr>
              <w:t>电子招标投标交易平台，网址：</w:t>
            </w:r>
            <w:r>
              <w:rPr>
                <w:rFonts w:hint="eastAsia" w:ascii="宋体" w:hAnsi="宋体" w:eastAsia="宋体" w:cs="宋体"/>
                <w:i w:val="0"/>
                <w:iCs w:val="0"/>
                <w:color w:val="auto"/>
                <w:kern w:val="0"/>
                <w:szCs w:val="21"/>
                <w:highlight w:val="none"/>
                <w:u w:val="single"/>
              </w:rPr>
              <w:t xml:space="preserve">            </w:t>
            </w:r>
          </w:p>
          <w:p w14:paraId="36E69B0C">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□窗口递交（一式两份）：全部投标文件刻录在同一张光盘中并密封递交</w:t>
            </w:r>
            <w:r>
              <w:rPr>
                <w:rFonts w:hint="eastAsia" w:ascii="宋体" w:hAnsi="宋体" w:eastAsia="宋体" w:cs="宋体"/>
                <w:color w:val="auto"/>
                <w:kern w:val="0"/>
                <w:szCs w:val="21"/>
                <w:highlight w:val="none"/>
              </w:rPr>
              <w:t>（资格审查文件需单独刻盘封装）</w:t>
            </w:r>
            <w:r>
              <w:rPr>
                <w:rFonts w:hint="eastAsia" w:ascii="宋体" w:hAnsi="宋体" w:eastAsia="宋体" w:cs="宋体"/>
                <w:bCs/>
                <w:color w:val="auto"/>
                <w:kern w:val="0"/>
                <w:szCs w:val="21"/>
                <w:highlight w:val="none"/>
              </w:rPr>
              <w:t>，密封袋上注明工程名称、投标人名称。</w:t>
            </w:r>
          </w:p>
          <w:p w14:paraId="07294277">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注：若有要求提交展示图板、实物设计模型、电子演示文件或以光盘形式提交设计BIM标书文件等，则全部投标文件均无须网上递交，须于截标前递交至</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bCs/>
                <w:color w:val="auto"/>
                <w:kern w:val="0"/>
                <w:szCs w:val="21"/>
                <w:highlight w:val="none"/>
              </w:rPr>
              <w:t>截标窗口。</w:t>
            </w:r>
          </w:p>
        </w:tc>
      </w:tr>
    </w:tbl>
    <w:p w14:paraId="6C11169B">
      <w:pPr>
        <w:widowControl/>
        <w:spacing w:line="20" w:lineRule="exact"/>
        <w:jc w:val="left"/>
        <w:rPr>
          <w:color w:val="auto"/>
          <w:highlight w:val="none"/>
        </w:rPr>
      </w:pPr>
      <w:r>
        <w:rPr>
          <w:color w:val="auto"/>
          <w:highlight w:val="none"/>
        </w:rPr>
        <w:br w:type="page"/>
      </w:r>
    </w:p>
    <w:p w14:paraId="7DB9DA67">
      <w:pPr>
        <w:adjustRightInd w:val="0"/>
        <w:snapToGrid w:val="0"/>
        <w:spacing w:line="360" w:lineRule="auto"/>
        <w:jc w:val="center"/>
        <w:outlineLvl w:val="2"/>
        <w:rPr>
          <w:rFonts w:ascii="宋体" w:hAnsi="宋体" w:eastAsia="宋体" w:cs="宋体"/>
          <w:b/>
          <w:color w:val="auto"/>
          <w:kern w:val="0"/>
          <w:sz w:val="30"/>
          <w:szCs w:val="30"/>
          <w:highlight w:val="none"/>
        </w:rPr>
      </w:pPr>
      <w:bookmarkStart w:id="11" w:name="_Toc13058"/>
      <w:bookmarkStart w:id="12" w:name="_Toc31249"/>
      <w:r>
        <w:rPr>
          <w:rFonts w:hint="eastAsia" w:ascii="宋体" w:hAnsi="宋体" w:eastAsia="宋体" w:cs="宋体"/>
          <w:b/>
          <w:color w:val="auto"/>
          <w:kern w:val="0"/>
          <w:sz w:val="30"/>
          <w:szCs w:val="30"/>
          <w:highlight w:val="none"/>
        </w:rPr>
        <w:t>（三）招标投标分段限时投诉的规定</w:t>
      </w:r>
      <w:bookmarkEnd w:id="11"/>
      <w:bookmarkEnd w:id="12"/>
    </w:p>
    <w:p w14:paraId="59AC3102">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深圳市工程建设项目招标投标实行招标人负责制。招标人应当依法处理异议，配合行政监督部门处理投诉。</w:t>
      </w:r>
      <w:r>
        <w:rPr>
          <w:rFonts w:hint="eastAsia" w:ascii="宋体" w:hAnsi="宋体" w:eastAsia="宋体" w:cs="宋体"/>
          <w:bCs/>
          <w:color w:val="auto"/>
          <w:szCs w:val="21"/>
          <w:highlight w:val="none"/>
          <w:lang w:val="en-US" w:eastAsia="zh-CN"/>
        </w:rPr>
        <w:t>市（区）</w:t>
      </w:r>
      <w:r>
        <w:rPr>
          <w:rFonts w:hint="eastAsia" w:ascii="宋体" w:hAnsi="宋体" w:eastAsia="宋体" w:cs="宋体"/>
          <w:bCs/>
          <w:color w:val="auto"/>
          <w:szCs w:val="21"/>
          <w:highlight w:val="none"/>
        </w:rPr>
        <w:t>建设</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交通</w:t>
      </w:r>
      <w:r>
        <w:rPr>
          <w:rFonts w:hint="eastAsia" w:ascii="宋体" w:hAnsi="宋体" w:eastAsia="宋体" w:cs="宋体"/>
          <w:bCs/>
          <w:color w:val="auto"/>
          <w:szCs w:val="21"/>
          <w:highlight w:val="none"/>
        </w:rPr>
        <w:t>行政主管部门按照职责分工和监管权限，受理和处理工程建设项目招标投标投诉，对工程建设项目招标投标的异议处理进行监督。</w:t>
      </w:r>
    </w:p>
    <w:p w14:paraId="5FE9E2B7">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或者其他利害关系人认为招标投标活动不符合法律、法规和规章规定的，可以依法向招标人提出异议，或者向有关行政监督部门投诉，但就《中华人民共和国招标投标法实施条例》第二十二条、第四十四条、第五十四条规定事项进行投诉的，应当依法先向招标人提出异议。异议和投诉分别按照“书面、限时、实名”的原则进行处理。招标投标活动异议和投诉的提出期限以及处理，具体见《关于建设工程招标投标改革的若干规定》（深府</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2015</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73号）、《深圳市工程建设项目招标投标活动异议和投诉处理办法》（深建规</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2020</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16号）的规定。</w:t>
      </w:r>
    </w:p>
    <w:p w14:paraId="676CF347">
      <w:pPr>
        <w:spacing w:line="360" w:lineRule="auto"/>
        <w:ind w:firstLine="420" w:firstLineChars="200"/>
        <w:rPr>
          <w:bCs/>
          <w:color w:val="auto"/>
          <w:szCs w:val="21"/>
          <w:highlight w:val="none"/>
        </w:rPr>
      </w:pPr>
      <w:r>
        <w:rPr>
          <w:rFonts w:hint="eastAsia" w:ascii="宋体" w:hAnsi="宋体" w:eastAsia="宋体" w:cs="宋体"/>
          <w:bCs/>
          <w:color w:val="auto"/>
          <w:szCs w:val="21"/>
          <w:highlight w:val="none"/>
        </w:rPr>
        <w:t>我市已建立全市统一的工程建设项目招标投标活动异议和投诉处理电子平台（</w:t>
      </w:r>
      <w:r>
        <w:rPr>
          <w:rFonts w:hint="eastAsia" w:ascii="宋体" w:hAnsi="宋体" w:eastAsia="宋体" w:cs="宋体"/>
          <w:bCs/>
          <w:color w:val="auto"/>
          <w:szCs w:val="21"/>
          <w:highlight w:val="none"/>
        </w:rPr>
        <w:t>https://zjj.sz.gov.cn/xxgk/ztzl/jsjd/</w:t>
      </w:r>
      <w:r>
        <w:rPr>
          <w:rFonts w:hint="eastAsia" w:ascii="宋体" w:hAnsi="宋体" w:eastAsia="宋体" w:cs="宋体"/>
          <w:bCs/>
          <w:color w:val="auto"/>
          <w:szCs w:val="21"/>
          <w:highlight w:val="none"/>
        </w:rPr>
        <w:t>），对相关异议或者投诉的受理，以及答复或者处理决定的告知和公开，均在电子平台上进行，异议和投诉处理的往来资料均在电子平台永久保存。招标投标当事人及其他利害关系人凭数字证书或电子营业执照直接登录电子平台提出异议或者投诉，跟踪处理进程，签收异议答复函和投诉处理决定书。</w:t>
      </w:r>
    </w:p>
    <w:p w14:paraId="5C6E2F91">
      <w:pPr>
        <w:widowControl/>
        <w:jc w:val="left"/>
        <w:rPr>
          <w:rFonts w:ascii="宋体"/>
          <w:color w:val="auto"/>
          <w:kern w:val="0"/>
          <w:szCs w:val="21"/>
          <w:highlight w:val="none"/>
        </w:rPr>
      </w:pPr>
      <w:r>
        <w:rPr>
          <w:rFonts w:ascii="宋体"/>
          <w:color w:val="auto"/>
          <w:kern w:val="0"/>
          <w:szCs w:val="21"/>
          <w:highlight w:val="none"/>
        </w:rPr>
        <w:br w:type="page"/>
      </w:r>
    </w:p>
    <w:p w14:paraId="71C0DCA0">
      <w:pPr>
        <w:adjustRightInd w:val="0"/>
        <w:snapToGrid w:val="0"/>
        <w:spacing w:line="360" w:lineRule="auto"/>
        <w:jc w:val="center"/>
        <w:outlineLvl w:val="1"/>
        <w:rPr>
          <w:rFonts w:ascii="黑体" w:hAnsi="黑体" w:eastAsia="黑体" w:cs="黑体"/>
          <w:bCs/>
          <w:color w:val="auto"/>
          <w:kern w:val="0"/>
          <w:sz w:val="32"/>
          <w:szCs w:val="32"/>
          <w:highlight w:val="none"/>
        </w:rPr>
      </w:pPr>
      <w:bookmarkStart w:id="13" w:name="_Toc24081"/>
      <w:r>
        <w:rPr>
          <w:rFonts w:hint="eastAsia" w:ascii="黑体" w:hAnsi="黑体" w:eastAsia="黑体" w:cs="黑体"/>
          <w:bCs/>
          <w:color w:val="auto"/>
          <w:kern w:val="0"/>
          <w:sz w:val="32"/>
          <w:szCs w:val="32"/>
          <w:highlight w:val="none"/>
        </w:rPr>
        <w:t>二、投标文件否决性条款</w:t>
      </w:r>
      <w:bookmarkEnd w:id="13"/>
    </w:p>
    <w:p w14:paraId="4FC349DD">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【提示招标人】</w:t>
      </w:r>
      <w:r>
        <w:rPr>
          <w:rFonts w:hint="eastAsia" w:ascii="宋体" w:hAnsi="宋体" w:eastAsia="宋体" w:cs="宋体"/>
          <w:bCs/>
          <w:color w:val="auto"/>
          <w:kern w:val="0"/>
          <w:szCs w:val="21"/>
          <w:highlight w:val="none"/>
        </w:rPr>
        <w:t>如招标文件的澄清、答疑、补充文件中增加否决性条款的，招标人应当重新编写本章节内容，将新增否决性条款列入本章节，并发布新的完整的《投标文件否决性条款》。否则，增加的否决性条款无效。</w:t>
      </w:r>
    </w:p>
    <w:p w14:paraId="19AB2A2C">
      <w:pPr>
        <w:adjustRightInd w:val="0"/>
        <w:snapToGrid w:val="0"/>
        <w:spacing w:line="360" w:lineRule="auto"/>
        <w:ind w:firstLine="422" w:firstLineChars="200"/>
        <w:rPr>
          <w:rFonts w:ascii="宋体" w:hAnsi="宋体" w:eastAsia="宋体" w:cs="宋体"/>
          <w:b/>
          <w:strike/>
          <w:color w:val="auto"/>
          <w:kern w:val="0"/>
          <w:szCs w:val="21"/>
          <w:highlight w:val="none"/>
        </w:rPr>
      </w:pPr>
      <w:r>
        <w:rPr>
          <w:rFonts w:hint="eastAsia" w:ascii="宋体" w:hAnsi="宋体" w:eastAsia="宋体" w:cs="宋体"/>
          <w:b/>
          <w:bCs/>
          <w:color w:val="auto"/>
          <w:kern w:val="0"/>
          <w:szCs w:val="21"/>
          <w:highlight w:val="none"/>
        </w:rPr>
        <w:t>【提示投标人和评标委员会】</w:t>
      </w:r>
      <w:r>
        <w:rPr>
          <w:rFonts w:hint="eastAsia" w:ascii="宋体" w:hAnsi="宋体" w:eastAsia="宋体" w:cs="宋体"/>
          <w:bCs/>
          <w:color w:val="auto"/>
          <w:kern w:val="0"/>
          <w:szCs w:val="21"/>
          <w:highlight w:val="none"/>
        </w:rPr>
        <w:t>本章节是本工程招标文件（含招标文件的澄清、补充文件等）中涉及的所有否决性条款，否决性条款包括：招标文件不予受理（开标阶段）、废标（评标阶段）条款。除出现以下情形外，投标文件的其他任何情形均不得作否决处理。招标文件中有关否决性条款的阐述与本章节不一致的，以本章节内容为准。</w:t>
      </w:r>
    </w:p>
    <w:p w14:paraId="36E0990B">
      <w:pPr>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（一）开标阶段不予受理的情形：（由招标人或其委派人员负责判定）</w:t>
      </w:r>
    </w:p>
    <w:p w14:paraId="4E5601E8">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1.逾期提交投标文件的；</w:t>
      </w:r>
    </w:p>
    <w:p w14:paraId="4BDAEAE9">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2.资格审查不合格的；</w:t>
      </w:r>
    </w:p>
    <w:p w14:paraId="1CA718D9">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3.投标文件中各电子投标文件未加签有效数字证书或电子营业执照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以及企业法定代表人数字证书</w:t>
      </w:r>
      <w:r>
        <w:rPr>
          <w:rFonts w:hint="eastAsia" w:ascii="宋体" w:hAnsi="宋体" w:eastAsia="宋体" w:cs="宋体"/>
          <w:color w:val="auto"/>
          <w:kern w:val="0"/>
          <w:szCs w:val="21"/>
          <w:highlight w:val="none"/>
        </w:rPr>
        <w:t>的；</w:t>
      </w:r>
    </w:p>
    <w:p w14:paraId="7C219137">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4.所提交电子投标文件格式不符合招标文件要求或开标后交易平台无法读取导入的；</w:t>
      </w:r>
    </w:p>
    <w:p w14:paraId="178A8E0C">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5.组成联合体投标时，未提交联合体共同投标协议书的；</w:t>
      </w:r>
    </w:p>
    <w:p w14:paraId="1E8BE38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6.联合体各方在同一招标项目中以自己名义单独投标或者参加其他联合体投标的；</w:t>
      </w:r>
    </w:p>
    <w:p w14:paraId="1609382E">
      <w:pPr>
        <w:adjustRightInd w:val="0"/>
        <w:snapToGrid w:val="0"/>
        <w:spacing w:line="360" w:lineRule="auto"/>
        <w:ind w:firstLine="420" w:firstLineChars="200"/>
        <w:jc w:val="left"/>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szCs w:val="21"/>
          <w:highlight w:val="none"/>
        </w:rPr>
        <w:t>单位负责人为同一人或者存在控股、管理关系的不同单位</w:t>
      </w:r>
      <w:r>
        <w:rPr>
          <w:rFonts w:hint="eastAsia" w:ascii="宋体" w:hAnsi="宋体" w:eastAsia="宋体" w:cs="宋体"/>
          <w:color w:val="auto"/>
          <w:kern w:val="0"/>
          <w:szCs w:val="21"/>
          <w:highlight w:val="none"/>
        </w:rPr>
        <w:t>提交投标文件的，在资格审查阶段，当部分相关单位自愿退出后仍有两家或两家以上要求继续进入后续招投标环节的；</w:t>
      </w:r>
    </w:p>
    <w:p w14:paraId="35F2E8AD">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8.未按招标文件要求提交投标担保的；</w:t>
      </w:r>
    </w:p>
    <w:p w14:paraId="5528030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9.未按招标文件要求编制投标函，且投标人拒绝澄清或修正的；</w:t>
      </w:r>
    </w:p>
    <w:p w14:paraId="584E47F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10.投标人名称或组织结构与投标报名时不一致，且不能提供有效证明的；</w:t>
      </w:r>
    </w:p>
    <w:p w14:paraId="303B17F2">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11.被责令停业的，或被暂停投标资格的，或被取消投标资格的；</w:t>
      </w:r>
    </w:p>
    <w:p w14:paraId="0265D622">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12.近3年内（从招标公告发布之日起倒算）投标人或者其法定代表人有行贿犯罪记录的；</w:t>
      </w:r>
    </w:p>
    <w:p w14:paraId="55F697C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13.近1年起（从截标之日倒算起）因串通投标、转包、以他人名义投标或者违法分包等违法行为受到建设、交通或者财政部门行政处罚的；</w:t>
      </w:r>
    </w:p>
    <w:p w14:paraId="25C1ECDB">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14.因违反工程质量、安全生产管理规定等原因被建设部门给予红色警示且在警示期内的；</w:t>
      </w:r>
    </w:p>
    <w:p w14:paraId="5CFB03E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15.拖欠工人工资被有关部门责令改正而未改正的；</w:t>
      </w:r>
    </w:p>
    <w:p w14:paraId="1714D0D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16.依法应当拒绝投标的其他情形。</w:t>
      </w:r>
    </w:p>
    <w:p w14:paraId="003117E9">
      <w:pPr>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（二）</w:t>
      </w:r>
      <w:r>
        <w:rPr>
          <w:rFonts w:hint="eastAsia" w:ascii="宋体" w:hAnsi="宋体" w:eastAsia="宋体" w:cs="宋体"/>
          <w:b/>
          <w:bCs/>
          <w:color w:val="auto"/>
          <w:kern w:val="0"/>
          <w:szCs w:val="21"/>
          <w:highlight w:val="none"/>
        </w:rPr>
        <w:t>评标阶段有关废标的情形：（由评标委员会负责判定）</w:t>
      </w:r>
    </w:p>
    <w:p w14:paraId="03653DDD">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1.采用暗标方式的，投标人在暗标部分投标文件内标注名称、印章、商标等标记符号，使得能够辨认出投标人或其专业技术人员身份的；</w:t>
      </w:r>
    </w:p>
    <w:p w14:paraId="132333F5">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2.投标人以他人的名义投标或出现下列串通投标、弄虚作假投标嫌疑情形之一的：</w:t>
      </w:r>
    </w:p>
    <w:p w14:paraId="701581F3">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2.1不同投标人的投标文件内容存在非正常一致的；</w:t>
      </w:r>
    </w:p>
    <w:p w14:paraId="292F0ADF">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2.2不同投标人的投标文件错漏之处一致的；</w:t>
      </w:r>
    </w:p>
    <w:p w14:paraId="17E925B6">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2.3不同投标人的投标文件由同一单位或者同一个人编制的；</w:t>
      </w:r>
    </w:p>
    <w:p w14:paraId="6811D740">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2.4不同投标人的投标文件载明的项目管理班子成员出现同一人的；</w:t>
      </w:r>
    </w:p>
    <w:p w14:paraId="67D8B27B">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2.5不同投标人的投标文件相互混装的；</w:t>
      </w:r>
    </w:p>
    <w:p w14:paraId="7B64566E">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2.6不同投标人的投标文件由同一台电脑编制的；</w:t>
      </w:r>
    </w:p>
    <w:p w14:paraId="17A6DA84">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2.7不同投标人聘请同一人为其投标提供技术或者经济咨询服务的，但招标工程本身要求采用专有技术的除外；</w:t>
      </w:r>
    </w:p>
    <w:p w14:paraId="05A5EF43">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2.8评标委员会认定的其他串通投标情形；</w:t>
      </w:r>
    </w:p>
    <w:p w14:paraId="2A5F8C6F">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3.技术标书内容明显违反项目规划设计要点，技术经济指标严重失实的；</w:t>
      </w:r>
    </w:p>
    <w:p w14:paraId="76C28D72">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4.技术标书中存在违反国家工程建设标准强制性条文的；</w:t>
      </w:r>
    </w:p>
    <w:p w14:paraId="52C6ECF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5.评标委员会三分之二及以上成员认为应当废标的其他情形。</w:t>
      </w:r>
    </w:p>
    <w:p w14:paraId="25122C77">
      <w:pPr>
        <w:adjustRightInd w:val="0"/>
        <w:snapToGrid w:val="0"/>
        <w:spacing w:line="360" w:lineRule="auto"/>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（招标人对上述内容有修改或补充的，以下述条款为准）</w:t>
      </w:r>
    </w:p>
    <w:p w14:paraId="5C9E3C6D">
      <w:pPr>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（三）招标人补充的投标文件不予受理的情形：</w:t>
      </w:r>
    </w:p>
    <w:p w14:paraId="7B6C6BCA">
      <w:pPr>
        <w:adjustRightInd w:val="0"/>
        <w:snapToGrid w:val="0"/>
        <w:spacing w:line="360" w:lineRule="auto"/>
        <w:ind w:firstLine="420" w:firstLineChars="200"/>
        <w:jc w:val="left"/>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u w:val="single"/>
        </w:rPr>
        <w:t xml:space="preserve">      </w:t>
      </w:r>
    </w:p>
    <w:p w14:paraId="2519E97F">
      <w:pPr>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（四）招标人补充的废标情形：</w:t>
      </w:r>
    </w:p>
    <w:p w14:paraId="348E925C">
      <w:pPr>
        <w:adjustRightInd w:val="0"/>
        <w:snapToGrid w:val="0"/>
        <w:spacing w:line="360" w:lineRule="auto"/>
        <w:ind w:firstLine="42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p w14:paraId="4EB62649">
      <w:pPr>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br w:type="page"/>
      </w:r>
    </w:p>
    <w:p w14:paraId="3335410F">
      <w:pPr>
        <w:adjustRightInd w:val="0"/>
        <w:snapToGrid w:val="0"/>
        <w:spacing w:line="360" w:lineRule="auto"/>
        <w:jc w:val="center"/>
        <w:outlineLvl w:val="1"/>
        <w:rPr>
          <w:rFonts w:ascii="黑体" w:hAnsi="黑体" w:eastAsia="黑体" w:cs="黑体"/>
          <w:bCs/>
          <w:color w:val="auto"/>
          <w:kern w:val="0"/>
          <w:sz w:val="32"/>
          <w:szCs w:val="32"/>
          <w:highlight w:val="none"/>
        </w:rPr>
      </w:pPr>
      <w:bookmarkStart w:id="14" w:name="_Toc14481"/>
      <w:r>
        <w:rPr>
          <w:rFonts w:hint="eastAsia" w:ascii="黑体" w:hAnsi="黑体" w:eastAsia="黑体" w:cs="黑体"/>
          <w:bCs/>
          <w:color w:val="auto"/>
          <w:kern w:val="0"/>
          <w:sz w:val="32"/>
          <w:szCs w:val="32"/>
          <w:highlight w:val="none"/>
        </w:rPr>
        <w:t>三、招投标须知正文</w:t>
      </w:r>
      <w:bookmarkEnd w:id="14"/>
    </w:p>
    <w:p w14:paraId="0448B45D">
      <w:pPr>
        <w:adjustRightInd w:val="0"/>
        <w:snapToGrid w:val="0"/>
        <w:spacing w:line="360" w:lineRule="auto"/>
        <w:jc w:val="center"/>
        <w:outlineLvl w:val="2"/>
        <w:rPr>
          <w:rFonts w:ascii="宋体" w:hAnsi="宋体" w:eastAsia="宋体" w:cs="宋体"/>
          <w:b/>
          <w:color w:val="auto"/>
          <w:kern w:val="0"/>
          <w:sz w:val="30"/>
          <w:szCs w:val="30"/>
          <w:highlight w:val="none"/>
        </w:rPr>
      </w:pPr>
      <w:bookmarkStart w:id="15" w:name="_Toc7229"/>
      <w:r>
        <w:rPr>
          <w:rFonts w:hint="eastAsia" w:ascii="宋体" w:hAnsi="宋体" w:eastAsia="宋体" w:cs="宋体"/>
          <w:b/>
          <w:color w:val="auto"/>
          <w:kern w:val="0"/>
          <w:sz w:val="30"/>
          <w:szCs w:val="30"/>
          <w:highlight w:val="none"/>
        </w:rPr>
        <w:t>（一）招标</w:t>
      </w:r>
      <w:bookmarkEnd w:id="15"/>
    </w:p>
    <w:p w14:paraId="4C3E0D31">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1.1招标文件的编制</w:t>
      </w:r>
    </w:p>
    <w:p w14:paraId="3965022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1.1.1招标人应根据招标项目特点和招标公告约定编制招标文件。</w:t>
      </w:r>
    </w:p>
    <w:p w14:paraId="4916410C">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1.1.2招标文件的编制，必须依照以下格式及包括下列内容：</w:t>
      </w:r>
    </w:p>
    <w:p w14:paraId="50F343BE">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(1)第一章  使用说明</w:t>
      </w:r>
    </w:p>
    <w:p w14:paraId="3BF5DD0E">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(2)第二章  投标须知</w:t>
      </w:r>
    </w:p>
    <w:p w14:paraId="731428DD">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highlight w:val="none"/>
        </w:rPr>
        <w:t>第三章  招标人对招标文件的补充/修改</w:t>
      </w:r>
    </w:p>
    <w:p w14:paraId="0FCCBBC9">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(4)第四章  设计任务书及前期资料</w:t>
      </w:r>
    </w:p>
    <w:p w14:paraId="55784D25">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(5)第五章  投标文件格式</w:t>
      </w:r>
    </w:p>
    <w:p w14:paraId="7B2A8E6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(6)第六章  合同条款</w:t>
      </w:r>
    </w:p>
    <w:p w14:paraId="62F9B59D">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1.2踏勘现场</w:t>
      </w:r>
    </w:p>
    <w:p w14:paraId="7E48E22A">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1.2.1在投标文件编制前，招标人将按照前附表所规定方式，组织投标人踏勘项目现场及其周围环境，以便投标人获取编制投标文件和签署合同所需全部资料。投标人承担踏勘现场所发生的自身费用。</w:t>
      </w:r>
    </w:p>
    <w:p w14:paraId="6DD94E0A">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1.2.2招标人向投标人所提供有关项目现场的数据和资料，是踏勘当时现有的、能被投标人采用的资料。招标人对于投标人由此所作任何推论、理解和分析，不承担责任。</w:t>
      </w:r>
    </w:p>
    <w:p w14:paraId="3603A7B8">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1.2.3经招标人允许，投标人可因踏勘目的而进入招标项目现场，但投标人不得因此使得招标人承担有关责任和蒙受损失。投标人须自行承担踏勘现场的责任、风险及相关费用。</w:t>
      </w:r>
    </w:p>
    <w:p w14:paraId="5F19EF61">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1.3招标文件的澄清、修改、补充</w:t>
      </w:r>
    </w:p>
    <w:p w14:paraId="573B4CE0">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1.3.1招标人对招标文件进行的澄清、修改以补充文件的形式，将于规定的招标人答疑截止时间前报主管部门备案，并通过</w:t>
      </w:r>
      <w:r>
        <w:rPr>
          <w:rFonts w:hint="eastAsia" w:ascii="宋体" w:hAnsi="宋体" w:eastAsia="宋体" w:cs="宋体"/>
          <w:color w:val="auto"/>
          <w:kern w:val="0"/>
          <w:highlight w:val="none"/>
        </w:rPr>
        <w:t>交易网</w:t>
      </w:r>
      <w:r>
        <w:rPr>
          <w:rFonts w:hint="eastAsia" w:ascii="宋体" w:hAnsi="宋体" w:eastAsia="宋体" w:cs="宋体"/>
          <w:color w:val="auto"/>
          <w:kern w:val="0"/>
          <w:szCs w:val="21"/>
          <w:highlight w:val="none"/>
        </w:rPr>
        <w:t>向所有投标人公示。投标人应随时上网查看最新信息，否则由此导致不利后果的，由投标人自行承担。</w:t>
      </w:r>
    </w:p>
    <w:p w14:paraId="6054CA2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1.3.2招标文件的补充文件是招标文件的组成部分。当招标文件与补充文件的内容不一致时，以补充文件为准；当补充文件之间的内容不一致时，以最后发出的文件为准。</w:t>
      </w:r>
    </w:p>
    <w:p w14:paraId="75D30B80">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1.3.3为确保投标人有充分时间对招标文件修改内容进行研究，招标人可酌情延长投标截止时间，并在招标文件补充文件中予以明确。</w:t>
      </w:r>
    </w:p>
    <w:p w14:paraId="1C6B54CE">
      <w:pPr>
        <w:adjustRightInd w:val="0"/>
        <w:snapToGrid w:val="0"/>
        <w:spacing w:line="360" w:lineRule="auto"/>
        <w:jc w:val="center"/>
        <w:outlineLvl w:val="2"/>
        <w:rPr>
          <w:rFonts w:ascii="宋体" w:hAnsi="宋体" w:eastAsia="宋体" w:cs="宋体"/>
          <w:b/>
          <w:color w:val="auto"/>
          <w:kern w:val="0"/>
          <w:sz w:val="30"/>
          <w:highlight w:val="none"/>
        </w:rPr>
      </w:pPr>
      <w:bookmarkStart w:id="16" w:name="_Toc17700"/>
      <w:r>
        <w:rPr>
          <w:rFonts w:hint="eastAsia" w:ascii="宋体" w:hAnsi="宋体" w:eastAsia="宋体" w:cs="宋体"/>
          <w:b/>
          <w:color w:val="auto"/>
          <w:kern w:val="0"/>
          <w:sz w:val="30"/>
          <w:highlight w:val="none"/>
        </w:rPr>
        <w:t>（二）投标</w:t>
      </w:r>
      <w:bookmarkEnd w:id="16"/>
    </w:p>
    <w:p w14:paraId="1E0F4032">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2.1文件编制语言、度量单位</w:t>
      </w:r>
    </w:p>
    <w:p w14:paraId="30776E50">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2.1.1投标人与招标人之间与投标有关的所有往来通知、函件和投标文件，均应使用中文。投标文件中的外文专业术语，须附上其中文注释。投标人随投标文件提供的证明资料、支持文件等，若有采用其他语言表述的，则必须附有中文译文（否则该资料可以不予认可，由此导致不利后果的，由投标人自行承担）。对投标文件的最终解释，将以中文或中文译文为准。</w:t>
      </w:r>
    </w:p>
    <w:p w14:paraId="6070448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2.1.2除工程建设标准及技术要求另有规定外，投标文件所使用度量单位，均采用中华人民共和国法定计量单位。</w:t>
      </w:r>
    </w:p>
    <w:p w14:paraId="697ECC98">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2.1.3涉及货币种类时，除特殊说明外，均指人民币。</w:t>
      </w:r>
    </w:p>
    <w:p w14:paraId="3DB79245">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2.2投标人资格要求</w:t>
      </w:r>
    </w:p>
    <w:p w14:paraId="2085F64B">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2.2.1 投标人应当具备承担本招标项目的能力；具备国家有关规定或者招标文件规定的资格条件；且通过合法途径取得招标文件。</w:t>
      </w:r>
    </w:p>
    <w:p w14:paraId="50B6832C">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2.2.2关于联合体投标</w:t>
      </w:r>
    </w:p>
    <w:p w14:paraId="2A0ADDEB">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（1）由两个或两个以上法人</w:t>
      </w:r>
      <w:r>
        <w:rPr>
          <w:rFonts w:hint="eastAsia" w:ascii="宋体" w:hAnsi="宋体" w:eastAsia="宋体" w:cs="宋体"/>
          <w:color w:val="auto"/>
          <w:szCs w:val="21"/>
          <w:highlight w:val="none"/>
        </w:rPr>
        <w:t>或者其他组织</w:t>
      </w:r>
      <w:r>
        <w:rPr>
          <w:rFonts w:hint="eastAsia" w:ascii="宋体" w:hAnsi="宋体" w:eastAsia="宋体" w:cs="宋体"/>
          <w:color w:val="auto"/>
          <w:kern w:val="0"/>
          <w:szCs w:val="21"/>
          <w:highlight w:val="none"/>
        </w:rPr>
        <w:t>组成一个联合体以一个投标人的身份共同投标时，应符合招标项目资质及其他相关要求；</w:t>
      </w:r>
    </w:p>
    <w:p w14:paraId="4CF11D35">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（2）投标人的投标文件及中标后签署的合同协议书对联合体每一成员均具</w:t>
      </w:r>
      <w:r>
        <w:rPr>
          <w:rFonts w:hint="eastAsia" w:ascii="宋体" w:hAnsi="宋体" w:eastAsia="宋体" w:cs="宋体"/>
          <w:color w:val="auto"/>
          <w:kern w:val="0"/>
          <w:szCs w:val="21"/>
          <w:highlight w:val="none"/>
          <w:lang w:val="en-US" w:eastAsia="zh-CN"/>
        </w:rPr>
        <w:t>有</w:t>
      </w:r>
      <w:r>
        <w:rPr>
          <w:rFonts w:hint="eastAsia" w:ascii="宋体" w:hAnsi="宋体" w:eastAsia="宋体" w:cs="宋体"/>
          <w:color w:val="auto"/>
          <w:kern w:val="0"/>
          <w:szCs w:val="21"/>
          <w:highlight w:val="none"/>
        </w:rPr>
        <w:t>法律约束力；</w:t>
      </w:r>
    </w:p>
    <w:p w14:paraId="33B431E9">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（3）联合体的各成员应当签订共同投标协议，明确约定各方拟承担的工作和责任，并将该共同投标协议随投标文件一并递交给招标人；</w:t>
      </w:r>
    </w:p>
    <w:p w14:paraId="0C69800B">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（4）联合体中标后，联合体各方应当共同与招标人签订合同，为履行合同向招标人承担连带责任；</w:t>
      </w:r>
    </w:p>
    <w:p w14:paraId="676A43B5">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（5）由联合体的各成员提交一份授权书，证明联合体代表资格，该授权书作为投标文件的组成部分一并提交给招标人；</w:t>
      </w:r>
    </w:p>
    <w:p w14:paraId="5FF39ADA">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（6）联合体主体作为联合体所有成员的代表承担责任和接受指令，并负责整个合同的全面履行；</w:t>
      </w:r>
    </w:p>
    <w:p w14:paraId="4500133E">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（7）参加联合体的各成员不得再以自己的名义单独投标，也不得同时参加两个或两个以上的联合体投标。</w:t>
      </w:r>
    </w:p>
    <w:p w14:paraId="7553EB44">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2.3投标文件的编制</w:t>
      </w:r>
    </w:p>
    <w:p w14:paraId="5C1E3DE8">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2.3.1投标文件编制成果及要求</w:t>
      </w:r>
    </w:p>
    <w:p w14:paraId="0B82C199">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投标文件由技术标和资信标两部分组成。详见前附表规定和本招标文件范本第五章《投标文件格式》。</w:t>
      </w:r>
    </w:p>
    <w:p w14:paraId="2C330FE5">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2.3.2投标文件的签署</w:t>
      </w:r>
    </w:p>
    <w:p w14:paraId="2BA8150A">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投标文件必须使用投标人的机构数字证书或电子营业执照和法人数字证书进行签名。</w:t>
      </w:r>
    </w:p>
    <w:p w14:paraId="14F2DD24">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2.4对招标文件查收及质疑</w:t>
      </w:r>
    </w:p>
    <w:p w14:paraId="347219B1">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2.4.1投标人获取招标文件后，应仔细检查招标文件是否完整。如有残缺，应在获取招标文件后3日内向招标人提出，以便补齐。否则，由此导致不利后果的，由投标人自己承担。</w:t>
      </w:r>
    </w:p>
    <w:p w14:paraId="25808D82">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2.4.2投标人对招标文件若有其他疑问，应于前附表规定的时间和方式向招标人提出，逾期不予受理。</w:t>
      </w:r>
    </w:p>
    <w:p w14:paraId="52F4DAE9">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2.5投标有效期</w:t>
      </w:r>
    </w:p>
    <w:p w14:paraId="3650D72D">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2.5.1投标有效期按法律法规规定期限内，所有投标文件均保持有效。</w:t>
      </w:r>
    </w:p>
    <w:p w14:paraId="76C73228">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2.5.2特殊的情况下，在原定投标有效期满之前，招标人可以根据需要以书面形式向投标人提出延长投标有效期的要求，对此要求投标人须以书面形式予以答复，投标人可以拒绝招标人这种要求，而不被没收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kern w:val="0"/>
          <w:szCs w:val="21"/>
          <w:highlight w:val="none"/>
        </w:rPr>
        <w:t>。同意延长投标有效期的投标人不能要求也不允许修改其投标文件，但需要相应延长投标担保的有效期，在延长的投标有效期内关于投标保证金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kern w:val="0"/>
          <w:szCs w:val="21"/>
          <w:highlight w:val="none"/>
        </w:rPr>
        <w:t>的退还与没收的规定仍然适用。</w:t>
      </w:r>
    </w:p>
    <w:p w14:paraId="60F73951">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2.6投标担保</w:t>
      </w:r>
    </w:p>
    <w:p w14:paraId="215339B5">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2.6.1投标人应按前附表的规定提交投标担保</w:t>
      </w:r>
      <w:r>
        <w:rPr>
          <w:rFonts w:hint="eastAsia" w:ascii="宋体" w:hAnsi="宋体" w:eastAsia="宋体" w:cs="宋体"/>
          <w:color w:val="auto"/>
          <w:kern w:val="0"/>
          <w:szCs w:val="21"/>
          <w:highlight w:val="none"/>
          <w:lang w:eastAsia="zh-CN"/>
        </w:rPr>
        <w:t>。</w:t>
      </w:r>
    </w:p>
    <w:p w14:paraId="79858B9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val="en-US" w:eastAsia="zh-CN"/>
        </w:rPr>
        <w:t>现金/支票的，须从投标人基本账户汇出，</w:t>
      </w:r>
      <w:r>
        <w:rPr>
          <w:rFonts w:hint="eastAsia" w:ascii="宋体" w:hAnsi="宋体" w:eastAsia="宋体" w:cs="宋体"/>
          <w:color w:val="auto"/>
          <w:szCs w:val="21"/>
          <w:highlight w:val="none"/>
        </w:rPr>
        <w:t>并且应将基本账户开户许可证或基本存款账户信息表复印件编入投标文件中。</w:t>
      </w:r>
    </w:p>
    <w:p w14:paraId="54313AD0">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若采用纸质银行保函的，投标人应将纸质银行保函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，纸质银行保函原件在中标候选人确定后由招标人收取。若采用电子银行保函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电子银行保函通过其他</w:t>
      </w:r>
      <w:r>
        <w:rPr>
          <w:rFonts w:hint="eastAsia" w:ascii="宋体" w:hAnsi="宋体" w:eastAsia="宋体" w:cs="宋体"/>
          <w:color w:val="auto"/>
          <w:kern w:val="0"/>
          <w:szCs w:val="21"/>
          <w:highlight w:val="none"/>
          <w:lang w:val="en-US" w:eastAsia="zh-CN"/>
        </w:rPr>
        <w:t>平台出具的，应参照前述纸质银行保函的要求，将相关材料编入投标文件中。</w:t>
      </w:r>
    </w:p>
    <w:p w14:paraId="1B4EA61A">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w:t>
      </w:r>
      <w:r>
        <w:rPr>
          <w:rFonts w:hint="eastAsia" w:ascii="宋体" w:hAnsi="宋体" w:eastAsia="宋体" w:cs="宋体"/>
          <w:color w:val="auto"/>
          <w:szCs w:val="21"/>
          <w:highlight w:val="none"/>
          <w:lang w:val="en-US" w:eastAsia="zh-CN"/>
        </w:rPr>
        <w:t>纸质</w:t>
      </w:r>
      <w:r>
        <w:rPr>
          <w:rFonts w:hint="eastAsia" w:ascii="宋体" w:hAnsi="宋体" w:eastAsia="宋体" w:cs="宋体"/>
          <w:color w:val="auto"/>
          <w:szCs w:val="21"/>
          <w:highlight w:val="none"/>
        </w:rPr>
        <w:t>保证保险的，投标人</w:t>
      </w:r>
      <w:r>
        <w:rPr>
          <w:rFonts w:hint="eastAsia" w:ascii="宋体" w:hAnsi="宋体" w:eastAsia="宋体" w:cs="宋体"/>
          <w:color w:val="auto"/>
          <w:szCs w:val="21"/>
          <w:highlight w:val="none"/>
          <w:lang w:val="en-US" w:eastAsia="zh-CN"/>
        </w:rPr>
        <w:t>应将</w:t>
      </w:r>
      <w:r>
        <w:rPr>
          <w:rFonts w:hint="eastAsia" w:ascii="宋体" w:hAnsi="宋体" w:eastAsia="宋体" w:cs="宋体"/>
          <w:color w:val="auto"/>
          <w:szCs w:val="21"/>
          <w:highlight w:val="none"/>
        </w:rPr>
        <w:t>投标保证保险合同或保险单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基本账户开户许可证或基本存款账户信息表复印件及保费转账凭证以扫描件形式编入投标文件中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原件在中标候选人确定后由招标人收取。保费必须通过投标人基本账户支付，账户名称应与投标单位名称一致，不得以分支机构等其他名义提交。采用电子保证保险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电子保证保险通过其他</w:t>
      </w:r>
      <w:r>
        <w:rPr>
          <w:rFonts w:hint="eastAsia" w:ascii="宋体" w:hAnsi="宋体" w:eastAsia="宋体" w:cs="宋体"/>
          <w:color w:val="auto"/>
          <w:kern w:val="0"/>
          <w:szCs w:val="21"/>
          <w:highlight w:val="none"/>
          <w:lang w:val="en-US" w:eastAsia="zh-CN"/>
        </w:rPr>
        <w:t>平台出具的</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en-US" w:eastAsia="zh-CN"/>
        </w:rPr>
        <w:t>应参照前述纸质保证保险的要求，将相关材料编入投标文件中。</w:t>
      </w:r>
    </w:p>
    <w:p w14:paraId="4D5E5D88">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若采用纸质担保公司保函的，</w:t>
      </w:r>
      <w:r>
        <w:rPr>
          <w:rFonts w:hint="eastAsia" w:ascii="宋体" w:hAnsi="宋体" w:eastAsia="宋体" w:cs="宋体"/>
          <w:color w:val="auto"/>
          <w:szCs w:val="21"/>
          <w:highlight w:val="none"/>
        </w:rPr>
        <w:t>投标人应将</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保函原件在中标候选人确定后由招标人收取。保费必须通过投标人基本账户支付，账户名称应与投标单位名称一致，不得以分支机构等其他名义提交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采用电子</w:t>
      </w:r>
      <w:r>
        <w:rPr>
          <w:rFonts w:hint="eastAsia" w:ascii="宋体" w:hAnsi="宋体" w:eastAsia="宋体" w:cs="宋体"/>
          <w:color w:val="auto"/>
          <w:szCs w:val="21"/>
          <w:highlight w:val="none"/>
          <w:lang w:val="en-US" w:eastAsia="zh-CN"/>
        </w:rPr>
        <w:t>担保公司保函，电子担保公司保函通过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w:t>
      </w:r>
      <w:r>
        <w:rPr>
          <w:rFonts w:hint="eastAsia" w:ascii="宋体" w:hAnsi="宋体" w:eastAsia="宋体" w:cs="宋体"/>
          <w:color w:val="auto"/>
          <w:szCs w:val="21"/>
          <w:highlight w:val="none"/>
          <w:lang w:val="en-US" w:eastAsia="zh-CN"/>
        </w:rPr>
        <w:t>担保公司保函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电子担保公司保函通过其他</w:t>
      </w:r>
      <w:r>
        <w:rPr>
          <w:rFonts w:hint="eastAsia" w:ascii="宋体" w:hAnsi="宋体" w:eastAsia="宋体" w:cs="宋体"/>
          <w:color w:val="auto"/>
          <w:kern w:val="0"/>
          <w:szCs w:val="21"/>
          <w:highlight w:val="none"/>
          <w:lang w:val="en-US" w:eastAsia="zh-CN"/>
        </w:rPr>
        <w:t>平台出具的，应参照前述纸质担保公司保函的要求，将相关材料编入投标文件中。</w:t>
      </w:r>
    </w:p>
    <w:p w14:paraId="142486C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2.6.2</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的格式见第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章--投标文件格式。如果投标人不采用参考格式的投标保函，拟采用的投标保函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应符合参考格式中对实质性内容的要求，并且须经过招标人确认同意。投标保函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应在投标有效期满后28天内继续有效。</w:t>
      </w:r>
    </w:p>
    <w:p w14:paraId="4D27DE3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2.6.3</w:t>
      </w:r>
      <w:r>
        <w:rPr>
          <w:rFonts w:hint="eastAsia" w:ascii="宋体" w:hAnsi="宋体" w:eastAsia="宋体" w:cs="宋体"/>
          <w:color w:val="auto"/>
          <w:szCs w:val="21"/>
          <w:highlight w:val="none"/>
        </w:rPr>
        <w:t>对于未能按要求提交投标担保的，投标文件将按有关条款不予受理。</w:t>
      </w:r>
    </w:p>
    <w:p w14:paraId="3541515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2.6.4</w:t>
      </w:r>
      <w:r>
        <w:rPr>
          <w:rFonts w:hint="eastAsia" w:ascii="宋体" w:hAnsi="宋体" w:eastAsia="宋体" w:cs="宋体"/>
          <w:color w:val="auto"/>
          <w:szCs w:val="21"/>
          <w:highlight w:val="none"/>
        </w:rPr>
        <w:t>未中标的投标人的投标担保将按照招标人规定的投标有效期或经投标人同意的延长的投标有效期期满后7天内予以退还。</w:t>
      </w:r>
    </w:p>
    <w:p w14:paraId="114AEAC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2.6.5</w:t>
      </w:r>
      <w:r>
        <w:rPr>
          <w:rFonts w:hint="eastAsia" w:ascii="宋体" w:hAnsi="宋体" w:eastAsia="宋体" w:cs="宋体"/>
          <w:color w:val="auto"/>
          <w:szCs w:val="21"/>
          <w:highlight w:val="none"/>
        </w:rPr>
        <w:t>出现下列情形之一时，招标人应当在7天内退还投标人的投标担保：</w:t>
      </w:r>
    </w:p>
    <w:p w14:paraId="089DD58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中标通知书发出，中标人签订了工程承包合同；</w:t>
      </w:r>
    </w:p>
    <w:p w14:paraId="2D55B17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招标过程中招标活动因正当理由被招标人宣布终止；</w:t>
      </w:r>
    </w:p>
    <w:p w14:paraId="1C56CEC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招标失败需重新组织招标；</w:t>
      </w:r>
    </w:p>
    <w:p w14:paraId="49596F6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投标有效期满而投标人不同意作出延长。</w:t>
      </w:r>
    </w:p>
    <w:p w14:paraId="3BEF601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2.6.6 </w:t>
      </w:r>
      <w:r>
        <w:rPr>
          <w:rFonts w:hint="eastAsia" w:ascii="宋体" w:hAnsi="宋体" w:eastAsia="宋体" w:cs="宋体"/>
          <w:color w:val="auto"/>
          <w:szCs w:val="21"/>
          <w:highlight w:val="none"/>
        </w:rPr>
        <w:t>投标人有下列任何情况发生时，投标担保将被没收。给招标人造成的损失超过投标担保金额的，投标人还应当对超过部分给予赔偿。</w:t>
      </w:r>
    </w:p>
    <w:p w14:paraId="5B32B68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投标人有弄虚作假或串通投标等违法违规行为；</w:t>
      </w:r>
    </w:p>
    <w:p w14:paraId="18668E6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投标人在投标有效期内撤回其投标文件；</w:t>
      </w:r>
    </w:p>
    <w:p w14:paraId="56F06FE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中标人无正当理由不与招标人订立合同，在签订合同时向招标人提出附加条件，或者不按照招标文件要求提交履约保证金的；</w:t>
      </w:r>
    </w:p>
    <w:p w14:paraId="131DEF87">
      <w:pPr>
        <w:adjustRightInd w:val="0"/>
        <w:snapToGrid w:val="0"/>
        <w:spacing w:line="360" w:lineRule="auto"/>
        <w:ind w:firstLine="420" w:firstLineChars="200"/>
        <w:jc w:val="left"/>
        <w:rPr>
          <w:rFonts w:hint="eastAsia" w:ascii="宋体" w:hAnsi="宋体" w:eastAsia="宋体" w:cs="宋体"/>
          <w:strike/>
          <w:color w:val="auto"/>
          <w:kern w:val="0"/>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投标人资质证书被暂扣或吊销，但仍参与投标的。</w:t>
      </w:r>
    </w:p>
    <w:p w14:paraId="36976A0E">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2.7投标文件的提交</w:t>
      </w:r>
    </w:p>
    <w:p w14:paraId="50C13D62">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2.7.1投标截止时间</w:t>
      </w:r>
    </w:p>
    <w:p w14:paraId="79F27AD6">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投标人应根据前附表规定，在投标截止时间前完成投标文件递交，逾期概不受理。</w:t>
      </w:r>
    </w:p>
    <w:p w14:paraId="4172912F">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2.7.2投标文件的补充、修改与撤回</w:t>
      </w:r>
    </w:p>
    <w:p w14:paraId="21B29B71">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（1）递交投标文件之后至规定的投标截止时间之前，投标人可以撤回、补充或修改其已提交的投标文件，并通知招标人。补充、修改内容亦为投标文件有效组成部分。</w:t>
      </w:r>
    </w:p>
    <w:p w14:paraId="1D9C7091">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（2）投标人的撤回、补充、修改，仍应按前附表规定编制和递交，并重新进行电子签名确认和打印回执。</w:t>
      </w:r>
    </w:p>
    <w:p w14:paraId="6F45836C">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（3）投标截止时间之后、投标有效期终止之前，投标人不得补充、修改或者撤回其已提交的投标文件。</w:t>
      </w:r>
    </w:p>
    <w:p w14:paraId="46308ACD">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2.7.3截标时投标人的数量要求</w:t>
      </w:r>
    </w:p>
    <w:p w14:paraId="08880741">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截标时，递交标书的投标人数量不足3名的，招标人将按相关法律法规的规定，暂停开标和评标程序。如因此导致招标失败，招标人将不负担给投标人造成的损失（已规定有投标补偿的除外）。</w:t>
      </w:r>
    </w:p>
    <w:p w14:paraId="1396DE2C">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联合体投标的工程，联合体主体单位应在投标时录入已进行企业信息备案或be登记的联合体其他成员单位。</w:t>
      </w:r>
    </w:p>
    <w:p w14:paraId="2D0AD0EA">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2.8投标补偿</w:t>
      </w:r>
    </w:p>
    <w:p w14:paraId="534C3578">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对于投标人是否（或如何）予以投标补偿，均须遵循招标公告或前附表约定。</w:t>
      </w:r>
    </w:p>
    <w:p w14:paraId="19AB7737">
      <w:pPr>
        <w:adjustRightInd w:val="0"/>
        <w:snapToGrid w:val="0"/>
        <w:spacing w:before="0" w:after="0" w:line="360" w:lineRule="auto"/>
        <w:ind w:left="0" w:firstLine="0"/>
        <w:jc w:val="left"/>
        <w:rPr>
          <w:rFonts w:hint="eastAsia" w:ascii="宋体" w:hAnsi="宋体" w:eastAsia="宋体" w:cs="宋体"/>
          <w:b/>
          <w:color w:val="auto"/>
          <w:kern w:val="0"/>
          <w:sz w:val="21"/>
          <w:szCs w:val="22"/>
          <w:highlight w:val="none"/>
        </w:rPr>
      </w:pPr>
      <w:r>
        <w:rPr>
          <w:rFonts w:hint="eastAsia" w:ascii="宋体" w:hAnsi="宋体" w:eastAsia="宋体" w:cs="宋体"/>
          <w:b/>
          <w:color w:val="auto"/>
          <w:kern w:val="0"/>
          <w:sz w:val="21"/>
          <w:szCs w:val="22"/>
          <w:highlight w:val="none"/>
        </w:rPr>
        <w:t>2.9其他规定</w:t>
      </w:r>
    </w:p>
    <w:p w14:paraId="27C7E0BB">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投标人保证投标文件及资料均未侵犯他人的知识产权，否则必须承担全部责任。若投标人使用了他人的专利、专有技术，涉及的费用由投标人负责。</w:t>
      </w:r>
    </w:p>
    <w:p w14:paraId="1FC24A0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中标后应按照《深圳经济特区数据条例》的有关规定，加强对BIM数据的安全管理，建立健全数据管理制度，及时排查BIM数据在存储、使用、加工、传递、交付过程中可能出现的信息安全隐患，做好安全防护和处理。</w:t>
      </w:r>
    </w:p>
    <w:p w14:paraId="66379CFB">
      <w:pPr>
        <w:adjustRightInd w:val="0"/>
        <w:snapToGrid w:val="0"/>
        <w:spacing w:line="360" w:lineRule="auto"/>
        <w:ind w:firstLine="420" w:firstLineChars="200"/>
        <w:jc w:val="left"/>
        <w:rPr>
          <w:rFonts w:ascii="宋体" w:hAnsi="宋体" w:eastAsia="宋体" w:cs="宋体"/>
          <w:color w:val="auto"/>
          <w:kern w:val="0"/>
          <w:szCs w:val="21"/>
          <w:highlight w:val="none"/>
        </w:rPr>
      </w:pPr>
    </w:p>
    <w:p w14:paraId="2788CA20">
      <w:pPr>
        <w:adjustRightInd w:val="0"/>
        <w:snapToGrid w:val="0"/>
        <w:spacing w:line="360" w:lineRule="auto"/>
        <w:ind w:firstLine="420" w:firstLineChars="200"/>
        <w:jc w:val="left"/>
        <w:rPr>
          <w:rFonts w:ascii="宋体" w:hAnsi="宋体" w:eastAsia="宋体" w:cs="宋体"/>
          <w:color w:val="auto"/>
          <w:kern w:val="0"/>
          <w:szCs w:val="21"/>
          <w:highlight w:val="none"/>
        </w:rPr>
      </w:pPr>
    </w:p>
    <w:p w14:paraId="3CFEA102">
      <w:pPr>
        <w:adjustRightInd w:val="0"/>
        <w:snapToGrid w:val="0"/>
        <w:spacing w:line="360" w:lineRule="auto"/>
        <w:jc w:val="center"/>
        <w:outlineLvl w:val="2"/>
        <w:rPr>
          <w:rFonts w:ascii="宋体" w:hAnsi="宋体" w:eastAsia="宋体" w:cs="宋体"/>
          <w:b/>
          <w:color w:val="auto"/>
          <w:kern w:val="0"/>
          <w:sz w:val="30"/>
          <w:highlight w:val="none"/>
        </w:rPr>
      </w:pPr>
      <w:bookmarkStart w:id="17" w:name="_Toc1632"/>
      <w:r>
        <w:rPr>
          <w:rFonts w:hint="eastAsia" w:ascii="宋体" w:hAnsi="宋体" w:eastAsia="宋体" w:cs="宋体"/>
          <w:b/>
          <w:color w:val="auto"/>
          <w:kern w:val="0"/>
          <w:sz w:val="30"/>
          <w:highlight w:val="none"/>
        </w:rPr>
        <w:t>（三）资格后审</w:t>
      </w:r>
      <w:bookmarkEnd w:id="17"/>
    </w:p>
    <w:p w14:paraId="315274BC">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采用资格后审方式的，按以下规定进行：</w:t>
      </w:r>
    </w:p>
    <w:p w14:paraId="4D25D94C">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3.1资格审查由招标人组成的资格后审委员会负责，在截标后，每一个投标人的资格审查文件均在</w:t>
      </w:r>
      <w:r>
        <w:rPr>
          <w:rFonts w:hint="eastAsia" w:ascii="宋体" w:hAnsi="宋体" w:eastAsia="宋体" w:cs="宋体"/>
          <w:color w:val="auto"/>
          <w:kern w:val="0"/>
          <w:highlight w:val="none"/>
        </w:rPr>
        <w:t>交易网</w:t>
      </w:r>
      <w:r>
        <w:rPr>
          <w:rFonts w:hint="eastAsia" w:ascii="宋体" w:hAnsi="宋体" w:eastAsia="宋体" w:cs="宋体"/>
          <w:color w:val="auto"/>
          <w:kern w:val="0"/>
          <w:szCs w:val="21"/>
          <w:highlight w:val="none"/>
        </w:rPr>
        <w:t>对本项目投标人公开，招标人登陆</w:t>
      </w:r>
      <w:r>
        <w:rPr>
          <w:rFonts w:hint="eastAsia" w:ascii="宋体" w:hAnsi="宋体" w:eastAsia="宋体" w:cs="宋体"/>
          <w:color w:val="auto"/>
          <w:kern w:val="0"/>
          <w:highlight w:val="none"/>
        </w:rPr>
        <w:t>交易网</w:t>
      </w:r>
      <w:r>
        <w:rPr>
          <w:rFonts w:hint="eastAsia" w:ascii="宋体" w:hAnsi="宋体" w:eastAsia="宋体" w:cs="宋体"/>
          <w:color w:val="auto"/>
          <w:kern w:val="0"/>
          <w:szCs w:val="21"/>
          <w:highlight w:val="none"/>
        </w:rPr>
        <w:t>对各投标人资格进行审查。</w:t>
      </w:r>
    </w:p>
    <w:p w14:paraId="1B184DBA">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3.2资格后审委员会成员数量为3人以上单数，招标代理人员参与资格审查的，其人员不得超过总人数的1/3。</w:t>
      </w:r>
    </w:p>
    <w:p w14:paraId="4C422A50">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3.3资格后审委员严格对照招标公告中要求的投标人资格条件，逐个审查投标人递交的资格审查文件，审核判断投标人是否满足该资格条件。</w:t>
      </w:r>
    </w:p>
    <w:p w14:paraId="3274159C">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审查过程中如出现疑问，资格后审委员可要求投标人进行澄清说明，并根据招标公告设置的条件要求进行判断；如出现投标人资格不符合招标公告设置条件的，应当向投标人说明情况，并允许投标人答辩，记录有关情况。</w:t>
      </w:r>
    </w:p>
    <w:p w14:paraId="4CA50A51">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3.5拟进行资格后审澄清、答辩的代表由招标人核对身份。</w:t>
      </w:r>
    </w:p>
    <w:p w14:paraId="6C55E4AC">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3.6资格后审委员会要求投标人进行澄清、答辩，但投标人在招标人规定时间内未派出人员及时作出澄清、答辩的，资格后审委员会将可能作出不利于投标人的判定。</w:t>
      </w:r>
    </w:p>
    <w:p w14:paraId="5BD903FC">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w:t>
      </w:r>
      <w:r>
        <w:rPr>
          <w:rFonts w:hint="eastAsia" w:ascii="宋体" w:hAnsi="宋体" w:eastAsia="宋体" w:cs="宋体"/>
          <w:color w:val="auto"/>
          <w:szCs w:val="21"/>
          <w:highlight w:val="none"/>
        </w:rPr>
        <w:t>全部投标人的资格审查材料审查完毕后，资格后审委员会出具资格审查报告，并按规定将审查结果进行公示，同时由系统直接将所有投标人的</w:t>
      </w:r>
      <w:r>
        <w:rPr>
          <w:rFonts w:hint="eastAsia" w:ascii="仿宋_GB2312" w:hAnsi="仿宋_GB2312" w:eastAsia="仿宋_GB2312" w:cs="仿宋_GB2312"/>
          <w:color w:val="auto"/>
          <w:sz w:val="21"/>
          <w:szCs w:val="21"/>
          <w:highlight w:val="none"/>
          <w:lang w:val="en-US" w:eastAsia="zh-CN"/>
        </w:rPr>
        <w:t>业绩文件</w:t>
      </w:r>
      <w:r>
        <w:rPr>
          <w:rFonts w:hint="eastAsia" w:ascii="宋体" w:hAnsi="宋体" w:eastAsia="宋体" w:cs="宋体"/>
          <w:color w:val="auto"/>
          <w:szCs w:val="21"/>
          <w:highlight w:val="none"/>
        </w:rPr>
        <w:t>内容公示。资格审查合格投标人少于3家的，不再进行后续招标投标程序。资格审查结果应当在交易网公示不少于3个工作日。</w:t>
      </w:r>
    </w:p>
    <w:p w14:paraId="7289727B">
      <w:pPr>
        <w:adjustRightInd w:val="0"/>
        <w:snapToGrid w:val="0"/>
        <w:spacing w:line="360" w:lineRule="auto"/>
        <w:jc w:val="center"/>
        <w:outlineLvl w:val="2"/>
        <w:rPr>
          <w:rFonts w:ascii="宋体" w:hAnsi="宋体" w:eastAsia="宋体" w:cs="宋体"/>
          <w:b/>
          <w:color w:val="auto"/>
          <w:kern w:val="0"/>
          <w:sz w:val="30"/>
          <w:highlight w:val="none"/>
        </w:rPr>
      </w:pPr>
      <w:bookmarkStart w:id="18" w:name="_Toc10182"/>
      <w:r>
        <w:rPr>
          <w:rFonts w:hint="eastAsia" w:ascii="宋体" w:hAnsi="宋体" w:eastAsia="宋体" w:cs="宋体"/>
          <w:b/>
          <w:color w:val="auto"/>
          <w:kern w:val="0"/>
          <w:sz w:val="30"/>
          <w:highlight w:val="none"/>
        </w:rPr>
        <w:t>（四）开标</w:t>
      </w:r>
      <w:bookmarkEnd w:id="18"/>
    </w:p>
    <w:p w14:paraId="52345591">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4.1开标会议由招标人在交易网进行，投标人现场参加开标会的必须是法定代表人或投标员，并必须遵守办理程序及人员身份的相关规定。</w:t>
      </w:r>
    </w:p>
    <w:p w14:paraId="1D7D04C3">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4.2资格后审不合格的投标人不进入开标程序。</w:t>
      </w:r>
    </w:p>
    <w:p w14:paraId="24ABE4CE">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4.3开标时，需按开标程序分步对电子投标文件各部分进行导入；如电子投标文件已加密的，也必须按开标程序分步对电子投标文件各部分进行解密。</w:t>
      </w:r>
    </w:p>
    <w:p w14:paraId="56CA217F">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4.4按“投标文件否决性条款”规定宣布为不予受理情形的投标文件，不予送交评标委员会评审。</w:t>
      </w:r>
    </w:p>
    <w:p w14:paraId="67AA6FF4">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4.5</w:t>
      </w:r>
      <w:r>
        <w:rPr>
          <w:rFonts w:hint="eastAsia" w:ascii="宋体" w:hAnsi="宋体" w:eastAsia="宋体" w:cs="宋体"/>
          <w:color w:val="auto"/>
          <w:szCs w:val="21"/>
          <w:highlight w:val="none"/>
        </w:rPr>
        <w:t>对于</w:t>
      </w:r>
      <w:r>
        <w:rPr>
          <w:rFonts w:hint="eastAsia" w:ascii="宋体" w:hAnsi="宋体" w:eastAsia="宋体" w:cs="宋体"/>
          <w:color w:val="auto"/>
          <w:szCs w:val="21"/>
          <w:highlight w:val="none"/>
          <w:lang w:val="en-US" w:eastAsia="zh-CN"/>
        </w:rPr>
        <w:t>资格审查</w:t>
      </w:r>
      <w:r>
        <w:rPr>
          <w:rFonts w:hint="eastAsia" w:ascii="宋体" w:hAnsi="宋体" w:eastAsia="宋体" w:cs="宋体"/>
          <w:color w:val="auto"/>
          <w:szCs w:val="21"/>
          <w:highlight w:val="none"/>
        </w:rPr>
        <w:t>合格的投标人数量超过20名的，招标人应当采用票决法淘汰部分投标人，但进入后续评标程序的投标人数量应当为15至20名。</w:t>
      </w:r>
    </w:p>
    <w:p w14:paraId="37628565">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rPr>
        <w:t>招标人应结合项目实际，提前制定规则清晰、可操作性强的过多投标人淘汰方案，纳入招标文件并予以公开。</w:t>
      </w:r>
      <w:r>
        <w:rPr>
          <w:rFonts w:hint="eastAsia" w:ascii="宋体" w:hAnsi="宋体" w:eastAsia="宋体" w:cs="宋体"/>
          <w:color w:val="auto"/>
          <w:szCs w:val="21"/>
          <w:highlight w:val="none"/>
          <w:lang w:val="en-US" w:eastAsia="zh-CN"/>
        </w:rPr>
        <w:t>根据《中共深圳市委办公厅 深圳市人民政府办公厅印发&lt;关于促进民营经济做大做优做强的若干措施&gt;的通知》，招标人对资格审查合格的投标人应当采取国有和民营分类的方式进行入围淘汰，原则上民营企业入围数量占比不低于三分之一，参与投标的民营企业数量不足或者经评审无法满足招标要求的情形除外。</w:t>
      </w:r>
    </w:p>
    <w:p w14:paraId="426F3BB7">
      <w:pPr>
        <w:adjustRightInd w:val="0"/>
        <w:snapToGrid w:val="0"/>
        <w:spacing w:line="360" w:lineRule="auto"/>
        <w:ind w:firstLine="420" w:firstLineChars="200"/>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招标人在过多投标人淘汰环节应当采用票决法进行择优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lang w:val="en-US" w:eastAsia="zh-CN"/>
        </w:rPr>
        <w:t>并在</w:t>
      </w:r>
      <w:r>
        <w:rPr>
          <w:rFonts w:hint="eastAsia" w:ascii="宋体" w:hAnsi="宋体" w:eastAsia="宋体" w:cs="宋体"/>
          <w:color w:val="auto"/>
          <w:szCs w:val="21"/>
          <w:highlight w:val="none"/>
          <w:lang w:eastAsia="zh-CN"/>
        </w:rPr>
        <w:t>过多投标人淘汰方案中合规合理设置择优因素，明确各择优因素的优先程度。</w:t>
      </w:r>
      <w:r>
        <w:rPr>
          <w:rFonts w:hint="eastAsia" w:ascii="宋体" w:hAnsi="宋体" w:eastAsia="宋体" w:cs="宋体"/>
          <w:color w:val="auto"/>
          <w:szCs w:val="21"/>
          <w:highlight w:val="none"/>
        </w:rPr>
        <w:t>择优因素综合考虑拟派项目</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rPr>
        <w:t>及管理团队成员的资历、能力、信誉，企业资质、业绩、履约以及投标报价等情况。严禁将注册地址、所有制性质、特定行政区域或者特定行业的业绩或奖项、设立本地分支机构、本地缴纳税收社保等作为择优因素。</w:t>
      </w:r>
      <w:r>
        <w:rPr>
          <w:rFonts w:hint="eastAsia" w:ascii="宋体" w:hAnsi="宋体" w:eastAsia="宋体" w:cs="宋体"/>
          <w:strike w:val="0"/>
          <w:color w:val="auto"/>
          <w:kern w:val="0"/>
          <w:szCs w:val="21"/>
          <w:highlight w:val="none"/>
        </w:rPr>
        <w:t>招标人可以根据项目实际情况增加择优因素，也可以综合考虑择优因素或按择优因素的重要性，对投标人进行逐级淘汰。</w:t>
      </w:r>
    </w:p>
    <w:p w14:paraId="56E65FF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4.6招标人应对开标过程进行记录，以存档备查。</w:t>
      </w:r>
      <w:r>
        <w:rPr>
          <w:rFonts w:hint="eastAsia" w:ascii="宋体" w:hAnsi="宋体" w:eastAsia="宋体" w:cs="宋体"/>
          <w:color w:val="auto"/>
          <w:szCs w:val="21"/>
          <w:highlight w:val="none"/>
        </w:rPr>
        <w:t>开标及入围结果应当在交易网进行公示。</w:t>
      </w:r>
    </w:p>
    <w:p w14:paraId="1383E519">
      <w:pPr>
        <w:adjustRightInd w:val="0"/>
        <w:snapToGrid w:val="0"/>
        <w:spacing w:line="360" w:lineRule="auto"/>
        <w:ind w:firstLine="420" w:firstLineChars="200"/>
        <w:rPr>
          <w:rFonts w:ascii="宋体" w:hAnsi="宋体" w:eastAsia="宋体" w:cs="宋体"/>
          <w:color w:val="auto"/>
          <w:kern w:val="0"/>
          <w:szCs w:val="21"/>
          <w:highlight w:val="none"/>
        </w:rPr>
      </w:pPr>
    </w:p>
    <w:p w14:paraId="0062D6FC">
      <w:pPr>
        <w:adjustRightInd w:val="0"/>
        <w:snapToGrid w:val="0"/>
        <w:spacing w:line="360" w:lineRule="auto"/>
        <w:jc w:val="center"/>
        <w:outlineLvl w:val="2"/>
        <w:rPr>
          <w:rFonts w:ascii="宋体" w:hAnsi="宋体" w:eastAsia="宋体" w:cs="宋体"/>
          <w:b/>
          <w:color w:val="auto"/>
          <w:kern w:val="0"/>
          <w:sz w:val="30"/>
          <w:highlight w:val="none"/>
        </w:rPr>
      </w:pPr>
      <w:bookmarkStart w:id="19" w:name="_Toc2418"/>
      <w:r>
        <w:rPr>
          <w:rFonts w:hint="eastAsia" w:ascii="宋体" w:hAnsi="宋体" w:eastAsia="宋体" w:cs="宋体"/>
          <w:b/>
          <w:color w:val="auto"/>
          <w:kern w:val="0"/>
          <w:sz w:val="30"/>
          <w:highlight w:val="none"/>
        </w:rPr>
        <w:t>（五）评标</w:t>
      </w:r>
      <w:bookmarkEnd w:id="19"/>
    </w:p>
    <w:p w14:paraId="05363676">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评标委员会应当根据“投标须知前附表”规定的评标方法，对投标文件进行评审和比较，招标文件中没有规定的标准和方法不得作为评标的依据。</w:t>
      </w:r>
    </w:p>
    <w:p w14:paraId="1FF93581">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color w:val="auto"/>
          <w:kern w:val="0"/>
          <w:highlight w:val="none"/>
        </w:rPr>
        <w:t>5.1评标委员会组建及职责</w:t>
      </w:r>
      <w:r>
        <w:rPr>
          <w:rFonts w:hint="eastAsia" w:ascii="宋体" w:hAnsi="宋体" w:eastAsia="宋体" w:cs="宋体"/>
          <w:b/>
          <w:bCs/>
          <w:color w:val="auto"/>
          <w:kern w:val="0"/>
          <w:szCs w:val="21"/>
          <w:highlight w:val="none"/>
        </w:rPr>
        <w:t xml:space="preserve"> </w:t>
      </w:r>
    </w:p>
    <w:p w14:paraId="66301CCB">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5.1.1评标委员会组建方式：由招标人依法组建，负责评标活动。评标委员会的专家成员由招标人从评标专家库内按照专业随机抽取，评标委员会成员数量为5人以上单数，招标人可以委派一名代表。</w:t>
      </w:r>
    </w:p>
    <w:p w14:paraId="09D46877">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5.1.2评标委员会职责：评标委员会应根据招标文件规定的评标方法和标准，遵循公开、公正、公平、科学、择优的原则，对投标文件进行评审。评标委员会根据招标文件规定向招标人推荐合格投标人或中标候选人。</w:t>
      </w:r>
    </w:p>
    <w:p w14:paraId="333A6C9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Cs w:val="21"/>
          <w:highlight w:val="none"/>
        </w:rPr>
        <w:t>评标委员会成员应认真、公正、诚实、廉洁、勤勉地履行专家职责，按时参加评标，严格遵守评标纪律，并对评标结果终身负责。</w:t>
      </w:r>
    </w:p>
    <w:p w14:paraId="1499E775">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5.2投标文件的初步评审</w:t>
      </w:r>
    </w:p>
    <w:p w14:paraId="276B2CE6">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5.2.1计算机评标系统对投标文件进行自动清标分析，然后由评标委员会进行投标文件的初步评审。</w:t>
      </w:r>
    </w:p>
    <w:p w14:paraId="5A7621D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5.2.2投标文件初步评审不合格的，应参照投标文件否决性条款作相应处理。</w:t>
      </w:r>
    </w:p>
    <w:p w14:paraId="545A2B89">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5.3投标文件的详细评审</w:t>
      </w:r>
    </w:p>
    <w:p w14:paraId="19B9CC7B">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评标委员会根据招标文件规定的评标方法和标准，对各投标人的投标文件分别进行详细评审。</w:t>
      </w:r>
    </w:p>
    <w:p w14:paraId="5BD3409E">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5.4投标文件的重大偏差</w:t>
      </w:r>
    </w:p>
    <w:p w14:paraId="6ABDE2E5">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投标文件存在的重大偏差情形的，评标委员会应根据相应的投标文件否决性条款作废标处理。</w:t>
      </w:r>
    </w:p>
    <w:p w14:paraId="0D09BFE5">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5.5投标文件的细微偏差</w:t>
      </w:r>
    </w:p>
    <w:p w14:paraId="7CB5433C">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细微偏差是指投标文件在实质上响应招标文件要求，提供了不完整的技术信息和数据等情况，细微偏差不影响投标文件的有效性。在评审过程中，评标委员会可以要求投标人就投标文件中含义不明确的内容进行说明并提供相关材料，投标人拒不补正的，在详细评审时可以对细微偏离按照不利于该投标人的原则进行调整，且投标人不得因此提出任何异议。</w:t>
      </w:r>
    </w:p>
    <w:p w14:paraId="08CEE792">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5.6投标文件的澄清答辩</w:t>
      </w:r>
    </w:p>
    <w:p w14:paraId="5C087671">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5.6.1为有助于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14:paraId="54D3EE83">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5.6.2采用评标区录音电话方式澄清答辩的答辩人，仅限该项目递交投标文件时确定的投标员，投标员的联系方式以截标信息为准。采用现场方式澄清答辩的答辩人应为该单位的授权委托人，授权委托人须本人携带有效的身份证明文件（包含身份证原件、法定代表人证明书、法人授权委托书等）。澄清答辩人员的身份由招标人核验。</w:t>
      </w:r>
    </w:p>
    <w:p w14:paraId="2AF67955">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5.6.3评标委员会要求投标人进行答辩，但投标人在评标委员会规定的时间（不少于30分钟）内未派出代表及时作出答辩的，评标委员会将根据招标文件规定作出不利于投标人的判定，投标人不得因此提出任何异议。</w:t>
      </w:r>
    </w:p>
    <w:p w14:paraId="3EF618A1">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5.7 废标的处理</w:t>
      </w:r>
    </w:p>
    <w:p w14:paraId="3323E335">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5.7.1除法律、法规、规章、规范性文件规定以及本招标文件否决性条款单列的废标情形外，评标委员会不得对投标文件作废标处理。评标委员会对投标文件应坚持谨慎废标的原则。 </w:t>
      </w:r>
    </w:p>
    <w:p w14:paraId="51996AEC">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5.7.2评标委员会在作出任何一项废标决定前，都应当严格遵循以下程序：</w:t>
      </w:r>
    </w:p>
    <w:p w14:paraId="06CEAD5F">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①向当事投标人作相应的澄清。</w:t>
      </w:r>
    </w:p>
    <w:p w14:paraId="3495FF51">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②当事投标人应当在通知规定时间内，向评标委员会作出澄清和解释。未按时作出澄清和解释的，评标委员会可对相应投标文件按最不利情形认定。</w:t>
      </w:r>
    </w:p>
    <w:p w14:paraId="6B153D0A">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③在充分讨论的基础上集体表决。</w:t>
      </w:r>
    </w:p>
    <w:p w14:paraId="10D5B1EB">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④若表决通过废标决定，应在评标报告中详细载明废标的理由、依据、答辩的情况和集体表决的情况（同意废标和不同意废标的评标委员会成员均应当注明）。</w:t>
      </w:r>
    </w:p>
    <w:p w14:paraId="33703E4A">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⑤评标委员会在否决所有投标文件前，应当向招标人核实有关情况，听取招标人意见。</w:t>
      </w:r>
    </w:p>
    <w:p w14:paraId="2518A16D">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5.8</w:t>
      </w:r>
      <w:r>
        <w:rPr>
          <w:rFonts w:hint="eastAsia" w:ascii="宋体" w:hAnsi="宋体" w:eastAsia="宋体" w:cs="宋体"/>
          <w:b/>
          <w:bCs/>
          <w:strike w:val="0"/>
          <w:color w:val="auto"/>
          <w:szCs w:val="21"/>
          <w:highlight w:val="none"/>
          <w:lang w:val="en-US" w:eastAsia="zh-CN"/>
        </w:rPr>
        <w:t>中标候选人</w:t>
      </w:r>
      <w:r>
        <w:rPr>
          <w:rFonts w:hint="eastAsia" w:ascii="宋体" w:hAnsi="宋体" w:eastAsia="宋体" w:cs="宋体"/>
          <w:b/>
          <w:color w:val="auto"/>
          <w:kern w:val="0"/>
          <w:highlight w:val="none"/>
        </w:rPr>
        <w:t>的推荐</w:t>
      </w:r>
    </w:p>
    <w:p w14:paraId="557C41D6">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5.8.1评标委员会实行少数服从多数的原则，评标结果经评标委员会全体成员过半数通过有效。</w:t>
      </w:r>
    </w:p>
    <w:p w14:paraId="61988A84">
      <w:pPr>
        <w:adjustRightInd w:val="0"/>
        <w:snapToGrid w:val="0"/>
        <w:spacing w:line="360" w:lineRule="auto"/>
        <w:ind w:firstLine="420" w:firstLineChars="200"/>
        <w:rPr>
          <w:rFonts w:ascii="宋体" w:hAnsi="宋体" w:eastAsia="宋体" w:cs="宋体"/>
          <w:strike/>
          <w:color w:val="auto"/>
          <w:szCs w:val="21"/>
          <w:highlight w:val="none"/>
        </w:rPr>
      </w:pPr>
      <w:r>
        <w:rPr>
          <w:rFonts w:hint="eastAsia" w:ascii="宋体" w:hAnsi="宋体" w:eastAsia="宋体" w:cs="宋体"/>
          <w:color w:val="auto"/>
          <w:kern w:val="0"/>
          <w:szCs w:val="21"/>
          <w:highlight w:val="none"/>
        </w:rPr>
        <w:t>5.8.2</w:t>
      </w:r>
      <w:r>
        <w:rPr>
          <w:rFonts w:hint="eastAsia" w:ascii="宋体" w:hAnsi="宋体" w:eastAsia="宋体" w:cs="宋体"/>
          <w:strike w:val="0"/>
          <w:color w:val="auto"/>
          <w:kern w:val="0"/>
          <w:szCs w:val="21"/>
          <w:highlight w:val="none"/>
        </w:rPr>
        <w:t>评标委员会经过对投标文件进行评审和比较后</w:t>
      </w:r>
      <w:r>
        <w:rPr>
          <w:rFonts w:hint="eastAsia" w:ascii="宋体" w:hAnsi="宋体" w:eastAsia="宋体" w:cs="宋体"/>
          <w:strike w:val="0"/>
          <w:color w:val="auto"/>
          <w:kern w:val="0"/>
          <w:szCs w:val="21"/>
          <w:highlight w:val="none"/>
          <w:lang w:eastAsia="zh-CN"/>
        </w:rPr>
        <w:t>，</w:t>
      </w:r>
      <w:r>
        <w:rPr>
          <w:rFonts w:hint="eastAsia" w:ascii="宋体" w:hAnsi="宋体" w:eastAsia="宋体" w:cs="宋体"/>
          <w:strike w:val="0"/>
          <w:color w:val="auto"/>
          <w:szCs w:val="21"/>
          <w:highlight w:val="none"/>
          <w:u w:val="none"/>
        </w:rPr>
        <w:t>评审合格投标人数量超过5</w:t>
      </w:r>
      <w:r>
        <w:rPr>
          <w:rFonts w:hint="eastAsia" w:ascii="宋体" w:hAnsi="宋体" w:eastAsia="宋体" w:cs="宋体"/>
          <w:strike w:val="0"/>
          <w:color w:val="auto"/>
          <w:szCs w:val="21"/>
          <w:highlight w:val="none"/>
          <w:u w:val="none"/>
          <w:lang w:val="en-US" w:eastAsia="zh-CN"/>
        </w:rPr>
        <w:t>名的</w:t>
      </w:r>
      <w:r>
        <w:rPr>
          <w:rFonts w:hint="eastAsia" w:ascii="宋体" w:hAnsi="宋体" w:eastAsia="宋体" w:cs="宋体"/>
          <w:strike w:val="0"/>
          <w:color w:val="auto"/>
          <w:szCs w:val="21"/>
          <w:highlight w:val="none"/>
          <w:u w:val="none"/>
        </w:rPr>
        <w:t>，</w:t>
      </w:r>
      <w:r>
        <w:rPr>
          <w:rFonts w:hint="eastAsia" w:ascii="宋体" w:hAnsi="宋体" w:eastAsia="宋体" w:cs="宋体"/>
          <w:color w:val="auto"/>
          <w:szCs w:val="21"/>
          <w:highlight w:val="none"/>
        </w:rPr>
        <w:t>评标委员会应根据招标文件确定的规则，结合评审意见，</w:t>
      </w:r>
      <w:r>
        <w:rPr>
          <w:rFonts w:hint="eastAsia" w:ascii="宋体" w:hAnsi="宋体" w:eastAsia="宋体" w:cs="宋体"/>
          <w:strike w:val="0"/>
          <w:color w:val="auto"/>
          <w:szCs w:val="21"/>
          <w:highlight w:val="none"/>
        </w:rPr>
        <w:t>在合格投标人中</w:t>
      </w:r>
      <w:r>
        <w:rPr>
          <w:rFonts w:hint="eastAsia" w:ascii="宋体" w:hAnsi="宋体" w:eastAsia="宋体" w:cs="宋体"/>
          <w:strike w:val="0"/>
          <w:color w:val="auto"/>
          <w:szCs w:val="21"/>
          <w:highlight w:val="none"/>
          <w:lang w:val="en-US" w:eastAsia="zh-CN"/>
        </w:rPr>
        <w:t>择优推荐</w:t>
      </w:r>
      <w:r>
        <w:rPr>
          <w:rFonts w:hint="eastAsia" w:ascii="宋体" w:hAnsi="宋体" w:eastAsia="宋体" w:cs="宋体"/>
          <w:strike w:val="0"/>
          <w:color w:val="auto"/>
          <w:szCs w:val="21"/>
          <w:highlight w:val="none"/>
        </w:rPr>
        <w:t>50%的投标人作为</w:t>
      </w:r>
      <w:r>
        <w:rPr>
          <w:rFonts w:hint="eastAsia" w:ascii="宋体" w:hAnsi="宋体" w:eastAsia="宋体" w:cs="宋体"/>
          <w:strike w:val="0"/>
          <w:color w:val="auto"/>
          <w:szCs w:val="21"/>
          <w:highlight w:val="none"/>
          <w:lang w:val="en-US" w:eastAsia="zh-CN"/>
        </w:rPr>
        <w:t>中标</w:t>
      </w:r>
      <w:r>
        <w:rPr>
          <w:rFonts w:hint="eastAsia" w:ascii="宋体" w:hAnsi="宋体" w:eastAsia="宋体" w:cs="宋体"/>
          <w:strike w:val="0"/>
          <w:color w:val="auto"/>
          <w:szCs w:val="21"/>
          <w:highlight w:val="none"/>
        </w:rPr>
        <w:t>候选人（采用四舍五入取整），并详细说明推荐理由。</w:t>
      </w:r>
      <w:r>
        <w:rPr>
          <w:rFonts w:hint="eastAsia" w:ascii="宋体" w:hAnsi="宋体" w:eastAsia="宋体" w:cs="宋体"/>
          <w:strike w:val="0"/>
          <w:color w:val="auto"/>
          <w:szCs w:val="21"/>
          <w:highlight w:val="none"/>
          <w:u w:val="none"/>
        </w:rPr>
        <w:t>评审合格投标人数量</w:t>
      </w:r>
      <w:r>
        <w:rPr>
          <w:rFonts w:hint="eastAsia" w:ascii="宋体" w:hAnsi="宋体" w:eastAsia="宋体" w:cs="宋体"/>
          <w:strike w:val="0"/>
          <w:color w:val="auto"/>
          <w:szCs w:val="21"/>
          <w:highlight w:val="none"/>
          <w:u w:val="none"/>
          <w:lang w:val="en-US" w:eastAsia="zh-CN"/>
        </w:rPr>
        <w:t>为3-</w:t>
      </w:r>
      <w:r>
        <w:rPr>
          <w:rFonts w:hint="eastAsia" w:ascii="宋体" w:hAnsi="宋体" w:eastAsia="宋体" w:cs="宋体"/>
          <w:strike w:val="0"/>
          <w:color w:val="auto"/>
          <w:szCs w:val="21"/>
          <w:highlight w:val="none"/>
          <w:u w:val="none"/>
        </w:rPr>
        <w:t>5</w:t>
      </w:r>
      <w:r>
        <w:rPr>
          <w:rFonts w:hint="eastAsia" w:ascii="宋体" w:hAnsi="宋体" w:eastAsia="宋体" w:cs="宋体"/>
          <w:strike w:val="0"/>
          <w:color w:val="auto"/>
          <w:szCs w:val="21"/>
          <w:highlight w:val="none"/>
          <w:u w:val="none"/>
          <w:lang w:val="en-US" w:eastAsia="zh-CN"/>
        </w:rPr>
        <w:t>名的，所有合格投标人均为中标候选人</w:t>
      </w:r>
      <w:r>
        <w:rPr>
          <w:rStyle w:val="136"/>
          <w:rFonts w:hint="eastAsia" w:ascii="宋体" w:hAnsi="宋体" w:eastAsia="宋体" w:cs="宋体"/>
          <w:strike w:val="0"/>
          <w:color w:val="auto"/>
          <w:szCs w:val="21"/>
          <w:highlight w:val="none"/>
          <w:u w:val="none"/>
          <w:lang w:val="en-US" w:eastAsia="zh-CN"/>
        </w:rPr>
        <w:t>[</w:t>
      </w:r>
      <w:r>
        <w:rPr>
          <w:rStyle w:val="136"/>
          <w:rFonts w:hint="eastAsia" w:ascii="宋体" w:hAnsi="宋体" w:eastAsia="宋体" w:cs="宋体"/>
          <w:strike w:val="0"/>
          <w:color w:val="auto"/>
          <w:szCs w:val="21"/>
          <w:highlight w:val="none"/>
          <w:u w:val="none"/>
          <w:lang w:val="en-US" w:eastAsia="zh-CN"/>
        </w:rPr>
        <w:footnoteReference w:id="4"/>
      </w:r>
      <w:r>
        <w:rPr>
          <w:rStyle w:val="136"/>
          <w:rFonts w:hint="eastAsia" w:ascii="宋体" w:hAnsi="宋体" w:eastAsia="宋体" w:cs="宋体"/>
          <w:strike w:val="0"/>
          <w:color w:val="auto"/>
          <w:szCs w:val="21"/>
          <w:highlight w:val="none"/>
          <w:u w:val="none"/>
          <w:lang w:val="en-US" w:eastAsia="zh-CN"/>
        </w:rPr>
        <w:t>]</w:t>
      </w:r>
      <w:r>
        <w:rPr>
          <w:rFonts w:hint="eastAsia" w:ascii="宋体" w:hAnsi="宋体" w:eastAsia="宋体" w:cs="宋体"/>
          <w:strike w:val="0"/>
          <w:color w:val="auto"/>
          <w:szCs w:val="21"/>
          <w:highlight w:val="none"/>
          <w:u w:val="none"/>
          <w:lang w:val="en-US" w:eastAsia="zh-CN"/>
        </w:rPr>
        <w:t>。</w:t>
      </w:r>
    </w:p>
    <w:p w14:paraId="2847830C">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5.8.3评标委员会作出无效标或者废标处理后，合格投标人数量不足3名的，招标人应当宣布本次招标失败，重新招标。</w:t>
      </w:r>
    </w:p>
    <w:p w14:paraId="467FB376">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采用批量招标方式的，评标委员会作出无效标或者废标处理后，合格投标人数量不足拟定中标人数量加上2名的，招标人不得再采用批量招标方式。</w:t>
      </w:r>
    </w:p>
    <w:p w14:paraId="40B7156D">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的项目，评标委员会作出无效标或者废标处理后合格投标人数量仍不足3名的，评标委员会应当将对合格投标人的评审意见提交招标人，招标人可以按照原招标文件的定标程序和方法从合格投标人中确定中标人，或者将上述情况在</w:t>
      </w:r>
      <w:r>
        <w:rPr>
          <w:rFonts w:hint="eastAsia" w:ascii="宋体" w:hAnsi="宋体" w:eastAsia="宋体" w:cs="宋体"/>
          <w:color w:val="auto"/>
          <w:kern w:val="0"/>
          <w:highlight w:val="none"/>
        </w:rPr>
        <w:t>交易网公示</w:t>
      </w:r>
      <w:r>
        <w:rPr>
          <w:rFonts w:hint="eastAsia" w:ascii="宋体" w:hAnsi="宋体" w:eastAsia="宋体" w:cs="宋体"/>
          <w:color w:val="auto"/>
          <w:kern w:val="0"/>
          <w:szCs w:val="21"/>
          <w:highlight w:val="none"/>
        </w:rPr>
        <w:t>3个工作日后直接发包。</w:t>
      </w:r>
    </w:p>
    <w:p w14:paraId="66B090F8">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5.8.4评标过程中，若评标委员会认为本次招标缺乏竞争性，可以不推荐投标人，由招标人重新组织招标。</w:t>
      </w:r>
    </w:p>
    <w:p w14:paraId="5E6B9D61">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5.8.5如招投标过程中出现严重异常情况，经</w:t>
      </w:r>
      <w:r>
        <w:rPr>
          <w:rFonts w:hint="eastAsia" w:ascii="宋体" w:hAnsi="宋体" w:eastAsia="宋体" w:cs="宋体"/>
          <w:color w:val="auto"/>
          <w:szCs w:val="21"/>
          <w:highlight w:val="none"/>
          <w:lang w:val="en-US" w:eastAsia="zh-CN"/>
        </w:rPr>
        <w:t>建设、交通行政</w:t>
      </w:r>
      <w:r>
        <w:rPr>
          <w:rFonts w:hint="eastAsia" w:ascii="宋体" w:hAnsi="宋体" w:eastAsia="宋体" w:cs="宋体"/>
          <w:color w:val="auto"/>
          <w:kern w:val="0"/>
          <w:szCs w:val="21"/>
          <w:highlight w:val="none"/>
        </w:rPr>
        <w:t>主管部门批准，招标人可以不接受本次招标结果，应当重新招标。</w:t>
      </w:r>
    </w:p>
    <w:p w14:paraId="66D74994">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5.9 评标报告</w:t>
      </w:r>
    </w:p>
    <w:p w14:paraId="119CD779">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5.9.1评标委员会收集并汇总全体评委评审意见后，由评标委员会主任委员填写《评标报告》。</w:t>
      </w:r>
      <w:r>
        <w:rPr>
          <w:rFonts w:hint="eastAsia" w:ascii="宋体" w:hAnsi="宋体" w:eastAsia="宋体" w:cs="宋体"/>
          <w:color w:val="auto"/>
          <w:szCs w:val="21"/>
          <w:highlight w:val="none"/>
        </w:rPr>
        <w:t>评标委员会应在评标报告中指出各投标文件的优点和存在的缺陷、签订合同前应注意和澄清的事项。评标过程中发现投标人报价存在异常低价的，应要求投标人作必要的澄清说明，提供相关材料，并在评标报告中提示该投标人在合同履行、工程质量安全等方面存在的风险。</w:t>
      </w:r>
    </w:p>
    <w:p w14:paraId="2B73E79C">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5.9.2评标报告应由评标委员会全体成员签字。</w:t>
      </w:r>
      <w:r>
        <w:rPr>
          <w:rFonts w:hint="eastAsia" w:ascii="宋体" w:hAnsi="宋体" w:eastAsia="宋体" w:cs="宋体"/>
          <w:color w:val="auto"/>
          <w:szCs w:val="21"/>
          <w:highlight w:val="none"/>
        </w:rPr>
        <w:t>评标委员会成员对评审意见和中标候选人名单存在分歧意见的，可采用书面方式阐述其不同意见和理由</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在评标报告中客观记录。</w:t>
      </w:r>
      <w:r>
        <w:rPr>
          <w:rFonts w:hint="eastAsia" w:ascii="宋体" w:hAnsi="宋体" w:eastAsia="宋体" w:cs="宋体"/>
          <w:color w:val="auto"/>
          <w:kern w:val="0"/>
          <w:szCs w:val="21"/>
          <w:highlight w:val="none"/>
        </w:rPr>
        <w:t>评标委员会成员拒绝签字的，视为同意评标结论。评标委员会应对此做出书面记录。</w:t>
      </w:r>
    </w:p>
    <w:p w14:paraId="317E50C2">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5.9.3对发现的涉嫌违法、违规行为，应当在评标报告中做出详细说明，做好取证工作，并及时告知行政主管部门。</w:t>
      </w:r>
    </w:p>
    <w:p w14:paraId="2BD199A2">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5.9.4评标委员会向招标人提交评标报告后即解散。评标过程中使用的文件、资料等，都不得带离评标室。</w:t>
      </w:r>
    </w:p>
    <w:p w14:paraId="4BAB60EA">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5.10 评标结果公示</w:t>
      </w:r>
    </w:p>
    <w:p w14:paraId="5F9B56D6">
      <w:pPr>
        <w:adjustRightInd w:val="0"/>
        <w:snapToGrid w:val="0"/>
        <w:spacing w:line="360" w:lineRule="auto"/>
        <w:ind w:firstLine="420" w:firstLineChars="200"/>
        <w:jc w:val="left"/>
        <w:rPr>
          <w:rFonts w:ascii="宋体" w:hAnsi="宋体" w:eastAsia="宋体" w:cs="宋体"/>
          <w:b/>
          <w:color w:val="auto"/>
          <w:kern w:val="0"/>
          <w:highlight w:val="none"/>
        </w:rPr>
      </w:pPr>
      <w:r>
        <w:rPr>
          <w:rFonts w:hint="eastAsia" w:ascii="宋体" w:hAnsi="宋体" w:eastAsia="宋体" w:cs="宋体"/>
          <w:color w:val="auto"/>
          <w:kern w:val="0"/>
          <w:szCs w:val="21"/>
          <w:highlight w:val="none"/>
        </w:rPr>
        <w:t>招标人应当将评标报告（含合格投标人名单）</w:t>
      </w:r>
      <w:r>
        <w:rPr>
          <w:rFonts w:hint="eastAsia" w:ascii="宋体" w:hAnsi="宋体" w:eastAsia="宋体" w:cs="宋体"/>
          <w:color w:val="auto"/>
          <w:kern w:val="0"/>
          <w:szCs w:val="21"/>
          <w:highlight w:val="none"/>
          <w:lang w:val="en-US" w:eastAsia="zh-CN"/>
        </w:rPr>
        <w:t>及</w:t>
      </w:r>
      <w:r>
        <w:rPr>
          <w:rFonts w:hint="eastAsia" w:ascii="宋体" w:hAnsi="宋体" w:eastAsia="宋体" w:cs="宋体"/>
          <w:color w:val="auto"/>
          <w:szCs w:val="21"/>
          <w:highlight w:val="none"/>
          <w:lang w:val="en-US" w:eastAsia="zh-CN"/>
        </w:rPr>
        <w:t>资信标内容</w:t>
      </w:r>
      <w:r>
        <w:rPr>
          <w:rFonts w:hint="eastAsia" w:ascii="宋体" w:hAnsi="宋体" w:eastAsia="宋体" w:cs="宋体"/>
          <w:color w:val="auto"/>
          <w:kern w:val="0"/>
          <w:szCs w:val="21"/>
          <w:highlight w:val="none"/>
        </w:rPr>
        <w:t>在</w:t>
      </w:r>
      <w:r>
        <w:rPr>
          <w:rFonts w:hint="eastAsia" w:ascii="宋体" w:hAnsi="宋体" w:eastAsia="宋体" w:cs="宋体"/>
          <w:color w:val="auto"/>
          <w:kern w:val="0"/>
          <w:highlight w:val="none"/>
        </w:rPr>
        <w:t>交易网</w:t>
      </w:r>
      <w:r>
        <w:rPr>
          <w:rFonts w:hint="eastAsia" w:ascii="宋体" w:hAnsi="宋体" w:eastAsia="宋体" w:cs="宋体"/>
          <w:color w:val="auto"/>
          <w:kern w:val="0"/>
          <w:szCs w:val="21"/>
          <w:highlight w:val="none"/>
        </w:rPr>
        <w:t>公示3个工作日。</w:t>
      </w:r>
    </w:p>
    <w:p w14:paraId="41C54C43">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5.11其它规定</w:t>
      </w:r>
    </w:p>
    <w:p w14:paraId="7B5D7FD6">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5.11.1若投标人的投标行为出现违反相关法律法规等政策文件列明的各种情形的，招标人将提请主管部门对相应投标人作不良记录。</w:t>
      </w:r>
    </w:p>
    <w:p w14:paraId="30A8EA0D">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5.11.2评标过程中，若评标委员依据招标文件的规定要求招标人重新招标，招标人不承担因招标失败给投标人造成的损失。</w:t>
      </w:r>
    </w:p>
    <w:p w14:paraId="2A61BFC8">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5.11.3如果投标文件中的BIM标书文件与其他文件内容不一致时，原则上以其他文件内容为准，投标人在投标文件或澄清中明确以bim标书文件为准的除外。</w:t>
      </w:r>
    </w:p>
    <w:p w14:paraId="6891A558">
      <w:pPr>
        <w:adjustRightInd w:val="0"/>
        <w:snapToGrid w:val="0"/>
        <w:spacing w:line="360" w:lineRule="auto"/>
        <w:ind w:firstLine="420" w:firstLineChars="200"/>
        <w:rPr>
          <w:rFonts w:ascii="宋体" w:hAnsi="宋体" w:eastAsia="宋体" w:cs="宋体"/>
          <w:color w:val="auto"/>
          <w:kern w:val="0"/>
          <w:szCs w:val="21"/>
          <w:highlight w:val="none"/>
        </w:rPr>
      </w:pPr>
    </w:p>
    <w:p w14:paraId="1B7DE78E">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5.12评标表格</w:t>
      </w:r>
    </w:p>
    <w:p w14:paraId="3B61BB27">
      <w:pPr>
        <w:adjustRightInd w:val="0"/>
        <w:snapToGrid w:val="0"/>
        <w:spacing w:line="360" w:lineRule="auto"/>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商务标定性评审表</w:t>
      </w:r>
    </w:p>
    <w:p w14:paraId="628240FE">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标段名称：                                              投标单位：</w:t>
      </w:r>
    </w:p>
    <w:tbl>
      <w:tblPr>
        <w:tblStyle w:val="79"/>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55"/>
        <w:gridCol w:w="1560"/>
        <w:gridCol w:w="1169"/>
        <w:gridCol w:w="3861"/>
      </w:tblGrid>
      <w:tr w14:paraId="302E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14:paraId="3C10120C">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555" w:type="dxa"/>
            <w:vAlign w:val="center"/>
          </w:tcPr>
          <w:p w14:paraId="40863292">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评审项目</w:t>
            </w:r>
          </w:p>
        </w:tc>
        <w:tc>
          <w:tcPr>
            <w:tcW w:w="1560" w:type="dxa"/>
            <w:vAlign w:val="center"/>
          </w:tcPr>
          <w:p w14:paraId="6141E6FB">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评审内容</w:t>
            </w:r>
          </w:p>
        </w:tc>
        <w:tc>
          <w:tcPr>
            <w:tcW w:w="1169" w:type="dxa"/>
            <w:vAlign w:val="center"/>
          </w:tcPr>
          <w:p w14:paraId="592FDF7E">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优点</w:t>
            </w:r>
          </w:p>
        </w:tc>
        <w:tc>
          <w:tcPr>
            <w:tcW w:w="3861" w:type="dxa"/>
            <w:vAlign w:val="center"/>
          </w:tcPr>
          <w:p w14:paraId="144BFD94">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存在缺陷或签订合同前应注意和澄清事项</w:t>
            </w:r>
          </w:p>
        </w:tc>
      </w:tr>
      <w:tr w14:paraId="4195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619" w:type="dxa"/>
            <w:vAlign w:val="center"/>
          </w:tcPr>
          <w:p w14:paraId="4FBEDAC5">
            <w:pPr>
              <w:adjustRightInd w:val="0"/>
              <w:snapToGrid w:val="0"/>
              <w:spacing w:line="360" w:lineRule="auto"/>
              <w:jc w:val="center"/>
              <w:rPr>
                <w:rFonts w:ascii="宋体" w:hAnsi="宋体" w:eastAsia="宋体" w:cs="宋体"/>
                <w:color w:val="auto"/>
                <w:kern w:val="0"/>
                <w:szCs w:val="21"/>
                <w:highlight w:val="none"/>
              </w:rPr>
            </w:pPr>
            <w:bookmarkStart w:id="20" w:name="商务标定性评审表" w:colFirst="0" w:colLast="0"/>
          </w:p>
        </w:tc>
        <w:tc>
          <w:tcPr>
            <w:tcW w:w="1555" w:type="dxa"/>
            <w:vAlign w:val="center"/>
          </w:tcPr>
          <w:p w14:paraId="1F117BC1">
            <w:pPr>
              <w:adjustRightInd w:val="0"/>
              <w:snapToGrid w:val="0"/>
              <w:spacing w:line="360" w:lineRule="auto"/>
              <w:jc w:val="left"/>
              <w:rPr>
                <w:rFonts w:ascii="宋体" w:hAnsi="宋体" w:eastAsia="宋体" w:cs="宋体"/>
                <w:color w:val="auto"/>
                <w:kern w:val="0"/>
                <w:szCs w:val="21"/>
                <w:highlight w:val="none"/>
              </w:rPr>
            </w:pPr>
          </w:p>
        </w:tc>
        <w:tc>
          <w:tcPr>
            <w:tcW w:w="1560" w:type="dxa"/>
            <w:vAlign w:val="center"/>
          </w:tcPr>
          <w:p w14:paraId="3C101751">
            <w:pPr>
              <w:adjustRightInd w:val="0"/>
              <w:snapToGrid w:val="0"/>
              <w:spacing w:line="360" w:lineRule="auto"/>
              <w:jc w:val="left"/>
              <w:rPr>
                <w:rFonts w:ascii="宋体" w:hAnsi="宋体" w:eastAsia="宋体" w:cs="宋体"/>
                <w:color w:val="auto"/>
                <w:kern w:val="0"/>
                <w:szCs w:val="21"/>
                <w:highlight w:val="none"/>
              </w:rPr>
            </w:pPr>
          </w:p>
        </w:tc>
        <w:tc>
          <w:tcPr>
            <w:tcW w:w="1169" w:type="dxa"/>
            <w:vAlign w:val="center"/>
          </w:tcPr>
          <w:p w14:paraId="21AAEAFF">
            <w:pPr>
              <w:adjustRightInd w:val="0"/>
              <w:snapToGrid w:val="0"/>
              <w:spacing w:line="360" w:lineRule="auto"/>
              <w:jc w:val="left"/>
              <w:rPr>
                <w:rFonts w:ascii="宋体" w:hAnsi="宋体" w:eastAsia="宋体" w:cs="宋体"/>
                <w:color w:val="auto"/>
                <w:kern w:val="0"/>
                <w:szCs w:val="21"/>
                <w:highlight w:val="none"/>
              </w:rPr>
            </w:pPr>
          </w:p>
        </w:tc>
        <w:tc>
          <w:tcPr>
            <w:tcW w:w="3861" w:type="dxa"/>
            <w:vAlign w:val="center"/>
          </w:tcPr>
          <w:p w14:paraId="10A44B89">
            <w:pPr>
              <w:adjustRightInd w:val="0"/>
              <w:snapToGrid w:val="0"/>
              <w:spacing w:line="360" w:lineRule="auto"/>
              <w:jc w:val="center"/>
              <w:rPr>
                <w:rFonts w:ascii="宋体" w:hAnsi="宋体" w:eastAsia="宋体" w:cs="宋体"/>
                <w:color w:val="auto"/>
                <w:kern w:val="0"/>
                <w:szCs w:val="21"/>
                <w:highlight w:val="none"/>
              </w:rPr>
            </w:pPr>
          </w:p>
        </w:tc>
      </w:tr>
      <w:bookmarkEnd w:id="20"/>
      <w:tr w14:paraId="5A1E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4" w:type="dxa"/>
            <w:gridSpan w:val="5"/>
            <w:vAlign w:val="center"/>
          </w:tcPr>
          <w:p w14:paraId="67194E7D">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综合评价等级：□合格    □不合格</w:t>
            </w:r>
          </w:p>
        </w:tc>
      </w:tr>
    </w:tbl>
    <w:p w14:paraId="2658B770">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评标专家：                           评标日期：    年  月  日</w:t>
      </w:r>
    </w:p>
    <w:p w14:paraId="458E0F47">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2BD0ED34">
      <w:pPr>
        <w:numPr>
          <w:ilvl w:val="0"/>
          <w:numId w:val="1"/>
        </w:num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本表适用于专家独立评审使用；</w:t>
      </w:r>
    </w:p>
    <w:p w14:paraId="6167A561">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2、指出各评审项的优点、存在缺陷或签订合同前应注意和澄清事项；</w:t>
      </w:r>
    </w:p>
    <w:p w14:paraId="7116E62A">
      <w:pPr>
        <w:tabs>
          <w:tab w:val="left" w:pos="840"/>
        </w:tabs>
        <w:adjustRightInd w:val="0"/>
        <w:snapToGrid w:val="0"/>
        <w:spacing w:line="360" w:lineRule="auto"/>
        <w:ind w:firstLine="420" w:firstLineChars="20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3、综合评价等级仅分为合格或不合格两个等级，不合格仅限于符合招标文件废标情形以及投标文件违反国家强制性条文标准的情形。</w:t>
      </w:r>
    </w:p>
    <w:p w14:paraId="39373833">
      <w:pPr>
        <w:adjustRightInd w:val="0"/>
        <w:snapToGrid w:val="0"/>
        <w:spacing w:line="360" w:lineRule="auto"/>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技术标</w:t>
      </w:r>
      <w:r>
        <w:rPr>
          <w:rFonts w:hint="eastAsia" w:ascii="宋体" w:hAnsi="宋体" w:eastAsia="宋体" w:cs="宋体"/>
          <w:b/>
          <w:color w:val="auto"/>
          <w:kern w:val="0"/>
          <w:sz w:val="28"/>
          <w:szCs w:val="28"/>
          <w:highlight w:val="none"/>
        </w:rPr>
        <w:t>定性评审表</w:t>
      </w:r>
    </w:p>
    <w:p w14:paraId="2529ABE4">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标段名称：                                               投标单位：</w:t>
      </w:r>
    </w:p>
    <w:tbl>
      <w:tblPr>
        <w:tblStyle w:val="79"/>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55"/>
        <w:gridCol w:w="1560"/>
        <w:gridCol w:w="1169"/>
        <w:gridCol w:w="3861"/>
      </w:tblGrid>
      <w:tr w14:paraId="0C0E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14:paraId="1E9E5AB5">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555" w:type="dxa"/>
            <w:vAlign w:val="center"/>
          </w:tcPr>
          <w:p w14:paraId="2231D8F6">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评审项目</w:t>
            </w:r>
          </w:p>
        </w:tc>
        <w:tc>
          <w:tcPr>
            <w:tcW w:w="1560" w:type="dxa"/>
            <w:vAlign w:val="center"/>
          </w:tcPr>
          <w:p w14:paraId="5FF5AC98">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评审内容</w:t>
            </w:r>
          </w:p>
        </w:tc>
        <w:tc>
          <w:tcPr>
            <w:tcW w:w="1169" w:type="dxa"/>
            <w:vAlign w:val="center"/>
          </w:tcPr>
          <w:p w14:paraId="20623AA2">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优点</w:t>
            </w:r>
          </w:p>
        </w:tc>
        <w:tc>
          <w:tcPr>
            <w:tcW w:w="3861" w:type="dxa"/>
            <w:vAlign w:val="center"/>
          </w:tcPr>
          <w:p w14:paraId="07833B01">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存在缺陷或签订合同前应注意和澄清事项</w:t>
            </w:r>
          </w:p>
        </w:tc>
      </w:tr>
      <w:tr w14:paraId="3DE8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14:paraId="73E5A128">
            <w:pPr>
              <w:adjustRightInd w:val="0"/>
              <w:snapToGrid w:val="0"/>
              <w:spacing w:line="360" w:lineRule="auto"/>
              <w:jc w:val="center"/>
              <w:rPr>
                <w:rFonts w:ascii="宋体" w:hAnsi="宋体" w:eastAsia="宋体" w:cs="宋体"/>
                <w:color w:val="auto"/>
                <w:kern w:val="0"/>
                <w:szCs w:val="21"/>
                <w:highlight w:val="none"/>
              </w:rPr>
            </w:pPr>
            <w:bookmarkStart w:id="21" w:name="技术标定性评审表" w:colFirst="0" w:colLast="0"/>
          </w:p>
        </w:tc>
        <w:tc>
          <w:tcPr>
            <w:tcW w:w="1555" w:type="dxa"/>
            <w:vAlign w:val="center"/>
          </w:tcPr>
          <w:p w14:paraId="5A8C953B">
            <w:pPr>
              <w:adjustRightInd w:val="0"/>
              <w:snapToGrid w:val="0"/>
              <w:spacing w:line="360" w:lineRule="auto"/>
              <w:jc w:val="left"/>
              <w:rPr>
                <w:rFonts w:ascii="宋体" w:hAnsi="宋体" w:eastAsia="宋体" w:cs="宋体"/>
                <w:color w:val="auto"/>
                <w:kern w:val="0"/>
                <w:szCs w:val="21"/>
                <w:highlight w:val="none"/>
              </w:rPr>
            </w:pPr>
          </w:p>
        </w:tc>
        <w:tc>
          <w:tcPr>
            <w:tcW w:w="1560" w:type="dxa"/>
            <w:vAlign w:val="center"/>
          </w:tcPr>
          <w:p w14:paraId="04C82046">
            <w:pPr>
              <w:adjustRightInd w:val="0"/>
              <w:snapToGrid w:val="0"/>
              <w:spacing w:line="360" w:lineRule="auto"/>
              <w:jc w:val="left"/>
              <w:rPr>
                <w:rFonts w:ascii="宋体" w:hAnsi="宋体" w:eastAsia="宋体" w:cs="宋体"/>
                <w:color w:val="auto"/>
                <w:kern w:val="0"/>
                <w:szCs w:val="21"/>
                <w:highlight w:val="none"/>
              </w:rPr>
            </w:pPr>
          </w:p>
        </w:tc>
        <w:tc>
          <w:tcPr>
            <w:tcW w:w="1169" w:type="dxa"/>
            <w:vAlign w:val="center"/>
          </w:tcPr>
          <w:p w14:paraId="7337775B">
            <w:pPr>
              <w:adjustRightInd w:val="0"/>
              <w:snapToGrid w:val="0"/>
              <w:spacing w:line="360" w:lineRule="auto"/>
              <w:jc w:val="left"/>
              <w:rPr>
                <w:rFonts w:ascii="宋体" w:hAnsi="宋体" w:eastAsia="宋体" w:cs="宋体"/>
                <w:color w:val="auto"/>
                <w:kern w:val="0"/>
                <w:szCs w:val="21"/>
                <w:highlight w:val="none"/>
              </w:rPr>
            </w:pPr>
          </w:p>
        </w:tc>
        <w:tc>
          <w:tcPr>
            <w:tcW w:w="3861" w:type="dxa"/>
            <w:vAlign w:val="center"/>
          </w:tcPr>
          <w:p w14:paraId="4DE83E09">
            <w:pPr>
              <w:adjustRightInd w:val="0"/>
              <w:snapToGrid w:val="0"/>
              <w:spacing w:line="360" w:lineRule="auto"/>
              <w:jc w:val="center"/>
              <w:rPr>
                <w:rFonts w:ascii="宋体" w:hAnsi="宋体" w:eastAsia="宋体" w:cs="宋体"/>
                <w:color w:val="auto"/>
                <w:kern w:val="0"/>
                <w:szCs w:val="21"/>
                <w:highlight w:val="none"/>
              </w:rPr>
            </w:pPr>
          </w:p>
        </w:tc>
      </w:tr>
      <w:bookmarkEnd w:id="21"/>
      <w:tr w14:paraId="0A43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4" w:type="dxa"/>
            <w:gridSpan w:val="5"/>
            <w:vAlign w:val="center"/>
          </w:tcPr>
          <w:p w14:paraId="7FB0D0E6">
            <w:pPr>
              <w:adjustRightInd w:val="0"/>
              <w:snapToGrid w:val="0"/>
              <w:spacing w:line="360" w:lineRule="auto"/>
              <w:jc w:val="left"/>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综合评价等级：□合格    □不合格</w:t>
            </w:r>
          </w:p>
        </w:tc>
      </w:tr>
    </w:tbl>
    <w:p w14:paraId="6B2B416B">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评标专家：                                  评标日期：    年  月  日</w:t>
      </w:r>
    </w:p>
    <w:p w14:paraId="7818EC07">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2DC6BE24">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1、本表适用于专家独立评审使用；</w:t>
      </w:r>
    </w:p>
    <w:p w14:paraId="6ECF1933">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2、指出各评审项的优点、存在缺陷或签订合同前应注意和澄清事项；</w:t>
      </w:r>
    </w:p>
    <w:p w14:paraId="6B4FEF48">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3、综合评价等级仅分为合格或不合格两个等级，不合格仅限于符合招标文件废标情形以及投标文件违反国家强制性条文标准的情形。</w:t>
      </w:r>
    </w:p>
    <w:p w14:paraId="5F078933">
      <w:pPr>
        <w:adjustRightInd w:val="0"/>
        <w:snapToGrid w:val="0"/>
        <w:spacing w:line="360" w:lineRule="auto"/>
        <w:ind w:firstLine="420" w:firstLineChars="200"/>
        <w:rPr>
          <w:rFonts w:ascii="宋体" w:hAnsi="宋体" w:eastAsia="宋体" w:cs="宋体"/>
          <w:color w:val="auto"/>
          <w:kern w:val="0"/>
          <w:szCs w:val="21"/>
          <w:highlight w:val="none"/>
        </w:rPr>
      </w:pPr>
    </w:p>
    <w:p w14:paraId="76AA31C1">
      <w:pPr>
        <w:adjustRightInd w:val="0"/>
        <w:snapToGrid w:val="0"/>
        <w:spacing w:line="360" w:lineRule="auto"/>
        <w:ind w:firstLine="420" w:firstLineChars="200"/>
        <w:rPr>
          <w:rFonts w:ascii="宋体" w:hAnsi="宋体" w:eastAsia="宋体" w:cs="宋体"/>
          <w:color w:val="auto"/>
          <w:szCs w:val="21"/>
          <w:highlight w:val="none"/>
        </w:rPr>
      </w:pPr>
    </w:p>
    <w:p w14:paraId="5F651B77">
      <w:pPr>
        <w:adjustRightInd w:val="0"/>
        <w:snapToGrid w:val="0"/>
        <w:spacing w:line="360" w:lineRule="auto"/>
        <w:jc w:val="center"/>
        <w:outlineLvl w:val="2"/>
        <w:rPr>
          <w:rFonts w:ascii="宋体" w:hAnsi="宋体" w:eastAsia="宋体" w:cs="宋体"/>
          <w:b/>
          <w:color w:val="auto"/>
          <w:kern w:val="0"/>
          <w:sz w:val="30"/>
          <w:highlight w:val="none"/>
        </w:rPr>
      </w:pPr>
      <w:bookmarkStart w:id="22" w:name="_Toc11935"/>
      <w:bookmarkStart w:id="23" w:name="_Toc29510"/>
      <w:bookmarkStart w:id="24" w:name="_Toc10428"/>
      <w:r>
        <w:rPr>
          <w:rFonts w:hint="eastAsia" w:ascii="宋体" w:hAnsi="宋体" w:eastAsia="宋体" w:cs="宋体"/>
          <w:b/>
          <w:color w:val="auto"/>
          <w:kern w:val="0"/>
          <w:sz w:val="30"/>
          <w:highlight w:val="none"/>
        </w:rPr>
        <w:t>（六）定标</w:t>
      </w:r>
      <w:bookmarkEnd w:id="22"/>
      <w:bookmarkEnd w:id="23"/>
      <w:bookmarkEnd w:id="24"/>
    </w:p>
    <w:p w14:paraId="4C746060">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6.1 清标</w:t>
      </w:r>
    </w:p>
    <w:p w14:paraId="61A2A58C">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6.1.1 在开展定标前，招标人可以自行或委托专业机构</w:t>
      </w:r>
      <w:r>
        <w:rPr>
          <w:rFonts w:hint="eastAsia" w:ascii="宋体" w:hAnsi="宋体" w:eastAsia="宋体" w:cs="宋体"/>
          <w:color w:val="auto"/>
          <w:szCs w:val="21"/>
          <w:highlight w:val="none"/>
        </w:rPr>
        <w:t>（含邀请专家）方式</w:t>
      </w:r>
      <w:r>
        <w:rPr>
          <w:rFonts w:hint="eastAsia" w:ascii="宋体" w:hAnsi="宋体" w:eastAsia="宋体" w:cs="宋体"/>
          <w:color w:val="auto"/>
          <w:kern w:val="0"/>
          <w:szCs w:val="21"/>
          <w:highlight w:val="none"/>
        </w:rPr>
        <w:t>开展清标工作，</w:t>
      </w:r>
      <w:r>
        <w:rPr>
          <w:rFonts w:hint="eastAsia" w:ascii="宋体" w:hAnsi="宋体" w:eastAsia="宋体" w:cs="宋体"/>
          <w:color w:val="auto"/>
          <w:szCs w:val="21"/>
          <w:highlight w:val="none"/>
        </w:rPr>
        <w:t>清标人员数量为5人以上单数。</w:t>
      </w:r>
    </w:p>
    <w:p w14:paraId="79623955">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6.1.2 </w:t>
      </w:r>
      <w:r>
        <w:rPr>
          <w:rFonts w:hint="eastAsia" w:ascii="宋体" w:hAnsi="宋体" w:eastAsia="宋体" w:cs="宋体"/>
          <w:color w:val="auto"/>
          <w:szCs w:val="21"/>
          <w:highlight w:val="none"/>
        </w:rPr>
        <w:t>清标要素由招标人根据项目实际设置，</w:t>
      </w:r>
      <w:r>
        <w:rPr>
          <w:rFonts w:hint="eastAsia" w:ascii="宋体" w:hAnsi="宋体" w:eastAsia="宋体" w:cs="宋体"/>
          <w:color w:val="auto"/>
          <w:kern w:val="0"/>
          <w:szCs w:val="21"/>
          <w:highlight w:val="none"/>
        </w:rPr>
        <w:t>清标工作包括对</w:t>
      </w:r>
      <w:r>
        <w:rPr>
          <w:rFonts w:hint="eastAsia" w:ascii="宋体" w:hAnsi="宋体" w:eastAsia="宋体" w:cs="宋体"/>
          <w:color w:val="auto"/>
          <w:szCs w:val="21"/>
          <w:highlight w:val="none"/>
        </w:rPr>
        <w:t>评标专家的评审意见进行复核</w:t>
      </w:r>
      <w:r>
        <w:rPr>
          <w:rFonts w:hint="eastAsia" w:ascii="宋体" w:hAnsi="宋体" w:eastAsia="宋体" w:cs="宋体"/>
          <w:color w:val="auto"/>
          <w:kern w:val="0"/>
          <w:szCs w:val="21"/>
          <w:highlight w:val="none"/>
        </w:rPr>
        <w:t>、投标人及拟派项目负责人进行考察、质询，对投标文件或方案进行澄清与复核，对项目后期可能遇到的风险和问题进行评估等</w:t>
      </w:r>
      <w:r>
        <w:rPr>
          <w:rFonts w:hint="eastAsia" w:ascii="宋体" w:hAnsi="宋体" w:eastAsia="宋体" w:cs="宋体"/>
          <w:color w:val="auto"/>
          <w:szCs w:val="21"/>
          <w:highlight w:val="none"/>
        </w:rPr>
        <w:t>。</w:t>
      </w:r>
    </w:p>
    <w:p w14:paraId="5FFB021A">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6.1.3 清标工作完成后，招标人应当形成清标报告，并在定标前将清标报告等相关资料上传至交易平台，</w:t>
      </w:r>
      <w:r>
        <w:rPr>
          <w:rFonts w:hint="eastAsia" w:ascii="宋体" w:hAnsi="宋体" w:eastAsia="宋体" w:cs="宋体"/>
          <w:color w:val="auto"/>
          <w:szCs w:val="21"/>
          <w:highlight w:val="none"/>
        </w:rPr>
        <w:t>作为定标委员会定标的重要参考依据</w:t>
      </w:r>
      <w:r>
        <w:rPr>
          <w:rFonts w:hint="eastAsia" w:ascii="宋体" w:hAnsi="宋体" w:eastAsia="宋体" w:cs="宋体"/>
          <w:color w:val="auto"/>
          <w:kern w:val="0"/>
          <w:szCs w:val="21"/>
          <w:highlight w:val="none"/>
        </w:rPr>
        <w:t>。清标报告内容应当客观、公正、真实、有效。</w:t>
      </w:r>
    </w:p>
    <w:p w14:paraId="4B709A84">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6.2定标方法</w:t>
      </w:r>
    </w:p>
    <w:p w14:paraId="5AE12364">
      <w:pPr>
        <w:adjustRightInd w:val="0"/>
        <w:snapToGrid w:val="0"/>
        <w:spacing w:line="360" w:lineRule="auto"/>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6.2.1直接票决定标法</w:t>
      </w:r>
    </w:p>
    <w:p w14:paraId="02ED1B77">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招标人组建定标委员会，定标委员会成员对所有进入定标程序的投标人根据前附表确定的方式进行投票，根据得票数确定中标人。</w:t>
      </w:r>
    </w:p>
    <w:p w14:paraId="60C7CCC9">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color w:val="auto"/>
          <w:kern w:val="0"/>
          <w:szCs w:val="21"/>
          <w:highlight w:val="none"/>
        </w:rPr>
        <w:t>（1）</w:t>
      </w:r>
      <w:r>
        <w:rPr>
          <w:rFonts w:hint="eastAsia" w:ascii="宋体" w:hAnsi="宋体" w:eastAsia="宋体" w:cs="宋体"/>
          <w:b/>
          <w:bCs/>
          <w:color w:val="auto"/>
          <w:kern w:val="0"/>
          <w:highlight w:val="none"/>
        </w:rPr>
        <w:t>票决方式：</w:t>
      </w:r>
    </w:p>
    <w:p w14:paraId="1AC5B344">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①简单多数法</w:t>
      </w:r>
    </w:p>
    <w:p w14:paraId="39D618D5">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a.投票规则：定标委员会成员按照招标文件规定的推荐人数，在各自的选票上填写相同数量的投标人名称或序号。</w:t>
      </w:r>
    </w:p>
    <w:p w14:paraId="243A64F4">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14:paraId="31834FF5">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②简单多数法（且过半数）</w:t>
      </w:r>
    </w:p>
    <w:p w14:paraId="50B771CE">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a.投票规则：定标委员会在进入投票范围的投标人中，以每人投票支持一个投标人的方式，得票最多且过半数的投标人为中标人。</w:t>
      </w:r>
    </w:p>
    <w:p w14:paraId="393C5973">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14:paraId="5FD39A66">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③对比胜出法</w:t>
      </w:r>
    </w:p>
    <w:p w14:paraId="16771DCC">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a.投票规则：每一张选票，都是所有进入定标程序的投标人的一个排列，该排列明确了先后顺序，即第一名、第二名，...，排列最后的为最后一名。</w:t>
      </w:r>
    </w:p>
    <w:p w14:paraId="3663A9AC">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14:paraId="7C1F46A1">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6.2.2逐轮票决定标法</w:t>
      </w:r>
    </w:p>
    <w:p w14:paraId="4F814ED2">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招标人组建定标委员会，定标委员会成员对所有进入定标程序的投标人根据前附表确定的方式进行逐轮投票，每轮以得票数确定进入下一轮投票的投标人直至确定中标人。</w:t>
      </w:r>
    </w:p>
    <w:p w14:paraId="41BBB2CD">
      <w:pPr>
        <w:adjustRightInd w:val="0"/>
        <w:snapToGrid w:val="0"/>
        <w:spacing w:line="360" w:lineRule="auto"/>
        <w:ind w:firstLine="413" w:firstLineChars="196"/>
        <w:rPr>
          <w:rFonts w:ascii="宋体" w:hAnsi="宋体" w:eastAsia="宋体" w:cs="宋体"/>
          <w:color w:val="auto"/>
          <w:kern w:val="0"/>
          <w:highlight w:val="none"/>
        </w:rPr>
      </w:pPr>
      <w:r>
        <w:rPr>
          <w:rFonts w:hint="eastAsia" w:ascii="宋体" w:hAnsi="宋体" w:eastAsia="宋体" w:cs="宋体"/>
          <w:b/>
          <w:color w:val="auto"/>
          <w:kern w:val="0"/>
          <w:szCs w:val="21"/>
          <w:highlight w:val="none"/>
        </w:rPr>
        <w:t>（1）</w:t>
      </w:r>
      <w:r>
        <w:rPr>
          <w:rFonts w:hint="eastAsia" w:ascii="宋体" w:hAnsi="宋体" w:eastAsia="宋体" w:cs="宋体"/>
          <w:b/>
          <w:bCs/>
          <w:color w:val="auto"/>
          <w:kern w:val="0"/>
          <w:highlight w:val="none"/>
        </w:rPr>
        <w:t>票决方式：</w:t>
      </w:r>
    </w:p>
    <w:p w14:paraId="7C9D016C">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①简单多数法</w:t>
      </w:r>
    </w:p>
    <w:p w14:paraId="17C4B42E">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a.投票规则：定标委员会成员按照招标文件规定的推荐人数，在各自的选票上填写相同数量的投标人名称或序号。</w:t>
      </w:r>
    </w:p>
    <w:p w14:paraId="64967C68">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14:paraId="5678C071">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②对比胜出法</w:t>
      </w:r>
    </w:p>
    <w:p w14:paraId="2202F010">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a.投票规则：每一张选票，都是所有进入定标程序的投标人的一个排列，该排列明确了先后顺序，即第一名、第二名，...，排列最后的为最后一名。</w:t>
      </w:r>
    </w:p>
    <w:p w14:paraId="4C2BCABE">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14:paraId="269988CF">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③</w:t>
      </w:r>
      <w:r>
        <w:rPr>
          <w:rFonts w:hint="eastAsia" w:ascii="宋体" w:hAnsi="宋体" w:eastAsia="宋体" w:cs="宋体"/>
          <w:b/>
          <w:bCs/>
          <w:color w:val="auto"/>
          <w:kern w:val="0"/>
          <w:szCs w:val="21"/>
          <w:highlight w:val="none"/>
        </w:rPr>
        <w:t>先票决后淘汰</w:t>
      </w:r>
    </w:p>
    <w:p w14:paraId="61489FE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a.</w:t>
      </w:r>
      <w:r>
        <w:rPr>
          <w:rFonts w:hint="eastAsia" w:ascii="宋体" w:hAnsi="宋体" w:eastAsia="宋体" w:cs="宋体"/>
          <w:color w:val="auto"/>
          <w:kern w:val="0"/>
          <w:szCs w:val="21"/>
          <w:highlight w:val="none"/>
        </w:rPr>
        <w:t>票决规则：</w:t>
      </w:r>
      <w:r>
        <w:rPr>
          <w:rFonts w:hint="eastAsia" w:ascii="宋体" w:hAnsi="宋体" w:eastAsia="宋体" w:cs="宋体"/>
          <w:color w:val="auto"/>
          <w:szCs w:val="21"/>
          <w:highlight w:val="none"/>
        </w:rPr>
        <w:t>招标人组建的定标委员会在进入投票范围的投标人中，以每人投票支持3个投标人的方式，得票最多的3个投标人进入下一轮的淘汰投票。在确定第3个投标人时如果出现同票的，则得票相同的投标人一并进入下一轮的淘汰投票。</w:t>
      </w:r>
    </w:p>
    <w:p w14:paraId="39EC897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b.</w:t>
      </w:r>
      <w:r>
        <w:rPr>
          <w:rFonts w:hint="eastAsia" w:ascii="宋体" w:hAnsi="宋体" w:eastAsia="宋体" w:cs="宋体"/>
          <w:color w:val="auto"/>
          <w:kern w:val="0"/>
          <w:szCs w:val="21"/>
          <w:highlight w:val="none"/>
        </w:rPr>
        <w:t>淘汰规则：</w:t>
      </w:r>
      <w:r>
        <w:rPr>
          <w:rFonts w:hint="eastAsia" w:ascii="宋体" w:hAnsi="宋体" w:eastAsia="宋体" w:cs="宋体"/>
          <w:color w:val="auto"/>
          <w:szCs w:val="21"/>
          <w:highlight w:val="none"/>
        </w:rPr>
        <w:t>原则上每轮淘汰1名投标人。各轮投票时，每人投1个淘汰单位，该轮得票最多的投标人被淘汰。得票最多的投标人不止1个时，一并加以淘汰，但必须确保第一次淘汰之后剩余的投标人不少于2名，否则在得票最多的几个投标人中按前述规则进行二次淘汰，剩余的投标人进入下一轮淘汰投票。</w:t>
      </w:r>
    </w:p>
    <w:p w14:paraId="2A3F15CA">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szCs w:val="21"/>
          <w:highlight w:val="none"/>
        </w:rPr>
        <w:t>根据前述规则，直至剩余1名投标人为中标人。</w:t>
      </w:r>
    </w:p>
    <w:p w14:paraId="2964817F">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6.2.</w:t>
      </w:r>
      <w:r>
        <w:rPr>
          <w:rFonts w:hint="eastAsia" w:ascii="宋体" w:hAnsi="宋体" w:eastAsia="宋体" w:cs="宋体"/>
          <w:b/>
          <w:color w:val="auto"/>
          <w:kern w:val="0"/>
          <w:szCs w:val="21"/>
          <w:highlight w:val="none"/>
          <w:lang w:val="en-US" w:eastAsia="zh-CN"/>
        </w:rPr>
        <w:t>3</w:t>
      </w:r>
      <w:r>
        <w:rPr>
          <w:rFonts w:hint="eastAsia" w:ascii="宋体" w:hAnsi="宋体" w:eastAsia="宋体" w:cs="宋体"/>
          <w:b/>
          <w:color w:val="auto"/>
          <w:kern w:val="0"/>
          <w:szCs w:val="21"/>
          <w:highlight w:val="none"/>
        </w:rPr>
        <w:t>集体议事定标法</w:t>
      </w:r>
    </w:p>
    <w:p w14:paraId="41797EF5">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招标人组建定标委员会进行集体商议，定标委员会成员各自发表意见，由定标委员会组长最终确定中标人。所有参加会议的定标委员会成员的意见应当作书面记录，并由定标委员会成员签字确认。采用集体议事法定标的，定标委员会组长应当由招标人法定代表人或者主要负责人担任。</w:t>
      </w:r>
    </w:p>
    <w:p w14:paraId="714EC585">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6.3定标原则</w:t>
      </w:r>
    </w:p>
    <w:p w14:paraId="7F658D29">
      <w:pPr>
        <w:adjustRightInd w:val="0"/>
        <w:snapToGrid w:val="0"/>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环节的择优因素主要考虑企业资质、企业规模、科技创新能力、项目管理人员经验与水平、同类工程经验（业绩）及履约评价、企业及其人员的廉政记录、信用等因素，其中初步设计和施工图设计招标重点考虑：投标方案经济性、技术可行性、功能结构合理性、设计精细化程度等因素。同等条件下，招标人可以优先考虑投标人合同稳定性、质量安全保障性、劳资纠纷可控度、</w:t>
      </w:r>
      <w:r>
        <w:rPr>
          <w:rFonts w:hint="eastAsia" w:ascii="宋体" w:hAnsi="宋体" w:eastAsia="宋体" w:cs="宋体"/>
          <w:color w:val="auto"/>
          <w:szCs w:val="21"/>
          <w:highlight w:val="none"/>
        </w:rPr>
        <w:t>BIM技术应用情况</w:t>
      </w:r>
      <w:r>
        <w:rPr>
          <w:rFonts w:hint="eastAsia" w:ascii="宋体" w:hAnsi="宋体" w:eastAsia="宋体" w:cs="宋体"/>
          <w:color w:val="auto"/>
          <w:kern w:val="0"/>
          <w:szCs w:val="21"/>
          <w:highlight w:val="none"/>
        </w:rPr>
        <w:t>等因素，方案设计招标除外。招标人可以根据项目实际情况增加择优</w:t>
      </w:r>
      <w:r>
        <w:rPr>
          <w:rFonts w:hint="eastAsia" w:ascii="宋体" w:hAnsi="宋体" w:eastAsia="宋体" w:cs="宋体"/>
          <w:color w:val="auto"/>
          <w:kern w:val="0"/>
          <w:szCs w:val="21"/>
          <w:highlight w:val="none"/>
          <w:lang w:val="en-US" w:eastAsia="zh-CN"/>
        </w:rPr>
        <w:t>因</w:t>
      </w:r>
      <w:r>
        <w:rPr>
          <w:rFonts w:hint="eastAsia" w:ascii="宋体" w:hAnsi="宋体" w:eastAsia="宋体" w:cs="宋体"/>
          <w:color w:val="auto"/>
          <w:kern w:val="0"/>
          <w:szCs w:val="21"/>
          <w:highlight w:val="none"/>
        </w:rPr>
        <w:t>素，也可以综合考虑择优因素或按择优因素的重要性，对投标人进行逐级淘汰</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鼓励招标人将</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参与“百千万工程”</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相关业绩、奖项等</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作为定标择优因素</w:t>
      </w:r>
      <w:r>
        <w:rPr>
          <w:rFonts w:hint="eastAsia" w:ascii="宋体" w:hAnsi="宋体" w:eastAsia="宋体" w:cs="宋体"/>
          <w:color w:val="auto"/>
          <w:kern w:val="0"/>
          <w:szCs w:val="21"/>
          <w:highlight w:val="none"/>
        </w:rPr>
        <w:t>。</w:t>
      </w:r>
    </w:p>
    <w:p w14:paraId="3488879C">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招标人可以结合项目实际要求投标人提供资信标作为定标参考因素之一，详见附件2《资信标要求一览表》。</w:t>
      </w:r>
    </w:p>
    <w:p w14:paraId="316665A8">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6.4定标程序</w:t>
      </w:r>
    </w:p>
    <w:p w14:paraId="3442D0E1">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6.4.</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招标人应当事先制定定标工作规则，对不同类别项目择优竞价结合方式、竞价方法、择优要素予以明确，并报招标人内设（或上级）的纪检监察机构（或督查机构）备案。</w:t>
      </w:r>
    </w:p>
    <w:p w14:paraId="14ED02D9">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6.4.</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项目定标方案，细化择优要素、竞价因素，明确定标</w:t>
      </w:r>
      <w:r>
        <w:rPr>
          <w:rFonts w:hint="eastAsia" w:ascii="宋体" w:hAnsi="宋体" w:eastAsia="宋体" w:cs="宋体"/>
          <w:color w:val="auto"/>
          <w:kern w:val="0"/>
          <w:szCs w:val="21"/>
          <w:highlight w:val="none"/>
          <w:lang w:val="en-US" w:eastAsia="zh-CN"/>
        </w:rPr>
        <w:t>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招标人在将项目定标方案报内设（上级）的纪检监察机构（或督察机构）备案的基础上，应于招标公告备案时将项目定标方案上传至备案系统加密保存。招标公告对外发布后不得更改项目定标方案，确需更改的应当重新发布招标公告。定标时必须严格遵守定标工作规则和项目定标方案，不得临时改变规则。</w:t>
      </w:r>
    </w:p>
    <w:p w14:paraId="3CD627C1">
      <w:pPr>
        <w:adjustRightInd w:val="0"/>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实行市场化代建的项目，相关招标文件及具体定标方案应报建设单位审核确认，由建设单位与招标人（代建单位）共同盖章后留存备查。建设单位应同步将项目定标方案报内设（上级）的纪检监察机构（或督查机构）备案</w:t>
      </w:r>
      <w:r>
        <w:rPr>
          <w:rStyle w:val="136"/>
          <w:rFonts w:hint="eastAsia" w:ascii="宋体" w:hAnsi="宋体" w:eastAsia="宋体" w:cs="宋体"/>
          <w:color w:val="auto"/>
          <w:kern w:val="0"/>
          <w:szCs w:val="21"/>
          <w:highlight w:val="none"/>
          <w:lang w:val="en-US" w:eastAsia="zh-CN"/>
        </w:rPr>
        <w:t>[</w:t>
      </w:r>
      <w:r>
        <w:rPr>
          <w:rStyle w:val="136"/>
          <w:rFonts w:hint="eastAsia" w:ascii="宋体" w:hAnsi="宋体" w:eastAsia="宋体" w:cs="宋体"/>
          <w:color w:val="auto"/>
          <w:kern w:val="0"/>
          <w:szCs w:val="21"/>
          <w:highlight w:val="none"/>
          <w:lang w:val="en-US" w:eastAsia="zh-CN"/>
        </w:rPr>
        <w:footnoteReference w:id="5"/>
      </w:r>
      <w:r>
        <w:rPr>
          <w:rStyle w:val="136"/>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w:t>
      </w:r>
    </w:p>
    <w:p w14:paraId="0FD1DD6D">
      <w:pPr>
        <w:adjustRightInd w:val="0"/>
        <w:snapToGrid w:val="0"/>
        <w:spacing w:line="360" w:lineRule="auto"/>
        <w:ind w:firstLine="420" w:firstLineChars="200"/>
        <w:rPr>
          <w:rFonts w:hint="eastAsia" w:ascii="宋体" w:hAnsi="宋体" w:eastAsia="宋体" w:cs="宋体"/>
          <w:strike w:val="0"/>
          <w:color w:val="auto"/>
          <w:szCs w:val="21"/>
          <w:highlight w:val="none"/>
        </w:rPr>
      </w:pPr>
      <w:r>
        <w:rPr>
          <w:rFonts w:hint="eastAsia" w:ascii="宋体" w:hAnsi="宋体" w:eastAsia="宋体" w:cs="宋体"/>
          <w:color w:val="auto"/>
          <w:kern w:val="0"/>
          <w:szCs w:val="21"/>
          <w:highlight w:val="none"/>
        </w:rPr>
        <w:t>6.4.</w:t>
      </w:r>
      <w:r>
        <w:rPr>
          <w:rFonts w:hint="eastAsia" w:ascii="宋体" w:hAnsi="宋体" w:eastAsia="宋体" w:cs="宋体"/>
          <w:color w:val="auto"/>
          <w:kern w:val="0"/>
          <w:szCs w:val="21"/>
          <w:highlight w:val="none"/>
          <w:lang w:val="en-US" w:eastAsia="zh-CN"/>
        </w:rPr>
        <w:t>3</w:t>
      </w:r>
      <w:r>
        <w:rPr>
          <w:rFonts w:hint="eastAsia" w:ascii="宋体" w:hAnsi="宋体" w:eastAsia="宋体" w:cs="宋体"/>
          <w:strike w:val="0"/>
          <w:color w:val="auto"/>
          <w:szCs w:val="21"/>
          <w:highlight w:val="none"/>
        </w:rPr>
        <w:t>招标人应在评标委员会推荐的中标候选人中确定中标人。招标人应认真审查评标委员会提交的评标报告，发现评标委员会未按招标文件规定进行评审、推荐中标候选人等异常情形的，经招标投标行政监督部门批准后由评标委员会复核纠正</w:t>
      </w:r>
      <w:r>
        <w:rPr>
          <w:rStyle w:val="136"/>
          <w:rFonts w:hint="eastAsia" w:ascii="宋体" w:hAnsi="宋体" w:eastAsia="宋体" w:cs="宋体"/>
          <w:color w:val="auto"/>
          <w:szCs w:val="21"/>
          <w:highlight w:val="none"/>
        </w:rPr>
        <w:t>[</w:t>
      </w:r>
      <w:r>
        <w:rPr>
          <w:rStyle w:val="136"/>
          <w:rFonts w:hint="eastAsia" w:ascii="宋体" w:hAnsi="宋体" w:eastAsia="宋体" w:cs="宋体"/>
          <w:color w:val="auto"/>
          <w:szCs w:val="21"/>
          <w:highlight w:val="none"/>
        </w:rPr>
        <w:footnoteReference w:id="6"/>
      </w:r>
      <w:r>
        <w:rPr>
          <w:rStyle w:val="136"/>
          <w:rFonts w:hint="eastAsia" w:ascii="宋体" w:hAnsi="宋体" w:eastAsia="宋体" w:cs="宋体"/>
          <w:color w:val="auto"/>
          <w:szCs w:val="21"/>
          <w:highlight w:val="none"/>
        </w:rPr>
        <w:t>]</w:t>
      </w:r>
      <w:r>
        <w:rPr>
          <w:rFonts w:hint="eastAsia" w:ascii="宋体" w:hAnsi="宋体" w:eastAsia="宋体" w:cs="宋体"/>
          <w:strike w:val="0"/>
          <w:color w:val="auto"/>
          <w:szCs w:val="21"/>
          <w:highlight w:val="none"/>
          <w:lang w:eastAsia="zh-CN"/>
        </w:rPr>
        <w:t>。</w:t>
      </w:r>
    </w:p>
    <w:p w14:paraId="243D9C58">
      <w:pPr>
        <w:adjustRightInd w:val="0"/>
        <w:snapToGrid w:val="0"/>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b w:val="0"/>
          <w:bCs/>
          <w:color w:val="auto"/>
          <w:kern w:val="0"/>
          <w:szCs w:val="21"/>
          <w:highlight w:val="none"/>
        </w:rPr>
        <w:t>6.4.</w:t>
      </w:r>
      <w:r>
        <w:rPr>
          <w:rFonts w:hint="eastAsia" w:ascii="宋体" w:hAnsi="宋体" w:eastAsia="宋体" w:cs="宋体"/>
          <w:b w:val="0"/>
          <w:bCs/>
          <w:color w:val="auto"/>
          <w:kern w:val="0"/>
          <w:szCs w:val="21"/>
          <w:highlight w:val="none"/>
          <w:lang w:eastAsia="zh-CN"/>
        </w:rPr>
        <w:t>4</w:t>
      </w:r>
      <w:r>
        <w:rPr>
          <w:rFonts w:hint="eastAsia" w:ascii="宋体" w:hAnsi="宋体" w:eastAsia="宋体" w:cs="宋体"/>
          <w:b w:val="0"/>
          <w:bCs/>
          <w:color w:val="auto"/>
          <w:kern w:val="0"/>
          <w:szCs w:val="21"/>
          <w:highlight w:val="none"/>
        </w:rPr>
        <w:t>定标委员会</w:t>
      </w:r>
      <w:r>
        <w:rPr>
          <w:rFonts w:hint="eastAsia" w:ascii="宋体" w:hAnsi="宋体" w:eastAsia="宋体" w:cs="宋体"/>
          <w:color w:val="auto"/>
          <w:szCs w:val="21"/>
          <w:highlight w:val="none"/>
        </w:rPr>
        <w:t>由招标人的法定代表人或者主要负责人组建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成员数量为7人以上单数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定标委员会</w:t>
      </w:r>
      <w:r>
        <w:rPr>
          <w:rFonts w:hint="eastAsia" w:ascii="宋体" w:hAnsi="宋体" w:eastAsia="宋体" w:cs="宋体"/>
          <w:color w:val="auto"/>
          <w:szCs w:val="21"/>
          <w:highlight w:val="none"/>
          <w:lang w:val="en-US" w:eastAsia="zh-CN"/>
        </w:rPr>
        <w:t>可以按以下方式组建，具体组建方式由招标人在项目定标方案中予以明确</w:t>
      </w:r>
      <w:r>
        <w:rPr>
          <w:rStyle w:val="136"/>
          <w:rFonts w:hint="eastAsia" w:ascii="宋体" w:hAnsi="宋体" w:eastAsia="宋体" w:cs="宋体"/>
          <w:color w:val="auto"/>
          <w:szCs w:val="21"/>
          <w:highlight w:val="none"/>
        </w:rPr>
        <w:t>[</w:t>
      </w:r>
      <w:r>
        <w:rPr>
          <w:rStyle w:val="136"/>
          <w:rFonts w:hint="eastAsia" w:ascii="宋体" w:hAnsi="宋体" w:eastAsia="宋体" w:cs="宋体"/>
          <w:color w:val="auto"/>
          <w:szCs w:val="21"/>
          <w:highlight w:val="none"/>
        </w:rPr>
        <w:footnoteReference w:id="7"/>
      </w:r>
      <w:r>
        <w:rPr>
          <w:rStyle w:val="136"/>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p>
    <w:p w14:paraId="4A929634">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）招标人的法定代表人或者主要负责人可以从本单位直接指定部分定标委员会成员，但总数不得超过定标委员会成员总数的三分之一。</w:t>
      </w:r>
      <w:r>
        <w:rPr>
          <w:rFonts w:hint="eastAsia" w:ascii="宋体" w:hAnsi="宋体" w:eastAsia="宋体" w:cs="宋体"/>
          <w:color w:val="auto"/>
          <w:szCs w:val="21"/>
          <w:highlight w:val="none"/>
          <w:lang w:eastAsia="zh-CN"/>
        </w:rPr>
        <w:t>实行市场化代建的建设工程项目，建设单位应选派人员参与代建项目的定标，建设单位选派人数和招标人（代建单位）直接指定定标委员会成员的数量，合计不得超过定标委员会总人数的三分之一。</w:t>
      </w:r>
    </w:p>
    <w:p w14:paraId="2CF0369A">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招标人可以从建设工程评标专家库内随机抽取专家参与定标；对于技术复杂、专业性强或者有特殊要求的建设工程项目，招标人可以直接邀请相应领域的专家参与定标。从建设工程评标专家库抽取专家及直接邀请专家数量合计不得超过定标委员会</w:t>
      </w:r>
      <w:r>
        <w:rPr>
          <w:rFonts w:hint="eastAsia" w:ascii="宋体" w:hAnsi="宋体" w:eastAsia="宋体" w:cs="宋体"/>
          <w:color w:val="auto"/>
          <w:szCs w:val="21"/>
          <w:highlight w:val="none"/>
          <w:lang w:val="en-US" w:eastAsia="zh-CN"/>
        </w:rPr>
        <w:t>成员</w:t>
      </w:r>
      <w:r>
        <w:rPr>
          <w:rFonts w:hint="eastAsia" w:ascii="宋体" w:hAnsi="宋体" w:eastAsia="宋体" w:cs="宋体"/>
          <w:color w:val="auto"/>
          <w:szCs w:val="21"/>
          <w:highlight w:val="none"/>
        </w:rPr>
        <w:t>总数的二分之一。</w:t>
      </w:r>
    </w:p>
    <w:p w14:paraId="08642FA9">
      <w:pPr>
        <w:adjustRightInd w:val="0"/>
        <w:snapToGrid w:val="0"/>
        <w:spacing w:line="360"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）除上述成员外，其他定标委员会成员从2倍以上</w:t>
      </w:r>
      <w:r>
        <w:rPr>
          <w:rFonts w:hint="eastAsia" w:ascii="宋体" w:hAnsi="宋体" w:eastAsia="宋体" w:cs="宋体"/>
          <w:color w:val="auto"/>
          <w:szCs w:val="21"/>
          <w:highlight w:val="none"/>
          <w:lang w:val="en-US" w:eastAsia="zh-CN"/>
        </w:rPr>
        <w:t>的定标</w:t>
      </w:r>
      <w:r>
        <w:rPr>
          <w:rFonts w:hint="eastAsia" w:ascii="宋体" w:hAnsi="宋体" w:eastAsia="宋体" w:cs="宋体"/>
          <w:color w:val="auto"/>
          <w:szCs w:val="21"/>
          <w:highlight w:val="none"/>
          <w:lang w:eastAsia="zh-CN"/>
        </w:rPr>
        <w:t>备选人员名单中随机抽取确定。</w:t>
      </w:r>
      <w:r>
        <w:rPr>
          <w:rFonts w:hint="eastAsia" w:ascii="宋体" w:hAnsi="宋体" w:eastAsia="宋体" w:cs="宋体"/>
          <w:color w:val="auto"/>
          <w:szCs w:val="21"/>
          <w:highlight w:val="none"/>
          <w:lang w:val="en-US" w:eastAsia="zh-CN"/>
        </w:rPr>
        <w:t>定标备选人员</w:t>
      </w:r>
      <w:r>
        <w:rPr>
          <w:rFonts w:hint="eastAsia" w:ascii="宋体" w:hAnsi="宋体" w:eastAsia="宋体" w:cs="宋体"/>
          <w:color w:val="auto"/>
          <w:szCs w:val="21"/>
          <w:highlight w:val="none"/>
        </w:rPr>
        <w:t>从招标人、项目业主或者使用单位的领导班子成员、经营管理人员中产生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确有需要的，财政性资金投资工程的招标人可以从本系统上下级主管部门或者系统外相关部门工作人员中确定成员；非财政性国有资金投资工程的招标人可以从与其有利益关系的母公司、子公司人员中确定成员。</w:t>
      </w:r>
      <w:r>
        <w:rPr>
          <w:rFonts w:hint="eastAsia" w:ascii="宋体" w:hAnsi="宋体" w:eastAsia="宋体" w:cs="宋体"/>
          <w:color w:val="auto"/>
          <w:szCs w:val="21"/>
          <w:highlight w:val="none"/>
          <w:lang w:val="en-US" w:eastAsia="zh-CN"/>
        </w:rPr>
        <w:t xml:space="preserve">   </w:t>
      </w:r>
    </w:p>
    <w:p w14:paraId="54F9343F">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b w:val="0"/>
          <w:bCs/>
          <w:color w:val="auto"/>
          <w:kern w:val="0"/>
          <w:szCs w:val="21"/>
          <w:highlight w:val="none"/>
        </w:rPr>
        <w:t>6.4.</w:t>
      </w:r>
      <w:r>
        <w:rPr>
          <w:rFonts w:hint="eastAsia" w:ascii="宋体" w:hAnsi="宋体" w:eastAsia="宋体" w:cs="宋体"/>
          <w:b w:val="0"/>
          <w:bCs/>
          <w:color w:val="auto"/>
          <w:kern w:val="0"/>
          <w:szCs w:val="21"/>
          <w:highlight w:val="none"/>
          <w:lang w:val="en-US" w:eastAsia="zh-CN"/>
        </w:rPr>
        <w:t>5</w:t>
      </w:r>
      <w:r>
        <w:rPr>
          <w:rFonts w:hint="eastAsia" w:ascii="宋体" w:hAnsi="宋体" w:eastAsia="宋体" w:cs="宋体"/>
          <w:color w:val="auto"/>
          <w:szCs w:val="21"/>
          <w:highlight w:val="none"/>
        </w:rPr>
        <w:t>定标委员会应当在定标会上推荐定标组长，招标人的法定代表人或者主要负责人参加定标委员会的，由其直接担任定标委员会组长。招标人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建设单位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应同时组建</w:t>
      </w:r>
      <w:r>
        <w:rPr>
          <w:rFonts w:hint="eastAsia" w:ascii="宋体" w:hAnsi="宋体" w:eastAsia="宋体" w:cs="宋体"/>
          <w:color w:val="auto"/>
          <w:szCs w:val="21"/>
          <w:highlight w:val="none"/>
          <w:lang w:val="en-US" w:eastAsia="zh-CN"/>
        </w:rPr>
        <w:t>定标</w:t>
      </w:r>
      <w:r>
        <w:rPr>
          <w:rFonts w:hint="eastAsia" w:ascii="宋体" w:hAnsi="宋体" w:eastAsia="宋体" w:cs="宋体"/>
          <w:color w:val="auto"/>
          <w:szCs w:val="21"/>
          <w:highlight w:val="none"/>
        </w:rPr>
        <w:t>监督小组，对定标委员会的组建以及定标进行见证监督，实行全过程记录和可追溯管理。</w:t>
      </w:r>
      <w:r>
        <w:rPr>
          <w:rFonts w:hint="eastAsia" w:ascii="宋体" w:hAnsi="宋体" w:eastAsia="宋体" w:cs="宋体"/>
          <w:color w:val="auto"/>
          <w:szCs w:val="21"/>
          <w:highlight w:val="none"/>
          <w:lang w:val="en-US" w:eastAsia="zh-CN"/>
        </w:rPr>
        <w:t>实行</w:t>
      </w:r>
      <w:r>
        <w:rPr>
          <w:rFonts w:hint="eastAsia" w:ascii="宋体" w:hAnsi="宋体" w:eastAsia="宋体" w:cs="宋体"/>
          <w:color w:val="auto"/>
          <w:szCs w:val="21"/>
          <w:highlight w:val="none"/>
          <w:lang w:eastAsia="zh-CN"/>
        </w:rPr>
        <w:t>市场化代建的建设工程项目，定标监督小组</w:t>
      </w:r>
      <w:r>
        <w:rPr>
          <w:rFonts w:hint="eastAsia" w:ascii="宋体" w:hAnsi="宋体" w:eastAsia="宋体" w:cs="宋体"/>
          <w:color w:val="auto"/>
          <w:szCs w:val="21"/>
          <w:highlight w:val="none"/>
          <w:lang w:val="en-US" w:eastAsia="zh-CN"/>
        </w:rPr>
        <w:t>由建设单位组建</w:t>
      </w:r>
      <w:r>
        <w:rPr>
          <w:rStyle w:val="136"/>
          <w:rFonts w:hint="eastAsia" w:ascii="宋体" w:hAnsi="宋体" w:eastAsia="宋体" w:cs="宋体"/>
          <w:color w:val="auto"/>
          <w:szCs w:val="21"/>
          <w:highlight w:val="none"/>
        </w:rPr>
        <w:t>[</w:t>
      </w:r>
      <w:r>
        <w:rPr>
          <w:rStyle w:val="136"/>
          <w:rFonts w:hint="eastAsia" w:ascii="宋体" w:hAnsi="宋体" w:eastAsia="宋体" w:cs="宋体"/>
          <w:color w:val="auto"/>
          <w:szCs w:val="21"/>
          <w:highlight w:val="none"/>
        </w:rPr>
        <w:footnoteReference w:id="8"/>
      </w:r>
      <w:r>
        <w:rPr>
          <w:rStyle w:val="136"/>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p>
    <w:p w14:paraId="27E91F49">
      <w:pPr>
        <w:adjustRightInd w:val="0"/>
        <w:snapToGrid w:val="0"/>
        <w:spacing w:line="360" w:lineRule="auto"/>
        <w:ind w:firstLine="411" w:firstLineChars="196"/>
        <w:rPr>
          <w:rFonts w:ascii="宋体" w:hAnsi="宋体" w:eastAsia="宋体" w:cs="宋体"/>
          <w:strike/>
          <w:color w:val="auto"/>
          <w:szCs w:val="21"/>
          <w:highlight w:val="none"/>
        </w:rPr>
      </w:pPr>
      <w:r>
        <w:rPr>
          <w:rFonts w:hint="eastAsia" w:ascii="宋体" w:hAnsi="宋体" w:eastAsia="宋体" w:cs="宋体"/>
          <w:color w:val="auto"/>
          <w:kern w:val="0"/>
          <w:szCs w:val="21"/>
          <w:highlight w:val="none"/>
        </w:rPr>
        <w:t>6.4.</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招标人组建定标委员会后，进入</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召开定标会。</w:t>
      </w:r>
      <w:r>
        <w:rPr>
          <w:rFonts w:hint="eastAsia" w:ascii="宋体" w:hAnsi="宋体" w:eastAsia="宋体" w:cs="宋体"/>
          <w:color w:val="auto"/>
          <w:szCs w:val="21"/>
          <w:highlight w:val="none"/>
        </w:rPr>
        <w:t>定标委员会在定标时查看加密的项目定标方案，在综合考量评标委员会评审意见、招标人清标情况的基础上，按照既定的项目定标方案独立行使投票权，并明确理由。定标委员会成员在定标系统中提交选票（须说明推荐理由），并打印选票签名确认，定标过程公开、公平、公正。定标委员会按有关规定及招标文件约定的定标方法确定一名中标人。</w:t>
      </w:r>
    </w:p>
    <w:p w14:paraId="258127A2">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招标人应当自评标结束后10个工作日内进入</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进行定标。不能按时定标的，应当通过交易网公示延期原因和最终定标时间。</w:t>
      </w:r>
    </w:p>
    <w:p w14:paraId="6C259B16">
      <w:pPr>
        <w:adjustRightInd w:val="0"/>
        <w:snapToGrid w:val="0"/>
        <w:spacing w:line="360" w:lineRule="auto"/>
        <w:ind w:firstLine="411" w:firstLineChars="196"/>
        <w:rPr>
          <w:rFonts w:ascii="宋体" w:hAnsi="宋体" w:eastAsia="宋体" w:cs="宋体"/>
          <w:color w:val="auto"/>
          <w:szCs w:val="21"/>
          <w:highlight w:val="none"/>
        </w:rPr>
      </w:pPr>
      <w:r>
        <w:rPr>
          <w:rFonts w:hint="eastAsia" w:ascii="宋体" w:hAnsi="宋体" w:eastAsia="宋体" w:cs="宋体"/>
          <w:color w:val="auto"/>
          <w:kern w:val="0"/>
          <w:szCs w:val="21"/>
          <w:highlight w:val="none"/>
        </w:rPr>
        <w:t>6.4.</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szCs w:val="21"/>
          <w:highlight w:val="none"/>
        </w:rPr>
        <w:t>招标人应在定标结束后将定标记录、定标报告交由深圳交易集团有限公司（深圳公共资源交易中心）归档并同时公示定标结果和中标结果。定标记录应包括定标委员会会议过程、正式成员名单</w:t>
      </w:r>
      <w:r>
        <w:rPr>
          <w:rFonts w:hint="eastAsia" w:ascii="宋体" w:hAnsi="宋体" w:eastAsia="宋体" w:cs="宋体"/>
          <w:color w:val="auto"/>
          <w:szCs w:val="21"/>
          <w:highlight w:val="none"/>
          <w:lang w:eastAsia="zh-CN"/>
        </w:rPr>
        <w:t>、监督小组名单</w:t>
      </w:r>
      <w:r>
        <w:rPr>
          <w:rFonts w:hint="eastAsia" w:ascii="宋体" w:hAnsi="宋体" w:eastAsia="宋体" w:cs="宋体"/>
          <w:color w:val="auto"/>
          <w:szCs w:val="21"/>
          <w:highlight w:val="none"/>
        </w:rPr>
        <w:t>。定标报告应包括定标委员会的产生过程、定标程序及定标结果等内容。招标人提交中标信息确认时，应认真核对中标公示信息，无误后再签名确认。</w:t>
      </w:r>
    </w:p>
    <w:p w14:paraId="7D658187">
      <w:pPr>
        <w:adjustRightInd w:val="0"/>
        <w:snapToGrid w:val="0"/>
        <w:spacing w:line="360" w:lineRule="auto"/>
        <w:ind w:firstLine="411" w:firstLineChars="196"/>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6.4.</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szCs w:val="21"/>
          <w:highlight w:val="none"/>
        </w:rPr>
        <w:t>招标人应当向定标委员会提供项目定标方案、清标报告作为定标辅助材料。定标结束后，项目定标方案、清标报告及定标委员投票结果等定标过程资料应当留存备查。</w:t>
      </w:r>
    </w:p>
    <w:p w14:paraId="76623C84">
      <w:pPr>
        <w:adjustRightInd w:val="0"/>
        <w:snapToGrid w:val="0"/>
        <w:spacing w:line="360" w:lineRule="auto"/>
        <w:jc w:val="left"/>
        <w:rPr>
          <w:rFonts w:hint="default" w:ascii="宋体" w:hAnsi="宋体" w:eastAsia="宋体" w:cs="宋体"/>
          <w:b/>
          <w:strike/>
          <w:color w:val="auto"/>
          <w:kern w:val="0"/>
          <w:highlight w:val="none"/>
        </w:rPr>
      </w:pPr>
      <w:r>
        <w:rPr>
          <w:rFonts w:hint="eastAsia" w:ascii="宋体" w:hAnsi="宋体" w:eastAsia="宋体" w:cs="宋体"/>
          <w:b/>
          <w:color w:val="auto"/>
          <w:kern w:val="0"/>
          <w:highlight w:val="none"/>
        </w:rPr>
        <w:t>6.5</w:t>
      </w:r>
      <w:r>
        <w:rPr>
          <w:rFonts w:hint="eastAsia" w:ascii="宋体" w:hAnsi="宋体" w:eastAsia="宋体" w:cs="宋体"/>
          <w:b/>
          <w:strike w:val="0"/>
          <w:color w:val="auto"/>
          <w:kern w:val="0"/>
          <w:highlight w:val="none"/>
          <w:lang w:val="en-US" w:eastAsia="zh-CN"/>
        </w:rPr>
        <w:t>重新定标</w:t>
      </w:r>
    </w:p>
    <w:p w14:paraId="63ECFAFE">
      <w:pPr>
        <w:spacing w:line="360" w:lineRule="auto"/>
        <w:ind w:firstLine="422" w:firstLineChars="200"/>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定标后有下列情形之一的，招标人可以从评审合格的其他投标人中采用原招标文件规定的定标方法，由原定标委员会确定中标人。</w:t>
      </w:r>
      <w:r>
        <w:rPr>
          <w:rFonts w:hint="eastAsia" w:ascii="宋体" w:hAnsi="宋体" w:eastAsia="宋体" w:cs="宋体"/>
          <w:b/>
          <w:bCs/>
          <w:strike w:val="0"/>
          <w:color w:val="auto"/>
          <w:szCs w:val="21"/>
          <w:highlight w:val="none"/>
          <w:lang w:val="en-US" w:eastAsia="zh-CN"/>
        </w:rPr>
        <w:t>原定标委员会成员不能出席的，可按原定标委员会的确定方式补足定标委员会成员。</w:t>
      </w:r>
    </w:p>
    <w:p w14:paraId="573A9E2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5.1中标人放弃中标资格或者拒不签订合同的；</w:t>
      </w:r>
    </w:p>
    <w:p w14:paraId="291F50D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5.2中标人不按照招标文件要求提交履约担保的；</w:t>
      </w:r>
    </w:p>
    <w:p w14:paraId="24A4EF88">
      <w:pPr>
        <w:adjustRightInd/>
        <w:snapToGrid/>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5.3被查实存在影响中标结果违法行为的。</w:t>
      </w:r>
    </w:p>
    <w:p w14:paraId="4B8B9A9D">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6.6资信标表格</w:t>
      </w:r>
    </w:p>
    <w:p w14:paraId="6FA530BC">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招标人可以结合项目实际要求投标人提供资信标作为定标参考因素之一。</w:t>
      </w:r>
    </w:p>
    <w:p w14:paraId="001D5F13">
      <w:pPr>
        <w:adjustRightInd w:val="0"/>
        <w:snapToGrid w:val="0"/>
        <w:spacing w:line="360" w:lineRule="auto"/>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资信标要求一览表（如有）</w:t>
      </w:r>
    </w:p>
    <w:tbl>
      <w:tblPr>
        <w:tblStyle w:val="7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989"/>
        <w:gridCol w:w="4113"/>
      </w:tblGrid>
      <w:tr w14:paraId="4AE9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0" w:type="dxa"/>
            <w:vAlign w:val="center"/>
          </w:tcPr>
          <w:p w14:paraId="76B423C1">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989" w:type="dxa"/>
            <w:vAlign w:val="center"/>
          </w:tcPr>
          <w:p w14:paraId="7AA49AD9">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资信要素名称</w:t>
            </w:r>
          </w:p>
        </w:tc>
        <w:tc>
          <w:tcPr>
            <w:tcW w:w="4113" w:type="dxa"/>
            <w:vAlign w:val="center"/>
          </w:tcPr>
          <w:p w14:paraId="7F5AC910">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有关要求或说明</w:t>
            </w:r>
          </w:p>
        </w:tc>
      </w:tr>
      <w:tr w14:paraId="0FAA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14:paraId="1FA5B094">
            <w:pPr>
              <w:adjustRightInd w:val="0"/>
              <w:snapToGrid w:val="0"/>
              <w:spacing w:line="360" w:lineRule="auto"/>
              <w:jc w:val="center"/>
              <w:rPr>
                <w:rFonts w:ascii="宋体" w:hAnsi="宋体" w:eastAsia="宋体" w:cs="宋体"/>
                <w:color w:val="auto"/>
                <w:kern w:val="0"/>
                <w:sz w:val="20"/>
                <w:szCs w:val="21"/>
                <w:highlight w:val="none"/>
              </w:rPr>
            </w:pPr>
            <w:bookmarkStart w:id="25" w:name="资信标要求一览表" w:colFirst="0" w:colLast="0"/>
          </w:p>
        </w:tc>
        <w:tc>
          <w:tcPr>
            <w:tcW w:w="2989" w:type="dxa"/>
            <w:vAlign w:val="center"/>
          </w:tcPr>
          <w:p w14:paraId="6544BE3E">
            <w:pPr>
              <w:adjustRightInd w:val="0"/>
              <w:snapToGrid w:val="0"/>
              <w:spacing w:line="360" w:lineRule="auto"/>
              <w:rPr>
                <w:rFonts w:ascii="宋体" w:hAnsi="宋体" w:eastAsia="宋体" w:cs="宋体"/>
                <w:color w:val="auto"/>
                <w:kern w:val="0"/>
                <w:sz w:val="20"/>
                <w:szCs w:val="21"/>
                <w:highlight w:val="none"/>
              </w:rPr>
            </w:pPr>
          </w:p>
        </w:tc>
        <w:tc>
          <w:tcPr>
            <w:tcW w:w="4113" w:type="dxa"/>
            <w:vAlign w:val="center"/>
          </w:tcPr>
          <w:p w14:paraId="30EBC3D3">
            <w:pPr>
              <w:adjustRightInd w:val="0"/>
              <w:snapToGrid w:val="0"/>
              <w:spacing w:line="360" w:lineRule="auto"/>
              <w:rPr>
                <w:rFonts w:ascii="宋体" w:hAnsi="宋体" w:eastAsia="宋体" w:cs="宋体"/>
                <w:color w:val="auto"/>
                <w:kern w:val="0"/>
                <w:sz w:val="20"/>
                <w:szCs w:val="21"/>
                <w:highlight w:val="none"/>
              </w:rPr>
            </w:pPr>
          </w:p>
        </w:tc>
      </w:tr>
      <w:bookmarkEnd w:id="25"/>
    </w:tbl>
    <w:p w14:paraId="2A530326">
      <w:pPr>
        <w:adjustRightInd w:val="0"/>
        <w:snapToGrid w:val="0"/>
        <w:spacing w:line="360" w:lineRule="auto"/>
        <w:rPr>
          <w:rFonts w:ascii="宋体" w:hAnsi="宋体" w:eastAsia="宋体" w:cs="宋体"/>
          <w:color w:val="auto"/>
          <w:kern w:val="0"/>
          <w:szCs w:val="21"/>
          <w:highlight w:val="none"/>
        </w:rPr>
      </w:pPr>
    </w:p>
    <w:p w14:paraId="4F2AA5AB">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备注：资信要素不进行评审，真实性通过公示予以监督。</w:t>
      </w:r>
    </w:p>
    <w:p w14:paraId="63283BF0">
      <w:pPr>
        <w:adjustRightInd w:val="0"/>
        <w:snapToGrid w:val="0"/>
        <w:spacing w:line="360" w:lineRule="auto"/>
        <w:jc w:val="center"/>
        <w:outlineLvl w:val="2"/>
        <w:rPr>
          <w:rFonts w:ascii="宋体" w:hAnsi="宋体" w:eastAsia="宋体" w:cs="宋体"/>
          <w:b/>
          <w:color w:val="auto"/>
          <w:kern w:val="0"/>
          <w:sz w:val="30"/>
          <w:highlight w:val="none"/>
        </w:rPr>
      </w:pPr>
      <w:bookmarkStart w:id="26" w:name="_Toc10227"/>
      <w:bookmarkStart w:id="27" w:name="_Toc4937"/>
      <w:bookmarkStart w:id="28" w:name="_Toc158"/>
      <w:r>
        <w:rPr>
          <w:rFonts w:hint="eastAsia" w:ascii="宋体" w:hAnsi="宋体" w:eastAsia="宋体" w:cs="宋体"/>
          <w:b/>
          <w:color w:val="auto"/>
          <w:kern w:val="0"/>
          <w:sz w:val="30"/>
          <w:highlight w:val="none"/>
        </w:rPr>
        <w:t>（七）中标通知书</w:t>
      </w:r>
      <w:bookmarkEnd w:id="26"/>
      <w:bookmarkEnd w:id="27"/>
    </w:p>
    <w:p w14:paraId="62A8C0E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招标人应按前附表规定向中标人发出中标通知书。</w:t>
      </w:r>
    </w:p>
    <w:p w14:paraId="77497C35">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招标人在发出中标通知书之前因正当理由，经行政监督部门批准并经交易网公示3个工作日后，招标人有权接受或拒绝投标、宣布投标程序无效或拒绝所有投标。对受影响的投标人不承担任何责任。</w:t>
      </w:r>
    </w:p>
    <w:p w14:paraId="01C9C579">
      <w:pPr>
        <w:adjustRightInd w:val="0"/>
        <w:snapToGrid w:val="0"/>
        <w:spacing w:line="360" w:lineRule="auto"/>
        <w:jc w:val="center"/>
        <w:outlineLvl w:val="2"/>
        <w:rPr>
          <w:rFonts w:ascii="宋体" w:hAnsi="宋体" w:eastAsia="宋体" w:cs="宋体"/>
          <w:b/>
          <w:color w:val="auto"/>
          <w:kern w:val="0"/>
          <w:sz w:val="30"/>
          <w:highlight w:val="none"/>
        </w:rPr>
      </w:pPr>
      <w:bookmarkStart w:id="29" w:name="_Toc22074"/>
      <w:bookmarkStart w:id="30" w:name="_Toc5986"/>
      <w:r>
        <w:rPr>
          <w:rFonts w:hint="eastAsia" w:ascii="宋体" w:hAnsi="宋体" w:eastAsia="宋体" w:cs="宋体"/>
          <w:b/>
          <w:color w:val="auto"/>
          <w:kern w:val="0"/>
          <w:sz w:val="30"/>
          <w:highlight w:val="none"/>
        </w:rPr>
        <w:t>（八）合同授予</w:t>
      </w:r>
      <w:bookmarkEnd w:id="29"/>
      <w:bookmarkEnd w:id="30"/>
    </w:p>
    <w:p w14:paraId="22EC68B6">
      <w:pPr>
        <w:adjustRightInd w:val="0"/>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kern w:val="0"/>
          <w:szCs w:val="21"/>
          <w:highlight w:val="none"/>
        </w:rPr>
        <w:t>招标人应按照前附表规定时间，参照本示范文本第六章《合同条款》与中标人订立合同。招标人与中标人签订设计合同，必须遵守本招标文件和投标文件中的合同条件，不得随意更改。</w:t>
      </w:r>
    </w:p>
    <w:bookmarkEnd w:id="28"/>
    <w:p w14:paraId="5C741577">
      <w:pPr>
        <w:rPr>
          <w:rFonts w:ascii="宋体" w:hAnsi="宋体" w:eastAsia="宋体" w:cs="宋体"/>
          <w:color w:val="auto"/>
          <w:highlight w:val="none"/>
        </w:rPr>
      </w:pPr>
      <w:bookmarkStart w:id="31" w:name="_Toc22693"/>
      <w:bookmarkStart w:id="32" w:name="_Toc21003"/>
      <w:bookmarkStart w:id="33" w:name="_Toc17283"/>
      <w:r>
        <w:rPr>
          <w:rFonts w:hint="eastAsia" w:ascii="宋体" w:hAnsi="宋体" w:eastAsia="宋体" w:cs="宋体"/>
          <w:color w:val="auto"/>
          <w:highlight w:val="none"/>
        </w:rPr>
        <w:br w:type="page"/>
      </w:r>
    </w:p>
    <w:p w14:paraId="43E33666">
      <w:pPr>
        <w:adjustRightInd w:val="0"/>
        <w:snapToGrid w:val="0"/>
        <w:spacing w:line="360" w:lineRule="auto"/>
        <w:jc w:val="left"/>
        <w:outlineLvl w:val="3"/>
        <w:rPr>
          <w:rFonts w:ascii="宋体" w:hAnsi="宋体" w:eastAsia="宋体" w:cs="宋体"/>
          <w:b/>
          <w:color w:val="auto"/>
          <w:kern w:val="0"/>
          <w:highlight w:val="none"/>
        </w:rPr>
      </w:pPr>
      <w:r>
        <w:rPr>
          <w:rFonts w:hint="eastAsia" w:ascii="宋体" w:hAnsi="宋体" w:eastAsia="宋体" w:cs="宋体"/>
          <w:b/>
          <w:color w:val="auto"/>
          <w:kern w:val="0"/>
          <w:highlight w:val="none"/>
        </w:rPr>
        <w:t>附件1：评标要素</w:t>
      </w:r>
      <w:bookmarkEnd w:id="31"/>
      <w:bookmarkEnd w:id="32"/>
      <w:bookmarkEnd w:id="33"/>
      <w:r>
        <w:rPr>
          <w:rFonts w:hint="eastAsia" w:ascii="宋体" w:hAnsi="宋体" w:eastAsia="宋体" w:cs="宋体"/>
          <w:b/>
          <w:color w:val="auto"/>
          <w:kern w:val="0"/>
          <w:highlight w:val="none"/>
        </w:rPr>
        <w:t>（仅供参考）</w:t>
      </w:r>
    </w:p>
    <w:p w14:paraId="408FA3D0">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一、市政工程设计评标评审要素可设置如下：</w:t>
      </w:r>
    </w:p>
    <w:p w14:paraId="013D2236">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设计依据：设计依据是否充分，项目是否取得规划等政府有关部门或有关单位的批复文件；项目设计方案和经济技术指标等，是否符合规划用地条件和有关要求，是否响应招标文件；作为设计依据而选用的工程建设标准，是否适用、是否现行有效。</w:t>
      </w:r>
    </w:p>
    <w:p w14:paraId="777C1FBF">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（二）场地资料：建设项目现状的场地资料，是否收集齐全，是否表达准确。</w:t>
      </w:r>
    </w:p>
    <w:p w14:paraId="43C1A08C">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（三）设计范围：投标文件中设计范围是否完整、有无漏项，是否符合招标文件约定；是否含有海绵城市设施、水土保持和再生建材产品利用等内容；是否明确工程规模和概况等；</w:t>
      </w:r>
    </w:p>
    <w:p w14:paraId="1F2CDCA7">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设计内容：设计方案是否符合强制性工程建设标准、公共安全和公众利益，工程造价是否得到有效控制；交通组织是否合理、安全；结构及水、电、气等专业设计方案，总体上是否经济、合理、安全；桥梁造型、道路形态等，是否遵循工程美学设计原则，总体观感是否舒适；景观绿化设计是否协调等。</w:t>
      </w:r>
    </w:p>
    <w:p w14:paraId="5D371A49">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（五）方案比较：主体工程是否有设计方案比较，方案比较是否充分、合理；所推荐设计方案是否合理、可行。</w:t>
      </w:r>
    </w:p>
    <w:p w14:paraId="5904EE71">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（六）设计表达：投标文件格式是否规范，设计深度是否符合招标文件约定。</w:t>
      </w:r>
    </w:p>
    <w:p w14:paraId="0B289236">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（七）BIM应用：招标文件要求采用BIM技术的，投标文件的BIM实施方案、</w:t>
      </w:r>
      <w:r>
        <w:rPr>
          <w:rFonts w:hint="eastAsia" w:ascii="宋体" w:hAnsi="宋体" w:eastAsia="宋体" w:cs="宋体"/>
          <w:color w:val="auto"/>
          <w:szCs w:val="21"/>
          <w:highlight w:val="none"/>
        </w:rPr>
        <w:t>建模范围、建模精度、成果文件格式等</w:t>
      </w:r>
      <w:r>
        <w:rPr>
          <w:rFonts w:hint="eastAsia" w:ascii="宋体" w:hAnsi="宋体" w:eastAsia="宋体" w:cs="宋体"/>
          <w:color w:val="auto"/>
          <w:kern w:val="0"/>
          <w:szCs w:val="21"/>
          <w:highlight w:val="none"/>
        </w:rPr>
        <w:t>是否有效响应。</w:t>
      </w:r>
    </w:p>
    <w:p w14:paraId="2396CF00">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（八）装配式建设：招标文件要求项目按装配式建设的，投标文件是否有效响应。</w:t>
      </w:r>
    </w:p>
    <w:p w14:paraId="6EA824A1">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（九）沙盘或实体模型：招标文件要求提交沙盘或实体工程模型的，投标人是否</w:t>
      </w:r>
      <w:r>
        <w:rPr>
          <w:rFonts w:hint="eastAsia" w:ascii="宋体" w:hAnsi="宋体" w:eastAsia="宋体" w:cs="宋体"/>
          <w:color w:val="auto"/>
          <w:kern w:val="0"/>
          <w:szCs w:val="21"/>
          <w:highlight w:val="none"/>
          <w:lang w:val="en-US" w:eastAsia="zh-CN"/>
        </w:rPr>
        <w:t>有</w:t>
      </w:r>
      <w:r>
        <w:rPr>
          <w:rFonts w:hint="eastAsia" w:ascii="宋体" w:hAnsi="宋体" w:eastAsia="宋体" w:cs="宋体"/>
          <w:color w:val="auto"/>
          <w:kern w:val="0"/>
          <w:szCs w:val="21"/>
          <w:highlight w:val="none"/>
        </w:rPr>
        <w:t>效响应。</w:t>
      </w:r>
    </w:p>
    <w:p w14:paraId="0E1133A6">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（十）招标文件约定的其他设计内容，以及工期、设计费、配合服务等，投标文件是否有效响应。</w:t>
      </w:r>
    </w:p>
    <w:p w14:paraId="1398A5E4">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二、按设计团队招标模式的，评标委员会主要评审投标人单位综合实力。评审要素可侧重设置如下：</w:t>
      </w:r>
    </w:p>
    <w:p w14:paraId="1CF4FC47">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（一）团队成员：投标人拟投入设计团队人员的基本信息（姓名、专业、年龄、职称、注册、岗位）；主创设计人和各专业负责人的既往勘察设计业绩、勘察设计获奖和勘察设计类社会荣誉。</w:t>
      </w:r>
    </w:p>
    <w:p w14:paraId="1C7332DA">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（二）项目解读：阐明对于招标项目的独立理解和勘察设计构思，解读项目方案，设计项目能否满足“适用、经济、绿色、美观”建筑方针。 </w:t>
      </w:r>
    </w:p>
    <w:p w14:paraId="2CAC184D">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（三）单位资信：或考核企业信用信息、信用等级或信用评价结果；或考核企业近一年受到建设主管部门行政处罚或不良行为记录情况；或考核企业近三年勘察设计获奖和既往同类项目勘察设计业绩。</w:t>
      </w:r>
    </w:p>
    <w:p w14:paraId="16220093">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服务能力：针对招标项目提出的勘察设计质量保障措施如何；勘察设计进度计划的合理性、可行性以及是否响应招标文件要求；勘察单位配合服务设计单位和施工单位；设计单位技术交底和施工现场服务等设计后续配合服务，是否承诺提供到位。</w:t>
      </w:r>
    </w:p>
    <w:p w14:paraId="59F0D72E">
      <w:pPr>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highlight w:val="none"/>
        </w:rPr>
        <w:br w:type="page"/>
      </w:r>
    </w:p>
    <w:p w14:paraId="021B8308">
      <w:pPr>
        <w:adjustRightInd w:val="0"/>
        <w:snapToGrid w:val="0"/>
        <w:spacing w:line="360" w:lineRule="auto"/>
        <w:jc w:val="left"/>
        <w:outlineLvl w:val="3"/>
        <w:rPr>
          <w:rFonts w:ascii="宋体" w:hAnsi="宋体" w:eastAsia="宋体" w:cs="宋体"/>
          <w:b/>
          <w:color w:val="auto"/>
          <w:kern w:val="0"/>
          <w:highlight w:val="none"/>
        </w:rPr>
      </w:pPr>
      <w:bookmarkStart w:id="34" w:name="_Toc8651"/>
      <w:bookmarkStart w:id="35" w:name="_Toc14878"/>
      <w:bookmarkStart w:id="36" w:name="_Toc25386"/>
      <w:bookmarkStart w:id="37" w:name="_Toc9035"/>
      <w:r>
        <w:rPr>
          <w:rFonts w:hint="eastAsia" w:ascii="宋体" w:hAnsi="宋体" w:eastAsia="宋体" w:cs="宋体"/>
          <w:b/>
          <w:color w:val="auto"/>
          <w:kern w:val="0"/>
          <w:highlight w:val="none"/>
        </w:rPr>
        <w:t>附件2：定标要素</w:t>
      </w:r>
      <w:bookmarkEnd w:id="34"/>
      <w:bookmarkEnd w:id="35"/>
      <w:bookmarkEnd w:id="36"/>
      <w:bookmarkEnd w:id="37"/>
      <w:r>
        <w:rPr>
          <w:rFonts w:hint="eastAsia" w:ascii="宋体" w:hAnsi="宋体" w:eastAsia="宋体" w:cs="宋体"/>
          <w:b/>
          <w:color w:val="auto"/>
          <w:kern w:val="0"/>
          <w:highlight w:val="none"/>
        </w:rPr>
        <w:t>（仅供参考）</w:t>
      </w:r>
    </w:p>
    <w:p w14:paraId="06E287F7">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一、项目按设计方案（或勘察方案）招标模式的，定标委员会侧重对投标文件内容完整性、项目功能布局和经济技术指标等要素进行简单复核，并可查验投标人单位信用概况。针对工程设计投标文件内容，定标评审要素可设置如下：</w:t>
      </w:r>
    </w:p>
    <w:p w14:paraId="1849234F">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（一）复核项目设计是否符合规划用地条件。</w:t>
      </w:r>
    </w:p>
    <w:p w14:paraId="54DAF57F">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（二）复核主要经济技术指标是否符合规划许可要求和招标文件要求。</w:t>
      </w:r>
    </w:p>
    <w:p w14:paraId="6B006AB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（三）复核项目总体布置是否合理，是否出现重大漏项。</w:t>
      </w:r>
    </w:p>
    <w:p w14:paraId="4FE89FA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（四）复核项目使用功能是否符合招标文件要求。</w:t>
      </w:r>
    </w:p>
    <w:p w14:paraId="64B0F862">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五）复核招标文件中载明的如下设计内容是否漏项：（1）房屋建筑工程：结构、电气、给排水、通风空调、专项工程（建筑装饰工程、建筑幕墙工程、轻型钢结构工程、建筑智能化系统、消防设施工程、照明工程、风景园林工程、环境工程）、工业建筑复杂工艺、绿色建筑、海绵城市设施、装配式建筑和其他设计内容（燃气工程、特殊工艺、标识系统、基坑支护、设计前期工程咨询、路口开设或市政管线衔接等）；（2）市政工程：装配式建设模式、海绵城市设施、水土保持和再生建材产品利用等。</w:t>
      </w:r>
    </w:p>
    <w:p w14:paraId="01DF162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（六）</w:t>
      </w:r>
      <w:r>
        <w:rPr>
          <w:rFonts w:hint="eastAsia" w:ascii="宋体" w:hAnsi="宋体" w:eastAsia="宋体" w:cs="宋体"/>
          <w:color w:val="auto"/>
          <w:kern w:val="0"/>
          <w:szCs w:val="21"/>
          <w:highlight w:val="none"/>
        </w:rPr>
        <w:t>复核基于BIM的成果文件的范围、精度、BIM实施能力、BIM实施方案等是否符合招标文件要求，查验沙盘或实体模型是否按招标文件要求提供。</w:t>
      </w:r>
    </w:p>
    <w:p w14:paraId="660BB7F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（七）复核设计进度（工期）、设计费是否满足招标文件要求；复核设计技术交底和施工现场服务等设计后续配合服务，是否承诺提供到位。</w:t>
      </w:r>
    </w:p>
    <w:p w14:paraId="2651ADA7">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（八）查验投标人的企业信用信息、信用等级或信用评价结果，或查验企业近一年受到工程建设主管部门行政处罚或不良行为记录情况。</w:t>
      </w:r>
    </w:p>
    <w:p w14:paraId="75CB7F8D">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二、 项目按设计团队招标模式的，评标委员会侧重复核投标人单位综合实力，并可查验投标文件是否出现重大疏漏或差错。针对投标文件，定标评审要素可设置如下：</w:t>
      </w:r>
    </w:p>
    <w:p w14:paraId="0323B5DD">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（一）复核投标人拟投入团队主创设计人（或项目负责人）和各专业负责人的既往勘察设计业绩、勘察设计获奖和勘察设计类社会荣誉。</w:t>
      </w:r>
    </w:p>
    <w:p w14:paraId="6C251C4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（二）复核投标人的企业信用信息、信用等级或信用评价结果，或近一年受到工程建设主管部门行政处罚或不良行为记录情况；复核企业近三年设计获奖和既往同类项目业绩。</w:t>
      </w:r>
    </w:p>
    <w:p w14:paraId="3D52BDAD">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三）查验勘察设计费约定是否招标文件要求；查验勘察设计进度计划是否合理、可行，是否响应招标文件要求；查验勘察设计质量保障措施是否全面、可靠；查验勘察单位配合服务设计单位和施工单位，以及设计技术交底和施工现场服务等设计后续配合服务，是否承诺提供到位；查验勘察工程技术人员配备情况。</w:t>
      </w:r>
    </w:p>
    <w:p w14:paraId="2FC97443">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（四）查验设计投标文件主要经济技术指标是否符合规划许可要求。</w:t>
      </w:r>
    </w:p>
    <w:p w14:paraId="4477CC27">
      <w:pPr>
        <w:adjustRightInd w:val="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（五）查验投标文件是否响应招标文件中载明的内容，是否出现漏项。</w:t>
      </w:r>
    </w:p>
    <w:p w14:paraId="5CAC86AA">
      <w:pPr>
        <w:adjustRightInd w:val="0"/>
        <w:snapToGrid w:val="0"/>
        <w:spacing w:line="360" w:lineRule="auto"/>
        <w:jc w:val="center"/>
        <w:outlineLvl w:val="0"/>
        <w:rPr>
          <w:rFonts w:ascii="黑体" w:eastAsia="黑体"/>
          <w:b/>
          <w:color w:val="auto"/>
          <w:kern w:val="0"/>
          <w:sz w:val="36"/>
          <w:highlight w:val="none"/>
        </w:rPr>
      </w:pPr>
      <w:r>
        <w:rPr>
          <w:rFonts w:ascii="宋体" w:hAnsi="宋体"/>
          <w:color w:val="auto"/>
          <w:kern w:val="0"/>
          <w:highlight w:val="none"/>
        </w:rPr>
        <w:br w:type="page"/>
      </w:r>
      <w:bookmarkStart w:id="38" w:name="_Toc13536"/>
      <w:bookmarkStart w:id="39" w:name="_Toc27341"/>
      <w:r>
        <w:rPr>
          <w:rFonts w:hint="eastAsia" w:ascii="黑体" w:eastAsia="黑体"/>
          <w:bCs/>
          <w:color w:val="auto"/>
          <w:kern w:val="0"/>
          <w:sz w:val="32"/>
          <w:szCs w:val="32"/>
          <w:highlight w:val="none"/>
        </w:rPr>
        <w:t xml:space="preserve">第三章 </w:t>
      </w:r>
      <w:r>
        <w:rPr>
          <w:rFonts w:ascii="黑体" w:eastAsia="黑体"/>
          <w:bCs/>
          <w:color w:val="auto"/>
          <w:kern w:val="0"/>
          <w:sz w:val="32"/>
          <w:szCs w:val="32"/>
          <w:highlight w:val="none"/>
        </w:rPr>
        <w:t xml:space="preserve"> </w:t>
      </w:r>
      <w:r>
        <w:rPr>
          <w:rFonts w:hint="eastAsia" w:ascii="黑体" w:eastAsia="黑体"/>
          <w:bCs/>
          <w:color w:val="auto"/>
          <w:kern w:val="0"/>
          <w:sz w:val="32"/>
          <w:szCs w:val="32"/>
          <w:highlight w:val="none"/>
        </w:rPr>
        <w:t>招标人对招标文件的补充/修改</w:t>
      </w:r>
      <w:bookmarkEnd w:id="38"/>
      <w:bookmarkEnd w:id="39"/>
    </w:p>
    <w:p w14:paraId="3BADC862">
      <w:pPr>
        <w:topLinePunct/>
        <w:adjustRightInd w:val="0"/>
        <w:snapToGrid w:val="0"/>
        <w:spacing w:line="360" w:lineRule="auto"/>
        <w:ind w:firstLine="420" w:firstLineChars="200"/>
        <w:rPr>
          <w:rFonts w:ascii="宋体" w:hAnsi="宋体"/>
          <w:color w:val="auto"/>
          <w:kern w:val="0"/>
          <w:szCs w:val="21"/>
          <w:highlight w:val="none"/>
        </w:rPr>
      </w:pPr>
    </w:p>
    <w:p w14:paraId="4DF89104">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招标人可根据工程实际情况，对本示范文本进行补充或修改，但有关补充或修改内容不得违法违规，且必须逐一列举在以下栏目中。请投标人认真阅读并遵照执行：</w:t>
      </w:r>
    </w:p>
    <w:p w14:paraId="7786BE6C">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3B2F2851">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1F4C1987">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24193E06">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以下空白。</w:t>
      </w:r>
    </w:p>
    <w:p w14:paraId="4D200016">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580E549D">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   标   人：</w:t>
      </w:r>
      <w:r>
        <w:rPr>
          <w:rFonts w:hint="eastAsia" w:ascii="宋体" w:hAnsi="宋体" w:eastAsia="宋体" w:cs="宋体"/>
          <w:color w:val="auto"/>
          <w:kern w:val="0"/>
          <w:szCs w:val="21"/>
          <w:highlight w:val="none"/>
          <w:u w:val="single"/>
        </w:rPr>
        <w:t xml:space="preserve">      </w:t>
      </w:r>
    </w:p>
    <w:p w14:paraId="6B8A144E">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3394D2EF">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r>
        <w:rPr>
          <w:rFonts w:hint="eastAsia" w:ascii="宋体" w:hAnsi="宋体" w:eastAsia="宋体" w:cs="宋体"/>
          <w:color w:val="auto"/>
          <w:kern w:val="0"/>
          <w:szCs w:val="21"/>
          <w:highlight w:val="none"/>
          <w:u w:val="single"/>
        </w:rPr>
        <w:t xml:space="preserve">      </w:t>
      </w:r>
    </w:p>
    <w:p w14:paraId="0B5E8DE4">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67414F3F">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编制日期：</w:t>
      </w:r>
      <w:r>
        <w:rPr>
          <w:rFonts w:hint="eastAsia" w:ascii="宋体" w:hAnsi="宋体" w:eastAsia="宋体" w:cs="宋体"/>
          <w:color w:val="auto"/>
          <w:kern w:val="0"/>
          <w:szCs w:val="21"/>
          <w:highlight w:val="none"/>
          <w:u w:val="single"/>
        </w:rPr>
        <w:t xml:space="preserve">      </w:t>
      </w:r>
    </w:p>
    <w:p w14:paraId="62BC7B80">
      <w:pPr>
        <w:rPr>
          <w:color w:val="auto"/>
          <w:highlight w:val="none"/>
        </w:rPr>
      </w:pPr>
      <w:r>
        <w:rPr>
          <w:rFonts w:hint="eastAsia"/>
          <w:color w:val="auto"/>
          <w:highlight w:val="none"/>
        </w:rPr>
        <w:br w:type="page"/>
      </w:r>
      <w:bookmarkStart w:id="40" w:name="_Toc13923"/>
      <w:bookmarkEnd w:id="40"/>
    </w:p>
    <w:p w14:paraId="58A237D8">
      <w:pPr>
        <w:adjustRightInd w:val="0"/>
        <w:snapToGrid w:val="0"/>
        <w:spacing w:line="360" w:lineRule="auto"/>
        <w:jc w:val="center"/>
        <w:outlineLvl w:val="0"/>
        <w:rPr>
          <w:rFonts w:ascii="黑体" w:hAnsi="黑体" w:eastAsia="黑体" w:cs="黑体"/>
          <w:b/>
          <w:color w:val="auto"/>
          <w:kern w:val="0"/>
          <w:sz w:val="32"/>
          <w:szCs w:val="32"/>
          <w:highlight w:val="none"/>
        </w:rPr>
      </w:pPr>
      <w:bookmarkStart w:id="41" w:name="_Toc7288"/>
      <w:r>
        <w:rPr>
          <w:rFonts w:hint="eastAsia" w:ascii="黑体" w:hAnsi="黑体" w:eastAsia="黑体" w:cs="黑体"/>
          <w:b/>
          <w:color w:val="auto"/>
          <w:kern w:val="0"/>
          <w:sz w:val="32"/>
          <w:szCs w:val="32"/>
          <w:highlight w:val="none"/>
        </w:rPr>
        <w:t>第四章  设计任务书及前期资料</w:t>
      </w:r>
      <w:bookmarkEnd w:id="41"/>
    </w:p>
    <w:p w14:paraId="5806281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设计任务书及前期资料</w:t>
      </w:r>
    </w:p>
    <w:p w14:paraId="6729C01B">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BIM要求（仅供参考）</w:t>
      </w:r>
    </w:p>
    <w:p w14:paraId="3DAC7E3A">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一 模型要求：</w:t>
      </w:r>
    </w:p>
    <w:p w14:paraId="1146DDA4">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（一） BIM模型设计要求：如BIM应用范围、精度、建筑指标分析等</w:t>
      </w:r>
    </w:p>
    <w:p w14:paraId="4D442939">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 BIM模型辅助展示：</w:t>
      </w:r>
    </w:p>
    <w:p w14:paraId="0C26B94F">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（三） BIM成果文件要求：</w:t>
      </w:r>
    </w:p>
    <w:p w14:paraId="12400908">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（四）……</w:t>
      </w:r>
    </w:p>
    <w:p w14:paraId="4A3E80D9">
      <w:pPr>
        <w:adjustRightInd w:val="0"/>
        <w:snapToGrid w:val="0"/>
        <w:spacing w:line="360" w:lineRule="auto"/>
        <w:ind w:firstLine="420" w:firstLineChars="200"/>
        <w:jc w:val="left"/>
        <w:rPr>
          <w:rFonts w:ascii="宋体" w:hAnsi="宋体"/>
          <w:color w:val="auto"/>
          <w:kern w:val="0"/>
          <w:szCs w:val="21"/>
          <w:highlight w:val="none"/>
        </w:rPr>
      </w:pPr>
    </w:p>
    <w:p w14:paraId="27F11257">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二、实施方案：</w:t>
      </w:r>
    </w:p>
    <w:p w14:paraId="4EEE311E">
      <w:pPr>
        <w:adjustRightInd w:val="0"/>
        <w:snapToGrid w:val="0"/>
        <w:spacing w:line="360" w:lineRule="auto"/>
        <w:ind w:firstLine="420" w:firstLineChars="200"/>
        <w:jc w:val="left"/>
        <w:rPr>
          <w:rFonts w:ascii="宋体" w:hAnsi="宋体" w:eastAsia="宋体" w:cs="宋体"/>
          <w:color w:val="auto"/>
          <w:highlight w:val="none"/>
        </w:rPr>
        <w:sectPr>
          <w:footerReference r:id="rId4" w:type="default"/>
          <w:pgSz w:w="11906" w:h="16838"/>
          <w:pgMar w:top="1417" w:right="1417" w:bottom="1417" w:left="1417" w:header="851" w:footer="992" w:gutter="0"/>
          <w:cols w:space="425" w:num="1"/>
          <w:docGrid w:type="lines" w:linePitch="312" w:charSpace="0"/>
        </w:sectPr>
      </w:pPr>
      <w:r>
        <w:rPr>
          <w:rFonts w:hint="eastAsia" w:ascii="宋体" w:hAnsi="宋体"/>
          <w:color w:val="auto"/>
          <w:kern w:val="0"/>
          <w:szCs w:val="21"/>
          <w:highlight w:val="none"/>
        </w:rPr>
        <w:t>投标人自行编辑BIM建筑方案模型实施方案，格式要求为*.PDF，主要包括以下内容：实施目标、应用范围、实施团队、软硬件环境、模型精细度要求、协同实施、成果文件交付格式及内容、实施保障机制。</w:t>
      </w:r>
    </w:p>
    <w:p w14:paraId="76B41D84">
      <w:pPr>
        <w:adjustRightInd w:val="0"/>
        <w:snapToGrid w:val="0"/>
        <w:spacing w:line="360" w:lineRule="auto"/>
        <w:jc w:val="left"/>
        <w:rPr>
          <w:rFonts w:ascii="宋体" w:hAnsi="宋体"/>
          <w:snapToGrid w:val="0"/>
          <w:color w:val="auto"/>
          <w:kern w:val="0"/>
          <w:szCs w:val="21"/>
          <w:highlight w:val="none"/>
        </w:rPr>
      </w:pPr>
    </w:p>
    <w:p w14:paraId="722DA0AE">
      <w:pPr>
        <w:adjustRightInd w:val="0"/>
        <w:snapToGrid w:val="0"/>
        <w:spacing w:line="360" w:lineRule="auto"/>
        <w:jc w:val="center"/>
        <w:outlineLvl w:val="0"/>
        <w:rPr>
          <w:rFonts w:ascii="黑体" w:hAnsi="黑体" w:eastAsia="黑体" w:cs="黑体"/>
          <w:bCs/>
          <w:color w:val="auto"/>
          <w:kern w:val="0"/>
          <w:sz w:val="32"/>
          <w:szCs w:val="32"/>
          <w:highlight w:val="none"/>
        </w:rPr>
      </w:pPr>
      <w:bookmarkStart w:id="42" w:name="_Toc23337"/>
      <w:r>
        <w:rPr>
          <w:rFonts w:hint="eastAsia" w:ascii="黑体" w:hAnsi="黑体" w:eastAsia="黑体" w:cs="黑体"/>
          <w:bCs/>
          <w:color w:val="auto"/>
          <w:kern w:val="0"/>
          <w:sz w:val="32"/>
          <w:szCs w:val="32"/>
          <w:highlight w:val="none"/>
        </w:rPr>
        <w:t>第五章  投标文件格式</w:t>
      </w:r>
      <w:bookmarkEnd w:id="42"/>
    </w:p>
    <w:p w14:paraId="6E11731B">
      <w:pPr>
        <w:adjustRightInd w:val="0"/>
        <w:snapToGrid w:val="0"/>
        <w:spacing w:line="360" w:lineRule="auto"/>
        <w:ind w:firstLine="420" w:firstLineChars="200"/>
        <w:jc w:val="left"/>
        <w:rPr>
          <w:rFonts w:ascii="宋体" w:hAnsi="宋体"/>
          <w:color w:val="auto"/>
          <w:kern w:val="0"/>
          <w:highlight w:val="none"/>
        </w:rPr>
      </w:pPr>
      <w:r>
        <w:rPr>
          <w:rFonts w:ascii="宋体" w:hAnsi="宋体"/>
          <w:color w:val="auto"/>
          <w:kern w:val="0"/>
          <w:highlight w:val="none"/>
        </w:rPr>
        <w:br w:type="page"/>
      </w:r>
    </w:p>
    <w:p w14:paraId="68A3A6A2">
      <w:pPr>
        <w:adjustRightInd w:val="0"/>
        <w:snapToGrid w:val="0"/>
        <w:spacing w:line="360" w:lineRule="auto"/>
        <w:jc w:val="center"/>
        <w:outlineLvl w:val="1"/>
        <w:rPr>
          <w:rFonts w:ascii="宋体" w:hAnsi="宋体" w:eastAsia="宋体" w:cs="宋体"/>
          <w:b/>
          <w:color w:val="auto"/>
          <w:kern w:val="0"/>
          <w:sz w:val="30"/>
          <w:highlight w:val="none"/>
        </w:rPr>
      </w:pPr>
      <w:bookmarkStart w:id="43" w:name="_Toc23958"/>
      <w:r>
        <w:rPr>
          <w:rFonts w:hint="eastAsia" w:ascii="宋体" w:hAnsi="宋体" w:eastAsia="宋体" w:cs="宋体"/>
          <w:b/>
          <w:color w:val="auto"/>
          <w:kern w:val="0"/>
          <w:sz w:val="30"/>
          <w:highlight w:val="none"/>
        </w:rPr>
        <w:t>5.1资信标</w:t>
      </w:r>
      <w:bookmarkEnd w:id="43"/>
    </w:p>
    <w:p w14:paraId="7D65EC7F">
      <w:pPr>
        <w:adjustRightInd w:val="0"/>
        <w:snapToGrid w:val="0"/>
        <w:spacing w:line="360" w:lineRule="auto"/>
        <w:jc w:val="left"/>
        <w:outlineLvl w:val="2"/>
        <w:rPr>
          <w:rFonts w:ascii="宋体" w:hAnsi="宋体" w:eastAsia="宋体" w:cs="宋体"/>
          <w:b/>
          <w:color w:val="auto"/>
          <w:kern w:val="0"/>
          <w:highlight w:val="none"/>
        </w:rPr>
      </w:pPr>
      <w:bookmarkStart w:id="44" w:name="_Toc32257"/>
      <w:r>
        <w:rPr>
          <w:rFonts w:hint="eastAsia" w:ascii="宋体" w:hAnsi="宋体" w:eastAsia="宋体" w:cs="宋体"/>
          <w:b/>
          <w:color w:val="auto"/>
          <w:kern w:val="0"/>
          <w:highlight w:val="none"/>
        </w:rPr>
        <w:t>投标附件1.投标函</w:t>
      </w:r>
      <w:bookmarkEnd w:id="44"/>
    </w:p>
    <w:p w14:paraId="1D169EB8">
      <w:pPr>
        <w:adjustRightInd w:val="0"/>
        <w:snapToGrid w:val="0"/>
        <w:spacing w:line="360" w:lineRule="auto"/>
        <w:jc w:val="left"/>
        <w:rPr>
          <w:rFonts w:ascii="宋体" w:hAnsi="宋体" w:eastAsia="宋体" w:cs="宋体"/>
          <w:color w:val="auto"/>
          <w:kern w:val="0"/>
          <w:sz w:val="32"/>
          <w:szCs w:val="32"/>
          <w:highlight w:val="none"/>
        </w:rPr>
      </w:pPr>
      <w:r>
        <w:rPr>
          <w:rFonts w:hint="eastAsia" w:ascii="宋体" w:hAnsi="宋体" w:eastAsia="宋体" w:cs="宋体"/>
          <w:bCs/>
          <w:color w:val="auto"/>
          <w:kern w:val="0"/>
          <w:highlight w:val="none"/>
        </w:rPr>
        <w:t>（提示：本投标函中除明确由“招标人填写”外，其余空格均应由投标人填写完整。投标人一旦中标，该投标函将作为有关部门后续监管的依据。）</w:t>
      </w:r>
    </w:p>
    <w:p w14:paraId="12B7A996">
      <w:pPr>
        <w:adjustRightInd w:val="0"/>
        <w:snapToGrid w:val="0"/>
        <w:jc w:val="center"/>
        <w:rPr>
          <w:rFonts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投标函</w:t>
      </w:r>
    </w:p>
    <w:p w14:paraId="2A7FB457">
      <w:pPr>
        <w:adjustRightInd w:val="0"/>
        <w:snapToGrid w:val="0"/>
        <w:spacing w:line="34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致招标人：______</w:t>
      </w:r>
      <w:r>
        <w:rPr>
          <w:rFonts w:hint="eastAsia" w:ascii="宋体" w:hAnsi="宋体" w:eastAsia="宋体" w:cs="宋体"/>
          <w:color w:val="auto"/>
          <w:kern w:val="0"/>
          <w:szCs w:val="21"/>
          <w:highlight w:val="none"/>
          <w:u w:val="single"/>
        </w:rPr>
        <w:t>（招标人名称，招标人填写）</w:t>
      </w:r>
      <w:r>
        <w:rPr>
          <w:rFonts w:hint="eastAsia" w:ascii="宋体" w:hAnsi="宋体" w:eastAsia="宋体" w:cs="宋体"/>
          <w:color w:val="auto"/>
          <w:kern w:val="0"/>
          <w:szCs w:val="21"/>
          <w:highlight w:val="none"/>
        </w:rPr>
        <w:t>____________</w:t>
      </w:r>
    </w:p>
    <w:p w14:paraId="40E32054">
      <w:pPr>
        <w:adjustRightInd w:val="0"/>
        <w:snapToGrid w:val="0"/>
        <w:spacing w:line="340" w:lineRule="exact"/>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为确保贵方招标项目__</w:t>
      </w:r>
      <w:r>
        <w:rPr>
          <w:rFonts w:hint="eastAsia" w:ascii="宋体" w:hAnsi="宋体" w:eastAsia="宋体" w:cs="宋体"/>
          <w:bCs/>
          <w:color w:val="auto"/>
          <w:kern w:val="0"/>
          <w:szCs w:val="21"/>
          <w:highlight w:val="none"/>
          <w:u w:val="single"/>
        </w:rPr>
        <w:t>（项目名称，招标人填写</w:t>
      </w:r>
      <w:r>
        <w:rPr>
          <w:rFonts w:hint="eastAsia" w:ascii="宋体" w:hAnsi="宋体" w:eastAsia="宋体" w:cs="宋体"/>
          <w:bCs/>
          <w:color w:val="auto"/>
          <w:kern w:val="0"/>
          <w:szCs w:val="21"/>
          <w:highlight w:val="none"/>
        </w:rPr>
        <w:t>____）招投标工作的顺利进行，加强与贵方长期友好合作，我方作为投标人，将严格执行工程建设相关法律法规，并完全理解和接受招标文件所有内容，为此郑重承诺如下：</w:t>
      </w:r>
    </w:p>
    <w:p w14:paraId="2B5A8DBA">
      <w:pPr>
        <w:adjustRightInd w:val="0"/>
        <w:snapToGrid w:val="0"/>
        <w:spacing w:line="34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1、经分析研究，结合我方实际情况，我单位愿以</w:t>
      </w:r>
      <w:bookmarkStart w:id="45" w:name="固定总价"/>
      <w:r>
        <w:rPr>
          <w:rFonts w:hint="eastAsia" w:ascii="宋体" w:hAnsi="宋体" w:eastAsia="宋体" w:cs="宋体"/>
          <w:color w:val="auto"/>
          <w:kern w:val="0"/>
          <w:szCs w:val="21"/>
          <w:highlight w:val="none"/>
          <w:u w:val="single"/>
        </w:rPr>
        <w:t xml:space="preserve">       </w:t>
      </w:r>
      <w:bookmarkEnd w:id="45"/>
      <w:bookmarkStart w:id="46" w:name="其他"/>
      <w:r>
        <w:rPr>
          <w:rFonts w:hint="eastAsia" w:ascii="宋体" w:hAnsi="宋体" w:eastAsia="宋体" w:cs="宋体"/>
          <w:color w:val="auto"/>
          <w:kern w:val="0"/>
          <w:szCs w:val="21"/>
          <w:highlight w:val="none"/>
        </w:rPr>
        <w:t>___</w:t>
      </w:r>
      <w:r>
        <w:rPr>
          <w:rFonts w:hint="eastAsia" w:ascii="宋体" w:hAnsi="宋体" w:eastAsia="宋体" w:cs="宋体"/>
          <w:bCs/>
          <w:color w:val="auto"/>
          <w:kern w:val="0"/>
          <w:sz w:val="22"/>
          <w:highlight w:val="none"/>
        </w:rPr>
        <w:t>（按照前附表规定报价方式填写）</w:t>
      </w:r>
      <w:r>
        <w:rPr>
          <w:rFonts w:hint="eastAsia" w:ascii="宋体" w:hAnsi="宋体" w:eastAsia="宋体" w:cs="宋体"/>
          <w:color w:val="auto"/>
          <w:kern w:val="0"/>
          <w:szCs w:val="21"/>
          <w:highlight w:val="none"/>
        </w:rPr>
        <w:t>_</w:t>
      </w:r>
      <w:bookmarkEnd w:id="46"/>
      <w:r>
        <w:rPr>
          <w:rFonts w:hint="eastAsia" w:ascii="宋体" w:hAnsi="宋体" w:eastAsia="宋体" w:cs="宋体"/>
          <w:color w:val="auto"/>
          <w:kern w:val="0"/>
          <w:szCs w:val="21"/>
          <w:highlight w:val="none"/>
        </w:rPr>
        <w:t>结算，按实际完成的、由业主审核签认的合格工程量经审计部门审计后进行计算。（投标人填写）</w:t>
      </w:r>
    </w:p>
    <w:p w14:paraId="1D0CBE28">
      <w:pPr>
        <w:adjustRightInd w:val="0"/>
        <w:snapToGrid w:val="0"/>
        <w:spacing w:line="34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eastAsia="宋体" w:cs="宋体"/>
          <w:color w:val="auto"/>
          <w:kern w:val="0"/>
          <w:szCs w:val="21"/>
          <w:highlight w:val="none"/>
        </w:rPr>
        <w:t>我方同意所递交投标文件，在投标须知前附表规定的投标有效期内保持有效。在此期间内我方投标有可能中标，我方将受此约束。如果在投标有效期内撤回投标或放弃中标资格，我方投标担保将均被没收；由此给贵方造成的损失超过我方投标担保金额的，贵方有权依法要求我方对超过部分进行赔偿。</w:t>
      </w:r>
    </w:p>
    <w:p w14:paraId="78CC3E7C">
      <w:pPr>
        <w:adjustRightInd w:val="0"/>
        <w:snapToGrid w:val="0"/>
        <w:spacing w:line="340" w:lineRule="exact"/>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3、我方保证所提交的保证金是从我单位基本账户汇出，银行保函是由我单位基本账户开户银行所在网点或其上级银行机构出具，</w:t>
      </w:r>
      <w:r>
        <w:rPr>
          <w:rFonts w:hint="eastAsia" w:ascii="宋体" w:hAnsi="宋体" w:eastAsia="宋体" w:cs="宋体"/>
          <w:strike w:val="0"/>
          <w:color w:val="auto"/>
          <w:kern w:val="0"/>
          <w:szCs w:val="21"/>
          <w:highlight w:val="none"/>
          <w:lang w:val="en-US" w:eastAsia="zh-CN"/>
        </w:rPr>
        <w:t>担保公司保函、</w:t>
      </w:r>
      <w:r>
        <w:rPr>
          <w:rFonts w:hint="eastAsia" w:ascii="宋体" w:hAnsi="宋体" w:eastAsia="宋体" w:cs="宋体"/>
          <w:bCs/>
          <w:color w:val="auto"/>
          <w:kern w:val="0"/>
          <w:szCs w:val="21"/>
          <w:highlight w:val="none"/>
        </w:rPr>
        <w:t>保证保险的保费是通过我单位基本账户支付，如不按上述原则提交投标担保，招标人有权取消我方的中标资格或单方面终止合同，因此造成的责任由我方承担。</w:t>
      </w:r>
    </w:p>
    <w:p w14:paraId="2383ABED">
      <w:pPr>
        <w:adjustRightInd w:val="0"/>
        <w:snapToGrid w:val="0"/>
        <w:spacing w:line="340" w:lineRule="exact"/>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w:t>
      </w:r>
      <w:r>
        <w:rPr>
          <w:rFonts w:ascii="宋体" w:hAnsi="宋体" w:eastAsia="宋体" w:cs="宋体"/>
          <w:bCs/>
          <w:color w:val="auto"/>
          <w:kern w:val="0"/>
          <w:szCs w:val="21"/>
          <w:highlight w:val="none"/>
        </w:rPr>
        <w:t>一旦我方中标，将保证在中标通知书发出之日起30日内，与贵方按招标文件、中标通知书中的内容签定</w:t>
      </w:r>
      <w:r>
        <w:rPr>
          <w:rFonts w:hint="eastAsia" w:ascii="宋体" w:hAnsi="宋体" w:eastAsia="宋体" w:cs="宋体"/>
          <w:bCs/>
          <w:color w:val="auto"/>
          <w:kern w:val="0"/>
          <w:szCs w:val="21"/>
          <w:highlight w:val="none"/>
        </w:rPr>
        <w:t>设计</w:t>
      </w:r>
      <w:r>
        <w:rPr>
          <w:rFonts w:ascii="宋体" w:hAnsi="宋体" w:eastAsia="宋体" w:cs="宋体"/>
          <w:bCs/>
          <w:color w:val="auto"/>
          <w:kern w:val="0"/>
          <w:szCs w:val="21"/>
          <w:highlight w:val="none"/>
        </w:rPr>
        <w:t>合同，否则，视为我方自愿放弃中标资格。</w:t>
      </w:r>
    </w:p>
    <w:p w14:paraId="0D15C744">
      <w:pPr>
        <w:adjustRightInd w:val="0"/>
        <w:snapToGrid w:val="0"/>
        <w:spacing w:line="340" w:lineRule="exact"/>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5、按规定完成设计合同中所约定如下全部内容（与招标文件中招标范围一致）：</w:t>
      </w:r>
      <w:r>
        <w:rPr>
          <w:rFonts w:hint="eastAsia" w:ascii="宋体" w:hAnsi="宋体" w:eastAsia="宋体" w:cs="宋体"/>
          <w:bCs/>
          <w:color w:val="auto"/>
          <w:kern w:val="0"/>
          <w:szCs w:val="21"/>
          <w:highlight w:val="none"/>
          <w:u w:val="single"/>
        </w:rPr>
        <w:t>（投标人填写）</w:t>
      </w:r>
      <w:r>
        <w:rPr>
          <w:rFonts w:hint="eastAsia" w:ascii="宋体" w:hAnsi="宋体" w:eastAsia="宋体" w:cs="宋体"/>
          <w:bCs/>
          <w:color w:val="auto"/>
          <w:kern w:val="0"/>
          <w:szCs w:val="21"/>
          <w:highlight w:val="none"/>
        </w:rPr>
        <w:t>。</w:t>
      </w:r>
    </w:p>
    <w:p w14:paraId="500E2D73">
      <w:pPr>
        <w:adjustRightInd w:val="0"/>
        <w:snapToGrid w:val="0"/>
        <w:spacing w:line="340" w:lineRule="exact"/>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我方将配备与招标公告和投标文件共同约定相一致的项目组主要设计成员。详见《拟投入的项目负责人基本情况表》（投标附件6）和《拟投入的项目组专业负责人基本情况表》（投标附件7）。我方一旦中标，则在变更招标公告已规定的项目负责人或专业负责人时，须事先征得贵方批准同意。我方若因非正当理由变更招标公告已规定且我方投标文件已承诺的项目负责人或专业负责人，则招标人有权取消我方中标资格，或酌减设计费，或单方面终止合同，由此造成的违约责任由我方承担。</w:t>
      </w:r>
    </w:p>
    <w:p w14:paraId="57366C67">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、招标文件规定的其他主要承诺事项：</w:t>
      </w:r>
    </w:p>
    <w:p w14:paraId="1EDAD5A5">
      <w:pPr>
        <w:adjustRightInd w:val="0"/>
        <w:snapToGrid w:val="0"/>
        <w:spacing w:line="340" w:lineRule="exact"/>
        <w:ind w:firstLine="420" w:firstLineChars="200"/>
        <w:jc w:val="left"/>
        <w:rPr>
          <w:rFonts w:hint="default" w:ascii="宋体" w:hAnsi="宋体" w:eastAsia="宋体" w:cs="宋体"/>
          <w:bCs/>
          <w:color w:val="auto"/>
          <w:kern w:val="0"/>
          <w:szCs w:val="21"/>
          <w:highlight w:val="none"/>
          <w:lang w:val="en-US"/>
        </w:rPr>
      </w:pPr>
      <w:r>
        <w:rPr>
          <w:rFonts w:hint="eastAsia" w:ascii="宋体" w:hAnsi="宋体" w:eastAsia="宋体" w:cs="宋体"/>
          <w:bCs/>
          <w:color w:val="auto"/>
          <w:szCs w:val="21"/>
          <w:highlight w:val="none"/>
          <w:u w:val="single"/>
        </w:rPr>
        <w:t>_</w:t>
      </w:r>
      <w:r>
        <w:rPr>
          <w:rFonts w:hint="eastAsia" w:ascii="宋体" w:hAnsi="宋体" w:eastAsia="宋体" w:cs="宋体"/>
          <w:bCs/>
          <w:color w:val="auto"/>
          <w:szCs w:val="21"/>
          <w:highlight w:val="none"/>
          <w:u w:val="single"/>
          <w:lang w:val="en-US" w:eastAsia="zh-CN"/>
        </w:rPr>
        <w:t xml:space="preserve"> 如承诺</w:t>
      </w:r>
      <w:r>
        <w:rPr>
          <w:rFonts w:hint="eastAsia" w:ascii="宋体" w:hAnsi="宋体" w:eastAsia="宋体" w:cs="宋体"/>
          <w:color w:val="auto"/>
          <w:kern w:val="0"/>
          <w:szCs w:val="21"/>
          <w:highlight w:val="none"/>
          <w:lang w:eastAsia="zh-CN"/>
        </w:rPr>
        <w:t>将中标金额的</w:t>
      </w:r>
      <w:r>
        <w:rPr>
          <w:rFonts w:hint="eastAsia" w:ascii="宋体" w:hAnsi="宋体" w:eastAsia="宋体" w:cs="宋体"/>
          <w:color w:val="auto"/>
          <w:kern w:val="0"/>
          <w:szCs w:val="21"/>
          <w:highlight w:val="none"/>
          <w:u w:val="single"/>
          <w:lang w:val="en-US" w:eastAsia="zh-CN"/>
        </w:rPr>
        <w:t xml:space="preserve">   % </w:t>
      </w:r>
      <w:r>
        <w:rPr>
          <w:rFonts w:hint="eastAsia" w:ascii="宋体" w:hAnsi="宋体" w:eastAsia="宋体" w:cs="宋体"/>
          <w:color w:val="auto"/>
          <w:kern w:val="0"/>
          <w:szCs w:val="21"/>
          <w:highlight w:val="none"/>
          <w:lang w:eastAsia="zh-CN"/>
        </w:rPr>
        <w:t>依法分包给满足条件的中小企业</w:t>
      </w:r>
      <w:r>
        <w:rPr>
          <w:rFonts w:hint="eastAsia" w:ascii="宋体" w:hAnsi="宋体" w:eastAsia="宋体" w:cs="宋体"/>
          <w:color w:val="auto"/>
          <w:kern w:val="0"/>
          <w:szCs w:val="21"/>
          <w:highlight w:val="none"/>
          <w:lang w:val="en-US" w:eastAsia="zh-CN"/>
        </w:rPr>
        <w:t>等</w:t>
      </w:r>
      <w:r>
        <w:rPr>
          <w:rFonts w:hint="eastAsia" w:ascii="宋体" w:hAnsi="宋体" w:eastAsia="宋体" w:cs="宋体"/>
          <w:bCs/>
          <w:color w:val="auto"/>
          <w:szCs w:val="21"/>
          <w:highlight w:val="none"/>
          <w:u w:val="single"/>
          <w:lang w:eastAsia="zh-CN"/>
        </w:rPr>
        <w:t>。</w:t>
      </w:r>
      <w:r>
        <w:rPr>
          <w:rFonts w:hint="eastAsia" w:ascii="宋体" w:hAnsi="宋体" w:eastAsia="宋体" w:cs="宋体"/>
          <w:bCs/>
          <w:color w:val="auto"/>
          <w:szCs w:val="21"/>
          <w:highlight w:val="none"/>
          <w:u w:val="single"/>
          <w:lang w:val="en-US" w:eastAsia="zh-CN"/>
        </w:rPr>
        <w:t xml:space="preserve">                  </w:t>
      </w:r>
    </w:p>
    <w:p w14:paraId="402D30AB">
      <w:pPr>
        <w:adjustRightInd w:val="0"/>
        <w:snapToGrid w:val="0"/>
        <w:spacing w:line="340" w:lineRule="exact"/>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8</w:t>
      </w:r>
      <w:r>
        <w:rPr>
          <w:rFonts w:hint="eastAsia" w:ascii="宋体" w:hAnsi="宋体" w:eastAsia="宋体" w:cs="宋体"/>
          <w:bCs/>
          <w:color w:val="auto"/>
          <w:kern w:val="0"/>
          <w:szCs w:val="21"/>
          <w:highlight w:val="none"/>
        </w:rPr>
        <w:t>、我方在本次投标中无任何弄虚作假、串通投标、围标等不法行为。否则，我方甘愿接受取消投标资格、取消中标资格、解除设计合同、记录不良行为、暂停参加建设工程投标资格等处理；我方行为涉嫌构成犯罪的，将依法接受刑事责任追究并移送公安机关查处。</w:t>
      </w:r>
    </w:p>
    <w:p w14:paraId="63D336F1">
      <w:pPr>
        <w:adjustRightInd w:val="0"/>
        <w:snapToGrid w:val="0"/>
        <w:spacing w:line="340" w:lineRule="exact"/>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9</w:t>
      </w:r>
      <w:r>
        <w:rPr>
          <w:rFonts w:hint="eastAsia" w:ascii="宋体" w:hAnsi="宋体" w:eastAsia="宋体" w:cs="宋体"/>
          <w:bCs/>
          <w:color w:val="auto"/>
          <w:kern w:val="0"/>
          <w:szCs w:val="21"/>
          <w:highlight w:val="none"/>
        </w:rPr>
        <w:t>、如果违反本投标函中任何条款，我方愿意接受：</w:t>
      </w:r>
    </w:p>
    <w:p w14:paraId="4591B61C">
      <w:pPr>
        <w:adjustRightInd w:val="0"/>
        <w:snapToGrid w:val="0"/>
        <w:spacing w:line="340" w:lineRule="exact"/>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(1)视作我方单方面违约，并按照合同规定向贵方支付违约金或解除合同；</w:t>
      </w:r>
    </w:p>
    <w:p w14:paraId="75E12BD2">
      <w:pPr>
        <w:adjustRightInd w:val="0"/>
        <w:snapToGrid w:val="0"/>
        <w:spacing w:line="340" w:lineRule="exact"/>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(2)履约评价评定为良好及以下；</w:t>
      </w:r>
    </w:p>
    <w:p w14:paraId="4148BC21">
      <w:pPr>
        <w:adjustRightInd w:val="0"/>
        <w:snapToGrid w:val="0"/>
        <w:spacing w:line="340" w:lineRule="exact"/>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(3)本工程招标人今后可拒绝我方参与投标；</w:t>
      </w:r>
    </w:p>
    <w:p w14:paraId="2FE433EE">
      <w:pPr>
        <w:adjustRightInd w:val="0"/>
        <w:snapToGrid w:val="0"/>
        <w:spacing w:line="340" w:lineRule="exact"/>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(4)建设行政主管部门（或相关主管部门）处以的不良行为记录或行政处罚。</w:t>
      </w:r>
    </w:p>
    <w:p w14:paraId="4922D79E">
      <w:pPr>
        <w:adjustRightInd w:val="0"/>
        <w:snapToGrid w:val="0"/>
        <w:spacing w:line="340" w:lineRule="exact"/>
        <w:ind w:firstLine="420" w:firstLineChars="200"/>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、除非贵我双方另外达成协议并生效，贵方招标文件、中标通知书和我方投标文件，将成为约束双方的合同条款的有效组成部分。</w:t>
      </w:r>
    </w:p>
    <w:p w14:paraId="72A1F6EA">
      <w:pPr>
        <w:adjustRightInd w:val="0"/>
        <w:snapToGrid w:val="0"/>
        <w:spacing w:line="340" w:lineRule="exact"/>
        <w:ind w:firstLine="420" w:firstLineChars="200"/>
        <w:jc w:val="left"/>
        <w:rPr>
          <w:rFonts w:ascii="宋体" w:hAnsi="宋体" w:eastAsia="宋体" w:cs="宋体"/>
          <w:bCs/>
          <w:color w:val="auto"/>
          <w:kern w:val="0"/>
          <w:szCs w:val="21"/>
          <w:highlight w:val="none"/>
        </w:rPr>
      </w:pPr>
    </w:p>
    <w:p w14:paraId="4A880342">
      <w:pPr>
        <w:adjustRightInd w:val="0"/>
        <w:snapToGrid w:val="0"/>
        <w:spacing w:line="34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投标人（单位公章）：__________________________________________________</w:t>
      </w:r>
    </w:p>
    <w:p w14:paraId="65AA0B15">
      <w:pPr>
        <w:adjustRightInd w:val="0"/>
        <w:snapToGrid w:val="0"/>
        <w:spacing w:line="34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投标人法定代表人签章：</w:t>
      </w:r>
    </w:p>
    <w:p w14:paraId="3E8774A4">
      <w:pPr>
        <w:adjustRightInd w:val="0"/>
        <w:snapToGrid w:val="0"/>
        <w:spacing w:line="34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单位地址：___________________________________________________________</w:t>
      </w:r>
    </w:p>
    <w:p w14:paraId="13FB6E67">
      <w:pPr>
        <w:adjustRightInd w:val="0"/>
        <w:snapToGrid w:val="0"/>
        <w:spacing w:line="34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邮政编码：__________________电话：______________ 传真：______________</w:t>
      </w:r>
    </w:p>
    <w:p w14:paraId="53F71766">
      <w:pPr>
        <w:adjustRightInd w:val="0"/>
        <w:snapToGrid w:val="0"/>
        <w:spacing w:line="340" w:lineRule="exact"/>
        <w:ind w:firstLine="4200" w:firstLineChars="2000"/>
        <w:jc w:val="left"/>
        <w:rPr>
          <w:rFonts w:hAnsi="宋体"/>
          <w:bCs/>
          <w:color w:val="auto"/>
          <w:kern w:val="0"/>
          <w:szCs w:val="21"/>
          <w:highlight w:val="none"/>
        </w:rPr>
      </w:pPr>
      <w:r>
        <w:rPr>
          <w:rFonts w:hint="eastAsia" w:ascii="宋体" w:hAnsi="宋体" w:eastAsia="宋体" w:cs="宋体"/>
          <w:bCs/>
          <w:color w:val="auto"/>
          <w:kern w:val="0"/>
          <w:szCs w:val="21"/>
          <w:highlight w:val="none"/>
        </w:rPr>
        <w:t>年   月   日</w:t>
      </w:r>
      <w:r>
        <w:rPr>
          <w:rFonts w:hint="eastAsia" w:ascii="宋体" w:hAnsi="宋体" w:eastAsia="宋体" w:cs="宋体"/>
          <w:bCs/>
          <w:color w:val="auto"/>
          <w:kern w:val="0"/>
          <w:szCs w:val="21"/>
          <w:highlight w:val="none"/>
        </w:rPr>
        <w:br w:type="page"/>
      </w:r>
    </w:p>
    <w:p w14:paraId="547F9E84">
      <w:pPr>
        <w:adjustRightInd w:val="0"/>
        <w:snapToGrid w:val="0"/>
        <w:spacing w:line="360" w:lineRule="auto"/>
        <w:jc w:val="left"/>
        <w:outlineLvl w:val="2"/>
        <w:rPr>
          <w:rFonts w:ascii="宋体" w:hAnsi="宋体" w:eastAsia="宋体" w:cs="宋体"/>
          <w:b/>
          <w:color w:val="auto"/>
          <w:kern w:val="0"/>
          <w:highlight w:val="none"/>
        </w:rPr>
      </w:pPr>
      <w:bookmarkStart w:id="47" w:name="_Toc15383"/>
      <w:r>
        <w:rPr>
          <w:rFonts w:hint="eastAsia" w:ascii="宋体" w:hAnsi="宋体" w:eastAsia="宋体" w:cs="宋体"/>
          <w:b/>
          <w:color w:val="auto"/>
          <w:kern w:val="0"/>
          <w:highlight w:val="none"/>
        </w:rPr>
        <w:t>投标附件2.投标人基本情况表</w:t>
      </w:r>
      <w:bookmarkEnd w:id="47"/>
    </w:p>
    <w:p w14:paraId="799F90C6">
      <w:pPr>
        <w:adjustRightInd w:val="0"/>
        <w:snapToGri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投标人基本情况表</w:t>
      </w:r>
    </w:p>
    <w:tbl>
      <w:tblPr>
        <w:tblStyle w:val="79"/>
        <w:tblW w:w="9854"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2518"/>
        <w:gridCol w:w="2980"/>
        <w:gridCol w:w="2550"/>
        <w:gridCol w:w="1806"/>
      </w:tblGrid>
      <w:tr w14:paraId="561865A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8" w:type="dxa"/>
            <w:tcBorders>
              <w:top w:val="single" w:color="auto" w:sz="6" w:space="0"/>
              <w:left w:val="single" w:color="auto" w:sz="6" w:space="0"/>
              <w:bottom w:val="single" w:color="auto" w:sz="2" w:space="0"/>
              <w:right w:val="single" w:color="auto" w:sz="2" w:space="0"/>
            </w:tcBorders>
            <w:shd w:val="clear" w:color="auto" w:fill="auto"/>
            <w:vAlign w:val="center"/>
          </w:tcPr>
          <w:p w14:paraId="2D883406">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企业名称</w:t>
            </w:r>
          </w:p>
        </w:tc>
        <w:tc>
          <w:tcPr>
            <w:tcW w:w="2980" w:type="dxa"/>
            <w:tcBorders>
              <w:top w:val="single" w:color="auto" w:sz="6" w:space="0"/>
              <w:left w:val="single" w:color="auto" w:sz="2" w:space="0"/>
              <w:bottom w:val="single" w:color="auto" w:sz="2" w:space="0"/>
              <w:right w:val="single" w:color="auto" w:sz="2" w:space="0"/>
            </w:tcBorders>
            <w:shd w:val="clear" w:color="auto" w:fill="auto"/>
            <w:vAlign w:val="center"/>
          </w:tcPr>
          <w:p w14:paraId="09F30A01">
            <w:pPr>
              <w:adjustRightInd w:val="0"/>
              <w:snapToGrid w:val="0"/>
              <w:spacing w:line="360" w:lineRule="auto"/>
              <w:jc w:val="left"/>
              <w:rPr>
                <w:rFonts w:ascii="宋体" w:hAnsi="宋体" w:eastAsia="宋体" w:cs="宋体"/>
                <w:color w:val="auto"/>
                <w:kern w:val="0"/>
                <w:highlight w:val="none"/>
              </w:rPr>
            </w:pPr>
          </w:p>
        </w:tc>
        <w:tc>
          <w:tcPr>
            <w:tcW w:w="2550" w:type="dxa"/>
            <w:tcBorders>
              <w:top w:val="single" w:color="auto" w:sz="6" w:space="0"/>
              <w:left w:val="single" w:color="auto" w:sz="2" w:space="0"/>
              <w:bottom w:val="single" w:color="auto" w:sz="2" w:space="0"/>
              <w:right w:val="single" w:color="auto" w:sz="2" w:space="0"/>
            </w:tcBorders>
            <w:shd w:val="clear" w:color="auto" w:fill="auto"/>
            <w:vAlign w:val="center"/>
          </w:tcPr>
          <w:p w14:paraId="7CD43830">
            <w:pPr>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企业</w:t>
            </w:r>
            <w:r>
              <w:rPr>
                <w:rFonts w:hint="eastAsia" w:ascii="宋体" w:hAnsi="宋体" w:eastAsia="宋体" w:cs="宋体"/>
                <w:bCs/>
                <w:color w:val="auto"/>
                <w:kern w:val="0"/>
                <w:highlight w:val="none"/>
              </w:rPr>
              <w:t>注册</w:t>
            </w:r>
            <w:r>
              <w:rPr>
                <w:rFonts w:hint="eastAsia" w:ascii="宋体" w:hAnsi="宋体" w:eastAsia="宋体" w:cs="宋体"/>
                <w:color w:val="auto"/>
                <w:kern w:val="0"/>
                <w:highlight w:val="none"/>
              </w:rPr>
              <w:t>资本</w:t>
            </w:r>
          </w:p>
        </w:tc>
        <w:tc>
          <w:tcPr>
            <w:tcW w:w="1806" w:type="dxa"/>
            <w:tcBorders>
              <w:top w:val="single" w:color="auto" w:sz="6" w:space="0"/>
              <w:left w:val="single" w:color="auto" w:sz="2" w:space="0"/>
              <w:bottom w:val="single" w:color="auto" w:sz="2" w:space="0"/>
              <w:right w:val="single" w:color="auto" w:sz="6" w:space="0"/>
            </w:tcBorders>
            <w:shd w:val="clear" w:color="auto" w:fill="auto"/>
            <w:vAlign w:val="center"/>
          </w:tcPr>
          <w:p w14:paraId="1AAA78EC">
            <w:pPr>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万元</w:t>
            </w:r>
          </w:p>
        </w:tc>
      </w:tr>
      <w:tr w14:paraId="2504AF6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8" w:type="dxa"/>
            <w:tcBorders>
              <w:top w:val="single" w:color="auto" w:sz="2" w:space="0"/>
              <w:left w:val="single" w:color="auto" w:sz="6" w:space="0"/>
              <w:bottom w:val="single" w:color="auto" w:sz="2" w:space="0"/>
              <w:right w:val="single" w:color="auto" w:sz="2" w:space="0"/>
            </w:tcBorders>
            <w:shd w:val="clear" w:color="auto" w:fill="auto"/>
            <w:vAlign w:val="center"/>
          </w:tcPr>
          <w:p w14:paraId="225DBA2D">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企业地址</w:t>
            </w:r>
          </w:p>
        </w:tc>
        <w:tc>
          <w:tcPr>
            <w:tcW w:w="7336" w:type="dxa"/>
            <w:gridSpan w:val="3"/>
            <w:tcBorders>
              <w:top w:val="single" w:color="auto" w:sz="2" w:space="0"/>
              <w:left w:val="single" w:color="auto" w:sz="2" w:space="0"/>
              <w:bottom w:val="single" w:color="auto" w:sz="2" w:space="0"/>
              <w:right w:val="single" w:color="auto" w:sz="6" w:space="0"/>
            </w:tcBorders>
            <w:shd w:val="clear" w:color="auto" w:fill="auto"/>
            <w:vAlign w:val="center"/>
          </w:tcPr>
          <w:p w14:paraId="6D549252">
            <w:pPr>
              <w:adjustRightInd w:val="0"/>
              <w:snapToGrid w:val="0"/>
              <w:spacing w:line="360" w:lineRule="auto"/>
              <w:jc w:val="left"/>
              <w:rPr>
                <w:rFonts w:ascii="宋体" w:hAnsi="宋体" w:eastAsia="宋体" w:cs="宋体"/>
                <w:color w:val="auto"/>
                <w:kern w:val="0"/>
                <w:highlight w:val="none"/>
              </w:rPr>
            </w:pPr>
          </w:p>
        </w:tc>
      </w:tr>
      <w:tr w14:paraId="36CBAA3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8" w:type="dxa"/>
            <w:tcBorders>
              <w:top w:val="single" w:color="auto" w:sz="2" w:space="0"/>
              <w:left w:val="single" w:color="auto" w:sz="6" w:space="0"/>
              <w:bottom w:val="single" w:color="auto" w:sz="2" w:space="0"/>
              <w:right w:val="single" w:color="auto" w:sz="2" w:space="0"/>
            </w:tcBorders>
            <w:shd w:val="clear" w:color="auto" w:fill="auto"/>
            <w:vAlign w:val="center"/>
          </w:tcPr>
          <w:p w14:paraId="4FC457A9">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企业法定代表人姓名</w:t>
            </w:r>
          </w:p>
        </w:tc>
        <w:tc>
          <w:tcPr>
            <w:tcW w:w="2980" w:type="dxa"/>
            <w:tcBorders>
              <w:top w:val="single" w:color="auto" w:sz="2" w:space="0"/>
              <w:left w:val="single" w:color="auto" w:sz="2" w:space="0"/>
              <w:bottom w:val="single" w:color="auto" w:sz="2" w:space="0"/>
              <w:right w:val="single" w:color="auto" w:sz="2" w:space="0"/>
            </w:tcBorders>
            <w:shd w:val="clear" w:color="auto" w:fill="auto"/>
            <w:vAlign w:val="center"/>
          </w:tcPr>
          <w:p w14:paraId="7BA41E7A">
            <w:pPr>
              <w:adjustRightInd w:val="0"/>
              <w:snapToGrid w:val="0"/>
              <w:spacing w:line="360" w:lineRule="auto"/>
              <w:jc w:val="left"/>
              <w:rPr>
                <w:rFonts w:ascii="宋体" w:hAnsi="宋体" w:eastAsia="宋体" w:cs="宋体"/>
                <w:color w:val="auto"/>
                <w:kern w:val="0"/>
                <w:highlight w:val="none"/>
              </w:rPr>
            </w:pPr>
          </w:p>
        </w:tc>
        <w:tc>
          <w:tcPr>
            <w:tcW w:w="2550" w:type="dxa"/>
            <w:tcBorders>
              <w:top w:val="single" w:color="auto" w:sz="2" w:space="0"/>
              <w:left w:val="single" w:color="auto" w:sz="2" w:space="0"/>
              <w:bottom w:val="single" w:color="auto" w:sz="2" w:space="0"/>
              <w:right w:val="single" w:color="auto" w:sz="2" w:space="0"/>
            </w:tcBorders>
            <w:shd w:val="clear" w:color="auto" w:fill="auto"/>
            <w:vAlign w:val="center"/>
          </w:tcPr>
          <w:p w14:paraId="514CFEED">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企业技术负责人姓名</w:t>
            </w:r>
          </w:p>
        </w:tc>
        <w:tc>
          <w:tcPr>
            <w:tcW w:w="1806" w:type="dxa"/>
            <w:tcBorders>
              <w:top w:val="single" w:color="auto" w:sz="2" w:space="0"/>
              <w:left w:val="single" w:color="auto" w:sz="2" w:space="0"/>
              <w:bottom w:val="single" w:color="auto" w:sz="2" w:space="0"/>
              <w:right w:val="single" w:color="auto" w:sz="6" w:space="0"/>
            </w:tcBorders>
            <w:shd w:val="clear" w:color="auto" w:fill="auto"/>
            <w:vAlign w:val="center"/>
          </w:tcPr>
          <w:p w14:paraId="724076CD">
            <w:pPr>
              <w:adjustRightInd w:val="0"/>
              <w:snapToGrid w:val="0"/>
              <w:spacing w:line="360" w:lineRule="auto"/>
              <w:jc w:val="left"/>
              <w:rPr>
                <w:rFonts w:ascii="宋体" w:hAnsi="宋体" w:eastAsia="宋体" w:cs="宋体"/>
                <w:color w:val="auto"/>
                <w:kern w:val="0"/>
                <w:highlight w:val="none"/>
              </w:rPr>
            </w:pPr>
          </w:p>
        </w:tc>
      </w:tr>
      <w:tr w14:paraId="36C41A3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8" w:type="dxa"/>
            <w:tcBorders>
              <w:top w:val="single" w:color="auto" w:sz="2" w:space="0"/>
              <w:left w:val="single" w:color="auto" w:sz="6" w:space="0"/>
              <w:bottom w:val="single" w:color="auto" w:sz="2" w:space="0"/>
              <w:right w:val="single" w:color="auto" w:sz="2" w:space="0"/>
            </w:tcBorders>
            <w:shd w:val="clear" w:color="auto" w:fill="auto"/>
            <w:vAlign w:val="center"/>
          </w:tcPr>
          <w:p w14:paraId="32CF8CCA">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符合本工程设计资质类别及等级</w:t>
            </w:r>
          </w:p>
        </w:tc>
        <w:tc>
          <w:tcPr>
            <w:tcW w:w="2980" w:type="dxa"/>
            <w:tcBorders>
              <w:top w:val="single" w:color="auto" w:sz="2" w:space="0"/>
              <w:left w:val="single" w:color="auto" w:sz="2" w:space="0"/>
              <w:bottom w:val="single" w:color="auto" w:sz="2" w:space="0"/>
              <w:right w:val="single" w:color="auto" w:sz="2" w:space="0"/>
            </w:tcBorders>
            <w:shd w:val="clear" w:color="auto" w:fill="auto"/>
            <w:vAlign w:val="center"/>
          </w:tcPr>
          <w:p w14:paraId="5D967F0F">
            <w:pPr>
              <w:adjustRightInd w:val="0"/>
              <w:snapToGrid w:val="0"/>
              <w:spacing w:line="360" w:lineRule="auto"/>
              <w:jc w:val="left"/>
              <w:rPr>
                <w:rFonts w:ascii="宋体" w:hAnsi="宋体" w:eastAsia="宋体" w:cs="宋体"/>
                <w:bCs/>
                <w:color w:val="auto"/>
                <w:kern w:val="0"/>
                <w:highlight w:val="none"/>
              </w:rPr>
            </w:pPr>
          </w:p>
        </w:tc>
        <w:tc>
          <w:tcPr>
            <w:tcW w:w="2550" w:type="dxa"/>
            <w:tcBorders>
              <w:top w:val="single" w:color="auto" w:sz="2" w:space="0"/>
              <w:left w:val="single" w:color="auto" w:sz="2" w:space="0"/>
              <w:bottom w:val="single" w:color="auto" w:sz="2" w:space="0"/>
              <w:right w:val="single" w:color="auto" w:sz="2" w:space="0"/>
            </w:tcBorders>
            <w:shd w:val="clear" w:color="auto" w:fill="auto"/>
            <w:vAlign w:val="center"/>
          </w:tcPr>
          <w:p w14:paraId="5FD2EC02">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取得符合本工程要求的设计资质时间</w:t>
            </w:r>
          </w:p>
        </w:tc>
        <w:tc>
          <w:tcPr>
            <w:tcW w:w="1806" w:type="dxa"/>
            <w:tcBorders>
              <w:top w:val="single" w:color="auto" w:sz="2" w:space="0"/>
              <w:left w:val="single" w:color="auto" w:sz="2" w:space="0"/>
              <w:bottom w:val="single" w:color="auto" w:sz="2" w:space="0"/>
              <w:right w:val="single" w:color="auto" w:sz="6" w:space="0"/>
            </w:tcBorders>
            <w:shd w:val="clear" w:color="auto" w:fill="auto"/>
            <w:vAlign w:val="center"/>
          </w:tcPr>
          <w:p w14:paraId="5D6D9865">
            <w:pPr>
              <w:adjustRightInd w:val="0"/>
              <w:snapToGrid w:val="0"/>
              <w:spacing w:line="360" w:lineRule="auto"/>
              <w:jc w:val="left"/>
              <w:rPr>
                <w:rFonts w:ascii="宋体" w:hAnsi="宋体" w:eastAsia="宋体" w:cs="宋体"/>
                <w:color w:val="auto"/>
                <w:kern w:val="0"/>
                <w:highlight w:val="none"/>
              </w:rPr>
            </w:pPr>
          </w:p>
        </w:tc>
      </w:tr>
      <w:tr w14:paraId="78A0863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8" w:type="dxa"/>
            <w:tcBorders>
              <w:top w:val="single" w:color="auto" w:sz="2" w:space="0"/>
              <w:left w:val="single" w:color="auto" w:sz="6" w:space="0"/>
              <w:bottom w:val="single" w:color="auto" w:sz="2" w:space="0"/>
              <w:right w:val="single" w:color="auto" w:sz="2" w:space="0"/>
            </w:tcBorders>
            <w:shd w:val="clear" w:color="auto" w:fill="auto"/>
            <w:vAlign w:val="center"/>
          </w:tcPr>
          <w:p w14:paraId="4E758DF3">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符合本工程要求的设计资质，是否已在建设主管部门信息管理系统备案</w:t>
            </w:r>
          </w:p>
        </w:tc>
        <w:tc>
          <w:tcPr>
            <w:tcW w:w="2980" w:type="dxa"/>
            <w:tcBorders>
              <w:top w:val="single" w:color="auto" w:sz="2" w:space="0"/>
              <w:left w:val="single" w:color="auto" w:sz="2" w:space="0"/>
              <w:bottom w:val="single" w:color="auto" w:sz="2" w:space="0"/>
              <w:right w:val="single" w:color="auto" w:sz="2" w:space="0"/>
            </w:tcBorders>
            <w:shd w:val="clear" w:color="auto" w:fill="auto"/>
            <w:vAlign w:val="center"/>
          </w:tcPr>
          <w:p w14:paraId="66847910">
            <w:pPr>
              <w:adjustRightInd w:val="0"/>
              <w:snapToGrid w:val="0"/>
              <w:spacing w:line="360" w:lineRule="auto"/>
              <w:jc w:val="left"/>
              <w:rPr>
                <w:rFonts w:ascii="宋体" w:hAnsi="宋体" w:eastAsia="宋体" w:cs="宋体"/>
                <w:bCs/>
                <w:color w:val="auto"/>
                <w:kern w:val="0"/>
                <w:highlight w:val="none"/>
              </w:rPr>
            </w:pPr>
          </w:p>
        </w:tc>
        <w:tc>
          <w:tcPr>
            <w:tcW w:w="2550" w:type="dxa"/>
            <w:tcBorders>
              <w:top w:val="single" w:color="auto" w:sz="2" w:space="0"/>
              <w:left w:val="single" w:color="auto" w:sz="2" w:space="0"/>
              <w:bottom w:val="single" w:color="auto" w:sz="2" w:space="0"/>
              <w:right w:val="single" w:color="auto" w:sz="2" w:space="0"/>
            </w:tcBorders>
            <w:shd w:val="clear" w:color="auto" w:fill="auto"/>
            <w:vAlign w:val="center"/>
          </w:tcPr>
          <w:p w14:paraId="7895F84F">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在建设主管部门信息管理系统备案总人数</w:t>
            </w:r>
          </w:p>
        </w:tc>
        <w:tc>
          <w:tcPr>
            <w:tcW w:w="1806" w:type="dxa"/>
            <w:tcBorders>
              <w:top w:val="single" w:color="auto" w:sz="2" w:space="0"/>
              <w:left w:val="single" w:color="auto" w:sz="2" w:space="0"/>
              <w:bottom w:val="single" w:color="auto" w:sz="2" w:space="0"/>
              <w:right w:val="single" w:color="auto" w:sz="6" w:space="0"/>
            </w:tcBorders>
            <w:shd w:val="clear" w:color="auto" w:fill="auto"/>
            <w:vAlign w:val="center"/>
          </w:tcPr>
          <w:p w14:paraId="1D5958ED">
            <w:pPr>
              <w:adjustRightInd w:val="0"/>
              <w:snapToGrid w:val="0"/>
              <w:spacing w:line="360" w:lineRule="auto"/>
              <w:jc w:val="left"/>
              <w:rPr>
                <w:rFonts w:ascii="宋体" w:hAnsi="宋体" w:eastAsia="宋体" w:cs="宋体"/>
                <w:bCs/>
                <w:color w:val="auto"/>
                <w:kern w:val="0"/>
                <w:highlight w:val="none"/>
              </w:rPr>
            </w:pPr>
          </w:p>
        </w:tc>
      </w:tr>
      <w:tr w14:paraId="17B12DD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8" w:type="dxa"/>
            <w:tcBorders>
              <w:top w:val="single" w:color="auto" w:sz="2" w:space="0"/>
              <w:left w:val="single" w:color="auto" w:sz="6" w:space="0"/>
              <w:bottom w:val="single" w:color="auto" w:sz="6" w:space="0"/>
              <w:right w:val="single" w:color="auto" w:sz="2" w:space="0"/>
            </w:tcBorders>
            <w:shd w:val="clear" w:color="auto" w:fill="auto"/>
            <w:vAlign w:val="center"/>
          </w:tcPr>
          <w:p w14:paraId="51D53F19">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企业质量管理体系认证证书名称、认证单位及取得时间</w:t>
            </w:r>
          </w:p>
        </w:tc>
        <w:tc>
          <w:tcPr>
            <w:tcW w:w="7336" w:type="dxa"/>
            <w:gridSpan w:val="3"/>
            <w:tcBorders>
              <w:top w:val="single" w:color="auto" w:sz="2" w:space="0"/>
              <w:left w:val="single" w:color="auto" w:sz="2" w:space="0"/>
              <w:bottom w:val="single" w:color="auto" w:sz="6" w:space="0"/>
              <w:right w:val="single" w:color="auto" w:sz="6" w:space="0"/>
            </w:tcBorders>
            <w:shd w:val="clear" w:color="auto" w:fill="auto"/>
            <w:vAlign w:val="center"/>
          </w:tcPr>
          <w:p w14:paraId="235A1EC0">
            <w:pPr>
              <w:adjustRightInd w:val="0"/>
              <w:snapToGrid w:val="0"/>
              <w:spacing w:line="360" w:lineRule="auto"/>
              <w:jc w:val="left"/>
              <w:rPr>
                <w:rFonts w:ascii="宋体" w:hAnsi="宋体" w:eastAsia="宋体" w:cs="宋体"/>
                <w:bCs/>
                <w:color w:val="auto"/>
                <w:kern w:val="0"/>
                <w:highlight w:val="none"/>
              </w:rPr>
            </w:pPr>
          </w:p>
        </w:tc>
      </w:tr>
      <w:tr w14:paraId="61542A3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8" w:type="dxa"/>
            <w:tcBorders>
              <w:top w:val="single" w:color="auto" w:sz="2" w:space="0"/>
              <w:left w:val="single" w:color="auto" w:sz="6" w:space="0"/>
              <w:bottom w:val="single" w:color="auto" w:sz="6" w:space="0"/>
              <w:right w:val="single" w:color="auto" w:sz="2" w:space="0"/>
            </w:tcBorders>
            <w:shd w:val="clear" w:color="auto" w:fill="auto"/>
            <w:vAlign w:val="center"/>
          </w:tcPr>
          <w:p w14:paraId="38782AE8">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备注</w:t>
            </w:r>
          </w:p>
        </w:tc>
        <w:tc>
          <w:tcPr>
            <w:tcW w:w="7336" w:type="dxa"/>
            <w:gridSpan w:val="3"/>
            <w:tcBorders>
              <w:top w:val="single" w:color="auto" w:sz="2" w:space="0"/>
              <w:left w:val="single" w:color="auto" w:sz="2" w:space="0"/>
              <w:bottom w:val="single" w:color="auto" w:sz="6" w:space="0"/>
              <w:right w:val="single" w:color="auto" w:sz="6" w:space="0"/>
            </w:tcBorders>
            <w:shd w:val="clear" w:color="auto" w:fill="auto"/>
            <w:vAlign w:val="center"/>
          </w:tcPr>
          <w:p w14:paraId="01D4F5A1">
            <w:pPr>
              <w:adjustRightInd w:val="0"/>
              <w:snapToGrid w:val="0"/>
              <w:spacing w:line="360" w:lineRule="auto"/>
              <w:jc w:val="left"/>
              <w:rPr>
                <w:rFonts w:ascii="宋体" w:hAnsi="宋体" w:eastAsia="宋体" w:cs="宋体"/>
                <w:bCs/>
                <w:color w:val="auto"/>
                <w:kern w:val="0"/>
                <w:highlight w:val="none"/>
              </w:rPr>
            </w:pPr>
          </w:p>
        </w:tc>
      </w:tr>
    </w:tbl>
    <w:p w14:paraId="348A59D2">
      <w:pPr>
        <w:rPr>
          <w:rFonts w:ascii="宋体" w:hAnsi="宋体" w:eastAsia="宋体" w:cs="宋体"/>
          <w:color w:val="auto"/>
          <w:highlight w:val="none"/>
        </w:rPr>
      </w:pPr>
    </w:p>
    <w:p w14:paraId="052A0409">
      <w:pPr>
        <w:adjustRightInd w:val="0"/>
        <w:snapToGrid w:val="0"/>
        <w:spacing w:line="360" w:lineRule="auto"/>
        <w:jc w:val="left"/>
        <w:rPr>
          <w:rFonts w:ascii="宋体" w:hAnsi="宋体"/>
          <w:color w:val="auto"/>
          <w:kern w:val="0"/>
          <w:highlight w:val="none"/>
        </w:rPr>
      </w:pPr>
      <w:r>
        <w:rPr>
          <w:rFonts w:hint="eastAsia" w:ascii="楷体_GB2312" w:hAnsi="楷体_GB2312" w:eastAsia="楷体_GB2312" w:cs="楷体_GB2312"/>
          <w:color w:val="auto"/>
          <w:kern w:val="0"/>
          <w:highlight w:val="none"/>
        </w:rPr>
        <w:t>注：本表须与《资信要素一览表》配套使用。</w:t>
      </w:r>
      <w:r>
        <w:rPr>
          <w:rFonts w:hint="eastAsia" w:ascii="宋体" w:hAnsi="宋体" w:eastAsia="宋体" w:cs="宋体"/>
          <w:color w:val="auto"/>
          <w:kern w:val="0"/>
          <w:highlight w:val="none"/>
        </w:rPr>
        <w:br w:type="page"/>
      </w:r>
    </w:p>
    <w:p w14:paraId="651C9F3A">
      <w:pPr>
        <w:adjustRightInd w:val="0"/>
        <w:snapToGrid w:val="0"/>
        <w:spacing w:line="360" w:lineRule="auto"/>
        <w:jc w:val="left"/>
        <w:outlineLvl w:val="2"/>
        <w:rPr>
          <w:rFonts w:ascii="宋体" w:hAnsi="宋体" w:eastAsia="宋体" w:cs="宋体"/>
          <w:b/>
          <w:color w:val="auto"/>
          <w:kern w:val="0"/>
          <w:highlight w:val="none"/>
        </w:rPr>
      </w:pPr>
      <w:bookmarkStart w:id="48" w:name="_Toc8320"/>
      <w:r>
        <w:rPr>
          <w:rFonts w:hint="eastAsia" w:ascii="宋体" w:hAnsi="宋体" w:eastAsia="宋体" w:cs="宋体"/>
          <w:b/>
          <w:color w:val="auto"/>
          <w:kern w:val="0"/>
          <w:highlight w:val="none"/>
        </w:rPr>
        <w:t>投标附件3.投标人工程业绩表</w:t>
      </w:r>
      <w:bookmarkEnd w:id="48"/>
    </w:p>
    <w:p w14:paraId="6ECCE986">
      <w:pPr>
        <w:adjustRightInd w:val="0"/>
        <w:snapToGri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投标人工程业绩表</w:t>
      </w:r>
    </w:p>
    <w:tbl>
      <w:tblPr>
        <w:tblStyle w:val="79"/>
        <w:tblW w:w="9853"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502"/>
        <w:gridCol w:w="1795"/>
        <w:gridCol w:w="2243"/>
        <w:gridCol w:w="1173"/>
        <w:gridCol w:w="1294"/>
        <w:gridCol w:w="1846"/>
      </w:tblGrid>
      <w:tr w14:paraId="433F2F6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2" w:type="dxa"/>
            <w:tcBorders>
              <w:top w:val="single" w:color="auto" w:sz="6" w:space="0"/>
              <w:left w:val="single" w:color="auto" w:sz="6" w:space="0"/>
              <w:bottom w:val="single" w:color="auto" w:sz="2" w:space="0"/>
              <w:right w:val="single" w:color="auto" w:sz="2" w:space="0"/>
            </w:tcBorders>
            <w:shd w:val="clear" w:color="auto" w:fill="auto"/>
            <w:vAlign w:val="center"/>
          </w:tcPr>
          <w:p w14:paraId="012C6666">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企业名称</w:t>
            </w:r>
          </w:p>
        </w:tc>
        <w:tc>
          <w:tcPr>
            <w:tcW w:w="8351" w:type="dxa"/>
            <w:gridSpan w:val="5"/>
            <w:tcBorders>
              <w:top w:val="single" w:color="auto" w:sz="6" w:space="0"/>
              <w:left w:val="single" w:color="auto" w:sz="2" w:space="0"/>
              <w:bottom w:val="single" w:color="auto" w:sz="2" w:space="0"/>
              <w:right w:val="single" w:color="auto" w:sz="6" w:space="0"/>
            </w:tcBorders>
            <w:shd w:val="clear" w:color="auto" w:fill="auto"/>
            <w:vAlign w:val="center"/>
          </w:tcPr>
          <w:p w14:paraId="0C6A810C">
            <w:pPr>
              <w:adjustRightInd w:val="0"/>
              <w:snapToGrid w:val="0"/>
              <w:spacing w:line="360" w:lineRule="auto"/>
              <w:jc w:val="left"/>
              <w:rPr>
                <w:rFonts w:ascii="宋体" w:hAnsi="宋体" w:eastAsia="宋体" w:cs="宋体"/>
                <w:color w:val="auto"/>
                <w:kern w:val="0"/>
                <w:highlight w:val="none"/>
              </w:rPr>
            </w:pPr>
          </w:p>
        </w:tc>
      </w:tr>
      <w:tr w14:paraId="28E3757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853" w:type="dxa"/>
            <w:gridSpan w:val="6"/>
            <w:tcBorders>
              <w:top w:val="single" w:color="auto" w:sz="2" w:space="0"/>
              <w:left w:val="single" w:color="auto" w:sz="6" w:space="0"/>
              <w:bottom w:val="single" w:color="auto" w:sz="2" w:space="0"/>
              <w:right w:val="single" w:color="auto" w:sz="6" w:space="0"/>
            </w:tcBorders>
            <w:shd w:val="clear" w:color="auto" w:fill="auto"/>
            <w:vAlign w:val="center"/>
          </w:tcPr>
          <w:p w14:paraId="172CD199">
            <w:pPr>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bCs/>
                <w:color w:val="auto"/>
                <w:kern w:val="0"/>
                <w:highlight w:val="none"/>
              </w:rPr>
              <w:t>企业近3年已签订同类工程合同（设计费均为50万元以上）的项目数量</w:t>
            </w:r>
          </w:p>
        </w:tc>
      </w:tr>
      <w:tr w14:paraId="3156F90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2" w:type="dxa"/>
            <w:tcBorders>
              <w:top w:val="single" w:color="auto" w:sz="2" w:space="0"/>
              <w:left w:val="single" w:color="auto" w:sz="6" w:space="0"/>
              <w:bottom w:val="single" w:color="auto" w:sz="2" w:space="0"/>
              <w:right w:val="single" w:color="auto" w:sz="2" w:space="0"/>
            </w:tcBorders>
            <w:shd w:val="clear" w:color="auto" w:fill="auto"/>
            <w:vAlign w:val="center"/>
          </w:tcPr>
          <w:p w14:paraId="7B8766A6">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本年度</w:t>
            </w:r>
          </w:p>
        </w:tc>
        <w:tc>
          <w:tcPr>
            <w:tcW w:w="1795" w:type="dxa"/>
            <w:tcBorders>
              <w:top w:val="single" w:color="auto" w:sz="2" w:space="0"/>
              <w:left w:val="single" w:color="auto" w:sz="2" w:space="0"/>
              <w:bottom w:val="single" w:color="auto" w:sz="2" w:space="0"/>
              <w:right w:val="single" w:color="auto" w:sz="6" w:space="0"/>
            </w:tcBorders>
            <w:shd w:val="clear" w:color="auto" w:fill="auto"/>
            <w:vAlign w:val="center"/>
          </w:tcPr>
          <w:p w14:paraId="527428C2">
            <w:pPr>
              <w:adjustRightInd w:val="0"/>
              <w:snapToGrid w:val="0"/>
              <w:spacing w:line="360" w:lineRule="auto"/>
              <w:jc w:val="left"/>
              <w:rPr>
                <w:rFonts w:ascii="宋体" w:hAnsi="宋体" w:eastAsia="宋体" w:cs="宋体"/>
                <w:bCs/>
                <w:color w:val="auto"/>
                <w:kern w:val="0"/>
                <w:szCs w:val="21"/>
                <w:highlight w:val="none"/>
              </w:rPr>
            </w:pPr>
          </w:p>
        </w:tc>
        <w:tc>
          <w:tcPr>
            <w:tcW w:w="2243" w:type="dxa"/>
            <w:tcBorders>
              <w:top w:val="single" w:color="auto" w:sz="2" w:space="0"/>
              <w:left w:val="single" w:color="auto" w:sz="2" w:space="0"/>
              <w:bottom w:val="single" w:color="auto" w:sz="2" w:space="0"/>
              <w:right w:val="single" w:color="auto" w:sz="6" w:space="0"/>
            </w:tcBorders>
            <w:shd w:val="clear" w:color="auto" w:fill="auto"/>
            <w:vAlign w:val="center"/>
          </w:tcPr>
          <w:p w14:paraId="1A924CB9">
            <w:pPr>
              <w:adjustRightInd w:val="0"/>
              <w:snapToGrid w:val="0"/>
              <w:spacing w:line="360" w:lineRule="auto"/>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前1年度</w:t>
            </w:r>
          </w:p>
        </w:tc>
        <w:tc>
          <w:tcPr>
            <w:tcW w:w="1173" w:type="dxa"/>
            <w:tcBorders>
              <w:top w:val="single" w:color="auto" w:sz="2" w:space="0"/>
              <w:left w:val="single" w:color="auto" w:sz="2" w:space="0"/>
              <w:bottom w:val="single" w:color="auto" w:sz="2" w:space="0"/>
              <w:right w:val="single" w:color="auto" w:sz="6" w:space="0"/>
            </w:tcBorders>
            <w:shd w:val="clear" w:color="auto" w:fill="auto"/>
            <w:vAlign w:val="center"/>
          </w:tcPr>
          <w:p w14:paraId="58643FCD">
            <w:pPr>
              <w:adjustRightInd w:val="0"/>
              <w:snapToGrid w:val="0"/>
              <w:spacing w:line="360" w:lineRule="auto"/>
              <w:jc w:val="left"/>
              <w:rPr>
                <w:rFonts w:ascii="宋体" w:hAnsi="宋体" w:eastAsia="宋体" w:cs="宋体"/>
                <w:bCs/>
                <w:color w:val="auto"/>
                <w:kern w:val="0"/>
                <w:szCs w:val="21"/>
                <w:highlight w:val="none"/>
              </w:rPr>
            </w:pPr>
          </w:p>
        </w:tc>
        <w:tc>
          <w:tcPr>
            <w:tcW w:w="1294" w:type="dxa"/>
            <w:tcBorders>
              <w:top w:val="single" w:color="auto" w:sz="2" w:space="0"/>
              <w:left w:val="single" w:color="auto" w:sz="2" w:space="0"/>
              <w:bottom w:val="single" w:color="auto" w:sz="2" w:space="0"/>
              <w:right w:val="single" w:color="auto" w:sz="6" w:space="0"/>
            </w:tcBorders>
            <w:shd w:val="clear" w:color="auto" w:fill="auto"/>
            <w:vAlign w:val="center"/>
          </w:tcPr>
          <w:p w14:paraId="1EDF1F35">
            <w:pPr>
              <w:adjustRightInd w:val="0"/>
              <w:snapToGrid w:val="0"/>
              <w:spacing w:line="360" w:lineRule="auto"/>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前2年度</w:t>
            </w: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14:paraId="6AB29222">
            <w:pPr>
              <w:adjustRightInd w:val="0"/>
              <w:snapToGrid w:val="0"/>
              <w:spacing w:line="360" w:lineRule="auto"/>
              <w:jc w:val="left"/>
              <w:rPr>
                <w:rFonts w:ascii="宋体" w:hAnsi="宋体" w:eastAsia="宋体" w:cs="宋体"/>
                <w:bCs/>
                <w:color w:val="auto"/>
                <w:kern w:val="0"/>
                <w:szCs w:val="21"/>
                <w:highlight w:val="none"/>
              </w:rPr>
            </w:pPr>
          </w:p>
        </w:tc>
      </w:tr>
      <w:tr w14:paraId="1606AF2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853" w:type="dxa"/>
            <w:gridSpan w:val="6"/>
            <w:tcBorders>
              <w:top w:val="single" w:color="auto" w:sz="2" w:space="0"/>
              <w:left w:val="single" w:color="auto" w:sz="6" w:space="0"/>
              <w:bottom w:val="single" w:color="auto" w:sz="2" w:space="0"/>
              <w:right w:val="single" w:color="auto" w:sz="6" w:space="0"/>
            </w:tcBorders>
            <w:shd w:val="clear" w:color="auto" w:fill="auto"/>
            <w:vAlign w:val="center"/>
          </w:tcPr>
          <w:p w14:paraId="3BBFBBF5">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企业近6年荣获市政类“优秀工程设计奖”数量</w:t>
            </w:r>
          </w:p>
        </w:tc>
      </w:tr>
      <w:tr w14:paraId="7E54C86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2" w:type="dxa"/>
            <w:tcBorders>
              <w:top w:val="single" w:color="auto" w:sz="2" w:space="0"/>
              <w:left w:val="single" w:color="auto" w:sz="6" w:space="0"/>
              <w:right w:val="single" w:color="auto" w:sz="2" w:space="0"/>
            </w:tcBorders>
            <w:shd w:val="clear" w:color="auto" w:fill="auto"/>
            <w:vAlign w:val="center"/>
          </w:tcPr>
          <w:p w14:paraId="373C1A22">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获奖年度</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14:paraId="24C68812">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国家级</w:t>
            </w: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14:paraId="1732C737">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建设部级或中勘设协级</w:t>
            </w: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14:paraId="59FEBE01">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省厅级或省勘设协级</w:t>
            </w: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14:paraId="7F4B80A8">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地市级或市勘设协级</w:t>
            </w:r>
          </w:p>
        </w:tc>
      </w:tr>
      <w:tr w14:paraId="2D83FB4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2" w:type="dxa"/>
            <w:tcBorders>
              <w:top w:val="single" w:color="auto" w:sz="2" w:space="0"/>
              <w:left w:val="single" w:color="auto" w:sz="6" w:space="0"/>
              <w:right w:val="single" w:color="auto" w:sz="2" w:space="0"/>
            </w:tcBorders>
            <w:shd w:val="clear" w:color="auto" w:fill="auto"/>
            <w:vAlign w:val="center"/>
          </w:tcPr>
          <w:p w14:paraId="4423EB19">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本年度</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14:paraId="31DF0BAC">
            <w:pPr>
              <w:adjustRightInd w:val="0"/>
              <w:snapToGrid w:val="0"/>
              <w:spacing w:line="360" w:lineRule="auto"/>
              <w:jc w:val="left"/>
              <w:rPr>
                <w:rFonts w:ascii="宋体" w:hAnsi="宋体" w:eastAsia="宋体" w:cs="宋体"/>
                <w:bCs/>
                <w:color w:val="auto"/>
                <w:kern w:val="0"/>
                <w:highlight w:val="none"/>
              </w:rPr>
            </w:pP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14:paraId="28490CEA">
            <w:pPr>
              <w:adjustRightInd w:val="0"/>
              <w:snapToGrid w:val="0"/>
              <w:spacing w:line="360" w:lineRule="auto"/>
              <w:jc w:val="left"/>
              <w:rPr>
                <w:rFonts w:ascii="宋体" w:hAnsi="宋体" w:eastAsia="宋体" w:cs="宋体"/>
                <w:bCs/>
                <w:color w:val="auto"/>
                <w:kern w:val="0"/>
                <w:highlight w:val="none"/>
              </w:rPr>
            </w:pP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14:paraId="5F2212C9">
            <w:pPr>
              <w:adjustRightInd w:val="0"/>
              <w:snapToGrid w:val="0"/>
              <w:spacing w:line="360" w:lineRule="auto"/>
              <w:jc w:val="left"/>
              <w:rPr>
                <w:rFonts w:ascii="宋体" w:hAnsi="宋体" w:eastAsia="宋体" w:cs="宋体"/>
                <w:bCs/>
                <w:color w:val="auto"/>
                <w:kern w:val="0"/>
                <w:highlight w:val="none"/>
              </w:rPr>
            </w:pP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14:paraId="15D8EFFE">
            <w:pPr>
              <w:adjustRightInd w:val="0"/>
              <w:snapToGrid w:val="0"/>
              <w:spacing w:line="360" w:lineRule="auto"/>
              <w:jc w:val="left"/>
              <w:rPr>
                <w:rFonts w:ascii="宋体" w:hAnsi="宋体" w:eastAsia="宋体" w:cs="宋体"/>
                <w:bCs/>
                <w:color w:val="auto"/>
                <w:kern w:val="0"/>
                <w:highlight w:val="none"/>
              </w:rPr>
            </w:pPr>
          </w:p>
        </w:tc>
      </w:tr>
      <w:tr w14:paraId="643B8D6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2" w:type="dxa"/>
            <w:tcBorders>
              <w:left w:val="single" w:color="auto" w:sz="6" w:space="0"/>
              <w:right w:val="single" w:color="auto" w:sz="2" w:space="0"/>
            </w:tcBorders>
            <w:shd w:val="clear" w:color="auto" w:fill="auto"/>
            <w:vAlign w:val="center"/>
          </w:tcPr>
          <w:p w14:paraId="23F90498">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前1年度</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14:paraId="6C975007">
            <w:pPr>
              <w:adjustRightInd w:val="0"/>
              <w:snapToGrid w:val="0"/>
              <w:spacing w:line="360" w:lineRule="auto"/>
              <w:jc w:val="left"/>
              <w:rPr>
                <w:rFonts w:ascii="宋体" w:hAnsi="宋体" w:eastAsia="宋体" w:cs="宋体"/>
                <w:bCs/>
                <w:color w:val="auto"/>
                <w:kern w:val="0"/>
                <w:highlight w:val="none"/>
              </w:rPr>
            </w:pP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14:paraId="727FA9FA">
            <w:pPr>
              <w:adjustRightInd w:val="0"/>
              <w:snapToGrid w:val="0"/>
              <w:spacing w:line="360" w:lineRule="auto"/>
              <w:jc w:val="left"/>
              <w:rPr>
                <w:rFonts w:ascii="宋体" w:hAnsi="宋体" w:eastAsia="宋体" w:cs="宋体"/>
                <w:bCs/>
                <w:color w:val="auto"/>
                <w:kern w:val="0"/>
                <w:highlight w:val="none"/>
              </w:rPr>
            </w:pP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14:paraId="68ABCCA6">
            <w:pPr>
              <w:adjustRightInd w:val="0"/>
              <w:snapToGrid w:val="0"/>
              <w:spacing w:line="360" w:lineRule="auto"/>
              <w:jc w:val="left"/>
              <w:rPr>
                <w:rFonts w:ascii="宋体" w:hAnsi="宋体" w:eastAsia="宋体" w:cs="宋体"/>
                <w:bCs/>
                <w:color w:val="auto"/>
                <w:kern w:val="0"/>
                <w:highlight w:val="none"/>
              </w:rPr>
            </w:pP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14:paraId="6519D123">
            <w:pPr>
              <w:adjustRightInd w:val="0"/>
              <w:snapToGrid w:val="0"/>
              <w:spacing w:line="360" w:lineRule="auto"/>
              <w:jc w:val="left"/>
              <w:rPr>
                <w:rFonts w:ascii="宋体" w:hAnsi="宋体" w:eastAsia="宋体" w:cs="宋体"/>
                <w:bCs/>
                <w:color w:val="auto"/>
                <w:kern w:val="0"/>
                <w:highlight w:val="none"/>
              </w:rPr>
            </w:pPr>
          </w:p>
        </w:tc>
      </w:tr>
      <w:tr w14:paraId="1F6026C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2" w:type="dxa"/>
            <w:tcBorders>
              <w:left w:val="single" w:color="auto" w:sz="6" w:space="0"/>
              <w:right w:val="single" w:color="auto" w:sz="2" w:space="0"/>
            </w:tcBorders>
            <w:shd w:val="clear" w:color="auto" w:fill="auto"/>
            <w:vAlign w:val="center"/>
          </w:tcPr>
          <w:p w14:paraId="4C3E8457">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前2年度</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14:paraId="02873A93">
            <w:pPr>
              <w:adjustRightInd w:val="0"/>
              <w:snapToGrid w:val="0"/>
              <w:spacing w:line="360" w:lineRule="auto"/>
              <w:jc w:val="left"/>
              <w:rPr>
                <w:rFonts w:ascii="宋体" w:hAnsi="宋体" w:eastAsia="宋体" w:cs="宋体"/>
                <w:bCs/>
                <w:color w:val="auto"/>
                <w:kern w:val="0"/>
                <w:highlight w:val="none"/>
              </w:rPr>
            </w:pP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14:paraId="6A18EAD6">
            <w:pPr>
              <w:adjustRightInd w:val="0"/>
              <w:snapToGrid w:val="0"/>
              <w:spacing w:line="360" w:lineRule="auto"/>
              <w:jc w:val="left"/>
              <w:rPr>
                <w:rFonts w:ascii="宋体" w:hAnsi="宋体" w:eastAsia="宋体" w:cs="宋体"/>
                <w:bCs/>
                <w:color w:val="auto"/>
                <w:kern w:val="0"/>
                <w:highlight w:val="none"/>
              </w:rPr>
            </w:pP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14:paraId="68FD38A4">
            <w:pPr>
              <w:adjustRightInd w:val="0"/>
              <w:snapToGrid w:val="0"/>
              <w:spacing w:line="360" w:lineRule="auto"/>
              <w:jc w:val="left"/>
              <w:rPr>
                <w:rFonts w:ascii="宋体" w:hAnsi="宋体" w:eastAsia="宋体" w:cs="宋体"/>
                <w:bCs/>
                <w:color w:val="auto"/>
                <w:kern w:val="0"/>
                <w:highlight w:val="none"/>
              </w:rPr>
            </w:pP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14:paraId="1F94D759">
            <w:pPr>
              <w:adjustRightInd w:val="0"/>
              <w:snapToGrid w:val="0"/>
              <w:spacing w:line="360" w:lineRule="auto"/>
              <w:jc w:val="left"/>
              <w:rPr>
                <w:rFonts w:ascii="宋体" w:hAnsi="宋体" w:eastAsia="宋体" w:cs="宋体"/>
                <w:bCs/>
                <w:color w:val="auto"/>
                <w:kern w:val="0"/>
                <w:highlight w:val="none"/>
              </w:rPr>
            </w:pPr>
          </w:p>
        </w:tc>
      </w:tr>
      <w:tr w14:paraId="3DCC8CB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2" w:type="dxa"/>
            <w:tcBorders>
              <w:left w:val="single" w:color="auto" w:sz="6" w:space="0"/>
              <w:right w:val="single" w:color="auto" w:sz="2" w:space="0"/>
            </w:tcBorders>
            <w:shd w:val="clear" w:color="auto" w:fill="auto"/>
            <w:vAlign w:val="center"/>
          </w:tcPr>
          <w:p w14:paraId="166FDD42">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前3年度</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14:paraId="35690985">
            <w:pPr>
              <w:adjustRightInd w:val="0"/>
              <w:snapToGrid w:val="0"/>
              <w:spacing w:line="360" w:lineRule="auto"/>
              <w:jc w:val="left"/>
              <w:rPr>
                <w:rFonts w:ascii="宋体" w:hAnsi="宋体" w:eastAsia="宋体" w:cs="宋体"/>
                <w:bCs/>
                <w:color w:val="auto"/>
                <w:kern w:val="0"/>
                <w:highlight w:val="none"/>
              </w:rPr>
            </w:pP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14:paraId="1D449958">
            <w:pPr>
              <w:adjustRightInd w:val="0"/>
              <w:snapToGrid w:val="0"/>
              <w:spacing w:line="360" w:lineRule="auto"/>
              <w:jc w:val="left"/>
              <w:rPr>
                <w:rFonts w:ascii="宋体" w:hAnsi="宋体" w:eastAsia="宋体" w:cs="宋体"/>
                <w:bCs/>
                <w:color w:val="auto"/>
                <w:kern w:val="0"/>
                <w:highlight w:val="none"/>
              </w:rPr>
            </w:pP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14:paraId="04F193FF">
            <w:pPr>
              <w:adjustRightInd w:val="0"/>
              <w:snapToGrid w:val="0"/>
              <w:spacing w:line="360" w:lineRule="auto"/>
              <w:jc w:val="left"/>
              <w:rPr>
                <w:rFonts w:ascii="宋体" w:hAnsi="宋体" w:eastAsia="宋体" w:cs="宋体"/>
                <w:bCs/>
                <w:color w:val="auto"/>
                <w:kern w:val="0"/>
                <w:highlight w:val="none"/>
              </w:rPr>
            </w:pP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14:paraId="5E98D7AB">
            <w:pPr>
              <w:adjustRightInd w:val="0"/>
              <w:snapToGrid w:val="0"/>
              <w:spacing w:line="360" w:lineRule="auto"/>
              <w:jc w:val="left"/>
              <w:rPr>
                <w:rFonts w:ascii="宋体" w:hAnsi="宋体" w:eastAsia="宋体" w:cs="宋体"/>
                <w:bCs/>
                <w:color w:val="auto"/>
                <w:kern w:val="0"/>
                <w:highlight w:val="none"/>
              </w:rPr>
            </w:pPr>
          </w:p>
        </w:tc>
      </w:tr>
      <w:tr w14:paraId="6316B52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2" w:type="dxa"/>
            <w:tcBorders>
              <w:left w:val="single" w:color="auto" w:sz="6" w:space="0"/>
              <w:right w:val="single" w:color="auto" w:sz="2" w:space="0"/>
            </w:tcBorders>
            <w:shd w:val="clear" w:color="auto" w:fill="auto"/>
            <w:vAlign w:val="center"/>
          </w:tcPr>
          <w:p w14:paraId="2023F4F1">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前4年度</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14:paraId="20EE6225">
            <w:pPr>
              <w:adjustRightInd w:val="0"/>
              <w:snapToGrid w:val="0"/>
              <w:spacing w:line="360" w:lineRule="auto"/>
              <w:jc w:val="left"/>
              <w:rPr>
                <w:rFonts w:ascii="宋体" w:hAnsi="宋体" w:eastAsia="宋体" w:cs="宋体"/>
                <w:bCs/>
                <w:color w:val="auto"/>
                <w:kern w:val="0"/>
                <w:highlight w:val="none"/>
              </w:rPr>
            </w:pP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14:paraId="502CB086">
            <w:pPr>
              <w:adjustRightInd w:val="0"/>
              <w:snapToGrid w:val="0"/>
              <w:spacing w:line="360" w:lineRule="auto"/>
              <w:jc w:val="left"/>
              <w:rPr>
                <w:rFonts w:ascii="宋体" w:hAnsi="宋体" w:eastAsia="宋体" w:cs="宋体"/>
                <w:bCs/>
                <w:color w:val="auto"/>
                <w:kern w:val="0"/>
                <w:highlight w:val="none"/>
              </w:rPr>
            </w:pP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14:paraId="3EE90856">
            <w:pPr>
              <w:adjustRightInd w:val="0"/>
              <w:snapToGrid w:val="0"/>
              <w:spacing w:line="360" w:lineRule="auto"/>
              <w:jc w:val="left"/>
              <w:rPr>
                <w:rFonts w:ascii="宋体" w:hAnsi="宋体" w:eastAsia="宋体" w:cs="宋体"/>
                <w:bCs/>
                <w:color w:val="auto"/>
                <w:kern w:val="0"/>
                <w:highlight w:val="none"/>
              </w:rPr>
            </w:pP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14:paraId="4AE118B6">
            <w:pPr>
              <w:adjustRightInd w:val="0"/>
              <w:snapToGrid w:val="0"/>
              <w:spacing w:line="360" w:lineRule="auto"/>
              <w:jc w:val="left"/>
              <w:rPr>
                <w:rFonts w:ascii="宋体" w:hAnsi="宋体" w:eastAsia="宋体" w:cs="宋体"/>
                <w:bCs/>
                <w:color w:val="auto"/>
                <w:kern w:val="0"/>
                <w:highlight w:val="none"/>
              </w:rPr>
            </w:pPr>
          </w:p>
        </w:tc>
      </w:tr>
      <w:tr w14:paraId="19A7880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2" w:type="dxa"/>
            <w:tcBorders>
              <w:top w:val="single" w:color="auto" w:sz="2" w:space="0"/>
              <w:left w:val="single" w:color="auto" w:sz="6" w:space="0"/>
              <w:right w:val="single" w:color="auto" w:sz="2" w:space="0"/>
            </w:tcBorders>
            <w:shd w:val="clear" w:color="auto" w:fill="auto"/>
            <w:vAlign w:val="center"/>
          </w:tcPr>
          <w:p w14:paraId="21B08381">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前5年度</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14:paraId="1D189C1F">
            <w:pPr>
              <w:adjustRightInd w:val="0"/>
              <w:snapToGrid w:val="0"/>
              <w:spacing w:line="360" w:lineRule="auto"/>
              <w:jc w:val="left"/>
              <w:rPr>
                <w:rFonts w:ascii="宋体" w:hAnsi="宋体" w:eastAsia="宋体" w:cs="宋体"/>
                <w:bCs/>
                <w:color w:val="auto"/>
                <w:kern w:val="0"/>
                <w:highlight w:val="none"/>
              </w:rPr>
            </w:pP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14:paraId="79FB4CB0">
            <w:pPr>
              <w:adjustRightInd w:val="0"/>
              <w:snapToGrid w:val="0"/>
              <w:spacing w:line="360" w:lineRule="auto"/>
              <w:jc w:val="left"/>
              <w:rPr>
                <w:rFonts w:ascii="宋体" w:hAnsi="宋体" w:eastAsia="宋体" w:cs="宋体"/>
                <w:bCs/>
                <w:color w:val="auto"/>
                <w:kern w:val="0"/>
                <w:highlight w:val="none"/>
              </w:rPr>
            </w:pP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14:paraId="47166F44">
            <w:pPr>
              <w:adjustRightInd w:val="0"/>
              <w:snapToGrid w:val="0"/>
              <w:spacing w:line="360" w:lineRule="auto"/>
              <w:jc w:val="left"/>
              <w:rPr>
                <w:rFonts w:ascii="宋体" w:hAnsi="宋体" w:eastAsia="宋体" w:cs="宋体"/>
                <w:bCs/>
                <w:color w:val="auto"/>
                <w:kern w:val="0"/>
                <w:highlight w:val="none"/>
              </w:rPr>
            </w:pP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14:paraId="053A7EB4">
            <w:pPr>
              <w:adjustRightInd w:val="0"/>
              <w:snapToGrid w:val="0"/>
              <w:spacing w:line="360" w:lineRule="auto"/>
              <w:jc w:val="left"/>
              <w:rPr>
                <w:rFonts w:ascii="宋体" w:hAnsi="宋体" w:eastAsia="宋体" w:cs="宋体"/>
                <w:bCs/>
                <w:color w:val="auto"/>
                <w:kern w:val="0"/>
                <w:highlight w:val="none"/>
              </w:rPr>
            </w:pPr>
          </w:p>
        </w:tc>
      </w:tr>
      <w:tr w14:paraId="38C04E7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2" w:type="dxa"/>
            <w:tcBorders>
              <w:top w:val="single" w:color="auto" w:sz="2" w:space="0"/>
              <w:left w:val="single" w:color="auto" w:sz="6" w:space="0"/>
              <w:right w:val="single" w:color="auto" w:sz="2" w:space="0"/>
            </w:tcBorders>
            <w:shd w:val="clear" w:color="auto" w:fill="auto"/>
            <w:vAlign w:val="center"/>
          </w:tcPr>
          <w:p w14:paraId="3E9FD8D2">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合计</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14:paraId="17910BEA">
            <w:pPr>
              <w:adjustRightInd w:val="0"/>
              <w:snapToGrid w:val="0"/>
              <w:spacing w:line="360" w:lineRule="auto"/>
              <w:jc w:val="left"/>
              <w:rPr>
                <w:rFonts w:ascii="宋体" w:hAnsi="宋体" w:eastAsia="宋体" w:cs="宋体"/>
                <w:bCs/>
                <w:color w:val="auto"/>
                <w:kern w:val="0"/>
                <w:highlight w:val="none"/>
              </w:rPr>
            </w:pP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14:paraId="7193A88E">
            <w:pPr>
              <w:adjustRightInd w:val="0"/>
              <w:snapToGrid w:val="0"/>
              <w:spacing w:line="360" w:lineRule="auto"/>
              <w:jc w:val="left"/>
              <w:rPr>
                <w:rFonts w:ascii="宋体" w:hAnsi="宋体" w:eastAsia="宋体" w:cs="宋体"/>
                <w:bCs/>
                <w:color w:val="auto"/>
                <w:kern w:val="0"/>
                <w:highlight w:val="none"/>
              </w:rPr>
            </w:pP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14:paraId="718366A0">
            <w:pPr>
              <w:adjustRightInd w:val="0"/>
              <w:snapToGrid w:val="0"/>
              <w:spacing w:line="360" w:lineRule="auto"/>
              <w:jc w:val="left"/>
              <w:rPr>
                <w:rFonts w:ascii="宋体" w:hAnsi="宋体" w:eastAsia="宋体" w:cs="宋体"/>
                <w:bCs/>
                <w:color w:val="auto"/>
                <w:kern w:val="0"/>
                <w:highlight w:val="none"/>
              </w:rPr>
            </w:pP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14:paraId="6AE33F07">
            <w:pPr>
              <w:adjustRightInd w:val="0"/>
              <w:snapToGrid w:val="0"/>
              <w:spacing w:line="360" w:lineRule="auto"/>
              <w:jc w:val="left"/>
              <w:rPr>
                <w:rFonts w:ascii="宋体" w:hAnsi="宋体" w:eastAsia="宋体" w:cs="宋体"/>
                <w:bCs/>
                <w:color w:val="auto"/>
                <w:kern w:val="0"/>
                <w:highlight w:val="none"/>
              </w:rPr>
            </w:pPr>
          </w:p>
        </w:tc>
      </w:tr>
      <w:tr w14:paraId="5142CA5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2" w:type="dxa"/>
            <w:tcBorders>
              <w:left w:val="single" w:color="auto" w:sz="6" w:space="0"/>
              <w:right w:val="single" w:color="auto" w:sz="2" w:space="0"/>
            </w:tcBorders>
            <w:shd w:val="clear" w:color="auto" w:fill="auto"/>
            <w:vAlign w:val="center"/>
          </w:tcPr>
          <w:p w14:paraId="784E88EB">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备注</w:t>
            </w:r>
          </w:p>
        </w:tc>
        <w:tc>
          <w:tcPr>
            <w:tcW w:w="8351" w:type="dxa"/>
            <w:gridSpan w:val="5"/>
            <w:tcBorders>
              <w:top w:val="single" w:color="auto" w:sz="2" w:space="0"/>
              <w:left w:val="single" w:color="auto" w:sz="2" w:space="0"/>
              <w:bottom w:val="single" w:color="auto" w:sz="2" w:space="0"/>
              <w:right w:val="single" w:color="auto" w:sz="6" w:space="0"/>
            </w:tcBorders>
            <w:shd w:val="clear" w:color="auto" w:fill="auto"/>
            <w:vAlign w:val="center"/>
          </w:tcPr>
          <w:p w14:paraId="4D367919">
            <w:pPr>
              <w:adjustRightInd w:val="0"/>
              <w:snapToGrid w:val="0"/>
              <w:spacing w:line="360" w:lineRule="auto"/>
              <w:jc w:val="left"/>
              <w:rPr>
                <w:rFonts w:ascii="宋体" w:hAnsi="宋体" w:eastAsia="宋体" w:cs="宋体"/>
                <w:bCs/>
                <w:color w:val="auto"/>
                <w:kern w:val="0"/>
                <w:highlight w:val="none"/>
              </w:rPr>
            </w:pPr>
          </w:p>
        </w:tc>
      </w:tr>
    </w:tbl>
    <w:p w14:paraId="6A0ABBE4">
      <w:pPr>
        <w:spacing w:line="360" w:lineRule="auto"/>
        <w:jc w:val="left"/>
        <w:rPr>
          <w:rFonts w:ascii="宋体" w:hAnsi="宋体" w:eastAsia="宋体" w:cs="宋体"/>
          <w:color w:val="auto"/>
          <w:highlight w:val="none"/>
        </w:rPr>
      </w:pPr>
    </w:p>
    <w:p w14:paraId="500CED0F">
      <w:pPr>
        <w:adjustRightInd w:val="0"/>
        <w:snapToGrid w:val="0"/>
        <w:spacing w:line="360" w:lineRule="auto"/>
        <w:jc w:val="left"/>
        <w:rPr>
          <w:rFonts w:ascii="楷体_GB2312" w:hAnsi="楷体_GB2312" w:eastAsia="楷体_GB2312" w:cs="楷体_GB2312"/>
          <w:color w:val="auto"/>
          <w:kern w:val="0"/>
          <w:highlight w:val="none"/>
        </w:rPr>
      </w:pPr>
      <w:r>
        <w:rPr>
          <w:rFonts w:hint="eastAsia" w:ascii="楷体_GB2312" w:hAnsi="楷体_GB2312" w:eastAsia="楷体_GB2312" w:cs="楷体_GB2312"/>
          <w:color w:val="auto"/>
          <w:kern w:val="0"/>
          <w:highlight w:val="none"/>
        </w:rPr>
        <w:t>注：1.</w:t>
      </w:r>
      <w:r>
        <w:rPr>
          <w:rFonts w:hint="eastAsia" w:ascii="楷体_GB2312" w:hAnsi="楷体_GB2312" w:eastAsia="楷体_GB2312" w:cs="楷体_GB2312"/>
          <w:color w:val="auto"/>
          <w:highlight w:val="none"/>
        </w:rPr>
        <w:t xml:space="preserve"> </w:t>
      </w:r>
      <w:r>
        <w:rPr>
          <w:rFonts w:hint="eastAsia" w:ascii="楷体_GB2312" w:hAnsi="楷体_GB2312" w:eastAsia="楷体_GB2312" w:cs="楷体_GB2312"/>
          <w:color w:val="auto"/>
          <w:kern w:val="0"/>
          <w:highlight w:val="none"/>
        </w:rPr>
        <w:t>同一个项目，只取其最高奖项记奖一次，可为联合获奖。</w:t>
      </w:r>
    </w:p>
    <w:p w14:paraId="1F4CECF1">
      <w:pPr>
        <w:adjustRightInd w:val="0"/>
        <w:snapToGrid w:val="0"/>
        <w:spacing w:line="360" w:lineRule="auto"/>
        <w:ind w:firstLine="420" w:firstLineChars="200"/>
        <w:jc w:val="left"/>
        <w:rPr>
          <w:rFonts w:ascii="楷体_GB2312" w:hAnsi="楷体_GB2312" w:eastAsia="楷体_GB2312" w:cs="楷体_GB2312"/>
          <w:color w:val="auto"/>
          <w:kern w:val="0"/>
          <w:highlight w:val="none"/>
        </w:rPr>
      </w:pPr>
      <w:r>
        <w:rPr>
          <w:rFonts w:hint="eastAsia" w:ascii="楷体_GB2312" w:hAnsi="楷体_GB2312" w:eastAsia="楷体_GB2312" w:cs="楷体_GB2312"/>
          <w:color w:val="auto"/>
          <w:kern w:val="0"/>
          <w:highlight w:val="none"/>
        </w:rPr>
        <w:t>2.除如实填写本表外，尚应提交同类工程设计合同原件扫描件和《投标人近3年内签订同类工程合同的项目一览表》（投标附件4）。</w:t>
      </w:r>
    </w:p>
    <w:p w14:paraId="6D3685F4">
      <w:pPr>
        <w:adjustRightInd w:val="0"/>
        <w:snapToGrid w:val="0"/>
        <w:spacing w:line="360" w:lineRule="auto"/>
        <w:ind w:firstLine="420" w:firstLineChars="200"/>
        <w:jc w:val="left"/>
        <w:rPr>
          <w:rFonts w:ascii="楷体_GB2312" w:hAnsi="楷体_GB2312" w:eastAsia="楷体_GB2312" w:cs="楷体_GB2312"/>
          <w:color w:val="auto"/>
          <w:kern w:val="0"/>
          <w:highlight w:val="none"/>
        </w:rPr>
      </w:pPr>
      <w:r>
        <w:rPr>
          <w:rFonts w:hint="eastAsia" w:ascii="楷体_GB2312" w:hAnsi="楷体_GB2312" w:eastAsia="楷体_GB2312" w:cs="楷体_GB2312"/>
          <w:color w:val="auto"/>
          <w:kern w:val="0"/>
          <w:highlight w:val="none"/>
        </w:rPr>
        <w:t>3.除如实填写本表外，尚应提交获奖项目的获奖证书原件扫描件，以及《投标人近6年荣获“优秀工程设计奖”一览表》（投标附件5）。</w:t>
      </w:r>
    </w:p>
    <w:p w14:paraId="1461438F">
      <w:pPr>
        <w:adjustRightInd w:val="0"/>
        <w:snapToGrid w:val="0"/>
        <w:spacing w:line="360" w:lineRule="auto"/>
        <w:ind w:firstLine="420" w:firstLineChars="200"/>
        <w:jc w:val="left"/>
        <w:rPr>
          <w:rFonts w:ascii="宋体" w:hAnsi="宋体"/>
          <w:color w:val="auto"/>
          <w:kern w:val="0"/>
          <w:highlight w:val="none"/>
        </w:rPr>
      </w:pPr>
      <w:r>
        <w:rPr>
          <w:rFonts w:ascii="宋体" w:hAnsi="宋体"/>
          <w:color w:val="auto"/>
          <w:kern w:val="0"/>
          <w:highlight w:val="none"/>
        </w:rPr>
        <w:br w:type="page"/>
      </w:r>
    </w:p>
    <w:p w14:paraId="2CF2BA12">
      <w:pPr>
        <w:adjustRightInd w:val="0"/>
        <w:snapToGrid w:val="0"/>
        <w:spacing w:line="360" w:lineRule="auto"/>
        <w:jc w:val="left"/>
        <w:outlineLvl w:val="2"/>
        <w:rPr>
          <w:rFonts w:ascii="宋体" w:hAnsi="宋体" w:eastAsia="宋体" w:cs="宋体"/>
          <w:b/>
          <w:color w:val="auto"/>
          <w:kern w:val="0"/>
          <w:highlight w:val="none"/>
        </w:rPr>
      </w:pPr>
      <w:bookmarkStart w:id="49" w:name="_Toc24889"/>
      <w:r>
        <w:rPr>
          <w:rFonts w:hint="eastAsia" w:ascii="宋体" w:hAnsi="宋体" w:eastAsia="宋体" w:cs="宋体"/>
          <w:b/>
          <w:color w:val="auto"/>
          <w:kern w:val="0"/>
          <w:highlight w:val="none"/>
        </w:rPr>
        <w:t>投标附件4.投标人近3年内签订同类工程合同的项目一览表</w:t>
      </w:r>
      <w:bookmarkEnd w:id="49"/>
    </w:p>
    <w:p w14:paraId="0FACE907">
      <w:pPr>
        <w:adjustRightInd w:val="0"/>
        <w:snapToGri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投标人近3年内签订同类工程合同的项目一览表</w:t>
      </w:r>
    </w:p>
    <w:tbl>
      <w:tblPr>
        <w:tblStyle w:val="79"/>
        <w:tblW w:w="9802" w:type="dxa"/>
        <w:jc w:val="center"/>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510"/>
        <w:gridCol w:w="2268"/>
        <w:gridCol w:w="2237"/>
        <w:gridCol w:w="2672"/>
        <w:gridCol w:w="1001"/>
        <w:gridCol w:w="1114"/>
      </w:tblGrid>
      <w:tr w14:paraId="47677591">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tblHeader/>
          <w:jc w:val="center"/>
        </w:trPr>
        <w:tc>
          <w:tcPr>
            <w:tcW w:w="510" w:type="dxa"/>
            <w:shd w:val="clear" w:color="auto" w:fill="auto"/>
            <w:vAlign w:val="center"/>
          </w:tcPr>
          <w:p w14:paraId="62F57959">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268" w:type="dxa"/>
            <w:shd w:val="clear" w:color="auto" w:fill="auto"/>
            <w:vAlign w:val="center"/>
          </w:tcPr>
          <w:p w14:paraId="147FF289">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 程 项 目 名 称</w:t>
            </w:r>
          </w:p>
        </w:tc>
        <w:tc>
          <w:tcPr>
            <w:tcW w:w="2237" w:type="dxa"/>
            <w:shd w:val="clear" w:color="auto" w:fill="auto"/>
            <w:vAlign w:val="center"/>
          </w:tcPr>
          <w:p w14:paraId="30FD7BC4">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工程规模与主要特征</w:t>
            </w:r>
          </w:p>
        </w:tc>
        <w:tc>
          <w:tcPr>
            <w:tcW w:w="2672" w:type="dxa"/>
            <w:shd w:val="clear" w:color="auto" w:fill="auto"/>
            <w:vAlign w:val="center"/>
          </w:tcPr>
          <w:p w14:paraId="72EA9987">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设计费合同额（万元。均应在50万元以上）</w:t>
            </w:r>
          </w:p>
        </w:tc>
        <w:tc>
          <w:tcPr>
            <w:tcW w:w="1001" w:type="dxa"/>
            <w:shd w:val="clear" w:color="auto" w:fill="auto"/>
            <w:tcMar>
              <w:top w:w="0" w:type="dxa"/>
              <w:left w:w="28" w:type="dxa"/>
              <w:bottom w:w="0" w:type="dxa"/>
              <w:right w:w="28" w:type="dxa"/>
            </w:tcMar>
            <w:vAlign w:val="center"/>
          </w:tcPr>
          <w:p w14:paraId="57A13A5D">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设计开始设计时间</w:t>
            </w:r>
          </w:p>
        </w:tc>
        <w:tc>
          <w:tcPr>
            <w:tcW w:w="1114" w:type="dxa"/>
            <w:shd w:val="clear" w:color="auto" w:fill="auto"/>
            <w:tcMar>
              <w:top w:w="0" w:type="dxa"/>
              <w:left w:w="57" w:type="dxa"/>
              <w:bottom w:w="0" w:type="dxa"/>
              <w:right w:w="57" w:type="dxa"/>
            </w:tcMar>
            <w:vAlign w:val="center"/>
          </w:tcPr>
          <w:p w14:paraId="161E5878">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设计结束时间日期</w:t>
            </w:r>
          </w:p>
        </w:tc>
      </w:tr>
      <w:tr w14:paraId="76699FBC">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14:paraId="3250FA99">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268" w:type="dxa"/>
            <w:shd w:val="clear" w:color="auto" w:fill="auto"/>
            <w:tcMar>
              <w:top w:w="0" w:type="dxa"/>
              <w:left w:w="57" w:type="dxa"/>
              <w:bottom w:w="0" w:type="dxa"/>
              <w:right w:w="57" w:type="dxa"/>
            </w:tcMar>
            <w:vAlign w:val="center"/>
          </w:tcPr>
          <w:p w14:paraId="33AB60A2">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2237" w:type="dxa"/>
            <w:shd w:val="clear" w:color="auto" w:fill="auto"/>
            <w:tcMar>
              <w:top w:w="0" w:type="dxa"/>
              <w:left w:w="57" w:type="dxa"/>
              <w:bottom w:w="0" w:type="dxa"/>
              <w:right w:w="57" w:type="dxa"/>
            </w:tcMar>
            <w:vAlign w:val="center"/>
          </w:tcPr>
          <w:p w14:paraId="62E06C76">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2672" w:type="dxa"/>
            <w:shd w:val="clear" w:color="auto" w:fill="auto"/>
            <w:vAlign w:val="center"/>
          </w:tcPr>
          <w:p w14:paraId="06ECE451">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45C3CCE0">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49DB6851">
            <w:pPr>
              <w:adjustRightInd w:val="0"/>
              <w:snapToGrid w:val="0"/>
              <w:spacing w:line="360" w:lineRule="auto"/>
              <w:jc w:val="center"/>
              <w:rPr>
                <w:rFonts w:ascii="宋体" w:hAnsi="宋体" w:eastAsia="宋体" w:cs="宋体"/>
                <w:b/>
                <w:color w:val="auto"/>
                <w:kern w:val="0"/>
                <w:szCs w:val="21"/>
                <w:highlight w:val="none"/>
              </w:rPr>
            </w:pPr>
          </w:p>
        </w:tc>
      </w:tr>
      <w:tr w14:paraId="0044B7B2">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14:paraId="7C81F033">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268" w:type="dxa"/>
            <w:shd w:val="clear" w:color="auto" w:fill="auto"/>
            <w:tcMar>
              <w:top w:w="0" w:type="dxa"/>
              <w:left w:w="57" w:type="dxa"/>
              <w:bottom w:w="0" w:type="dxa"/>
              <w:right w:w="57" w:type="dxa"/>
            </w:tcMar>
            <w:vAlign w:val="center"/>
          </w:tcPr>
          <w:p w14:paraId="5531D140">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2237" w:type="dxa"/>
            <w:shd w:val="clear" w:color="auto" w:fill="auto"/>
            <w:tcMar>
              <w:top w:w="0" w:type="dxa"/>
              <w:left w:w="57" w:type="dxa"/>
              <w:bottom w:w="0" w:type="dxa"/>
              <w:right w:w="57" w:type="dxa"/>
            </w:tcMar>
            <w:vAlign w:val="center"/>
          </w:tcPr>
          <w:p w14:paraId="1DFFF615">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2672" w:type="dxa"/>
            <w:shd w:val="clear" w:color="auto" w:fill="auto"/>
            <w:vAlign w:val="center"/>
          </w:tcPr>
          <w:p w14:paraId="7465EDB0">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454B3F0D">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696E7F53">
            <w:pPr>
              <w:adjustRightInd w:val="0"/>
              <w:snapToGrid w:val="0"/>
              <w:spacing w:line="360" w:lineRule="auto"/>
              <w:jc w:val="center"/>
              <w:rPr>
                <w:rFonts w:ascii="宋体" w:hAnsi="宋体" w:eastAsia="宋体" w:cs="宋体"/>
                <w:b/>
                <w:color w:val="auto"/>
                <w:kern w:val="0"/>
                <w:szCs w:val="21"/>
                <w:highlight w:val="none"/>
              </w:rPr>
            </w:pPr>
          </w:p>
        </w:tc>
      </w:tr>
      <w:tr w14:paraId="7ADC8431">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14:paraId="2809F760">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268" w:type="dxa"/>
            <w:shd w:val="clear" w:color="auto" w:fill="auto"/>
            <w:tcMar>
              <w:top w:w="0" w:type="dxa"/>
              <w:left w:w="57" w:type="dxa"/>
              <w:bottom w:w="0" w:type="dxa"/>
              <w:right w:w="57" w:type="dxa"/>
            </w:tcMar>
            <w:vAlign w:val="center"/>
          </w:tcPr>
          <w:p w14:paraId="229A8EB4">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2237" w:type="dxa"/>
            <w:shd w:val="clear" w:color="auto" w:fill="auto"/>
            <w:tcMar>
              <w:top w:w="0" w:type="dxa"/>
              <w:left w:w="57" w:type="dxa"/>
              <w:bottom w:w="0" w:type="dxa"/>
              <w:right w:w="57" w:type="dxa"/>
            </w:tcMar>
            <w:vAlign w:val="center"/>
          </w:tcPr>
          <w:p w14:paraId="22EBD62D">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2672" w:type="dxa"/>
            <w:shd w:val="clear" w:color="auto" w:fill="auto"/>
            <w:vAlign w:val="center"/>
          </w:tcPr>
          <w:p w14:paraId="72A89D13">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5DC57C00">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12CF95D2">
            <w:pPr>
              <w:adjustRightInd w:val="0"/>
              <w:snapToGrid w:val="0"/>
              <w:spacing w:line="360" w:lineRule="auto"/>
              <w:jc w:val="center"/>
              <w:rPr>
                <w:rFonts w:ascii="宋体" w:hAnsi="宋体" w:eastAsia="宋体" w:cs="宋体"/>
                <w:b/>
                <w:color w:val="auto"/>
                <w:kern w:val="0"/>
                <w:szCs w:val="21"/>
                <w:highlight w:val="none"/>
              </w:rPr>
            </w:pPr>
          </w:p>
        </w:tc>
      </w:tr>
      <w:tr w14:paraId="191A81C9">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14:paraId="0D769228">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268" w:type="dxa"/>
            <w:shd w:val="clear" w:color="auto" w:fill="auto"/>
            <w:tcMar>
              <w:top w:w="0" w:type="dxa"/>
              <w:left w:w="57" w:type="dxa"/>
              <w:bottom w:w="0" w:type="dxa"/>
              <w:right w:w="57" w:type="dxa"/>
            </w:tcMar>
            <w:vAlign w:val="center"/>
          </w:tcPr>
          <w:p w14:paraId="1150232D">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2237" w:type="dxa"/>
            <w:shd w:val="clear" w:color="auto" w:fill="auto"/>
            <w:tcMar>
              <w:top w:w="0" w:type="dxa"/>
              <w:left w:w="57" w:type="dxa"/>
              <w:bottom w:w="0" w:type="dxa"/>
              <w:right w:w="57" w:type="dxa"/>
            </w:tcMar>
            <w:vAlign w:val="center"/>
          </w:tcPr>
          <w:p w14:paraId="141771C7">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2672" w:type="dxa"/>
            <w:shd w:val="clear" w:color="auto" w:fill="auto"/>
            <w:vAlign w:val="center"/>
          </w:tcPr>
          <w:p w14:paraId="25FC3DDC">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49D70EBB">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41F51455">
            <w:pPr>
              <w:adjustRightInd w:val="0"/>
              <w:snapToGrid w:val="0"/>
              <w:spacing w:line="360" w:lineRule="auto"/>
              <w:jc w:val="center"/>
              <w:rPr>
                <w:rFonts w:ascii="宋体" w:hAnsi="宋体" w:eastAsia="宋体" w:cs="宋体"/>
                <w:b/>
                <w:color w:val="auto"/>
                <w:kern w:val="0"/>
                <w:szCs w:val="21"/>
                <w:highlight w:val="none"/>
              </w:rPr>
            </w:pPr>
          </w:p>
        </w:tc>
      </w:tr>
      <w:tr w14:paraId="59BD16C6">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14:paraId="0E1A5CA0">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268" w:type="dxa"/>
            <w:shd w:val="clear" w:color="auto" w:fill="auto"/>
            <w:tcMar>
              <w:top w:w="0" w:type="dxa"/>
              <w:left w:w="57" w:type="dxa"/>
              <w:bottom w:w="0" w:type="dxa"/>
              <w:right w:w="57" w:type="dxa"/>
            </w:tcMar>
            <w:vAlign w:val="center"/>
          </w:tcPr>
          <w:p w14:paraId="2D3C1411">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2237" w:type="dxa"/>
            <w:shd w:val="clear" w:color="auto" w:fill="auto"/>
            <w:tcMar>
              <w:top w:w="0" w:type="dxa"/>
              <w:left w:w="57" w:type="dxa"/>
              <w:bottom w:w="0" w:type="dxa"/>
              <w:right w:w="57" w:type="dxa"/>
            </w:tcMar>
            <w:vAlign w:val="center"/>
          </w:tcPr>
          <w:p w14:paraId="135B6D87">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2672" w:type="dxa"/>
            <w:shd w:val="clear" w:color="auto" w:fill="auto"/>
            <w:vAlign w:val="center"/>
          </w:tcPr>
          <w:p w14:paraId="5F2FBEEA">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4AC4DBAC">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709A6936">
            <w:pPr>
              <w:adjustRightInd w:val="0"/>
              <w:snapToGrid w:val="0"/>
              <w:spacing w:line="360" w:lineRule="auto"/>
              <w:jc w:val="center"/>
              <w:rPr>
                <w:rFonts w:ascii="宋体" w:hAnsi="宋体" w:eastAsia="宋体" w:cs="宋体"/>
                <w:b/>
                <w:color w:val="auto"/>
                <w:kern w:val="0"/>
                <w:szCs w:val="21"/>
                <w:highlight w:val="none"/>
              </w:rPr>
            </w:pPr>
          </w:p>
        </w:tc>
      </w:tr>
      <w:tr w14:paraId="2D1D76EE">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14:paraId="073439B0">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268" w:type="dxa"/>
            <w:shd w:val="clear" w:color="auto" w:fill="auto"/>
            <w:tcMar>
              <w:top w:w="0" w:type="dxa"/>
              <w:left w:w="57" w:type="dxa"/>
              <w:bottom w:w="0" w:type="dxa"/>
              <w:right w:w="57" w:type="dxa"/>
            </w:tcMar>
            <w:vAlign w:val="center"/>
          </w:tcPr>
          <w:p w14:paraId="2805DBF1">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2237" w:type="dxa"/>
            <w:shd w:val="clear" w:color="auto" w:fill="auto"/>
            <w:tcMar>
              <w:top w:w="0" w:type="dxa"/>
              <w:left w:w="57" w:type="dxa"/>
              <w:bottom w:w="0" w:type="dxa"/>
              <w:right w:w="57" w:type="dxa"/>
            </w:tcMar>
            <w:vAlign w:val="center"/>
          </w:tcPr>
          <w:p w14:paraId="030C4BD4">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2672" w:type="dxa"/>
            <w:shd w:val="clear" w:color="auto" w:fill="auto"/>
            <w:vAlign w:val="center"/>
          </w:tcPr>
          <w:p w14:paraId="583935A0">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7CF08214">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536875AF">
            <w:pPr>
              <w:adjustRightInd w:val="0"/>
              <w:snapToGrid w:val="0"/>
              <w:spacing w:line="360" w:lineRule="auto"/>
              <w:jc w:val="center"/>
              <w:rPr>
                <w:rFonts w:ascii="宋体" w:hAnsi="宋体" w:eastAsia="宋体" w:cs="宋体"/>
                <w:b/>
                <w:color w:val="auto"/>
                <w:kern w:val="0"/>
                <w:szCs w:val="21"/>
                <w:highlight w:val="none"/>
              </w:rPr>
            </w:pPr>
          </w:p>
        </w:tc>
      </w:tr>
      <w:tr w14:paraId="456D151D">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14:paraId="578B131C">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2268" w:type="dxa"/>
            <w:shd w:val="clear" w:color="auto" w:fill="auto"/>
            <w:tcMar>
              <w:top w:w="0" w:type="dxa"/>
              <w:left w:w="57" w:type="dxa"/>
              <w:bottom w:w="0" w:type="dxa"/>
              <w:right w:w="57" w:type="dxa"/>
            </w:tcMar>
            <w:vAlign w:val="center"/>
          </w:tcPr>
          <w:p w14:paraId="02A6FF15">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2237" w:type="dxa"/>
            <w:shd w:val="clear" w:color="auto" w:fill="auto"/>
            <w:tcMar>
              <w:top w:w="0" w:type="dxa"/>
              <w:left w:w="57" w:type="dxa"/>
              <w:bottom w:w="0" w:type="dxa"/>
              <w:right w:w="57" w:type="dxa"/>
            </w:tcMar>
            <w:vAlign w:val="center"/>
          </w:tcPr>
          <w:p w14:paraId="4613ACFF">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2672" w:type="dxa"/>
            <w:shd w:val="clear" w:color="auto" w:fill="auto"/>
            <w:vAlign w:val="center"/>
          </w:tcPr>
          <w:p w14:paraId="0DFCFE62">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6CA7D10E">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08DDB310">
            <w:pPr>
              <w:adjustRightInd w:val="0"/>
              <w:snapToGrid w:val="0"/>
              <w:spacing w:line="360" w:lineRule="auto"/>
              <w:jc w:val="center"/>
              <w:rPr>
                <w:rFonts w:ascii="宋体" w:hAnsi="宋体" w:eastAsia="宋体" w:cs="宋体"/>
                <w:b/>
                <w:color w:val="auto"/>
                <w:kern w:val="0"/>
                <w:szCs w:val="21"/>
                <w:highlight w:val="none"/>
              </w:rPr>
            </w:pPr>
          </w:p>
        </w:tc>
      </w:tr>
      <w:tr w14:paraId="0A5D37CE">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14:paraId="5F568A4D">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2268" w:type="dxa"/>
            <w:shd w:val="clear" w:color="auto" w:fill="auto"/>
            <w:tcMar>
              <w:top w:w="0" w:type="dxa"/>
              <w:left w:w="57" w:type="dxa"/>
              <w:bottom w:w="0" w:type="dxa"/>
              <w:right w:w="57" w:type="dxa"/>
            </w:tcMar>
            <w:vAlign w:val="center"/>
          </w:tcPr>
          <w:p w14:paraId="6EC34837">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2237" w:type="dxa"/>
            <w:shd w:val="clear" w:color="auto" w:fill="auto"/>
            <w:tcMar>
              <w:top w:w="0" w:type="dxa"/>
              <w:left w:w="57" w:type="dxa"/>
              <w:bottom w:w="0" w:type="dxa"/>
              <w:right w:w="57" w:type="dxa"/>
            </w:tcMar>
            <w:vAlign w:val="center"/>
          </w:tcPr>
          <w:p w14:paraId="7F9CBB24">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2672" w:type="dxa"/>
            <w:shd w:val="clear" w:color="auto" w:fill="auto"/>
            <w:vAlign w:val="center"/>
          </w:tcPr>
          <w:p w14:paraId="689DF2D8">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3E387FC0">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1E0419D7">
            <w:pPr>
              <w:adjustRightInd w:val="0"/>
              <w:snapToGrid w:val="0"/>
              <w:spacing w:line="360" w:lineRule="auto"/>
              <w:jc w:val="center"/>
              <w:rPr>
                <w:rFonts w:ascii="宋体" w:hAnsi="宋体" w:eastAsia="宋体" w:cs="宋体"/>
                <w:b/>
                <w:color w:val="auto"/>
                <w:kern w:val="0"/>
                <w:szCs w:val="21"/>
                <w:highlight w:val="none"/>
              </w:rPr>
            </w:pPr>
          </w:p>
        </w:tc>
      </w:tr>
      <w:tr w14:paraId="4A058528">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14:paraId="1FE1BE0A">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2268" w:type="dxa"/>
            <w:shd w:val="clear" w:color="auto" w:fill="auto"/>
            <w:tcMar>
              <w:top w:w="0" w:type="dxa"/>
              <w:left w:w="57" w:type="dxa"/>
              <w:bottom w:w="0" w:type="dxa"/>
              <w:right w:w="57" w:type="dxa"/>
            </w:tcMar>
            <w:vAlign w:val="center"/>
          </w:tcPr>
          <w:p w14:paraId="36F4B853">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2237" w:type="dxa"/>
            <w:shd w:val="clear" w:color="auto" w:fill="auto"/>
            <w:tcMar>
              <w:top w:w="0" w:type="dxa"/>
              <w:left w:w="57" w:type="dxa"/>
              <w:bottom w:w="0" w:type="dxa"/>
              <w:right w:w="57" w:type="dxa"/>
            </w:tcMar>
            <w:vAlign w:val="center"/>
          </w:tcPr>
          <w:p w14:paraId="26F26C77">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2672" w:type="dxa"/>
            <w:shd w:val="clear" w:color="auto" w:fill="auto"/>
            <w:vAlign w:val="center"/>
          </w:tcPr>
          <w:p w14:paraId="068CA4F6">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21DD6438">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5BC76A5A">
            <w:pPr>
              <w:adjustRightInd w:val="0"/>
              <w:snapToGrid w:val="0"/>
              <w:spacing w:line="360" w:lineRule="auto"/>
              <w:jc w:val="center"/>
              <w:rPr>
                <w:rFonts w:ascii="宋体" w:hAnsi="宋体" w:eastAsia="宋体" w:cs="宋体"/>
                <w:b/>
                <w:color w:val="auto"/>
                <w:kern w:val="0"/>
                <w:szCs w:val="21"/>
                <w:highlight w:val="none"/>
              </w:rPr>
            </w:pPr>
          </w:p>
        </w:tc>
      </w:tr>
      <w:tr w14:paraId="23326932">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14:paraId="7823039E">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2268" w:type="dxa"/>
            <w:shd w:val="clear" w:color="auto" w:fill="auto"/>
            <w:tcMar>
              <w:top w:w="0" w:type="dxa"/>
              <w:left w:w="57" w:type="dxa"/>
              <w:bottom w:w="0" w:type="dxa"/>
              <w:right w:w="57" w:type="dxa"/>
            </w:tcMar>
            <w:vAlign w:val="center"/>
          </w:tcPr>
          <w:p w14:paraId="7D09AA8D">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2237" w:type="dxa"/>
            <w:shd w:val="clear" w:color="auto" w:fill="auto"/>
            <w:tcMar>
              <w:top w:w="0" w:type="dxa"/>
              <w:left w:w="57" w:type="dxa"/>
              <w:bottom w:w="0" w:type="dxa"/>
              <w:right w:w="57" w:type="dxa"/>
            </w:tcMar>
            <w:vAlign w:val="center"/>
          </w:tcPr>
          <w:p w14:paraId="274A3FBE">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2672" w:type="dxa"/>
            <w:shd w:val="clear" w:color="auto" w:fill="auto"/>
            <w:vAlign w:val="center"/>
          </w:tcPr>
          <w:p w14:paraId="312F4FB3">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654442B2">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7EEAAD3F">
            <w:pPr>
              <w:adjustRightInd w:val="0"/>
              <w:snapToGrid w:val="0"/>
              <w:spacing w:line="360" w:lineRule="auto"/>
              <w:jc w:val="center"/>
              <w:rPr>
                <w:rFonts w:ascii="宋体" w:hAnsi="宋体" w:eastAsia="宋体" w:cs="宋体"/>
                <w:b/>
                <w:color w:val="auto"/>
                <w:kern w:val="0"/>
                <w:szCs w:val="21"/>
                <w:highlight w:val="none"/>
              </w:rPr>
            </w:pPr>
          </w:p>
        </w:tc>
      </w:tr>
    </w:tbl>
    <w:p w14:paraId="3E432CDB">
      <w:pPr>
        <w:adjustRightInd w:val="0"/>
        <w:snapToGrid w:val="0"/>
        <w:spacing w:line="360" w:lineRule="auto"/>
        <w:jc w:val="left"/>
        <w:rPr>
          <w:rFonts w:ascii="宋体" w:hAnsi="宋体" w:eastAsia="宋体" w:cs="宋体"/>
          <w:color w:val="auto"/>
          <w:kern w:val="0"/>
          <w:highlight w:val="none"/>
        </w:rPr>
      </w:pPr>
    </w:p>
    <w:p w14:paraId="1444FB6D">
      <w:pPr>
        <w:adjustRightInd w:val="0"/>
        <w:snapToGrid w:val="0"/>
        <w:spacing w:line="360" w:lineRule="auto"/>
        <w:jc w:val="left"/>
        <w:rPr>
          <w:rFonts w:ascii="宋体" w:hAnsi="宋体"/>
          <w:color w:val="auto"/>
          <w:kern w:val="0"/>
          <w:highlight w:val="none"/>
        </w:rPr>
      </w:pPr>
      <w:r>
        <w:rPr>
          <w:rFonts w:hint="eastAsia" w:ascii="楷体_GB2312" w:hAnsi="楷体_GB2312" w:eastAsia="楷体_GB2312" w:cs="楷体_GB2312"/>
          <w:color w:val="auto"/>
          <w:kern w:val="0"/>
          <w:highlight w:val="none"/>
        </w:rPr>
        <w:t>注：本表须与《投标人工程业绩表》（投标附件3）配套使用。</w:t>
      </w:r>
      <w:r>
        <w:rPr>
          <w:rFonts w:ascii="宋体" w:hAnsi="宋体"/>
          <w:color w:val="auto"/>
          <w:kern w:val="0"/>
          <w:highlight w:val="none"/>
        </w:rPr>
        <w:br w:type="page"/>
      </w:r>
    </w:p>
    <w:p w14:paraId="086DEAB3">
      <w:pPr>
        <w:adjustRightInd w:val="0"/>
        <w:snapToGrid w:val="0"/>
        <w:spacing w:line="360" w:lineRule="auto"/>
        <w:jc w:val="left"/>
        <w:outlineLvl w:val="2"/>
        <w:rPr>
          <w:rFonts w:ascii="宋体" w:hAnsi="宋体" w:eastAsia="宋体" w:cs="宋体"/>
          <w:b/>
          <w:color w:val="auto"/>
          <w:kern w:val="0"/>
          <w:highlight w:val="none"/>
        </w:rPr>
      </w:pPr>
      <w:bookmarkStart w:id="50" w:name="_Toc14180"/>
      <w:r>
        <w:rPr>
          <w:rFonts w:hint="eastAsia" w:ascii="宋体" w:hAnsi="宋体" w:eastAsia="宋体" w:cs="宋体"/>
          <w:b/>
          <w:color w:val="auto"/>
          <w:kern w:val="0"/>
          <w:highlight w:val="none"/>
        </w:rPr>
        <w:t>投标附件5.投标人近6年荣获“优秀工程设计奖”一览表</w:t>
      </w:r>
      <w:bookmarkEnd w:id="50"/>
    </w:p>
    <w:p w14:paraId="56E22A0D">
      <w:pPr>
        <w:adjustRightInd w:val="0"/>
        <w:snapToGri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投标人近6年荣获“优秀工程设计奖”一览表</w:t>
      </w:r>
    </w:p>
    <w:tbl>
      <w:tblPr>
        <w:tblStyle w:val="79"/>
        <w:tblW w:w="9803" w:type="dxa"/>
        <w:jc w:val="center"/>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558"/>
        <w:gridCol w:w="4346"/>
        <w:gridCol w:w="1447"/>
        <w:gridCol w:w="1337"/>
        <w:gridCol w:w="1001"/>
        <w:gridCol w:w="1114"/>
      </w:tblGrid>
      <w:tr w14:paraId="5504B4BF">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558" w:type="dxa"/>
            <w:shd w:val="clear" w:color="auto" w:fill="auto"/>
            <w:vAlign w:val="center"/>
          </w:tcPr>
          <w:p w14:paraId="656567BE">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346" w:type="dxa"/>
            <w:shd w:val="clear" w:color="auto" w:fill="auto"/>
            <w:vAlign w:val="center"/>
          </w:tcPr>
          <w:p w14:paraId="1495A5F8">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获奖工程名称</w:t>
            </w:r>
          </w:p>
        </w:tc>
        <w:tc>
          <w:tcPr>
            <w:tcW w:w="1447" w:type="dxa"/>
            <w:shd w:val="clear" w:color="auto" w:fill="auto"/>
            <w:vAlign w:val="center"/>
          </w:tcPr>
          <w:p w14:paraId="10884EC7">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获奖工程</w:t>
            </w:r>
          </w:p>
          <w:p w14:paraId="15135177">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建设地点</w:t>
            </w:r>
          </w:p>
        </w:tc>
        <w:tc>
          <w:tcPr>
            <w:tcW w:w="1337" w:type="dxa"/>
            <w:shd w:val="clear" w:color="auto" w:fill="auto"/>
            <w:vAlign w:val="center"/>
          </w:tcPr>
          <w:p w14:paraId="5DC788EC">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颁奖单位</w:t>
            </w:r>
          </w:p>
        </w:tc>
        <w:tc>
          <w:tcPr>
            <w:tcW w:w="1001" w:type="dxa"/>
            <w:shd w:val="clear" w:color="auto" w:fill="auto"/>
            <w:tcMar>
              <w:top w:w="0" w:type="dxa"/>
              <w:left w:w="28" w:type="dxa"/>
              <w:bottom w:w="0" w:type="dxa"/>
              <w:right w:w="28" w:type="dxa"/>
            </w:tcMar>
            <w:vAlign w:val="center"/>
          </w:tcPr>
          <w:p w14:paraId="1F9BBF8E">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获奖时间</w:t>
            </w:r>
          </w:p>
        </w:tc>
        <w:tc>
          <w:tcPr>
            <w:tcW w:w="1114" w:type="dxa"/>
            <w:shd w:val="clear" w:color="auto" w:fill="auto"/>
            <w:tcMar>
              <w:top w:w="0" w:type="dxa"/>
              <w:left w:w="57" w:type="dxa"/>
              <w:bottom w:w="0" w:type="dxa"/>
              <w:right w:w="57" w:type="dxa"/>
            </w:tcMar>
            <w:vAlign w:val="center"/>
          </w:tcPr>
          <w:p w14:paraId="5BCE6947">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获奖公告查询网址</w:t>
            </w:r>
          </w:p>
        </w:tc>
      </w:tr>
      <w:tr w14:paraId="6E29B613">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14:paraId="1EC36469">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346" w:type="dxa"/>
            <w:shd w:val="clear" w:color="auto" w:fill="auto"/>
            <w:tcMar>
              <w:top w:w="0" w:type="dxa"/>
              <w:left w:w="57" w:type="dxa"/>
              <w:bottom w:w="0" w:type="dxa"/>
              <w:right w:w="57" w:type="dxa"/>
            </w:tcMar>
            <w:vAlign w:val="center"/>
          </w:tcPr>
          <w:p w14:paraId="3398B232">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14:paraId="7997DBAA">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14:paraId="3DADE8DF">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2803DB35">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603B5551">
            <w:pPr>
              <w:adjustRightInd w:val="0"/>
              <w:snapToGrid w:val="0"/>
              <w:spacing w:line="360" w:lineRule="auto"/>
              <w:jc w:val="center"/>
              <w:rPr>
                <w:rFonts w:ascii="宋体" w:hAnsi="宋体" w:eastAsia="宋体" w:cs="宋体"/>
                <w:b/>
                <w:color w:val="auto"/>
                <w:kern w:val="0"/>
                <w:szCs w:val="21"/>
                <w:highlight w:val="none"/>
              </w:rPr>
            </w:pPr>
          </w:p>
        </w:tc>
      </w:tr>
      <w:tr w14:paraId="6C21AF78">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14:paraId="11FEEA87">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346" w:type="dxa"/>
            <w:shd w:val="clear" w:color="auto" w:fill="auto"/>
            <w:tcMar>
              <w:top w:w="0" w:type="dxa"/>
              <w:left w:w="57" w:type="dxa"/>
              <w:bottom w:w="0" w:type="dxa"/>
              <w:right w:w="57" w:type="dxa"/>
            </w:tcMar>
            <w:vAlign w:val="center"/>
          </w:tcPr>
          <w:p w14:paraId="78FC2C9D">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14:paraId="020EBE49">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14:paraId="441BF7F2">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425E2327">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73A32FB7">
            <w:pPr>
              <w:adjustRightInd w:val="0"/>
              <w:snapToGrid w:val="0"/>
              <w:spacing w:line="360" w:lineRule="auto"/>
              <w:jc w:val="center"/>
              <w:rPr>
                <w:rFonts w:ascii="宋体" w:hAnsi="宋体" w:eastAsia="宋体" w:cs="宋体"/>
                <w:b/>
                <w:color w:val="auto"/>
                <w:kern w:val="0"/>
                <w:szCs w:val="21"/>
                <w:highlight w:val="none"/>
              </w:rPr>
            </w:pPr>
          </w:p>
        </w:tc>
      </w:tr>
      <w:tr w14:paraId="2474E00F">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14:paraId="6C2F7700">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4346" w:type="dxa"/>
            <w:shd w:val="clear" w:color="auto" w:fill="auto"/>
            <w:tcMar>
              <w:top w:w="0" w:type="dxa"/>
              <w:left w:w="57" w:type="dxa"/>
              <w:bottom w:w="0" w:type="dxa"/>
              <w:right w:w="57" w:type="dxa"/>
            </w:tcMar>
            <w:vAlign w:val="center"/>
          </w:tcPr>
          <w:p w14:paraId="35D60D42">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14:paraId="0A69924B">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14:paraId="03468850">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0D22CAC7">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30C2E6DE">
            <w:pPr>
              <w:adjustRightInd w:val="0"/>
              <w:snapToGrid w:val="0"/>
              <w:spacing w:line="360" w:lineRule="auto"/>
              <w:jc w:val="center"/>
              <w:rPr>
                <w:rFonts w:ascii="宋体" w:hAnsi="宋体" w:eastAsia="宋体" w:cs="宋体"/>
                <w:b/>
                <w:color w:val="auto"/>
                <w:kern w:val="0"/>
                <w:szCs w:val="21"/>
                <w:highlight w:val="none"/>
              </w:rPr>
            </w:pPr>
          </w:p>
        </w:tc>
      </w:tr>
      <w:tr w14:paraId="0A24797B">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14:paraId="071694E3">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4346" w:type="dxa"/>
            <w:shd w:val="clear" w:color="auto" w:fill="auto"/>
            <w:tcMar>
              <w:top w:w="0" w:type="dxa"/>
              <w:left w:w="57" w:type="dxa"/>
              <w:bottom w:w="0" w:type="dxa"/>
              <w:right w:w="57" w:type="dxa"/>
            </w:tcMar>
            <w:vAlign w:val="center"/>
          </w:tcPr>
          <w:p w14:paraId="228BC6B7">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14:paraId="07E06579">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14:paraId="153E51A4">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09A8E257">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016E0056">
            <w:pPr>
              <w:adjustRightInd w:val="0"/>
              <w:snapToGrid w:val="0"/>
              <w:spacing w:line="360" w:lineRule="auto"/>
              <w:jc w:val="center"/>
              <w:rPr>
                <w:rFonts w:ascii="宋体" w:hAnsi="宋体" w:eastAsia="宋体" w:cs="宋体"/>
                <w:b/>
                <w:color w:val="auto"/>
                <w:kern w:val="0"/>
                <w:szCs w:val="21"/>
                <w:highlight w:val="none"/>
              </w:rPr>
            </w:pPr>
          </w:p>
        </w:tc>
      </w:tr>
      <w:tr w14:paraId="231544A9">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14:paraId="45541BFF">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4346" w:type="dxa"/>
            <w:shd w:val="clear" w:color="auto" w:fill="auto"/>
            <w:tcMar>
              <w:top w:w="0" w:type="dxa"/>
              <w:left w:w="57" w:type="dxa"/>
              <w:bottom w:w="0" w:type="dxa"/>
              <w:right w:w="57" w:type="dxa"/>
            </w:tcMar>
            <w:vAlign w:val="center"/>
          </w:tcPr>
          <w:p w14:paraId="2CB8C89C">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14:paraId="1FF8FFC8">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14:paraId="2CE751E9">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296E25DA">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7E8CEE69">
            <w:pPr>
              <w:adjustRightInd w:val="0"/>
              <w:snapToGrid w:val="0"/>
              <w:spacing w:line="360" w:lineRule="auto"/>
              <w:jc w:val="center"/>
              <w:rPr>
                <w:rFonts w:ascii="宋体" w:hAnsi="宋体" w:eastAsia="宋体" w:cs="宋体"/>
                <w:b/>
                <w:color w:val="auto"/>
                <w:kern w:val="0"/>
                <w:szCs w:val="21"/>
                <w:highlight w:val="none"/>
              </w:rPr>
            </w:pPr>
          </w:p>
        </w:tc>
      </w:tr>
      <w:tr w14:paraId="3C21C3BC">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14:paraId="4F73B922">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4346" w:type="dxa"/>
            <w:shd w:val="clear" w:color="auto" w:fill="auto"/>
            <w:tcMar>
              <w:top w:w="0" w:type="dxa"/>
              <w:left w:w="57" w:type="dxa"/>
              <w:bottom w:w="0" w:type="dxa"/>
              <w:right w:w="57" w:type="dxa"/>
            </w:tcMar>
            <w:vAlign w:val="center"/>
          </w:tcPr>
          <w:p w14:paraId="1708D0CF">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14:paraId="49206AF6">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14:paraId="3087C6B4">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3CC7EC43">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54756B22">
            <w:pPr>
              <w:adjustRightInd w:val="0"/>
              <w:snapToGrid w:val="0"/>
              <w:spacing w:line="360" w:lineRule="auto"/>
              <w:jc w:val="center"/>
              <w:rPr>
                <w:rFonts w:ascii="宋体" w:hAnsi="宋体" w:eastAsia="宋体" w:cs="宋体"/>
                <w:b/>
                <w:color w:val="auto"/>
                <w:kern w:val="0"/>
                <w:szCs w:val="21"/>
                <w:highlight w:val="none"/>
              </w:rPr>
            </w:pPr>
          </w:p>
        </w:tc>
      </w:tr>
      <w:tr w14:paraId="1D12CE81">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14:paraId="1ED195CD">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4346" w:type="dxa"/>
            <w:shd w:val="clear" w:color="auto" w:fill="auto"/>
            <w:tcMar>
              <w:top w:w="0" w:type="dxa"/>
              <w:left w:w="57" w:type="dxa"/>
              <w:bottom w:w="0" w:type="dxa"/>
              <w:right w:w="57" w:type="dxa"/>
            </w:tcMar>
            <w:vAlign w:val="center"/>
          </w:tcPr>
          <w:p w14:paraId="424A9ADF">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14:paraId="1E251CEE">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14:paraId="7124A5F0">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5A3084B9">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35E108B1">
            <w:pPr>
              <w:adjustRightInd w:val="0"/>
              <w:snapToGrid w:val="0"/>
              <w:spacing w:line="360" w:lineRule="auto"/>
              <w:jc w:val="center"/>
              <w:rPr>
                <w:rFonts w:ascii="宋体" w:hAnsi="宋体" w:eastAsia="宋体" w:cs="宋体"/>
                <w:b/>
                <w:color w:val="auto"/>
                <w:kern w:val="0"/>
                <w:szCs w:val="21"/>
                <w:highlight w:val="none"/>
              </w:rPr>
            </w:pPr>
          </w:p>
        </w:tc>
      </w:tr>
      <w:tr w14:paraId="2725654D">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14:paraId="6CF53411">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4346" w:type="dxa"/>
            <w:shd w:val="clear" w:color="auto" w:fill="auto"/>
            <w:tcMar>
              <w:top w:w="0" w:type="dxa"/>
              <w:left w:w="57" w:type="dxa"/>
              <w:bottom w:w="0" w:type="dxa"/>
              <w:right w:w="57" w:type="dxa"/>
            </w:tcMar>
            <w:vAlign w:val="center"/>
          </w:tcPr>
          <w:p w14:paraId="7702DBFE">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14:paraId="1C5EC6AE">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14:paraId="4CF6DF6B">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5E0AC5B6">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4D6C5920">
            <w:pPr>
              <w:adjustRightInd w:val="0"/>
              <w:snapToGrid w:val="0"/>
              <w:spacing w:line="360" w:lineRule="auto"/>
              <w:jc w:val="center"/>
              <w:rPr>
                <w:rFonts w:ascii="宋体" w:hAnsi="宋体" w:eastAsia="宋体" w:cs="宋体"/>
                <w:b/>
                <w:color w:val="auto"/>
                <w:kern w:val="0"/>
                <w:szCs w:val="21"/>
                <w:highlight w:val="none"/>
              </w:rPr>
            </w:pPr>
          </w:p>
        </w:tc>
      </w:tr>
      <w:tr w14:paraId="128ABE1B">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14:paraId="220A0142">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4346" w:type="dxa"/>
            <w:shd w:val="clear" w:color="auto" w:fill="auto"/>
            <w:tcMar>
              <w:top w:w="0" w:type="dxa"/>
              <w:left w:w="57" w:type="dxa"/>
              <w:bottom w:w="0" w:type="dxa"/>
              <w:right w:w="57" w:type="dxa"/>
            </w:tcMar>
            <w:vAlign w:val="center"/>
          </w:tcPr>
          <w:p w14:paraId="37B9EB80">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14:paraId="0BC10ABB">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14:paraId="74E4AABD">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04B859F5">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43F2E547">
            <w:pPr>
              <w:adjustRightInd w:val="0"/>
              <w:snapToGrid w:val="0"/>
              <w:spacing w:line="360" w:lineRule="auto"/>
              <w:jc w:val="center"/>
              <w:rPr>
                <w:rFonts w:ascii="宋体" w:hAnsi="宋体" w:eastAsia="宋体" w:cs="宋体"/>
                <w:b/>
                <w:color w:val="auto"/>
                <w:kern w:val="0"/>
                <w:szCs w:val="21"/>
                <w:highlight w:val="none"/>
              </w:rPr>
            </w:pPr>
          </w:p>
        </w:tc>
      </w:tr>
      <w:tr w14:paraId="170A0C72">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14:paraId="4F412C1B">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4346" w:type="dxa"/>
            <w:shd w:val="clear" w:color="auto" w:fill="auto"/>
            <w:tcMar>
              <w:top w:w="0" w:type="dxa"/>
              <w:left w:w="57" w:type="dxa"/>
              <w:bottom w:w="0" w:type="dxa"/>
              <w:right w:w="57" w:type="dxa"/>
            </w:tcMar>
            <w:vAlign w:val="center"/>
          </w:tcPr>
          <w:p w14:paraId="787EEFF8">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14:paraId="6C7C7E6C">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14:paraId="10713B83">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6A46A99B">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5A66AE8B">
            <w:pPr>
              <w:adjustRightInd w:val="0"/>
              <w:snapToGrid w:val="0"/>
              <w:spacing w:line="360" w:lineRule="auto"/>
              <w:jc w:val="center"/>
              <w:rPr>
                <w:rFonts w:ascii="宋体" w:hAnsi="宋体" w:eastAsia="宋体" w:cs="宋体"/>
                <w:b/>
                <w:color w:val="auto"/>
                <w:kern w:val="0"/>
                <w:szCs w:val="21"/>
                <w:highlight w:val="none"/>
              </w:rPr>
            </w:pPr>
          </w:p>
        </w:tc>
      </w:tr>
      <w:tr w14:paraId="3A7D1EE9">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14:paraId="735F63FA">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4346" w:type="dxa"/>
            <w:shd w:val="clear" w:color="auto" w:fill="auto"/>
            <w:tcMar>
              <w:top w:w="0" w:type="dxa"/>
              <w:left w:w="57" w:type="dxa"/>
              <w:bottom w:w="0" w:type="dxa"/>
              <w:right w:w="57" w:type="dxa"/>
            </w:tcMar>
            <w:vAlign w:val="center"/>
          </w:tcPr>
          <w:p w14:paraId="247ED45B">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14:paraId="0EF28AAC">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14:paraId="667EB1AD">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6D68C421">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76F3CAEB">
            <w:pPr>
              <w:adjustRightInd w:val="0"/>
              <w:snapToGrid w:val="0"/>
              <w:spacing w:line="360" w:lineRule="auto"/>
              <w:jc w:val="center"/>
              <w:rPr>
                <w:rFonts w:ascii="宋体" w:hAnsi="宋体" w:eastAsia="宋体" w:cs="宋体"/>
                <w:b/>
                <w:color w:val="auto"/>
                <w:kern w:val="0"/>
                <w:szCs w:val="21"/>
                <w:highlight w:val="none"/>
              </w:rPr>
            </w:pPr>
          </w:p>
        </w:tc>
      </w:tr>
      <w:tr w14:paraId="64FB36C5">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14:paraId="17C622A7">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4346" w:type="dxa"/>
            <w:shd w:val="clear" w:color="auto" w:fill="auto"/>
            <w:tcMar>
              <w:top w:w="0" w:type="dxa"/>
              <w:left w:w="57" w:type="dxa"/>
              <w:bottom w:w="0" w:type="dxa"/>
              <w:right w:w="57" w:type="dxa"/>
            </w:tcMar>
            <w:vAlign w:val="center"/>
          </w:tcPr>
          <w:p w14:paraId="70DDD254">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14:paraId="287611B2">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14:paraId="49C1150C">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14096D3F">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5074EF20">
            <w:pPr>
              <w:adjustRightInd w:val="0"/>
              <w:snapToGrid w:val="0"/>
              <w:spacing w:line="360" w:lineRule="auto"/>
              <w:jc w:val="center"/>
              <w:rPr>
                <w:rFonts w:ascii="宋体" w:hAnsi="宋体" w:eastAsia="宋体" w:cs="宋体"/>
                <w:b/>
                <w:color w:val="auto"/>
                <w:kern w:val="0"/>
                <w:szCs w:val="21"/>
                <w:highlight w:val="none"/>
              </w:rPr>
            </w:pPr>
          </w:p>
        </w:tc>
      </w:tr>
      <w:tr w14:paraId="6A869584">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14:paraId="4A021636">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4346" w:type="dxa"/>
            <w:shd w:val="clear" w:color="auto" w:fill="auto"/>
            <w:tcMar>
              <w:top w:w="0" w:type="dxa"/>
              <w:left w:w="57" w:type="dxa"/>
              <w:bottom w:w="0" w:type="dxa"/>
              <w:right w:w="57" w:type="dxa"/>
            </w:tcMar>
            <w:vAlign w:val="center"/>
          </w:tcPr>
          <w:p w14:paraId="774FACBF">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14:paraId="3F183C3D">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14:paraId="61FCFECF">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1CCB3B48">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3B22704B">
            <w:pPr>
              <w:adjustRightInd w:val="0"/>
              <w:snapToGrid w:val="0"/>
              <w:spacing w:line="360" w:lineRule="auto"/>
              <w:jc w:val="center"/>
              <w:rPr>
                <w:rFonts w:ascii="宋体" w:hAnsi="宋体" w:eastAsia="宋体" w:cs="宋体"/>
                <w:b/>
                <w:color w:val="auto"/>
                <w:kern w:val="0"/>
                <w:szCs w:val="21"/>
                <w:highlight w:val="none"/>
              </w:rPr>
            </w:pPr>
          </w:p>
        </w:tc>
      </w:tr>
      <w:tr w14:paraId="3F06D60C">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14:paraId="3FDAD050">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4346" w:type="dxa"/>
            <w:shd w:val="clear" w:color="auto" w:fill="auto"/>
            <w:tcMar>
              <w:top w:w="0" w:type="dxa"/>
              <w:left w:w="57" w:type="dxa"/>
              <w:bottom w:w="0" w:type="dxa"/>
              <w:right w:w="57" w:type="dxa"/>
            </w:tcMar>
            <w:vAlign w:val="center"/>
          </w:tcPr>
          <w:p w14:paraId="53D83E76">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14:paraId="0BDD6A9A">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14:paraId="4D9768C1">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43DC120B">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40217B74">
            <w:pPr>
              <w:adjustRightInd w:val="0"/>
              <w:snapToGrid w:val="0"/>
              <w:spacing w:line="360" w:lineRule="auto"/>
              <w:jc w:val="center"/>
              <w:rPr>
                <w:rFonts w:ascii="宋体" w:hAnsi="宋体" w:eastAsia="宋体" w:cs="宋体"/>
                <w:b/>
                <w:color w:val="auto"/>
                <w:kern w:val="0"/>
                <w:szCs w:val="21"/>
                <w:highlight w:val="none"/>
              </w:rPr>
            </w:pPr>
          </w:p>
        </w:tc>
      </w:tr>
      <w:tr w14:paraId="4ECD8851">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14:paraId="117B86A8">
            <w:pPr>
              <w:adjustRightInd w:val="0"/>
              <w:snapToGrid w:val="0"/>
              <w:spacing w:line="360" w:lineRule="auto"/>
              <w:ind w:right="31" w:rightChars="15"/>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4346" w:type="dxa"/>
            <w:shd w:val="clear" w:color="auto" w:fill="auto"/>
            <w:tcMar>
              <w:top w:w="0" w:type="dxa"/>
              <w:left w:w="57" w:type="dxa"/>
              <w:bottom w:w="0" w:type="dxa"/>
              <w:right w:w="57" w:type="dxa"/>
            </w:tcMar>
            <w:vAlign w:val="center"/>
          </w:tcPr>
          <w:p w14:paraId="346083CC">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14:paraId="11BCFB29">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14:paraId="3A2AA899">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14:paraId="52C9ED1B">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14:paraId="708956DD">
            <w:pPr>
              <w:adjustRightInd w:val="0"/>
              <w:snapToGrid w:val="0"/>
              <w:spacing w:line="360" w:lineRule="auto"/>
              <w:jc w:val="center"/>
              <w:rPr>
                <w:rFonts w:ascii="宋体" w:hAnsi="宋体" w:eastAsia="宋体" w:cs="宋体"/>
                <w:b/>
                <w:color w:val="auto"/>
                <w:kern w:val="0"/>
                <w:szCs w:val="21"/>
                <w:highlight w:val="none"/>
              </w:rPr>
            </w:pPr>
          </w:p>
        </w:tc>
      </w:tr>
    </w:tbl>
    <w:p w14:paraId="41262858">
      <w:pPr>
        <w:adjustRightInd w:val="0"/>
        <w:snapToGrid w:val="0"/>
        <w:spacing w:line="360" w:lineRule="auto"/>
        <w:jc w:val="left"/>
        <w:rPr>
          <w:rFonts w:ascii="宋体" w:hAnsi="宋体" w:eastAsia="宋体" w:cs="宋体"/>
          <w:color w:val="auto"/>
          <w:kern w:val="0"/>
          <w:highlight w:val="none"/>
        </w:rPr>
      </w:pPr>
    </w:p>
    <w:p w14:paraId="2471AA01">
      <w:pPr>
        <w:adjustRightInd w:val="0"/>
        <w:snapToGrid w:val="0"/>
        <w:spacing w:line="360" w:lineRule="auto"/>
        <w:jc w:val="left"/>
        <w:rPr>
          <w:rFonts w:ascii="宋体" w:hAnsi="宋体"/>
          <w:color w:val="auto"/>
          <w:kern w:val="0"/>
          <w:highlight w:val="none"/>
        </w:rPr>
      </w:pPr>
      <w:r>
        <w:rPr>
          <w:rFonts w:hint="eastAsia" w:ascii="楷体_GB2312" w:hAnsi="楷体_GB2312" w:eastAsia="楷体_GB2312" w:cs="楷体_GB2312"/>
          <w:color w:val="auto"/>
          <w:kern w:val="0"/>
          <w:highlight w:val="none"/>
        </w:rPr>
        <w:t>注：本表须与《投标人工程业绩表》（投标附件3）配套使用。</w:t>
      </w:r>
      <w:r>
        <w:rPr>
          <w:rFonts w:ascii="宋体" w:hAnsi="宋体"/>
          <w:color w:val="auto"/>
          <w:kern w:val="0"/>
          <w:highlight w:val="none"/>
        </w:rPr>
        <w:br w:type="page"/>
      </w:r>
    </w:p>
    <w:p w14:paraId="6BE03A45">
      <w:pPr>
        <w:adjustRightInd w:val="0"/>
        <w:snapToGrid w:val="0"/>
        <w:spacing w:line="360" w:lineRule="auto"/>
        <w:jc w:val="left"/>
        <w:outlineLvl w:val="2"/>
        <w:rPr>
          <w:rFonts w:ascii="宋体" w:hAnsi="宋体" w:eastAsia="宋体" w:cs="宋体"/>
          <w:b/>
          <w:color w:val="auto"/>
          <w:kern w:val="0"/>
          <w:highlight w:val="none"/>
        </w:rPr>
      </w:pPr>
      <w:bookmarkStart w:id="51" w:name="_Toc1357"/>
      <w:r>
        <w:rPr>
          <w:rFonts w:hint="eastAsia" w:ascii="宋体" w:hAnsi="宋体" w:eastAsia="宋体" w:cs="宋体"/>
          <w:b/>
          <w:color w:val="auto"/>
          <w:kern w:val="0"/>
          <w:highlight w:val="none"/>
        </w:rPr>
        <w:t>投标附件6.拟投入的项目负责人基本情况表</w:t>
      </w:r>
      <w:bookmarkEnd w:id="51"/>
    </w:p>
    <w:p w14:paraId="750B9FF1">
      <w:pPr>
        <w:adjustRightInd w:val="0"/>
        <w:snapToGri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拟投入的项目负责人基本情况表</w:t>
      </w:r>
    </w:p>
    <w:tbl>
      <w:tblPr>
        <w:tblStyle w:val="79"/>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872"/>
        <w:gridCol w:w="986"/>
        <w:gridCol w:w="1774"/>
        <w:gridCol w:w="1039"/>
        <w:gridCol w:w="341"/>
        <w:gridCol w:w="579"/>
        <w:gridCol w:w="1194"/>
      </w:tblGrid>
      <w:tr w14:paraId="2628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shd w:val="clear" w:color="auto" w:fill="auto"/>
            <w:vAlign w:val="center"/>
          </w:tcPr>
          <w:p w14:paraId="35BE56CE">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姓名</w:t>
            </w:r>
          </w:p>
        </w:tc>
        <w:tc>
          <w:tcPr>
            <w:tcW w:w="2872" w:type="dxa"/>
            <w:shd w:val="clear" w:color="auto" w:fill="auto"/>
            <w:vAlign w:val="center"/>
          </w:tcPr>
          <w:p w14:paraId="67EDDB48">
            <w:pPr>
              <w:adjustRightInd w:val="0"/>
              <w:snapToGrid w:val="0"/>
              <w:spacing w:line="360" w:lineRule="auto"/>
              <w:jc w:val="center"/>
              <w:rPr>
                <w:rFonts w:ascii="宋体" w:hAnsi="宋体" w:eastAsia="宋体" w:cs="宋体"/>
                <w:color w:val="auto"/>
                <w:kern w:val="0"/>
                <w:highlight w:val="none"/>
              </w:rPr>
            </w:pPr>
          </w:p>
        </w:tc>
        <w:tc>
          <w:tcPr>
            <w:tcW w:w="986" w:type="dxa"/>
            <w:shd w:val="clear" w:color="auto" w:fill="auto"/>
            <w:vAlign w:val="center"/>
          </w:tcPr>
          <w:p w14:paraId="63C6ADE4">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性别</w:t>
            </w:r>
          </w:p>
        </w:tc>
        <w:tc>
          <w:tcPr>
            <w:tcW w:w="1774" w:type="dxa"/>
            <w:shd w:val="clear" w:color="auto" w:fill="auto"/>
            <w:vAlign w:val="center"/>
          </w:tcPr>
          <w:p w14:paraId="76D08A1C">
            <w:pPr>
              <w:adjustRightInd w:val="0"/>
              <w:snapToGrid w:val="0"/>
              <w:spacing w:line="360" w:lineRule="auto"/>
              <w:jc w:val="center"/>
              <w:rPr>
                <w:rFonts w:ascii="宋体" w:hAnsi="宋体" w:eastAsia="宋体" w:cs="宋体"/>
                <w:color w:val="auto"/>
                <w:kern w:val="0"/>
                <w:highlight w:val="none"/>
              </w:rPr>
            </w:pPr>
          </w:p>
        </w:tc>
        <w:tc>
          <w:tcPr>
            <w:tcW w:w="1380" w:type="dxa"/>
            <w:gridSpan w:val="2"/>
            <w:shd w:val="clear" w:color="auto" w:fill="auto"/>
            <w:vAlign w:val="center"/>
          </w:tcPr>
          <w:p w14:paraId="22275541">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出生年月</w:t>
            </w:r>
          </w:p>
        </w:tc>
        <w:tc>
          <w:tcPr>
            <w:tcW w:w="1773" w:type="dxa"/>
            <w:gridSpan w:val="2"/>
            <w:shd w:val="clear" w:color="auto" w:fill="auto"/>
            <w:vAlign w:val="center"/>
          </w:tcPr>
          <w:p w14:paraId="39B29CD8">
            <w:pPr>
              <w:adjustRightInd w:val="0"/>
              <w:snapToGrid w:val="0"/>
              <w:spacing w:line="360" w:lineRule="auto"/>
              <w:jc w:val="left"/>
              <w:rPr>
                <w:rFonts w:ascii="宋体" w:hAnsi="宋体" w:eastAsia="宋体" w:cs="宋体"/>
                <w:color w:val="auto"/>
                <w:kern w:val="0"/>
                <w:highlight w:val="none"/>
              </w:rPr>
            </w:pPr>
          </w:p>
        </w:tc>
      </w:tr>
      <w:tr w14:paraId="708F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shd w:val="clear" w:color="auto" w:fill="auto"/>
            <w:vAlign w:val="center"/>
          </w:tcPr>
          <w:p w14:paraId="3136DB64">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学历</w:t>
            </w:r>
          </w:p>
        </w:tc>
        <w:tc>
          <w:tcPr>
            <w:tcW w:w="2872" w:type="dxa"/>
            <w:shd w:val="clear" w:color="auto" w:fill="auto"/>
            <w:vAlign w:val="center"/>
          </w:tcPr>
          <w:p w14:paraId="3B71A6D0">
            <w:pPr>
              <w:adjustRightInd w:val="0"/>
              <w:snapToGrid w:val="0"/>
              <w:spacing w:line="360" w:lineRule="auto"/>
              <w:jc w:val="center"/>
              <w:rPr>
                <w:rFonts w:ascii="宋体" w:hAnsi="宋体" w:eastAsia="宋体" w:cs="宋体"/>
                <w:color w:val="auto"/>
                <w:kern w:val="0"/>
                <w:highlight w:val="none"/>
              </w:rPr>
            </w:pPr>
          </w:p>
        </w:tc>
        <w:tc>
          <w:tcPr>
            <w:tcW w:w="986" w:type="dxa"/>
            <w:shd w:val="clear" w:color="auto" w:fill="auto"/>
            <w:vAlign w:val="center"/>
          </w:tcPr>
          <w:p w14:paraId="6B467E64">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学位</w:t>
            </w:r>
          </w:p>
        </w:tc>
        <w:tc>
          <w:tcPr>
            <w:tcW w:w="1774" w:type="dxa"/>
            <w:shd w:val="clear" w:color="auto" w:fill="auto"/>
            <w:vAlign w:val="center"/>
          </w:tcPr>
          <w:p w14:paraId="5BCE981C">
            <w:pPr>
              <w:adjustRightInd w:val="0"/>
              <w:snapToGrid w:val="0"/>
              <w:spacing w:line="360" w:lineRule="auto"/>
              <w:jc w:val="center"/>
              <w:rPr>
                <w:rFonts w:ascii="宋体" w:hAnsi="宋体" w:eastAsia="宋体" w:cs="宋体"/>
                <w:color w:val="auto"/>
                <w:kern w:val="0"/>
                <w:highlight w:val="none"/>
              </w:rPr>
            </w:pPr>
          </w:p>
        </w:tc>
        <w:tc>
          <w:tcPr>
            <w:tcW w:w="1380" w:type="dxa"/>
            <w:gridSpan w:val="2"/>
            <w:shd w:val="clear" w:color="auto" w:fill="auto"/>
            <w:vAlign w:val="center"/>
          </w:tcPr>
          <w:p w14:paraId="4EDA6458">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所学专业</w:t>
            </w:r>
          </w:p>
        </w:tc>
        <w:tc>
          <w:tcPr>
            <w:tcW w:w="1773" w:type="dxa"/>
            <w:gridSpan w:val="2"/>
            <w:shd w:val="clear" w:color="auto" w:fill="auto"/>
            <w:vAlign w:val="center"/>
          </w:tcPr>
          <w:p w14:paraId="14C0C4E0">
            <w:pPr>
              <w:adjustRightInd w:val="0"/>
              <w:snapToGrid w:val="0"/>
              <w:spacing w:line="360" w:lineRule="auto"/>
              <w:jc w:val="left"/>
              <w:rPr>
                <w:rFonts w:ascii="宋体" w:hAnsi="宋体" w:eastAsia="宋体" w:cs="宋体"/>
                <w:color w:val="auto"/>
                <w:kern w:val="0"/>
                <w:highlight w:val="none"/>
              </w:rPr>
            </w:pPr>
          </w:p>
        </w:tc>
      </w:tr>
      <w:tr w14:paraId="7F5C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shd w:val="clear" w:color="auto" w:fill="auto"/>
            <w:vAlign w:val="center"/>
          </w:tcPr>
          <w:p w14:paraId="6F639EED">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职务</w:t>
            </w:r>
          </w:p>
        </w:tc>
        <w:tc>
          <w:tcPr>
            <w:tcW w:w="3858" w:type="dxa"/>
            <w:gridSpan w:val="2"/>
            <w:shd w:val="clear" w:color="auto" w:fill="auto"/>
            <w:vAlign w:val="center"/>
          </w:tcPr>
          <w:p w14:paraId="080C50E0">
            <w:pPr>
              <w:adjustRightInd w:val="0"/>
              <w:snapToGrid w:val="0"/>
              <w:spacing w:line="360" w:lineRule="auto"/>
              <w:jc w:val="center"/>
              <w:rPr>
                <w:rFonts w:ascii="宋体" w:hAnsi="宋体" w:eastAsia="宋体" w:cs="宋体"/>
                <w:color w:val="auto"/>
                <w:kern w:val="0"/>
                <w:highlight w:val="none"/>
              </w:rPr>
            </w:pPr>
          </w:p>
        </w:tc>
        <w:tc>
          <w:tcPr>
            <w:tcW w:w="1774" w:type="dxa"/>
            <w:shd w:val="clear" w:color="auto" w:fill="auto"/>
            <w:vAlign w:val="center"/>
          </w:tcPr>
          <w:p w14:paraId="3A06FFA0">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何专业何职称</w:t>
            </w:r>
          </w:p>
        </w:tc>
        <w:tc>
          <w:tcPr>
            <w:tcW w:w="3153" w:type="dxa"/>
            <w:gridSpan w:val="4"/>
            <w:shd w:val="clear" w:color="auto" w:fill="auto"/>
            <w:vAlign w:val="center"/>
          </w:tcPr>
          <w:p w14:paraId="660E6A3F">
            <w:pPr>
              <w:adjustRightInd w:val="0"/>
              <w:snapToGrid w:val="0"/>
              <w:spacing w:line="360" w:lineRule="auto"/>
              <w:jc w:val="left"/>
              <w:rPr>
                <w:rFonts w:ascii="宋体" w:hAnsi="宋体" w:eastAsia="宋体" w:cs="宋体"/>
                <w:color w:val="auto"/>
                <w:kern w:val="0"/>
                <w:highlight w:val="none"/>
              </w:rPr>
            </w:pPr>
          </w:p>
        </w:tc>
      </w:tr>
      <w:tr w14:paraId="62E4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shd w:val="clear" w:color="auto" w:fill="auto"/>
            <w:vAlign w:val="center"/>
          </w:tcPr>
          <w:p w14:paraId="6C51A4FF">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执业注册资格</w:t>
            </w:r>
          </w:p>
        </w:tc>
        <w:tc>
          <w:tcPr>
            <w:tcW w:w="3858" w:type="dxa"/>
            <w:gridSpan w:val="2"/>
            <w:shd w:val="clear" w:color="auto" w:fill="auto"/>
            <w:vAlign w:val="center"/>
          </w:tcPr>
          <w:p w14:paraId="7CB47BEB">
            <w:pPr>
              <w:adjustRightInd w:val="0"/>
              <w:snapToGrid w:val="0"/>
              <w:spacing w:line="360" w:lineRule="auto"/>
              <w:jc w:val="center"/>
              <w:rPr>
                <w:rFonts w:ascii="宋体" w:hAnsi="宋体" w:eastAsia="宋体" w:cs="宋体"/>
                <w:color w:val="auto"/>
                <w:kern w:val="0"/>
                <w:highlight w:val="none"/>
              </w:rPr>
            </w:pPr>
          </w:p>
        </w:tc>
        <w:tc>
          <w:tcPr>
            <w:tcW w:w="1774" w:type="dxa"/>
            <w:shd w:val="clear" w:color="auto" w:fill="auto"/>
            <w:vAlign w:val="center"/>
          </w:tcPr>
          <w:p w14:paraId="4B7452B2">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执业注册资格证书编号</w:t>
            </w:r>
          </w:p>
        </w:tc>
        <w:tc>
          <w:tcPr>
            <w:tcW w:w="3153" w:type="dxa"/>
            <w:gridSpan w:val="4"/>
            <w:shd w:val="clear" w:color="auto" w:fill="auto"/>
            <w:vAlign w:val="center"/>
          </w:tcPr>
          <w:p w14:paraId="4708AC7A">
            <w:pPr>
              <w:adjustRightInd w:val="0"/>
              <w:snapToGrid w:val="0"/>
              <w:spacing w:line="360" w:lineRule="auto"/>
              <w:jc w:val="left"/>
              <w:rPr>
                <w:rFonts w:ascii="宋体" w:hAnsi="宋体" w:eastAsia="宋体" w:cs="宋体"/>
                <w:color w:val="auto"/>
                <w:kern w:val="0"/>
                <w:highlight w:val="none"/>
              </w:rPr>
            </w:pPr>
          </w:p>
        </w:tc>
      </w:tr>
      <w:tr w14:paraId="4148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5" w:type="dxa"/>
            <w:gridSpan w:val="8"/>
            <w:shd w:val="clear" w:color="auto" w:fill="auto"/>
            <w:vAlign w:val="center"/>
          </w:tcPr>
          <w:p w14:paraId="0F43ACA8">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项目负责人近5年已主持完成设计的同类工程情况</w:t>
            </w:r>
          </w:p>
        </w:tc>
      </w:tr>
      <w:tr w14:paraId="10AF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shd w:val="clear" w:color="auto" w:fill="auto"/>
            <w:vAlign w:val="center"/>
          </w:tcPr>
          <w:p w14:paraId="55A96720">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2872" w:type="dxa"/>
            <w:shd w:val="clear" w:color="auto" w:fill="auto"/>
            <w:vAlign w:val="center"/>
          </w:tcPr>
          <w:p w14:paraId="1C03E665">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工程名称</w:t>
            </w:r>
          </w:p>
        </w:tc>
        <w:tc>
          <w:tcPr>
            <w:tcW w:w="2760" w:type="dxa"/>
            <w:gridSpan w:val="2"/>
            <w:shd w:val="clear" w:color="auto" w:fill="auto"/>
            <w:vAlign w:val="center"/>
          </w:tcPr>
          <w:p w14:paraId="0CE51B17">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建设单位</w:t>
            </w:r>
          </w:p>
        </w:tc>
        <w:tc>
          <w:tcPr>
            <w:tcW w:w="1039" w:type="dxa"/>
            <w:shd w:val="clear" w:color="auto" w:fill="auto"/>
            <w:vAlign w:val="center"/>
          </w:tcPr>
          <w:p w14:paraId="524A79A0">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设计时间</w:t>
            </w:r>
          </w:p>
        </w:tc>
        <w:tc>
          <w:tcPr>
            <w:tcW w:w="920" w:type="dxa"/>
            <w:gridSpan w:val="2"/>
            <w:shd w:val="clear" w:color="auto" w:fill="auto"/>
            <w:vAlign w:val="center"/>
          </w:tcPr>
          <w:p w14:paraId="7B9A182A">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建设规模</w:t>
            </w:r>
          </w:p>
        </w:tc>
        <w:tc>
          <w:tcPr>
            <w:tcW w:w="1194" w:type="dxa"/>
            <w:shd w:val="clear" w:color="auto" w:fill="auto"/>
            <w:vAlign w:val="center"/>
          </w:tcPr>
          <w:p w14:paraId="4D4CBF19">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建成情况</w:t>
            </w:r>
          </w:p>
        </w:tc>
      </w:tr>
      <w:tr w14:paraId="5329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shd w:val="clear" w:color="auto" w:fill="auto"/>
            <w:vAlign w:val="center"/>
          </w:tcPr>
          <w:p w14:paraId="0C23CC59">
            <w:pPr>
              <w:adjustRightInd w:val="0"/>
              <w:snapToGrid w:val="0"/>
              <w:spacing w:line="360" w:lineRule="auto"/>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2872" w:type="dxa"/>
            <w:shd w:val="clear" w:color="auto" w:fill="auto"/>
            <w:vAlign w:val="center"/>
          </w:tcPr>
          <w:p w14:paraId="4EA368F7">
            <w:pPr>
              <w:adjustRightInd w:val="0"/>
              <w:snapToGrid w:val="0"/>
              <w:spacing w:line="360" w:lineRule="auto"/>
              <w:jc w:val="left"/>
              <w:rPr>
                <w:rFonts w:ascii="宋体" w:hAnsi="宋体" w:eastAsia="宋体" w:cs="宋体"/>
                <w:color w:val="auto"/>
                <w:kern w:val="0"/>
                <w:sz w:val="22"/>
                <w:highlight w:val="none"/>
              </w:rPr>
            </w:pPr>
          </w:p>
        </w:tc>
        <w:tc>
          <w:tcPr>
            <w:tcW w:w="2760" w:type="dxa"/>
            <w:gridSpan w:val="2"/>
            <w:shd w:val="clear" w:color="auto" w:fill="auto"/>
            <w:vAlign w:val="center"/>
          </w:tcPr>
          <w:p w14:paraId="39BD7344">
            <w:pPr>
              <w:adjustRightInd w:val="0"/>
              <w:snapToGrid w:val="0"/>
              <w:spacing w:line="360" w:lineRule="auto"/>
              <w:jc w:val="left"/>
              <w:rPr>
                <w:rFonts w:ascii="宋体" w:hAnsi="宋体" w:eastAsia="宋体" w:cs="宋体"/>
                <w:color w:val="auto"/>
                <w:kern w:val="0"/>
                <w:sz w:val="22"/>
                <w:highlight w:val="none"/>
              </w:rPr>
            </w:pPr>
          </w:p>
        </w:tc>
        <w:tc>
          <w:tcPr>
            <w:tcW w:w="1039" w:type="dxa"/>
            <w:shd w:val="clear" w:color="auto" w:fill="auto"/>
            <w:vAlign w:val="center"/>
          </w:tcPr>
          <w:p w14:paraId="6894F76F">
            <w:pPr>
              <w:adjustRightInd w:val="0"/>
              <w:snapToGrid w:val="0"/>
              <w:spacing w:line="360" w:lineRule="auto"/>
              <w:jc w:val="left"/>
              <w:rPr>
                <w:rFonts w:ascii="宋体" w:hAnsi="宋体" w:eastAsia="宋体" w:cs="宋体"/>
                <w:color w:val="auto"/>
                <w:kern w:val="0"/>
                <w:sz w:val="22"/>
                <w:highlight w:val="none"/>
              </w:rPr>
            </w:pPr>
          </w:p>
        </w:tc>
        <w:tc>
          <w:tcPr>
            <w:tcW w:w="920" w:type="dxa"/>
            <w:gridSpan w:val="2"/>
            <w:shd w:val="clear" w:color="auto" w:fill="auto"/>
            <w:vAlign w:val="center"/>
          </w:tcPr>
          <w:p w14:paraId="755A6455">
            <w:pPr>
              <w:adjustRightInd w:val="0"/>
              <w:snapToGrid w:val="0"/>
              <w:spacing w:line="360" w:lineRule="auto"/>
              <w:jc w:val="left"/>
              <w:rPr>
                <w:rFonts w:ascii="宋体" w:hAnsi="宋体" w:eastAsia="宋体" w:cs="宋体"/>
                <w:color w:val="auto"/>
                <w:kern w:val="0"/>
                <w:sz w:val="22"/>
                <w:highlight w:val="none"/>
              </w:rPr>
            </w:pPr>
          </w:p>
        </w:tc>
        <w:tc>
          <w:tcPr>
            <w:tcW w:w="1194" w:type="dxa"/>
            <w:shd w:val="clear" w:color="auto" w:fill="auto"/>
            <w:vAlign w:val="center"/>
          </w:tcPr>
          <w:p w14:paraId="5A128AF8">
            <w:pPr>
              <w:adjustRightInd w:val="0"/>
              <w:snapToGrid w:val="0"/>
              <w:spacing w:line="360" w:lineRule="auto"/>
              <w:jc w:val="left"/>
              <w:rPr>
                <w:rFonts w:ascii="宋体" w:hAnsi="宋体" w:eastAsia="宋体" w:cs="宋体"/>
                <w:color w:val="auto"/>
                <w:kern w:val="0"/>
                <w:sz w:val="22"/>
                <w:highlight w:val="none"/>
              </w:rPr>
            </w:pPr>
          </w:p>
        </w:tc>
      </w:tr>
      <w:tr w14:paraId="721F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shd w:val="clear" w:color="auto" w:fill="auto"/>
            <w:vAlign w:val="center"/>
          </w:tcPr>
          <w:p w14:paraId="4B54B36F">
            <w:pPr>
              <w:adjustRightInd w:val="0"/>
              <w:snapToGrid w:val="0"/>
              <w:spacing w:line="360" w:lineRule="auto"/>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2872" w:type="dxa"/>
            <w:shd w:val="clear" w:color="auto" w:fill="auto"/>
            <w:vAlign w:val="center"/>
          </w:tcPr>
          <w:p w14:paraId="568C7C43">
            <w:pPr>
              <w:adjustRightInd w:val="0"/>
              <w:snapToGrid w:val="0"/>
              <w:spacing w:line="360" w:lineRule="auto"/>
              <w:jc w:val="left"/>
              <w:rPr>
                <w:rFonts w:ascii="宋体" w:hAnsi="宋体" w:eastAsia="宋体" w:cs="宋体"/>
                <w:color w:val="auto"/>
                <w:kern w:val="0"/>
                <w:sz w:val="22"/>
                <w:highlight w:val="none"/>
              </w:rPr>
            </w:pPr>
          </w:p>
        </w:tc>
        <w:tc>
          <w:tcPr>
            <w:tcW w:w="2760" w:type="dxa"/>
            <w:gridSpan w:val="2"/>
            <w:shd w:val="clear" w:color="auto" w:fill="auto"/>
            <w:vAlign w:val="center"/>
          </w:tcPr>
          <w:p w14:paraId="18581581">
            <w:pPr>
              <w:adjustRightInd w:val="0"/>
              <w:snapToGrid w:val="0"/>
              <w:spacing w:line="360" w:lineRule="auto"/>
              <w:jc w:val="left"/>
              <w:rPr>
                <w:rFonts w:ascii="宋体" w:hAnsi="宋体" w:eastAsia="宋体" w:cs="宋体"/>
                <w:color w:val="auto"/>
                <w:kern w:val="0"/>
                <w:sz w:val="22"/>
                <w:highlight w:val="none"/>
              </w:rPr>
            </w:pPr>
          </w:p>
        </w:tc>
        <w:tc>
          <w:tcPr>
            <w:tcW w:w="1039" w:type="dxa"/>
            <w:shd w:val="clear" w:color="auto" w:fill="auto"/>
            <w:vAlign w:val="center"/>
          </w:tcPr>
          <w:p w14:paraId="04E9D5CF">
            <w:pPr>
              <w:adjustRightInd w:val="0"/>
              <w:snapToGrid w:val="0"/>
              <w:spacing w:line="360" w:lineRule="auto"/>
              <w:jc w:val="left"/>
              <w:rPr>
                <w:rFonts w:ascii="宋体" w:hAnsi="宋体" w:eastAsia="宋体" w:cs="宋体"/>
                <w:color w:val="auto"/>
                <w:kern w:val="0"/>
                <w:sz w:val="22"/>
                <w:highlight w:val="none"/>
              </w:rPr>
            </w:pPr>
          </w:p>
        </w:tc>
        <w:tc>
          <w:tcPr>
            <w:tcW w:w="920" w:type="dxa"/>
            <w:gridSpan w:val="2"/>
            <w:shd w:val="clear" w:color="auto" w:fill="auto"/>
            <w:vAlign w:val="center"/>
          </w:tcPr>
          <w:p w14:paraId="61C99485">
            <w:pPr>
              <w:adjustRightInd w:val="0"/>
              <w:snapToGrid w:val="0"/>
              <w:spacing w:line="360" w:lineRule="auto"/>
              <w:jc w:val="left"/>
              <w:rPr>
                <w:rFonts w:ascii="宋体" w:hAnsi="宋体" w:eastAsia="宋体" w:cs="宋体"/>
                <w:color w:val="auto"/>
                <w:kern w:val="0"/>
                <w:sz w:val="22"/>
                <w:highlight w:val="none"/>
              </w:rPr>
            </w:pPr>
          </w:p>
        </w:tc>
        <w:tc>
          <w:tcPr>
            <w:tcW w:w="1194" w:type="dxa"/>
            <w:shd w:val="clear" w:color="auto" w:fill="auto"/>
            <w:vAlign w:val="center"/>
          </w:tcPr>
          <w:p w14:paraId="3EA8F333">
            <w:pPr>
              <w:adjustRightInd w:val="0"/>
              <w:snapToGrid w:val="0"/>
              <w:spacing w:line="360" w:lineRule="auto"/>
              <w:jc w:val="left"/>
              <w:rPr>
                <w:rFonts w:ascii="宋体" w:hAnsi="宋体" w:eastAsia="宋体" w:cs="宋体"/>
                <w:color w:val="auto"/>
                <w:kern w:val="0"/>
                <w:sz w:val="22"/>
                <w:highlight w:val="none"/>
              </w:rPr>
            </w:pPr>
          </w:p>
        </w:tc>
      </w:tr>
      <w:tr w14:paraId="4363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shd w:val="clear" w:color="auto" w:fill="auto"/>
            <w:vAlign w:val="center"/>
          </w:tcPr>
          <w:p w14:paraId="391AF6DB">
            <w:pPr>
              <w:adjustRightInd w:val="0"/>
              <w:snapToGrid w:val="0"/>
              <w:spacing w:line="360" w:lineRule="auto"/>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2872" w:type="dxa"/>
            <w:shd w:val="clear" w:color="auto" w:fill="auto"/>
            <w:vAlign w:val="center"/>
          </w:tcPr>
          <w:p w14:paraId="27CE15BD">
            <w:pPr>
              <w:adjustRightInd w:val="0"/>
              <w:snapToGrid w:val="0"/>
              <w:spacing w:line="360" w:lineRule="auto"/>
              <w:jc w:val="left"/>
              <w:rPr>
                <w:rFonts w:ascii="宋体" w:hAnsi="宋体" w:eastAsia="宋体" w:cs="宋体"/>
                <w:color w:val="auto"/>
                <w:kern w:val="0"/>
                <w:sz w:val="22"/>
                <w:highlight w:val="none"/>
              </w:rPr>
            </w:pPr>
          </w:p>
        </w:tc>
        <w:tc>
          <w:tcPr>
            <w:tcW w:w="2760" w:type="dxa"/>
            <w:gridSpan w:val="2"/>
            <w:shd w:val="clear" w:color="auto" w:fill="auto"/>
            <w:vAlign w:val="center"/>
          </w:tcPr>
          <w:p w14:paraId="45AA1BEE">
            <w:pPr>
              <w:adjustRightInd w:val="0"/>
              <w:snapToGrid w:val="0"/>
              <w:spacing w:line="360" w:lineRule="auto"/>
              <w:jc w:val="left"/>
              <w:rPr>
                <w:rFonts w:ascii="宋体" w:hAnsi="宋体" w:eastAsia="宋体" w:cs="宋体"/>
                <w:color w:val="auto"/>
                <w:kern w:val="0"/>
                <w:sz w:val="22"/>
                <w:highlight w:val="none"/>
              </w:rPr>
            </w:pPr>
          </w:p>
        </w:tc>
        <w:tc>
          <w:tcPr>
            <w:tcW w:w="1039" w:type="dxa"/>
            <w:shd w:val="clear" w:color="auto" w:fill="auto"/>
            <w:vAlign w:val="center"/>
          </w:tcPr>
          <w:p w14:paraId="7BA1FD92">
            <w:pPr>
              <w:adjustRightInd w:val="0"/>
              <w:snapToGrid w:val="0"/>
              <w:spacing w:line="360" w:lineRule="auto"/>
              <w:jc w:val="left"/>
              <w:rPr>
                <w:rFonts w:ascii="宋体" w:hAnsi="宋体" w:eastAsia="宋体" w:cs="宋体"/>
                <w:color w:val="auto"/>
                <w:kern w:val="0"/>
                <w:sz w:val="22"/>
                <w:highlight w:val="none"/>
              </w:rPr>
            </w:pPr>
          </w:p>
        </w:tc>
        <w:tc>
          <w:tcPr>
            <w:tcW w:w="920" w:type="dxa"/>
            <w:gridSpan w:val="2"/>
            <w:shd w:val="clear" w:color="auto" w:fill="auto"/>
            <w:vAlign w:val="center"/>
          </w:tcPr>
          <w:p w14:paraId="1A37B3AA">
            <w:pPr>
              <w:adjustRightInd w:val="0"/>
              <w:snapToGrid w:val="0"/>
              <w:spacing w:line="360" w:lineRule="auto"/>
              <w:jc w:val="left"/>
              <w:rPr>
                <w:rFonts w:ascii="宋体" w:hAnsi="宋体" w:eastAsia="宋体" w:cs="宋体"/>
                <w:color w:val="auto"/>
                <w:kern w:val="0"/>
                <w:sz w:val="22"/>
                <w:highlight w:val="none"/>
              </w:rPr>
            </w:pPr>
          </w:p>
        </w:tc>
        <w:tc>
          <w:tcPr>
            <w:tcW w:w="1194" w:type="dxa"/>
            <w:shd w:val="clear" w:color="auto" w:fill="auto"/>
            <w:vAlign w:val="center"/>
          </w:tcPr>
          <w:p w14:paraId="4454360A">
            <w:pPr>
              <w:adjustRightInd w:val="0"/>
              <w:snapToGrid w:val="0"/>
              <w:spacing w:line="360" w:lineRule="auto"/>
              <w:jc w:val="left"/>
              <w:rPr>
                <w:rFonts w:ascii="宋体" w:hAnsi="宋体" w:eastAsia="宋体" w:cs="宋体"/>
                <w:color w:val="auto"/>
                <w:kern w:val="0"/>
                <w:sz w:val="22"/>
                <w:highlight w:val="none"/>
              </w:rPr>
            </w:pPr>
          </w:p>
        </w:tc>
      </w:tr>
      <w:tr w14:paraId="57CB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shd w:val="clear" w:color="auto" w:fill="auto"/>
            <w:vAlign w:val="center"/>
          </w:tcPr>
          <w:p w14:paraId="0806F348">
            <w:pPr>
              <w:adjustRightInd w:val="0"/>
              <w:snapToGrid w:val="0"/>
              <w:spacing w:line="360" w:lineRule="auto"/>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2872" w:type="dxa"/>
            <w:shd w:val="clear" w:color="auto" w:fill="auto"/>
            <w:vAlign w:val="center"/>
          </w:tcPr>
          <w:p w14:paraId="00FCCF65">
            <w:pPr>
              <w:adjustRightInd w:val="0"/>
              <w:snapToGrid w:val="0"/>
              <w:spacing w:line="360" w:lineRule="auto"/>
              <w:jc w:val="left"/>
              <w:rPr>
                <w:rFonts w:ascii="宋体" w:hAnsi="宋体" w:eastAsia="宋体" w:cs="宋体"/>
                <w:color w:val="auto"/>
                <w:kern w:val="0"/>
                <w:sz w:val="22"/>
                <w:highlight w:val="none"/>
              </w:rPr>
            </w:pPr>
          </w:p>
        </w:tc>
        <w:tc>
          <w:tcPr>
            <w:tcW w:w="2760" w:type="dxa"/>
            <w:gridSpan w:val="2"/>
            <w:shd w:val="clear" w:color="auto" w:fill="auto"/>
            <w:vAlign w:val="center"/>
          </w:tcPr>
          <w:p w14:paraId="768131E1">
            <w:pPr>
              <w:adjustRightInd w:val="0"/>
              <w:snapToGrid w:val="0"/>
              <w:spacing w:line="360" w:lineRule="auto"/>
              <w:jc w:val="left"/>
              <w:rPr>
                <w:rFonts w:ascii="宋体" w:hAnsi="宋体" w:eastAsia="宋体" w:cs="宋体"/>
                <w:color w:val="auto"/>
                <w:kern w:val="0"/>
                <w:sz w:val="22"/>
                <w:highlight w:val="none"/>
              </w:rPr>
            </w:pPr>
          </w:p>
        </w:tc>
        <w:tc>
          <w:tcPr>
            <w:tcW w:w="1039" w:type="dxa"/>
            <w:shd w:val="clear" w:color="auto" w:fill="auto"/>
            <w:vAlign w:val="center"/>
          </w:tcPr>
          <w:p w14:paraId="11104864">
            <w:pPr>
              <w:adjustRightInd w:val="0"/>
              <w:snapToGrid w:val="0"/>
              <w:spacing w:line="360" w:lineRule="auto"/>
              <w:jc w:val="left"/>
              <w:rPr>
                <w:rFonts w:ascii="宋体" w:hAnsi="宋体" w:eastAsia="宋体" w:cs="宋体"/>
                <w:color w:val="auto"/>
                <w:kern w:val="0"/>
                <w:sz w:val="22"/>
                <w:highlight w:val="none"/>
              </w:rPr>
            </w:pPr>
          </w:p>
        </w:tc>
        <w:tc>
          <w:tcPr>
            <w:tcW w:w="920" w:type="dxa"/>
            <w:gridSpan w:val="2"/>
            <w:shd w:val="clear" w:color="auto" w:fill="auto"/>
            <w:vAlign w:val="center"/>
          </w:tcPr>
          <w:p w14:paraId="5A5636FB">
            <w:pPr>
              <w:adjustRightInd w:val="0"/>
              <w:snapToGrid w:val="0"/>
              <w:spacing w:line="360" w:lineRule="auto"/>
              <w:jc w:val="left"/>
              <w:rPr>
                <w:rFonts w:ascii="宋体" w:hAnsi="宋体" w:eastAsia="宋体" w:cs="宋体"/>
                <w:color w:val="auto"/>
                <w:kern w:val="0"/>
                <w:sz w:val="22"/>
                <w:highlight w:val="none"/>
              </w:rPr>
            </w:pPr>
          </w:p>
        </w:tc>
        <w:tc>
          <w:tcPr>
            <w:tcW w:w="1194" w:type="dxa"/>
            <w:shd w:val="clear" w:color="auto" w:fill="auto"/>
            <w:vAlign w:val="center"/>
          </w:tcPr>
          <w:p w14:paraId="0337D74A">
            <w:pPr>
              <w:adjustRightInd w:val="0"/>
              <w:snapToGrid w:val="0"/>
              <w:spacing w:line="360" w:lineRule="auto"/>
              <w:jc w:val="left"/>
              <w:rPr>
                <w:rFonts w:ascii="宋体" w:hAnsi="宋体" w:eastAsia="宋体" w:cs="宋体"/>
                <w:color w:val="auto"/>
                <w:kern w:val="0"/>
                <w:sz w:val="22"/>
                <w:highlight w:val="none"/>
              </w:rPr>
            </w:pPr>
          </w:p>
        </w:tc>
      </w:tr>
      <w:tr w14:paraId="3AA8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shd w:val="clear" w:color="auto" w:fill="auto"/>
            <w:vAlign w:val="center"/>
          </w:tcPr>
          <w:p w14:paraId="22EE09A9">
            <w:pPr>
              <w:adjustRightInd w:val="0"/>
              <w:snapToGrid w:val="0"/>
              <w:spacing w:line="360" w:lineRule="auto"/>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2872" w:type="dxa"/>
            <w:shd w:val="clear" w:color="auto" w:fill="auto"/>
            <w:vAlign w:val="center"/>
          </w:tcPr>
          <w:p w14:paraId="7022045B">
            <w:pPr>
              <w:adjustRightInd w:val="0"/>
              <w:snapToGrid w:val="0"/>
              <w:spacing w:line="360" w:lineRule="auto"/>
              <w:jc w:val="left"/>
              <w:rPr>
                <w:rFonts w:ascii="宋体" w:hAnsi="宋体" w:eastAsia="宋体" w:cs="宋体"/>
                <w:color w:val="auto"/>
                <w:kern w:val="0"/>
                <w:sz w:val="22"/>
                <w:highlight w:val="none"/>
              </w:rPr>
            </w:pPr>
          </w:p>
        </w:tc>
        <w:tc>
          <w:tcPr>
            <w:tcW w:w="2760" w:type="dxa"/>
            <w:gridSpan w:val="2"/>
            <w:shd w:val="clear" w:color="auto" w:fill="auto"/>
            <w:vAlign w:val="center"/>
          </w:tcPr>
          <w:p w14:paraId="004D8FC2">
            <w:pPr>
              <w:adjustRightInd w:val="0"/>
              <w:snapToGrid w:val="0"/>
              <w:spacing w:line="360" w:lineRule="auto"/>
              <w:jc w:val="left"/>
              <w:rPr>
                <w:rFonts w:ascii="宋体" w:hAnsi="宋体" w:eastAsia="宋体" w:cs="宋体"/>
                <w:color w:val="auto"/>
                <w:kern w:val="0"/>
                <w:sz w:val="22"/>
                <w:highlight w:val="none"/>
              </w:rPr>
            </w:pPr>
          </w:p>
        </w:tc>
        <w:tc>
          <w:tcPr>
            <w:tcW w:w="1039" w:type="dxa"/>
            <w:shd w:val="clear" w:color="auto" w:fill="auto"/>
            <w:vAlign w:val="center"/>
          </w:tcPr>
          <w:p w14:paraId="1AC069DA">
            <w:pPr>
              <w:adjustRightInd w:val="0"/>
              <w:snapToGrid w:val="0"/>
              <w:spacing w:line="360" w:lineRule="auto"/>
              <w:jc w:val="left"/>
              <w:rPr>
                <w:rFonts w:ascii="宋体" w:hAnsi="宋体" w:eastAsia="宋体" w:cs="宋体"/>
                <w:color w:val="auto"/>
                <w:kern w:val="0"/>
                <w:sz w:val="22"/>
                <w:highlight w:val="none"/>
              </w:rPr>
            </w:pPr>
          </w:p>
        </w:tc>
        <w:tc>
          <w:tcPr>
            <w:tcW w:w="920" w:type="dxa"/>
            <w:gridSpan w:val="2"/>
            <w:shd w:val="clear" w:color="auto" w:fill="auto"/>
            <w:vAlign w:val="center"/>
          </w:tcPr>
          <w:p w14:paraId="04E2AE88">
            <w:pPr>
              <w:adjustRightInd w:val="0"/>
              <w:snapToGrid w:val="0"/>
              <w:spacing w:line="360" w:lineRule="auto"/>
              <w:jc w:val="left"/>
              <w:rPr>
                <w:rFonts w:ascii="宋体" w:hAnsi="宋体" w:eastAsia="宋体" w:cs="宋体"/>
                <w:color w:val="auto"/>
                <w:kern w:val="0"/>
                <w:sz w:val="22"/>
                <w:highlight w:val="none"/>
              </w:rPr>
            </w:pPr>
          </w:p>
        </w:tc>
        <w:tc>
          <w:tcPr>
            <w:tcW w:w="1194" w:type="dxa"/>
            <w:shd w:val="clear" w:color="auto" w:fill="auto"/>
            <w:vAlign w:val="center"/>
          </w:tcPr>
          <w:p w14:paraId="0F230E24">
            <w:pPr>
              <w:adjustRightInd w:val="0"/>
              <w:snapToGrid w:val="0"/>
              <w:spacing w:line="360" w:lineRule="auto"/>
              <w:jc w:val="left"/>
              <w:rPr>
                <w:rFonts w:ascii="宋体" w:hAnsi="宋体" w:eastAsia="宋体" w:cs="宋体"/>
                <w:color w:val="auto"/>
                <w:kern w:val="0"/>
                <w:sz w:val="22"/>
                <w:highlight w:val="none"/>
              </w:rPr>
            </w:pPr>
          </w:p>
        </w:tc>
      </w:tr>
      <w:tr w14:paraId="0851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shd w:val="clear" w:color="auto" w:fill="auto"/>
            <w:vAlign w:val="center"/>
          </w:tcPr>
          <w:p w14:paraId="50349CE9">
            <w:pPr>
              <w:adjustRightInd w:val="0"/>
              <w:snapToGrid w:val="0"/>
              <w:spacing w:line="360" w:lineRule="auto"/>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2872" w:type="dxa"/>
            <w:shd w:val="clear" w:color="auto" w:fill="auto"/>
            <w:vAlign w:val="center"/>
          </w:tcPr>
          <w:p w14:paraId="68E74EC7">
            <w:pPr>
              <w:adjustRightInd w:val="0"/>
              <w:snapToGrid w:val="0"/>
              <w:spacing w:line="360" w:lineRule="auto"/>
              <w:jc w:val="left"/>
              <w:rPr>
                <w:rFonts w:ascii="宋体" w:hAnsi="宋体" w:eastAsia="宋体" w:cs="宋体"/>
                <w:color w:val="auto"/>
                <w:kern w:val="0"/>
                <w:sz w:val="22"/>
                <w:highlight w:val="none"/>
              </w:rPr>
            </w:pPr>
          </w:p>
        </w:tc>
        <w:tc>
          <w:tcPr>
            <w:tcW w:w="2760" w:type="dxa"/>
            <w:gridSpan w:val="2"/>
            <w:shd w:val="clear" w:color="auto" w:fill="auto"/>
            <w:vAlign w:val="center"/>
          </w:tcPr>
          <w:p w14:paraId="09595312">
            <w:pPr>
              <w:adjustRightInd w:val="0"/>
              <w:snapToGrid w:val="0"/>
              <w:spacing w:line="360" w:lineRule="auto"/>
              <w:jc w:val="left"/>
              <w:rPr>
                <w:rFonts w:ascii="宋体" w:hAnsi="宋体" w:eastAsia="宋体" w:cs="宋体"/>
                <w:color w:val="auto"/>
                <w:kern w:val="0"/>
                <w:sz w:val="22"/>
                <w:highlight w:val="none"/>
              </w:rPr>
            </w:pPr>
          </w:p>
        </w:tc>
        <w:tc>
          <w:tcPr>
            <w:tcW w:w="1039" w:type="dxa"/>
            <w:shd w:val="clear" w:color="auto" w:fill="auto"/>
            <w:vAlign w:val="center"/>
          </w:tcPr>
          <w:p w14:paraId="06A76119">
            <w:pPr>
              <w:adjustRightInd w:val="0"/>
              <w:snapToGrid w:val="0"/>
              <w:spacing w:line="360" w:lineRule="auto"/>
              <w:jc w:val="left"/>
              <w:rPr>
                <w:rFonts w:ascii="宋体" w:hAnsi="宋体" w:eastAsia="宋体" w:cs="宋体"/>
                <w:color w:val="auto"/>
                <w:kern w:val="0"/>
                <w:sz w:val="22"/>
                <w:highlight w:val="none"/>
              </w:rPr>
            </w:pPr>
          </w:p>
        </w:tc>
        <w:tc>
          <w:tcPr>
            <w:tcW w:w="920" w:type="dxa"/>
            <w:gridSpan w:val="2"/>
            <w:shd w:val="clear" w:color="auto" w:fill="auto"/>
            <w:vAlign w:val="center"/>
          </w:tcPr>
          <w:p w14:paraId="52DE5B93">
            <w:pPr>
              <w:adjustRightInd w:val="0"/>
              <w:snapToGrid w:val="0"/>
              <w:spacing w:line="360" w:lineRule="auto"/>
              <w:jc w:val="left"/>
              <w:rPr>
                <w:rFonts w:ascii="宋体" w:hAnsi="宋体" w:eastAsia="宋体" w:cs="宋体"/>
                <w:color w:val="auto"/>
                <w:kern w:val="0"/>
                <w:sz w:val="22"/>
                <w:highlight w:val="none"/>
              </w:rPr>
            </w:pPr>
          </w:p>
        </w:tc>
        <w:tc>
          <w:tcPr>
            <w:tcW w:w="1194" w:type="dxa"/>
            <w:shd w:val="clear" w:color="auto" w:fill="auto"/>
            <w:vAlign w:val="center"/>
          </w:tcPr>
          <w:p w14:paraId="3F2157FF">
            <w:pPr>
              <w:adjustRightInd w:val="0"/>
              <w:snapToGrid w:val="0"/>
              <w:spacing w:line="360" w:lineRule="auto"/>
              <w:jc w:val="left"/>
              <w:rPr>
                <w:rFonts w:ascii="宋体" w:hAnsi="宋体" w:eastAsia="宋体" w:cs="宋体"/>
                <w:color w:val="auto"/>
                <w:kern w:val="0"/>
                <w:sz w:val="22"/>
                <w:highlight w:val="none"/>
              </w:rPr>
            </w:pPr>
          </w:p>
        </w:tc>
      </w:tr>
    </w:tbl>
    <w:p w14:paraId="24B3989F">
      <w:pPr>
        <w:adjustRightInd w:val="0"/>
        <w:snapToGrid w:val="0"/>
        <w:spacing w:line="360" w:lineRule="auto"/>
        <w:jc w:val="left"/>
        <w:rPr>
          <w:rFonts w:ascii="宋体" w:hAnsi="宋体" w:eastAsia="宋体" w:cs="宋体"/>
          <w:color w:val="auto"/>
          <w:kern w:val="0"/>
          <w:highlight w:val="none"/>
        </w:rPr>
      </w:pPr>
    </w:p>
    <w:p w14:paraId="4CF3518F">
      <w:pPr>
        <w:adjustRightInd w:val="0"/>
        <w:snapToGrid w:val="0"/>
        <w:spacing w:line="360" w:lineRule="auto"/>
        <w:jc w:val="left"/>
        <w:rPr>
          <w:rFonts w:ascii="楷体_GB2312" w:hAnsi="楷体_GB2312" w:eastAsia="楷体_GB2312" w:cs="楷体_GB2312"/>
          <w:color w:val="auto"/>
          <w:kern w:val="0"/>
          <w:highlight w:val="none"/>
        </w:rPr>
      </w:pPr>
      <w:r>
        <w:rPr>
          <w:rFonts w:hint="eastAsia" w:ascii="楷体_GB2312" w:hAnsi="楷体_GB2312" w:eastAsia="楷体_GB2312" w:cs="楷体_GB2312"/>
          <w:color w:val="auto"/>
          <w:kern w:val="0"/>
          <w:highlight w:val="none"/>
        </w:rPr>
        <w:t>注：1.须随本表提交项目负责人</w:t>
      </w:r>
      <w:r>
        <w:rPr>
          <w:rFonts w:hint="eastAsia" w:ascii="楷体_GB2312" w:hAnsi="楷体_GB2312" w:eastAsia="楷体_GB2312" w:cs="楷体_GB2312"/>
          <w:color w:val="auto"/>
          <w:kern w:val="0"/>
          <w:szCs w:val="21"/>
          <w:highlight w:val="none"/>
        </w:rPr>
        <w:t>执业注册资格证书（或职称证书）及毕业证原件扫描件、</w:t>
      </w:r>
      <w:r>
        <w:rPr>
          <w:rFonts w:hint="eastAsia" w:ascii="楷体_GB2312" w:hAnsi="楷体_GB2312" w:eastAsia="楷体_GB2312" w:cs="楷体_GB2312"/>
          <w:color w:val="auto"/>
          <w:kern w:val="0"/>
          <w:highlight w:val="none"/>
        </w:rPr>
        <w:t>近5年已主持完成设计的同类工程施工图关键页（1页即可）复印件及施工图审查合格书复印件。</w:t>
      </w:r>
    </w:p>
    <w:p w14:paraId="7EDED759">
      <w:pPr>
        <w:adjustRightInd w:val="0"/>
        <w:snapToGrid w:val="0"/>
        <w:spacing w:line="360" w:lineRule="auto"/>
        <w:ind w:firstLine="420" w:firstLineChars="200"/>
        <w:jc w:val="left"/>
        <w:rPr>
          <w:rFonts w:ascii="宋体" w:hAnsi="宋体"/>
          <w:color w:val="auto"/>
          <w:kern w:val="0"/>
          <w:highlight w:val="none"/>
        </w:rPr>
      </w:pPr>
      <w:r>
        <w:rPr>
          <w:rFonts w:hint="eastAsia" w:ascii="楷体_GB2312" w:hAnsi="楷体_GB2312" w:eastAsia="楷体_GB2312" w:cs="楷体_GB2312"/>
          <w:color w:val="auto"/>
          <w:kern w:val="0"/>
          <w:highlight w:val="none"/>
        </w:rPr>
        <w:t>2.同类工程业绩填写最多不得超过6项。</w:t>
      </w:r>
      <w:r>
        <w:rPr>
          <w:rFonts w:ascii="宋体" w:hAnsi="宋体"/>
          <w:color w:val="auto"/>
          <w:kern w:val="0"/>
          <w:highlight w:val="none"/>
        </w:rPr>
        <w:br w:type="page"/>
      </w:r>
    </w:p>
    <w:p w14:paraId="44241FA4">
      <w:pPr>
        <w:adjustRightInd w:val="0"/>
        <w:snapToGrid w:val="0"/>
        <w:spacing w:line="360" w:lineRule="auto"/>
        <w:jc w:val="left"/>
        <w:outlineLvl w:val="2"/>
        <w:rPr>
          <w:rFonts w:ascii="宋体" w:hAnsi="宋体" w:eastAsia="宋体" w:cs="宋体"/>
          <w:b/>
          <w:color w:val="auto"/>
          <w:kern w:val="0"/>
          <w:highlight w:val="none"/>
        </w:rPr>
      </w:pPr>
      <w:bookmarkStart w:id="52" w:name="_Toc7687"/>
      <w:r>
        <w:rPr>
          <w:rFonts w:hint="eastAsia" w:ascii="宋体" w:hAnsi="宋体" w:eastAsia="宋体" w:cs="宋体"/>
          <w:b/>
          <w:color w:val="auto"/>
          <w:kern w:val="0"/>
          <w:highlight w:val="none"/>
        </w:rPr>
        <w:t>投标附件7.拟投入的项目组专业负责人基本情况表</w:t>
      </w:r>
      <w:bookmarkEnd w:id="52"/>
    </w:p>
    <w:p w14:paraId="0678D789">
      <w:pPr>
        <w:adjustRightInd w:val="0"/>
        <w:snapToGrid w:val="0"/>
        <w:spacing w:line="360" w:lineRule="auto"/>
        <w:jc w:val="center"/>
        <w:rPr>
          <w:rFonts w:ascii="宋体" w:hAnsi="宋体" w:eastAsia="宋体" w:cs="宋体"/>
          <w:color w:val="auto"/>
          <w:kern w:val="0"/>
          <w:sz w:val="30"/>
          <w:szCs w:val="30"/>
          <w:highlight w:val="none"/>
        </w:rPr>
      </w:pPr>
      <w:r>
        <w:rPr>
          <w:rFonts w:hint="eastAsia" w:ascii="宋体" w:hAnsi="宋体" w:eastAsia="宋体" w:cs="宋体"/>
          <w:b/>
          <w:color w:val="auto"/>
          <w:kern w:val="0"/>
          <w:sz w:val="30"/>
          <w:szCs w:val="30"/>
          <w:highlight w:val="none"/>
        </w:rPr>
        <w:t>拟投入的项目组专业负责人基本情况表</w:t>
      </w:r>
    </w:p>
    <w:tbl>
      <w:tblPr>
        <w:tblStyle w:val="79"/>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027"/>
        <w:gridCol w:w="1496"/>
        <w:gridCol w:w="1631"/>
        <w:gridCol w:w="1011"/>
        <w:gridCol w:w="1707"/>
        <w:gridCol w:w="2282"/>
      </w:tblGrid>
      <w:tr w14:paraId="3BC7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14:paraId="03374637">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1027" w:type="dxa"/>
            <w:shd w:val="clear" w:color="auto" w:fill="auto"/>
            <w:vAlign w:val="center"/>
          </w:tcPr>
          <w:p w14:paraId="321FB8A5">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姓  名</w:t>
            </w:r>
          </w:p>
        </w:tc>
        <w:tc>
          <w:tcPr>
            <w:tcW w:w="1496" w:type="dxa"/>
            <w:shd w:val="clear" w:color="auto" w:fill="auto"/>
            <w:vAlign w:val="center"/>
          </w:tcPr>
          <w:p w14:paraId="50F49FBD">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出生</w:t>
            </w:r>
          </w:p>
          <w:p w14:paraId="61F32DCE">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年月</w:t>
            </w:r>
          </w:p>
        </w:tc>
        <w:tc>
          <w:tcPr>
            <w:tcW w:w="1631" w:type="dxa"/>
            <w:shd w:val="clear" w:color="auto" w:fill="auto"/>
            <w:vAlign w:val="center"/>
          </w:tcPr>
          <w:p w14:paraId="6720614C">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注册资格</w:t>
            </w:r>
          </w:p>
        </w:tc>
        <w:tc>
          <w:tcPr>
            <w:tcW w:w="1011" w:type="dxa"/>
            <w:shd w:val="clear" w:color="auto" w:fill="auto"/>
            <w:vAlign w:val="center"/>
          </w:tcPr>
          <w:p w14:paraId="773A1B2E">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职称</w:t>
            </w:r>
          </w:p>
        </w:tc>
        <w:tc>
          <w:tcPr>
            <w:tcW w:w="1707" w:type="dxa"/>
            <w:shd w:val="clear" w:color="auto" w:fill="auto"/>
            <w:vAlign w:val="center"/>
          </w:tcPr>
          <w:p w14:paraId="17A2C7C9">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拟在本项目中从事专业</w:t>
            </w:r>
          </w:p>
        </w:tc>
        <w:tc>
          <w:tcPr>
            <w:tcW w:w="2282" w:type="dxa"/>
            <w:shd w:val="clear" w:color="auto" w:fill="auto"/>
            <w:vAlign w:val="center"/>
          </w:tcPr>
          <w:p w14:paraId="791A9EE5">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社保购买单位</w:t>
            </w:r>
          </w:p>
        </w:tc>
      </w:tr>
      <w:tr w14:paraId="778F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14:paraId="52D4B232">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1</w:t>
            </w:r>
          </w:p>
        </w:tc>
        <w:tc>
          <w:tcPr>
            <w:tcW w:w="1027" w:type="dxa"/>
            <w:shd w:val="clear" w:color="auto" w:fill="auto"/>
            <w:vAlign w:val="center"/>
          </w:tcPr>
          <w:p w14:paraId="59470448">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14:paraId="724EC804">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14:paraId="2B7D82AE">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14:paraId="6B1A422C">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14:paraId="1A938CE4">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14:paraId="3F62F666">
            <w:pPr>
              <w:adjustRightInd w:val="0"/>
              <w:snapToGrid w:val="0"/>
              <w:spacing w:line="360" w:lineRule="auto"/>
              <w:jc w:val="left"/>
              <w:rPr>
                <w:rFonts w:ascii="宋体" w:hAnsi="宋体" w:eastAsia="宋体" w:cs="宋体"/>
                <w:color w:val="auto"/>
                <w:kern w:val="0"/>
                <w:highlight w:val="none"/>
              </w:rPr>
            </w:pPr>
          </w:p>
        </w:tc>
      </w:tr>
      <w:tr w14:paraId="4D8F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14:paraId="1C0BE987">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2</w:t>
            </w:r>
          </w:p>
        </w:tc>
        <w:tc>
          <w:tcPr>
            <w:tcW w:w="1027" w:type="dxa"/>
            <w:shd w:val="clear" w:color="auto" w:fill="auto"/>
            <w:vAlign w:val="center"/>
          </w:tcPr>
          <w:p w14:paraId="505DBA97">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14:paraId="1798D27F">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14:paraId="7387C0CE">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14:paraId="1E8B403B">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14:paraId="7453C524">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14:paraId="1BAD4D7E">
            <w:pPr>
              <w:adjustRightInd w:val="0"/>
              <w:snapToGrid w:val="0"/>
              <w:spacing w:line="360" w:lineRule="auto"/>
              <w:jc w:val="left"/>
              <w:rPr>
                <w:rFonts w:ascii="宋体" w:hAnsi="宋体" w:eastAsia="宋体" w:cs="宋体"/>
                <w:color w:val="auto"/>
                <w:kern w:val="0"/>
                <w:highlight w:val="none"/>
              </w:rPr>
            </w:pPr>
          </w:p>
        </w:tc>
      </w:tr>
      <w:tr w14:paraId="1096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14:paraId="507DEBE6">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3</w:t>
            </w:r>
          </w:p>
        </w:tc>
        <w:tc>
          <w:tcPr>
            <w:tcW w:w="1027" w:type="dxa"/>
            <w:shd w:val="clear" w:color="auto" w:fill="auto"/>
            <w:vAlign w:val="center"/>
          </w:tcPr>
          <w:p w14:paraId="5DE08C9E">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14:paraId="6D862F8C">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14:paraId="7D7FA8B2">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14:paraId="6BAAAB93">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14:paraId="4CA3F131">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14:paraId="1428CDD8">
            <w:pPr>
              <w:adjustRightInd w:val="0"/>
              <w:snapToGrid w:val="0"/>
              <w:spacing w:line="360" w:lineRule="auto"/>
              <w:jc w:val="left"/>
              <w:rPr>
                <w:rFonts w:ascii="宋体" w:hAnsi="宋体" w:eastAsia="宋体" w:cs="宋体"/>
                <w:color w:val="auto"/>
                <w:kern w:val="0"/>
                <w:highlight w:val="none"/>
              </w:rPr>
            </w:pPr>
          </w:p>
        </w:tc>
      </w:tr>
      <w:tr w14:paraId="318E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14:paraId="715785B5">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4</w:t>
            </w:r>
          </w:p>
        </w:tc>
        <w:tc>
          <w:tcPr>
            <w:tcW w:w="1027" w:type="dxa"/>
            <w:shd w:val="clear" w:color="auto" w:fill="auto"/>
            <w:vAlign w:val="center"/>
          </w:tcPr>
          <w:p w14:paraId="37C703AC">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14:paraId="1696E3E9">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14:paraId="6357D170">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14:paraId="0E63987C">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14:paraId="50543B6F">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14:paraId="4AED008B">
            <w:pPr>
              <w:adjustRightInd w:val="0"/>
              <w:snapToGrid w:val="0"/>
              <w:spacing w:line="360" w:lineRule="auto"/>
              <w:jc w:val="left"/>
              <w:rPr>
                <w:rFonts w:ascii="宋体" w:hAnsi="宋体" w:eastAsia="宋体" w:cs="宋体"/>
                <w:color w:val="auto"/>
                <w:kern w:val="0"/>
                <w:highlight w:val="none"/>
              </w:rPr>
            </w:pPr>
          </w:p>
        </w:tc>
      </w:tr>
      <w:tr w14:paraId="5F79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14:paraId="52C20879">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5</w:t>
            </w:r>
          </w:p>
        </w:tc>
        <w:tc>
          <w:tcPr>
            <w:tcW w:w="1027" w:type="dxa"/>
            <w:shd w:val="clear" w:color="auto" w:fill="auto"/>
            <w:vAlign w:val="center"/>
          </w:tcPr>
          <w:p w14:paraId="68E4CC4A">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14:paraId="35938B0A">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14:paraId="2184B42B">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14:paraId="147A0946">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14:paraId="2DF69671">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14:paraId="404935D9">
            <w:pPr>
              <w:adjustRightInd w:val="0"/>
              <w:snapToGrid w:val="0"/>
              <w:spacing w:line="360" w:lineRule="auto"/>
              <w:jc w:val="left"/>
              <w:rPr>
                <w:rFonts w:ascii="宋体" w:hAnsi="宋体" w:eastAsia="宋体" w:cs="宋体"/>
                <w:color w:val="auto"/>
                <w:kern w:val="0"/>
                <w:highlight w:val="none"/>
              </w:rPr>
            </w:pPr>
          </w:p>
        </w:tc>
      </w:tr>
      <w:tr w14:paraId="65A9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14:paraId="34412FF6">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6</w:t>
            </w:r>
          </w:p>
        </w:tc>
        <w:tc>
          <w:tcPr>
            <w:tcW w:w="1027" w:type="dxa"/>
            <w:shd w:val="clear" w:color="auto" w:fill="auto"/>
            <w:vAlign w:val="center"/>
          </w:tcPr>
          <w:p w14:paraId="279103FC">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14:paraId="4A335784">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14:paraId="69431231">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14:paraId="3C8B7344">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14:paraId="7934B81D">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14:paraId="310EFA54">
            <w:pPr>
              <w:adjustRightInd w:val="0"/>
              <w:snapToGrid w:val="0"/>
              <w:spacing w:line="360" w:lineRule="auto"/>
              <w:jc w:val="left"/>
              <w:rPr>
                <w:rFonts w:ascii="宋体" w:hAnsi="宋体" w:eastAsia="宋体" w:cs="宋体"/>
                <w:color w:val="auto"/>
                <w:kern w:val="0"/>
                <w:highlight w:val="none"/>
              </w:rPr>
            </w:pPr>
          </w:p>
        </w:tc>
      </w:tr>
      <w:tr w14:paraId="59F2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14:paraId="6EB36BD3">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7</w:t>
            </w:r>
          </w:p>
        </w:tc>
        <w:tc>
          <w:tcPr>
            <w:tcW w:w="1027" w:type="dxa"/>
            <w:shd w:val="clear" w:color="auto" w:fill="auto"/>
            <w:vAlign w:val="center"/>
          </w:tcPr>
          <w:p w14:paraId="3BAFA7FB">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14:paraId="6E9924AF">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14:paraId="4D18661B">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14:paraId="1554540F">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14:paraId="61BF2D40">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14:paraId="791F7210">
            <w:pPr>
              <w:adjustRightInd w:val="0"/>
              <w:snapToGrid w:val="0"/>
              <w:spacing w:line="360" w:lineRule="auto"/>
              <w:jc w:val="left"/>
              <w:rPr>
                <w:rFonts w:ascii="宋体" w:hAnsi="宋体" w:eastAsia="宋体" w:cs="宋体"/>
                <w:color w:val="auto"/>
                <w:kern w:val="0"/>
                <w:highlight w:val="none"/>
              </w:rPr>
            </w:pPr>
          </w:p>
        </w:tc>
      </w:tr>
      <w:tr w14:paraId="49A7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14:paraId="4C24E44E">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8</w:t>
            </w:r>
          </w:p>
        </w:tc>
        <w:tc>
          <w:tcPr>
            <w:tcW w:w="1027" w:type="dxa"/>
            <w:shd w:val="clear" w:color="auto" w:fill="auto"/>
            <w:vAlign w:val="center"/>
          </w:tcPr>
          <w:p w14:paraId="550D0D74">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14:paraId="75C96057">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14:paraId="4AF70E19">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14:paraId="4A95027D">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14:paraId="5BA4B20A">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14:paraId="1D95DB05">
            <w:pPr>
              <w:adjustRightInd w:val="0"/>
              <w:snapToGrid w:val="0"/>
              <w:spacing w:line="360" w:lineRule="auto"/>
              <w:jc w:val="left"/>
              <w:rPr>
                <w:rFonts w:ascii="宋体" w:hAnsi="宋体" w:eastAsia="宋体" w:cs="宋体"/>
                <w:color w:val="auto"/>
                <w:kern w:val="0"/>
                <w:highlight w:val="none"/>
              </w:rPr>
            </w:pPr>
          </w:p>
        </w:tc>
      </w:tr>
      <w:tr w14:paraId="304E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14:paraId="7EE8301E">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9</w:t>
            </w:r>
          </w:p>
        </w:tc>
        <w:tc>
          <w:tcPr>
            <w:tcW w:w="1027" w:type="dxa"/>
            <w:shd w:val="clear" w:color="auto" w:fill="auto"/>
            <w:vAlign w:val="center"/>
          </w:tcPr>
          <w:p w14:paraId="7EEBF4EF">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14:paraId="04C0653D">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14:paraId="774DD7CB">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14:paraId="2B1F24D8">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14:paraId="77DC2A13">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14:paraId="0B0DB6B4">
            <w:pPr>
              <w:adjustRightInd w:val="0"/>
              <w:snapToGrid w:val="0"/>
              <w:spacing w:line="360" w:lineRule="auto"/>
              <w:jc w:val="left"/>
              <w:rPr>
                <w:rFonts w:ascii="宋体" w:hAnsi="宋体" w:eastAsia="宋体" w:cs="宋体"/>
                <w:color w:val="auto"/>
                <w:kern w:val="0"/>
                <w:highlight w:val="none"/>
              </w:rPr>
            </w:pPr>
          </w:p>
        </w:tc>
      </w:tr>
      <w:tr w14:paraId="33DD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14:paraId="3737F244">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10</w:t>
            </w:r>
          </w:p>
        </w:tc>
        <w:tc>
          <w:tcPr>
            <w:tcW w:w="1027" w:type="dxa"/>
            <w:shd w:val="clear" w:color="auto" w:fill="auto"/>
            <w:vAlign w:val="center"/>
          </w:tcPr>
          <w:p w14:paraId="0CC9BBF0">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14:paraId="1C6C0178">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14:paraId="13A5E437">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14:paraId="256F28E7">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14:paraId="65245C73">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14:paraId="09A6616F">
            <w:pPr>
              <w:adjustRightInd w:val="0"/>
              <w:snapToGrid w:val="0"/>
              <w:spacing w:line="360" w:lineRule="auto"/>
              <w:jc w:val="left"/>
              <w:rPr>
                <w:rFonts w:ascii="宋体" w:hAnsi="宋体" w:eastAsia="宋体" w:cs="宋体"/>
                <w:color w:val="auto"/>
                <w:kern w:val="0"/>
                <w:highlight w:val="none"/>
              </w:rPr>
            </w:pPr>
          </w:p>
        </w:tc>
      </w:tr>
      <w:tr w14:paraId="78A6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14:paraId="3E92E95A">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11</w:t>
            </w:r>
          </w:p>
        </w:tc>
        <w:tc>
          <w:tcPr>
            <w:tcW w:w="1027" w:type="dxa"/>
            <w:shd w:val="clear" w:color="auto" w:fill="auto"/>
            <w:vAlign w:val="center"/>
          </w:tcPr>
          <w:p w14:paraId="03D760F8">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14:paraId="0B57880D">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14:paraId="63BB1DC5">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14:paraId="33B1BA2A">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14:paraId="2A1A6B3C">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14:paraId="684822BD">
            <w:pPr>
              <w:adjustRightInd w:val="0"/>
              <w:snapToGrid w:val="0"/>
              <w:spacing w:line="360" w:lineRule="auto"/>
              <w:jc w:val="left"/>
              <w:rPr>
                <w:rFonts w:ascii="宋体" w:hAnsi="宋体" w:eastAsia="宋体" w:cs="宋体"/>
                <w:color w:val="auto"/>
                <w:kern w:val="0"/>
                <w:highlight w:val="none"/>
              </w:rPr>
            </w:pPr>
          </w:p>
        </w:tc>
      </w:tr>
      <w:tr w14:paraId="34F4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14:paraId="17693BAB">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12</w:t>
            </w:r>
          </w:p>
        </w:tc>
        <w:tc>
          <w:tcPr>
            <w:tcW w:w="1027" w:type="dxa"/>
            <w:shd w:val="clear" w:color="auto" w:fill="auto"/>
            <w:vAlign w:val="center"/>
          </w:tcPr>
          <w:p w14:paraId="3C0A72F3">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14:paraId="38F19B71">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14:paraId="3114ABF2">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14:paraId="40045A7E">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14:paraId="197C6F80">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14:paraId="65209BC0">
            <w:pPr>
              <w:adjustRightInd w:val="0"/>
              <w:snapToGrid w:val="0"/>
              <w:spacing w:line="360" w:lineRule="auto"/>
              <w:jc w:val="left"/>
              <w:rPr>
                <w:rFonts w:ascii="宋体" w:hAnsi="宋体" w:eastAsia="宋体" w:cs="宋体"/>
                <w:color w:val="auto"/>
                <w:kern w:val="0"/>
                <w:highlight w:val="none"/>
              </w:rPr>
            </w:pPr>
          </w:p>
        </w:tc>
      </w:tr>
    </w:tbl>
    <w:p w14:paraId="3DA69B75">
      <w:pPr>
        <w:adjustRightInd w:val="0"/>
        <w:snapToGrid w:val="0"/>
        <w:spacing w:line="360" w:lineRule="auto"/>
        <w:jc w:val="left"/>
        <w:rPr>
          <w:rFonts w:ascii="宋体" w:hAnsi="宋体" w:eastAsia="宋体" w:cs="宋体"/>
          <w:color w:val="auto"/>
          <w:kern w:val="0"/>
          <w:szCs w:val="21"/>
          <w:highlight w:val="none"/>
        </w:rPr>
      </w:pPr>
    </w:p>
    <w:p w14:paraId="79666781">
      <w:pPr>
        <w:adjustRightInd w:val="0"/>
        <w:snapToGrid w:val="0"/>
        <w:spacing w:line="360" w:lineRule="auto"/>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注：1.须随本表提交表中人员的执业注册资格证书（或职称证书）及毕业证原件扫描件。</w:t>
      </w:r>
    </w:p>
    <w:p w14:paraId="0B13BD24">
      <w:pPr>
        <w:adjustRightInd w:val="0"/>
        <w:snapToGrid w:val="0"/>
        <w:spacing w:line="360" w:lineRule="auto"/>
        <w:ind w:firstLine="420" w:firstLineChars="200"/>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2.表中人员均须在建设行政主管部门信息管理系统中提前完成备案。</w:t>
      </w:r>
    </w:p>
    <w:p w14:paraId="235C9C5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楷体_GB2312" w:hAnsi="楷体_GB2312" w:eastAsia="楷体_GB2312" w:cs="楷体_GB2312"/>
          <w:color w:val="auto"/>
          <w:kern w:val="0"/>
          <w:szCs w:val="21"/>
          <w:highlight w:val="none"/>
        </w:rPr>
        <w:t>3.本表应按专业依次填写。表格不足时可续页。</w:t>
      </w:r>
      <w:r>
        <w:rPr>
          <w:rFonts w:hint="eastAsia" w:ascii="宋体" w:hAnsi="宋体" w:eastAsia="宋体" w:cs="宋体"/>
          <w:color w:val="auto"/>
          <w:kern w:val="0"/>
          <w:szCs w:val="21"/>
          <w:highlight w:val="none"/>
        </w:rPr>
        <w:br w:type="page"/>
      </w:r>
    </w:p>
    <w:p w14:paraId="43BCA255">
      <w:pPr>
        <w:adjustRightInd w:val="0"/>
        <w:snapToGrid w:val="0"/>
        <w:spacing w:line="360" w:lineRule="auto"/>
        <w:jc w:val="left"/>
        <w:outlineLvl w:val="2"/>
        <w:rPr>
          <w:rFonts w:ascii="宋体" w:hAnsi="宋体" w:eastAsia="宋体" w:cs="宋体"/>
          <w:b/>
          <w:color w:val="auto"/>
          <w:kern w:val="0"/>
          <w:highlight w:val="none"/>
        </w:rPr>
      </w:pPr>
      <w:r>
        <w:rPr>
          <w:rFonts w:hint="eastAsia" w:ascii="宋体" w:hAnsi="宋体" w:eastAsia="宋体" w:cs="宋体"/>
          <w:b/>
          <w:color w:val="auto"/>
          <w:kern w:val="0"/>
          <w:highlight w:val="none"/>
        </w:rPr>
        <w:t>投标附件8.联合体共同投标协议书</w:t>
      </w:r>
    </w:p>
    <w:p w14:paraId="6A6D1A9E">
      <w:pPr>
        <w:adjustRightInd w:val="0"/>
        <w:snapToGri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联合体共同投标协议书</w:t>
      </w:r>
    </w:p>
    <w:p w14:paraId="44E63008">
      <w:pPr>
        <w:adjustRightInd w:val="0"/>
        <w:snapToGrid w:val="0"/>
        <w:spacing w:line="360" w:lineRule="auto"/>
        <w:jc w:val="center"/>
        <w:rPr>
          <w:rFonts w:ascii="宋体" w:hAnsi="宋体" w:eastAsia="宋体" w:cs="宋体"/>
          <w:b/>
          <w:color w:val="auto"/>
          <w:kern w:val="0"/>
          <w:sz w:val="32"/>
          <w:szCs w:val="32"/>
          <w:highlight w:val="none"/>
        </w:rPr>
      </w:pPr>
    </w:p>
    <w:p w14:paraId="17976FCB">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______________________</w:t>
      </w:r>
      <w:r>
        <w:rPr>
          <w:rFonts w:hint="eastAsia" w:ascii="宋体" w:hAnsi="宋体" w:eastAsia="宋体" w:cs="宋体"/>
          <w:color w:val="auto"/>
          <w:kern w:val="0"/>
          <w:szCs w:val="21"/>
          <w:highlight w:val="none"/>
          <w:u w:val="single"/>
        </w:rPr>
        <w:t>（所有成员单位名称）</w:t>
      </w:r>
      <w:r>
        <w:rPr>
          <w:rFonts w:hint="eastAsia" w:ascii="宋体" w:hAnsi="宋体" w:eastAsia="宋体" w:cs="宋体"/>
          <w:color w:val="auto"/>
          <w:kern w:val="0"/>
          <w:szCs w:val="21"/>
          <w:highlight w:val="none"/>
        </w:rPr>
        <w:t>____________________自愿组成联合体，共同参加___________</w:t>
      </w:r>
      <w:r>
        <w:rPr>
          <w:rFonts w:hint="eastAsia" w:ascii="宋体" w:hAnsi="宋体" w:eastAsia="宋体" w:cs="宋体"/>
          <w:color w:val="auto"/>
          <w:kern w:val="0"/>
          <w:szCs w:val="21"/>
          <w:highlight w:val="none"/>
          <w:u w:val="single"/>
        </w:rPr>
        <w:t>（项目名称）</w:t>
      </w:r>
      <w:r>
        <w:rPr>
          <w:rFonts w:hint="eastAsia" w:ascii="宋体" w:hAnsi="宋体" w:eastAsia="宋体" w:cs="宋体"/>
          <w:color w:val="auto"/>
          <w:kern w:val="0"/>
          <w:szCs w:val="21"/>
          <w:highlight w:val="none"/>
        </w:rPr>
        <w:t>________的投标。现就联合体投标事宜订立如下协议：</w:t>
      </w:r>
    </w:p>
    <w:p w14:paraId="4903292F">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1、_______</w:t>
      </w:r>
      <w:r>
        <w:rPr>
          <w:rFonts w:hint="eastAsia" w:ascii="宋体" w:hAnsi="宋体" w:eastAsia="宋体" w:cs="宋体"/>
          <w:color w:val="auto"/>
          <w:kern w:val="0"/>
          <w:szCs w:val="21"/>
          <w:highlight w:val="none"/>
          <w:u w:val="single"/>
        </w:rPr>
        <w:t>（某成员单位名称）</w:t>
      </w:r>
      <w:r>
        <w:rPr>
          <w:rFonts w:hint="eastAsia" w:ascii="宋体" w:hAnsi="宋体" w:eastAsia="宋体" w:cs="宋体"/>
          <w:color w:val="auto"/>
          <w:kern w:val="0"/>
          <w:szCs w:val="21"/>
          <w:highlight w:val="none"/>
        </w:rPr>
        <w:t>______为本工程投标联合体牵头人。</w:t>
      </w:r>
    </w:p>
    <w:p w14:paraId="3E864FAE">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2、联合体牵头人合法代表联合体各成员单位：接收及提交投标相关资料、信息或指令，并处理与之相关事务；负责本工程投标文件编制；负责合同谈判、签订及实施阶段的主导、组织和协调工作。</w:t>
      </w:r>
    </w:p>
    <w:p w14:paraId="304A5E4F">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3、联合体严格按照招标文件要求，准时递交投标文件，切实履行合同，并对外承担连带责任。</w:t>
      </w:r>
    </w:p>
    <w:p w14:paraId="01C889F8">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4、联合体各成员单位内部职责分工如下：</w:t>
      </w:r>
    </w:p>
    <w:p w14:paraId="1862386B">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(1)联合体牵头人____________________，承担_____________工作；</w:t>
      </w:r>
    </w:p>
    <w:p w14:paraId="4530763E">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(2)联合体成员______________________，承担_____________工作；</w:t>
      </w:r>
    </w:p>
    <w:p w14:paraId="2695A7D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(3)联合体成员______________________，承担_____________工作。</w:t>
      </w:r>
    </w:p>
    <w:p w14:paraId="79A6EE7D">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5、本协议书自签署之日起生效，未中标或者中标后合同履行完毕后，自动失效。</w:t>
      </w:r>
    </w:p>
    <w:p w14:paraId="4AF1B541">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6、本协议书一式_________份，联合体成员和招标人各执一份。</w:t>
      </w:r>
    </w:p>
    <w:p w14:paraId="0A8137E3">
      <w:pPr>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本投标协议同时兼作法定代表人证明书和法人授权委托书。</w:t>
      </w:r>
    </w:p>
    <w:p w14:paraId="3179C468">
      <w:pPr>
        <w:adjustRightInd w:val="0"/>
        <w:snapToGrid w:val="0"/>
        <w:spacing w:line="360" w:lineRule="auto"/>
        <w:ind w:firstLine="420" w:firstLineChars="200"/>
        <w:jc w:val="left"/>
        <w:rPr>
          <w:rFonts w:ascii="宋体" w:hAnsi="宋体" w:eastAsia="宋体" w:cs="宋体"/>
          <w:color w:val="auto"/>
          <w:kern w:val="0"/>
          <w:szCs w:val="21"/>
          <w:highlight w:val="none"/>
        </w:rPr>
      </w:pPr>
    </w:p>
    <w:p w14:paraId="7889DAFA">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牵头人</w:t>
      </w:r>
    </w:p>
    <w:p w14:paraId="3D113D05">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单位名称（盖单位公章）：</w:t>
      </w:r>
      <w:r>
        <w:rPr>
          <w:rFonts w:hint="eastAsia" w:ascii="宋体" w:hAnsi="宋体" w:eastAsia="宋体" w:cs="宋体"/>
          <w:color w:val="auto"/>
          <w:kern w:val="0"/>
          <w:szCs w:val="21"/>
          <w:highlight w:val="none"/>
          <w:u w:val="single"/>
        </w:rPr>
        <w:t>_________________________</w:t>
      </w:r>
      <w:r>
        <w:rPr>
          <w:rFonts w:hint="eastAsia" w:ascii="宋体" w:hAnsi="宋体" w:eastAsia="宋体" w:cs="宋体"/>
          <w:color w:val="auto"/>
          <w:kern w:val="0"/>
          <w:highlight w:val="none"/>
        </w:rPr>
        <w:t>_</w:t>
      </w:r>
    </w:p>
    <w:p w14:paraId="1F5BE582">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法定代表人或授权委托人（签字）：__________________</w:t>
      </w:r>
    </w:p>
    <w:p w14:paraId="13B2F5D3">
      <w:pPr>
        <w:adjustRightInd w:val="0"/>
        <w:snapToGrid w:val="0"/>
        <w:spacing w:line="360" w:lineRule="auto"/>
        <w:ind w:firstLine="420" w:firstLineChars="200"/>
        <w:jc w:val="left"/>
        <w:rPr>
          <w:rFonts w:ascii="宋体" w:hAnsi="宋体" w:eastAsia="宋体" w:cs="宋体"/>
          <w:color w:val="auto"/>
          <w:kern w:val="0"/>
          <w:szCs w:val="21"/>
          <w:highlight w:val="none"/>
        </w:rPr>
      </w:pPr>
    </w:p>
    <w:p w14:paraId="6D716240">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成员1</w:t>
      </w:r>
    </w:p>
    <w:p w14:paraId="663EC540">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单位名称（盖单位公章）：________________________</w:t>
      </w:r>
      <w:r>
        <w:rPr>
          <w:rFonts w:hint="eastAsia" w:ascii="宋体" w:hAnsi="宋体" w:eastAsia="宋体" w:cs="宋体"/>
          <w:color w:val="auto"/>
          <w:kern w:val="0"/>
          <w:highlight w:val="none"/>
        </w:rPr>
        <w:t>_</w:t>
      </w:r>
    </w:p>
    <w:p w14:paraId="76204D8E">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法定代表人或授权委托人（签字）：_______________</w:t>
      </w:r>
      <w:r>
        <w:rPr>
          <w:rFonts w:hint="eastAsia" w:ascii="宋体" w:hAnsi="宋体" w:eastAsia="宋体" w:cs="宋体"/>
          <w:color w:val="auto"/>
          <w:kern w:val="0"/>
          <w:highlight w:val="none"/>
        </w:rPr>
        <w:t>__</w:t>
      </w:r>
    </w:p>
    <w:p w14:paraId="2732AB7B">
      <w:pPr>
        <w:adjustRightInd w:val="0"/>
        <w:snapToGrid w:val="0"/>
        <w:spacing w:line="360" w:lineRule="auto"/>
        <w:ind w:firstLine="420" w:firstLineChars="200"/>
        <w:jc w:val="left"/>
        <w:rPr>
          <w:rFonts w:ascii="宋体" w:hAnsi="宋体" w:eastAsia="宋体" w:cs="宋体"/>
          <w:color w:val="auto"/>
          <w:kern w:val="0"/>
          <w:szCs w:val="21"/>
          <w:highlight w:val="none"/>
        </w:rPr>
      </w:pPr>
    </w:p>
    <w:p w14:paraId="5579E516">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成员2</w:t>
      </w:r>
    </w:p>
    <w:p w14:paraId="2144061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单位名称（盖单位公章）：________________________</w:t>
      </w:r>
      <w:r>
        <w:rPr>
          <w:rFonts w:hint="eastAsia" w:ascii="宋体" w:hAnsi="宋体" w:eastAsia="宋体" w:cs="宋体"/>
          <w:color w:val="auto"/>
          <w:kern w:val="0"/>
          <w:highlight w:val="none"/>
        </w:rPr>
        <w:t>_</w:t>
      </w:r>
    </w:p>
    <w:p w14:paraId="22DD22E1">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法定代表人或授权委托人（签字）：_______________</w:t>
      </w:r>
      <w:r>
        <w:rPr>
          <w:rFonts w:hint="eastAsia" w:ascii="宋体" w:hAnsi="宋体" w:eastAsia="宋体" w:cs="宋体"/>
          <w:color w:val="auto"/>
          <w:kern w:val="0"/>
          <w:highlight w:val="none"/>
        </w:rPr>
        <w:t>__</w:t>
      </w:r>
    </w:p>
    <w:p w14:paraId="46030399">
      <w:pPr>
        <w:adjustRightInd w:val="0"/>
        <w:snapToGrid w:val="0"/>
        <w:spacing w:line="360" w:lineRule="auto"/>
        <w:ind w:firstLine="420" w:firstLineChars="200"/>
        <w:jc w:val="left"/>
        <w:rPr>
          <w:rFonts w:ascii="宋体" w:hAnsi="宋体" w:eastAsia="宋体" w:cs="宋体"/>
          <w:color w:val="auto"/>
          <w:kern w:val="0"/>
          <w:szCs w:val="21"/>
          <w:highlight w:val="none"/>
        </w:rPr>
      </w:pPr>
    </w:p>
    <w:p w14:paraId="21276997">
      <w:pPr>
        <w:adjustRightInd w:val="0"/>
        <w:snapToGrid w:val="0"/>
        <w:spacing w:line="360" w:lineRule="auto"/>
        <w:ind w:firstLine="4200" w:firstLineChars="20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r>
        <w:rPr>
          <w:rFonts w:hint="eastAsia" w:ascii="宋体" w:hAnsi="宋体" w:eastAsia="宋体" w:cs="宋体"/>
          <w:color w:val="auto"/>
          <w:highlight w:val="none"/>
        </w:rPr>
        <w:br w:type="page"/>
      </w:r>
    </w:p>
    <w:p w14:paraId="5DE17F31">
      <w:pPr>
        <w:adjustRightInd w:val="0"/>
        <w:snapToGrid w:val="0"/>
        <w:spacing w:line="360" w:lineRule="auto"/>
        <w:jc w:val="left"/>
        <w:outlineLvl w:val="2"/>
        <w:rPr>
          <w:rFonts w:hint="default" w:ascii="宋体" w:hAnsi="宋体" w:eastAsia="宋体" w:cs="宋体"/>
          <w:b/>
          <w:color w:val="auto"/>
          <w:kern w:val="0"/>
          <w:highlight w:val="none"/>
          <w:lang w:val="en-US" w:eastAsia="zh-CN"/>
        </w:rPr>
      </w:pPr>
      <w:bookmarkStart w:id="53" w:name="_Toc12651"/>
      <w:r>
        <w:rPr>
          <w:rFonts w:hint="eastAsia" w:ascii="宋体" w:hAnsi="宋体" w:eastAsia="宋体" w:cs="宋体"/>
          <w:b/>
          <w:color w:val="auto"/>
          <w:kern w:val="0"/>
          <w:highlight w:val="none"/>
        </w:rPr>
        <w:t>投标附件9.</w:t>
      </w:r>
      <w:r>
        <w:rPr>
          <w:rFonts w:hint="eastAsia" w:ascii="宋体" w:hAnsi="宋体" w:eastAsia="宋体" w:cs="宋体"/>
          <w:b/>
          <w:color w:val="auto"/>
          <w:kern w:val="0"/>
          <w:highlight w:val="none"/>
          <w:lang w:val="en-US" w:eastAsia="zh-CN"/>
        </w:rPr>
        <w:t>中小企业声明函</w:t>
      </w:r>
    </w:p>
    <w:p w14:paraId="25A8B866">
      <w:pPr>
        <w:pStyle w:val="227"/>
        <w:spacing w:before="0" w:beforeAutospacing="0" w:after="0" w:afterAutospacing="0" w:line="360" w:lineRule="auto"/>
        <w:jc w:val="center"/>
        <w:rPr>
          <w:rFonts w:hint="eastAsia" w:ascii="宋体" w:hAnsi="宋体" w:eastAsia="宋体" w:cs="宋体"/>
          <w:color w:val="auto"/>
          <w:kern w:val="2"/>
          <w:sz w:val="44"/>
          <w:szCs w:val="22"/>
          <w:highlight w:val="none"/>
        </w:rPr>
      </w:pPr>
    </w:p>
    <w:p w14:paraId="770497C3">
      <w:pPr>
        <w:pStyle w:val="227"/>
        <w:spacing w:before="0" w:beforeAutospacing="0" w:after="0" w:afterAutospacing="0" w:line="360" w:lineRule="auto"/>
        <w:jc w:val="center"/>
        <w:rPr>
          <w:rFonts w:hint="eastAsia" w:ascii="宋体" w:hAnsi="宋体" w:eastAsia="宋体" w:cs="宋体"/>
          <w:color w:val="auto"/>
          <w:kern w:val="2"/>
          <w:sz w:val="44"/>
          <w:szCs w:val="22"/>
          <w:highlight w:val="none"/>
        </w:rPr>
      </w:pPr>
      <w:r>
        <w:rPr>
          <w:rFonts w:hint="eastAsia" w:ascii="宋体" w:hAnsi="宋体" w:eastAsia="宋体" w:cs="宋体"/>
          <w:color w:val="auto"/>
          <w:kern w:val="2"/>
          <w:sz w:val="44"/>
          <w:szCs w:val="22"/>
          <w:highlight w:val="none"/>
        </w:rPr>
        <w:t>中小企业声明函</w:t>
      </w:r>
    </w:p>
    <w:p w14:paraId="564AEC3F">
      <w:pPr>
        <w:pStyle w:val="227"/>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rPr>
      </w:pPr>
    </w:p>
    <w:p w14:paraId="76E16E9A">
      <w:pPr>
        <w:pStyle w:val="227"/>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kern w:val="2"/>
          <w:sz w:val="21"/>
          <w:szCs w:val="21"/>
          <w:highlight w:val="none"/>
          <w:u w:val="single"/>
        </w:rPr>
        <w:t>本</w:t>
      </w:r>
      <w:r>
        <w:rPr>
          <w:rFonts w:hint="eastAsia" w:cs="宋体"/>
          <w:color w:val="auto"/>
          <w:kern w:val="2"/>
          <w:sz w:val="21"/>
          <w:szCs w:val="21"/>
          <w:highlight w:val="none"/>
          <w:u w:val="single"/>
          <w:lang w:val="en-US" w:eastAsia="zh-CN"/>
        </w:rPr>
        <w:t>企业</w:t>
      </w:r>
      <w:r>
        <w:rPr>
          <w:rFonts w:hint="eastAsia" w:ascii="宋体" w:hAnsi="宋体" w:eastAsia="宋体" w:cs="宋体"/>
          <w:color w:val="auto"/>
          <w:kern w:val="2"/>
          <w:sz w:val="21"/>
          <w:szCs w:val="21"/>
          <w:highlight w:val="none"/>
          <w:u w:val="single"/>
        </w:rPr>
        <w:t>（联合体）</w:t>
      </w:r>
      <w:r>
        <w:rPr>
          <w:rFonts w:hint="eastAsia" w:ascii="宋体" w:hAnsi="宋体" w:eastAsia="宋体" w:cs="宋体"/>
          <w:color w:val="auto"/>
          <w:kern w:val="2"/>
          <w:sz w:val="21"/>
          <w:szCs w:val="21"/>
          <w:highlight w:val="none"/>
          <w:u w:val="none"/>
        </w:rPr>
        <w:t>参加</w:t>
      </w:r>
      <w:r>
        <w:rPr>
          <w:rFonts w:hint="eastAsia" w:ascii="宋体" w:hAnsi="宋体" w:eastAsia="宋体" w:cs="宋体"/>
          <w:color w:val="auto"/>
          <w:kern w:val="2"/>
          <w:sz w:val="21"/>
          <w:szCs w:val="21"/>
          <w:highlight w:val="none"/>
          <w:u w:val="single"/>
        </w:rPr>
        <w:t>（单位名称）</w:t>
      </w:r>
      <w:r>
        <w:rPr>
          <w:rFonts w:hint="eastAsia" w:ascii="宋体" w:hAnsi="宋体" w:eastAsia="宋体" w:cs="宋体"/>
          <w:color w:val="auto"/>
          <w:kern w:val="2"/>
          <w:sz w:val="21"/>
          <w:szCs w:val="21"/>
          <w:highlight w:val="none"/>
          <w:u w:val="none"/>
        </w:rPr>
        <w:t>的</w:t>
      </w:r>
      <w:r>
        <w:rPr>
          <w:rFonts w:hint="eastAsia" w:ascii="宋体" w:hAnsi="宋体" w:eastAsia="宋体" w:cs="宋体"/>
          <w:color w:val="auto"/>
          <w:kern w:val="2"/>
          <w:sz w:val="21"/>
          <w:szCs w:val="21"/>
          <w:highlight w:val="none"/>
          <w:u w:val="single"/>
        </w:rPr>
        <w:t>（项目名称）</w:t>
      </w:r>
      <w:r>
        <w:rPr>
          <w:rFonts w:hint="eastAsia" w:cs="宋体"/>
          <w:color w:val="auto"/>
          <w:kern w:val="2"/>
          <w:sz w:val="21"/>
          <w:szCs w:val="21"/>
          <w:highlight w:val="none"/>
          <w:u w:val="none"/>
          <w:lang w:val="en-US" w:eastAsia="zh-CN"/>
        </w:rPr>
        <w:t>招标投标</w:t>
      </w:r>
      <w:r>
        <w:rPr>
          <w:rFonts w:hint="eastAsia" w:ascii="宋体" w:hAnsi="宋体" w:eastAsia="宋体" w:cs="宋体"/>
          <w:color w:val="auto"/>
          <w:kern w:val="2"/>
          <w:sz w:val="21"/>
          <w:szCs w:val="21"/>
          <w:highlight w:val="none"/>
          <w:u w:val="none"/>
        </w:rPr>
        <w:t>活动，工程服务全部由符合政策要求的中小企业承接。相关企业（含联合体中的中小企业）的具体情况如下</w:t>
      </w:r>
      <w:r>
        <w:rPr>
          <w:rFonts w:hint="eastAsia" w:cs="宋体"/>
          <w:color w:val="auto"/>
          <w:kern w:val="2"/>
          <w:sz w:val="21"/>
          <w:szCs w:val="21"/>
          <w:highlight w:val="none"/>
          <w:u w:val="none"/>
          <w:lang w:eastAsia="zh-CN"/>
        </w:rPr>
        <w:t>：</w:t>
      </w:r>
    </w:p>
    <w:p w14:paraId="440B8083">
      <w:pPr>
        <w:pStyle w:val="227"/>
        <w:spacing w:before="0" w:beforeAutospacing="0" w:after="0" w:afterAutospacing="0" w:line="360" w:lineRule="auto"/>
        <w:ind w:firstLine="420" w:firstLineChars="200"/>
        <w:rPr>
          <w:rFonts w:hint="eastAsia" w:cs="宋体"/>
          <w:color w:val="auto"/>
          <w:kern w:val="2"/>
          <w:sz w:val="21"/>
          <w:szCs w:val="21"/>
          <w:highlight w:val="none"/>
          <w:u w:val="single"/>
          <w:lang w:eastAsia="zh-CN"/>
        </w:rPr>
      </w:pPr>
      <w:r>
        <w:rPr>
          <w:rFonts w:hint="eastAsia" w:cs="宋体"/>
          <w:color w:val="auto"/>
          <w:kern w:val="2"/>
          <w:sz w:val="21"/>
          <w:szCs w:val="21"/>
          <w:highlight w:val="none"/>
          <w:u w:val="single"/>
          <w:lang w:val="en-US" w:eastAsia="zh-CN"/>
        </w:rPr>
        <w:t>XX企业</w:t>
      </w:r>
      <w:r>
        <w:rPr>
          <w:rFonts w:hint="eastAsia" w:ascii="宋体" w:hAnsi="宋体" w:eastAsia="宋体" w:cs="宋体"/>
          <w:color w:val="auto"/>
          <w:kern w:val="2"/>
          <w:sz w:val="21"/>
          <w:szCs w:val="21"/>
          <w:highlight w:val="none"/>
        </w:rPr>
        <w:t>从业人员</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人，营业收入为</w:t>
      </w:r>
      <w:r>
        <w:rPr>
          <w:rFonts w:hint="eastAsia" w:ascii="宋体" w:hAnsi="宋体" w:eastAsia="宋体" w:cs="宋体"/>
          <w:color w:val="auto"/>
          <w:kern w:val="2"/>
          <w:sz w:val="21"/>
          <w:szCs w:val="21"/>
          <w:highlight w:val="none"/>
          <w:u w:val="single"/>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万元，资产总额为</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w:t>
      </w:r>
      <w:r>
        <w:rPr>
          <w:rFonts w:hint="eastAsia" w:ascii="宋体" w:hAnsi="宋体" w:eastAsia="宋体" w:cs="宋体"/>
          <w:color w:val="auto"/>
          <w:kern w:val="2"/>
          <w:sz w:val="21"/>
          <w:szCs w:val="21"/>
          <w:highlight w:val="none"/>
          <w:u w:val="none"/>
        </w:rPr>
        <w:t>根据《关于印发中小企业划型标准规定的通知》（工信部联企业〔2011〕300号）的划分标准，</w:t>
      </w:r>
      <w:r>
        <w:rPr>
          <w:rFonts w:hint="eastAsia" w:ascii="宋体" w:hAnsi="宋体" w:eastAsia="宋体" w:cs="宋体"/>
          <w:color w:val="auto"/>
          <w:kern w:val="2"/>
          <w:sz w:val="21"/>
          <w:szCs w:val="21"/>
          <w:highlight w:val="none"/>
        </w:rPr>
        <w:t>属于</w:t>
      </w:r>
      <w:r>
        <w:rPr>
          <w:rFonts w:hint="eastAsia" w:cs="宋体"/>
          <w:color w:val="auto"/>
          <w:kern w:val="2"/>
          <w:sz w:val="21"/>
          <w:szCs w:val="21"/>
          <w:highlight w:val="none"/>
          <w:u w:val="single"/>
          <w:lang w:val="en-US" w:eastAsia="zh-CN"/>
        </w:rPr>
        <w:t xml:space="preserve">      （本招标项目所属行业） </w:t>
      </w:r>
      <w:r>
        <w:rPr>
          <w:rFonts w:hint="eastAsia" w:cs="宋体"/>
          <w:color w:val="auto"/>
          <w:kern w:val="2"/>
          <w:sz w:val="21"/>
          <w:szCs w:val="21"/>
          <w:highlight w:val="none"/>
          <w:u w:val="none"/>
          <w:lang w:val="en-US" w:eastAsia="zh-CN"/>
        </w:rPr>
        <w:t>行业的</w:t>
      </w:r>
      <w:r>
        <w:rPr>
          <w:rFonts w:hint="eastAsia" w:ascii="宋体" w:hAnsi="宋体" w:eastAsia="宋体" w:cs="宋体"/>
          <w:color w:val="auto"/>
          <w:kern w:val="2"/>
          <w:sz w:val="21"/>
          <w:szCs w:val="21"/>
          <w:highlight w:val="none"/>
          <w:u w:val="single"/>
        </w:rPr>
        <w:t>（中型企业、小型企业、微型企业）</w:t>
      </w:r>
      <w:r>
        <w:rPr>
          <w:rFonts w:hint="eastAsia" w:cs="宋体"/>
          <w:color w:val="auto"/>
          <w:kern w:val="2"/>
          <w:sz w:val="21"/>
          <w:szCs w:val="21"/>
          <w:highlight w:val="none"/>
          <w:u w:val="single"/>
          <w:lang w:eastAsia="zh-CN"/>
        </w:rPr>
        <w:t>。</w:t>
      </w:r>
    </w:p>
    <w:p w14:paraId="55222561">
      <w:pPr>
        <w:pStyle w:val="227"/>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single"/>
          <w:lang w:val="en-US" w:eastAsia="zh-CN"/>
        </w:rPr>
      </w:pPr>
      <w:r>
        <w:rPr>
          <w:rFonts w:hint="eastAsia" w:cs="宋体"/>
          <w:color w:val="auto"/>
          <w:kern w:val="2"/>
          <w:sz w:val="21"/>
          <w:szCs w:val="21"/>
          <w:highlight w:val="none"/>
          <w:u w:val="single"/>
          <w:lang w:eastAsia="zh-CN"/>
        </w:rPr>
        <w:t>……</w:t>
      </w:r>
    </w:p>
    <w:p w14:paraId="1894F06D">
      <w:pPr>
        <w:pStyle w:val="227"/>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rPr>
        <w:t>以上企业</w:t>
      </w:r>
      <w:r>
        <w:rPr>
          <w:rFonts w:hint="eastAsia" w:ascii="宋体" w:hAnsi="宋体" w:eastAsia="宋体" w:cs="宋体"/>
          <w:color w:val="auto"/>
          <w:kern w:val="2"/>
          <w:sz w:val="21"/>
          <w:szCs w:val="21"/>
          <w:highlight w:val="none"/>
        </w:rPr>
        <w:t>不属于大企业的分支机构，不存在控股股东为大企业的情形，也不存在与大企业的负责人为同一人的情形。</w:t>
      </w:r>
    </w:p>
    <w:p w14:paraId="6D7A5EDF">
      <w:pPr>
        <w:pStyle w:val="227"/>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本</w:t>
      </w:r>
      <w:r>
        <w:rPr>
          <w:rFonts w:hint="eastAsia" w:cs="宋体"/>
          <w:color w:val="auto"/>
          <w:kern w:val="2"/>
          <w:sz w:val="21"/>
          <w:szCs w:val="21"/>
          <w:highlight w:val="none"/>
          <w:lang w:val="en-US" w:eastAsia="zh-CN"/>
        </w:rPr>
        <w:t>企业</w:t>
      </w:r>
      <w:r>
        <w:rPr>
          <w:rFonts w:hint="eastAsia" w:ascii="宋体" w:hAnsi="宋体" w:eastAsia="宋体" w:cs="宋体"/>
          <w:color w:val="auto"/>
          <w:kern w:val="2"/>
          <w:sz w:val="21"/>
          <w:szCs w:val="21"/>
          <w:highlight w:val="none"/>
        </w:rPr>
        <w:t xml:space="preserve">对上述声明内容的真实性负责。如有虚假，将依法承担相应责任。 </w:t>
      </w:r>
    </w:p>
    <w:p w14:paraId="6172C6A4">
      <w:pPr>
        <w:pStyle w:val="227"/>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p>
    <w:p w14:paraId="116F90AE">
      <w:pPr>
        <w:pStyle w:val="227"/>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企业名称（盖章）：</w:t>
      </w:r>
    </w:p>
    <w:p w14:paraId="44DB7B79">
      <w:pPr>
        <w:pStyle w:val="227"/>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日期：</w:t>
      </w:r>
    </w:p>
    <w:p w14:paraId="214B39A1">
      <w:pPr>
        <w:pStyle w:val="227"/>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p>
    <w:p w14:paraId="3FE45347">
      <w:pPr>
        <w:pStyle w:val="227"/>
        <w:spacing w:before="0" w:beforeAutospacing="0" w:after="0" w:afterAutospacing="0" w:line="360" w:lineRule="auto"/>
        <w:ind w:firstLine="420" w:firstLineChars="200"/>
        <w:rPr>
          <w:rFonts w:hint="default" w:cs="宋体"/>
          <w:color w:val="auto"/>
          <w:kern w:val="2"/>
          <w:sz w:val="21"/>
          <w:szCs w:val="21"/>
          <w:highlight w:val="none"/>
          <w:lang w:val="en-US" w:eastAsia="zh-CN"/>
        </w:rPr>
      </w:pPr>
      <w:r>
        <w:rPr>
          <w:rFonts w:hint="eastAsia" w:cs="宋体"/>
          <w:color w:val="auto"/>
          <w:kern w:val="2"/>
          <w:sz w:val="21"/>
          <w:szCs w:val="21"/>
          <w:highlight w:val="none"/>
          <w:lang w:val="en-US" w:eastAsia="zh-CN"/>
        </w:rPr>
        <w:t>注：</w:t>
      </w:r>
      <w:r>
        <w:rPr>
          <w:rFonts w:hint="eastAsia" w:ascii="宋体" w:hAnsi="宋体" w:eastAsia="宋体" w:cs="宋体"/>
          <w:color w:val="auto"/>
          <w:kern w:val="2"/>
          <w:sz w:val="21"/>
          <w:szCs w:val="21"/>
          <w:highlight w:val="none"/>
        </w:rPr>
        <w:t xml:space="preserve"> 从业人员、营业收入、资产总额填报上一年度数据，无上一年度数据的新成立企业可不填报</w:t>
      </w:r>
      <w:r>
        <w:rPr>
          <w:rFonts w:hint="eastAsia" w:cs="宋体"/>
          <w:color w:val="auto"/>
          <w:kern w:val="2"/>
          <w:sz w:val="21"/>
          <w:szCs w:val="21"/>
          <w:highlight w:val="none"/>
          <w:lang w:eastAsia="zh-CN"/>
        </w:rPr>
        <w:t>。</w:t>
      </w:r>
      <w:r>
        <w:rPr>
          <w:rFonts w:hint="eastAsia" w:cs="宋体"/>
          <w:color w:val="auto"/>
          <w:kern w:val="2"/>
          <w:sz w:val="21"/>
          <w:szCs w:val="21"/>
          <w:highlight w:val="none"/>
          <w:lang w:val="en-US" w:eastAsia="zh-CN"/>
        </w:rPr>
        <w:t>招标人</w:t>
      </w:r>
      <w:r>
        <w:rPr>
          <w:rFonts w:hint="eastAsia" w:cs="宋体"/>
          <w:color w:val="auto"/>
          <w:kern w:val="2"/>
          <w:sz w:val="21"/>
          <w:szCs w:val="21"/>
          <w:highlight w:val="none"/>
          <w:lang w:eastAsia="zh-CN"/>
        </w:rPr>
        <w:t>同等条件下优先选择符合条件的中小企业中标</w:t>
      </w:r>
      <w:r>
        <w:rPr>
          <w:rFonts w:hint="eastAsia" w:cs="宋体"/>
          <w:color w:val="auto"/>
          <w:kern w:val="2"/>
          <w:sz w:val="21"/>
          <w:szCs w:val="21"/>
          <w:highlight w:val="none"/>
          <w:lang w:val="en-US" w:eastAsia="zh-CN"/>
        </w:rPr>
        <w:t>的，投标人属于招标项目所属行业的中小企业且提供声明函后，方可适用该条款。</w:t>
      </w:r>
    </w:p>
    <w:p w14:paraId="61B87815">
      <w:pPr>
        <w:pStyle w:val="227"/>
        <w:spacing w:before="0" w:beforeAutospacing="0" w:after="0" w:afterAutospacing="0" w:line="360" w:lineRule="auto"/>
        <w:ind w:firstLine="420" w:firstLineChars="200"/>
        <w:rPr>
          <w:rFonts w:hint="eastAsia" w:eastAsia="宋体"/>
          <w:color w:val="auto"/>
          <w:kern w:val="2"/>
          <w:sz w:val="21"/>
          <w:szCs w:val="21"/>
          <w:highlight w:val="none"/>
          <w:lang w:eastAsia="zh-CN"/>
        </w:rPr>
      </w:pPr>
    </w:p>
    <w:p w14:paraId="01BE4125">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14:paraId="3A901544">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14:paraId="095AB1F7">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14:paraId="54910A6D">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14:paraId="500D6753">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14:paraId="1C878348">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14:paraId="765D54DD">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14:paraId="49FB5135">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14:paraId="2B1BDDED">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14:paraId="660EC61F">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14:paraId="79339001">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14:paraId="0C0121EB">
      <w:pPr>
        <w:adjustRightInd w:val="0"/>
        <w:snapToGrid w:val="0"/>
        <w:spacing w:line="360" w:lineRule="auto"/>
        <w:ind w:firstLine="0" w:firstLineChars="0"/>
        <w:jc w:val="left"/>
        <w:outlineLvl w:val="9"/>
        <w:rPr>
          <w:rFonts w:hint="eastAsia" w:ascii="宋体" w:hAnsi="宋体" w:eastAsia="宋体" w:cs="宋体"/>
          <w:b w:val="0"/>
          <w:snapToGrid w:val="0"/>
          <w:color w:val="auto"/>
          <w:kern w:val="0"/>
          <w:highlight w:val="none"/>
        </w:rPr>
      </w:pPr>
    </w:p>
    <w:p w14:paraId="35DC4541">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14:paraId="012FEC2B">
      <w:pPr>
        <w:adjustRightInd w:val="0"/>
        <w:snapToGrid w:val="0"/>
        <w:spacing w:line="360" w:lineRule="auto"/>
        <w:jc w:val="left"/>
        <w:outlineLvl w:val="2"/>
        <w:rPr>
          <w:rFonts w:ascii="宋体" w:hAnsi="宋体" w:eastAsia="宋体" w:cs="宋体"/>
          <w:b/>
          <w:color w:val="auto"/>
          <w:kern w:val="0"/>
          <w:highlight w:val="none"/>
        </w:rPr>
      </w:pPr>
      <w:r>
        <w:rPr>
          <w:rFonts w:hint="eastAsia" w:ascii="宋体" w:hAnsi="宋体" w:eastAsia="宋体" w:cs="宋体"/>
          <w:b/>
          <w:color w:val="auto"/>
          <w:kern w:val="0"/>
          <w:highlight w:val="none"/>
        </w:rPr>
        <w:t>投标附件</w:t>
      </w:r>
      <w:r>
        <w:rPr>
          <w:rFonts w:hint="eastAsia" w:ascii="宋体" w:hAnsi="宋体" w:eastAsia="宋体" w:cs="宋体"/>
          <w:b/>
          <w:color w:val="auto"/>
          <w:kern w:val="0"/>
          <w:highlight w:val="none"/>
          <w:lang w:val="en-US" w:eastAsia="zh-CN"/>
        </w:rPr>
        <w:t>10</w:t>
      </w:r>
      <w:r>
        <w:rPr>
          <w:rFonts w:hint="eastAsia" w:ascii="宋体" w:hAnsi="宋体" w:eastAsia="宋体" w:cs="宋体"/>
          <w:b/>
          <w:color w:val="auto"/>
          <w:kern w:val="0"/>
          <w:highlight w:val="none"/>
        </w:rPr>
        <w:t>.其他</w:t>
      </w:r>
      <w:bookmarkEnd w:id="53"/>
    </w:p>
    <w:p w14:paraId="3D0D22EF">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其他</w:t>
      </w:r>
      <w:r>
        <w:rPr>
          <w:rFonts w:hint="eastAsia" w:ascii="宋体" w:hAnsi="宋体" w:eastAsia="宋体" w:cs="宋体"/>
          <w:color w:val="auto"/>
          <w:highlight w:val="none"/>
        </w:rPr>
        <w:br w:type="page"/>
      </w:r>
    </w:p>
    <w:p w14:paraId="47A67979">
      <w:pPr>
        <w:adjustRightInd w:val="0"/>
        <w:snapToGrid w:val="0"/>
        <w:spacing w:line="360" w:lineRule="auto"/>
        <w:jc w:val="center"/>
        <w:outlineLvl w:val="1"/>
        <w:rPr>
          <w:rFonts w:ascii="宋体" w:hAnsi="宋体" w:eastAsia="宋体" w:cs="宋体"/>
          <w:b/>
          <w:color w:val="auto"/>
          <w:kern w:val="0"/>
          <w:sz w:val="30"/>
          <w:highlight w:val="none"/>
        </w:rPr>
      </w:pPr>
      <w:bookmarkStart w:id="54" w:name="_Toc28600"/>
      <w:bookmarkStart w:id="55" w:name="资格审查文件"/>
      <w:r>
        <w:rPr>
          <w:rFonts w:hint="eastAsia" w:ascii="宋体" w:hAnsi="宋体" w:eastAsia="宋体" w:cs="宋体"/>
          <w:b/>
          <w:color w:val="auto"/>
          <w:kern w:val="0"/>
          <w:sz w:val="30"/>
          <w:highlight w:val="none"/>
        </w:rPr>
        <w:t>5.2资格审查文件</w:t>
      </w:r>
      <w:bookmarkEnd w:id="54"/>
    </w:p>
    <w:p w14:paraId="6578EA72">
      <w:pPr>
        <w:adjustRightInd w:val="0"/>
        <w:snapToGrid w:val="0"/>
        <w:spacing w:line="360" w:lineRule="auto"/>
        <w:jc w:val="center"/>
        <w:rPr>
          <w:rFonts w:ascii="宋体" w:hAnsi="宋体" w:eastAsia="宋体" w:cs="宋体"/>
          <w:b/>
          <w:color w:val="auto"/>
          <w:kern w:val="0"/>
          <w:sz w:val="30"/>
          <w:highlight w:val="none"/>
        </w:rPr>
      </w:pPr>
    </w:p>
    <w:p w14:paraId="104CB0DE">
      <w:pPr>
        <w:adjustRightInd w:val="0"/>
        <w:snapToGrid w:val="0"/>
        <w:spacing w:line="360" w:lineRule="auto"/>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资格审查文件</w:t>
      </w:r>
    </w:p>
    <w:p w14:paraId="3CF0EFCD">
      <w:pPr>
        <w:adjustRightInd w:val="0"/>
        <w:snapToGrid w:val="0"/>
        <w:spacing w:line="360" w:lineRule="auto"/>
        <w:jc w:val="center"/>
        <w:rPr>
          <w:rFonts w:ascii="宋体" w:hAnsi="宋体" w:eastAsia="宋体" w:cs="宋体"/>
          <w:b/>
          <w:color w:val="auto"/>
          <w:kern w:val="0"/>
          <w:highlight w:val="none"/>
        </w:rPr>
      </w:pPr>
    </w:p>
    <w:p w14:paraId="3FDFEBAA">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资格审查文件内容如下：</w:t>
      </w:r>
    </w:p>
    <w:p w14:paraId="574C9159">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(1)通过年审的营业执照副本（原件扫描件）；</w:t>
      </w:r>
    </w:p>
    <w:p w14:paraId="61F0EAA2">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(2)企业资质证书（原件扫描件）；</w:t>
      </w:r>
    </w:p>
    <w:p w14:paraId="09CBC4F6">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(3)联合体共同投标协议（若有，原件扫描件）；</w:t>
      </w:r>
    </w:p>
    <w:p w14:paraId="0F462B84">
      <w:pPr>
        <w:widowControl/>
        <w:adjustRightInd w:val="0"/>
        <w:snapToGrid w:val="0"/>
        <w:spacing w:line="360" w:lineRule="auto"/>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(4)中小企业声明函扫描件（</w:t>
      </w:r>
      <w:r>
        <w:rPr>
          <w:rFonts w:hint="eastAsia" w:ascii="宋体" w:hAnsi="宋体" w:eastAsia="宋体" w:cs="宋体"/>
          <w:bCs/>
          <w:color w:val="auto"/>
          <w:kern w:val="0"/>
          <w:highlight w:val="none"/>
          <w:lang w:val="en-US" w:eastAsia="zh-CN"/>
        </w:rPr>
        <w:t>如招标文件有要求，则需提供</w:t>
      </w:r>
      <w:r>
        <w:rPr>
          <w:rFonts w:hint="eastAsia" w:ascii="宋体" w:hAnsi="宋体" w:eastAsia="宋体" w:cs="宋体"/>
          <w:bCs/>
          <w:color w:val="auto"/>
          <w:kern w:val="0"/>
          <w:highlight w:val="none"/>
        </w:rPr>
        <w:t>）；</w:t>
      </w:r>
    </w:p>
    <w:p w14:paraId="4F1632EE">
      <w:pPr>
        <w:widowControl/>
        <w:adjustRightInd w:val="0"/>
        <w:snapToGrid w:val="0"/>
        <w:spacing w:line="360" w:lineRule="auto"/>
        <w:jc w:val="left"/>
        <w:rPr>
          <w:rFonts w:hint="eastAsia" w:ascii="宋体" w:hAnsi="宋体" w:eastAsia="宋体" w:cs="宋体"/>
          <w:bCs/>
          <w:color w:val="auto"/>
          <w:kern w:val="0"/>
          <w:highlight w:val="none"/>
          <w:u w:val="none"/>
        </w:rPr>
      </w:pPr>
      <w:r>
        <w:rPr>
          <w:rFonts w:hint="eastAsia" w:ascii="宋体" w:hAnsi="宋体" w:eastAsia="宋体" w:cs="宋体"/>
          <w:bCs/>
          <w:color w:val="auto"/>
          <w:kern w:val="0"/>
          <w:highlight w:val="none"/>
        </w:rPr>
        <w:t>(</w:t>
      </w:r>
      <w:r>
        <w:rPr>
          <w:rFonts w:hint="eastAsia" w:ascii="宋体" w:hAnsi="宋体" w:eastAsia="宋体" w:cs="宋体"/>
          <w:bCs/>
          <w:color w:val="auto"/>
          <w:kern w:val="0"/>
          <w:highlight w:val="none"/>
          <w:lang w:val="en-US" w:eastAsia="zh-CN"/>
        </w:rPr>
        <w:t>5</w:t>
      </w:r>
      <w:r>
        <w:rPr>
          <w:rFonts w:hint="eastAsia" w:ascii="宋体" w:hAnsi="宋体" w:eastAsia="宋体" w:cs="宋体"/>
          <w:bCs/>
          <w:color w:val="auto"/>
          <w:kern w:val="0"/>
          <w:highlight w:val="none"/>
        </w:rPr>
        <w:t>)其他</w:t>
      </w:r>
      <w:r>
        <w:rPr>
          <w:rFonts w:hint="eastAsia" w:ascii="宋体" w:hAnsi="宋体" w:eastAsia="宋体" w:cs="宋体"/>
          <w:bCs/>
          <w:color w:val="auto"/>
          <w:kern w:val="0"/>
          <w:highlight w:val="none"/>
          <w:u w:val="none"/>
        </w:rPr>
        <w:t xml:space="preserve">      </w:t>
      </w:r>
    </w:p>
    <w:p w14:paraId="30D6F91B">
      <w:pPr>
        <w:widowControl/>
        <w:jc w:val="center"/>
        <w:rPr>
          <w:rFonts w:ascii="宋体" w:hAnsi="宋体" w:eastAsia="宋体" w:cs="宋体"/>
          <w:color w:val="auto"/>
          <w:sz w:val="44"/>
          <w:szCs w:val="44"/>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44"/>
          <w:szCs w:val="44"/>
          <w:highlight w:val="none"/>
        </w:rPr>
        <w:t>投标保函</w:t>
      </w:r>
    </w:p>
    <w:p w14:paraId="391FFD61">
      <w:pPr>
        <w:widowControl/>
        <w:jc w:val="right"/>
        <w:rPr>
          <w:rFonts w:ascii="宋体" w:hAnsi="宋体" w:eastAsia="宋体" w:cs="宋体"/>
          <w:color w:val="auto"/>
          <w:highlight w:val="none"/>
        </w:rPr>
      </w:pPr>
      <w:r>
        <w:rPr>
          <w:rFonts w:hint="eastAsia" w:ascii="宋体" w:hAnsi="宋体" w:eastAsia="宋体" w:cs="宋体"/>
          <w:color w:val="auto"/>
          <w:highlight w:val="none"/>
        </w:rPr>
        <w:t>保函编号：__________</w:t>
      </w:r>
    </w:p>
    <w:p w14:paraId="4137B9E3">
      <w:pPr>
        <w:widowControl/>
        <w:jc w:val="left"/>
        <w:rPr>
          <w:rFonts w:ascii="宋体" w:hAnsi="宋体" w:eastAsia="宋体" w:cs="宋体"/>
          <w:color w:val="auto"/>
          <w:highlight w:val="none"/>
        </w:rPr>
      </w:pPr>
    </w:p>
    <w:p w14:paraId="3A6C4452">
      <w:pPr>
        <w:widowControl/>
        <w:jc w:val="left"/>
        <w:rPr>
          <w:rFonts w:ascii="宋体" w:hAnsi="宋体" w:eastAsia="宋体" w:cs="宋体"/>
          <w:color w:val="auto"/>
          <w:highlight w:val="none"/>
        </w:rPr>
      </w:pPr>
      <w:r>
        <w:rPr>
          <w:rFonts w:hint="eastAsia" w:ascii="宋体" w:hAnsi="宋体" w:eastAsia="宋体" w:cs="宋体"/>
          <w:color w:val="auto"/>
          <w:highlight w:val="none"/>
        </w:rPr>
        <w:t>致______________________________（下称受益人）：</w:t>
      </w:r>
    </w:p>
    <w:p w14:paraId="621CC93A">
      <w:pPr>
        <w:widowControl/>
        <w:ind w:firstLine="630" w:firstLineChars="300"/>
        <w:jc w:val="left"/>
        <w:rPr>
          <w:rFonts w:ascii="宋体" w:hAnsi="宋体" w:eastAsia="宋体" w:cs="宋体"/>
          <w:color w:val="auto"/>
          <w:highlight w:val="none"/>
        </w:rPr>
      </w:pPr>
      <w:r>
        <w:rPr>
          <w:rFonts w:hint="eastAsia" w:ascii="宋体" w:hAnsi="宋体" w:eastAsia="宋体" w:cs="宋体"/>
          <w:color w:val="auto"/>
          <w:highlight w:val="none"/>
        </w:rPr>
        <w:t>鉴于_____________________________（下称被保证人）将参加贵方标段编号为______________的____________________________________项目的投标，我方接受被保证人的委托，在此向受益人提供不可撤销的投标保证：</w:t>
      </w:r>
    </w:p>
    <w:p w14:paraId="4AEB00F6">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一、本保证担保的担保金额为______（币种）______元（小写）_____________（大写）。</w:t>
      </w:r>
    </w:p>
    <w:p w14:paraId="4F8965D6">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二、本保证担保的保证期间为该项目的投标有效期或延长的投标有效期后28日（含28日），延长投标有效期无须通知我方。</w:t>
      </w:r>
    </w:p>
    <w:p w14:paraId="71C968F1">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三、在本保证担保的保证期间内，如果被保证人出现下列情形之一，受益人可以向我方提起索赔：</w:t>
      </w:r>
    </w:p>
    <w:p w14:paraId="562EDB82">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1.被保证人在招标文件规定的投标有效期内撤回其投标；</w:t>
      </w:r>
    </w:p>
    <w:p w14:paraId="1577069B">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2.被保证人在投标有效期内收到受益人发出的中标通知书后，不能或拒绝按招标文件的要求签署合同；</w:t>
      </w:r>
    </w:p>
    <w:p w14:paraId="5308ACE1">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3.被保证人在投标有效期内收到受益人发出的中标通知书后，不能或拒绝按招标文件的规定提交履约担保。</w:t>
      </w:r>
    </w:p>
    <w:p w14:paraId="1A40CE92">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四、在本保证担保的保证期间内，我方收到受益人经法定代表人或其授权委托代理人签字并加盖公章的书面索赔通知后，将不争辩、不挑剔、不可撤销地立即向受益人支付本保证担保的担保金额。</w:t>
      </w:r>
    </w:p>
    <w:p w14:paraId="0D3BE2C2">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五、受益人的索赔通知应当说明索赔理由，并必须在本保证担保的保证期间内以专人送达或邮寄送达的方式送达我方。</w:t>
      </w:r>
    </w:p>
    <w:p w14:paraId="23896E0F">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六、本保证担保项下的权利不得转让。</w:t>
      </w:r>
    </w:p>
    <w:p w14:paraId="2FD84E93">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七、本保证担保的保证期间届满，或我方已向受益人支付本保证担保的担保金额，我方的保证责任免除。</w:t>
      </w:r>
    </w:p>
    <w:p w14:paraId="616030DF">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八、本保证担保适用中华人民共和国法律。</w:t>
      </w:r>
    </w:p>
    <w:p w14:paraId="530EE07D">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九、本保证担保以中文文本为准，涂改无效。</w:t>
      </w:r>
    </w:p>
    <w:p w14:paraId="0DF7A02B">
      <w:pPr>
        <w:widowControl/>
        <w:jc w:val="left"/>
        <w:rPr>
          <w:rFonts w:ascii="宋体" w:hAnsi="宋体" w:eastAsia="宋体" w:cs="宋体"/>
          <w:color w:val="auto"/>
          <w:highlight w:val="none"/>
        </w:rPr>
      </w:pPr>
      <w:r>
        <w:rPr>
          <w:rFonts w:hint="eastAsia" w:ascii="宋体" w:hAnsi="宋体" w:eastAsia="宋体" w:cs="宋体"/>
          <w:color w:val="auto"/>
          <w:highlight w:val="none"/>
        </w:rPr>
        <w:t>保证人（盖章）：___________________________________________________</w:t>
      </w:r>
    </w:p>
    <w:p w14:paraId="0F2E9358">
      <w:pPr>
        <w:widowControl/>
        <w:jc w:val="left"/>
        <w:rPr>
          <w:rFonts w:ascii="宋体" w:hAnsi="宋体" w:eastAsia="宋体" w:cs="宋体"/>
          <w:color w:val="auto"/>
          <w:highlight w:val="none"/>
        </w:rPr>
      </w:pPr>
      <w:r>
        <w:rPr>
          <w:rFonts w:hint="eastAsia" w:ascii="宋体" w:hAnsi="宋体" w:eastAsia="宋体" w:cs="宋体"/>
          <w:color w:val="auto"/>
          <w:highlight w:val="none"/>
        </w:rPr>
        <w:t>法定代表人或其授权委托代理人（签字或盖章）：_______________________</w:t>
      </w:r>
    </w:p>
    <w:p w14:paraId="3874FA44">
      <w:pPr>
        <w:widowControl/>
        <w:jc w:val="left"/>
        <w:rPr>
          <w:rFonts w:ascii="宋体" w:hAnsi="宋体" w:eastAsia="宋体" w:cs="宋体"/>
          <w:color w:val="auto"/>
          <w:highlight w:val="none"/>
        </w:rPr>
      </w:pPr>
      <w:r>
        <w:rPr>
          <w:rFonts w:hint="eastAsia" w:ascii="宋体" w:hAnsi="宋体" w:eastAsia="宋体" w:cs="宋体"/>
          <w:color w:val="auto"/>
          <w:highlight w:val="none"/>
        </w:rPr>
        <w:t>单位地址：________________________________________________________</w:t>
      </w:r>
    </w:p>
    <w:p w14:paraId="63F54F29">
      <w:pPr>
        <w:widowControl/>
        <w:jc w:val="left"/>
        <w:rPr>
          <w:rFonts w:ascii="宋体" w:hAnsi="宋体" w:eastAsia="宋体" w:cs="宋体"/>
          <w:color w:val="auto"/>
          <w:highlight w:val="none"/>
        </w:rPr>
      </w:pPr>
      <w:r>
        <w:rPr>
          <w:rFonts w:hint="eastAsia" w:ascii="宋体" w:hAnsi="宋体" w:eastAsia="宋体" w:cs="宋体"/>
          <w:color w:val="auto"/>
          <w:highlight w:val="none"/>
        </w:rPr>
        <w:t>邮政编码：___________电话：_________________传真：________________</w:t>
      </w:r>
    </w:p>
    <w:p w14:paraId="68349988">
      <w:pPr>
        <w:widowControl/>
        <w:jc w:val="left"/>
        <w:rPr>
          <w:rFonts w:ascii="宋体" w:hAnsi="宋体" w:eastAsia="宋体" w:cs="宋体"/>
          <w:color w:val="auto"/>
          <w:highlight w:val="none"/>
        </w:rPr>
      </w:pPr>
      <w:r>
        <w:rPr>
          <w:rFonts w:hint="eastAsia" w:ascii="宋体" w:hAnsi="宋体" w:eastAsia="宋体" w:cs="宋体"/>
          <w:color w:val="auto"/>
          <w:highlight w:val="none"/>
        </w:rPr>
        <w:t>日期：__________年______月______日</w:t>
      </w:r>
    </w:p>
    <w:p w14:paraId="67ED17EB">
      <w:pPr>
        <w:widowControl/>
        <w:jc w:val="left"/>
        <w:rPr>
          <w:rFonts w:ascii="宋体" w:hAnsi="宋体" w:eastAsia="宋体" w:cs="宋体"/>
          <w:color w:val="auto"/>
          <w:highlight w:val="none"/>
        </w:rPr>
      </w:pPr>
    </w:p>
    <w:p w14:paraId="61F8B56A">
      <w:pPr>
        <w:widowControl/>
        <w:jc w:val="left"/>
        <w:rPr>
          <w:rFonts w:ascii="宋体" w:hAnsi="宋体" w:eastAsia="宋体" w:cs="宋体"/>
          <w:color w:val="auto"/>
          <w:highlight w:val="none"/>
        </w:rPr>
      </w:pPr>
    </w:p>
    <w:p w14:paraId="3D90000B">
      <w:pPr>
        <w:widowControl/>
        <w:jc w:val="left"/>
        <w:rPr>
          <w:rFonts w:ascii="宋体" w:hAnsi="宋体" w:eastAsia="宋体" w:cs="宋体"/>
          <w:color w:val="auto"/>
          <w:highlight w:val="none"/>
        </w:rPr>
      </w:pPr>
      <w:r>
        <w:rPr>
          <w:rFonts w:hint="eastAsia" w:ascii="宋体" w:hAnsi="宋体" w:eastAsia="宋体" w:cs="宋体"/>
          <w:color w:val="auto"/>
          <w:highlight w:val="none"/>
        </w:rPr>
        <w:t>（本保函失效后，请将原件退回我方注销）</w:t>
      </w:r>
    </w:p>
    <w:p w14:paraId="4308ADC1">
      <w:pPr>
        <w:widowControl/>
        <w:jc w:val="left"/>
        <w:rPr>
          <w:rFonts w:ascii="宋体" w:hAnsi="宋体" w:eastAsia="宋体" w:cs="宋体"/>
          <w:color w:val="auto"/>
          <w:highlight w:val="none"/>
        </w:rPr>
      </w:pPr>
    </w:p>
    <w:p w14:paraId="7E48965C">
      <w:pPr>
        <w:widowControl/>
        <w:jc w:val="left"/>
        <w:rPr>
          <w:rFonts w:ascii="宋体" w:hAnsi="宋体" w:eastAsia="宋体" w:cs="宋体"/>
          <w:color w:val="auto"/>
          <w:highlight w:val="none"/>
        </w:rPr>
      </w:pPr>
      <w:r>
        <w:rPr>
          <w:rFonts w:hint="eastAsia" w:ascii="宋体" w:hAnsi="宋体" w:eastAsia="宋体" w:cs="宋体"/>
          <w:color w:val="auto"/>
          <w:highlight w:val="none"/>
        </w:rPr>
        <w:t>注：如果投标人不采用以上投标保函格式，拟采用的投标保函格式须经招标人确认。</w:t>
      </w:r>
    </w:p>
    <w:p w14:paraId="5C76C482">
      <w:pPr>
        <w:widowControl/>
        <w:jc w:val="left"/>
        <w:rPr>
          <w:rFonts w:ascii="宋体" w:hAnsi="宋体" w:eastAsia="宋体" w:cs="宋体"/>
          <w:color w:val="auto"/>
          <w:highlight w:val="none"/>
        </w:rPr>
      </w:pPr>
      <w:r>
        <w:rPr>
          <w:rFonts w:hint="eastAsia" w:ascii="宋体" w:hAnsi="宋体" w:eastAsia="宋体" w:cs="宋体"/>
          <w:color w:val="auto"/>
          <w:highlight w:val="none"/>
        </w:rPr>
        <w:br w:type="page"/>
      </w:r>
    </w:p>
    <w:p w14:paraId="15ABBAD0">
      <w:pPr>
        <w:adjustRightInd w:val="0"/>
        <w:snapToGrid w:val="0"/>
        <w:spacing w:line="360" w:lineRule="auto"/>
        <w:jc w:val="center"/>
        <w:rPr>
          <w:rFonts w:ascii="宋体" w:hAnsi="宋体" w:eastAsia="宋体" w:cs="宋体"/>
          <w:color w:val="auto"/>
          <w:sz w:val="44"/>
          <w:highlight w:val="none"/>
        </w:rPr>
      </w:pPr>
      <w:bookmarkStart w:id="56" w:name="_Hlk86676344"/>
      <w:r>
        <w:rPr>
          <w:rFonts w:hint="eastAsia" w:ascii="宋体" w:hAnsi="宋体" w:eastAsia="宋体" w:cs="宋体"/>
          <w:color w:val="auto"/>
          <w:sz w:val="44"/>
          <w:highlight w:val="none"/>
        </w:rPr>
        <w:t>投标保证保险保险凭证</w:t>
      </w:r>
    </w:p>
    <w:p w14:paraId="7E5A2E2B">
      <w:pPr>
        <w:spacing w:line="360" w:lineRule="auto"/>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 xml:space="preserve">                </w:t>
      </w:r>
      <w:r>
        <w:rPr>
          <w:rFonts w:hint="eastAsia" w:ascii="宋体" w:hAnsi="宋体" w:eastAsia="宋体" w:cs="宋体"/>
          <w:color w:val="auto"/>
          <w:szCs w:val="21"/>
          <w:highlight w:val="none"/>
        </w:rPr>
        <w:t>编号：</w:t>
      </w:r>
    </w:p>
    <w:p w14:paraId="3C93425A">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w:t>
      </w:r>
      <w:r>
        <w:rPr>
          <w:rFonts w:hint="eastAsia"/>
          <w:color w:val="auto"/>
          <w:kern w:val="2"/>
          <w:sz w:val="21"/>
          <w:szCs w:val="21"/>
          <w:highlight w:val="none"/>
          <w:u w:val="single"/>
        </w:rPr>
        <w:t xml:space="preserve">                  </w:t>
      </w:r>
      <w:r>
        <w:rPr>
          <w:rFonts w:hint="eastAsia"/>
          <w:color w:val="auto"/>
          <w:kern w:val="2"/>
          <w:sz w:val="21"/>
          <w:szCs w:val="21"/>
          <w:highlight w:val="none"/>
        </w:rPr>
        <w:t>（招标人）：</w:t>
      </w:r>
    </w:p>
    <w:p w14:paraId="7EAF05C4">
      <w:pPr>
        <w:pStyle w:val="227"/>
        <w:spacing w:before="0" w:beforeAutospacing="0" w:after="0" w:afterAutospacing="0" w:line="360" w:lineRule="auto"/>
        <w:ind w:firstLine="420" w:firstLineChars="200"/>
        <w:rPr>
          <w:color w:val="auto"/>
          <w:kern w:val="2"/>
          <w:sz w:val="21"/>
          <w:szCs w:val="21"/>
          <w:highlight w:val="none"/>
        </w:rPr>
      </w:pPr>
      <w:r>
        <w:rPr>
          <w:rFonts w:hint="eastAsia"/>
          <w:color w:val="auto"/>
          <w:kern w:val="2"/>
          <w:sz w:val="21"/>
          <w:szCs w:val="21"/>
          <w:highlight w:val="none"/>
        </w:rPr>
        <w:t>鉴于</w:t>
      </w:r>
      <w:r>
        <w:rPr>
          <w:rFonts w:hint="eastAsia"/>
          <w:color w:val="auto"/>
          <w:kern w:val="2"/>
          <w:sz w:val="21"/>
          <w:szCs w:val="21"/>
          <w:highlight w:val="none"/>
          <w:u w:val="single"/>
        </w:rPr>
        <w:t>             </w:t>
      </w:r>
      <w:r>
        <w:rPr>
          <w:rFonts w:hint="eastAsia"/>
          <w:color w:val="auto"/>
          <w:kern w:val="2"/>
          <w:sz w:val="21"/>
          <w:szCs w:val="21"/>
          <w:highlight w:val="none"/>
        </w:rPr>
        <w:t>（以下简称投标人）参加XXX项目投标（标段编号：XXXX），应投标人申请，根据招标文件，我方愿就投标人履行招标文件约定的义务以保证保险的方式向贵方提供如下保险服务：</w:t>
      </w:r>
    </w:p>
    <w:p w14:paraId="5492C2F7">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一、保险的范围及保险金额</w:t>
      </w:r>
    </w:p>
    <w:p w14:paraId="0E848EFD">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我方在投标人发生以下情形时承担保险责任：</w:t>
      </w:r>
    </w:p>
    <w:p w14:paraId="5DA645CF">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1.投标人在招标文件规定的投标有效期内未经贵方许可撤回投标文件；</w:t>
      </w:r>
    </w:p>
    <w:p w14:paraId="01064C17">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2.投标人中标后因自身原因未在招标文件规定的时间内与贵方签订合同；</w:t>
      </w:r>
    </w:p>
    <w:p w14:paraId="2F34CE07">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3.投标人中标后未按照招标文件的规定提供履约保证；</w:t>
      </w:r>
    </w:p>
    <w:p w14:paraId="5EA470CA">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4.招标文件规定的投标人应支付投标保证金的其他情形。</w:t>
      </w:r>
    </w:p>
    <w:p w14:paraId="5E662669">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本保证保险的保证期间为该项目的投标有效期（或延长的投标有效期）后28日历天（含28日），延长投标有效期无须通知我方。我方保证的金额为人民币____________元（大写：</w:t>
      </w:r>
      <w:r>
        <w:rPr>
          <w:rFonts w:hint="eastAsia"/>
          <w:color w:val="auto"/>
          <w:kern w:val="2"/>
          <w:sz w:val="21"/>
          <w:szCs w:val="21"/>
          <w:highlight w:val="none"/>
          <w:u w:val="single"/>
        </w:rPr>
        <w:t>           </w:t>
      </w:r>
      <w:r>
        <w:rPr>
          <w:rFonts w:hint="eastAsia"/>
          <w:color w:val="auto"/>
          <w:kern w:val="2"/>
          <w:sz w:val="21"/>
          <w:szCs w:val="21"/>
          <w:highlight w:val="none"/>
        </w:rPr>
        <w:t>）。</w:t>
      </w:r>
    </w:p>
    <w:p w14:paraId="4C7826EC">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二、代偿的安排</w:t>
      </w:r>
    </w:p>
    <w:p w14:paraId="5F4F01E3">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贵方要求我方承担保险责任的，应向我方发出书面索赔通知。索赔通知应写明要求索赔的金额，支付款项应到达的银行账号，并附投标人违约造成贵方损失情况的证明材料。</w:t>
      </w:r>
    </w:p>
    <w:p w14:paraId="6C1EC275">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我方收到贵方的书面索赔通知及相应证明材料后，在10个工作日内进行核定并按照本保险凭证的承诺承担保险责任。</w:t>
      </w:r>
    </w:p>
    <w:p w14:paraId="4F5889F4">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三、保险凭证的生效</w:t>
      </w:r>
    </w:p>
    <w:p w14:paraId="54448A53">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本保险凭证自我方法定代表人（或其授权代理人）签字或加盖公章之日起生效。</w:t>
      </w:r>
    </w:p>
    <w:p w14:paraId="6B63E71A">
      <w:pPr>
        <w:pStyle w:val="227"/>
        <w:spacing w:before="0" w:beforeAutospacing="0" w:after="0" w:afterAutospacing="0" w:line="360" w:lineRule="auto"/>
        <w:rPr>
          <w:color w:val="auto"/>
          <w:kern w:val="2"/>
          <w:sz w:val="21"/>
          <w:szCs w:val="21"/>
          <w:highlight w:val="none"/>
        </w:rPr>
      </w:pPr>
    </w:p>
    <w:p w14:paraId="75260616">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附：《中国XXX财产保险股份有限公司投标保证保险(2016版)条款》及保单</w:t>
      </w:r>
    </w:p>
    <w:p w14:paraId="39A13781">
      <w:pPr>
        <w:pStyle w:val="227"/>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保险人：</w:t>
      </w:r>
      <w:r>
        <w:rPr>
          <w:rFonts w:hint="eastAsia"/>
          <w:color w:val="auto"/>
          <w:kern w:val="2"/>
          <w:sz w:val="21"/>
          <w:szCs w:val="21"/>
          <w:highlight w:val="none"/>
          <w:u w:val="single"/>
        </w:rPr>
        <w:t xml:space="preserve">                    </w:t>
      </w:r>
      <w:r>
        <w:rPr>
          <w:rFonts w:hint="eastAsia"/>
          <w:color w:val="auto"/>
          <w:kern w:val="2"/>
          <w:sz w:val="21"/>
          <w:szCs w:val="21"/>
          <w:highlight w:val="none"/>
        </w:rPr>
        <w:t>（盖章）</w:t>
      </w:r>
    </w:p>
    <w:p w14:paraId="3BCA0D6A">
      <w:pPr>
        <w:pStyle w:val="227"/>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 xml:space="preserve">法定代表人或授权代理人：_____________ </w:t>
      </w:r>
    </w:p>
    <w:p w14:paraId="445B81C3">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年   月   日</w:t>
      </w:r>
    </w:p>
    <w:bookmarkEnd w:id="56"/>
    <w:p w14:paraId="74DF56F1">
      <w:pPr>
        <w:widowControl/>
        <w:jc w:val="left"/>
        <w:rPr>
          <w:rFonts w:ascii="宋体" w:hAnsi="宋体" w:eastAsia="宋体" w:cs="宋体"/>
          <w:color w:val="auto"/>
          <w:highlight w:val="none"/>
        </w:rPr>
      </w:pPr>
    </w:p>
    <w:p w14:paraId="1BF1EEE8">
      <w:pPr>
        <w:widowControl/>
        <w:jc w:val="left"/>
        <w:rPr>
          <w:rFonts w:ascii="宋体" w:hAnsi="宋体" w:eastAsia="宋体" w:cs="宋体"/>
          <w:color w:val="auto"/>
          <w:highlight w:val="none"/>
        </w:rPr>
      </w:pPr>
    </w:p>
    <w:p w14:paraId="57AAF19E">
      <w:pPr>
        <w:widowControl/>
        <w:jc w:val="left"/>
        <w:rPr>
          <w:rFonts w:ascii="宋体" w:hAnsi="宋体" w:eastAsia="宋体" w:cs="宋体"/>
          <w:color w:val="auto"/>
          <w:highlight w:val="none"/>
        </w:rPr>
      </w:pPr>
    </w:p>
    <w:p w14:paraId="02DA2A60">
      <w:pPr>
        <w:adjustRightInd w:val="0"/>
        <w:snapToGrid w:val="0"/>
        <w:spacing w:line="360" w:lineRule="auto"/>
        <w:jc w:val="left"/>
        <w:rPr>
          <w:rFonts w:ascii="宋体" w:hAnsi="宋体" w:eastAsia="宋体" w:cs="宋体"/>
          <w:color w:val="auto"/>
          <w:highlight w:val="none"/>
        </w:rPr>
      </w:pPr>
    </w:p>
    <w:p w14:paraId="2B15580C">
      <w:pPr>
        <w:adjustRightInd w:val="0"/>
        <w:snapToGrid w:val="0"/>
        <w:spacing w:line="360" w:lineRule="auto"/>
        <w:jc w:val="left"/>
        <w:rPr>
          <w:rFonts w:ascii="宋体" w:hAnsi="宋体" w:eastAsia="宋体" w:cs="宋体"/>
          <w:color w:val="auto"/>
          <w:highlight w:val="none"/>
        </w:rPr>
      </w:pPr>
    </w:p>
    <w:p w14:paraId="0ECC3D00">
      <w:pPr>
        <w:adjustRightInd w:val="0"/>
        <w:snapToGrid w:val="0"/>
        <w:spacing w:line="360" w:lineRule="auto"/>
        <w:jc w:val="left"/>
        <w:rPr>
          <w:rFonts w:ascii="宋体" w:hAnsi="宋体" w:eastAsia="宋体" w:cs="宋体"/>
          <w:color w:val="auto"/>
          <w:highlight w:val="none"/>
        </w:rPr>
      </w:pPr>
    </w:p>
    <w:p w14:paraId="754D7B8D">
      <w:pPr>
        <w:adjustRightInd w:val="0"/>
        <w:snapToGrid w:val="0"/>
        <w:spacing w:line="360" w:lineRule="auto"/>
        <w:jc w:val="left"/>
        <w:rPr>
          <w:rFonts w:ascii="宋体" w:hAnsi="宋体" w:eastAsia="宋体" w:cs="宋体"/>
          <w:color w:val="auto"/>
          <w:highlight w:val="none"/>
        </w:rPr>
      </w:pPr>
    </w:p>
    <w:p w14:paraId="79F499DA">
      <w:pPr>
        <w:adjustRightInd w:val="0"/>
        <w:snapToGrid w:val="0"/>
        <w:spacing w:line="360" w:lineRule="auto"/>
        <w:jc w:val="left"/>
        <w:rPr>
          <w:rFonts w:ascii="宋体" w:hAnsi="宋体" w:eastAsia="宋体" w:cs="宋体"/>
          <w:color w:val="auto"/>
          <w:highlight w:val="none"/>
        </w:rPr>
      </w:pPr>
    </w:p>
    <w:p w14:paraId="1E853973">
      <w:pPr>
        <w:adjustRightInd w:val="0"/>
        <w:snapToGrid w:val="0"/>
        <w:spacing w:line="360" w:lineRule="auto"/>
        <w:jc w:val="left"/>
        <w:rPr>
          <w:rFonts w:ascii="宋体" w:hAnsi="宋体" w:eastAsia="宋体" w:cs="宋体"/>
          <w:color w:val="auto"/>
          <w:highlight w:val="none"/>
        </w:rPr>
      </w:pPr>
    </w:p>
    <w:p w14:paraId="1FD6E236">
      <w:pPr>
        <w:widowControl/>
        <w:jc w:val="left"/>
        <w:rPr>
          <w:rFonts w:ascii="宋体" w:hAnsi="宋体" w:eastAsia="宋体" w:cs="宋体"/>
          <w:color w:val="auto"/>
          <w:kern w:val="0"/>
          <w:szCs w:val="21"/>
          <w:highlight w:val="none"/>
        </w:rPr>
      </w:pPr>
    </w:p>
    <w:p w14:paraId="53A8FDA1">
      <w:pPr>
        <w:adjustRightInd w:val="0"/>
        <w:snapToGrid w:val="0"/>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建设工程合同履约保证保险保险凭证</w:t>
      </w:r>
    </w:p>
    <w:p w14:paraId="4AB2C2F9">
      <w:pPr>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 xml:space="preserve">    编号：</w:t>
      </w:r>
    </w:p>
    <w:p w14:paraId="0E7B4C76">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致：                         </w:t>
      </w:r>
      <w:r>
        <w:rPr>
          <w:rFonts w:hint="eastAsia" w:ascii="宋体" w:hAnsi="宋体" w:eastAsia="宋体" w:cs="宋体"/>
          <w:color w:val="auto"/>
          <w:kern w:val="0"/>
          <w:szCs w:val="21"/>
          <w:highlight w:val="none"/>
        </w:rPr>
        <w:t>（招标人名称）：</w:t>
      </w:r>
    </w:p>
    <w:p w14:paraId="5EB1E593">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（下称被保证人）已与贵方签订了工程编号为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工程的合同，工期自</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至</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。我方已接受被保证人的请求，并出具《建设工程合同履约保证保险》保险单。   </w:t>
      </w:r>
    </w:p>
    <w:p w14:paraId="2188C835">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一、保证保险金额</w:t>
      </w:r>
    </w:p>
    <w:p w14:paraId="70CF865B">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我方承担的履约保证保险的保险金额（最高限额）为人民币（大写）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6ACF5DA">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二、保证保险的责任范围</w:t>
      </w:r>
    </w:p>
    <w:p w14:paraId="3D835210">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在保险期间内，</w:t>
      </w:r>
      <w:r>
        <w:rPr>
          <w:rFonts w:hint="eastAsia" w:ascii="宋体" w:hAnsi="宋体" w:eastAsia="宋体" w:cs="宋体"/>
          <w:color w:val="auto"/>
          <w:kern w:val="0"/>
          <w:szCs w:val="21"/>
          <w:highlight w:val="none"/>
        </w:rPr>
        <w:t>被保证人</w:t>
      </w:r>
      <w:r>
        <w:rPr>
          <w:rFonts w:hint="eastAsia" w:ascii="宋体" w:hAnsi="宋体" w:eastAsia="宋体" w:cs="宋体"/>
          <w:color w:val="auto"/>
          <w:szCs w:val="21"/>
          <w:highlight w:val="none"/>
        </w:rPr>
        <w:t>因自身原因未按照与招标人（被保险人）签订的《建设工程合同》（合同编号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）履行相关义务，导致工期延误或服务质量不符合建设工程合同要求，给被保险人造成损失的，被保险人可向保险人提出索赔，保险人按照保险合同的约定承担损失赔偿责任。</w:t>
      </w:r>
    </w:p>
    <w:p w14:paraId="524B2AC0">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三、代偿的安排</w:t>
      </w:r>
    </w:p>
    <w:p w14:paraId="06CFA91C">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贵方要求我方承担保证保险责任的，应向我方发出书面索赔通知。索赔通知应写明要求索赔的金额，支付款项应到达的银行账号，并附被保证人违约造成贵方损失情况的证明材料。</w:t>
      </w:r>
    </w:p>
    <w:p w14:paraId="45BAB2DD">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我方收到贵方的书面索赔通知及相应证明材料后，在</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rPr>
        <w:t>个工作日内进行核定并按照保险合同约定承担保证保险责任。</w:t>
      </w:r>
      <w:r>
        <w:rPr>
          <w:rFonts w:hint="eastAsia" w:ascii="宋体" w:hAnsi="宋体" w:eastAsia="宋体" w:cs="宋体"/>
          <w:color w:val="auto"/>
          <w:kern w:val="0"/>
          <w:szCs w:val="21"/>
          <w:highlight w:val="none"/>
        </w:rPr>
        <w:t xml:space="preserve">            </w:t>
      </w:r>
    </w:p>
    <w:p w14:paraId="7AAE85DC">
      <w:pPr>
        <w:numPr>
          <w:ilvl w:val="0"/>
          <w:numId w:val="2"/>
        </w:num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生效时间</w:t>
      </w:r>
    </w:p>
    <w:p w14:paraId="33E3BECD">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本保险凭证自我方法定代表人（或其授权代理人）签字并加盖保险承保专用章之日起生效。</w:t>
      </w:r>
    </w:p>
    <w:p w14:paraId="5EF67F10">
      <w:pPr>
        <w:widowControl/>
        <w:spacing w:line="360" w:lineRule="auto"/>
        <w:ind w:firstLine="420" w:firstLineChars="200"/>
        <w:jc w:val="left"/>
        <w:rPr>
          <w:rFonts w:ascii="宋体" w:hAnsi="宋体" w:eastAsia="宋体" w:cs="宋体"/>
          <w:color w:val="auto"/>
          <w:kern w:val="0"/>
          <w:szCs w:val="21"/>
          <w:highlight w:val="none"/>
        </w:rPr>
      </w:pPr>
    </w:p>
    <w:p w14:paraId="316C879F">
      <w:pPr>
        <w:adjustRightInd w:val="0"/>
        <w:snapToGrid w:val="0"/>
        <w:spacing w:after="120" w:afterLines="50"/>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附：《</w:t>
      </w:r>
      <w:r>
        <w:rPr>
          <w:rFonts w:hint="eastAsia" w:ascii="宋体" w:hAnsi="宋体" w:eastAsia="宋体" w:cs="宋体"/>
          <w:color w:val="auto"/>
          <w:szCs w:val="21"/>
          <w:highlight w:val="none"/>
        </w:rPr>
        <w:t>XXX保险有限公司建设工程合同履约保证保险（X款）条款》及保单</w:t>
      </w:r>
    </w:p>
    <w:p w14:paraId="6BBF7435">
      <w:pPr>
        <w:widowControl/>
        <w:spacing w:line="360" w:lineRule="auto"/>
        <w:ind w:firstLine="420" w:firstLineChars="200"/>
        <w:jc w:val="left"/>
        <w:rPr>
          <w:rFonts w:ascii="宋体" w:hAnsi="宋体" w:eastAsia="宋体" w:cs="宋体"/>
          <w:color w:val="auto"/>
          <w:kern w:val="0"/>
          <w:szCs w:val="21"/>
          <w:highlight w:val="none"/>
        </w:rPr>
      </w:pPr>
    </w:p>
    <w:p w14:paraId="3C91512C">
      <w:pPr>
        <w:widowControl/>
        <w:spacing w:line="360" w:lineRule="auto"/>
        <w:ind w:firstLine="5040" w:firstLineChars="24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保险人：（盖章）</w:t>
      </w:r>
    </w:p>
    <w:p w14:paraId="4F03F42E">
      <w:pPr>
        <w:widowControl/>
        <w:spacing w:line="360" w:lineRule="auto"/>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法定代表人或授权代理人：________ </w:t>
      </w:r>
    </w:p>
    <w:p w14:paraId="6B6C5FA9">
      <w:pPr>
        <w:widowControl/>
        <w:spacing w:line="360" w:lineRule="auto"/>
        <w:ind w:firstLine="5250" w:firstLineChars="25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p w14:paraId="01F28E44">
      <w:pPr>
        <w:rPr>
          <w:rFonts w:ascii="宋体" w:hAnsi="宋体" w:eastAsia="宋体" w:cs="宋体"/>
          <w:color w:val="auto"/>
          <w:szCs w:val="21"/>
          <w:highlight w:val="none"/>
        </w:rPr>
      </w:pPr>
    </w:p>
    <w:p w14:paraId="2FA427D1">
      <w:pPr>
        <w:adjustRightInd w:val="0"/>
        <w:snapToGrid w:val="0"/>
        <w:spacing w:line="360" w:lineRule="auto"/>
        <w:jc w:val="left"/>
        <w:rPr>
          <w:rFonts w:ascii="宋体" w:hAnsi="宋体" w:eastAsia="宋体" w:cs="宋体"/>
          <w:color w:val="auto"/>
          <w:highlight w:val="none"/>
        </w:rPr>
      </w:pPr>
    </w:p>
    <w:p w14:paraId="3D05720A">
      <w:pPr>
        <w:adjustRightInd w:val="0"/>
        <w:snapToGrid w:val="0"/>
        <w:spacing w:line="360" w:lineRule="auto"/>
        <w:jc w:val="left"/>
        <w:rPr>
          <w:rFonts w:ascii="宋体" w:hAnsi="宋体" w:eastAsia="宋体" w:cs="宋体"/>
          <w:color w:val="auto"/>
          <w:highlight w:val="none"/>
        </w:rPr>
      </w:pPr>
    </w:p>
    <w:p w14:paraId="555EFE48">
      <w:pPr>
        <w:adjustRightInd w:val="0"/>
        <w:snapToGrid w:val="0"/>
        <w:spacing w:line="360" w:lineRule="auto"/>
        <w:jc w:val="left"/>
        <w:rPr>
          <w:rFonts w:ascii="宋体" w:hAnsi="宋体" w:eastAsia="宋体" w:cs="宋体"/>
          <w:color w:val="auto"/>
          <w:highlight w:val="none"/>
        </w:rPr>
      </w:pPr>
    </w:p>
    <w:p w14:paraId="0E1B4C75">
      <w:pPr>
        <w:adjustRightInd w:val="0"/>
        <w:snapToGrid w:val="0"/>
        <w:spacing w:line="360" w:lineRule="auto"/>
        <w:jc w:val="left"/>
        <w:rPr>
          <w:rFonts w:ascii="宋体" w:hAnsi="宋体" w:eastAsia="宋体" w:cs="宋体"/>
          <w:color w:val="auto"/>
          <w:highlight w:val="none"/>
        </w:rPr>
      </w:pPr>
    </w:p>
    <w:p w14:paraId="1A576BB3">
      <w:pPr>
        <w:adjustRightInd w:val="0"/>
        <w:snapToGrid w:val="0"/>
        <w:spacing w:line="360" w:lineRule="auto"/>
        <w:jc w:val="left"/>
        <w:rPr>
          <w:rFonts w:ascii="宋体" w:hAnsi="宋体" w:eastAsia="宋体" w:cs="宋体"/>
          <w:color w:val="auto"/>
          <w:highlight w:val="none"/>
        </w:rPr>
      </w:pPr>
    </w:p>
    <w:p w14:paraId="18893BA1">
      <w:pPr>
        <w:adjustRightInd w:val="0"/>
        <w:snapToGrid w:val="0"/>
        <w:spacing w:line="360" w:lineRule="auto"/>
        <w:jc w:val="left"/>
        <w:rPr>
          <w:rFonts w:ascii="宋体" w:hAnsi="宋体" w:eastAsia="宋体" w:cs="宋体"/>
          <w:color w:val="auto"/>
          <w:highlight w:val="none"/>
        </w:rPr>
      </w:pPr>
    </w:p>
    <w:p w14:paraId="1AFFB660">
      <w:pPr>
        <w:adjustRightInd w:val="0"/>
        <w:snapToGrid w:val="0"/>
        <w:spacing w:line="360" w:lineRule="auto"/>
        <w:jc w:val="left"/>
        <w:rPr>
          <w:rFonts w:ascii="宋体" w:hAnsi="宋体" w:eastAsia="宋体" w:cs="宋体"/>
          <w:color w:val="auto"/>
          <w:highlight w:val="none"/>
        </w:rPr>
      </w:pPr>
    </w:p>
    <w:p w14:paraId="3C44A678">
      <w:pPr>
        <w:adjustRightInd w:val="0"/>
        <w:snapToGrid w:val="0"/>
        <w:spacing w:line="360" w:lineRule="auto"/>
        <w:jc w:val="left"/>
        <w:rPr>
          <w:rFonts w:ascii="宋体" w:hAnsi="宋体" w:eastAsia="宋体" w:cs="宋体"/>
          <w:color w:val="auto"/>
          <w:highlight w:val="none"/>
        </w:rPr>
      </w:pPr>
    </w:p>
    <w:p w14:paraId="099336F9">
      <w:pPr>
        <w:adjustRightInd w:val="0"/>
        <w:snapToGrid w:val="0"/>
        <w:spacing w:line="360" w:lineRule="auto"/>
        <w:jc w:val="left"/>
        <w:rPr>
          <w:rFonts w:ascii="宋体" w:hAnsi="宋体" w:eastAsia="宋体" w:cs="宋体"/>
          <w:color w:val="auto"/>
          <w:highlight w:val="none"/>
        </w:rPr>
      </w:pPr>
    </w:p>
    <w:p w14:paraId="3922E573">
      <w:pPr>
        <w:adjustRightInd w:val="0"/>
        <w:snapToGrid w:val="0"/>
        <w:spacing w:line="360" w:lineRule="auto"/>
        <w:jc w:val="left"/>
        <w:rPr>
          <w:rFonts w:ascii="宋体" w:hAnsi="宋体" w:eastAsia="宋体" w:cs="宋体"/>
          <w:color w:val="auto"/>
          <w:highlight w:val="none"/>
        </w:rPr>
      </w:pPr>
    </w:p>
    <w:bookmarkEnd w:id="55"/>
    <w:p w14:paraId="6E759626">
      <w:pPr>
        <w:adjustRightInd w:val="0"/>
        <w:snapToGrid w:val="0"/>
        <w:spacing w:line="360" w:lineRule="auto"/>
        <w:jc w:val="center"/>
        <w:outlineLvl w:val="0"/>
        <w:rPr>
          <w:rFonts w:ascii="黑体" w:hAnsi="黑体" w:eastAsia="黑体" w:cs="黑体"/>
          <w:bCs/>
          <w:color w:val="auto"/>
          <w:kern w:val="0"/>
          <w:sz w:val="32"/>
          <w:szCs w:val="32"/>
          <w:highlight w:val="none"/>
        </w:rPr>
      </w:pPr>
      <w:bookmarkStart w:id="57" w:name="_Toc22487"/>
      <w:r>
        <w:rPr>
          <w:rFonts w:hint="eastAsia" w:ascii="黑体" w:hAnsi="黑体" w:eastAsia="黑体" w:cs="黑体"/>
          <w:bCs/>
          <w:color w:val="auto"/>
          <w:kern w:val="0"/>
          <w:sz w:val="32"/>
          <w:szCs w:val="32"/>
          <w:highlight w:val="none"/>
        </w:rPr>
        <w:t>第六章  合同条款</w:t>
      </w:r>
      <w:bookmarkEnd w:id="57"/>
    </w:p>
    <w:p w14:paraId="20D7CBDF">
      <w:pPr>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合同条款</w:t>
      </w:r>
    </w:p>
    <w:p w14:paraId="1BEC54CA">
      <w:pPr>
        <w:rPr>
          <w:rFonts w:ascii="宋体" w:hAnsi="宋体" w:eastAsia="宋体" w:cs="宋体"/>
          <w:color w:val="auto"/>
          <w:highlight w:val="none"/>
        </w:rPr>
      </w:pPr>
      <w:r>
        <w:rPr>
          <w:rFonts w:hint="eastAsia" w:ascii="宋体" w:hAnsi="宋体" w:eastAsia="宋体" w:cs="宋体"/>
          <w:color w:val="auto"/>
          <w:highlight w:val="none"/>
        </w:rPr>
        <w:t>建议使用市造价管理部门发布的设计类合同示范范本</w:t>
      </w:r>
    </w:p>
    <w:p w14:paraId="7D58C6C2">
      <w:pPr>
        <w:rPr>
          <w:rFonts w:ascii="宋体" w:hAnsi="宋体" w:eastAsia="宋体" w:cs="宋体"/>
          <w:color w:val="auto"/>
          <w:highlight w:val="none"/>
        </w:rPr>
      </w:pPr>
    </w:p>
    <w:sectPr>
      <w:footerReference r:id="rId5" w:type="default"/>
      <w:pgSz w:w="11906" w:h="16838"/>
      <w:pgMar w:top="1134" w:right="1134" w:bottom="1134" w:left="1134" w:header="1247" w:footer="737" w:gutter="0"/>
      <w:cols w:space="720"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0D6E7">
    <w:pPr>
      <w:pStyle w:val="5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F96FD">
                          <w:pPr>
                            <w:pStyle w:val="5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D7F96FD">
                    <w:pPr>
                      <w:pStyle w:val="5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C5A8C">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C17B4">
                          <w:pPr>
                            <w:jc w:val="center"/>
                          </w:pPr>
                          <w:r>
                            <w:fldChar w:fldCharType="begin"/>
                          </w:r>
                          <w:r>
                            <w:instrText xml:space="preserve">PAGE   \* MERGEFORMAT</w:instrText>
                          </w:r>
                          <w:r>
                            <w:fldChar w:fldCharType="separate"/>
                          </w:r>
                          <w:r>
                            <w:rPr>
                              <w:lang w:val="zh-CN"/>
                            </w:rP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AC17B4">
                    <w:pPr>
                      <w:jc w:val="center"/>
                    </w:pPr>
                    <w:r>
                      <w:fldChar w:fldCharType="begin"/>
                    </w:r>
                    <w:r>
                      <w:instrText xml:space="preserve">PAGE   \* MERGEFORMAT</w:instrText>
                    </w:r>
                    <w:r>
                      <w:fldChar w:fldCharType="separate"/>
                    </w:r>
                    <w:r>
                      <w:rPr>
                        <w:lang w:val="zh-CN"/>
                      </w:rPr>
                      <w:t>51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6494B9DA">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[1]的具体要求源自《深圳市住房和建设局关于明确建设工程招标相关事宜的通知》第四条。</w:t>
      </w:r>
    </w:p>
  </w:footnote>
  <w:footnote w:id="1">
    <w:p w14:paraId="7170EB73">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[2]的具体要求源自《深圳市人民政府关于进一步规范建设工程招标投标活动的通知》(深府规〔2024〕8号)第三条。</w:t>
      </w:r>
    </w:p>
  </w:footnote>
  <w:footnote w:id="2">
    <w:p w14:paraId="7FCC9C2F">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[3]、[4]的具体要求源自《深圳市人民政府关于进一步规范建设工程招标投标活动的通知》(深府规〔2024〕8号)第四、七条。</w:t>
      </w:r>
    </w:p>
  </w:footnote>
  <w:footnote w:id="3">
    <w:p w14:paraId="05D389B6">
      <w:pPr>
        <w:pStyle w:val="62"/>
        <w:snapToGrid w:val="0"/>
      </w:pPr>
    </w:p>
  </w:footnote>
  <w:footnote w:id="4">
    <w:p w14:paraId="24D2C7A6">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[5]的具体要求源自《深圳市住房和建设局关于进一步规范招标投标有关事宜的通知》（深建市场〔2022〕4号）第三条。</w:t>
      </w:r>
    </w:p>
    <w:p w14:paraId="6DB363B4">
      <w:pPr>
        <w:pStyle w:val="62"/>
        <w:snapToGrid w:val="0"/>
      </w:pPr>
    </w:p>
  </w:footnote>
  <w:footnote w:id="5">
    <w:p w14:paraId="3698DA4D">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[6]-[9]的具体要求源自《深圳市人民政府关于进一步规范建设工程招标投标活动的通知》(深</w:t>
      </w:r>
    </w:p>
  </w:footnote>
  <w:footnote w:id="6">
    <w:p w14:paraId="41A4D1DC">
      <w:pPr>
        <w:adjustRightInd w:val="0"/>
        <w:snapToGrid w:val="0"/>
      </w:pPr>
      <w:r>
        <w:rPr>
          <w:rFonts w:hint="eastAsia" w:ascii="宋体" w:hAnsi="宋体" w:eastAsia="宋体" w:cs="宋体"/>
          <w:color w:val="000000" w:themeColor="text1"/>
          <w:szCs w:val="21"/>
          <w:lang w:val="en-US" w:eastAsia="zh-CN"/>
          <w14:textFill>
            <w14:solidFill>
              <w14:schemeClr w14:val="tx1"/>
            </w14:solidFill>
          </w14:textFill>
        </w:rPr>
        <w:t>府规〔2024〕8号)第五、七、九条以及《深圳市人民政府印发关于建设工程招标投标改革若干规定</w:t>
      </w:r>
    </w:p>
  </w:footnote>
  <w:footnote w:id="7">
    <w:p w14:paraId="67A2DAC2">
      <w:pPr>
        <w:adjustRightInd w:val="0"/>
        <w:snapToGrid w:val="0"/>
        <w:ind w:firstLine="0"/>
      </w:pPr>
      <w:r>
        <w:rPr>
          <w:rFonts w:hint="eastAsia" w:ascii="宋体" w:hAnsi="宋体" w:eastAsia="宋体" w:cs="宋体"/>
          <w:color w:val="000000" w:themeColor="text1"/>
          <w:szCs w:val="21"/>
          <w:lang w:val="en-US" w:eastAsia="zh-CN"/>
          <w14:textFill>
            <w14:solidFill>
              <w14:schemeClr w14:val="tx1"/>
            </w14:solidFill>
          </w14:textFill>
        </w:rPr>
        <w:t>的通知》（深府〔2015〕73号）第四十七条。</w:t>
      </w:r>
    </w:p>
  </w:footnote>
  <w:footnote w:id="8">
    <w:p w14:paraId="26CFA923">
      <w:pPr>
        <w:pStyle w:val="62"/>
        <w:snapToGrid w:val="0"/>
        <w:rPr>
          <w:rFonts w:hint="default" w:eastAsia="宋体"/>
          <w:lang w:val="en-US" w:eastAsia="zh-C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DB9B4"/>
    <w:multiLevelType w:val="singleLevel"/>
    <w:tmpl w:val="EE2DB9B4"/>
    <w:lvl w:ilvl="0" w:tentative="0">
      <w:start w:val="4"/>
      <w:numFmt w:val="chineseCounting"/>
      <w:suff w:val="nothing"/>
      <w:lvlText w:val="%1、"/>
      <w:lvlJc w:val="left"/>
      <w:rPr>
        <w:rFonts w:hint="eastAsia"/>
      </w:rPr>
    </w:lvl>
  </w:abstractNum>
  <w:abstractNum w:abstractNumId="1">
    <w:nsid w:val="7D22672B"/>
    <w:multiLevelType w:val="multilevel"/>
    <w:tmpl w:val="7D22672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8"/>
    <w:footnote w:id="1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mOTMwMTRjZDY4NTcwNWRkYzc5MjI4ZThkNzIyOGUifQ=="/>
    <w:docVar w:name="KSO_WPS_MARK_KEY" w:val="8f15e836-4dd9-4c90-8f71-4af0bc10ab1a"/>
  </w:docVars>
  <w:rsids>
    <w:rsidRoot w:val="0098207A"/>
    <w:rsid w:val="00005A05"/>
    <w:rsid w:val="000C2473"/>
    <w:rsid w:val="001B4F00"/>
    <w:rsid w:val="00214E57"/>
    <w:rsid w:val="00237ABD"/>
    <w:rsid w:val="002D0A40"/>
    <w:rsid w:val="00381040"/>
    <w:rsid w:val="00381D52"/>
    <w:rsid w:val="0039320D"/>
    <w:rsid w:val="003B07B5"/>
    <w:rsid w:val="00541338"/>
    <w:rsid w:val="005449F8"/>
    <w:rsid w:val="005651E2"/>
    <w:rsid w:val="00572956"/>
    <w:rsid w:val="00692E0C"/>
    <w:rsid w:val="006F2488"/>
    <w:rsid w:val="00704669"/>
    <w:rsid w:val="0094576B"/>
    <w:rsid w:val="00972F90"/>
    <w:rsid w:val="0098207A"/>
    <w:rsid w:val="00A51EB6"/>
    <w:rsid w:val="00A53C5C"/>
    <w:rsid w:val="00B94C65"/>
    <w:rsid w:val="00BB4731"/>
    <w:rsid w:val="00BE78E7"/>
    <w:rsid w:val="00C55466"/>
    <w:rsid w:val="00C6526C"/>
    <w:rsid w:val="00D16EBA"/>
    <w:rsid w:val="00D430D7"/>
    <w:rsid w:val="00DB7DD4"/>
    <w:rsid w:val="00DF3DD2"/>
    <w:rsid w:val="00DF73EB"/>
    <w:rsid w:val="00E1509A"/>
    <w:rsid w:val="00FF2678"/>
    <w:rsid w:val="010F3077"/>
    <w:rsid w:val="01222861"/>
    <w:rsid w:val="02543FEB"/>
    <w:rsid w:val="02AF7938"/>
    <w:rsid w:val="03404F08"/>
    <w:rsid w:val="03707562"/>
    <w:rsid w:val="03C12816"/>
    <w:rsid w:val="03D92499"/>
    <w:rsid w:val="03F3062D"/>
    <w:rsid w:val="03FD622B"/>
    <w:rsid w:val="04365740"/>
    <w:rsid w:val="04396E37"/>
    <w:rsid w:val="05124BCF"/>
    <w:rsid w:val="053053C9"/>
    <w:rsid w:val="058D598A"/>
    <w:rsid w:val="05975A9E"/>
    <w:rsid w:val="061340E1"/>
    <w:rsid w:val="069E7F76"/>
    <w:rsid w:val="06F15AA5"/>
    <w:rsid w:val="07757E6F"/>
    <w:rsid w:val="07CA0FD6"/>
    <w:rsid w:val="07E913A4"/>
    <w:rsid w:val="08135F56"/>
    <w:rsid w:val="08157702"/>
    <w:rsid w:val="08640511"/>
    <w:rsid w:val="08AD0891"/>
    <w:rsid w:val="08EB573C"/>
    <w:rsid w:val="09C54A03"/>
    <w:rsid w:val="0A735912"/>
    <w:rsid w:val="0BBD7762"/>
    <w:rsid w:val="0C225C38"/>
    <w:rsid w:val="0C746ABD"/>
    <w:rsid w:val="0C8B47F1"/>
    <w:rsid w:val="0CB115FB"/>
    <w:rsid w:val="0D4F4494"/>
    <w:rsid w:val="0D7B0878"/>
    <w:rsid w:val="0DDB4634"/>
    <w:rsid w:val="0DE6032D"/>
    <w:rsid w:val="0E75798A"/>
    <w:rsid w:val="0EC50E83"/>
    <w:rsid w:val="0F8B76DD"/>
    <w:rsid w:val="103C57C3"/>
    <w:rsid w:val="10746173"/>
    <w:rsid w:val="10C10A36"/>
    <w:rsid w:val="11025031"/>
    <w:rsid w:val="114F4368"/>
    <w:rsid w:val="125C0BBE"/>
    <w:rsid w:val="12773E40"/>
    <w:rsid w:val="12C578FE"/>
    <w:rsid w:val="130C6447"/>
    <w:rsid w:val="135037BF"/>
    <w:rsid w:val="141911AF"/>
    <w:rsid w:val="14B56429"/>
    <w:rsid w:val="14B57F9C"/>
    <w:rsid w:val="14FB27C8"/>
    <w:rsid w:val="158617B7"/>
    <w:rsid w:val="168439A7"/>
    <w:rsid w:val="169C4738"/>
    <w:rsid w:val="17321D9C"/>
    <w:rsid w:val="179D4832"/>
    <w:rsid w:val="181576A6"/>
    <w:rsid w:val="188624F1"/>
    <w:rsid w:val="18F964D4"/>
    <w:rsid w:val="18FE10DA"/>
    <w:rsid w:val="1A4563DB"/>
    <w:rsid w:val="1A491EAB"/>
    <w:rsid w:val="1AEE3B12"/>
    <w:rsid w:val="1AF5167A"/>
    <w:rsid w:val="1AF924BF"/>
    <w:rsid w:val="1B167F68"/>
    <w:rsid w:val="1B910D1B"/>
    <w:rsid w:val="1BAF6202"/>
    <w:rsid w:val="1C375572"/>
    <w:rsid w:val="1C771675"/>
    <w:rsid w:val="1C8A4F21"/>
    <w:rsid w:val="1C956884"/>
    <w:rsid w:val="1D220C6C"/>
    <w:rsid w:val="1DED2110"/>
    <w:rsid w:val="1DF75C3F"/>
    <w:rsid w:val="1EC26A69"/>
    <w:rsid w:val="1EE3319B"/>
    <w:rsid w:val="1F3212A3"/>
    <w:rsid w:val="1F4153C3"/>
    <w:rsid w:val="1FA31B8D"/>
    <w:rsid w:val="201F3622"/>
    <w:rsid w:val="20BB0CC8"/>
    <w:rsid w:val="22992700"/>
    <w:rsid w:val="231B6256"/>
    <w:rsid w:val="232C1B98"/>
    <w:rsid w:val="24160C67"/>
    <w:rsid w:val="242D7165"/>
    <w:rsid w:val="2439646A"/>
    <w:rsid w:val="245D5881"/>
    <w:rsid w:val="24FF672F"/>
    <w:rsid w:val="2530555E"/>
    <w:rsid w:val="2583059B"/>
    <w:rsid w:val="25872642"/>
    <w:rsid w:val="25970AA1"/>
    <w:rsid w:val="25AE4D6D"/>
    <w:rsid w:val="260475EE"/>
    <w:rsid w:val="263727CB"/>
    <w:rsid w:val="266F111A"/>
    <w:rsid w:val="26DD4C43"/>
    <w:rsid w:val="272522C5"/>
    <w:rsid w:val="278F5083"/>
    <w:rsid w:val="279C55DC"/>
    <w:rsid w:val="27E35050"/>
    <w:rsid w:val="28BE7803"/>
    <w:rsid w:val="28F21191"/>
    <w:rsid w:val="2A051DC6"/>
    <w:rsid w:val="2AC83A6C"/>
    <w:rsid w:val="2B927F41"/>
    <w:rsid w:val="2C2220D9"/>
    <w:rsid w:val="2C9E3311"/>
    <w:rsid w:val="2CFD7A89"/>
    <w:rsid w:val="2CFF2826"/>
    <w:rsid w:val="2D005D7F"/>
    <w:rsid w:val="2D191D8E"/>
    <w:rsid w:val="2D3C55BF"/>
    <w:rsid w:val="2D5219A3"/>
    <w:rsid w:val="2D956228"/>
    <w:rsid w:val="2DA51213"/>
    <w:rsid w:val="2DC55467"/>
    <w:rsid w:val="2E61338C"/>
    <w:rsid w:val="2EBF6305"/>
    <w:rsid w:val="2F2517AF"/>
    <w:rsid w:val="2F6F7D2B"/>
    <w:rsid w:val="2F834FA7"/>
    <w:rsid w:val="2FB57C11"/>
    <w:rsid w:val="30127E9C"/>
    <w:rsid w:val="303946BB"/>
    <w:rsid w:val="3058256D"/>
    <w:rsid w:val="31004A9C"/>
    <w:rsid w:val="319B716C"/>
    <w:rsid w:val="31B42E39"/>
    <w:rsid w:val="31C53C32"/>
    <w:rsid w:val="32134DD5"/>
    <w:rsid w:val="32384F3D"/>
    <w:rsid w:val="326276D3"/>
    <w:rsid w:val="329B2BE5"/>
    <w:rsid w:val="32FC004E"/>
    <w:rsid w:val="333F5C66"/>
    <w:rsid w:val="343B01DB"/>
    <w:rsid w:val="344829B6"/>
    <w:rsid w:val="351D3D85"/>
    <w:rsid w:val="352841D7"/>
    <w:rsid w:val="353E4554"/>
    <w:rsid w:val="35B75B3B"/>
    <w:rsid w:val="35BE6D1C"/>
    <w:rsid w:val="36353E74"/>
    <w:rsid w:val="369D743C"/>
    <w:rsid w:val="36AD7C62"/>
    <w:rsid w:val="36DF7544"/>
    <w:rsid w:val="37414E2F"/>
    <w:rsid w:val="376702E5"/>
    <w:rsid w:val="37D77A1D"/>
    <w:rsid w:val="37F667FF"/>
    <w:rsid w:val="38591578"/>
    <w:rsid w:val="38B8397F"/>
    <w:rsid w:val="39643D30"/>
    <w:rsid w:val="3A06498E"/>
    <w:rsid w:val="3A4A72A1"/>
    <w:rsid w:val="3ACE2A23"/>
    <w:rsid w:val="3B6062C9"/>
    <w:rsid w:val="3B770BFA"/>
    <w:rsid w:val="3BA02E0F"/>
    <w:rsid w:val="3BBE66E6"/>
    <w:rsid w:val="3BD96CCB"/>
    <w:rsid w:val="3C3635D6"/>
    <w:rsid w:val="3C371BB9"/>
    <w:rsid w:val="3C924665"/>
    <w:rsid w:val="3CD605BB"/>
    <w:rsid w:val="3CEF0D5F"/>
    <w:rsid w:val="3D74475E"/>
    <w:rsid w:val="3E120395"/>
    <w:rsid w:val="3E580094"/>
    <w:rsid w:val="3EBE557F"/>
    <w:rsid w:val="3F340649"/>
    <w:rsid w:val="3F8D4ADB"/>
    <w:rsid w:val="40140D3D"/>
    <w:rsid w:val="402402A1"/>
    <w:rsid w:val="40913795"/>
    <w:rsid w:val="40DB253A"/>
    <w:rsid w:val="412C6752"/>
    <w:rsid w:val="41526B64"/>
    <w:rsid w:val="41696CCA"/>
    <w:rsid w:val="41935B65"/>
    <w:rsid w:val="41BD2160"/>
    <w:rsid w:val="420B3BE6"/>
    <w:rsid w:val="42916A0C"/>
    <w:rsid w:val="43397FDC"/>
    <w:rsid w:val="43A21097"/>
    <w:rsid w:val="43DC3C38"/>
    <w:rsid w:val="43EC5437"/>
    <w:rsid w:val="44001CCE"/>
    <w:rsid w:val="443D74B5"/>
    <w:rsid w:val="44D258DF"/>
    <w:rsid w:val="451C45C0"/>
    <w:rsid w:val="45516B00"/>
    <w:rsid w:val="466D0097"/>
    <w:rsid w:val="46937505"/>
    <w:rsid w:val="46F72688"/>
    <w:rsid w:val="472B2756"/>
    <w:rsid w:val="474F00CC"/>
    <w:rsid w:val="478A7399"/>
    <w:rsid w:val="47936940"/>
    <w:rsid w:val="48270124"/>
    <w:rsid w:val="48B63D3D"/>
    <w:rsid w:val="48C1255C"/>
    <w:rsid w:val="48FA645F"/>
    <w:rsid w:val="494119E7"/>
    <w:rsid w:val="498B3C53"/>
    <w:rsid w:val="49D778EB"/>
    <w:rsid w:val="49E8778F"/>
    <w:rsid w:val="4A1D59B7"/>
    <w:rsid w:val="4A201D24"/>
    <w:rsid w:val="4AE22D26"/>
    <w:rsid w:val="4AF52893"/>
    <w:rsid w:val="4BDA36E3"/>
    <w:rsid w:val="4BDD5D96"/>
    <w:rsid w:val="4BFF2922"/>
    <w:rsid w:val="4C1A768C"/>
    <w:rsid w:val="4CDB3A16"/>
    <w:rsid w:val="4D2239F2"/>
    <w:rsid w:val="4DBF5582"/>
    <w:rsid w:val="4DEA4606"/>
    <w:rsid w:val="4FC74093"/>
    <w:rsid w:val="4FDF6815"/>
    <w:rsid w:val="4FF96A83"/>
    <w:rsid w:val="5101651E"/>
    <w:rsid w:val="51033507"/>
    <w:rsid w:val="51411532"/>
    <w:rsid w:val="52841DA5"/>
    <w:rsid w:val="52C050B6"/>
    <w:rsid w:val="53395710"/>
    <w:rsid w:val="53D778F9"/>
    <w:rsid w:val="54B24E99"/>
    <w:rsid w:val="5526344E"/>
    <w:rsid w:val="556644E4"/>
    <w:rsid w:val="55F34C3B"/>
    <w:rsid w:val="571E5A0F"/>
    <w:rsid w:val="57280663"/>
    <w:rsid w:val="574169AF"/>
    <w:rsid w:val="57BE2BBD"/>
    <w:rsid w:val="57E2278D"/>
    <w:rsid w:val="584D5A13"/>
    <w:rsid w:val="584D65AC"/>
    <w:rsid w:val="58692CBA"/>
    <w:rsid w:val="58B1683E"/>
    <w:rsid w:val="58E93DFA"/>
    <w:rsid w:val="59343F90"/>
    <w:rsid w:val="594E0C6A"/>
    <w:rsid w:val="598C1AAD"/>
    <w:rsid w:val="59D979CB"/>
    <w:rsid w:val="59F9006D"/>
    <w:rsid w:val="5A515808"/>
    <w:rsid w:val="5AA14FF6"/>
    <w:rsid w:val="5AD71C6E"/>
    <w:rsid w:val="5BED1FB7"/>
    <w:rsid w:val="5CC33BB7"/>
    <w:rsid w:val="5D054B36"/>
    <w:rsid w:val="5D082B9D"/>
    <w:rsid w:val="5D64571D"/>
    <w:rsid w:val="5DB36498"/>
    <w:rsid w:val="5E3B40ED"/>
    <w:rsid w:val="5E44663D"/>
    <w:rsid w:val="5EF955F9"/>
    <w:rsid w:val="5FEF25ED"/>
    <w:rsid w:val="606B7FFC"/>
    <w:rsid w:val="60760363"/>
    <w:rsid w:val="61253896"/>
    <w:rsid w:val="61CE2791"/>
    <w:rsid w:val="62612827"/>
    <w:rsid w:val="62974EEF"/>
    <w:rsid w:val="62AA2E12"/>
    <w:rsid w:val="62D36341"/>
    <w:rsid w:val="62E3549F"/>
    <w:rsid w:val="63F078A7"/>
    <w:rsid w:val="63F607E7"/>
    <w:rsid w:val="640658F6"/>
    <w:rsid w:val="645A795A"/>
    <w:rsid w:val="64892981"/>
    <w:rsid w:val="64C574CA"/>
    <w:rsid w:val="65037395"/>
    <w:rsid w:val="655E5E3C"/>
    <w:rsid w:val="656016CE"/>
    <w:rsid w:val="65DC4ACB"/>
    <w:rsid w:val="66106E6A"/>
    <w:rsid w:val="663A6E09"/>
    <w:rsid w:val="66D84A61"/>
    <w:rsid w:val="66F14244"/>
    <w:rsid w:val="6746316E"/>
    <w:rsid w:val="6856228A"/>
    <w:rsid w:val="68B71BEF"/>
    <w:rsid w:val="68F30C8A"/>
    <w:rsid w:val="695D2339"/>
    <w:rsid w:val="69BA4EFE"/>
    <w:rsid w:val="6A576E16"/>
    <w:rsid w:val="6A61388B"/>
    <w:rsid w:val="6A6752A6"/>
    <w:rsid w:val="6B79220F"/>
    <w:rsid w:val="6BC24763"/>
    <w:rsid w:val="6BEB70C0"/>
    <w:rsid w:val="6C0C0C87"/>
    <w:rsid w:val="6C6A18D0"/>
    <w:rsid w:val="6CBB26FA"/>
    <w:rsid w:val="6D8002F0"/>
    <w:rsid w:val="6D87118A"/>
    <w:rsid w:val="6DF02D94"/>
    <w:rsid w:val="6EBE56B6"/>
    <w:rsid w:val="6F7E73B3"/>
    <w:rsid w:val="6FBD1AF1"/>
    <w:rsid w:val="70CA3F61"/>
    <w:rsid w:val="713D49A0"/>
    <w:rsid w:val="718524BB"/>
    <w:rsid w:val="71D376CA"/>
    <w:rsid w:val="71E61E59"/>
    <w:rsid w:val="72485261"/>
    <w:rsid w:val="72705C86"/>
    <w:rsid w:val="7279700A"/>
    <w:rsid w:val="72B648F6"/>
    <w:rsid w:val="730E4A24"/>
    <w:rsid w:val="731D700F"/>
    <w:rsid w:val="737D2D45"/>
    <w:rsid w:val="73AA26AC"/>
    <w:rsid w:val="73DB73CE"/>
    <w:rsid w:val="74014CFD"/>
    <w:rsid w:val="741E53A2"/>
    <w:rsid w:val="74984C54"/>
    <w:rsid w:val="74A0585D"/>
    <w:rsid w:val="7563761F"/>
    <w:rsid w:val="75BD6F05"/>
    <w:rsid w:val="75CB7F75"/>
    <w:rsid w:val="763C648B"/>
    <w:rsid w:val="764F4E7B"/>
    <w:rsid w:val="7669667B"/>
    <w:rsid w:val="76C71663"/>
    <w:rsid w:val="76C9109B"/>
    <w:rsid w:val="7718691C"/>
    <w:rsid w:val="774562F7"/>
    <w:rsid w:val="779F2461"/>
    <w:rsid w:val="77D655FF"/>
    <w:rsid w:val="78276081"/>
    <w:rsid w:val="78652BF2"/>
    <w:rsid w:val="786F477A"/>
    <w:rsid w:val="78E56468"/>
    <w:rsid w:val="790C526F"/>
    <w:rsid w:val="797265B2"/>
    <w:rsid w:val="797A667D"/>
    <w:rsid w:val="79B20162"/>
    <w:rsid w:val="79F07CD6"/>
    <w:rsid w:val="79F707C4"/>
    <w:rsid w:val="7A8A11D0"/>
    <w:rsid w:val="7AA30990"/>
    <w:rsid w:val="7AAF70E6"/>
    <w:rsid w:val="7B6B1515"/>
    <w:rsid w:val="7CA4332E"/>
    <w:rsid w:val="7CE6267C"/>
    <w:rsid w:val="7CF40F8E"/>
    <w:rsid w:val="7D231DD8"/>
    <w:rsid w:val="7D787D79"/>
    <w:rsid w:val="7D7E21E3"/>
    <w:rsid w:val="7E2265CE"/>
    <w:rsid w:val="7E9677CA"/>
    <w:rsid w:val="7F09560F"/>
    <w:rsid w:val="7F497728"/>
    <w:rsid w:val="7F756EE0"/>
    <w:rsid w:val="7FFFB999"/>
    <w:rsid w:val="DF5A4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uiPriority="99"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semiHidden="0" w:name="Title"/>
    <w:lsdException w:qFormat="1" w:unhideWhenUsed="0" w:uiPriority="0" w:name="Closing"/>
    <w:lsdException w:qFormat="1" w:unhideWhenUsed="0" w:uiPriority="0" w:name="Signature"/>
    <w:lsdException w:qFormat="1" w:uiPriority="1" w:name="Default Paragraph Font"/>
    <w:lsdException w:qFormat="1" w:uiPriority="99" w:name="Body Text"/>
    <w:lsdException w:qFormat="1" w:uiPriority="99"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name="Date"/>
    <w:lsdException w:qFormat="1" w:unhideWhenUsed="0" w:uiPriority="0" w:name="Body Text First Indent"/>
    <w:lsdException w:qFormat="1" w:unhideWhenUsed="0" w:uiPriority="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qFormat="1" w:unhideWhenUsed="0" w:uiPriority="0" w:name="E-mail Signature"/>
    <w:lsdException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semiHidden="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1"/>
    <w:qFormat/>
    <w:uiPriority w:val="0"/>
    <w:pPr>
      <w:keepNext/>
      <w:keepLines/>
      <w:spacing w:before="260" w:after="260" w:line="416" w:lineRule="auto"/>
      <w:ind w:left="720" w:hanging="432"/>
      <w:outlineLvl w:val="2"/>
    </w:pPr>
    <w:rPr>
      <w:b/>
      <w:bCs/>
      <w:sz w:val="32"/>
      <w:szCs w:val="32"/>
    </w:rPr>
  </w:style>
  <w:style w:type="paragraph" w:styleId="5">
    <w:name w:val="heading 4"/>
    <w:basedOn w:val="1"/>
    <w:next w:val="1"/>
    <w:link w:val="142"/>
    <w:qFormat/>
    <w:uiPriority w:val="0"/>
    <w:pPr>
      <w:keepNext/>
      <w:keepLines/>
      <w:spacing w:before="280" w:after="290" w:line="376" w:lineRule="auto"/>
      <w:ind w:left="864" w:hanging="144"/>
      <w:outlineLvl w:val="3"/>
    </w:pPr>
    <w:rPr>
      <w:rFonts w:asciiTheme="majorHAnsi" w:hAnsiTheme="majorHAnsi" w:eastAsiaTheme="majorEastAsia" w:cstheme="majorBidi"/>
      <w:b/>
      <w:bCs/>
      <w:sz w:val="28"/>
      <w:szCs w:val="28"/>
    </w:rPr>
  </w:style>
  <w:style w:type="paragraph" w:styleId="6">
    <w:name w:val="heading 5"/>
    <w:basedOn w:val="1"/>
    <w:next w:val="1"/>
    <w:link w:val="143"/>
    <w:qFormat/>
    <w:uiPriority w:val="0"/>
    <w:pPr>
      <w:keepNext/>
      <w:keepLines/>
      <w:spacing w:before="280" w:after="290" w:line="376" w:lineRule="auto"/>
      <w:ind w:left="1008" w:hanging="432"/>
      <w:outlineLvl w:val="4"/>
    </w:pPr>
    <w:rPr>
      <w:b/>
      <w:bCs/>
      <w:sz w:val="28"/>
      <w:szCs w:val="28"/>
    </w:rPr>
  </w:style>
  <w:style w:type="paragraph" w:styleId="7">
    <w:name w:val="heading 6"/>
    <w:basedOn w:val="1"/>
    <w:next w:val="1"/>
    <w:link w:val="144"/>
    <w:qFormat/>
    <w:uiPriority w:val="0"/>
    <w:pPr>
      <w:keepNext/>
      <w:keepLines/>
      <w:spacing w:before="240" w:after="64" w:line="320" w:lineRule="auto"/>
      <w:ind w:left="1152" w:hanging="432"/>
      <w:outlineLvl w:val="5"/>
    </w:pPr>
    <w:rPr>
      <w:rFonts w:asciiTheme="majorHAnsi" w:hAnsiTheme="majorHAnsi" w:eastAsiaTheme="majorEastAsia" w:cstheme="majorBidi"/>
      <w:b/>
      <w:bCs/>
      <w:sz w:val="24"/>
      <w:szCs w:val="24"/>
    </w:rPr>
  </w:style>
  <w:style w:type="paragraph" w:styleId="8">
    <w:name w:val="heading 7"/>
    <w:basedOn w:val="1"/>
    <w:next w:val="1"/>
    <w:link w:val="145"/>
    <w:qFormat/>
    <w:uiPriority w:val="0"/>
    <w:pPr>
      <w:keepNext/>
      <w:keepLines/>
      <w:spacing w:before="240" w:after="64" w:line="320" w:lineRule="auto"/>
      <w:ind w:left="1296" w:hanging="288"/>
      <w:outlineLvl w:val="6"/>
    </w:pPr>
    <w:rPr>
      <w:b/>
      <w:bCs/>
      <w:sz w:val="24"/>
      <w:szCs w:val="24"/>
    </w:rPr>
  </w:style>
  <w:style w:type="paragraph" w:styleId="9">
    <w:name w:val="heading 8"/>
    <w:basedOn w:val="1"/>
    <w:next w:val="1"/>
    <w:link w:val="146"/>
    <w:qFormat/>
    <w:uiPriority w:val="0"/>
    <w:pPr>
      <w:keepNext/>
      <w:keepLines/>
      <w:spacing w:before="240" w:after="64" w:line="320" w:lineRule="auto"/>
      <w:ind w:left="1440" w:hanging="432"/>
      <w:outlineLvl w:val="7"/>
    </w:pPr>
    <w:rPr>
      <w:rFonts w:asciiTheme="majorHAnsi" w:hAnsiTheme="majorHAnsi" w:eastAsiaTheme="majorEastAsia" w:cstheme="majorBidi"/>
      <w:sz w:val="24"/>
      <w:szCs w:val="24"/>
    </w:rPr>
  </w:style>
  <w:style w:type="paragraph" w:styleId="10">
    <w:name w:val="heading 9"/>
    <w:basedOn w:val="1"/>
    <w:next w:val="1"/>
    <w:link w:val="147"/>
    <w:qFormat/>
    <w:uiPriority w:val="0"/>
    <w:pPr>
      <w:keepNext/>
      <w:keepLines/>
      <w:spacing w:before="240" w:after="64" w:line="320" w:lineRule="auto"/>
      <w:ind w:left="1584" w:hanging="144"/>
      <w:outlineLvl w:val="8"/>
    </w:pPr>
    <w:rPr>
      <w:rFonts w:asciiTheme="majorHAnsi" w:hAnsiTheme="majorHAnsi" w:eastAsiaTheme="majorEastAsia" w:cstheme="majorBidi"/>
      <w:szCs w:val="21"/>
    </w:rPr>
  </w:style>
  <w:style w:type="character" w:default="1" w:styleId="124">
    <w:name w:val="Default Paragraph Font"/>
    <w:semiHidden/>
    <w:unhideWhenUsed/>
    <w:qFormat/>
    <w:uiPriority w:val="1"/>
  </w:style>
  <w:style w:type="table" w:default="1" w:styleId="7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qFormat/>
    <w:uiPriority w:val="0"/>
    <w:pPr>
      <w:ind w:left="100" w:leftChars="400" w:hanging="200" w:hangingChars="200"/>
    </w:pPr>
    <w:rPr>
      <w:rFonts w:ascii="Times New Roman" w:hAnsi="Times New Roman" w:eastAsia="宋体" w:cs="Times New Roman"/>
      <w:szCs w:val="24"/>
    </w:rPr>
  </w:style>
  <w:style w:type="paragraph" w:styleId="12">
    <w:name w:val="toc 7"/>
    <w:basedOn w:val="1"/>
    <w:next w:val="1"/>
    <w:semiHidden/>
    <w:qFormat/>
    <w:uiPriority w:val="0"/>
    <w:pPr>
      <w:ind w:left="1260"/>
      <w:jc w:val="left"/>
    </w:pPr>
    <w:rPr>
      <w:rFonts w:ascii="Times New Roman" w:hAnsi="Times New Roman" w:eastAsia="宋体" w:cs="Times New Roman"/>
      <w:sz w:val="18"/>
      <w:szCs w:val="18"/>
    </w:rPr>
  </w:style>
  <w:style w:type="paragraph" w:styleId="13">
    <w:name w:val="List Number 2"/>
    <w:basedOn w:val="1"/>
    <w:semiHidden/>
    <w:qFormat/>
    <w:uiPriority w:val="0"/>
    <w:pPr>
      <w:tabs>
        <w:tab w:val="left" w:pos="780"/>
      </w:tabs>
      <w:ind w:left="780" w:hanging="360"/>
    </w:pPr>
    <w:rPr>
      <w:rFonts w:ascii="Times New Roman" w:hAnsi="Times New Roman" w:eastAsia="宋体" w:cs="Times New Roman"/>
      <w:szCs w:val="24"/>
    </w:rPr>
  </w:style>
  <w:style w:type="paragraph" w:styleId="14">
    <w:name w:val="Note Heading"/>
    <w:basedOn w:val="1"/>
    <w:next w:val="1"/>
    <w:link w:val="151"/>
    <w:semiHidden/>
    <w:qFormat/>
    <w:uiPriority w:val="0"/>
    <w:pPr>
      <w:jc w:val="center"/>
    </w:pPr>
    <w:rPr>
      <w:rFonts w:ascii="Times New Roman" w:hAnsi="Times New Roman" w:eastAsia="宋体" w:cs="Times New Roman"/>
      <w:szCs w:val="24"/>
    </w:rPr>
  </w:style>
  <w:style w:type="paragraph" w:styleId="15">
    <w:name w:val="List Bullet 4"/>
    <w:basedOn w:val="1"/>
    <w:semiHidden/>
    <w:qFormat/>
    <w:uiPriority w:val="0"/>
    <w:pPr>
      <w:tabs>
        <w:tab w:val="left" w:pos="1620"/>
      </w:tabs>
      <w:ind w:left="1620" w:hanging="360"/>
    </w:pPr>
    <w:rPr>
      <w:rFonts w:ascii="Times New Roman" w:hAnsi="Times New Roman" w:eastAsia="宋体" w:cs="Times New Roman"/>
      <w:szCs w:val="24"/>
    </w:rPr>
  </w:style>
  <w:style w:type="paragraph" w:styleId="16">
    <w:name w:val="index 8"/>
    <w:basedOn w:val="1"/>
    <w:next w:val="1"/>
    <w:semiHidden/>
    <w:qFormat/>
    <w:uiPriority w:val="0"/>
    <w:pPr>
      <w:ind w:left="1680" w:hanging="210"/>
      <w:jc w:val="left"/>
    </w:pPr>
    <w:rPr>
      <w:rFonts w:ascii="Times New Roman" w:hAnsi="Times New Roman" w:eastAsia="宋体" w:cs="Times New Roman"/>
      <w:sz w:val="20"/>
      <w:szCs w:val="20"/>
    </w:rPr>
  </w:style>
  <w:style w:type="paragraph" w:styleId="17">
    <w:name w:val="E-mail Signature"/>
    <w:basedOn w:val="1"/>
    <w:link w:val="153"/>
    <w:semiHidden/>
    <w:qFormat/>
    <w:uiPriority w:val="0"/>
    <w:rPr>
      <w:rFonts w:ascii="Times New Roman" w:hAnsi="Times New Roman" w:eastAsia="宋体" w:cs="Times New Roman"/>
      <w:szCs w:val="24"/>
    </w:rPr>
  </w:style>
  <w:style w:type="paragraph" w:styleId="18">
    <w:name w:val="List Number"/>
    <w:basedOn w:val="1"/>
    <w:semiHidden/>
    <w:qFormat/>
    <w:uiPriority w:val="0"/>
    <w:pPr>
      <w:tabs>
        <w:tab w:val="left" w:pos="360"/>
      </w:tabs>
      <w:ind w:left="360" w:hanging="360"/>
    </w:pPr>
    <w:rPr>
      <w:rFonts w:ascii="Times New Roman" w:hAnsi="Times New Roman" w:eastAsia="宋体" w:cs="Times New Roman"/>
      <w:szCs w:val="24"/>
    </w:rPr>
  </w:style>
  <w:style w:type="paragraph" w:styleId="19">
    <w:name w:val="index 5"/>
    <w:basedOn w:val="1"/>
    <w:next w:val="1"/>
    <w:semiHidden/>
    <w:qFormat/>
    <w:uiPriority w:val="0"/>
    <w:pPr>
      <w:ind w:left="1050" w:hanging="210"/>
      <w:jc w:val="left"/>
    </w:pPr>
    <w:rPr>
      <w:rFonts w:ascii="Times New Roman" w:hAnsi="Times New Roman" w:eastAsia="宋体" w:cs="Times New Roman"/>
      <w:sz w:val="20"/>
      <w:szCs w:val="20"/>
    </w:rPr>
  </w:style>
  <w:style w:type="paragraph" w:styleId="20">
    <w:name w:val="List Bullet"/>
    <w:basedOn w:val="1"/>
    <w:semiHidden/>
    <w:qFormat/>
    <w:uiPriority w:val="0"/>
    <w:pPr>
      <w:tabs>
        <w:tab w:val="left" w:pos="360"/>
      </w:tabs>
      <w:ind w:left="360" w:hanging="360"/>
    </w:pPr>
    <w:rPr>
      <w:rFonts w:ascii="Times New Roman" w:hAnsi="Times New Roman" w:eastAsia="宋体" w:cs="Times New Roman"/>
      <w:szCs w:val="24"/>
    </w:rPr>
  </w:style>
  <w:style w:type="paragraph" w:styleId="21">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eastAsia="宋体" w:cs="Arial"/>
      <w:sz w:val="24"/>
      <w:szCs w:val="24"/>
    </w:rPr>
  </w:style>
  <w:style w:type="paragraph" w:styleId="22">
    <w:name w:val="Document Map"/>
    <w:basedOn w:val="1"/>
    <w:link w:val="156"/>
    <w:qFormat/>
    <w:uiPriority w:val="0"/>
    <w:pPr>
      <w:shd w:val="clear" w:color="auto" w:fill="000080"/>
    </w:pPr>
    <w:rPr>
      <w:rFonts w:ascii="Times New Roman" w:hAnsi="Times New Roman" w:eastAsia="宋体" w:cs="Times New Roman"/>
      <w:szCs w:val="20"/>
    </w:rPr>
  </w:style>
  <w:style w:type="paragraph" w:styleId="23">
    <w:name w:val="toa heading"/>
    <w:basedOn w:val="1"/>
    <w:next w:val="1"/>
    <w:semiHidden/>
    <w:qFormat/>
    <w:uiPriority w:val="0"/>
    <w:pPr>
      <w:autoSpaceDE w:val="0"/>
      <w:autoSpaceDN w:val="0"/>
      <w:adjustRightInd w:val="0"/>
      <w:spacing w:before="120" w:after="60" w:line="360" w:lineRule="auto"/>
      <w:ind w:right="-425"/>
    </w:pPr>
    <w:rPr>
      <w:rFonts w:ascii="Arial" w:hAnsi="Arial" w:eastAsia="宋体" w:cs="Times New Roman"/>
      <w:color w:val="000000"/>
      <w:sz w:val="24"/>
      <w:szCs w:val="20"/>
    </w:rPr>
  </w:style>
  <w:style w:type="paragraph" w:styleId="24">
    <w:name w:val="annotation text"/>
    <w:basedOn w:val="1"/>
    <w:link w:val="176"/>
    <w:unhideWhenUsed/>
    <w:qFormat/>
    <w:uiPriority w:val="0"/>
    <w:pPr>
      <w:jc w:val="left"/>
    </w:pPr>
    <w:rPr>
      <w:rFonts w:ascii="Times New Roman" w:hAnsi="Times New Roman" w:eastAsia="宋体" w:cs="Times New Roman"/>
      <w:szCs w:val="20"/>
    </w:rPr>
  </w:style>
  <w:style w:type="paragraph" w:styleId="25">
    <w:name w:val="index 6"/>
    <w:basedOn w:val="1"/>
    <w:next w:val="1"/>
    <w:semiHidden/>
    <w:qFormat/>
    <w:uiPriority w:val="0"/>
    <w:pPr>
      <w:ind w:left="1260" w:hanging="210"/>
      <w:jc w:val="left"/>
    </w:pPr>
    <w:rPr>
      <w:rFonts w:ascii="Times New Roman" w:hAnsi="Times New Roman" w:eastAsia="宋体" w:cs="Times New Roman"/>
      <w:sz w:val="20"/>
      <w:szCs w:val="20"/>
    </w:rPr>
  </w:style>
  <w:style w:type="paragraph" w:styleId="26">
    <w:name w:val="Salutation"/>
    <w:basedOn w:val="1"/>
    <w:next w:val="1"/>
    <w:link w:val="167"/>
    <w:semiHidden/>
    <w:qFormat/>
    <w:uiPriority w:val="0"/>
    <w:rPr>
      <w:rFonts w:ascii="Times New Roman" w:hAnsi="Times New Roman" w:eastAsia="宋体" w:cs="Times New Roman"/>
      <w:szCs w:val="24"/>
    </w:rPr>
  </w:style>
  <w:style w:type="paragraph" w:styleId="27">
    <w:name w:val="Body Text 3"/>
    <w:basedOn w:val="1"/>
    <w:link w:val="158"/>
    <w:semiHidden/>
    <w:qFormat/>
    <w:uiPriority w:val="0"/>
    <w:pPr>
      <w:spacing w:after="120"/>
    </w:pPr>
    <w:rPr>
      <w:rFonts w:ascii="Times New Roman" w:hAnsi="Times New Roman" w:eastAsia="宋体" w:cs="Times New Roman"/>
      <w:sz w:val="16"/>
      <w:szCs w:val="16"/>
    </w:rPr>
  </w:style>
  <w:style w:type="paragraph" w:styleId="28">
    <w:name w:val="Closing"/>
    <w:basedOn w:val="1"/>
    <w:link w:val="168"/>
    <w:semiHidden/>
    <w:qFormat/>
    <w:uiPriority w:val="0"/>
    <w:pPr>
      <w:ind w:left="100" w:leftChars="2100"/>
    </w:pPr>
    <w:rPr>
      <w:rFonts w:ascii="Times New Roman" w:hAnsi="Times New Roman" w:eastAsia="宋体" w:cs="Times New Roman"/>
      <w:szCs w:val="24"/>
    </w:rPr>
  </w:style>
  <w:style w:type="paragraph" w:styleId="29">
    <w:name w:val="List Bullet 3"/>
    <w:basedOn w:val="1"/>
    <w:semiHidden/>
    <w:qFormat/>
    <w:uiPriority w:val="0"/>
    <w:pPr>
      <w:tabs>
        <w:tab w:val="left" w:pos="1200"/>
      </w:tabs>
      <w:ind w:left="1200" w:hanging="360"/>
    </w:pPr>
    <w:rPr>
      <w:rFonts w:ascii="Times New Roman" w:hAnsi="Times New Roman" w:eastAsia="宋体" w:cs="Times New Roman"/>
      <w:szCs w:val="24"/>
    </w:rPr>
  </w:style>
  <w:style w:type="paragraph" w:styleId="30">
    <w:name w:val="Body Text"/>
    <w:basedOn w:val="1"/>
    <w:link w:val="179"/>
    <w:semiHidden/>
    <w:unhideWhenUsed/>
    <w:qFormat/>
    <w:uiPriority w:val="99"/>
    <w:pPr>
      <w:spacing w:after="120"/>
    </w:pPr>
    <w:rPr>
      <w:rFonts w:ascii="Times New Roman" w:hAnsi="Times New Roman" w:eastAsia="宋体" w:cs="Times New Roman"/>
      <w:szCs w:val="20"/>
    </w:rPr>
  </w:style>
  <w:style w:type="paragraph" w:styleId="31">
    <w:name w:val="Body Text Indent"/>
    <w:basedOn w:val="1"/>
    <w:link w:val="200"/>
    <w:semiHidden/>
    <w:unhideWhenUsed/>
    <w:qFormat/>
    <w:uiPriority w:val="99"/>
    <w:pPr>
      <w:spacing w:after="120"/>
      <w:ind w:left="420" w:leftChars="200"/>
    </w:pPr>
    <w:rPr>
      <w:rFonts w:ascii="Times New Roman" w:hAnsi="Times New Roman" w:eastAsia="宋体" w:cs="Times New Roman"/>
      <w:szCs w:val="20"/>
    </w:rPr>
  </w:style>
  <w:style w:type="paragraph" w:styleId="32">
    <w:name w:val="List Number 3"/>
    <w:basedOn w:val="1"/>
    <w:semiHidden/>
    <w:qFormat/>
    <w:uiPriority w:val="0"/>
    <w:pPr>
      <w:tabs>
        <w:tab w:val="left" w:pos="1200"/>
      </w:tabs>
      <w:ind w:left="1200" w:hanging="360"/>
    </w:pPr>
    <w:rPr>
      <w:rFonts w:ascii="Times New Roman" w:hAnsi="Times New Roman" w:eastAsia="宋体" w:cs="Times New Roman"/>
      <w:szCs w:val="24"/>
    </w:rPr>
  </w:style>
  <w:style w:type="paragraph" w:styleId="33">
    <w:name w:val="List 2"/>
    <w:basedOn w:val="1"/>
    <w:semiHidden/>
    <w:qFormat/>
    <w:uiPriority w:val="0"/>
    <w:pPr>
      <w:ind w:left="100" w:leftChars="200" w:hanging="200" w:hangingChars="200"/>
    </w:pPr>
    <w:rPr>
      <w:rFonts w:ascii="Times New Roman" w:hAnsi="Times New Roman" w:eastAsia="宋体" w:cs="Times New Roman"/>
      <w:szCs w:val="24"/>
    </w:rPr>
  </w:style>
  <w:style w:type="paragraph" w:styleId="34">
    <w:name w:val="List Continue"/>
    <w:basedOn w:val="1"/>
    <w:semiHidden/>
    <w:qFormat/>
    <w:uiPriority w:val="0"/>
    <w:pPr>
      <w:spacing w:after="120"/>
      <w:ind w:left="420" w:leftChars="200"/>
    </w:pPr>
    <w:rPr>
      <w:rFonts w:ascii="Times New Roman" w:hAnsi="Times New Roman" w:eastAsia="宋体" w:cs="Times New Roman"/>
      <w:szCs w:val="24"/>
    </w:rPr>
  </w:style>
  <w:style w:type="paragraph" w:styleId="35">
    <w:name w:val="Block Text"/>
    <w:basedOn w:val="1"/>
    <w:semiHidden/>
    <w:qFormat/>
    <w:uiPriority w:val="0"/>
    <w:pPr>
      <w:spacing w:after="120"/>
      <w:ind w:left="1440" w:leftChars="700" w:right="1440" w:rightChars="700"/>
    </w:pPr>
    <w:rPr>
      <w:rFonts w:ascii="Times New Roman" w:hAnsi="Times New Roman" w:eastAsia="宋体" w:cs="Times New Roman"/>
      <w:szCs w:val="24"/>
    </w:rPr>
  </w:style>
  <w:style w:type="paragraph" w:styleId="36">
    <w:name w:val="List Bullet 2"/>
    <w:basedOn w:val="1"/>
    <w:semiHidden/>
    <w:qFormat/>
    <w:uiPriority w:val="0"/>
    <w:pPr>
      <w:tabs>
        <w:tab w:val="left" w:pos="780"/>
      </w:tabs>
      <w:ind w:left="780" w:hanging="360"/>
    </w:pPr>
    <w:rPr>
      <w:rFonts w:ascii="Times New Roman" w:hAnsi="Times New Roman" w:eastAsia="宋体" w:cs="Times New Roman"/>
      <w:szCs w:val="24"/>
    </w:rPr>
  </w:style>
  <w:style w:type="paragraph" w:styleId="37">
    <w:name w:val="HTML Address"/>
    <w:basedOn w:val="1"/>
    <w:link w:val="166"/>
    <w:semiHidden/>
    <w:qFormat/>
    <w:uiPriority w:val="0"/>
    <w:rPr>
      <w:rFonts w:ascii="Times New Roman" w:hAnsi="Times New Roman" w:eastAsia="宋体" w:cs="Times New Roman"/>
      <w:i/>
      <w:iCs/>
      <w:szCs w:val="24"/>
    </w:rPr>
  </w:style>
  <w:style w:type="paragraph" w:styleId="38">
    <w:name w:val="index 4"/>
    <w:basedOn w:val="1"/>
    <w:next w:val="1"/>
    <w:semiHidden/>
    <w:qFormat/>
    <w:uiPriority w:val="0"/>
    <w:pPr>
      <w:ind w:left="840" w:hanging="210"/>
      <w:jc w:val="left"/>
    </w:pPr>
    <w:rPr>
      <w:rFonts w:ascii="Times New Roman" w:hAnsi="Times New Roman" w:eastAsia="宋体" w:cs="Times New Roman"/>
      <w:sz w:val="20"/>
      <w:szCs w:val="20"/>
    </w:rPr>
  </w:style>
  <w:style w:type="paragraph" w:styleId="39">
    <w:name w:val="toc 5"/>
    <w:basedOn w:val="1"/>
    <w:next w:val="1"/>
    <w:semiHidden/>
    <w:qFormat/>
    <w:uiPriority w:val="0"/>
    <w:pPr>
      <w:tabs>
        <w:tab w:val="right" w:leader="dot" w:pos="8948"/>
      </w:tabs>
      <w:spacing w:line="360" w:lineRule="auto"/>
      <w:ind w:left="420" w:leftChars="200" w:right="420" w:rightChars="200" w:firstLine="960" w:firstLineChars="400"/>
    </w:pPr>
    <w:rPr>
      <w:rFonts w:ascii="宋体" w:hAnsi="宋体" w:eastAsia="宋体" w:cs="Times New Roman"/>
      <w:kern w:val="0"/>
      <w:sz w:val="24"/>
      <w:szCs w:val="24"/>
    </w:rPr>
  </w:style>
  <w:style w:type="paragraph" w:styleId="40">
    <w:name w:val="toc 3"/>
    <w:basedOn w:val="1"/>
    <w:next w:val="1"/>
    <w:qFormat/>
    <w:uiPriority w:val="0"/>
    <w:pPr>
      <w:tabs>
        <w:tab w:val="right" w:leader="dot" w:pos="8949"/>
      </w:tabs>
      <w:adjustRightInd w:val="0"/>
      <w:snapToGrid w:val="0"/>
      <w:spacing w:line="360" w:lineRule="auto"/>
      <w:ind w:right="420" w:rightChars="200" w:firstLine="964" w:firstLineChars="400"/>
      <w:jc w:val="left"/>
    </w:pPr>
    <w:rPr>
      <w:rFonts w:ascii="宋体" w:hAnsi="宋体" w:eastAsia="宋体" w:cs="Times New Roman"/>
      <w:b/>
      <w:iCs/>
      <w:sz w:val="24"/>
      <w:szCs w:val="24"/>
    </w:rPr>
  </w:style>
  <w:style w:type="paragraph" w:styleId="41">
    <w:name w:val="Plain Text"/>
    <w:basedOn w:val="1"/>
    <w:link w:val="203"/>
    <w:unhideWhenUsed/>
    <w:qFormat/>
    <w:uiPriority w:val="0"/>
    <w:rPr>
      <w:rFonts w:ascii="宋体" w:hAnsi="Courier New" w:eastAsia="宋体" w:cs="Times New Roman"/>
      <w:kern w:val="0"/>
      <w:sz w:val="20"/>
      <w:szCs w:val="21"/>
    </w:rPr>
  </w:style>
  <w:style w:type="paragraph" w:styleId="42">
    <w:name w:val="List Bullet 5"/>
    <w:basedOn w:val="1"/>
    <w:semiHidden/>
    <w:qFormat/>
    <w:uiPriority w:val="0"/>
    <w:pPr>
      <w:tabs>
        <w:tab w:val="left" w:pos="2040"/>
      </w:tabs>
      <w:ind w:left="2040" w:hanging="360"/>
    </w:pPr>
    <w:rPr>
      <w:rFonts w:ascii="Times New Roman" w:hAnsi="Times New Roman" w:eastAsia="宋体" w:cs="Times New Roman"/>
      <w:szCs w:val="24"/>
    </w:rPr>
  </w:style>
  <w:style w:type="paragraph" w:styleId="43">
    <w:name w:val="List Number 4"/>
    <w:basedOn w:val="1"/>
    <w:semiHidden/>
    <w:qFormat/>
    <w:uiPriority w:val="0"/>
    <w:pPr>
      <w:tabs>
        <w:tab w:val="left" w:pos="1620"/>
      </w:tabs>
      <w:ind w:left="1620" w:hanging="360"/>
    </w:pPr>
    <w:rPr>
      <w:rFonts w:ascii="Times New Roman" w:hAnsi="Times New Roman" w:eastAsia="宋体" w:cs="Times New Roman"/>
      <w:szCs w:val="24"/>
    </w:rPr>
  </w:style>
  <w:style w:type="paragraph" w:styleId="44">
    <w:name w:val="toc 8"/>
    <w:basedOn w:val="1"/>
    <w:next w:val="1"/>
    <w:semiHidden/>
    <w:qFormat/>
    <w:uiPriority w:val="0"/>
    <w:pPr>
      <w:ind w:left="1470"/>
      <w:jc w:val="left"/>
    </w:pPr>
    <w:rPr>
      <w:rFonts w:ascii="Times New Roman" w:hAnsi="Times New Roman" w:eastAsia="宋体" w:cs="Times New Roman"/>
      <w:sz w:val="18"/>
      <w:szCs w:val="18"/>
    </w:rPr>
  </w:style>
  <w:style w:type="paragraph" w:styleId="45">
    <w:name w:val="index 3"/>
    <w:basedOn w:val="1"/>
    <w:next w:val="1"/>
    <w:semiHidden/>
    <w:qFormat/>
    <w:uiPriority w:val="0"/>
    <w:pPr>
      <w:ind w:left="630" w:hanging="210"/>
      <w:jc w:val="left"/>
    </w:pPr>
    <w:rPr>
      <w:rFonts w:ascii="Times New Roman" w:hAnsi="Times New Roman" w:eastAsia="宋体" w:cs="Times New Roman"/>
      <w:sz w:val="20"/>
      <w:szCs w:val="20"/>
    </w:rPr>
  </w:style>
  <w:style w:type="paragraph" w:styleId="46">
    <w:name w:val="Date"/>
    <w:basedOn w:val="1"/>
    <w:next w:val="1"/>
    <w:link w:val="225"/>
    <w:semiHidden/>
    <w:unhideWhenUsed/>
    <w:qFormat/>
    <w:uiPriority w:val="0"/>
    <w:pPr>
      <w:ind w:left="100" w:leftChars="2500"/>
    </w:pPr>
    <w:rPr>
      <w:rFonts w:ascii="Times New Roman" w:hAnsi="Times New Roman" w:eastAsia="宋体" w:cs="Times New Roman"/>
      <w:szCs w:val="20"/>
    </w:rPr>
  </w:style>
  <w:style w:type="paragraph" w:styleId="47">
    <w:name w:val="Body Text Indent 2"/>
    <w:basedOn w:val="1"/>
    <w:link w:val="162"/>
    <w:semiHidden/>
    <w:qFormat/>
    <w:uiPriority w:val="0"/>
    <w:pPr>
      <w:spacing w:after="120" w:line="480" w:lineRule="auto"/>
      <w:ind w:left="420" w:leftChars="200"/>
    </w:pPr>
    <w:rPr>
      <w:rFonts w:ascii="Times New Roman" w:hAnsi="Times New Roman" w:eastAsia="宋体" w:cs="Times New Roman"/>
      <w:szCs w:val="24"/>
    </w:rPr>
  </w:style>
  <w:style w:type="paragraph" w:styleId="48">
    <w:name w:val="endnote text"/>
    <w:basedOn w:val="1"/>
    <w:link w:val="215"/>
    <w:semiHidden/>
    <w:qFormat/>
    <w:uiPriority w:val="0"/>
    <w:pPr>
      <w:snapToGrid w:val="0"/>
      <w:jc w:val="left"/>
    </w:pPr>
    <w:rPr>
      <w:rFonts w:ascii="Times New Roman" w:hAnsi="Times New Roman" w:eastAsia="宋体" w:cs="Times New Roman"/>
      <w:szCs w:val="24"/>
    </w:rPr>
  </w:style>
  <w:style w:type="paragraph" w:styleId="49">
    <w:name w:val="List Continue 5"/>
    <w:basedOn w:val="1"/>
    <w:semiHidden/>
    <w:qFormat/>
    <w:uiPriority w:val="0"/>
    <w:pPr>
      <w:spacing w:after="120"/>
      <w:ind w:left="2100" w:leftChars="1000"/>
    </w:pPr>
    <w:rPr>
      <w:rFonts w:ascii="Times New Roman" w:hAnsi="Times New Roman" w:eastAsia="宋体" w:cs="Times New Roman"/>
      <w:szCs w:val="24"/>
    </w:rPr>
  </w:style>
  <w:style w:type="paragraph" w:styleId="50">
    <w:name w:val="Balloon Text"/>
    <w:basedOn w:val="1"/>
    <w:link w:val="159"/>
    <w:semiHidden/>
    <w:qFormat/>
    <w:uiPriority w:val="0"/>
    <w:rPr>
      <w:rFonts w:ascii="Times New Roman" w:hAnsi="Times New Roman" w:eastAsia="宋体" w:cs="Times New Roman"/>
      <w:sz w:val="18"/>
      <w:szCs w:val="18"/>
    </w:rPr>
  </w:style>
  <w:style w:type="paragraph" w:styleId="51">
    <w:name w:val="footer"/>
    <w:basedOn w:val="1"/>
    <w:link w:val="155"/>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2">
    <w:name w:val="envelope return"/>
    <w:basedOn w:val="1"/>
    <w:semiHidden/>
    <w:qFormat/>
    <w:uiPriority w:val="0"/>
    <w:pPr>
      <w:snapToGrid w:val="0"/>
    </w:pPr>
    <w:rPr>
      <w:rFonts w:ascii="Arial" w:hAnsi="Arial" w:eastAsia="宋体" w:cs="Arial"/>
      <w:szCs w:val="24"/>
    </w:rPr>
  </w:style>
  <w:style w:type="paragraph" w:styleId="53">
    <w:name w:val="header"/>
    <w:basedOn w:val="1"/>
    <w:link w:val="170"/>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4">
    <w:name w:val="Signature"/>
    <w:basedOn w:val="1"/>
    <w:link w:val="149"/>
    <w:semiHidden/>
    <w:qFormat/>
    <w:uiPriority w:val="0"/>
    <w:pPr>
      <w:ind w:left="100" w:leftChars="2100"/>
    </w:pPr>
    <w:rPr>
      <w:rFonts w:ascii="Times New Roman" w:hAnsi="Times New Roman" w:eastAsia="宋体" w:cs="Times New Roman"/>
      <w:szCs w:val="24"/>
    </w:rPr>
  </w:style>
  <w:style w:type="paragraph" w:styleId="55">
    <w:name w:val="toc 1"/>
    <w:basedOn w:val="1"/>
    <w:next w:val="1"/>
    <w:qFormat/>
    <w:uiPriority w:val="0"/>
    <w:pPr>
      <w:tabs>
        <w:tab w:val="right" w:leader="dot" w:pos="8949"/>
      </w:tabs>
      <w:adjustRightInd w:val="0"/>
      <w:snapToGrid w:val="0"/>
      <w:spacing w:line="360" w:lineRule="auto"/>
      <w:ind w:right="420" w:rightChars="200" w:firstLine="960" w:firstLineChars="400"/>
      <w:jc w:val="center"/>
    </w:pPr>
    <w:rPr>
      <w:rFonts w:ascii="宋体" w:hAnsi="宋体" w:eastAsia="宋体" w:cs="Times New Roman"/>
      <w:bCs/>
      <w:caps/>
      <w:sz w:val="24"/>
      <w:szCs w:val="24"/>
    </w:rPr>
  </w:style>
  <w:style w:type="paragraph" w:styleId="56">
    <w:name w:val="List Continue 4"/>
    <w:basedOn w:val="1"/>
    <w:semiHidden/>
    <w:qFormat/>
    <w:uiPriority w:val="0"/>
    <w:pPr>
      <w:spacing w:after="120"/>
      <w:ind w:left="1680" w:leftChars="800"/>
    </w:pPr>
    <w:rPr>
      <w:rFonts w:ascii="Times New Roman" w:hAnsi="Times New Roman" w:eastAsia="宋体" w:cs="Times New Roman"/>
      <w:szCs w:val="24"/>
    </w:rPr>
  </w:style>
  <w:style w:type="paragraph" w:styleId="57">
    <w:name w:val="toc 4"/>
    <w:basedOn w:val="1"/>
    <w:next w:val="1"/>
    <w:qFormat/>
    <w:uiPriority w:val="0"/>
    <w:pPr>
      <w:tabs>
        <w:tab w:val="right" w:leader="dot" w:pos="8949"/>
      </w:tabs>
      <w:adjustRightInd w:val="0"/>
      <w:snapToGrid w:val="0"/>
      <w:spacing w:line="360" w:lineRule="auto"/>
      <w:ind w:left="630" w:leftChars="300" w:right="630" w:rightChars="300"/>
      <w:jc w:val="distribute"/>
    </w:pPr>
    <w:rPr>
      <w:rFonts w:ascii="宋体" w:hAnsi="宋体" w:eastAsia="宋体" w:cs="Times New Roman"/>
      <w:szCs w:val="21"/>
    </w:rPr>
  </w:style>
  <w:style w:type="paragraph" w:styleId="58">
    <w:name w:val="index heading"/>
    <w:basedOn w:val="1"/>
    <w:next w:val="59"/>
    <w:semiHidden/>
    <w:qFormat/>
    <w:uiPriority w:val="0"/>
    <w:pPr>
      <w:spacing w:before="120" w:after="120"/>
      <w:jc w:val="left"/>
    </w:pPr>
    <w:rPr>
      <w:rFonts w:ascii="Times New Roman" w:hAnsi="Times New Roman" w:eastAsia="宋体" w:cs="Times New Roman"/>
      <w:b/>
      <w:bCs/>
      <w:i/>
      <w:iCs/>
      <w:sz w:val="20"/>
      <w:szCs w:val="20"/>
    </w:rPr>
  </w:style>
  <w:style w:type="paragraph" w:styleId="59">
    <w:name w:val="index 1"/>
    <w:basedOn w:val="1"/>
    <w:next w:val="1"/>
    <w:semiHidden/>
    <w:unhideWhenUsed/>
    <w:qFormat/>
    <w:uiPriority w:val="0"/>
    <w:rPr>
      <w:rFonts w:ascii="Times New Roman" w:hAnsi="Times New Roman" w:eastAsia="宋体" w:cs="Times New Roman"/>
      <w:szCs w:val="20"/>
    </w:rPr>
  </w:style>
  <w:style w:type="paragraph" w:styleId="60">
    <w:name w:val="List Number 5"/>
    <w:basedOn w:val="1"/>
    <w:semiHidden/>
    <w:qFormat/>
    <w:uiPriority w:val="0"/>
    <w:pPr>
      <w:tabs>
        <w:tab w:val="left" w:pos="2040"/>
      </w:tabs>
      <w:ind w:left="2040" w:hanging="360"/>
    </w:pPr>
    <w:rPr>
      <w:rFonts w:ascii="Times New Roman" w:hAnsi="Times New Roman" w:eastAsia="宋体" w:cs="Times New Roman"/>
      <w:szCs w:val="24"/>
    </w:rPr>
  </w:style>
  <w:style w:type="paragraph" w:styleId="61">
    <w:name w:val="List"/>
    <w:basedOn w:val="1"/>
    <w:semiHidden/>
    <w:qFormat/>
    <w:uiPriority w:val="0"/>
    <w:pPr>
      <w:ind w:left="200" w:hanging="200" w:hangingChars="200"/>
    </w:pPr>
    <w:rPr>
      <w:rFonts w:ascii="Times New Roman" w:hAnsi="Times New Roman" w:eastAsia="宋体" w:cs="Times New Roman"/>
      <w:szCs w:val="24"/>
    </w:rPr>
  </w:style>
  <w:style w:type="paragraph" w:styleId="62">
    <w:name w:val="footnote text"/>
    <w:basedOn w:val="1"/>
    <w:link w:val="216"/>
    <w:semiHidden/>
    <w:qFormat/>
    <w:uiPriority w:val="0"/>
    <w:pPr>
      <w:snapToGrid w:val="0"/>
      <w:jc w:val="left"/>
    </w:pPr>
    <w:rPr>
      <w:rFonts w:ascii="Times New Roman" w:hAnsi="Times New Roman" w:eastAsia="宋体" w:cs="Times New Roman"/>
      <w:sz w:val="18"/>
      <w:szCs w:val="20"/>
    </w:rPr>
  </w:style>
  <w:style w:type="paragraph" w:styleId="63">
    <w:name w:val="toc 6"/>
    <w:basedOn w:val="1"/>
    <w:next w:val="1"/>
    <w:semiHidden/>
    <w:qFormat/>
    <w:uiPriority w:val="0"/>
    <w:pPr>
      <w:ind w:left="1050"/>
      <w:jc w:val="left"/>
    </w:pPr>
    <w:rPr>
      <w:rFonts w:ascii="Times New Roman" w:hAnsi="Times New Roman" w:eastAsia="宋体" w:cs="Times New Roman"/>
      <w:sz w:val="18"/>
      <w:szCs w:val="18"/>
    </w:rPr>
  </w:style>
  <w:style w:type="paragraph" w:styleId="64">
    <w:name w:val="List 5"/>
    <w:basedOn w:val="1"/>
    <w:semiHidden/>
    <w:qFormat/>
    <w:uiPriority w:val="0"/>
    <w:pPr>
      <w:ind w:left="100" w:leftChars="800" w:hanging="200" w:hangingChars="200"/>
    </w:pPr>
    <w:rPr>
      <w:rFonts w:ascii="Times New Roman" w:hAnsi="Times New Roman" w:eastAsia="宋体" w:cs="Times New Roman"/>
      <w:szCs w:val="24"/>
    </w:rPr>
  </w:style>
  <w:style w:type="paragraph" w:styleId="65">
    <w:name w:val="index 7"/>
    <w:basedOn w:val="1"/>
    <w:next w:val="1"/>
    <w:semiHidden/>
    <w:qFormat/>
    <w:uiPriority w:val="0"/>
    <w:pPr>
      <w:ind w:left="1470" w:hanging="210"/>
      <w:jc w:val="left"/>
    </w:pPr>
    <w:rPr>
      <w:rFonts w:ascii="Times New Roman" w:hAnsi="Times New Roman" w:eastAsia="宋体" w:cs="Times New Roman"/>
      <w:sz w:val="20"/>
      <w:szCs w:val="20"/>
    </w:rPr>
  </w:style>
  <w:style w:type="paragraph" w:styleId="66">
    <w:name w:val="index 9"/>
    <w:basedOn w:val="1"/>
    <w:next w:val="1"/>
    <w:semiHidden/>
    <w:qFormat/>
    <w:uiPriority w:val="0"/>
    <w:pPr>
      <w:ind w:left="1890" w:hanging="210"/>
      <w:jc w:val="left"/>
    </w:pPr>
    <w:rPr>
      <w:rFonts w:ascii="Times New Roman" w:hAnsi="Times New Roman" w:eastAsia="宋体" w:cs="Times New Roman"/>
      <w:sz w:val="20"/>
      <w:szCs w:val="20"/>
    </w:rPr>
  </w:style>
  <w:style w:type="paragraph" w:styleId="67">
    <w:name w:val="table of figures"/>
    <w:basedOn w:val="1"/>
    <w:next w:val="1"/>
    <w:semiHidden/>
    <w:qFormat/>
    <w:uiPriority w:val="0"/>
    <w:pPr>
      <w:ind w:left="200" w:leftChars="200" w:hanging="200" w:hangingChars="200"/>
    </w:pPr>
    <w:rPr>
      <w:rFonts w:ascii="Times New Roman" w:hAnsi="Times New Roman" w:eastAsia="宋体" w:cs="Times New Roman"/>
      <w:sz w:val="24"/>
      <w:szCs w:val="24"/>
    </w:rPr>
  </w:style>
  <w:style w:type="paragraph" w:styleId="68">
    <w:name w:val="toc 2"/>
    <w:basedOn w:val="1"/>
    <w:next w:val="1"/>
    <w:qFormat/>
    <w:uiPriority w:val="0"/>
    <w:pPr>
      <w:tabs>
        <w:tab w:val="right" w:leader="dot" w:pos="8949"/>
      </w:tabs>
      <w:adjustRightInd w:val="0"/>
      <w:snapToGrid w:val="0"/>
      <w:spacing w:line="360" w:lineRule="auto"/>
      <w:ind w:right="420" w:rightChars="200" w:firstLine="964" w:firstLineChars="400"/>
      <w:jc w:val="distribute"/>
    </w:pPr>
    <w:rPr>
      <w:rFonts w:ascii="宋体" w:hAnsi="宋体" w:eastAsia="宋体" w:cs="Times New Roman"/>
      <w:b/>
      <w:smallCaps/>
      <w:sz w:val="24"/>
      <w:szCs w:val="24"/>
    </w:rPr>
  </w:style>
  <w:style w:type="paragraph" w:styleId="69">
    <w:name w:val="toc 9"/>
    <w:basedOn w:val="1"/>
    <w:next w:val="1"/>
    <w:semiHidden/>
    <w:qFormat/>
    <w:uiPriority w:val="0"/>
    <w:pPr>
      <w:ind w:left="1680"/>
      <w:jc w:val="left"/>
    </w:pPr>
    <w:rPr>
      <w:rFonts w:ascii="Times New Roman" w:hAnsi="Times New Roman" w:eastAsia="宋体" w:cs="Times New Roman"/>
      <w:sz w:val="18"/>
      <w:szCs w:val="18"/>
    </w:rPr>
  </w:style>
  <w:style w:type="paragraph" w:styleId="70">
    <w:name w:val="List 4"/>
    <w:basedOn w:val="1"/>
    <w:semiHidden/>
    <w:qFormat/>
    <w:uiPriority w:val="0"/>
    <w:pPr>
      <w:ind w:left="100" w:leftChars="600" w:hanging="200" w:hangingChars="200"/>
    </w:pPr>
    <w:rPr>
      <w:rFonts w:ascii="Times New Roman" w:hAnsi="Times New Roman" w:eastAsia="宋体" w:cs="Times New Roman"/>
      <w:szCs w:val="24"/>
    </w:rPr>
  </w:style>
  <w:style w:type="paragraph" w:styleId="71">
    <w:name w:val="List Continue 2"/>
    <w:basedOn w:val="1"/>
    <w:semiHidden/>
    <w:qFormat/>
    <w:uiPriority w:val="0"/>
    <w:pPr>
      <w:spacing w:after="120"/>
      <w:ind w:left="840" w:leftChars="400"/>
    </w:pPr>
    <w:rPr>
      <w:rFonts w:ascii="Times New Roman" w:hAnsi="Times New Roman" w:eastAsia="宋体" w:cs="Times New Roman"/>
      <w:szCs w:val="24"/>
    </w:rPr>
  </w:style>
  <w:style w:type="paragraph" w:styleId="72">
    <w:name w:val="Message Header"/>
    <w:basedOn w:val="1"/>
    <w:link w:val="157"/>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73">
    <w:name w:val="HTML Preformatted"/>
    <w:basedOn w:val="1"/>
    <w:link w:val="148"/>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74">
    <w:name w:val="List Continue 3"/>
    <w:basedOn w:val="1"/>
    <w:semiHidden/>
    <w:qFormat/>
    <w:uiPriority w:val="0"/>
    <w:pPr>
      <w:spacing w:after="120"/>
      <w:ind w:left="1260" w:leftChars="600"/>
    </w:pPr>
    <w:rPr>
      <w:rFonts w:ascii="Times New Roman" w:hAnsi="Times New Roman" w:eastAsia="宋体" w:cs="Times New Roman"/>
      <w:szCs w:val="24"/>
    </w:rPr>
  </w:style>
  <w:style w:type="paragraph" w:styleId="75">
    <w:name w:val="index 2"/>
    <w:basedOn w:val="1"/>
    <w:next w:val="1"/>
    <w:semiHidden/>
    <w:qFormat/>
    <w:uiPriority w:val="0"/>
    <w:pPr>
      <w:ind w:left="420" w:hanging="210"/>
      <w:jc w:val="left"/>
    </w:pPr>
    <w:rPr>
      <w:rFonts w:ascii="Times New Roman" w:hAnsi="Times New Roman" w:eastAsia="宋体" w:cs="Times New Roman"/>
      <w:sz w:val="20"/>
      <w:szCs w:val="20"/>
    </w:rPr>
  </w:style>
  <w:style w:type="paragraph" w:styleId="76">
    <w:name w:val="annotation subject"/>
    <w:basedOn w:val="24"/>
    <w:next w:val="24"/>
    <w:link w:val="160"/>
    <w:semiHidden/>
    <w:qFormat/>
    <w:uiPriority w:val="0"/>
    <w:rPr>
      <w:b/>
      <w:bCs/>
      <w:szCs w:val="24"/>
    </w:rPr>
  </w:style>
  <w:style w:type="paragraph" w:styleId="77">
    <w:name w:val="Body Text First Indent"/>
    <w:basedOn w:val="1"/>
    <w:link w:val="169"/>
    <w:semiHidden/>
    <w:qFormat/>
    <w:uiPriority w:val="0"/>
    <w:pPr>
      <w:spacing w:after="120"/>
      <w:ind w:firstLine="420" w:firstLineChars="100"/>
    </w:pPr>
    <w:rPr>
      <w:rFonts w:ascii="Times New Roman"/>
      <w:szCs w:val="24"/>
    </w:rPr>
  </w:style>
  <w:style w:type="paragraph" w:styleId="78">
    <w:name w:val="Body Text First Indent 2"/>
    <w:basedOn w:val="1"/>
    <w:link w:val="150"/>
    <w:semiHidden/>
    <w:qFormat/>
    <w:uiPriority w:val="0"/>
    <w:pPr>
      <w:spacing w:after="120"/>
      <w:ind w:left="420" w:leftChars="200" w:firstLine="420"/>
    </w:pPr>
    <w:rPr>
      <w:rFonts w:ascii="Times New Roman" w:hAnsi="Times New Roman"/>
      <w:szCs w:val="24"/>
    </w:rPr>
  </w:style>
  <w:style w:type="table" w:styleId="80">
    <w:name w:val="Table Grid"/>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1">
    <w:name w:val="Table Theme"/>
    <w:basedOn w:val="79"/>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Colorful 1"/>
    <w:basedOn w:val="79"/>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3">
    <w:name w:val="Table Colorful 2"/>
    <w:basedOn w:val="79"/>
    <w:semiHidden/>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4">
    <w:name w:val="Table Colorful 3"/>
    <w:basedOn w:val="79"/>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5">
    <w:name w:val="Table Elegant"/>
    <w:basedOn w:val="79"/>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86">
    <w:name w:val="Table Classic 1"/>
    <w:basedOn w:val="79"/>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7">
    <w:name w:val="Table Classic 2"/>
    <w:basedOn w:val="79"/>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88">
    <w:name w:val="Table Classic 3"/>
    <w:basedOn w:val="79"/>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9">
    <w:name w:val="Table Classic 4"/>
    <w:basedOn w:val="79"/>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0">
    <w:name w:val="Table Simple 1"/>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1">
    <w:name w:val="Table Simple 2"/>
    <w:basedOn w:val="79"/>
    <w:semiHidden/>
    <w:qFormat/>
    <w:uiPriority w:val="0"/>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2">
    <w:name w:val="Table Simple 3"/>
    <w:basedOn w:val="79"/>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93">
    <w:name w:val="Table Subtle 1"/>
    <w:basedOn w:val="79"/>
    <w:semiHidden/>
    <w:qFormat/>
    <w:uiPriority w:val="0"/>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4">
    <w:name w:val="Table Subtle 2"/>
    <w:basedOn w:val="79"/>
    <w:semiHidden/>
    <w:qFormat/>
    <w:uiPriority w:val="0"/>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5">
    <w:name w:val="Table 3D effects 1"/>
    <w:basedOn w:val="79"/>
    <w:semiHidden/>
    <w:qFormat/>
    <w:uiPriority w:val="0"/>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6">
    <w:name w:val="Table 3D effects 2"/>
    <w:basedOn w:val="79"/>
    <w:semiHidden/>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7">
    <w:name w:val="Table 3D effects 3"/>
    <w:basedOn w:val="79"/>
    <w:semiHidden/>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8">
    <w:name w:val="Table List 1"/>
    <w:basedOn w:val="79"/>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99">
    <w:name w:val="Table List 2"/>
    <w:basedOn w:val="79"/>
    <w:semiHidden/>
    <w:qFormat/>
    <w:uiPriority w:val="0"/>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0">
    <w:name w:val="Table List 3"/>
    <w:basedOn w:val="79"/>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1">
    <w:name w:val="Table List 4"/>
    <w:basedOn w:val="79"/>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2">
    <w:name w:val="Table List 5"/>
    <w:basedOn w:val="79"/>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3">
    <w:name w:val="Table List 6"/>
    <w:basedOn w:val="79"/>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4">
    <w:name w:val="Table List 7"/>
    <w:basedOn w:val="79"/>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5">
    <w:name w:val="Table List 8"/>
    <w:basedOn w:val="79"/>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6">
    <w:name w:val="Table Contemporary"/>
    <w:basedOn w:val="79"/>
    <w:semiHidden/>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07">
    <w:name w:val="Table Columns 1"/>
    <w:basedOn w:val="79"/>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8">
    <w:name w:val="Table Columns 2"/>
    <w:basedOn w:val="79"/>
    <w:semiHidden/>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9">
    <w:name w:val="Table Columns 3"/>
    <w:basedOn w:val="79"/>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0">
    <w:name w:val="Table Columns 4"/>
    <w:basedOn w:val="79"/>
    <w:semiHidden/>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1">
    <w:name w:val="Table Columns 5"/>
    <w:basedOn w:val="79"/>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2">
    <w:name w:val="Table Grid 1"/>
    <w:basedOn w:val="79"/>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79"/>
    <w:semiHidden/>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79"/>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79"/>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79"/>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79"/>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79"/>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79"/>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Web 1"/>
    <w:basedOn w:val="79"/>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1">
    <w:name w:val="Table Web 2"/>
    <w:basedOn w:val="79"/>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2">
    <w:name w:val="Table Web 3"/>
    <w:basedOn w:val="79"/>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3">
    <w:name w:val="Table Professional"/>
    <w:basedOn w:val="79"/>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125">
    <w:name w:val="endnote reference"/>
    <w:semiHidden/>
    <w:qFormat/>
    <w:uiPriority w:val="0"/>
    <w:rPr>
      <w:vertAlign w:val="superscript"/>
    </w:rPr>
  </w:style>
  <w:style w:type="character" w:styleId="126">
    <w:name w:val="FollowedHyperlink"/>
    <w:unhideWhenUsed/>
    <w:qFormat/>
    <w:uiPriority w:val="99"/>
    <w:rPr>
      <w:color w:val="800080"/>
      <w:u w:val="single"/>
    </w:rPr>
  </w:style>
  <w:style w:type="character" w:styleId="127">
    <w:name w:val="line number"/>
    <w:basedOn w:val="124"/>
    <w:semiHidden/>
    <w:qFormat/>
    <w:uiPriority w:val="0"/>
  </w:style>
  <w:style w:type="character" w:styleId="128">
    <w:name w:val="HTML Definition"/>
    <w:semiHidden/>
    <w:qFormat/>
    <w:uiPriority w:val="0"/>
    <w:rPr>
      <w:i/>
      <w:iCs/>
    </w:rPr>
  </w:style>
  <w:style w:type="character" w:styleId="129">
    <w:name w:val="HTML Typewriter"/>
    <w:semiHidden/>
    <w:qFormat/>
    <w:uiPriority w:val="0"/>
    <w:rPr>
      <w:rFonts w:ascii="Courier New" w:hAnsi="Courier New" w:cs="Courier New"/>
      <w:sz w:val="20"/>
      <w:szCs w:val="20"/>
    </w:rPr>
  </w:style>
  <w:style w:type="character" w:styleId="130">
    <w:name w:val="HTML Acronym"/>
    <w:basedOn w:val="124"/>
    <w:semiHidden/>
    <w:qFormat/>
    <w:uiPriority w:val="0"/>
  </w:style>
  <w:style w:type="character" w:styleId="131">
    <w:name w:val="HTML Variable"/>
    <w:semiHidden/>
    <w:qFormat/>
    <w:uiPriority w:val="0"/>
    <w:rPr>
      <w:i/>
      <w:iCs/>
    </w:rPr>
  </w:style>
  <w:style w:type="character" w:styleId="132">
    <w:name w:val="Hyperlink"/>
    <w:basedOn w:val="124"/>
    <w:qFormat/>
    <w:uiPriority w:val="99"/>
    <w:rPr>
      <w:color w:val="333333"/>
      <w:u w:val="none"/>
      <w:vertAlign w:val="baseline"/>
    </w:rPr>
  </w:style>
  <w:style w:type="character" w:styleId="133">
    <w:name w:val="HTML Code"/>
    <w:semiHidden/>
    <w:qFormat/>
    <w:uiPriority w:val="0"/>
    <w:rPr>
      <w:rFonts w:ascii="Courier New" w:hAnsi="Courier New" w:cs="Courier New"/>
      <w:sz w:val="20"/>
      <w:szCs w:val="20"/>
    </w:rPr>
  </w:style>
  <w:style w:type="character" w:styleId="134">
    <w:name w:val="annotation reference"/>
    <w:semiHidden/>
    <w:qFormat/>
    <w:uiPriority w:val="0"/>
    <w:rPr>
      <w:sz w:val="21"/>
      <w:szCs w:val="21"/>
    </w:rPr>
  </w:style>
  <w:style w:type="character" w:styleId="135">
    <w:name w:val="HTML Cite"/>
    <w:semiHidden/>
    <w:qFormat/>
    <w:uiPriority w:val="0"/>
    <w:rPr>
      <w:i/>
      <w:iCs/>
    </w:rPr>
  </w:style>
  <w:style w:type="character" w:styleId="136">
    <w:name w:val="footnote reference"/>
    <w:semiHidden/>
    <w:qFormat/>
    <w:uiPriority w:val="0"/>
    <w:rPr>
      <w:vertAlign w:val="superscript"/>
    </w:rPr>
  </w:style>
  <w:style w:type="character" w:styleId="137">
    <w:name w:val="HTML Keyboard"/>
    <w:semiHidden/>
    <w:qFormat/>
    <w:uiPriority w:val="0"/>
    <w:rPr>
      <w:rFonts w:ascii="Courier New" w:hAnsi="Courier New" w:cs="Courier New"/>
      <w:sz w:val="20"/>
      <w:szCs w:val="20"/>
    </w:rPr>
  </w:style>
  <w:style w:type="character" w:styleId="138">
    <w:name w:val="HTML Sample"/>
    <w:semiHidden/>
    <w:qFormat/>
    <w:uiPriority w:val="0"/>
    <w:rPr>
      <w:rFonts w:ascii="Courier New" w:hAnsi="Courier New" w:cs="Courier New"/>
    </w:rPr>
  </w:style>
  <w:style w:type="character" w:customStyle="1" w:styleId="139">
    <w:name w:val="标题 1 字符"/>
    <w:basedOn w:val="124"/>
    <w:link w:val="2"/>
    <w:qFormat/>
    <w:uiPriority w:val="0"/>
    <w:rPr>
      <w:b/>
      <w:bCs/>
      <w:kern w:val="44"/>
      <w:sz w:val="44"/>
      <w:szCs w:val="44"/>
    </w:rPr>
  </w:style>
  <w:style w:type="character" w:customStyle="1" w:styleId="140">
    <w:name w:val="标题 2 字符"/>
    <w:basedOn w:val="124"/>
    <w:link w:val="3"/>
    <w:qFormat/>
    <w:uiPriority w:val="0"/>
    <w:rPr>
      <w:rFonts w:asciiTheme="majorHAnsi" w:hAnsiTheme="majorHAnsi" w:eastAsiaTheme="majorEastAsia" w:cstheme="majorBidi"/>
      <w:b/>
      <w:bCs/>
      <w:sz w:val="32"/>
      <w:szCs w:val="32"/>
    </w:rPr>
  </w:style>
  <w:style w:type="character" w:customStyle="1" w:styleId="141">
    <w:name w:val="标题 3 字符"/>
    <w:basedOn w:val="124"/>
    <w:link w:val="4"/>
    <w:qFormat/>
    <w:uiPriority w:val="0"/>
    <w:rPr>
      <w:b/>
      <w:bCs/>
      <w:sz w:val="32"/>
      <w:szCs w:val="32"/>
    </w:rPr>
  </w:style>
  <w:style w:type="character" w:customStyle="1" w:styleId="142">
    <w:name w:val="标题 4 字符"/>
    <w:basedOn w:val="124"/>
    <w:link w:val="5"/>
    <w:qFormat/>
    <w:uiPriority w:val="0"/>
    <w:rPr>
      <w:rFonts w:asciiTheme="majorHAnsi" w:hAnsiTheme="majorHAnsi" w:eastAsiaTheme="majorEastAsia" w:cstheme="majorBidi"/>
      <w:b/>
      <w:bCs/>
      <w:sz w:val="28"/>
      <w:szCs w:val="28"/>
    </w:rPr>
  </w:style>
  <w:style w:type="character" w:customStyle="1" w:styleId="143">
    <w:name w:val="标题 5 字符"/>
    <w:basedOn w:val="124"/>
    <w:link w:val="6"/>
    <w:qFormat/>
    <w:uiPriority w:val="0"/>
    <w:rPr>
      <w:b/>
      <w:bCs/>
      <w:sz w:val="28"/>
      <w:szCs w:val="28"/>
    </w:rPr>
  </w:style>
  <w:style w:type="character" w:customStyle="1" w:styleId="144">
    <w:name w:val="标题 6 字符"/>
    <w:basedOn w:val="124"/>
    <w:link w:val="7"/>
    <w:qFormat/>
    <w:uiPriority w:val="0"/>
    <w:rPr>
      <w:rFonts w:asciiTheme="majorHAnsi" w:hAnsiTheme="majorHAnsi" w:eastAsiaTheme="majorEastAsia" w:cstheme="majorBidi"/>
      <w:b/>
      <w:bCs/>
      <w:sz w:val="24"/>
      <w:szCs w:val="24"/>
    </w:rPr>
  </w:style>
  <w:style w:type="character" w:customStyle="1" w:styleId="145">
    <w:name w:val="标题 7 字符"/>
    <w:basedOn w:val="124"/>
    <w:link w:val="8"/>
    <w:qFormat/>
    <w:uiPriority w:val="0"/>
    <w:rPr>
      <w:b/>
      <w:bCs/>
      <w:sz w:val="24"/>
      <w:szCs w:val="24"/>
    </w:rPr>
  </w:style>
  <w:style w:type="character" w:customStyle="1" w:styleId="146">
    <w:name w:val="标题 8 字符"/>
    <w:basedOn w:val="124"/>
    <w:link w:val="9"/>
    <w:qFormat/>
    <w:uiPriority w:val="0"/>
    <w:rPr>
      <w:rFonts w:asciiTheme="majorHAnsi" w:hAnsiTheme="majorHAnsi" w:eastAsiaTheme="majorEastAsia" w:cstheme="majorBidi"/>
      <w:sz w:val="24"/>
      <w:szCs w:val="24"/>
    </w:rPr>
  </w:style>
  <w:style w:type="character" w:customStyle="1" w:styleId="147">
    <w:name w:val="标题 9 字符"/>
    <w:basedOn w:val="124"/>
    <w:link w:val="10"/>
    <w:qFormat/>
    <w:uiPriority w:val="0"/>
    <w:rPr>
      <w:rFonts w:asciiTheme="majorHAnsi" w:hAnsiTheme="majorHAnsi" w:eastAsiaTheme="majorEastAsia" w:cstheme="majorBidi"/>
      <w:szCs w:val="21"/>
    </w:rPr>
  </w:style>
  <w:style w:type="character" w:customStyle="1" w:styleId="148">
    <w:name w:val="HTML 预设格式 字符"/>
    <w:link w:val="73"/>
    <w:semiHidden/>
    <w:qFormat/>
    <w:uiPriority w:val="0"/>
    <w:rPr>
      <w:rFonts w:ascii="宋体" w:hAnsi="宋体" w:eastAsia="宋体" w:cs="宋体"/>
      <w:color w:val="000000"/>
      <w:kern w:val="0"/>
      <w:sz w:val="24"/>
      <w:szCs w:val="24"/>
    </w:rPr>
  </w:style>
  <w:style w:type="character" w:customStyle="1" w:styleId="149">
    <w:name w:val="签名 字符"/>
    <w:link w:val="54"/>
    <w:semiHidden/>
    <w:qFormat/>
    <w:uiPriority w:val="0"/>
    <w:rPr>
      <w:rFonts w:ascii="Times New Roman" w:hAnsi="Times New Roman" w:eastAsia="宋体" w:cs="Times New Roman"/>
      <w:szCs w:val="24"/>
    </w:rPr>
  </w:style>
  <w:style w:type="character" w:customStyle="1" w:styleId="150">
    <w:name w:val="正文首行缩进 2 字符"/>
    <w:link w:val="78"/>
    <w:semiHidden/>
    <w:qFormat/>
    <w:uiPriority w:val="0"/>
    <w:rPr>
      <w:rFonts w:ascii="Times New Roman" w:hAnsi="Times New Roman"/>
      <w:szCs w:val="24"/>
    </w:rPr>
  </w:style>
  <w:style w:type="character" w:customStyle="1" w:styleId="151">
    <w:name w:val="注释标题 字符"/>
    <w:link w:val="14"/>
    <w:semiHidden/>
    <w:qFormat/>
    <w:uiPriority w:val="0"/>
    <w:rPr>
      <w:rFonts w:ascii="Times New Roman" w:hAnsi="Times New Roman" w:eastAsia="宋体" w:cs="Times New Roman"/>
      <w:szCs w:val="24"/>
    </w:rPr>
  </w:style>
  <w:style w:type="character" w:customStyle="1" w:styleId="152">
    <w:name w:val="unnamed211"/>
    <w:semiHidden/>
    <w:qFormat/>
    <w:uiPriority w:val="0"/>
    <w:rPr>
      <w:sz w:val="23"/>
      <w:szCs w:val="23"/>
    </w:rPr>
  </w:style>
  <w:style w:type="character" w:customStyle="1" w:styleId="153">
    <w:name w:val="电子邮件签名 字符"/>
    <w:link w:val="17"/>
    <w:semiHidden/>
    <w:qFormat/>
    <w:uiPriority w:val="0"/>
    <w:rPr>
      <w:rFonts w:ascii="Times New Roman" w:hAnsi="Times New Roman" w:eastAsia="宋体" w:cs="Times New Roman"/>
      <w:szCs w:val="24"/>
    </w:rPr>
  </w:style>
  <w:style w:type="character" w:customStyle="1" w:styleId="154">
    <w:name w:val="批注文字 Char"/>
    <w:semiHidden/>
    <w:qFormat/>
    <w:uiPriority w:val="0"/>
    <w:rPr>
      <w:rFonts w:ascii="Times New Roman" w:hAnsi="Times New Roman" w:eastAsia="宋体" w:cs="Times New Roman"/>
      <w:szCs w:val="20"/>
    </w:rPr>
  </w:style>
  <w:style w:type="character" w:customStyle="1" w:styleId="155">
    <w:name w:val="页脚 字符"/>
    <w:link w:val="51"/>
    <w:qFormat/>
    <w:uiPriority w:val="0"/>
    <w:rPr>
      <w:rFonts w:ascii="Times New Roman" w:hAnsi="Times New Roman" w:eastAsia="宋体" w:cs="Times New Roman"/>
      <w:sz w:val="18"/>
      <w:szCs w:val="18"/>
    </w:rPr>
  </w:style>
  <w:style w:type="character" w:customStyle="1" w:styleId="156">
    <w:name w:val="文档结构图 字符"/>
    <w:link w:val="22"/>
    <w:qFormat/>
    <w:uiPriority w:val="0"/>
    <w:rPr>
      <w:rFonts w:ascii="Times New Roman" w:hAnsi="Times New Roman" w:eastAsia="宋体" w:cs="Times New Roman"/>
      <w:szCs w:val="20"/>
      <w:shd w:val="clear" w:color="auto" w:fill="000080"/>
    </w:rPr>
  </w:style>
  <w:style w:type="character" w:customStyle="1" w:styleId="157">
    <w:name w:val="信息标题 字符"/>
    <w:link w:val="72"/>
    <w:semiHidden/>
    <w:qFormat/>
    <w:uiPriority w:val="0"/>
    <w:rPr>
      <w:rFonts w:ascii="Arial" w:hAnsi="Arial" w:eastAsia="宋体" w:cs="Arial"/>
      <w:sz w:val="24"/>
      <w:szCs w:val="24"/>
      <w:shd w:val="pct20" w:color="auto" w:fill="auto"/>
    </w:rPr>
  </w:style>
  <w:style w:type="character" w:customStyle="1" w:styleId="158">
    <w:name w:val="正文文本 3 字符"/>
    <w:link w:val="27"/>
    <w:semiHidden/>
    <w:qFormat/>
    <w:uiPriority w:val="0"/>
    <w:rPr>
      <w:rFonts w:ascii="Times New Roman" w:hAnsi="Times New Roman" w:eastAsia="宋体" w:cs="Times New Roman"/>
      <w:sz w:val="16"/>
      <w:szCs w:val="16"/>
    </w:rPr>
  </w:style>
  <w:style w:type="character" w:customStyle="1" w:styleId="159">
    <w:name w:val="批注框文本 字符"/>
    <w:link w:val="50"/>
    <w:semiHidden/>
    <w:qFormat/>
    <w:uiPriority w:val="0"/>
    <w:rPr>
      <w:rFonts w:ascii="Times New Roman" w:hAnsi="Times New Roman" w:eastAsia="宋体" w:cs="Times New Roman"/>
      <w:sz w:val="18"/>
      <w:szCs w:val="18"/>
    </w:rPr>
  </w:style>
  <w:style w:type="character" w:customStyle="1" w:styleId="160">
    <w:name w:val="批注主题 字符"/>
    <w:link w:val="76"/>
    <w:semiHidden/>
    <w:qFormat/>
    <w:uiPriority w:val="0"/>
    <w:rPr>
      <w:rFonts w:ascii="Times New Roman" w:hAnsi="Times New Roman" w:eastAsia="宋体" w:cs="Times New Roman"/>
      <w:b/>
      <w:bCs/>
      <w:szCs w:val="24"/>
    </w:rPr>
  </w:style>
  <w:style w:type="character" w:customStyle="1" w:styleId="161">
    <w:name w:val="ss1"/>
    <w:semiHidden/>
    <w:qFormat/>
    <w:uiPriority w:val="0"/>
    <w:rPr>
      <w:rFonts w:hint="default" w:ascii="ˎ̥" w:hAnsi="ˎ̥"/>
      <w:color w:val="000000"/>
      <w:sz w:val="18"/>
      <w:szCs w:val="18"/>
      <w:u w:val="none"/>
    </w:rPr>
  </w:style>
  <w:style w:type="character" w:customStyle="1" w:styleId="162">
    <w:name w:val="正文文本缩进 2 字符"/>
    <w:link w:val="47"/>
    <w:semiHidden/>
    <w:qFormat/>
    <w:uiPriority w:val="0"/>
    <w:rPr>
      <w:rFonts w:ascii="Times New Roman" w:hAnsi="Times New Roman" w:eastAsia="宋体" w:cs="Times New Roman"/>
      <w:szCs w:val="24"/>
    </w:rPr>
  </w:style>
  <w:style w:type="character" w:customStyle="1" w:styleId="163">
    <w:name w:val="f142"/>
    <w:semiHidden/>
    <w:qFormat/>
    <w:uiPriority w:val="0"/>
    <w:rPr>
      <w:sz w:val="21"/>
      <w:szCs w:val="21"/>
    </w:rPr>
  </w:style>
  <w:style w:type="character" w:customStyle="1" w:styleId="164">
    <w:name w:val="f14b1"/>
    <w:semiHidden/>
    <w:qFormat/>
    <w:uiPriority w:val="0"/>
    <w:rPr>
      <w:b/>
      <w:bCs/>
      <w:sz w:val="21"/>
      <w:szCs w:val="21"/>
    </w:rPr>
  </w:style>
  <w:style w:type="character" w:customStyle="1" w:styleId="165">
    <w:name w:val="ggwenhao"/>
    <w:basedOn w:val="124"/>
    <w:semiHidden/>
    <w:qFormat/>
    <w:uiPriority w:val="0"/>
  </w:style>
  <w:style w:type="character" w:customStyle="1" w:styleId="166">
    <w:name w:val="HTML 地址 字符"/>
    <w:link w:val="37"/>
    <w:semiHidden/>
    <w:qFormat/>
    <w:uiPriority w:val="0"/>
    <w:rPr>
      <w:rFonts w:ascii="Times New Roman" w:hAnsi="Times New Roman" w:eastAsia="宋体" w:cs="Times New Roman"/>
      <w:i/>
      <w:iCs/>
      <w:szCs w:val="24"/>
    </w:rPr>
  </w:style>
  <w:style w:type="character" w:customStyle="1" w:styleId="167">
    <w:name w:val="称呼 字符"/>
    <w:link w:val="26"/>
    <w:semiHidden/>
    <w:qFormat/>
    <w:uiPriority w:val="0"/>
    <w:rPr>
      <w:rFonts w:ascii="Times New Roman" w:hAnsi="Times New Roman" w:eastAsia="宋体" w:cs="Times New Roman"/>
      <w:szCs w:val="24"/>
    </w:rPr>
  </w:style>
  <w:style w:type="character" w:customStyle="1" w:styleId="168">
    <w:name w:val="结束语 字符"/>
    <w:link w:val="28"/>
    <w:semiHidden/>
    <w:qFormat/>
    <w:uiPriority w:val="0"/>
    <w:rPr>
      <w:rFonts w:ascii="Times New Roman" w:hAnsi="Times New Roman" w:eastAsia="宋体" w:cs="Times New Roman"/>
      <w:szCs w:val="24"/>
    </w:rPr>
  </w:style>
  <w:style w:type="character" w:customStyle="1" w:styleId="169">
    <w:name w:val="正文首行缩进 字符"/>
    <w:link w:val="77"/>
    <w:semiHidden/>
    <w:qFormat/>
    <w:uiPriority w:val="0"/>
    <w:rPr>
      <w:rFonts w:ascii="Times New Roman"/>
      <w:szCs w:val="24"/>
    </w:rPr>
  </w:style>
  <w:style w:type="character" w:customStyle="1" w:styleId="170">
    <w:name w:val="页眉 字符"/>
    <w:link w:val="53"/>
    <w:qFormat/>
    <w:uiPriority w:val="0"/>
    <w:rPr>
      <w:rFonts w:ascii="Times New Roman" w:hAnsi="Times New Roman" w:eastAsia="宋体" w:cs="Times New Roman"/>
      <w:sz w:val="18"/>
      <w:szCs w:val="18"/>
    </w:rPr>
  </w:style>
  <w:style w:type="character" w:customStyle="1" w:styleId="171">
    <w:name w:val="ca-41"/>
    <w:qFormat/>
    <w:uiPriority w:val="0"/>
    <w:rPr>
      <w:rFonts w:hint="eastAsia" w:ascii="黑体" w:eastAsia="黑体"/>
      <w:b/>
      <w:bCs/>
      <w:spacing w:val="-20"/>
      <w:sz w:val="30"/>
      <w:szCs w:val="30"/>
    </w:rPr>
  </w:style>
  <w:style w:type="character" w:customStyle="1" w:styleId="172">
    <w:name w:val="注释标题 字符1"/>
    <w:basedOn w:val="124"/>
    <w:semiHidden/>
    <w:qFormat/>
    <w:uiPriority w:val="99"/>
  </w:style>
  <w:style w:type="character" w:customStyle="1" w:styleId="173">
    <w:name w:val="注释标题 Char1"/>
    <w:basedOn w:val="124"/>
    <w:semiHidden/>
    <w:qFormat/>
    <w:uiPriority w:val="99"/>
    <w:rPr>
      <w:rFonts w:ascii="Times New Roman" w:hAnsi="Times New Roman" w:eastAsia="宋体" w:cs="Times New Roman"/>
      <w:szCs w:val="20"/>
    </w:rPr>
  </w:style>
  <w:style w:type="character" w:customStyle="1" w:styleId="174">
    <w:name w:val="正文文本 3 字符1"/>
    <w:basedOn w:val="124"/>
    <w:semiHidden/>
    <w:qFormat/>
    <w:uiPriority w:val="99"/>
    <w:rPr>
      <w:sz w:val="16"/>
      <w:szCs w:val="16"/>
    </w:rPr>
  </w:style>
  <w:style w:type="character" w:customStyle="1" w:styleId="175">
    <w:name w:val="正文文本 3 Char1"/>
    <w:basedOn w:val="124"/>
    <w:semiHidden/>
    <w:qFormat/>
    <w:uiPriority w:val="99"/>
    <w:rPr>
      <w:rFonts w:ascii="Times New Roman" w:hAnsi="Times New Roman" w:eastAsia="宋体" w:cs="Times New Roman"/>
      <w:sz w:val="16"/>
      <w:szCs w:val="16"/>
    </w:rPr>
  </w:style>
  <w:style w:type="character" w:customStyle="1" w:styleId="176">
    <w:name w:val="批注文字 字符"/>
    <w:basedOn w:val="124"/>
    <w:link w:val="24"/>
    <w:qFormat/>
    <w:uiPriority w:val="0"/>
    <w:rPr>
      <w:rFonts w:ascii="Times New Roman" w:hAnsi="Times New Roman" w:eastAsia="宋体" w:cs="Times New Roman"/>
      <w:szCs w:val="20"/>
    </w:rPr>
  </w:style>
  <w:style w:type="character" w:customStyle="1" w:styleId="177">
    <w:name w:val="批注主题 字符1"/>
    <w:basedOn w:val="176"/>
    <w:semiHidden/>
    <w:qFormat/>
    <w:uiPriority w:val="99"/>
    <w:rPr>
      <w:rFonts w:ascii="Times New Roman" w:hAnsi="Times New Roman" w:eastAsia="宋体" w:cs="Times New Roman"/>
      <w:b/>
      <w:bCs/>
      <w:szCs w:val="20"/>
    </w:rPr>
  </w:style>
  <w:style w:type="character" w:customStyle="1" w:styleId="178">
    <w:name w:val="批注主题 Char1"/>
    <w:basedOn w:val="176"/>
    <w:semiHidden/>
    <w:qFormat/>
    <w:uiPriority w:val="99"/>
    <w:rPr>
      <w:rFonts w:ascii="Times New Roman" w:hAnsi="Times New Roman" w:eastAsia="宋体" w:cs="Times New Roman"/>
      <w:b/>
      <w:bCs/>
      <w:szCs w:val="20"/>
    </w:rPr>
  </w:style>
  <w:style w:type="character" w:customStyle="1" w:styleId="179">
    <w:name w:val="正文文本 字符"/>
    <w:basedOn w:val="124"/>
    <w:link w:val="30"/>
    <w:semiHidden/>
    <w:qFormat/>
    <w:uiPriority w:val="99"/>
    <w:rPr>
      <w:rFonts w:ascii="Times New Roman" w:hAnsi="Times New Roman" w:eastAsia="宋体" w:cs="Times New Roman"/>
      <w:szCs w:val="20"/>
    </w:rPr>
  </w:style>
  <w:style w:type="character" w:customStyle="1" w:styleId="180">
    <w:name w:val="正文文本首行缩进 字符1"/>
    <w:basedOn w:val="179"/>
    <w:semiHidden/>
    <w:qFormat/>
    <w:uiPriority w:val="99"/>
    <w:rPr>
      <w:rFonts w:ascii="Times New Roman" w:hAnsi="Times New Roman" w:eastAsia="宋体" w:cs="Times New Roman"/>
      <w:szCs w:val="20"/>
    </w:rPr>
  </w:style>
  <w:style w:type="character" w:customStyle="1" w:styleId="181">
    <w:name w:val="正文首行缩进 Char1"/>
    <w:basedOn w:val="179"/>
    <w:semiHidden/>
    <w:qFormat/>
    <w:uiPriority w:val="99"/>
    <w:rPr>
      <w:rFonts w:ascii="Times New Roman" w:hAnsi="Times New Roman" w:eastAsia="宋体" w:cs="Times New Roman"/>
      <w:szCs w:val="20"/>
    </w:rPr>
  </w:style>
  <w:style w:type="character" w:customStyle="1" w:styleId="182">
    <w:name w:val="结束语 字符1"/>
    <w:basedOn w:val="124"/>
    <w:semiHidden/>
    <w:qFormat/>
    <w:uiPriority w:val="99"/>
  </w:style>
  <w:style w:type="character" w:customStyle="1" w:styleId="183">
    <w:name w:val="结束语 Char1"/>
    <w:basedOn w:val="124"/>
    <w:semiHidden/>
    <w:qFormat/>
    <w:uiPriority w:val="99"/>
    <w:rPr>
      <w:rFonts w:ascii="Times New Roman" w:hAnsi="Times New Roman" w:eastAsia="宋体" w:cs="Times New Roman"/>
      <w:szCs w:val="20"/>
    </w:rPr>
  </w:style>
  <w:style w:type="character" w:customStyle="1" w:styleId="184">
    <w:name w:val="称呼 字符1"/>
    <w:basedOn w:val="124"/>
    <w:semiHidden/>
    <w:qFormat/>
    <w:uiPriority w:val="99"/>
  </w:style>
  <w:style w:type="character" w:customStyle="1" w:styleId="185">
    <w:name w:val="称呼 Char1"/>
    <w:basedOn w:val="124"/>
    <w:semiHidden/>
    <w:qFormat/>
    <w:uiPriority w:val="99"/>
    <w:rPr>
      <w:rFonts w:ascii="Times New Roman" w:hAnsi="Times New Roman" w:eastAsia="宋体" w:cs="Times New Roman"/>
      <w:szCs w:val="20"/>
    </w:rPr>
  </w:style>
  <w:style w:type="character" w:customStyle="1" w:styleId="186">
    <w:name w:val="电子邮件签名 字符1"/>
    <w:basedOn w:val="124"/>
    <w:semiHidden/>
    <w:qFormat/>
    <w:uiPriority w:val="99"/>
  </w:style>
  <w:style w:type="character" w:customStyle="1" w:styleId="187">
    <w:name w:val="电子邮件签名 Char1"/>
    <w:basedOn w:val="124"/>
    <w:semiHidden/>
    <w:qFormat/>
    <w:uiPriority w:val="99"/>
    <w:rPr>
      <w:rFonts w:ascii="Times New Roman" w:hAnsi="Times New Roman" w:eastAsia="宋体" w:cs="Times New Roman"/>
      <w:szCs w:val="20"/>
    </w:rPr>
  </w:style>
  <w:style w:type="character" w:customStyle="1" w:styleId="188">
    <w:name w:val="文档结构图 字符1"/>
    <w:basedOn w:val="124"/>
    <w:semiHidden/>
    <w:qFormat/>
    <w:uiPriority w:val="99"/>
    <w:rPr>
      <w:rFonts w:ascii="Microsoft YaHei UI" w:eastAsia="Microsoft YaHei UI"/>
      <w:sz w:val="18"/>
      <w:szCs w:val="18"/>
    </w:rPr>
  </w:style>
  <w:style w:type="character" w:customStyle="1" w:styleId="189">
    <w:name w:val="文档结构图 Char1"/>
    <w:basedOn w:val="124"/>
    <w:semiHidden/>
    <w:qFormat/>
    <w:uiPriority w:val="99"/>
    <w:rPr>
      <w:rFonts w:ascii="宋体" w:hAnsi="Times New Roman" w:eastAsia="宋体" w:cs="Times New Roman"/>
      <w:sz w:val="18"/>
      <w:szCs w:val="18"/>
    </w:rPr>
  </w:style>
  <w:style w:type="character" w:customStyle="1" w:styleId="190">
    <w:name w:val="签名 字符1"/>
    <w:basedOn w:val="124"/>
    <w:semiHidden/>
    <w:qFormat/>
    <w:uiPriority w:val="99"/>
  </w:style>
  <w:style w:type="character" w:customStyle="1" w:styleId="191">
    <w:name w:val="签名 Char1"/>
    <w:basedOn w:val="124"/>
    <w:semiHidden/>
    <w:qFormat/>
    <w:uiPriority w:val="99"/>
    <w:rPr>
      <w:rFonts w:ascii="Times New Roman" w:hAnsi="Times New Roman" w:eastAsia="宋体" w:cs="Times New Roman"/>
      <w:szCs w:val="20"/>
    </w:rPr>
  </w:style>
  <w:style w:type="character" w:customStyle="1" w:styleId="192">
    <w:name w:val="正文文本缩进 2 字符1"/>
    <w:basedOn w:val="124"/>
    <w:semiHidden/>
    <w:qFormat/>
    <w:uiPriority w:val="99"/>
  </w:style>
  <w:style w:type="character" w:customStyle="1" w:styleId="193">
    <w:name w:val="正文文本缩进 2 Char1"/>
    <w:basedOn w:val="124"/>
    <w:semiHidden/>
    <w:qFormat/>
    <w:uiPriority w:val="99"/>
    <w:rPr>
      <w:rFonts w:ascii="Times New Roman" w:hAnsi="Times New Roman" w:eastAsia="宋体" w:cs="Times New Roman"/>
      <w:szCs w:val="20"/>
    </w:rPr>
  </w:style>
  <w:style w:type="character" w:customStyle="1" w:styleId="194">
    <w:name w:val="HTML 预设格式 字符1"/>
    <w:basedOn w:val="124"/>
    <w:semiHidden/>
    <w:qFormat/>
    <w:uiPriority w:val="99"/>
    <w:rPr>
      <w:rFonts w:ascii="Courier New" w:hAnsi="Courier New" w:cs="Courier New"/>
      <w:sz w:val="20"/>
      <w:szCs w:val="20"/>
    </w:rPr>
  </w:style>
  <w:style w:type="character" w:customStyle="1" w:styleId="195">
    <w:name w:val="HTML 预设格式 Char1"/>
    <w:basedOn w:val="124"/>
    <w:semiHidden/>
    <w:qFormat/>
    <w:uiPriority w:val="99"/>
    <w:rPr>
      <w:rFonts w:ascii="Courier New" w:hAnsi="Courier New" w:eastAsia="宋体" w:cs="Courier New"/>
      <w:sz w:val="20"/>
      <w:szCs w:val="20"/>
    </w:rPr>
  </w:style>
  <w:style w:type="character" w:customStyle="1" w:styleId="196">
    <w:name w:val="页眉 字符1"/>
    <w:basedOn w:val="124"/>
    <w:semiHidden/>
    <w:qFormat/>
    <w:uiPriority w:val="99"/>
    <w:rPr>
      <w:sz w:val="18"/>
      <w:szCs w:val="18"/>
    </w:rPr>
  </w:style>
  <w:style w:type="character" w:customStyle="1" w:styleId="197">
    <w:name w:val="页眉 Char1"/>
    <w:basedOn w:val="124"/>
    <w:semiHidden/>
    <w:qFormat/>
    <w:uiPriority w:val="99"/>
    <w:rPr>
      <w:rFonts w:ascii="Times New Roman" w:hAnsi="Times New Roman" w:eastAsia="宋体" w:cs="Times New Roman"/>
      <w:sz w:val="18"/>
      <w:szCs w:val="18"/>
    </w:rPr>
  </w:style>
  <w:style w:type="character" w:customStyle="1" w:styleId="198">
    <w:name w:val="HTML 地址 字符1"/>
    <w:basedOn w:val="124"/>
    <w:semiHidden/>
    <w:qFormat/>
    <w:uiPriority w:val="99"/>
    <w:rPr>
      <w:i/>
      <w:iCs/>
    </w:rPr>
  </w:style>
  <w:style w:type="character" w:customStyle="1" w:styleId="199">
    <w:name w:val="HTML 地址 Char1"/>
    <w:basedOn w:val="124"/>
    <w:semiHidden/>
    <w:qFormat/>
    <w:uiPriority w:val="99"/>
    <w:rPr>
      <w:rFonts w:ascii="Times New Roman" w:hAnsi="Times New Roman" w:eastAsia="宋体" w:cs="Times New Roman"/>
      <w:i/>
      <w:iCs/>
      <w:szCs w:val="20"/>
    </w:rPr>
  </w:style>
  <w:style w:type="character" w:customStyle="1" w:styleId="200">
    <w:name w:val="正文文本缩进 字符"/>
    <w:basedOn w:val="124"/>
    <w:link w:val="31"/>
    <w:semiHidden/>
    <w:qFormat/>
    <w:uiPriority w:val="99"/>
    <w:rPr>
      <w:rFonts w:ascii="Times New Roman" w:hAnsi="Times New Roman" w:eastAsia="宋体" w:cs="Times New Roman"/>
      <w:szCs w:val="20"/>
    </w:rPr>
  </w:style>
  <w:style w:type="character" w:customStyle="1" w:styleId="201">
    <w:name w:val="正文文本首行缩进 2 字符1"/>
    <w:basedOn w:val="200"/>
    <w:semiHidden/>
    <w:qFormat/>
    <w:uiPriority w:val="99"/>
    <w:rPr>
      <w:rFonts w:ascii="Times New Roman" w:hAnsi="Times New Roman" w:eastAsia="宋体" w:cs="Times New Roman"/>
      <w:szCs w:val="20"/>
    </w:rPr>
  </w:style>
  <w:style w:type="character" w:customStyle="1" w:styleId="202">
    <w:name w:val="正文首行缩进 2 Char1"/>
    <w:basedOn w:val="200"/>
    <w:semiHidden/>
    <w:qFormat/>
    <w:uiPriority w:val="99"/>
    <w:rPr>
      <w:rFonts w:ascii="Times New Roman" w:hAnsi="Times New Roman" w:eastAsia="宋体" w:cs="Times New Roman"/>
      <w:szCs w:val="20"/>
    </w:rPr>
  </w:style>
  <w:style w:type="character" w:customStyle="1" w:styleId="203">
    <w:name w:val="纯文本 字符"/>
    <w:basedOn w:val="124"/>
    <w:link w:val="41"/>
    <w:qFormat/>
    <w:uiPriority w:val="0"/>
    <w:rPr>
      <w:rFonts w:ascii="宋体" w:hAnsi="Courier New" w:eastAsia="宋体" w:cs="Times New Roman"/>
      <w:kern w:val="0"/>
      <w:sz w:val="20"/>
      <w:szCs w:val="21"/>
    </w:rPr>
  </w:style>
  <w:style w:type="character" w:customStyle="1" w:styleId="204">
    <w:name w:val="批注框文本 字符1"/>
    <w:basedOn w:val="124"/>
    <w:semiHidden/>
    <w:qFormat/>
    <w:uiPriority w:val="99"/>
    <w:rPr>
      <w:sz w:val="18"/>
      <w:szCs w:val="18"/>
    </w:rPr>
  </w:style>
  <w:style w:type="character" w:customStyle="1" w:styleId="205">
    <w:name w:val="批注框文本 Char1"/>
    <w:basedOn w:val="124"/>
    <w:semiHidden/>
    <w:qFormat/>
    <w:uiPriority w:val="99"/>
    <w:rPr>
      <w:rFonts w:ascii="Times New Roman" w:hAnsi="Times New Roman" w:eastAsia="宋体" w:cs="Times New Roman"/>
      <w:sz w:val="18"/>
      <w:szCs w:val="18"/>
    </w:rPr>
  </w:style>
  <w:style w:type="character" w:customStyle="1" w:styleId="206">
    <w:name w:val="页脚 字符1"/>
    <w:basedOn w:val="124"/>
    <w:semiHidden/>
    <w:qFormat/>
    <w:uiPriority w:val="99"/>
    <w:rPr>
      <w:sz w:val="18"/>
      <w:szCs w:val="18"/>
    </w:rPr>
  </w:style>
  <w:style w:type="character" w:customStyle="1" w:styleId="207">
    <w:name w:val="页脚 Char1"/>
    <w:basedOn w:val="124"/>
    <w:semiHidden/>
    <w:qFormat/>
    <w:uiPriority w:val="99"/>
    <w:rPr>
      <w:rFonts w:ascii="Times New Roman" w:hAnsi="Times New Roman" w:eastAsia="宋体" w:cs="Times New Roman"/>
      <w:sz w:val="18"/>
      <w:szCs w:val="18"/>
    </w:rPr>
  </w:style>
  <w:style w:type="character" w:customStyle="1" w:styleId="208">
    <w:name w:val="信息标题 字符1"/>
    <w:basedOn w:val="124"/>
    <w:semiHidden/>
    <w:qFormat/>
    <w:uiPriority w:val="99"/>
    <w:rPr>
      <w:rFonts w:asciiTheme="majorHAnsi" w:hAnsiTheme="majorHAnsi" w:eastAsiaTheme="majorEastAsia" w:cstheme="majorBidi"/>
      <w:sz w:val="24"/>
      <w:szCs w:val="24"/>
      <w:shd w:val="pct20" w:color="auto" w:fill="auto"/>
    </w:rPr>
  </w:style>
  <w:style w:type="character" w:customStyle="1" w:styleId="209">
    <w:name w:val="信息标题 Char1"/>
    <w:basedOn w:val="124"/>
    <w:semiHidden/>
    <w:qFormat/>
    <w:uiPriority w:val="99"/>
    <w:rPr>
      <w:rFonts w:asciiTheme="majorHAnsi" w:hAnsiTheme="majorHAnsi" w:eastAsiaTheme="majorEastAsia" w:cstheme="majorBidi"/>
      <w:sz w:val="24"/>
      <w:szCs w:val="24"/>
      <w:shd w:val="pct20" w:color="auto" w:fill="auto"/>
    </w:rPr>
  </w:style>
  <w:style w:type="paragraph" w:customStyle="1" w:styleId="210">
    <w:name w:val="ggbody"/>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211">
    <w:name w:val="ggtitle"/>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212">
    <w:name w:val="style9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3">
    <w:name w:val="纯文本 Char1"/>
    <w:qFormat/>
    <w:uiPriority w:val="0"/>
    <w:rPr>
      <w:rFonts w:ascii="宋体" w:hAnsi="Courier New" w:cs="Courier New"/>
      <w:kern w:val="2"/>
      <w:sz w:val="21"/>
      <w:szCs w:val="21"/>
    </w:rPr>
  </w:style>
  <w:style w:type="character" w:customStyle="1" w:styleId="214">
    <w:name w:val="Char Char23"/>
    <w:semiHidden/>
    <w:qFormat/>
    <w:uiPriority w:val="0"/>
    <w:rPr>
      <w:rFonts w:ascii="Times New Roman" w:hAnsi="Times New Roman" w:eastAsia="宋体" w:cs="Times New Roman"/>
      <w:b/>
      <w:bCs/>
      <w:szCs w:val="24"/>
    </w:rPr>
  </w:style>
  <w:style w:type="character" w:customStyle="1" w:styleId="215">
    <w:name w:val="尾注文本 字符"/>
    <w:link w:val="48"/>
    <w:semiHidden/>
    <w:qFormat/>
    <w:uiPriority w:val="0"/>
    <w:rPr>
      <w:rFonts w:ascii="Times New Roman" w:hAnsi="Times New Roman" w:eastAsia="宋体" w:cs="Times New Roman"/>
      <w:szCs w:val="24"/>
    </w:rPr>
  </w:style>
  <w:style w:type="character" w:customStyle="1" w:styleId="216">
    <w:name w:val="脚注文本 字符"/>
    <w:link w:val="62"/>
    <w:semiHidden/>
    <w:qFormat/>
    <w:uiPriority w:val="0"/>
    <w:rPr>
      <w:rFonts w:ascii="Times New Roman" w:hAnsi="Times New Roman" w:eastAsia="宋体" w:cs="Times New Roman"/>
      <w:sz w:val="18"/>
      <w:szCs w:val="20"/>
    </w:rPr>
  </w:style>
  <w:style w:type="character" w:customStyle="1" w:styleId="217">
    <w:name w:val="脚注文本 字符1"/>
    <w:basedOn w:val="124"/>
    <w:semiHidden/>
    <w:qFormat/>
    <w:uiPriority w:val="99"/>
    <w:rPr>
      <w:sz w:val="18"/>
      <w:szCs w:val="18"/>
    </w:rPr>
  </w:style>
  <w:style w:type="character" w:customStyle="1" w:styleId="218">
    <w:name w:val="脚注文本 Char1"/>
    <w:basedOn w:val="124"/>
    <w:semiHidden/>
    <w:qFormat/>
    <w:uiPriority w:val="99"/>
    <w:rPr>
      <w:rFonts w:ascii="Times New Roman" w:hAnsi="Times New Roman" w:eastAsia="宋体" w:cs="Times New Roman"/>
      <w:sz w:val="18"/>
      <w:szCs w:val="18"/>
    </w:rPr>
  </w:style>
  <w:style w:type="character" w:customStyle="1" w:styleId="219">
    <w:name w:val="尾注文本 字符1"/>
    <w:basedOn w:val="124"/>
    <w:semiHidden/>
    <w:qFormat/>
    <w:uiPriority w:val="99"/>
  </w:style>
  <w:style w:type="character" w:customStyle="1" w:styleId="220">
    <w:name w:val="尾注文本 Char1"/>
    <w:basedOn w:val="124"/>
    <w:semiHidden/>
    <w:qFormat/>
    <w:uiPriority w:val="99"/>
    <w:rPr>
      <w:rFonts w:ascii="Times New Roman" w:hAnsi="Times New Roman" w:eastAsia="宋体" w:cs="Times New Roman"/>
      <w:szCs w:val="20"/>
    </w:rPr>
  </w:style>
  <w:style w:type="paragraph" w:customStyle="1" w:styleId="221">
    <w:name w:val="z-窗体顶端1"/>
    <w:basedOn w:val="1"/>
    <w:next w:val="1"/>
    <w:link w:val="222"/>
    <w:unhideWhenUsed/>
    <w:qFormat/>
    <w:uiPriority w:val="99"/>
    <w:pPr>
      <w:widowControl/>
      <w:pBdr>
        <w:bottom w:val="single" w:color="auto" w:sz="6" w:space="1"/>
      </w:pBdr>
      <w:jc w:val="center"/>
    </w:pPr>
    <w:rPr>
      <w:rFonts w:ascii="Arial" w:hAnsi="Arial" w:eastAsia="宋体" w:cs="Times New Roman"/>
      <w:vanish/>
      <w:kern w:val="0"/>
      <w:sz w:val="16"/>
      <w:szCs w:val="16"/>
    </w:rPr>
  </w:style>
  <w:style w:type="character" w:customStyle="1" w:styleId="222">
    <w:name w:val="z-窗体顶端 字符"/>
    <w:basedOn w:val="124"/>
    <w:link w:val="221"/>
    <w:qFormat/>
    <w:uiPriority w:val="99"/>
    <w:rPr>
      <w:rFonts w:ascii="Arial" w:hAnsi="Arial" w:eastAsia="宋体" w:cs="Times New Roman"/>
      <w:vanish/>
      <w:kern w:val="0"/>
      <w:sz w:val="16"/>
      <w:szCs w:val="16"/>
    </w:rPr>
  </w:style>
  <w:style w:type="paragraph" w:customStyle="1" w:styleId="223">
    <w:name w:val="z-窗体底端1"/>
    <w:basedOn w:val="1"/>
    <w:next w:val="1"/>
    <w:link w:val="224"/>
    <w:unhideWhenUsed/>
    <w:qFormat/>
    <w:uiPriority w:val="99"/>
    <w:pPr>
      <w:widowControl/>
      <w:pBdr>
        <w:top w:val="single" w:color="auto" w:sz="6" w:space="1"/>
      </w:pBdr>
      <w:jc w:val="center"/>
    </w:pPr>
    <w:rPr>
      <w:rFonts w:ascii="Arial" w:hAnsi="Arial" w:eastAsia="宋体" w:cs="Times New Roman"/>
      <w:vanish/>
      <w:kern w:val="0"/>
      <w:sz w:val="16"/>
      <w:szCs w:val="16"/>
    </w:rPr>
  </w:style>
  <w:style w:type="character" w:customStyle="1" w:styleId="224">
    <w:name w:val="z-窗体底端 字符"/>
    <w:basedOn w:val="124"/>
    <w:link w:val="223"/>
    <w:qFormat/>
    <w:uiPriority w:val="99"/>
    <w:rPr>
      <w:rFonts w:ascii="Arial" w:hAnsi="Arial" w:eastAsia="宋体" w:cs="Times New Roman"/>
      <w:vanish/>
      <w:kern w:val="0"/>
      <w:sz w:val="16"/>
      <w:szCs w:val="16"/>
    </w:rPr>
  </w:style>
  <w:style w:type="character" w:customStyle="1" w:styleId="225">
    <w:name w:val="日期 字符"/>
    <w:basedOn w:val="124"/>
    <w:link w:val="46"/>
    <w:semiHidden/>
    <w:qFormat/>
    <w:uiPriority w:val="0"/>
    <w:rPr>
      <w:rFonts w:ascii="Times New Roman" w:hAnsi="Times New Roman" w:eastAsia="宋体" w:cs="Times New Roman"/>
      <w:szCs w:val="20"/>
    </w:rPr>
  </w:style>
  <w:style w:type="paragraph" w:customStyle="1" w:styleId="226">
    <w:name w:val="_Style 10"/>
    <w:qFormat/>
    <w:uiPriority w:val="0"/>
    <w:rPr>
      <w:rFonts w:ascii="Calibri" w:hAnsi="Calibri" w:eastAsia="宋体" w:cs="Times New Roman"/>
      <w:kern w:val="2"/>
      <w:sz w:val="21"/>
      <w:szCs w:val="22"/>
      <w:lang w:val="en-US" w:eastAsia="zh-CN" w:bidi="ar-SA"/>
    </w:rPr>
  </w:style>
  <w:style w:type="paragraph" w:customStyle="1" w:styleId="22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20449</Words>
  <Characters>21427</Characters>
  <Lines>222</Lines>
  <Paragraphs>62</Paragraphs>
  <TotalTime>1</TotalTime>
  <ScaleCrop>false</ScaleCrop>
  <LinksUpToDate>false</LinksUpToDate>
  <CharactersWithSpaces>22260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2021-11-02T03:24:00Z</dcterms:created>
  <dc:creator>靳 欢</dc:creator>
  <cp:lastModifiedBy>LINHENG</cp:lastModifiedBy>
  <dcterms:modified xsi:type="dcterms:W3CDTF">2025-01-21T02:48:54Z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FDAC39A265254EE9AC075A332F625E7B</vt:lpwstr>
  </property>
  <property fmtid="{D5CDD505-2E9C-101B-9397-08002B2CF9AE}" pid="4" name="KSOTemplateDocerSaveRecord">
    <vt:lpwstr>eyJoZGlkIjoiMjgxNDIzNjM1OWU4NDRiM2NkZjUzMDIwMzcyZjAzYmEiLCJ1c2VySWQiOiIzMTY4Njk4MDUifQ==</vt:lpwstr>
  </property>
</Properties>
</file>