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B9374">
      <w:pPr>
        <w:rPr>
          <w:rFonts w:ascii="宋体" w:hAnsi="宋体" w:eastAsia="宋体" w:cs="宋体"/>
          <w:b/>
          <w:bCs/>
          <w:color w:val="auto"/>
          <w:highlight w:val="none"/>
        </w:rPr>
      </w:pPr>
      <w:r>
        <w:rPr>
          <w:rFonts w:hint="eastAsia" w:ascii="宋体" w:hAnsi="宋体" w:eastAsia="宋体" w:cs="宋体"/>
          <w:b/>
          <w:bCs/>
          <w:color w:val="auto"/>
          <w:highlight w:val="none"/>
        </w:rPr>
        <w:t>版本号：202</w:t>
      </w:r>
      <w:r>
        <w:rPr>
          <w:rFonts w:hint="default" w:ascii="宋体" w:hAnsi="宋体" w:eastAsia="宋体" w:cs="宋体"/>
          <w:b/>
          <w:bCs/>
          <w:color w:val="auto"/>
          <w:highlight w:val="none"/>
          <w:lang w:val="e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14:paraId="716F8A36">
      <w:pPr>
        <w:adjustRightInd w:val="0"/>
        <w:snapToGrid w:val="0"/>
        <w:spacing w:line="360" w:lineRule="auto"/>
        <w:ind w:firstLine="4779" w:firstLineChars="1700"/>
        <w:rPr>
          <w:rFonts w:ascii="宋体" w:hAnsi="宋体" w:eastAsia="宋体" w:cs="宋体"/>
          <w:color w:val="auto"/>
          <w:sz w:val="44"/>
          <w:highlight w:val="none"/>
        </w:rPr>
      </w:pPr>
      <w:r>
        <w:rPr>
          <w:rFonts w:hint="eastAsia" w:ascii="宋体" w:hAnsi="宋体" w:eastAsia="宋体" w:cs="宋体"/>
          <w:b/>
          <w:bCs/>
          <w:color w:val="auto"/>
          <w:sz w:val="28"/>
          <w:highlight w:val="none"/>
        </w:rPr>
        <w:t>标段编号：</w:t>
      </w:r>
      <w:r>
        <w:rPr>
          <w:rFonts w:hint="eastAsia" w:ascii="宋体" w:hAnsi="宋体" w:eastAsia="宋体" w:cs="宋体"/>
          <w:bCs/>
          <w:color w:val="auto"/>
          <w:sz w:val="28"/>
          <w:highlight w:val="none"/>
          <w:u w:val="single"/>
        </w:rPr>
        <w:t xml:space="preserve">      </w:t>
      </w:r>
    </w:p>
    <w:p w14:paraId="1B6379F9">
      <w:pPr>
        <w:adjustRightInd w:val="0"/>
        <w:snapToGrid w:val="0"/>
        <w:spacing w:line="360" w:lineRule="auto"/>
        <w:rPr>
          <w:rFonts w:ascii="黑体" w:eastAsia="黑体"/>
          <w:b/>
          <w:bCs/>
          <w:color w:val="auto"/>
          <w:sz w:val="52"/>
          <w:szCs w:val="52"/>
          <w:highlight w:val="none"/>
        </w:rPr>
      </w:pPr>
    </w:p>
    <w:p w14:paraId="5952042A">
      <w:pPr>
        <w:adjustRightInd w:val="0"/>
        <w:snapToGrid w:val="0"/>
        <w:spacing w:line="360" w:lineRule="auto"/>
        <w:rPr>
          <w:rFonts w:ascii="黑体" w:eastAsia="黑体"/>
          <w:b/>
          <w:bCs/>
          <w:color w:val="auto"/>
          <w:sz w:val="52"/>
          <w:szCs w:val="52"/>
          <w:highlight w:val="none"/>
        </w:rPr>
      </w:pPr>
    </w:p>
    <w:p w14:paraId="60413F7D">
      <w:pPr>
        <w:adjustRightInd w:val="0"/>
        <w:snapToGrid w:val="0"/>
        <w:spacing w:line="360" w:lineRule="auto"/>
        <w:rPr>
          <w:rFonts w:ascii="黑体" w:eastAsia="黑体"/>
          <w:b/>
          <w:bCs/>
          <w:color w:val="auto"/>
          <w:sz w:val="52"/>
          <w:szCs w:val="52"/>
          <w:highlight w:val="none"/>
        </w:rPr>
      </w:pPr>
    </w:p>
    <w:p w14:paraId="0BF78326">
      <w:pPr>
        <w:adjustRightInd w:val="0"/>
        <w:snapToGrid w:val="0"/>
        <w:spacing w:line="360" w:lineRule="auto"/>
        <w:jc w:val="center"/>
        <w:rPr>
          <w:rFonts w:ascii="黑体" w:eastAsia="黑体"/>
          <w:b/>
          <w:bCs/>
          <w:color w:val="auto"/>
          <w:sz w:val="72"/>
          <w:highlight w:val="none"/>
        </w:rPr>
      </w:pPr>
      <w:r>
        <w:rPr>
          <w:rFonts w:hint="eastAsia" w:ascii="黑体" w:eastAsia="黑体"/>
          <w:b/>
          <w:bCs/>
          <w:color w:val="auto"/>
          <w:sz w:val="72"/>
          <w:highlight w:val="none"/>
        </w:rPr>
        <w:t>深圳市建设工程</w:t>
      </w:r>
    </w:p>
    <w:p w14:paraId="2E85B223">
      <w:pPr>
        <w:adjustRightInd w:val="0"/>
        <w:snapToGrid w:val="0"/>
        <w:spacing w:line="360" w:lineRule="auto"/>
        <w:jc w:val="center"/>
        <w:rPr>
          <w:rFonts w:ascii="黑体" w:eastAsia="黑体"/>
          <w:b/>
          <w:bCs/>
          <w:color w:val="auto"/>
          <w:sz w:val="72"/>
          <w:highlight w:val="none"/>
        </w:rPr>
      </w:pPr>
      <w:r>
        <w:rPr>
          <w:rFonts w:hint="eastAsia" w:ascii="黑体" w:eastAsia="黑体"/>
          <w:b/>
          <w:bCs/>
          <w:color w:val="auto"/>
          <w:sz w:val="72"/>
          <w:highlight w:val="none"/>
        </w:rPr>
        <w:t>施工类招标文件</w:t>
      </w:r>
    </w:p>
    <w:p w14:paraId="2BDFB0DB">
      <w:pPr>
        <w:adjustRightInd w:val="0"/>
        <w:snapToGrid w:val="0"/>
        <w:spacing w:line="360" w:lineRule="auto"/>
        <w:jc w:val="center"/>
        <w:rPr>
          <w:b/>
          <w:color w:val="auto"/>
          <w:sz w:val="36"/>
          <w:szCs w:val="36"/>
          <w:highlight w:val="none"/>
        </w:rPr>
      </w:pPr>
      <w:r>
        <w:rPr>
          <w:rFonts w:hint="eastAsia"/>
          <w:b/>
          <w:color w:val="auto"/>
          <w:sz w:val="36"/>
          <w:szCs w:val="36"/>
          <w:highlight w:val="none"/>
        </w:rPr>
        <w:t>（示范文本）</w:t>
      </w:r>
    </w:p>
    <w:p w14:paraId="40216595">
      <w:pPr>
        <w:adjustRightInd w:val="0"/>
        <w:snapToGrid w:val="0"/>
        <w:spacing w:line="360" w:lineRule="auto"/>
        <w:ind w:firstLine="1561" w:firstLineChars="300"/>
        <w:rPr>
          <w:b/>
          <w:bCs/>
          <w:color w:val="auto"/>
          <w:sz w:val="52"/>
          <w:szCs w:val="52"/>
          <w:highlight w:val="none"/>
        </w:rPr>
      </w:pPr>
    </w:p>
    <w:p w14:paraId="562A4B9C">
      <w:pPr>
        <w:adjustRightInd w:val="0"/>
        <w:snapToGrid w:val="0"/>
        <w:spacing w:line="360" w:lineRule="auto"/>
        <w:ind w:firstLine="1561" w:firstLineChars="300"/>
        <w:rPr>
          <w:b/>
          <w:bCs/>
          <w:color w:val="auto"/>
          <w:sz w:val="52"/>
          <w:szCs w:val="52"/>
          <w:highlight w:val="none"/>
        </w:rPr>
      </w:pPr>
    </w:p>
    <w:p w14:paraId="3B62B104">
      <w:pPr>
        <w:adjustRightInd w:val="0"/>
        <w:snapToGrid w:val="0"/>
        <w:spacing w:line="360" w:lineRule="auto"/>
        <w:ind w:firstLine="840" w:firstLineChars="300"/>
        <w:rPr>
          <w:b/>
          <w:bCs/>
          <w:color w:val="auto"/>
          <w:sz w:val="28"/>
          <w:highlight w:val="none"/>
        </w:rPr>
      </w:pPr>
    </w:p>
    <w:p w14:paraId="0B6F7865">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标段名称：</w:t>
      </w:r>
      <w:r>
        <w:rPr>
          <w:rFonts w:hint="eastAsia" w:ascii="宋体" w:hAnsi="宋体" w:eastAsia="宋体" w:cs="宋体"/>
          <w:bCs/>
          <w:color w:val="auto"/>
          <w:sz w:val="28"/>
          <w:highlight w:val="none"/>
          <w:u w:val="single"/>
        </w:rPr>
        <w:t xml:space="preserve">      </w:t>
      </w:r>
    </w:p>
    <w:p w14:paraId="11095335">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招 标 人：</w:t>
      </w:r>
      <w:r>
        <w:rPr>
          <w:rFonts w:hint="eastAsia" w:ascii="宋体" w:hAnsi="宋体" w:eastAsia="宋体" w:cs="宋体"/>
          <w:bCs/>
          <w:color w:val="auto"/>
          <w:sz w:val="28"/>
          <w:highlight w:val="none"/>
          <w:u w:val="single"/>
        </w:rPr>
        <w:t xml:space="preserve">      </w:t>
      </w:r>
    </w:p>
    <w:p w14:paraId="2CFA8520">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法定代表人或其委托代理人：</w:t>
      </w:r>
      <w:r>
        <w:rPr>
          <w:rFonts w:hint="eastAsia" w:ascii="宋体" w:hAnsi="宋体" w:eastAsia="宋体" w:cs="宋体"/>
          <w:bCs/>
          <w:color w:val="auto"/>
          <w:sz w:val="28"/>
          <w:highlight w:val="none"/>
          <w:u w:val="single"/>
        </w:rPr>
        <w:t xml:space="preserve">      </w:t>
      </w:r>
    </w:p>
    <w:p w14:paraId="29F7DEBA">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招标代理机构：</w:t>
      </w:r>
      <w:r>
        <w:rPr>
          <w:rFonts w:hint="eastAsia" w:ascii="宋体" w:hAnsi="宋体" w:eastAsia="宋体" w:cs="宋体"/>
          <w:bCs/>
          <w:color w:val="auto"/>
          <w:sz w:val="28"/>
          <w:highlight w:val="none"/>
          <w:u w:val="single"/>
        </w:rPr>
        <w:t xml:space="preserve">      </w:t>
      </w:r>
    </w:p>
    <w:p w14:paraId="23774B44">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法定代表人或其委托代理人：</w:t>
      </w:r>
      <w:r>
        <w:rPr>
          <w:rFonts w:hint="eastAsia" w:ascii="宋体" w:hAnsi="宋体" w:eastAsia="宋体" w:cs="宋体"/>
          <w:bCs/>
          <w:color w:val="auto"/>
          <w:sz w:val="28"/>
          <w:highlight w:val="none"/>
          <w:u w:val="single"/>
        </w:rPr>
        <w:t xml:space="preserve">      </w:t>
      </w:r>
    </w:p>
    <w:p w14:paraId="47D9D673">
      <w:pPr>
        <w:adjustRightInd w:val="0"/>
        <w:snapToGrid w:val="0"/>
        <w:spacing w:line="360" w:lineRule="auto"/>
        <w:jc w:val="center"/>
        <w:rPr>
          <w:b/>
          <w:bCs/>
          <w:color w:val="auto"/>
          <w:sz w:val="28"/>
          <w:highlight w:val="none"/>
        </w:rPr>
      </w:pPr>
    </w:p>
    <w:p w14:paraId="1C385C4A">
      <w:pPr>
        <w:adjustRightInd w:val="0"/>
        <w:snapToGrid w:val="0"/>
        <w:spacing w:line="360" w:lineRule="auto"/>
        <w:jc w:val="center"/>
        <w:rPr>
          <w:b/>
          <w:bCs/>
          <w:color w:val="auto"/>
          <w:sz w:val="28"/>
          <w:highlight w:val="none"/>
        </w:rPr>
      </w:pPr>
    </w:p>
    <w:p w14:paraId="4702D0E3">
      <w:pPr>
        <w:adjustRightInd w:val="0"/>
        <w:snapToGrid w:val="0"/>
        <w:spacing w:line="360" w:lineRule="auto"/>
        <w:jc w:val="center"/>
        <w:rPr>
          <w:color w:val="auto"/>
          <w:highlight w:val="none"/>
        </w:rPr>
      </w:pPr>
      <w:r>
        <w:rPr>
          <w:color w:val="auto"/>
          <w:highlight w:val="none"/>
        </w:rPr>
        <w:br w:type="page"/>
      </w:r>
    </w:p>
    <w:p w14:paraId="57D894F0">
      <w:pPr>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14:paraId="0C5B2C04">
      <w:pPr>
        <w:pStyle w:val="27"/>
        <w:tabs>
          <w:tab w:val="right" w:leader="dot" w:pos="9073"/>
        </w:tabs>
        <w:rPr>
          <w:color w:val="auto"/>
          <w:highlight w:val="none"/>
        </w:rPr>
      </w:pPr>
      <w:r>
        <w:rPr>
          <w:rFonts w:hint="eastAsia"/>
          <w:b w:val="0"/>
          <w:caps w:val="0"/>
          <w:color w:val="auto"/>
          <w:sz w:val="24"/>
          <w:szCs w:val="24"/>
          <w:highlight w:val="none"/>
        </w:rPr>
        <w:fldChar w:fldCharType="begin"/>
      </w:r>
      <w:r>
        <w:rPr>
          <w:rFonts w:hint="eastAsia"/>
          <w:b w:val="0"/>
          <w:caps w:val="0"/>
          <w:color w:val="auto"/>
          <w:sz w:val="24"/>
          <w:szCs w:val="24"/>
          <w:highlight w:val="none"/>
        </w:rPr>
        <w:instrText xml:space="preserve">TOC \o "1-3" \h \u </w:instrText>
      </w:r>
      <w:r>
        <w:rPr>
          <w:rFonts w:hint="eastAsia"/>
          <w:b w:val="0"/>
          <w:caps w:val="0"/>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_Toc21400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第一章  使用说明</w:t>
      </w:r>
      <w:r>
        <w:rPr>
          <w:color w:val="auto"/>
          <w:highlight w:val="none"/>
        </w:rPr>
        <w:tab/>
      </w:r>
      <w:r>
        <w:rPr>
          <w:color w:val="auto"/>
          <w:highlight w:val="none"/>
        </w:rPr>
        <w:fldChar w:fldCharType="begin"/>
      </w:r>
      <w:r>
        <w:rPr>
          <w:color w:val="auto"/>
          <w:highlight w:val="none"/>
        </w:rPr>
        <w:instrText xml:space="preserve"> PAGEREF _Toc21400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eastAsia="宋体" w:cs="宋体"/>
          <w:color w:val="auto"/>
          <w:szCs w:val="24"/>
          <w:highlight w:val="none"/>
        </w:rPr>
        <w:fldChar w:fldCharType="end"/>
      </w:r>
    </w:p>
    <w:p w14:paraId="70494262">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_Toc15779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_Toc15779 \h </w:instrText>
      </w:r>
      <w:r>
        <w:rPr>
          <w:color w:val="auto"/>
          <w:highlight w:val="none"/>
        </w:rPr>
        <w:fldChar w:fldCharType="separate"/>
      </w:r>
      <w:r>
        <w:rPr>
          <w:color w:val="auto"/>
          <w:highlight w:val="none"/>
        </w:rPr>
        <w:t>9</w:t>
      </w:r>
      <w:r>
        <w:rPr>
          <w:color w:val="auto"/>
          <w:highlight w:val="none"/>
        </w:rPr>
        <w:fldChar w:fldCharType="end"/>
      </w:r>
      <w:r>
        <w:rPr>
          <w:rFonts w:hint="eastAsia" w:ascii="宋体" w:hAnsi="宋体" w:eastAsia="宋体" w:cs="宋体"/>
          <w:color w:val="auto"/>
          <w:szCs w:val="24"/>
          <w:highlight w:val="none"/>
        </w:rPr>
        <w:fldChar w:fldCharType="end"/>
      </w:r>
    </w:p>
    <w:p w14:paraId="67B0EC9B">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_Toc3225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一、投标须知前附表</w:t>
      </w:r>
      <w:r>
        <w:rPr>
          <w:color w:val="auto"/>
          <w:highlight w:val="none"/>
        </w:rPr>
        <w:tab/>
      </w:r>
      <w:r>
        <w:rPr>
          <w:color w:val="auto"/>
          <w:highlight w:val="none"/>
        </w:rPr>
        <w:fldChar w:fldCharType="begin"/>
      </w:r>
      <w:r>
        <w:rPr>
          <w:color w:val="auto"/>
          <w:highlight w:val="none"/>
        </w:rPr>
        <w:instrText xml:space="preserve"> PAGEREF _Toc3225 \h </w:instrText>
      </w:r>
      <w:r>
        <w:rPr>
          <w:color w:val="auto"/>
          <w:highlight w:val="none"/>
        </w:rPr>
        <w:fldChar w:fldCharType="separate"/>
      </w:r>
      <w:r>
        <w:rPr>
          <w:color w:val="auto"/>
          <w:highlight w:val="none"/>
        </w:rPr>
        <w:t>9</w:t>
      </w:r>
      <w:r>
        <w:rPr>
          <w:color w:val="auto"/>
          <w:highlight w:val="none"/>
        </w:rPr>
        <w:fldChar w:fldCharType="end"/>
      </w:r>
      <w:r>
        <w:rPr>
          <w:rFonts w:hint="eastAsia" w:ascii="宋体" w:hAnsi="宋体" w:eastAsia="宋体" w:cs="宋体"/>
          <w:color w:val="auto"/>
          <w:szCs w:val="24"/>
          <w:highlight w:val="none"/>
        </w:rPr>
        <w:fldChar w:fldCharType="end"/>
      </w:r>
    </w:p>
    <w:p w14:paraId="66E3D96B">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_Toc6954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二、投标文件否决性条款</w:t>
      </w:r>
      <w:r>
        <w:rPr>
          <w:color w:val="auto"/>
          <w:highlight w:val="none"/>
        </w:rPr>
        <w:tab/>
      </w:r>
      <w:r>
        <w:rPr>
          <w:color w:val="auto"/>
          <w:highlight w:val="none"/>
        </w:rPr>
        <w:fldChar w:fldCharType="begin"/>
      </w:r>
      <w:r>
        <w:rPr>
          <w:color w:val="auto"/>
          <w:highlight w:val="none"/>
        </w:rPr>
        <w:instrText xml:space="preserve"> PAGEREF _Toc6954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eastAsia="宋体" w:cs="宋体"/>
          <w:color w:val="auto"/>
          <w:szCs w:val="24"/>
          <w:highlight w:val="none"/>
        </w:rPr>
        <w:fldChar w:fldCharType="end"/>
      </w:r>
    </w:p>
    <w:p w14:paraId="2D596ECD">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三、招投标须知正文</w:t>
      </w:r>
      <w:r>
        <w:rPr>
          <w:color w:val="auto"/>
          <w:highlight w:val="none"/>
        </w:rPr>
        <w:tab/>
      </w:r>
      <w:r>
        <w:rPr>
          <w:color w:val="auto"/>
          <w:highlight w:val="none"/>
        </w:rPr>
        <w:fldChar w:fldCharType="begin"/>
      </w:r>
      <w:r>
        <w:rPr>
          <w:color w:val="auto"/>
          <w:highlight w:val="none"/>
        </w:rPr>
        <w:instrText xml:space="preserve"> PAGEREF _Toc20415 \h </w:instrText>
      </w:r>
      <w:r>
        <w:rPr>
          <w:color w:val="auto"/>
          <w:highlight w:val="none"/>
        </w:rPr>
        <w:fldChar w:fldCharType="separate"/>
      </w:r>
      <w:r>
        <w:rPr>
          <w:color w:val="auto"/>
          <w:highlight w:val="none"/>
        </w:rPr>
        <w:t>20</w:t>
      </w:r>
      <w:r>
        <w:rPr>
          <w:color w:val="auto"/>
          <w:highlight w:val="none"/>
        </w:rPr>
        <w:fldChar w:fldCharType="end"/>
      </w:r>
      <w:r>
        <w:rPr>
          <w:rFonts w:hint="eastAsia" w:ascii="宋体" w:hAnsi="宋体" w:eastAsia="宋体" w:cs="宋体"/>
          <w:color w:val="auto"/>
          <w:szCs w:val="24"/>
          <w:highlight w:val="none"/>
        </w:rPr>
        <w:fldChar w:fldCharType="end"/>
      </w:r>
    </w:p>
    <w:p w14:paraId="20E858B8">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_Toc19475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（一）招标</w:t>
      </w:r>
      <w:r>
        <w:rPr>
          <w:color w:val="auto"/>
          <w:highlight w:val="none"/>
        </w:rPr>
        <w:tab/>
      </w:r>
      <w:r>
        <w:rPr>
          <w:color w:val="auto"/>
          <w:highlight w:val="none"/>
        </w:rPr>
        <w:fldChar w:fldCharType="begin"/>
      </w:r>
      <w:r>
        <w:rPr>
          <w:color w:val="auto"/>
          <w:highlight w:val="none"/>
        </w:rPr>
        <w:instrText xml:space="preserve"> PAGEREF _Toc19475 \h </w:instrText>
      </w:r>
      <w:r>
        <w:rPr>
          <w:color w:val="auto"/>
          <w:highlight w:val="none"/>
        </w:rPr>
        <w:fldChar w:fldCharType="separate"/>
      </w:r>
      <w:r>
        <w:rPr>
          <w:color w:val="auto"/>
          <w:highlight w:val="none"/>
        </w:rPr>
        <w:t>20</w:t>
      </w:r>
      <w:r>
        <w:rPr>
          <w:color w:val="auto"/>
          <w:highlight w:val="none"/>
        </w:rPr>
        <w:fldChar w:fldCharType="end"/>
      </w:r>
      <w:r>
        <w:rPr>
          <w:rFonts w:hint="eastAsia" w:ascii="宋体" w:hAnsi="宋体" w:eastAsia="宋体" w:cs="宋体"/>
          <w:color w:val="auto"/>
          <w:szCs w:val="24"/>
          <w:highlight w:val="none"/>
        </w:rPr>
        <w:fldChar w:fldCharType="end"/>
      </w:r>
    </w:p>
    <w:p w14:paraId="1081A9D9">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_Toc8539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（二）投标</w:t>
      </w:r>
      <w:r>
        <w:rPr>
          <w:color w:val="auto"/>
          <w:highlight w:val="none"/>
        </w:rPr>
        <w:tab/>
      </w:r>
      <w:r>
        <w:rPr>
          <w:color w:val="auto"/>
          <w:highlight w:val="none"/>
        </w:rPr>
        <w:fldChar w:fldCharType="begin"/>
      </w:r>
      <w:r>
        <w:rPr>
          <w:color w:val="auto"/>
          <w:highlight w:val="none"/>
        </w:rPr>
        <w:instrText xml:space="preserve"> PAGEREF _Toc8539 \h </w:instrText>
      </w:r>
      <w:r>
        <w:rPr>
          <w:color w:val="auto"/>
          <w:highlight w:val="none"/>
        </w:rPr>
        <w:fldChar w:fldCharType="separate"/>
      </w:r>
      <w:r>
        <w:rPr>
          <w:color w:val="auto"/>
          <w:highlight w:val="none"/>
        </w:rPr>
        <w:t>21</w:t>
      </w:r>
      <w:r>
        <w:rPr>
          <w:color w:val="auto"/>
          <w:highlight w:val="none"/>
        </w:rPr>
        <w:fldChar w:fldCharType="end"/>
      </w:r>
      <w:r>
        <w:rPr>
          <w:rFonts w:hint="eastAsia" w:ascii="宋体" w:hAnsi="宋体" w:eastAsia="宋体" w:cs="宋体"/>
          <w:color w:val="auto"/>
          <w:szCs w:val="24"/>
          <w:highlight w:val="none"/>
        </w:rPr>
        <w:fldChar w:fldCharType="end"/>
      </w:r>
    </w:p>
    <w:p w14:paraId="0E5DCAA9">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_Toc19176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（三）资格后审</w:t>
      </w:r>
      <w:r>
        <w:rPr>
          <w:color w:val="auto"/>
          <w:highlight w:val="none"/>
        </w:rPr>
        <w:tab/>
      </w:r>
      <w:r>
        <w:rPr>
          <w:color w:val="auto"/>
          <w:highlight w:val="none"/>
        </w:rPr>
        <w:fldChar w:fldCharType="begin"/>
      </w:r>
      <w:r>
        <w:rPr>
          <w:color w:val="auto"/>
          <w:highlight w:val="none"/>
        </w:rPr>
        <w:instrText xml:space="preserve"> PAGEREF _Toc19176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eastAsia="宋体" w:cs="宋体"/>
          <w:color w:val="auto"/>
          <w:szCs w:val="24"/>
          <w:highlight w:val="none"/>
        </w:rPr>
        <w:fldChar w:fldCharType="end"/>
      </w:r>
    </w:p>
    <w:p w14:paraId="7D6AAF7C">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_Toc31112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（四）开标</w:t>
      </w:r>
      <w:r>
        <w:rPr>
          <w:color w:val="auto"/>
          <w:highlight w:val="none"/>
        </w:rPr>
        <w:tab/>
      </w:r>
      <w:r>
        <w:rPr>
          <w:color w:val="auto"/>
          <w:highlight w:val="none"/>
        </w:rPr>
        <w:fldChar w:fldCharType="begin"/>
      </w:r>
      <w:r>
        <w:rPr>
          <w:color w:val="auto"/>
          <w:highlight w:val="none"/>
        </w:rPr>
        <w:instrText xml:space="preserve"> PAGEREF _Toc31112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eastAsia="宋体" w:cs="宋体"/>
          <w:color w:val="auto"/>
          <w:szCs w:val="24"/>
          <w:highlight w:val="none"/>
        </w:rPr>
        <w:fldChar w:fldCharType="end"/>
      </w:r>
    </w:p>
    <w:p w14:paraId="79063866">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_Toc13700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（五）评标</w:t>
      </w:r>
      <w:r>
        <w:rPr>
          <w:color w:val="auto"/>
          <w:highlight w:val="none"/>
        </w:rPr>
        <w:tab/>
      </w:r>
      <w:r>
        <w:rPr>
          <w:color w:val="auto"/>
          <w:highlight w:val="none"/>
        </w:rPr>
        <w:fldChar w:fldCharType="begin"/>
      </w:r>
      <w:r>
        <w:rPr>
          <w:color w:val="auto"/>
          <w:highlight w:val="none"/>
        </w:rPr>
        <w:instrText xml:space="preserve"> PAGEREF _Toc13700 \h </w:instrText>
      </w:r>
      <w:r>
        <w:rPr>
          <w:color w:val="auto"/>
          <w:highlight w:val="none"/>
        </w:rPr>
        <w:fldChar w:fldCharType="separate"/>
      </w:r>
      <w:r>
        <w:rPr>
          <w:color w:val="auto"/>
          <w:highlight w:val="none"/>
        </w:rPr>
        <w:t>27</w:t>
      </w:r>
      <w:r>
        <w:rPr>
          <w:color w:val="auto"/>
          <w:highlight w:val="none"/>
        </w:rPr>
        <w:fldChar w:fldCharType="end"/>
      </w:r>
      <w:r>
        <w:rPr>
          <w:rFonts w:hint="eastAsia" w:ascii="宋体" w:hAnsi="宋体" w:eastAsia="宋体" w:cs="宋体"/>
          <w:color w:val="auto"/>
          <w:szCs w:val="24"/>
          <w:highlight w:val="none"/>
        </w:rPr>
        <w:fldChar w:fldCharType="end"/>
      </w:r>
    </w:p>
    <w:p w14:paraId="4FCF81EF">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_Toc31697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（六）定标</w:t>
      </w:r>
      <w:r>
        <w:rPr>
          <w:color w:val="auto"/>
          <w:highlight w:val="none"/>
        </w:rPr>
        <w:tab/>
      </w:r>
      <w:r>
        <w:rPr>
          <w:color w:val="auto"/>
          <w:highlight w:val="none"/>
        </w:rPr>
        <w:fldChar w:fldCharType="begin"/>
      </w:r>
      <w:r>
        <w:rPr>
          <w:color w:val="auto"/>
          <w:highlight w:val="none"/>
        </w:rPr>
        <w:instrText xml:space="preserve"> PAGEREF _Toc31697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eastAsia="宋体" w:cs="宋体"/>
          <w:color w:val="auto"/>
          <w:szCs w:val="24"/>
          <w:highlight w:val="none"/>
        </w:rPr>
        <w:fldChar w:fldCharType="end"/>
      </w:r>
    </w:p>
    <w:p w14:paraId="0B6BAFE8">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_Toc19005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（七）中标通知书</w:t>
      </w:r>
      <w:r>
        <w:rPr>
          <w:color w:val="auto"/>
          <w:highlight w:val="none"/>
        </w:rPr>
        <w:tab/>
      </w:r>
      <w:r>
        <w:rPr>
          <w:color w:val="auto"/>
          <w:highlight w:val="none"/>
        </w:rPr>
        <w:fldChar w:fldCharType="begin"/>
      </w:r>
      <w:r>
        <w:rPr>
          <w:color w:val="auto"/>
          <w:highlight w:val="none"/>
        </w:rPr>
        <w:instrText xml:space="preserve"> PAGEREF _Toc19005 \h </w:instrText>
      </w:r>
      <w:r>
        <w:rPr>
          <w:color w:val="auto"/>
          <w:highlight w:val="none"/>
        </w:rPr>
        <w:fldChar w:fldCharType="separate"/>
      </w:r>
      <w:r>
        <w:rPr>
          <w:color w:val="auto"/>
          <w:highlight w:val="none"/>
        </w:rPr>
        <w:t>36</w:t>
      </w:r>
      <w:r>
        <w:rPr>
          <w:color w:val="auto"/>
          <w:highlight w:val="none"/>
        </w:rPr>
        <w:fldChar w:fldCharType="end"/>
      </w:r>
      <w:r>
        <w:rPr>
          <w:rFonts w:hint="eastAsia" w:ascii="宋体" w:hAnsi="宋体" w:eastAsia="宋体" w:cs="宋体"/>
          <w:color w:val="auto"/>
          <w:szCs w:val="24"/>
          <w:highlight w:val="none"/>
        </w:rPr>
        <w:fldChar w:fldCharType="end"/>
      </w:r>
    </w:p>
    <w:p w14:paraId="643AFCBC">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_Toc24147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（八）合同的授予</w:t>
      </w:r>
      <w:r>
        <w:rPr>
          <w:color w:val="auto"/>
          <w:highlight w:val="none"/>
        </w:rPr>
        <w:tab/>
      </w:r>
      <w:r>
        <w:rPr>
          <w:color w:val="auto"/>
          <w:highlight w:val="none"/>
        </w:rPr>
        <w:fldChar w:fldCharType="begin"/>
      </w:r>
      <w:r>
        <w:rPr>
          <w:color w:val="auto"/>
          <w:highlight w:val="none"/>
        </w:rPr>
        <w:instrText xml:space="preserve"> PAGEREF _Toc24147 \h </w:instrText>
      </w:r>
      <w:r>
        <w:rPr>
          <w:color w:val="auto"/>
          <w:highlight w:val="none"/>
        </w:rPr>
        <w:fldChar w:fldCharType="separate"/>
      </w:r>
      <w:r>
        <w:rPr>
          <w:color w:val="auto"/>
          <w:highlight w:val="none"/>
        </w:rPr>
        <w:t>37</w:t>
      </w:r>
      <w:r>
        <w:rPr>
          <w:color w:val="auto"/>
          <w:highlight w:val="none"/>
        </w:rPr>
        <w:fldChar w:fldCharType="end"/>
      </w:r>
      <w:r>
        <w:rPr>
          <w:rFonts w:hint="eastAsia" w:ascii="宋体" w:hAnsi="宋体" w:eastAsia="宋体" w:cs="宋体"/>
          <w:color w:val="auto"/>
          <w:szCs w:val="24"/>
          <w:highlight w:val="none"/>
        </w:rPr>
        <w:fldChar w:fldCharType="end"/>
      </w:r>
    </w:p>
    <w:p w14:paraId="3C855A80">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_Toc29169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44"/>
          <w:highlight w:val="none"/>
        </w:rPr>
        <w:t>第三章  招标人对招标文件及合同范本的补充/修改</w:t>
      </w:r>
      <w:r>
        <w:rPr>
          <w:color w:val="auto"/>
          <w:highlight w:val="none"/>
        </w:rPr>
        <w:tab/>
      </w:r>
      <w:r>
        <w:rPr>
          <w:color w:val="auto"/>
          <w:highlight w:val="none"/>
        </w:rPr>
        <w:fldChar w:fldCharType="begin"/>
      </w:r>
      <w:r>
        <w:rPr>
          <w:color w:val="auto"/>
          <w:highlight w:val="none"/>
        </w:rPr>
        <w:instrText xml:space="preserve"> PAGEREF _Toc29169 \h </w:instrText>
      </w:r>
      <w:r>
        <w:rPr>
          <w:color w:val="auto"/>
          <w:highlight w:val="none"/>
        </w:rPr>
        <w:fldChar w:fldCharType="separate"/>
      </w:r>
      <w:r>
        <w:rPr>
          <w:color w:val="auto"/>
          <w:highlight w:val="none"/>
        </w:rPr>
        <w:t>38</w:t>
      </w:r>
      <w:r>
        <w:rPr>
          <w:color w:val="auto"/>
          <w:highlight w:val="none"/>
        </w:rPr>
        <w:fldChar w:fldCharType="end"/>
      </w:r>
      <w:r>
        <w:rPr>
          <w:rFonts w:hint="eastAsia" w:ascii="宋体" w:hAnsi="宋体" w:eastAsia="宋体" w:cs="宋体"/>
          <w:color w:val="auto"/>
          <w:szCs w:val="24"/>
          <w:highlight w:val="none"/>
        </w:rPr>
        <w:fldChar w:fldCharType="end"/>
      </w:r>
    </w:p>
    <w:p w14:paraId="20329C05">
      <w:pPr>
        <w:pStyle w:val="27"/>
        <w:tabs>
          <w:tab w:val="right" w:leader="dot" w:pos="9073"/>
        </w:tabs>
        <w:rPr>
          <w:rFonts w:hint="eastAsia" w:ascii="黑体" w:hAnsi="黑体" w:eastAsia="黑体" w:cs="黑体"/>
          <w:color w:val="auto"/>
          <w:szCs w:val="44"/>
          <w:highlight w:val="none"/>
        </w:rPr>
      </w:pPr>
      <w:r>
        <w:rPr>
          <w:rFonts w:hint="eastAsia" w:ascii="黑体" w:hAnsi="黑体" w:eastAsia="黑体" w:cs="黑体"/>
          <w:color w:val="auto"/>
          <w:szCs w:val="44"/>
          <w:highlight w:val="none"/>
        </w:rPr>
        <w:fldChar w:fldCharType="begin"/>
      </w:r>
      <w:r>
        <w:rPr>
          <w:rFonts w:hint="eastAsia" w:ascii="黑体" w:hAnsi="黑体" w:eastAsia="黑体" w:cs="黑体"/>
          <w:color w:val="auto"/>
          <w:szCs w:val="44"/>
          <w:highlight w:val="none"/>
        </w:rPr>
        <w:instrText xml:space="preserve"> HYPERLINK \l _Toc7592 </w:instrText>
      </w:r>
      <w:r>
        <w:rPr>
          <w:rFonts w:hint="eastAsia" w:ascii="黑体" w:hAnsi="黑体" w:eastAsia="黑体" w:cs="黑体"/>
          <w:color w:val="auto"/>
          <w:szCs w:val="44"/>
          <w:highlight w:val="none"/>
        </w:rPr>
        <w:fldChar w:fldCharType="separate"/>
      </w:r>
      <w:r>
        <w:rPr>
          <w:rFonts w:hint="eastAsia" w:ascii="黑体" w:hAnsi="黑体" w:eastAsia="黑体" w:cs="黑体"/>
          <w:bCs/>
          <w:color w:val="auto"/>
          <w:szCs w:val="44"/>
          <w:highlight w:val="none"/>
        </w:rPr>
        <w:t>第四章  合同条款</w:t>
      </w:r>
      <w:r>
        <w:rPr>
          <w:rFonts w:hint="eastAsia" w:ascii="黑体" w:hAnsi="黑体" w:eastAsia="黑体" w:cs="黑体"/>
          <w:color w:val="auto"/>
          <w:szCs w:val="44"/>
          <w:highlight w:val="none"/>
        </w:rPr>
        <w:tab/>
      </w:r>
      <w:r>
        <w:rPr>
          <w:rFonts w:hint="eastAsia" w:ascii="黑体" w:hAnsi="黑体" w:eastAsia="黑体" w:cs="黑体"/>
          <w:color w:val="auto"/>
          <w:szCs w:val="44"/>
          <w:highlight w:val="none"/>
        </w:rPr>
        <w:fldChar w:fldCharType="begin"/>
      </w:r>
      <w:r>
        <w:rPr>
          <w:rFonts w:hint="eastAsia" w:ascii="黑体" w:hAnsi="黑体" w:eastAsia="黑体" w:cs="黑体"/>
          <w:color w:val="auto"/>
          <w:szCs w:val="44"/>
          <w:highlight w:val="none"/>
        </w:rPr>
        <w:instrText xml:space="preserve"> PAGEREF _Toc7592 \h </w:instrText>
      </w:r>
      <w:r>
        <w:rPr>
          <w:rFonts w:hint="eastAsia" w:ascii="黑体" w:hAnsi="黑体" w:eastAsia="黑体" w:cs="黑体"/>
          <w:color w:val="auto"/>
          <w:szCs w:val="44"/>
          <w:highlight w:val="none"/>
        </w:rPr>
        <w:fldChar w:fldCharType="separate"/>
      </w:r>
      <w:r>
        <w:rPr>
          <w:rFonts w:hint="eastAsia" w:ascii="黑体" w:hAnsi="黑体" w:eastAsia="黑体" w:cs="黑体"/>
          <w:color w:val="auto"/>
          <w:szCs w:val="44"/>
          <w:highlight w:val="none"/>
        </w:rPr>
        <w:t>39</w:t>
      </w:r>
      <w:r>
        <w:rPr>
          <w:rFonts w:hint="eastAsia" w:ascii="黑体" w:hAnsi="黑体" w:eastAsia="黑体" w:cs="黑体"/>
          <w:color w:val="auto"/>
          <w:szCs w:val="44"/>
          <w:highlight w:val="none"/>
        </w:rPr>
        <w:fldChar w:fldCharType="end"/>
      </w:r>
      <w:r>
        <w:rPr>
          <w:rFonts w:hint="eastAsia" w:ascii="黑体" w:hAnsi="黑体" w:eastAsia="黑体" w:cs="黑体"/>
          <w:color w:val="auto"/>
          <w:szCs w:val="44"/>
          <w:highlight w:val="none"/>
        </w:rPr>
        <w:fldChar w:fldCharType="end"/>
      </w:r>
    </w:p>
    <w:p w14:paraId="5368F78C">
      <w:pPr>
        <w:pStyle w:val="33"/>
        <w:tabs>
          <w:tab w:val="right" w:leader="dot" w:pos="9073"/>
        </w:tabs>
        <w:rPr>
          <w:rFonts w:hint="eastAsia"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_Toc3225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第一部分 协议书</w:t>
      </w:r>
      <w:r>
        <w:rPr>
          <w:color w:val="auto"/>
          <w:highlight w:val="none"/>
        </w:rPr>
        <w:tab/>
      </w:r>
      <w:r>
        <w:rPr>
          <w:rFonts w:hint="eastAsia"/>
          <w:color w:val="auto"/>
          <w:highlight w:val="none"/>
          <w:lang w:val="en-US" w:eastAsia="zh-CN"/>
        </w:rPr>
        <w:t>4</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3</w:t>
      </w:r>
    </w:p>
    <w:p w14:paraId="12170073">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_Toc6954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第二部分  通用条款</w:t>
      </w:r>
      <w:r>
        <w:rPr>
          <w:color w:val="auto"/>
          <w:highlight w:val="none"/>
        </w:rPr>
        <w:tab/>
      </w:r>
      <w:r>
        <w:rPr>
          <w:color w:val="auto"/>
          <w:highlight w:val="none"/>
        </w:rPr>
        <w:fldChar w:fldCharType="begin"/>
      </w:r>
      <w:r>
        <w:rPr>
          <w:color w:val="auto"/>
          <w:highlight w:val="none"/>
        </w:rPr>
        <w:instrText xml:space="preserve"> PAGEREF _Toc6954 \h </w:instrText>
      </w:r>
      <w:r>
        <w:rPr>
          <w:color w:val="auto"/>
          <w:highlight w:val="none"/>
        </w:rPr>
        <w:fldChar w:fldCharType="separate"/>
      </w:r>
      <w:r>
        <w:rPr>
          <w:rFonts w:hint="eastAsia"/>
          <w:color w:val="auto"/>
          <w:highlight w:val="none"/>
          <w:lang w:val="en-US" w:eastAsia="zh-CN"/>
        </w:rPr>
        <w:t>48</w:t>
      </w:r>
      <w:r>
        <w:rPr>
          <w:color w:val="auto"/>
          <w:highlight w:val="none"/>
        </w:rPr>
        <w:fldChar w:fldCharType="end"/>
      </w:r>
      <w:r>
        <w:rPr>
          <w:rFonts w:hint="eastAsia" w:ascii="宋体" w:hAnsi="宋体" w:eastAsia="宋体" w:cs="宋体"/>
          <w:color w:val="auto"/>
          <w:szCs w:val="24"/>
          <w:highlight w:val="none"/>
        </w:rPr>
        <w:fldChar w:fldCharType="end"/>
      </w:r>
    </w:p>
    <w:p w14:paraId="55098D00">
      <w:pPr>
        <w:pStyle w:val="33"/>
        <w:tabs>
          <w:tab w:val="right" w:leader="dot" w:pos="9073"/>
        </w:tabs>
        <w:rPr>
          <w:rFonts w:hint="default"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第三部分 专用条款</w:t>
      </w:r>
      <w:r>
        <w:rPr>
          <w:color w:val="auto"/>
          <w:highlight w:val="none"/>
        </w:rPr>
        <w:tab/>
      </w:r>
      <w:r>
        <w:rPr>
          <w:rFonts w:hint="eastAsia"/>
          <w:color w:val="auto"/>
          <w:highlight w:val="none"/>
          <w:lang w:val="en-US" w:eastAsia="zh-CN"/>
        </w:rPr>
        <w:t>1</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04</w:t>
      </w:r>
    </w:p>
    <w:p w14:paraId="40D249B8">
      <w:pPr>
        <w:pStyle w:val="33"/>
        <w:tabs>
          <w:tab w:val="right" w:leader="dot" w:pos="9073"/>
        </w:tabs>
        <w:rPr>
          <w:rFonts w:hint="default"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第四部分 补充条款</w:t>
      </w:r>
      <w:r>
        <w:rPr>
          <w:color w:val="auto"/>
          <w:highlight w:val="none"/>
        </w:rPr>
        <w:tab/>
      </w:r>
      <w:r>
        <w:rPr>
          <w:rFonts w:hint="eastAsia"/>
          <w:color w:val="auto"/>
          <w:highlight w:val="none"/>
          <w:lang w:val="en-US" w:eastAsia="zh-CN"/>
        </w:rPr>
        <w:t>1</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32</w:t>
      </w:r>
    </w:p>
    <w:p w14:paraId="78843060">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_Toc17066 </w:instrText>
      </w:r>
      <w:r>
        <w:rPr>
          <w:rFonts w:hint="eastAsia" w:ascii="宋体" w:hAnsi="宋体" w:eastAsia="宋体" w:cs="宋体"/>
          <w:color w:val="auto"/>
          <w:szCs w:val="24"/>
          <w:highlight w:val="none"/>
        </w:rPr>
        <w:fldChar w:fldCharType="separate"/>
      </w:r>
      <w:r>
        <w:rPr>
          <w:rFonts w:hint="eastAsia" w:ascii="黑体" w:hAnsi="黑体" w:eastAsia="黑体" w:cs="黑体"/>
          <w:bCs w:val="0"/>
          <w:color w:val="auto"/>
          <w:szCs w:val="32"/>
          <w:highlight w:val="none"/>
        </w:rPr>
        <w:t>第</w:t>
      </w:r>
      <w:r>
        <w:rPr>
          <w:rFonts w:hint="eastAsia" w:ascii="黑体" w:hAnsi="黑体" w:eastAsia="黑体" w:cs="黑体"/>
          <w:bCs w:val="0"/>
          <w:color w:val="auto"/>
          <w:szCs w:val="32"/>
          <w:highlight w:val="none"/>
          <w:lang w:eastAsia="zh-CN"/>
        </w:rPr>
        <w:t>五</w:t>
      </w:r>
      <w:r>
        <w:rPr>
          <w:rFonts w:hint="eastAsia" w:ascii="黑体" w:hAnsi="黑体" w:eastAsia="黑体" w:cs="黑体"/>
          <w:bCs w:val="0"/>
          <w:color w:val="auto"/>
          <w:szCs w:val="32"/>
          <w:highlight w:val="none"/>
        </w:rPr>
        <w:t xml:space="preserve">章  </w:t>
      </w:r>
      <w:r>
        <w:rPr>
          <w:rFonts w:hint="eastAsia" w:ascii="黑体" w:hAnsi="黑体" w:eastAsia="黑体" w:cs="黑体"/>
          <w:bCs w:val="0"/>
          <w:color w:val="auto"/>
          <w:szCs w:val="32"/>
          <w:highlight w:val="none"/>
          <w:lang w:eastAsia="zh-CN"/>
        </w:rPr>
        <w:t>合同附件格式</w:t>
      </w:r>
      <w:r>
        <w:rPr>
          <w:color w:val="auto"/>
          <w:highlight w:val="none"/>
        </w:rPr>
        <w:tab/>
      </w:r>
      <w:r>
        <w:rPr>
          <w:color w:val="auto"/>
          <w:highlight w:val="none"/>
        </w:rPr>
        <w:fldChar w:fldCharType="begin"/>
      </w:r>
      <w:r>
        <w:rPr>
          <w:color w:val="auto"/>
          <w:highlight w:val="none"/>
        </w:rPr>
        <w:instrText xml:space="preserve"> PAGEREF _Toc17066 \h </w:instrText>
      </w:r>
      <w:r>
        <w:rPr>
          <w:color w:val="auto"/>
          <w:highlight w:val="none"/>
        </w:rPr>
        <w:fldChar w:fldCharType="separate"/>
      </w:r>
      <w:r>
        <w:rPr>
          <w:color w:val="auto"/>
          <w:highlight w:val="none"/>
        </w:rPr>
        <w:t>133</w:t>
      </w:r>
      <w:r>
        <w:rPr>
          <w:color w:val="auto"/>
          <w:highlight w:val="none"/>
        </w:rPr>
        <w:fldChar w:fldCharType="end"/>
      </w:r>
      <w:r>
        <w:rPr>
          <w:rFonts w:hint="eastAsia" w:ascii="宋体" w:hAnsi="宋体" w:eastAsia="宋体" w:cs="宋体"/>
          <w:color w:val="auto"/>
          <w:szCs w:val="24"/>
          <w:highlight w:val="none"/>
        </w:rPr>
        <w:fldChar w:fldCharType="end"/>
      </w:r>
    </w:p>
    <w:p w14:paraId="43FCB70B">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_Toc21821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第六章  标准、规范和技术要求</w:t>
      </w:r>
      <w:r>
        <w:rPr>
          <w:color w:val="auto"/>
          <w:highlight w:val="none"/>
        </w:rPr>
        <w:tab/>
      </w:r>
      <w:r>
        <w:rPr>
          <w:color w:val="auto"/>
          <w:highlight w:val="none"/>
        </w:rPr>
        <w:fldChar w:fldCharType="begin"/>
      </w:r>
      <w:r>
        <w:rPr>
          <w:color w:val="auto"/>
          <w:highlight w:val="none"/>
        </w:rPr>
        <w:instrText xml:space="preserve"> PAGEREF _Toc21821 \h </w:instrText>
      </w:r>
      <w:r>
        <w:rPr>
          <w:color w:val="auto"/>
          <w:highlight w:val="none"/>
        </w:rPr>
        <w:fldChar w:fldCharType="separate"/>
      </w:r>
      <w:r>
        <w:rPr>
          <w:color w:val="auto"/>
          <w:highlight w:val="none"/>
        </w:rPr>
        <w:t>137</w:t>
      </w:r>
      <w:r>
        <w:rPr>
          <w:color w:val="auto"/>
          <w:highlight w:val="none"/>
        </w:rPr>
        <w:fldChar w:fldCharType="end"/>
      </w:r>
      <w:r>
        <w:rPr>
          <w:rFonts w:hint="eastAsia" w:ascii="宋体" w:hAnsi="宋体" w:eastAsia="宋体" w:cs="宋体"/>
          <w:color w:val="auto"/>
          <w:szCs w:val="24"/>
          <w:highlight w:val="none"/>
        </w:rPr>
        <w:fldChar w:fldCharType="end"/>
      </w:r>
    </w:p>
    <w:p w14:paraId="14754347">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_Toc21838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一、一般标准和技术规范</w:t>
      </w:r>
      <w:r>
        <w:rPr>
          <w:color w:val="auto"/>
          <w:highlight w:val="none"/>
        </w:rPr>
        <w:tab/>
      </w:r>
      <w:r>
        <w:rPr>
          <w:color w:val="auto"/>
          <w:highlight w:val="none"/>
        </w:rPr>
        <w:fldChar w:fldCharType="begin"/>
      </w:r>
      <w:r>
        <w:rPr>
          <w:color w:val="auto"/>
          <w:highlight w:val="none"/>
        </w:rPr>
        <w:instrText xml:space="preserve"> PAGEREF _Toc21838 \h </w:instrText>
      </w:r>
      <w:r>
        <w:rPr>
          <w:color w:val="auto"/>
          <w:highlight w:val="none"/>
        </w:rPr>
        <w:fldChar w:fldCharType="separate"/>
      </w:r>
      <w:r>
        <w:rPr>
          <w:color w:val="auto"/>
          <w:highlight w:val="none"/>
        </w:rPr>
        <w:t>137</w:t>
      </w:r>
      <w:r>
        <w:rPr>
          <w:color w:val="auto"/>
          <w:highlight w:val="none"/>
        </w:rPr>
        <w:fldChar w:fldCharType="end"/>
      </w:r>
      <w:r>
        <w:rPr>
          <w:rFonts w:hint="eastAsia" w:ascii="宋体" w:hAnsi="宋体" w:eastAsia="宋体" w:cs="宋体"/>
          <w:color w:val="auto"/>
          <w:szCs w:val="24"/>
          <w:highlight w:val="none"/>
        </w:rPr>
        <w:fldChar w:fldCharType="end"/>
      </w:r>
    </w:p>
    <w:p w14:paraId="3AE18E11">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_Toc13031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二、特殊标准和技术规范</w:t>
      </w:r>
      <w:r>
        <w:rPr>
          <w:color w:val="auto"/>
          <w:highlight w:val="none"/>
        </w:rPr>
        <w:tab/>
      </w:r>
      <w:r>
        <w:rPr>
          <w:color w:val="auto"/>
          <w:highlight w:val="none"/>
        </w:rPr>
        <w:fldChar w:fldCharType="begin"/>
      </w:r>
      <w:r>
        <w:rPr>
          <w:color w:val="auto"/>
          <w:highlight w:val="none"/>
        </w:rPr>
        <w:instrText xml:space="preserve"> PAGEREF _Toc13031 \h </w:instrText>
      </w:r>
      <w:r>
        <w:rPr>
          <w:color w:val="auto"/>
          <w:highlight w:val="none"/>
        </w:rPr>
        <w:fldChar w:fldCharType="separate"/>
      </w:r>
      <w:r>
        <w:rPr>
          <w:color w:val="auto"/>
          <w:highlight w:val="none"/>
        </w:rPr>
        <w:t>137</w:t>
      </w:r>
      <w:r>
        <w:rPr>
          <w:color w:val="auto"/>
          <w:highlight w:val="none"/>
        </w:rPr>
        <w:fldChar w:fldCharType="end"/>
      </w:r>
      <w:r>
        <w:rPr>
          <w:rFonts w:hint="eastAsia" w:ascii="宋体" w:hAnsi="宋体" w:eastAsia="宋体" w:cs="宋体"/>
          <w:color w:val="auto"/>
          <w:szCs w:val="24"/>
          <w:highlight w:val="none"/>
        </w:rPr>
        <w:fldChar w:fldCharType="end"/>
      </w:r>
    </w:p>
    <w:p w14:paraId="62D389EC">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_Toc22470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三、工程技术要求</w:t>
      </w:r>
      <w:r>
        <w:rPr>
          <w:color w:val="auto"/>
          <w:highlight w:val="none"/>
        </w:rPr>
        <w:tab/>
      </w:r>
      <w:r>
        <w:rPr>
          <w:color w:val="auto"/>
          <w:highlight w:val="none"/>
        </w:rPr>
        <w:fldChar w:fldCharType="begin"/>
      </w:r>
      <w:r>
        <w:rPr>
          <w:color w:val="auto"/>
          <w:highlight w:val="none"/>
        </w:rPr>
        <w:instrText xml:space="preserve"> PAGEREF _Toc22470 \h </w:instrText>
      </w:r>
      <w:r>
        <w:rPr>
          <w:color w:val="auto"/>
          <w:highlight w:val="none"/>
        </w:rPr>
        <w:fldChar w:fldCharType="separate"/>
      </w:r>
      <w:r>
        <w:rPr>
          <w:color w:val="auto"/>
          <w:highlight w:val="none"/>
        </w:rPr>
        <w:t>138</w:t>
      </w:r>
      <w:r>
        <w:rPr>
          <w:color w:val="auto"/>
          <w:highlight w:val="none"/>
        </w:rPr>
        <w:fldChar w:fldCharType="end"/>
      </w:r>
      <w:r>
        <w:rPr>
          <w:rFonts w:hint="eastAsia" w:ascii="宋体" w:hAnsi="宋体" w:eastAsia="宋体" w:cs="宋体"/>
          <w:color w:val="auto"/>
          <w:szCs w:val="24"/>
          <w:highlight w:val="none"/>
        </w:rPr>
        <w:fldChar w:fldCharType="end"/>
      </w:r>
    </w:p>
    <w:p w14:paraId="0CAE35E1">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_Toc27841 </w:instrText>
      </w:r>
      <w:r>
        <w:rPr>
          <w:rFonts w:hint="eastAsia" w:ascii="宋体" w:hAnsi="宋体" w:eastAsia="宋体" w:cs="宋体"/>
          <w:color w:val="auto"/>
          <w:szCs w:val="24"/>
          <w:highlight w:val="none"/>
        </w:rPr>
        <w:fldChar w:fldCharType="separate"/>
      </w:r>
      <w:r>
        <w:rPr>
          <w:rFonts w:hint="eastAsia" w:ascii="黑体" w:hAnsi="黑体" w:eastAsia="黑体" w:cs="黑体"/>
          <w:color w:val="auto"/>
          <w:szCs w:val="32"/>
          <w:highlight w:val="none"/>
        </w:rPr>
        <w:t>第七章  图纸</w:t>
      </w:r>
      <w:r>
        <w:rPr>
          <w:color w:val="auto"/>
          <w:highlight w:val="none"/>
        </w:rPr>
        <w:tab/>
      </w:r>
      <w:r>
        <w:rPr>
          <w:color w:val="auto"/>
          <w:highlight w:val="none"/>
        </w:rPr>
        <w:fldChar w:fldCharType="begin"/>
      </w:r>
      <w:r>
        <w:rPr>
          <w:color w:val="auto"/>
          <w:highlight w:val="none"/>
        </w:rPr>
        <w:instrText xml:space="preserve"> PAGEREF _Toc27841 \h </w:instrText>
      </w:r>
      <w:r>
        <w:rPr>
          <w:color w:val="auto"/>
          <w:highlight w:val="none"/>
        </w:rPr>
        <w:fldChar w:fldCharType="separate"/>
      </w:r>
      <w:r>
        <w:rPr>
          <w:color w:val="auto"/>
          <w:highlight w:val="none"/>
        </w:rPr>
        <w:t>139</w:t>
      </w:r>
      <w:r>
        <w:rPr>
          <w:color w:val="auto"/>
          <w:highlight w:val="none"/>
        </w:rPr>
        <w:fldChar w:fldCharType="end"/>
      </w:r>
      <w:r>
        <w:rPr>
          <w:rFonts w:hint="eastAsia" w:ascii="宋体" w:hAnsi="宋体" w:eastAsia="宋体" w:cs="宋体"/>
          <w:color w:val="auto"/>
          <w:szCs w:val="24"/>
          <w:highlight w:val="none"/>
        </w:rPr>
        <w:fldChar w:fldCharType="end"/>
      </w:r>
    </w:p>
    <w:p w14:paraId="05F7037F">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_Toc29501 </w:instrText>
      </w:r>
      <w:r>
        <w:rPr>
          <w:rFonts w:hint="eastAsia" w:ascii="宋体" w:hAnsi="宋体" w:eastAsia="宋体" w:cs="宋体"/>
          <w:color w:val="auto"/>
          <w:szCs w:val="24"/>
          <w:highlight w:val="none"/>
        </w:rPr>
        <w:fldChar w:fldCharType="separate"/>
      </w:r>
      <w:r>
        <w:rPr>
          <w:rFonts w:hint="eastAsia" w:ascii="黑体" w:hAnsi="黑体" w:eastAsia="黑体" w:cs="黑体"/>
          <w:color w:val="auto"/>
          <w:szCs w:val="32"/>
          <w:highlight w:val="none"/>
        </w:rPr>
        <w:t>一、图纸清单</w:t>
      </w:r>
      <w:r>
        <w:rPr>
          <w:color w:val="auto"/>
          <w:highlight w:val="none"/>
        </w:rPr>
        <w:tab/>
      </w:r>
      <w:r>
        <w:rPr>
          <w:color w:val="auto"/>
          <w:highlight w:val="none"/>
        </w:rPr>
        <w:fldChar w:fldCharType="begin"/>
      </w:r>
      <w:r>
        <w:rPr>
          <w:color w:val="auto"/>
          <w:highlight w:val="none"/>
        </w:rPr>
        <w:instrText xml:space="preserve"> PAGEREF _Toc29501 \h </w:instrText>
      </w:r>
      <w:r>
        <w:rPr>
          <w:color w:val="auto"/>
          <w:highlight w:val="none"/>
        </w:rPr>
        <w:fldChar w:fldCharType="separate"/>
      </w:r>
      <w:r>
        <w:rPr>
          <w:color w:val="auto"/>
          <w:highlight w:val="none"/>
        </w:rPr>
        <w:t>139</w:t>
      </w:r>
      <w:r>
        <w:rPr>
          <w:color w:val="auto"/>
          <w:highlight w:val="none"/>
        </w:rPr>
        <w:fldChar w:fldCharType="end"/>
      </w:r>
      <w:r>
        <w:rPr>
          <w:rFonts w:hint="eastAsia" w:ascii="宋体" w:hAnsi="宋体" w:eastAsia="宋体" w:cs="宋体"/>
          <w:color w:val="auto"/>
          <w:szCs w:val="24"/>
          <w:highlight w:val="none"/>
        </w:rPr>
        <w:fldChar w:fldCharType="end"/>
      </w:r>
    </w:p>
    <w:p w14:paraId="18686E80">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_Toc24305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二、标准图集清单</w:t>
      </w:r>
      <w:r>
        <w:rPr>
          <w:color w:val="auto"/>
          <w:highlight w:val="none"/>
        </w:rPr>
        <w:tab/>
      </w:r>
      <w:r>
        <w:rPr>
          <w:color w:val="auto"/>
          <w:highlight w:val="none"/>
        </w:rPr>
        <w:fldChar w:fldCharType="begin"/>
      </w:r>
      <w:r>
        <w:rPr>
          <w:color w:val="auto"/>
          <w:highlight w:val="none"/>
        </w:rPr>
        <w:instrText xml:space="preserve"> PAGEREF _Toc24305 \h </w:instrText>
      </w:r>
      <w:r>
        <w:rPr>
          <w:color w:val="auto"/>
          <w:highlight w:val="none"/>
        </w:rPr>
        <w:fldChar w:fldCharType="separate"/>
      </w:r>
      <w:r>
        <w:rPr>
          <w:color w:val="auto"/>
          <w:highlight w:val="none"/>
        </w:rPr>
        <w:t>140</w:t>
      </w:r>
      <w:r>
        <w:rPr>
          <w:color w:val="auto"/>
          <w:highlight w:val="none"/>
        </w:rPr>
        <w:fldChar w:fldCharType="end"/>
      </w:r>
      <w:r>
        <w:rPr>
          <w:rFonts w:hint="eastAsia" w:ascii="宋体" w:hAnsi="宋体" w:eastAsia="宋体" w:cs="宋体"/>
          <w:color w:val="auto"/>
          <w:szCs w:val="24"/>
          <w:highlight w:val="none"/>
        </w:rPr>
        <w:fldChar w:fldCharType="end"/>
      </w:r>
    </w:p>
    <w:p w14:paraId="236F1DD7">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_Toc28685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第八章  工程量清单</w:t>
      </w:r>
      <w:r>
        <w:rPr>
          <w:color w:val="auto"/>
          <w:highlight w:val="none"/>
        </w:rPr>
        <w:tab/>
      </w:r>
      <w:r>
        <w:rPr>
          <w:color w:val="auto"/>
          <w:highlight w:val="none"/>
        </w:rPr>
        <w:fldChar w:fldCharType="begin"/>
      </w:r>
      <w:r>
        <w:rPr>
          <w:color w:val="auto"/>
          <w:highlight w:val="none"/>
        </w:rPr>
        <w:instrText xml:space="preserve"> PAGEREF _Toc28685 \h </w:instrText>
      </w:r>
      <w:r>
        <w:rPr>
          <w:color w:val="auto"/>
          <w:highlight w:val="none"/>
        </w:rPr>
        <w:fldChar w:fldCharType="separate"/>
      </w:r>
      <w:r>
        <w:rPr>
          <w:color w:val="auto"/>
          <w:highlight w:val="none"/>
        </w:rPr>
        <w:t>141</w:t>
      </w:r>
      <w:r>
        <w:rPr>
          <w:color w:val="auto"/>
          <w:highlight w:val="none"/>
        </w:rPr>
        <w:fldChar w:fldCharType="end"/>
      </w:r>
      <w:r>
        <w:rPr>
          <w:rFonts w:hint="eastAsia" w:ascii="宋体" w:hAnsi="宋体" w:eastAsia="宋体" w:cs="宋体"/>
          <w:color w:val="auto"/>
          <w:szCs w:val="24"/>
          <w:highlight w:val="none"/>
        </w:rPr>
        <w:fldChar w:fldCharType="end"/>
      </w:r>
    </w:p>
    <w:p w14:paraId="28C2843E">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_Toc2822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一、工程量清单的说明及投标报价要求</w:t>
      </w:r>
      <w:r>
        <w:rPr>
          <w:color w:val="auto"/>
          <w:highlight w:val="none"/>
        </w:rPr>
        <w:tab/>
      </w:r>
      <w:r>
        <w:rPr>
          <w:color w:val="auto"/>
          <w:highlight w:val="none"/>
        </w:rPr>
        <w:fldChar w:fldCharType="begin"/>
      </w:r>
      <w:r>
        <w:rPr>
          <w:color w:val="auto"/>
          <w:highlight w:val="none"/>
        </w:rPr>
        <w:instrText xml:space="preserve"> PAGEREF _Toc2822 \h </w:instrText>
      </w:r>
      <w:r>
        <w:rPr>
          <w:color w:val="auto"/>
          <w:highlight w:val="none"/>
        </w:rPr>
        <w:fldChar w:fldCharType="separate"/>
      </w:r>
      <w:r>
        <w:rPr>
          <w:color w:val="auto"/>
          <w:highlight w:val="none"/>
        </w:rPr>
        <w:t>141</w:t>
      </w:r>
      <w:r>
        <w:rPr>
          <w:color w:val="auto"/>
          <w:highlight w:val="none"/>
        </w:rPr>
        <w:fldChar w:fldCharType="end"/>
      </w:r>
      <w:r>
        <w:rPr>
          <w:rFonts w:hint="eastAsia" w:ascii="宋体" w:hAnsi="宋体" w:eastAsia="宋体" w:cs="宋体"/>
          <w:color w:val="auto"/>
          <w:szCs w:val="24"/>
          <w:highlight w:val="none"/>
        </w:rPr>
        <w:fldChar w:fldCharType="end"/>
      </w:r>
    </w:p>
    <w:p w14:paraId="103EBBC6">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_Toc11872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二、工程量清单格式</w:t>
      </w:r>
      <w:r>
        <w:rPr>
          <w:color w:val="auto"/>
          <w:highlight w:val="none"/>
        </w:rPr>
        <w:tab/>
      </w:r>
      <w:r>
        <w:rPr>
          <w:color w:val="auto"/>
          <w:highlight w:val="none"/>
        </w:rPr>
        <w:fldChar w:fldCharType="begin"/>
      </w:r>
      <w:r>
        <w:rPr>
          <w:color w:val="auto"/>
          <w:highlight w:val="none"/>
        </w:rPr>
        <w:instrText xml:space="preserve"> PAGEREF _Toc11872 \h </w:instrText>
      </w:r>
      <w:r>
        <w:rPr>
          <w:color w:val="auto"/>
          <w:highlight w:val="none"/>
        </w:rPr>
        <w:fldChar w:fldCharType="separate"/>
      </w:r>
      <w:r>
        <w:rPr>
          <w:color w:val="auto"/>
          <w:highlight w:val="none"/>
        </w:rPr>
        <w:t>145</w:t>
      </w:r>
      <w:r>
        <w:rPr>
          <w:color w:val="auto"/>
          <w:highlight w:val="none"/>
        </w:rPr>
        <w:fldChar w:fldCharType="end"/>
      </w:r>
      <w:r>
        <w:rPr>
          <w:rFonts w:hint="eastAsia" w:ascii="宋体" w:hAnsi="宋体" w:eastAsia="宋体" w:cs="宋体"/>
          <w:color w:val="auto"/>
          <w:szCs w:val="24"/>
          <w:highlight w:val="none"/>
        </w:rPr>
        <w:fldChar w:fldCharType="end"/>
      </w:r>
    </w:p>
    <w:p w14:paraId="6B22D096">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_Toc2544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第九章  投标文件格式</w:t>
      </w:r>
      <w:r>
        <w:rPr>
          <w:color w:val="auto"/>
          <w:highlight w:val="none"/>
        </w:rPr>
        <w:tab/>
      </w:r>
      <w:r>
        <w:rPr>
          <w:color w:val="auto"/>
          <w:highlight w:val="none"/>
        </w:rPr>
        <w:fldChar w:fldCharType="begin"/>
      </w:r>
      <w:r>
        <w:rPr>
          <w:color w:val="auto"/>
          <w:highlight w:val="none"/>
        </w:rPr>
        <w:instrText xml:space="preserve"> PAGEREF _Toc2544 \h </w:instrText>
      </w:r>
      <w:r>
        <w:rPr>
          <w:color w:val="auto"/>
          <w:highlight w:val="none"/>
        </w:rPr>
        <w:fldChar w:fldCharType="separate"/>
      </w:r>
      <w:r>
        <w:rPr>
          <w:color w:val="auto"/>
          <w:highlight w:val="none"/>
        </w:rPr>
        <w:t>159</w:t>
      </w:r>
      <w:r>
        <w:rPr>
          <w:color w:val="auto"/>
          <w:highlight w:val="none"/>
        </w:rPr>
        <w:fldChar w:fldCharType="end"/>
      </w:r>
      <w:r>
        <w:rPr>
          <w:rFonts w:hint="eastAsia" w:ascii="宋体" w:hAnsi="宋体" w:eastAsia="宋体" w:cs="宋体"/>
          <w:color w:val="auto"/>
          <w:szCs w:val="24"/>
          <w:highlight w:val="none"/>
        </w:rPr>
        <w:fldChar w:fldCharType="end"/>
      </w:r>
    </w:p>
    <w:p w14:paraId="67C6A1D4">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_Toc32533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投标文件内容：商务标部分</w:t>
      </w:r>
      <w:r>
        <w:rPr>
          <w:color w:val="auto"/>
          <w:highlight w:val="none"/>
        </w:rPr>
        <w:tab/>
      </w:r>
      <w:r>
        <w:rPr>
          <w:color w:val="auto"/>
          <w:highlight w:val="none"/>
        </w:rPr>
        <w:fldChar w:fldCharType="begin"/>
      </w:r>
      <w:r>
        <w:rPr>
          <w:color w:val="auto"/>
          <w:highlight w:val="none"/>
        </w:rPr>
        <w:instrText xml:space="preserve"> PAGEREF _Toc32533 \h </w:instrText>
      </w:r>
      <w:r>
        <w:rPr>
          <w:color w:val="auto"/>
          <w:highlight w:val="none"/>
        </w:rPr>
        <w:fldChar w:fldCharType="separate"/>
      </w:r>
      <w:r>
        <w:rPr>
          <w:color w:val="auto"/>
          <w:highlight w:val="none"/>
        </w:rPr>
        <w:t>166</w:t>
      </w:r>
      <w:r>
        <w:rPr>
          <w:color w:val="auto"/>
          <w:highlight w:val="none"/>
        </w:rPr>
        <w:fldChar w:fldCharType="end"/>
      </w:r>
      <w:r>
        <w:rPr>
          <w:rFonts w:hint="eastAsia" w:ascii="宋体" w:hAnsi="宋体" w:eastAsia="宋体" w:cs="宋体"/>
          <w:color w:val="auto"/>
          <w:szCs w:val="24"/>
          <w:highlight w:val="none"/>
        </w:rPr>
        <w:fldChar w:fldCharType="end"/>
      </w:r>
    </w:p>
    <w:p w14:paraId="3BB10B48">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_Toc15897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投标文件内容：技术标部分</w:t>
      </w:r>
      <w:r>
        <w:rPr>
          <w:color w:val="auto"/>
          <w:highlight w:val="none"/>
        </w:rPr>
        <w:tab/>
      </w:r>
      <w:r>
        <w:rPr>
          <w:color w:val="auto"/>
          <w:highlight w:val="none"/>
        </w:rPr>
        <w:fldChar w:fldCharType="begin"/>
      </w:r>
      <w:r>
        <w:rPr>
          <w:color w:val="auto"/>
          <w:highlight w:val="none"/>
        </w:rPr>
        <w:instrText xml:space="preserve"> PAGEREF _Toc15897 \h </w:instrText>
      </w:r>
      <w:r>
        <w:rPr>
          <w:color w:val="auto"/>
          <w:highlight w:val="none"/>
        </w:rPr>
        <w:fldChar w:fldCharType="separate"/>
      </w:r>
      <w:r>
        <w:rPr>
          <w:color w:val="auto"/>
          <w:highlight w:val="none"/>
        </w:rPr>
        <w:t>176</w:t>
      </w:r>
      <w:r>
        <w:rPr>
          <w:color w:val="auto"/>
          <w:highlight w:val="none"/>
        </w:rPr>
        <w:fldChar w:fldCharType="end"/>
      </w:r>
      <w:r>
        <w:rPr>
          <w:rFonts w:hint="eastAsia" w:ascii="宋体" w:hAnsi="宋体" w:eastAsia="宋体" w:cs="宋体"/>
          <w:color w:val="auto"/>
          <w:szCs w:val="24"/>
          <w:highlight w:val="none"/>
        </w:rPr>
        <w:fldChar w:fldCharType="end"/>
      </w:r>
    </w:p>
    <w:p w14:paraId="587B06F5">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_Toc17383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投标文件内容：BIM标部分</w:t>
      </w:r>
      <w:r>
        <w:rPr>
          <w:color w:val="auto"/>
          <w:highlight w:val="none"/>
        </w:rPr>
        <w:tab/>
      </w:r>
      <w:r>
        <w:rPr>
          <w:color w:val="auto"/>
          <w:highlight w:val="none"/>
        </w:rPr>
        <w:fldChar w:fldCharType="begin"/>
      </w:r>
      <w:r>
        <w:rPr>
          <w:color w:val="auto"/>
          <w:highlight w:val="none"/>
        </w:rPr>
        <w:instrText xml:space="preserve"> PAGEREF _Toc17383 \h </w:instrText>
      </w:r>
      <w:r>
        <w:rPr>
          <w:color w:val="auto"/>
          <w:highlight w:val="none"/>
        </w:rPr>
        <w:fldChar w:fldCharType="separate"/>
      </w:r>
      <w:r>
        <w:rPr>
          <w:color w:val="auto"/>
          <w:highlight w:val="none"/>
        </w:rPr>
        <w:t>189</w:t>
      </w:r>
      <w:r>
        <w:rPr>
          <w:color w:val="auto"/>
          <w:highlight w:val="none"/>
        </w:rPr>
        <w:fldChar w:fldCharType="end"/>
      </w:r>
      <w:r>
        <w:rPr>
          <w:rFonts w:hint="eastAsia" w:ascii="宋体" w:hAnsi="宋体" w:eastAsia="宋体" w:cs="宋体"/>
          <w:color w:val="auto"/>
          <w:szCs w:val="24"/>
          <w:highlight w:val="none"/>
        </w:rPr>
        <w:fldChar w:fldCharType="end"/>
      </w:r>
    </w:p>
    <w:p w14:paraId="60AB0FB8">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_Toc20318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第十章  担保书格式</w:t>
      </w:r>
      <w:r>
        <w:rPr>
          <w:color w:val="auto"/>
          <w:highlight w:val="none"/>
        </w:rPr>
        <w:tab/>
      </w:r>
      <w:r>
        <w:rPr>
          <w:color w:val="auto"/>
          <w:highlight w:val="none"/>
        </w:rPr>
        <w:fldChar w:fldCharType="begin"/>
      </w:r>
      <w:r>
        <w:rPr>
          <w:color w:val="auto"/>
          <w:highlight w:val="none"/>
        </w:rPr>
        <w:instrText xml:space="preserve"> PAGEREF _Toc20318 \h </w:instrText>
      </w:r>
      <w:r>
        <w:rPr>
          <w:color w:val="auto"/>
          <w:highlight w:val="none"/>
        </w:rPr>
        <w:fldChar w:fldCharType="separate"/>
      </w:r>
      <w:r>
        <w:rPr>
          <w:color w:val="auto"/>
          <w:highlight w:val="none"/>
        </w:rPr>
        <w:t>192</w:t>
      </w:r>
      <w:r>
        <w:rPr>
          <w:color w:val="auto"/>
          <w:highlight w:val="none"/>
        </w:rPr>
        <w:fldChar w:fldCharType="end"/>
      </w:r>
      <w:r>
        <w:rPr>
          <w:rFonts w:hint="eastAsia" w:ascii="宋体" w:hAnsi="宋体" w:eastAsia="宋体" w:cs="宋体"/>
          <w:color w:val="auto"/>
          <w:szCs w:val="24"/>
          <w:highlight w:val="none"/>
        </w:rPr>
        <w:fldChar w:fldCharType="end"/>
      </w:r>
    </w:p>
    <w:p w14:paraId="4F7B1EE7">
      <w:pPr>
        <w:jc w:val="left"/>
        <w:rPr>
          <w:color w:val="auto"/>
          <w:highlight w:val="none"/>
        </w:rPr>
      </w:pPr>
      <w:r>
        <w:rPr>
          <w:rFonts w:hint="eastAsia" w:ascii="宋体" w:hAnsi="宋体" w:eastAsia="宋体" w:cs="宋体"/>
          <w:color w:val="auto"/>
          <w:szCs w:val="24"/>
          <w:highlight w:val="none"/>
        </w:rPr>
        <w:fldChar w:fldCharType="end"/>
      </w:r>
      <w:r>
        <w:rPr>
          <w:rFonts w:hint="eastAsia"/>
          <w:color w:val="auto"/>
          <w:highlight w:val="none"/>
        </w:rPr>
        <w:br w:type="page"/>
      </w:r>
    </w:p>
    <w:p w14:paraId="54DA62E5">
      <w:pPr>
        <w:adjustRightInd w:val="0"/>
        <w:snapToGrid w:val="0"/>
        <w:spacing w:line="360" w:lineRule="auto"/>
        <w:jc w:val="center"/>
        <w:outlineLvl w:val="0"/>
        <w:rPr>
          <w:rFonts w:ascii="黑体" w:hAnsi="黑体" w:eastAsia="黑体" w:cs="黑体"/>
          <w:bCs/>
          <w:color w:val="auto"/>
          <w:sz w:val="32"/>
          <w:szCs w:val="32"/>
          <w:highlight w:val="none"/>
        </w:rPr>
      </w:pPr>
      <w:bookmarkStart w:id="0" w:name="_Toc16"/>
      <w:bookmarkStart w:id="1" w:name="_Toc30186"/>
      <w:bookmarkStart w:id="2" w:name="_Toc19718"/>
      <w:bookmarkStart w:id="3" w:name="_Toc21400"/>
      <w:bookmarkStart w:id="4" w:name="_Toc12134"/>
      <w:bookmarkStart w:id="5" w:name="_Toc4975"/>
      <w:r>
        <w:rPr>
          <w:rFonts w:hint="eastAsia" w:ascii="黑体" w:hAnsi="黑体" w:eastAsia="黑体" w:cs="黑体"/>
          <w:bCs/>
          <w:color w:val="auto"/>
          <w:sz w:val="32"/>
          <w:szCs w:val="32"/>
          <w:highlight w:val="none"/>
        </w:rPr>
        <w:t>第一章  使用说明</w:t>
      </w:r>
      <w:bookmarkEnd w:id="0"/>
      <w:bookmarkEnd w:id="1"/>
      <w:bookmarkEnd w:id="2"/>
      <w:bookmarkEnd w:id="3"/>
      <w:bookmarkEnd w:id="4"/>
      <w:bookmarkEnd w:id="5"/>
    </w:p>
    <w:p w14:paraId="581815F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为了规范工程施工招标投标活动，保障招标人和投标人的合法权益，根据国家及深圳市有关法律、法规、规章和规范性文件的规定，结合我市实际，遵循公开、公平、公正和诚实信用的原则，深圳市住房和建设局制定了《深圳市建设工程施工类招标文件示范文本》（以下简称“本范本”）。</w:t>
      </w:r>
    </w:p>
    <w:p w14:paraId="1B0F6DD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本范本适用于采用评定分离、资格后审、实行《建设工程工程量清单计价规范》(GB50500-2013)并采用计算机评标系统（含BIM评审）评标的施工招标工程。因采用总价包干、单位经济指标包干、设计施工总承包等方式招标而无法采用计算机评标系统评标的，招标人需对本范本进行修改后方可使用，但仍应使用电子标书</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进行招标文件的编制。</w:t>
      </w:r>
    </w:p>
    <w:p w14:paraId="7C37DFB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三、本施工招标文件示范文本的主要编写依据：</w:t>
      </w:r>
    </w:p>
    <w:p w14:paraId="1F83D37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1．《中华人民共和国建筑法》；</w:t>
      </w:r>
    </w:p>
    <w:p w14:paraId="3B2F5B5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2．《中华人民共和国招标投标法》；</w:t>
      </w:r>
    </w:p>
    <w:p w14:paraId="476E70E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3．《中华人民共和国民法典》；</w:t>
      </w:r>
    </w:p>
    <w:p w14:paraId="104E6DDD">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《电子招标投标办法》；</w:t>
      </w:r>
    </w:p>
    <w:p w14:paraId="760B0FD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5．《保障农民工工资支付条例》；</w:t>
      </w:r>
    </w:p>
    <w:p w14:paraId="4A9CC301">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《关于创新完善体制机制推动招标投标市场规范健康发展的意见》(国办发〔2024〕21号）；</w:t>
      </w:r>
    </w:p>
    <w:p w14:paraId="487F3DC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．《深圳经济特区建设工程施工招标投标条例》；</w:t>
      </w:r>
    </w:p>
    <w:p w14:paraId="0CBC602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．《建设工程工程量清单计价规范》（GB50500-2013）；</w:t>
      </w:r>
    </w:p>
    <w:p w14:paraId="6F6AA5B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．《关于建设工程招标投标改革的若干规定》(深府〔2015〕73号)；</w:t>
      </w:r>
    </w:p>
    <w:p w14:paraId="6970AB04">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2CCF9AC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．《关于进一步完善建设工程招标投标制度的若干措施》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深建规〔2020〕1号)</w:t>
      </w:r>
      <w:r>
        <w:rPr>
          <w:rFonts w:hint="eastAsia" w:ascii="宋体" w:hAnsi="宋体" w:eastAsia="宋体" w:cs="宋体"/>
          <w:color w:val="auto"/>
          <w:szCs w:val="21"/>
          <w:highlight w:val="none"/>
        </w:rPr>
        <w:t>；</w:t>
      </w:r>
    </w:p>
    <w:p w14:paraId="4A9A7F6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．《深圳市建筑废弃物管理办法》（市政府令第330号）；</w:t>
      </w:r>
    </w:p>
    <w:p w14:paraId="3FE480CC">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《工程信息模型应用统一标准》（GB/T51212-2016）；</w:t>
      </w:r>
    </w:p>
    <w:p w14:paraId="20DB352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《建筑信息模型设计交付标准》（GB/T51301-2018）</w:t>
      </w:r>
      <w:r>
        <w:rPr>
          <w:rFonts w:hint="eastAsia" w:ascii="宋体" w:hAnsi="宋体" w:eastAsia="宋体" w:cs="宋体"/>
          <w:color w:val="auto"/>
          <w:szCs w:val="21"/>
          <w:highlight w:val="none"/>
        </w:rPr>
        <w:t>；</w:t>
      </w:r>
    </w:p>
    <w:p w14:paraId="28DAEA58">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19F6C4A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四、本工程招标投标活动在</w:t>
      </w:r>
      <w:bookmarkStart w:id="6" w:name="市局4"/>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bookmarkEnd w:id="6"/>
      <w:r>
        <w:rPr>
          <w:rFonts w:hint="eastAsia" w:ascii="宋体" w:hAnsi="宋体" w:eastAsia="宋体" w:cs="宋体"/>
          <w:color w:val="auto"/>
          <w:szCs w:val="21"/>
          <w:highlight w:val="none"/>
        </w:rPr>
        <w:t>进行。</w:t>
      </w:r>
    </w:p>
    <w:p w14:paraId="26B985D7">
      <w:pPr>
        <w:wordWrap w:val="0"/>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五、本招标文件所指交易网为：深圳公共资源交易网（http://www.szggzy.com/）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6D1E8A00">
      <w:pPr>
        <w:wordWrap w:val="0"/>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六、招标人和投标人应事先办理企业的数字证书或电子营业执照，同时应事先办理相关人员的数字证书（</w:t>
      </w:r>
      <w:r>
        <w:rPr>
          <w:rFonts w:hint="eastAsia" w:ascii="宋体" w:hAnsi="宋体" w:eastAsia="宋体" w:cs="宋体"/>
          <w:color w:val="auto"/>
          <w:szCs w:val="21"/>
          <w:highlight w:val="none"/>
          <w:lang w:val="en-US" w:eastAsia="zh-CN"/>
        </w:rPr>
        <w:t>投标人委托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编制商务标书的，需上传委托协议，且</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造价工程师也应办理数字证书）。有关手续请查看交易网中的“</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6D1C5300">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7EAB3F1B">
      <w:pPr>
        <w:keepNext w:val="0"/>
        <w:keepLines w:val="0"/>
        <w:pageBreakBefore w:val="0"/>
        <w:widowControl w:val="0"/>
        <w:kinsoku/>
        <w:wordWrap w:val="0"/>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gov.sn/)和中国招标投标公共服务平台(网址:http://www.cebpubservice.com/)发布。</w:t>
      </w:r>
    </w:p>
    <w:p w14:paraId="1D79C9E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八、有关招标问题的说明</w:t>
      </w:r>
    </w:p>
    <w:p w14:paraId="6CCABC3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4CED348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2．招标文件的建设规模应描述整个建设项目的规模情况和使用功能。</w:t>
      </w:r>
    </w:p>
    <w:p w14:paraId="53640E6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3．招标文件的招标范围，应详细说明本次招标工程的具体项目、结构类型等定量规模和项目特征。</w:t>
      </w:r>
    </w:p>
    <w:p w14:paraId="40FACC8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4．采用本范本以外的评标方法应经建设、交通行政主管部门批准，并且必须在招标文件的评标方法中进行详细描述。</w:t>
      </w:r>
    </w:p>
    <w:p w14:paraId="47D9AAD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5.采用本范本以外的定标方法应经建设、交通行政主管部门批准，并且必须在招标文件中进行详细描述。</w:t>
      </w:r>
    </w:p>
    <w:p w14:paraId="5F64E7E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6.招标人注意事项：</w:t>
      </w:r>
    </w:p>
    <w:p w14:paraId="5A68574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6.1招标人提交的电子招标文件格式为*SGZB（简称“SGZB文件”），招标工程量清单电子文件格式为*.</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（简称“SGZQD文件”），送审招标控制价电子文件格式为*.SGKZJ（简称“</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文件”），且必须是</w:t>
      </w:r>
      <w:r>
        <w:rPr>
          <w:rFonts w:hint="eastAsia" w:ascii="宋体" w:hAnsi="宋体" w:eastAsia="宋体" w:cs="宋体"/>
          <w:color w:val="auto"/>
          <w:szCs w:val="21"/>
          <w:highlight w:val="none"/>
          <w:lang w:val="en-US" w:eastAsia="zh-CN"/>
        </w:rPr>
        <w:t>交易平台编制生成</w:t>
      </w:r>
      <w:r>
        <w:rPr>
          <w:rFonts w:hint="eastAsia" w:ascii="宋体" w:hAnsi="宋体" w:eastAsia="宋体" w:cs="宋体"/>
          <w:color w:val="auto"/>
          <w:szCs w:val="21"/>
          <w:highlight w:val="none"/>
        </w:rPr>
        <w:t>的。</w:t>
      </w:r>
    </w:p>
    <w:p w14:paraId="1D8D635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6.2电子招标文件备案时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如果需要投标人提交SWT格式的投标清单，还必须在提交招标文件（“</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文件”）备案的同时提交招标工程量清单电子文件（“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w:t>
      </w:r>
    </w:p>
    <w:p w14:paraId="32DD3A4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 有关招标工程量清单的任何变更或者补遗，都需要重新生成完整的“</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文件”，招标文件有关评标方法、评审项目等重要评审内容变更或者补遗，都需要重新生成完整的“</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文件”，并重新备案，不得以其他文件格式（比如Word、Excel等）进行变更或者补遗。招标人应及时将变更后的“</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文件”和“</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文件”在“招标文件”模块与原文件进行替换。</w:t>
      </w:r>
    </w:p>
    <w:p w14:paraId="76992FE4">
      <w:pPr>
        <w:tabs>
          <w:tab w:val="left" w:pos="7140"/>
        </w:tabs>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6.4 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电子招投标系统。招标人应严格落实上述要求，并在招标策划时明确BIM技术应用阶段、内容、费用和成果文件等内容。</w:t>
      </w:r>
    </w:p>
    <w:p w14:paraId="2C6A73C8">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6.5 招标人应在招标文件中明确实施BIM的具体要求（如BIM应用范围、内容、深度、成果文件格式等），并提供设计阶段BIM成果文件（如有），同时充分考虑投标人编制BIM标书的时间。</w:t>
      </w:r>
    </w:p>
    <w:p w14:paraId="597D745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6.6 招标控制价公布在交易网的交易</w:t>
      </w:r>
      <w:r>
        <w:rPr>
          <w:rFonts w:hint="eastAsia" w:ascii="宋体" w:hAnsi="宋体" w:eastAsia="宋体" w:cs="宋体"/>
          <w:color w:val="auto"/>
          <w:szCs w:val="21"/>
          <w:highlight w:val="none"/>
          <w:lang w:val="en-US" w:eastAsia="zh-CN"/>
        </w:rPr>
        <w:t>公告</w:t>
      </w:r>
      <w:r>
        <w:rPr>
          <w:rFonts w:hint="eastAsia" w:ascii="宋体" w:hAnsi="宋体" w:eastAsia="宋体" w:cs="宋体"/>
          <w:color w:val="auto"/>
          <w:szCs w:val="21"/>
          <w:highlight w:val="none"/>
        </w:rPr>
        <w:t>-建设工程-招标控制价公示模块，“附件信息”所挂文件均为参考文件，如果“附件信息”所挂文件中有关数据与“招标控制价公示”模块公示数据不一致的，以“招标控制价公示”模块公示数据为准。如招标人需更改“招标控制价公示”模块公示数据，则按照重新公示方式进行办理，并确保公示时间符合要求。</w:t>
      </w:r>
    </w:p>
    <w:p w14:paraId="6875228D">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“附件信息”所挂文件需包含标底公示表（PDF格式）及送审招标控制价电子文件（“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文件”），公示的送审招标控制价电子文件（“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文件”）可以是</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格式，也可以是JPG、Word、Excel等其他格式，由招标人自行选择。</w:t>
      </w:r>
    </w:p>
    <w:p w14:paraId="2BD7AAC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6.7</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格式的送审招标控制价电子文件用于商务标评审，分部分项工程量清单综合单价应当按照工程量清单的项目特征提供其组价过程中的各项数据，如：材料费及其组成。</w:t>
      </w:r>
    </w:p>
    <w:p w14:paraId="06E0CF7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文件由招标人在招标控制价公示或商务标开标时自行导入开标系统，评标结束后，</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格式的送审招标控制价电子文件与评标报告一同公示。</w:t>
      </w:r>
    </w:p>
    <w:p w14:paraId="1B6EB20B">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格式的送审招标控制价电子文件中的工程量清单必须与招标工程量清单电子文件（“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文件”）中的工程量清单保持一致，且必须与交易网“招标控制价公示”模块中公示的数据一致，否则招标人需以“</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文件”中的工程量清单或交易网“招标控制价公示”模块中公示的数据为依据重新编制*.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w:t>
      </w:r>
    </w:p>
    <w:p w14:paraId="629DC4A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用于商务标评审的送审招标控制价电子文件（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格式）原则上应与招标控制价公示时所挂送审招标控制价电子文件（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、JPG、Word、Excel等格式）一致，如有不同，则应说明理由并在评标结束后与</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格式的送审招标控制价电子文件一同公示。</w:t>
      </w:r>
    </w:p>
    <w:p w14:paraId="02E1579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九、有关投标问题的说明</w:t>
      </w:r>
    </w:p>
    <w:p w14:paraId="22D18F5E">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1C006369">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2.投标人获取招标文件后，应仔细阅读招标文件及附件的全部内容，附件与招标文件具有同等效力。</w:t>
      </w:r>
    </w:p>
    <w:p w14:paraId="0961234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szCs w:val="21"/>
          <w:highlight w:val="none"/>
        </w:rPr>
        <w:t>免费查阅或下载招标文件、答疑及招标文件补充通知。</w:t>
      </w:r>
    </w:p>
    <w:p w14:paraId="0EB40C7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向招标人提出。</w:t>
      </w:r>
    </w:p>
    <w:p w14:paraId="7A094B7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6BA3F77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6.投标人应严格按招标文件要求，在截标前使用投标人（或联合体主体）企业机构数字证书或电子营业执照，通过</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递交电子投标文件，上传成功后打印回执；为防止网络阻塞，建议预留充足时间上传投标文件。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4E259CA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szCs w:val="21"/>
          <w:highlight w:val="none"/>
        </w:rPr>
        <w:t>是投标人获取建设工程电子招标文件和电子送审招标控制价文件的唯一合法渠道。投标人需随时关注交易网</w:t>
      </w:r>
      <w:r>
        <w:rPr>
          <w:rFonts w:hint="eastAsia" w:ascii="宋体" w:hAnsi="宋体" w:eastAsia="宋体" w:cs="宋体"/>
          <w:color w:val="auto"/>
          <w:szCs w:val="21"/>
          <w:highlight w:val="none"/>
          <w:lang w:val="en-US" w:eastAsia="zh-CN"/>
        </w:rPr>
        <w:t>或交易平台</w:t>
      </w:r>
      <w:r>
        <w:rPr>
          <w:rFonts w:hint="eastAsia" w:ascii="宋体" w:hAnsi="宋体" w:eastAsia="宋体" w:cs="宋体"/>
          <w:color w:val="auto"/>
          <w:szCs w:val="21"/>
          <w:highlight w:val="none"/>
        </w:rPr>
        <w:t>，确认所投标的项目招标文件（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w:t>
      </w:r>
      <w:r>
        <w:rPr>
          <w:rFonts w:hint="eastAsia" w:ascii="宋体" w:hAnsi="宋体" w:eastAsia="宋体" w:cs="宋体"/>
          <w:color w:val="auto"/>
          <w:highlight w:val="none"/>
        </w:rPr>
        <w:t>SGZB</w:t>
      </w:r>
      <w:r>
        <w:rPr>
          <w:rFonts w:hint="eastAsia" w:ascii="宋体" w:hAnsi="宋体" w:eastAsia="宋体" w:cs="宋体"/>
          <w:color w:val="auto"/>
          <w:szCs w:val="21"/>
          <w:highlight w:val="none"/>
        </w:rPr>
        <w:t>）和电子送审招标控制价文件（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）是否更新。如果有更新，须下载最新的招标文件和电子送审招标控制价文件用于制作电子投标文件，否则后果由投标人自行承担。</w:t>
      </w:r>
    </w:p>
    <w:p w14:paraId="08D7163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14:paraId="62591B9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以及《施工投标承诺函》的有关承诺作出处理。</w:t>
      </w:r>
    </w:p>
    <w:p w14:paraId="1D18D1E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10.若投标人资质证书或安全生产许可证被暂扣或吊销，但仍参与投标的，招标人将取消其投标或中标资格、没收其投标保证金，建设、交通行政主管部门将按弄虚作假行为对其进行行政处罚。</w:t>
      </w:r>
    </w:p>
    <w:p w14:paraId="5FC8D84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11.投标人注意事项：</w:t>
      </w:r>
    </w:p>
    <w:p w14:paraId="2A2158A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w:t>
      </w:r>
      <w:r>
        <w:rPr>
          <w:rFonts w:hint="eastAsia" w:ascii="宋体" w:hAnsi="宋体" w:eastAsia="宋体" w:cs="宋体"/>
          <w:b w:val="0"/>
          <w:bCs w:val="0"/>
          <w:i w:val="0"/>
          <w:iCs w:val="0"/>
          <w:color w:val="auto"/>
          <w:spacing w:val="0"/>
          <w:w w:val="100"/>
          <w:sz w:val="21"/>
          <w:szCs w:val="21"/>
          <w:highlight w:val="none"/>
          <w:vertAlign w:val="baseline"/>
        </w:rPr>
        <w:t>电子文件编制工具</w:t>
      </w:r>
      <w:r>
        <w:rPr>
          <w:rFonts w:hint="eastAsia" w:ascii="宋体" w:hAnsi="宋体" w:eastAsia="宋体" w:cs="宋体"/>
          <w:color w:val="auto"/>
          <w:szCs w:val="21"/>
          <w:highlight w:val="none"/>
        </w:rPr>
        <w:t>》安装软件可在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中下载，请注意使用正确的版本，并及时更新；</w:t>
      </w:r>
      <w:r>
        <w:rPr>
          <w:rFonts w:hint="eastAsia" w:ascii="宋体" w:hAnsi="宋体" w:eastAsia="宋体" w:cs="宋体"/>
          <w:b w:val="0"/>
          <w:bCs w:val="0"/>
          <w:i w:val="0"/>
          <w:iCs w:val="0"/>
          <w:color w:val="auto"/>
          <w:spacing w:val="0"/>
          <w:w w:val="100"/>
          <w:sz w:val="21"/>
          <w:szCs w:val="21"/>
          <w:highlight w:val="none"/>
          <w:vertAlign w:val="baseline"/>
        </w:rPr>
        <w:t>编制BIM招标项目的BIM模型文件需要使用交易网公示的施工模型标书编制软件。</w:t>
      </w:r>
    </w:p>
    <w:p w14:paraId="6CB3E48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5D3E4D44">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11.3在电子标书</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生成电子标书时，须将所签名的证书或电子营业执照的电子签名签署到相应的位置中。共包括三类签名：（1）机构证书或电子营业执照；（2）法定代表人证书；（3）人员证书[技术标部分指建造师（项目经理)，商务标部分指注册造价工程师]。</w:t>
      </w:r>
    </w:p>
    <w:p w14:paraId="2242ACB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11.4招标文件导入计价软件时，请勿修改招标文件的标段结构形式及单位工程名称等。</w:t>
      </w:r>
    </w:p>
    <w:p w14:paraId="1D57C6D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11.5在电子文件编制工具中导入投标数据交换文件(*.SWT)后，请注意检查措施项目“安全文明施工措施费”是否有报价,且该项报价需要满足招标文件的要求。</w:t>
      </w:r>
    </w:p>
    <w:p w14:paraId="3C72BE0B">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11.6如招标人未在招标工程量清单中提供“暂列金额”，而在招标控制价公示时公布，请投标人在【单项工程其他费】界面中的“暂列金额”处录入相应的金额。</w:t>
      </w:r>
    </w:p>
    <w:p w14:paraId="579374E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11.7生成电子投标数据后，点击【浏览投标清单】按钮，核对报价的内容。施工投标承诺函</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，金额必须与电子投标文件中的金额完全一致。</w:t>
      </w:r>
    </w:p>
    <w:p w14:paraId="14ACD0D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11.8评标时以电子标书为准，因此在制作电子标书的时候，需要反复核对单位工程、单项工程、工程项目的相关报价。</w:t>
      </w:r>
    </w:p>
    <w:p w14:paraId="192F11FD">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11.9投标人可使用投标文件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中的加密功能对网上传输的投标文件进行加密</w:t>
      </w:r>
      <w:bookmarkStart w:id="7" w:name="_Hlk87635778"/>
      <w:r>
        <w:rPr>
          <w:rFonts w:hint="eastAsia" w:ascii="宋体" w:hAnsi="宋体" w:eastAsia="宋体" w:cs="宋体"/>
          <w:color w:val="auto"/>
          <w:szCs w:val="21"/>
          <w:highlight w:val="none"/>
        </w:rPr>
        <w:t>（可使用数字证书或电子营业执照进行加密）</w:t>
      </w:r>
      <w:bookmarkEnd w:id="7"/>
      <w:r>
        <w:rPr>
          <w:rFonts w:hint="eastAsia" w:ascii="宋体" w:hAnsi="宋体" w:eastAsia="宋体" w:cs="宋体"/>
          <w:color w:val="auto"/>
          <w:szCs w:val="21"/>
          <w:highlight w:val="none"/>
        </w:rPr>
        <w:t>，其中：用于投标文件加密的数字证书必须是本单位的任意一个数字证书，包括机构数字证书、机构个人数字证书。用于投标文件加密的电子营业执照必须是由本单位法定代表人在市场监督管理总局的电子营业执照应用程序中下载的真实有效的电子营业执照，且投标操作人员须法定代表人授权并下载本单位电子营业执照后才可进行标书加密等相关操作。</w:t>
      </w:r>
    </w:p>
    <w:p w14:paraId="0D6E81A8">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b w:val="0"/>
          <w:bCs w:val="0"/>
          <w:i w:val="0"/>
          <w:iCs w:val="0"/>
          <w:color w:val="auto"/>
          <w:spacing w:val="0"/>
          <w:w w:val="100"/>
          <w:sz w:val="21"/>
          <w:szCs w:val="21"/>
          <w:highlight w:val="none"/>
          <w:vertAlign w:val="baseline"/>
        </w:rPr>
        <w:t>11.10在编制</w:t>
      </w:r>
      <w:r>
        <w:rPr>
          <w:rFonts w:hint="eastAsia" w:ascii="宋体" w:hAnsi="宋体" w:eastAsia="宋体" w:cs="宋体"/>
          <w:b w:val="0"/>
          <w:bCs w:val="0"/>
          <w:i w:val="0"/>
          <w:iCs w:val="0"/>
          <w:color w:val="auto"/>
          <w:spacing w:val="0"/>
          <w:w w:val="100"/>
          <w:sz w:val="21"/>
          <w:szCs w:val="21"/>
          <w:highlight w:val="none"/>
          <w:vertAlign w:val="baseline"/>
          <w:lang w:val="en-US" w:eastAsia="zh-CN"/>
        </w:rPr>
        <w:t>技术</w:t>
      </w:r>
      <w:r>
        <w:rPr>
          <w:rFonts w:hint="eastAsia" w:ascii="宋体" w:hAnsi="宋体" w:eastAsia="宋体" w:cs="宋体"/>
          <w:b w:val="0"/>
          <w:bCs w:val="0"/>
          <w:i w:val="0"/>
          <w:iCs w:val="0"/>
          <w:color w:val="auto"/>
          <w:spacing w:val="0"/>
          <w:w w:val="100"/>
          <w:sz w:val="21"/>
          <w:szCs w:val="21"/>
          <w:highlight w:val="none"/>
          <w:vertAlign w:val="baseline"/>
        </w:rPr>
        <w:t>标投标文件时，如果需要粘贴图片，可使用JPG/PNG/BMP格式的文件，并且每张图片的分辨率应小于100dpi，不含BIM文件时，最终的标书文件所占用的磁盘空间必须小于500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M；资审文件占用的磁盘空间必须小于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r>
        <w:rPr>
          <w:rFonts w:hint="eastAsia" w:ascii="宋体" w:hAnsi="宋体" w:eastAsia="宋体" w:cs="宋体"/>
          <w:b w:val="0"/>
          <w:bCs w:val="0"/>
          <w:i w:val="0"/>
          <w:iCs w:val="0"/>
          <w:color w:val="auto"/>
          <w:spacing w:val="0"/>
          <w:w w:val="100"/>
          <w:sz w:val="21"/>
          <w:szCs w:val="21"/>
          <w:highlight w:val="none"/>
          <w:vertAlign w:val="baseline"/>
          <w:lang w:eastAsia="zh-CN"/>
        </w:rPr>
        <w:t>。</w:t>
      </w:r>
    </w:p>
    <w:p w14:paraId="0448DDF2">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11.11 招标人提供了设计阶段BIM成果文件的，投标人应在该文件的基础上应用BIM技术进行深化应用，编制施工阶段BIM标书文件。在编制技术标投标文件时应使用符合</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szCs w:val="21"/>
          <w:highlight w:val="none"/>
        </w:rPr>
        <w:t xml:space="preserve"> BIM 电子招投标系统兼容要求的施工模型标书编制工具，并根据招标文件要求进行BIM模型、商务报价、进度计划等文件的整合，整合完成后，将输出资料导入“电子文件编制工具”进行签名，生成BIM投标文件（格式为*.SGTB）。BIM模型的建模范围、建模精度等应当符合招标文件的要求。BIM投标文件所占用磁盘空间建议小于400M。</w:t>
      </w:r>
    </w:p>
    <w:p w14:paraId="29300DC8">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 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14:paraId="0CF4EF5B">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0E6DC149">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556D5FBD">
      <w:pPr>
        <w:ind w:firstLine="420" w:firstLineChars="200"/>
        <w:rPr>
          <w:rFonts w:hint="eastAsia" w:ascii="宋体" w:hAnsi="宋体" w:eastAsia="宋体" w:cs="宋体"/>
          <w:color w:val="auto"/>
          <w:szCs w:val="21"/>
          <w:highlight w:val="none"/>
        </w:rPr>
      </w:pPr>
    </w:p>
    <w:tbl>
      <w:tblPr>
        <w:tblStyle w:val="41"/>
        <w:tblpPr w:leftFromText="180" w:rightFromText="180" w:vertAnchor="text" w:horzAnchor="page" w:tblpX="1399" w:tblpY="433"/>
        <w:tblOverlap w:val="never"/>
        <w:tblW w:w="92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9"/>
        <w:gridCol w:w="2835"/>
        <w:gridCol w:w="1873"/>
        <w:gridCol w:w="2913"/>
      </w:tblGrid>
      <w:tr w14:paraId="3AB17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080AB83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835" w:type="dxa"/>
            <w:shd w:val="clear" w:color="auto" w:fill="auto"/>
            <w:vAlign w:val="center"/>
          </w:tcPr>
          <w:p w14:paraId="3E26CE2A">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14:paraId="2C19BE8E">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2913" w:type="dxa"/>
            <w:shd w:val="clear" w:color="auto" w:fill="auto"/>
            <w:vAlign w:val="center"/>
          </w:tcPr>
          <w:p w14:paraId="7452121C">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6C77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0C59730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835" w:type="dxa"/>
            <w:shd w:val="clear" w:color="auto" w:fill="auto"/>
            <w:vAlign w:val="center"/>
          </w:tcPr>
          <w:p w14:paraId="7954B6AC">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14:paraId="195E2BDB">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412C5ADC">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2913" w:type="dxa"/>
            <w:shd w:val="clear" w:color="auto" w:fill="auto"/>
            <w:vAlign w:val="center"/>
          </w:tcPr>
          <w:p w14:paraId="1DE59119">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298E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217CE31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835" w:type="dxa"/>
            <w:shd w:val="clear" w:color="auto" w:fill="auto"/>
            <w:vAlign w:val="center"/>
          </w:tcPr>
          <w:p w14:paraId="0E91E5FB">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7279DBCE">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13" w:type="dxa"/>
            <w:shd w:val="clear" w:color="auto" w:fill="auto"/>
            <w:vAlign w:val="center"/>
          </w:tcPr>
          <w:p w14:paraId="16CDC7F3">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42ED8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659C026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835" w:type="dxa"/>
            <w:shd w:val="clear" w:color="auto" w:fill="auto"/>
            <w:vAlign w:val="center"/>
          </w:tcPr>
          <w:p w14:paraId="42BBB58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2601FF2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13" w:type="dxa"/>
            <w:shd w:val="clear" w:color="auto" w:fill="auto"/>
            <w:vAlign w:val="center"/>
          </w:tcPr>
          <w:p w14:paraId="4E61367E">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5E792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3081B5E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835" w:type="dxa"/>
            <w:shd w:val="clear" w:color="auto" w:fill="auto"/>
            <w:vAlign w:val="center"/>
          </w:tcPr>
          <w:p w14:paraId="6D7B9234">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4614D14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13" w:type="dxa"/>
            <w:shd w:val="clear" w:color="auto" w:fill="auto"/>
            <w:vAlign w:val="center"/>
          </w:tcPr>
          <w:p w14:paraId="6DEBD12F">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18D1C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431DA72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835" w:type="dxa"/>
            <w:shd w:val="clear" w:color="auto" w:fill="auto"/>
            <w:vAlign w:val="center"/>
          </w:tcPr>
          <w:p w14:paraId="03661BCA">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14:paraId="4E3013D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13" w:type="dxa"/>
            <w:shd w:val="clear" w:color="auto" w:fill="auto"/>
            <w:vAlign w:val="center"/>
          </w:tcPr>
          <w:p w14:paraId="7BCABE3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12F43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34FB19D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835" w:type="dxa"/>
            <w:shd w:val="clear" w:color="auto" w:fill="auto"/>
            <w:vAlign w:val="center"/>
          </w:tcPr>
          <w:p w14:paraId="6BBB7090">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503C9F0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13" w:type="dxa"/>
            <w:shd w:val="clear" w:color="auto" w:fill="auto"/>
            <w:vAlign w:val="center"/>
          </w:tcPr>
          <w:p w14:paraId="3DA644D8">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bl>
    <w:p w14:paraId="62EA6373">
      <w:pPr>
        <w:adjustRightInd w:val="0"/>
        <w:snapToGrid w:val="0"/>
        <w:spacing w:line="20" w:lineRule="exact"/>
        <w:rPr>
          <w:color w:val="auto"/>
          <w:highlight w:val="none"/>
        </w:rPr>
      </w:pPr>
      <w:r>
        <w:rPr>
          <w:color w:val="auto"/>
          <w:highlight w:val="none"/>
        </w:rPr>
        <w:br w:type="page"/>
      </w:r>
    </w:p>
    <w:p w14:paraId="074B320F">
      <w:pPr>
        <w:adjustRightInd w:val="0"/>
        <w:snapToGrid w:val="0"/>
        <w:spacing w:line="360" w:lineRule="auto"/>
        <w:jc w:val="center"/>
        <w:outlineLvl w:val="0"/>
        <w:rPr>
          <w:rFonts w:ascii="黑体" w:hAnsi="黑体" w:eastAsia="黑体" w:cs="黑体"/>
          <w:bCs/>
          <w:color w:val="auto"/>
          <w:sz w:val="32"/>
          <w:szCs w:val="32"/>
          <w:highlight w:val="none"/>
        </w:rPr>
      </w:pPr>
      <w:bookmarkStart w:id="8" w:name="_Toc32104"/>
      <w:bookmarkStart w:id="9" w:name="_Toc2221"/>
      <w:bookmarkStart w:id="10" w:name="_Toc15779"/>
      <w:bookmarkStart w:id="11" w:name="_Toc23009"/>
      <w:bookmarkStart w:id="12" w:name="_Toc17213"/>
      <w:bookmarkStart w:id="13" w:name="_Toc4234"/>
      <w:r>
        <w:rPr>
          <w:rFonts w:hint="eastAsia" w:ascii="黑体" w:hAnsi="黑体" w:eastAsia="黑体" w:cs="黑体"/>
          <w:bCs/>
          <w:color w:val="auto"/>
          <w:sz w:val="32"/>
          <w:szCs w:val="32"/>
          <w:highlight w:val="none"/>
        </w:rPr>
        <w:t>第二章  投标须知</w:t>
      </w:r>
      <w:bookmarkEnd w:id="8"/>
      <w:bookmarkEnd w:id="9"/>
      <w:bookmarkEnd w:id="10"/>
      <w:bookmarkEnd w:id="11"/>
      <w:bookmarkEnd w:id="12"/>
      <w:bookmarkEnd w:id="13"/>
    </w:p>
    <w:p w14:paraId="1A499F1E">
      <w:pPr>
        <w:adjustRightInd w:val="0"/>
        <w:snapToGrid w:val="0"/>
        <w:spacing w:line="360" w:lineRule="auto"/>
        <w:jc w:val="center"/>
        <w:outlineLvl w:val="1"/>
        <w:rPr>
          <w:rFonts w:ascii="黑体" w:hAnsi="黑体" w:eastAsia="黑体" w:cs="黑体"/>
          <w:bCs/>
          <w:color w:val="auto"/>
          <w:sz w:val="32"/>
          <w:szCs w:val="32"/>
          <w:highlight w:val="none"/>
        </w:rPr>
      </w:pPr>
      <w:bookmarkStart w:id="14" w:name="_Toc25588"/>
      <w:bookmarkStart w:id="15" w:name="_Toc30690"/>
      <w:bookmarkStart w:id="16" w:name="_Toc29683"/>
      <w:bookmarkStart w:id="17" w:name="_Toc6351"/>
      <w:bookmarkStart w:id="18" w:name="_Toc3225"/>
      <w:bookmarkStart w:id="19" w:name="_Toc10357"/>
      <w:r>
        <w:rPr>
          <w:rFonts w:hint="eastAsia" w:ascii="黑体" w:hAnsi="黑体" w:eastAsia="黑体" w:cs="黑体"/>
          <w:bCs/>
          <w:color w:val="auto"/>
          <w:sz w:val="32"/>
          <w:szCs w:val="32"/>
          <w:highlight w:val="none"/>
        </w:rPr>
        <w:t>一、投标须知前附表</w:t>
      </w:r>
      <w:bookmarkEnd w:id="14"/>
      <w:bookmarkEnd w:id="15"/>
      <w:bookmarkEnd w:id="16"/>
      <w:bookmarkEnd w:id="17"/>
      <w:bookmarkEnd w:id="18"/>
      <w:bookmarkEnd w:id="19"/>
    </w:p>
    <w:tbl>
      <w:tblPr>
        <w:tblStyle w:val="41"/>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036"/>
        <w:gridCol w:w="1485"/>
        <w:gridCol w:w="6785"/>
      </w:tblGrid>
      <w:tr w14:paraId="0884B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678" w:type="dxa"/>
            <w:shd w:val="clear" w:color="auto" w:fill="auto"/>
            <w:vAlign w:val="center"/>
          </w:tcPr>
          <w:p w14:paraId="29F201D5">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项号</w:t>
            </w:r>
          </w:p>
        </w:tc>
        <w:tc>
          <w:tcPr>
            <w:tcW w:w="1036" w:type="dxa"/>
            <w:shd w:val="clear" w:color="auto" w:fill="auto"/>
            <w:vAlign w:val="center"/>
          </w:tcPr>
          <w:p w14:paraId="15D702E1">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条款号</w:t>
            </w:r>
          </w:p>
        </w:tc>
        <w:tc>
          <w:tcPr>
            <w:tcW w:w="1485" w:type="dxa"/>
            <w:shd w:val="clear" w:color="auto" w:fill="auto"/>
            <w:vAlign w:val="center"/>
          </w:tcPr>
          <w:p w14:paraId="1D9C87BA">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  容</w:t>
            </w:r>
          </w:p>
        </w:tc>
        <w:tc>
          <w:tcPr>
            <w:tcW w:w="6785" w:type="dxa"/>
            <w:shd w:val="clear" w:color="auto" w:fill="auto"/>
            <w:vAlign w:val="center"/>
          </w:tcPr>
          <w:p w14:paraId="02B70528">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规       定</w:t>
            </w:r>
          </w:p>
        </w:tc>
      </w:tr>
      <w:tr w14:paraId="1024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1759EFC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036" w:type="dxa"/>
            <w:shd w:val="clear" w:color="auto" w:fill="auto"/>
            <w:vAlign w:val="center"/>
          </w:tcPr>
          <w:p w14:paraId="2BC0AAA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6EEE5BE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785" w:type="dxa"/>
            <w:shd w:val="clear" w:color="auto" w:fill="auto"/>
            <w:vAlign w:val="center"/>
          </w:tcPr>
          <w:p w14:paraId="42C1D5D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7878B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3E76EB5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1036" w:type="dxa"/>
            <w:shd w:val="clear" w:color="auto" w:fill="auto"/>
            <w:vAlign w:val="center"/>
          </w:tcPr>
          <w:p w14:paraId="300AE24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633EE92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785" w:type="dxa"/>
            <w:shd w:val="clear" w:color="auto" w:fill="auto"/>
            <w:vAlign w:val="center"/>
          </w:tcPr>
          <w:p w14:paraId="78DADF0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577E9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53DC520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1036" w:type="dxa"/>
            <w:shd w:val="clear" w:color="auto" w:fill="auto"/>
            <w:vAlign w:val="center"/>
          </w:tcPr>
          <w:p w14:paraId="6BC4CC3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03758A0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785" w:type="dxa"/>
            <w:shd w:val="clear" w:color="auto" w:fill="auto"/>
            <w:vAlign w:val="center"/>
          </w:tcPr>
          <w:p w14:paraId="31F76947">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是   □ 否</w:t>
            </w:r>
          </w:p>
          <w:p w14:paraId="71C768D2">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行政监督部门</w:t>
            </w:r>
            <w:r>
              <w:rPr>
                <w:rFonts w:hint="eastAsia" w:ascii="宋体" w:hAnsi="宋体" w:eastAsia="宋体" w:cs="宋体"/>
                <w:bCs/>
                <w:color w:val="auto"/>
                <w:kern w:val="0"/>
                <w:szCs w:val="21"/>
                <w:highlight w:val="none"/>
                <w:u w:val="single"/>
              </w:rPr>
              <w:t xml:space="preserve">      </w:t>
            </w:r>
          </w:p>
        </w:tc>
      </w:tr>
      <w:tr w14:paraId="0DAF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6704BCD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036" w:type="dxa"/>
            <w:shd w:val="clear" w:color="auto" w:fill="auto"/>
            <w:vAlign w:val="center"/>
          </w:tcPr>
          <w:p w14:paraId="7A3B632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485" w:type="dxa"/>
            <w:shd w:val="clear" w:color="auto" w:fill="auto"/>
            <w:vAlign w:val="center"/>
          </w:tcPr>
          <w:p w14:paraId="25E4795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w:t>
            </w:r>
          </w:p>
          <w:p w14:paraId="7259BBB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及特征</w:t>
            </w:r>
          </w:p>
        </w:tc>
        <w:tc>
          <w:tcPr>
            <w:tcW w:w="6785" w:type="dxa"/>
            <w:shd w:val="clear" w:color="auto" w:fill="auto"/>
            <w:vAlign w:val="center"/>
          </w:tcPr>
          <w:p w14:paraId="4CBB708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0C694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585A1CC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036" w:type="dxa"/>
            <w:shd w:val="clear" w:color="auto" w:fill="auto"/>
            <w:vAlign w:val="center"/>
          </w:tcPr>
          <w:p w14:paraId="4731327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485" w:type="dxa"/>
            <w:shd w:val="clear" w:color="auto" w:fill="auto"/>
            <w:vAlign w:val="center"/>
          </w:tcPr>
          <w:p w14:paraId="5408D5E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785" w:type="dxa"/>
            <w:shd w:val="clear" w:color="auto" w:fill="auto"/>
            <w:vAlign w:val="center"/>
          </w:tcPr>
          <w:p w14:paraId="53A19EF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1AF7D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vMerge w:val="restart"/>
            <w:shd w:val="clear" w:color="auto" w:fill="auto"/>
            <w:vAlign w:val="center"/>
          </w:tcPr>
          <w:p w14:paraId="2E4EBAC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1036" w:type="dxa"/>
            <w:vMerge w:val="restart"/>
            <w:shd w:val="clear" w:color="auto" w:fill="auto"/>
            <w:vAlign w:val="center"/>
          </w:tcPr>
          <w:p w14:paraId="7AE477B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w:t>
            </w:r>
          </w:p>
        </w:tc>
        <w:tc>
          <w:tcPr>
            <w:tcW w:w="1485" w:type="dxa"/>
            <w:vMerge w:val="restart"/>
            <w:shd w:val="clear" w:color="auto" w:fill="auto"/>
            <w:vAlign w:val="center"/>
          </w:tcPr>
          <w:p w14:paraId="6BD0F4BF">
            <w:pPr>
              <w:adjustRightInd w:val="0"/>
              <w:snapToGrid w:val="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785" w:type="dxa"/>
            <w:shd w:val="clear" w:color="auto" w:fill="auto"/>
            <w:vAlign w:val="center"/>
          </w:tcPr>
          <w:p w14:paraId="792BF22D">
            <w:pPr>
              <w:adjustRightInd w:val="0"/>
              <w:snapToGrid w:val="0"/>
              <w:spacing w:line="36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1DB642EE">
            <w:pPr>
              <w:adjustRightInd w:val="0"/>
              <w:snapToGrid w:val="0"/>
              <w:spacing w:line="36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3CFDBFD7">
            <w:pPr>
              <w:adjustRightInd w:val="0"/>
              <w:snapToGrid w:val="0"/>
              <w:spacing w:line="36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796EC39">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B082A32">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67E9B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vMerge w:val="continue"/>
            <w:shd w:val="clear" w:color="auto" w:fill="auto"/>
            <w:vAlign w:val="center"/>
          </w:tcPr>
          <w:p w14:paraId="071F700B">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14:paraId="56290228">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14:paraId="3E6E95A8">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14:paraId="7ACC123B">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49362A7F">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76AEA338">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1E37677E">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1BA3B475">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3C1F1158">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6934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678" w:type="dxa"/>
            <w:shd w:val="clear" w:color="auto" w:fill="auto"/>
            <w:vAlign w:val="center"/>
          </w:tcPr>
          <w:p w14:paraId="3C0A01D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1036" w:type="dxa"/>
            <w:shd w:val="clear" w:color="auto" w:fill="auto"/>
            <w:vAlign w:val="center"/>
          </w:tcPr>
          <w:p w14:paraId="3472578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1E83D81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采用的币种</w:t>
            </w:r>
          </w:p>
        </w:tc>
        <w:tc>
          <w:tcPr>
            <w:tcW w:w="6785" w:type="dxa"/>
            <w:shd w:val="clear" w:color="auto" w:fill="auto"/>
            <w:vAlign w:val="center"/>
          </w:tcPr>
          <w:p w14:paraId="42C4AF6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结合项目选择币种</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31AE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78" w:type="dxa"/>
            <w:shd w:val="clear" w:color="auto" w:fill="auto"/>
            <w:vAlign w:val="center"/>
          </w:tcPr>
          <w:p w14:paraId="07C24BE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1036" w:type="dxa"/>
            <w:shd w:val="clear" w:color="auto" w:fill="auto"/>
            <w:vAlign w:val="center"/>
          </w:tcPr>
          <w:p w14:paraId="0818546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w:t>
            </w:r>
          </w:p>
        </w:tc>
        <w:tc>
          <w:tcPr>
            <w:tcW w:w="1485" w:type="dxa"/>
            <w:shd w:val="clear" w:color="auto" w:fill="auto"/>
            <w:vAlign w:val="center"/>
          </w:tcPr>
          <w:p w14:paraId="02D3C57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6785" w:type="dxa"/>
            <w:shd w:val="clear" w:color="auto" w:fill="auto"/>
            <w:vAlign w:val="center"/>
          </w:tcPr>
          <w:p w14:paraId="2C4991F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7E76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78" w:type="dxa"/>
            <w:shd w:val="clear" w:color="auto" w:fill="auto"/>
            <w:vAlign w:val="center"/>
          </w:tcPr>
          <w:p w14:paraId="3026109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1036" w:type="dxa"/>
            <w:shd w:val="clear" w:color="auto" w:fill="auto"/>
            <w:vAlign w:val="center"/>
          </w:tcPr>
          <w:p w14:paraId="13BD7C5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485" w:type="dxa"/>
            <w:shd w:val="clear" w:color="auto" w:fill="auto"/>
            <w:vAlign w:val="center"/>
          </w:tcPr>
          <w:p w14:paraId="7376CD9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工期要求</w:t>
            </w:r>
          </w:p>
        </w:tc>
        <w:tc>
          <w:tcPr>
            <w:tcW w:w="6785" w:type="dxa"/>
            <w:shd w:val="clear" w:color="auto" w:fill="auto"/>
            <w:vAlign w:val="center"/>
          </w:tcPr>
          <w:p w14:paraId="02FDD53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w:t>
            </w:r>
          </w:p>
        </w:tc>
      </w:tr>
      <w:tr w14:paraId="6102D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678" w:type="dxa"/>
            <w:vMerge w:val="restart"/>
            <w:shd w:val="clear" w:color="auto" w:fill="auto"/>
            <w:vAlign w:val="center"/>
          </w:tcPr>
          <w:p w14:paraId="39F44D9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1036" w:type="dxa"/>
            <w:vMerge w:val="restart"/>
            <w:shd w:val="clear" w:color="auto" w:fill="auto"/>
            <w:vAlign w:val="center"/>
          </w:tcPr>
          <w:p w14:paraId="2834C69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w:t>
            </w:r>
          </w:p>
        </w:tc>
        <w:tc>
          <w:tcPr>
            <w:tcW w:w="1485" w:type="dxa"/>
            <w:vMerge w:val="restart"/>
            <w:shd w:val="clear" w:color="auto" w:fill="auto"/>
            <w:vAlign w:val="center"/>
          </w:tcPr>
          <w:p w14:paraId="16FF782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w:t>
            </w:r>
          </w:p>
        </w:tc>
        <w:tc>
          <w:tcPr>
            <w:tcW w:w="6785" w:type="dxa"/>
            <w:shd w:val="clear" w:color="auto" w:fill="auto"/>
            <w:vAlign w:val="center"/>
          </w:tcPr>
          <w:p w14:paraId="1ADCFD8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资质等级:</w:t>
            </w:r>
            <w:r>
              <w:rPr>
                <w:rFonts w:hint="eastAsia" w:ascii="宋体" w:hAnsi="宋体" w:eastAsia="宋体" w:cs="宋体"/>
                <w:bCs/>
                <w:color w:val="auto"/>
                <w:kern w:val="0"/>
                <w:szCs w:val="21"/>
                <w:highlight w:val="none"/>
                <w:u w:val="single"/>
              </w:rPr>
              <w:t xml:space="preserve">      </w:t>
            </w:r>
          </w:p>
          <w:p w14:paraId="4FB176A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联合体投标：□接受    □不接受</w:t>
            </w:r>
          </w:p>
          <w:p w14:paraId="3A2AEEC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1D0BD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678" w:type="dxa"/>
            <w:vMerge w:val="continue"/>
            <w:shd w:val="clear" w:color="auto" w:fill="auto"/>
            <w:vAlign w:val="center"/>
          </w:tcPr>
          <w:p w14:paraId="5C084B14">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14:paraId="470B188F">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14:paraId="54F8F7C6">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14:paraId="2E70CBF5">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14:paraId="27A8795D">
            <w:pPr>
              <w:adjustRightInd w:val="0"/>
              <w:snapToGrid w:val="0"/>
              <w:spacing w:line="360" w:lineRule="auto"/>
              <w:rPr>
                <w:rFonts w:hint="default" w:ascii="宋体" w:hAnsi="宋体" w:eastAsia="宋体" w:cs="宋体"/>
                <w:color w:val="auto"/>
                <w:kern w:val="0"/>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49"/>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162B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78" w:type="dxa"/>
            <w:shd w:val="clear" w:color="auto" w:fill="auto"/>
            <w:vAlign w:val="center"/>
          </w:tcPr>
          <w:p w14:paraId="1E1DAE1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036" w:type="dxa"/>
            <w:shd w:val="clear" w:color="auto" w:fill="auto"/>
            <w:vAlign w:val="center"/>
          </w:tcPr>
          <w:p w14:paraId="0638AA1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485" w:type="dxa"/>
            <w:shd w:val="clear" w:color="auto" w:fill="auto"/>
            <w:vAlign w:val="center"/>
          </w:tcPr>
          <w:p w14:paraId="59A7BAD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w:t>
            </w:r>
          </w:p>
          <w:p w14:paraId="578D4EA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要求</w:t>
            </w:r>
          </w:p>
        </w:tc>
        <w:tc>
          <w:tcPr>
            <w:tcW w:w="6785" w:type="dxa"/>
            <w:shd w:val="clear" w:color="auto" w:fill="auto"/>
            <w:vAlign w:val="center"/>
          </w:tcPr>
          <w:p w14:paraId="4CD6D839">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D2AD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678" w:type="dxa"/>
            <w:shd w:val="clear" w:color="auto" w:fill="auto"/>
            <w:vAlign w:val="center"/>
          </w:tcPr>
          <w:p w14:paraId="1EAAE01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036" w:type="dxa"/>
            <w:shd w:val="clear" w:color="auto" w:fill="auto"/>
            <w:vAlign w:val="center"/>
          </w:tcPr>
          <w:p w14:paraId="5A8814B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1485" w:type="dxa"/>
            <w:shd w:val="clear" w:color="auto" w:fill="auto"/>
            <w:vAlign w:val="center"/>
          </w:tcPr>
          <w:p w14:paraId="28694BCA">
            <w:pPr>
              <w:adjustRightInd w:val="0"/>
              <w:snapToGrid w:val="0"/>
              <w:ind w:left="-143" w:leftChars="-68" w:right="-126" w:rightChars="-6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投标人项目经理</w:t>
            </w:r>
          </w:p>
          <w:p w14:paraId="6DEA9866">
            <w:pPr>
              <w:adjustRightInd w:val="0"/>
              <w:snapToGrid w:val="0"/>
              <w:ind w:left="-143" w:leftChars="-68" w:right="-126" w:rightChars="-6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（建造师）要求</w:t>
            </w:r>
          </w:p>
        </w:tc>
        <w:tc>
          <w:tcPr>
            <w:tcW w:w="6785" w:type="dxa"/>
            <w:shd w:val="clear" w:color="auto" w:fill="auto"/>
            <w:vAlign w:val="center"/>
          </w:tcPr>
          <w:p w14:paraId="36EE7E5F">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项目经理：</w:t>
            </w:r>
            <w:r>
              <w:rPr>
                <w:rFonts w:hint="eastAsia" w:ascii="宋体" w:hAnsi="宋体" w:eastAsia="宋体" w:cs="宋体"/>
                <w:color w:val="auto"/>
                <w:kern w:val="0"/>
                <w:szCs w:val="21"/>
                <w:highlight w:val="none"/>
                <w:u w:val="single"/>
              </w:rPr>
              <w:t xml:space="preserve">      </w:t>
            </w:r>
          </w:p>
          <w:p w14:paraId="793B7821">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2C338368">
            <w:pPr>
              <w:topLinePunct/>
              <w:adjustRightInd w:val="0"/>
              <w:snapToGrid w:val="0"/>
              <w:spacing w:line="360" w:lineRule="auto"/>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u w:val="single"/>
                <w:lang w:val="en-US" w:eastAsia="zh-CN"/>
              </w:rPr>
              <w:t xml:space="preserve">是否将项目经理的资历、能力、信誉作为重要择优因素：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是</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否</w:t>
            </w:r>
          </w:p>
          <w:p w14:paraId="729C5F4F">
            <w:pPr>
              <w:topLinePunct/>
              <w:adjustRightInd w:val="0"/>
              <w:snapToGrid w:val="0"/>
              <w:spacing w:line="360" w:lineRule="auto"/>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注：1.招标人在任何一个环节（包括过多投标人淘汰、评标、定标等），将</w:t>
            </w:r>
            <w:r>
              <w:rPr>
                <w:rFonts w:hint="eastAsia" w:ascii="宋体" w:hAnsi="宋体" w:eastAsia="宋体" w:cs="宋体"/>
                <w:color w:val="auto"/>
                <w:kern w:val="0"/>
                <w:szCs w:val="21"/>
                <w:highlight w:val="none"/>
                <w:u w:val="single"/>
                <w:lang w:val="en-US" w:eastAsia="zh-CN"/>
              </w:rPr>
              <w:t>项目经理资历、能力、信誉作为择优因素的，不能勾选否。</w:t>
            </w:r>
          </w:p>
          <w:p w14:paraId="20296D41">
            <w:pPr>
              <w:topLinePunct/>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2.招标人应督促投标人严格履行投标承诺，在招标文件（含合同）中明确投标人未履行投标承诺的违约责任</w:t>
            </w:r>
            <w:r>
              <w:rPr>
                <w:rStyle w:val="49"/>
                <w:rFonts w:hint="eastAsia" w:ascii="宋体" w:hAnsi="宋体" w:eastAsia="宋体" w:cs="宋体"/>
                <w:b w:val="0"/>
                <w:bCs w:val="0"/>
                <w:color w:val="auto"/>
                <w:kern w:val="0"/>
                <w:sz w:val="21"/>
                <w:szCs w:val="21"/>
                <w:highlight w:val="none"/>
                <w:lang w:val="en-US" w:eastAsia="zh-CN"/>
              </w:rPr>
              <w:t>[</w:t>
            </w:r>
            <w:r>
              <w:rPr>
                <w:rStyle w:val="49"/>
                <w:rFonts w:hint="eastAsia" w:ascii="宋体" w:hAnsi="宋体" w:eastAsia="宋体" w:cs="宋体"/>
                <w:b w:val="0"/>
                <w:bCs w:val="0"/>
                <w:color w:val="auto"/>
                <w:kern w:val="0"/>
                <w:sz w:val="21"/>
                <w:szCs w:val="21"/>
                <w:highlight w:val="none"/>
                <w:lang w:val="en-US" w:eastAsia="zh-CN"/>
              </w:rPr>
              <w:footnoteReference w:id="1"/>
            </w:r>
            <w:r>
              <w:rPr>
                <w:rStyle w:val="49"/>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color w:val="auto"/>
                <w:szCs w:val="21"/>
                <w:highlight w:val="none"/>
                <w:u w:val="single"/>
                <w:lang w:val="en-US" w:eastAsia="zh-CN"/>
              </w:rPr>
              <w:t>：</w:t>
            </w:r>
          </w:p>
          <w:p w14:paraId="6A84D620">
            <w:pPr>
              <w:topLinePunct/>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w:t>
            </w:r>
            <w:r>
              <w:rPr>
                <w:rFonts w:hint="default" w:ascii="宋体" w:hAnsi="宋体" w:eastAsia="宋体" w:cs="宋体"/>
                <w:color w:val="auto"/>
                <w:szCs w:val="21"/>
                <w:highlight w:val="none"/>
                <w:u w:val="single"/>
                <w:lang w:val="en-US" w:eastAsia="zh-CN"/>
              </w:rPr>
              <w:t>在取得施工许可或者相关主管部门批准开工（含开工备案）手续前，中标人确认项目经理无法到岗的，取消其中标资格并解除合同</w:t>
            </w:r>
            <w:r>
              <w:rPr>
                <w:rFonts w:hint="eastAsia" w:ascii="宋体" w:hAnsi="宋体" w:eastAsia="宋体" w:cs="宋体"/>
                <w:color w:val="auto"/>
                <w:szCs w:val="21"/>
                <w:highlight w:val="none"/>
                <w:u w:val="single"/>
                <w:lang w:val="en-US" w:eastAsia="zh-CN"/>
              </w:rPr>
              <w:t>。</w:t>
            </w:r>
          </w:p>
          <w:p w14:paraId="5DD9F892">
            <w:pPr>
              <w:topLinePunct/>
              <w:adjustRightInd w:val="0"/>
              <w:snapToGrid w:val="0"/>
              <w:spacing w:line="360" w:lineRule="auto"/>
              <w:rPr>
                <w:rFonts w:hint="eastAsia" w:ascii="宋体" w:hAnsi="宋体" w:eastAsia="宋体" w:cs="宋体"/>
                <w:strike/>
                <w:color w:val="auto"/>
                <w:kern w:val="0"/>
                <w:szCs w:val="21"/>
                <w:highlight w:val="none"/>
                <w:lang w:val="en-US" w:eastAsia="zh-CN"/>
              </w:rPr>
            </w:pPr>
            <w:r>
              <w:rPr>
                <w:rFonts w:hint="eastAsia" w:ascii="宋体" w:hAnsi="宋体" w:eastAsia="宋体" w:cs="宋体"/>
                <w:color w:val="auto"/>
                <w:szCs w:val="21"/>
                <w:highlight w:val="none"/>
                <w:u w:val="single"/>
                <w:lang w:val="en-US" w:eastAsia="zh-CN"/>
              </w:rPr>
              <w:t>（2）取得上述</w:t>
            </w:r>
            <w:r>
              <w:rPr>
                <w:rFonts w:hint="default" w:ascii="宋体" w:hAnsi="宋体" w:eastAsia="宋体" w:cs="宋体"/>
                <w:color w:val="auto"/>
                <w:szCs w:val="21"/>
                <w:highlight w:val="none"/>
                <w:u w:val="single"/>
                <w:lang w:val="en-US" w:eastAsia="zh-CN"/>
              </w:rPr>
              <w:t>施工许可</w:t>
            </w:r>
            <w:r>
              <w:rPr>
                <w:rFonts w:hint="eastAsia" w:ascii="宋体" w:hAnsi="宋体" w:eastAsia="宋体" w:cs="宋体"/>
                <w:color w:val="auto"/>
                <w:szCs w:val="21"/>
                <w:highlight w:val="none"/>
                <w:u w:val="single"/>
                <w:lang w:val="en-US" w:eastAsia="zh-CN"/>
              </w:rPr>
              <w:t>或者开工手续后更换项目经理或管理团队成员的，约定处罚条款。</w:t>
            </w:r>
          </w:p>
        </w:tc>
      </w:tr>
      <w:tr w14:paraId="6494A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678" w:type="dxa"/>
            <w:shd w:val="clear" w:color="auto" w:fill="auto"/>
            <w:vAlign w:val="center"/>
          </w:tcPr>
          <w:p w14:paraId="1EE49A6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1036" w:type="dxa"/>
            <w:shd w:val="clear" w:color="auto" w:fill="auto"/>
            <w:vAlign w:val="center"/>
          </w:tcPr>
          <w:p w14:paraId="2EDF5C1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1485" w:type="dxa"/>
            <w:shd w:val="clear" w:color="auto" w:fill="auto"/>
            <w:vAlign w:val="center"/>
          </w:tcPr>
          <w:p w14:paraId="0D213D9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785" w:type="dxa"/>
            <w:shd w:val="clear" w:color="auto" w:fill="auto"/>
            <w:vAlign w:val="center"/>
          </w:tcPr>
          <w:p w14:paraId="3939D5E4">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资格后审</w:t>
            </w:r>
          </w:p>
        </w:tc>
      </w:tr>
      <w:tr w14:paraId="30E2B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678" w:type="dxa"/>
            <w:shd w:val="clear" w:color="auto" w:fill="auto"/>
            <w:vAlign w:val="center"/>
          </w:tcPr>
          <w:p w14:paraId="6075AE5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1036" w:type="dxa"/>
            <w:shd w:val="clear" w:color="auto" w:fill="auto"/>
            <w:vAlign w:val="center"/>
          </w:tcPr>
          <w:p w14:paraId="51EEB46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3C7D1BD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工程量的确定方法</w:t>
            </w:r>
          </w:p>
        </w:tc>
        <w:tc>
          <w:tcPr>
            <w:tcW w:w="6785" w:type="dxa"/>
            <w:shd w:val="clear" w:color="auto" w:fill="auto"/>
            <w:vAlign w:val="center"/>
          </w:tcPr>
          <w:p w14:paraId="682186E7">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□《建设工程工程量清单计价规范》（GB50500-2013）</w:t>
            </w:r>
          </w:p>
          <w:p w14:paraId="16D5202F">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F56F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78" w:type="dxa"/>
            <w:shd w:val="clear" w:color="auto" w:fill="auto"/>
            <w:vAlign w:val="center"/>
          </w:tcPr>
          <w:p w14:paraId="2037319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1036" w:type="dxa"/>
            <w:shd w:val="clear" w:color="auto" w:fill="auto"/>
            <w:vAlign w:val="center"/>
          </w:tcPr>
          <w:p w14:paraId="205B0DC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7402525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工程计价方法</w:t>
            </w:r>
          </w:p>
        </w:tc>
        <w:tc>
          <w:tcPr>
            <w:tcW w:w="6785" w:type="dxa"/>
            <w:shd w:val="clear" w:color="auto" w:fill="auto"/>
            <w:vAlign w:val="center"/>
          </w:tcPr>
          <w:p w14:paraId="09BC86E7">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□综合单价法</w:t>
            </w:r>
          </w:p>
          <w:p w14:paraId="04547661">
            <w:pPr>
              <w:adjustRightInd w:val="0"/>
              <w:snapToGrid w:val="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总价包干</w:t>
            </w:r>
          </w:p>
          <w:p w14:paraId="2FCA51C5">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4C1F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48D7588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w:t>
            </w:r>
          </w:p>
        </w:tc>
        <w:tc>
          <w:tcPr>
            <w:tcW w:w="1036" w:type="dxa"/>
            <w:shd w:val="clear" w:color="auto" w:fill="auto"/>
            <w:vAlign w:val="center"/>
          </w:tcPr>
          <w:p w14:paraId="0113937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485" w:type="dxa"/>
            <w:shd w:val="clear" w:color="auto" w:fill="auto"/>
            <w:vAlign w:val="center"/>
          </w:tcPr>
          <w:p w14:paraId="3020154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投标报价要求</w:t>
            </w:r>
          </w:p>
        </w:tc>
        <w:tc>
          <w:tcPr>
            <w:tcW w:w="6785" w:type="dxa"/>
            <w:shd w:val="clear" w:color="auto" w:fill="auto"/>
            <w:vAlign w:val="center"/>
          </w:tcPr>
          <w:p w14:paraId="6188219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投标报价上限为：</w:t>
            </w:r>
          </w:p>
          <w:p w14:paraId="63A5FA1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  □公示招标控制价净下浮</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p>
          <w:p w14:paraId="3CF0252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注：BIM应用费用在工程建设其他费中单独计列</w:t>
            </w:r>
            <w:r>
              <w:rPr>
                <w:rFonts w:ascii="宋体" w:hAnsi="宋体" w:eastAsia="宋体" w:cs="宋体"/>
                <w:color w:val="auto"/>
                <w:kern w:val="0"/>
                <w:szCs w:val="21"/>
                <w:highlight w:val="none"/>
              </w:rPr>
              <w:t>，</w:t>
            </w:r>
            <w:r>
              <w:rPr>
                <w:rFonts w:hint="eastAsia" w:ascii="宋体" w:hAnsi="宋体" w:eastAsia="宋体" w:cs="宋体"/>
                <w:color w:val="auto"/>
                <w:kern w:val="0"/>
                <w:szCs w:val="21"/>
                <w:highlight w:val="none"/>
              </w:rPr>
              <w:t>投标人在报价时应充分考虑实施BIM所需的</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14:paraId="78764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78" w:type="dxa"/>
            <w:vMerge w:val="restart"/>
            <w:shd w:val="clear" w:color="auto" w:fill="auto"/>
            <w:vAlign w:val="center"/>
          </w:tcPr>
          <w:p w14:paraId="04D3AC0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w:t>
            </w:r>
          </w:p>
        </w:tc>
        <w:tc>
          <w:tcPr>
            <w:tcW w:w="1036" w:type="dxa"/>
            <w:vMerge w:val="restart"/>
            <w:shd w:val="clear" w:color="auto" w:fill="auto"/>
            <w:vAlign w:val="center"/>
          </w:tcPr>
          <w:p w14:paraId="3D27EEA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1485" w:type="dxa"/>
            <w:vMerge w:val="restart"/>
            <w:shd w:val="clear" w:color="auto" w:fill="auto"/>
            <w:vAlign w:val="center"/>
          </w:tcPr>
          <w:p w14:paraId="2C3FCCB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785" w:type="dxa"/>
            <w:shd w:val="clear" w:color="auto" w:fill="auto"/>
            <w:vAlign w:val="center"/>
          </w:tcPr>
          <w:p w14:paraId="3B43990E">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投标保证金额:</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0CFD1DC">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无需提供投标担保</w:t>
            </w:r>
          </w:p>
        </w:tc>
      </w:tr>
      <w:tr w14:paraId="694D9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678" w:type="dxa"/>
            <w:vMerge w:val="continue"/>
            <w:shd w:val="clear" w:color="auto" w:fill="auto"/>
            <w:vAlign w:val="center"/>
          </w:tcPr>
          <w:p w14:paraId="7EC90A25">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62A97129">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68513C2F">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4967780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是否推行差异化缴纳投标保证金：</w:t>
            </w:r>
            <w:r>
              <w:rPr>
                <w:rFonts w:hint="eastAsia" w:ascii="宋体" w:hAnsi="宋体" w:eastAsia="宋体" w:cs="宋体"/>
                <w:color w:val="auto"/>
                <w:kern w:val="0"/>
                <w:szCs w:val="21"/>
                <w:highlight w:val="none"/>
              </w:rPr>
              <w:t>□是    □否</w:t>
            </w:r>
          </w:p>
          <w:p w14:paraId="71DF0409">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推行差异化缴纳投标保证金的具体措施</w:t>
            </w:r>
            <w:r>
              <w:rPr>
                <w:rStyle w:val="49"/>
                <w:rFonts w:hint="eastAsia" w:ascii="宋体" w:hAnsi="宋体" w:eastAsia="宋体" w:cs="宋体"/>
                <w:color w:val="auto"/>
                <w:kern w:val="0"/>
                <w:szCs w:val="21"/>
                <w:highlight w:val="none"/>
                <w:lang w:val="en-US" w:eastAsia="zh-CN"/>
              </w:rPr>
              <w:t>[</w:t>
            </w:r>
            <w:r>
              <w:rPr>
                <w:rStyle w:val="49"/>
                <w:rFonts w:hint="eastAsia" w:ascii="宋体" w:hAnsi="宋体" w:eastAsia="宋体" w:cs="宋体"/>
                <w:color w:val="auto"/>
                <w:kern w:val="0"/>
                <w:szCs w:val="21"/>
                <w:highlight w:val="none"/>
                <w:lang w:val="en-US" w:eastAsia="zh-CN"/>
              </w:rPr>
              <w:footnoteReference w:id="2"/>
            </w:r>
            <w:r>
              <w:rPr>
                <w:rStyle w:val="49"/>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67A2B700">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□投标截止日前，投标人为无失信记录中小微企业，采用投标保证金承诺函替代投标保证金。</w:t>
            </w:r>
          </w:p>
          <w:p w14:paraId="69E81945">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在深圳市建筑市场主体信用管理系统中信用等级为A时，采用投标保证金承诺函替代投标保证金；信用等级为B+时，减半缴纳投标保证金；采用联合体投标的，按联合体牵头单位在深圳市建筑市场主体信用管理系统中信用等级确定相应减免标准。</w:t>
            </w:r>
          </w:p>
          <w:p w14:paraId="1872D6F8">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02A84E52">
            <w:pPr>
              <w:adjustRightInd w:val="0"/>
              <w:snapToGrid w:val="0"/>
              <w:spacing w:line="36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投标人采用投标保证金承诺函替代投标保证金的，承诺函应包括企业规模、信用状况等内容，并对真实性负责。</w:t>
            </w:r>
          </w:p>
        </w:tc>
      </w:tr>
      <w:tr w14:paraId="13EE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vMerge w:val="continue"/>
            <w:shd w:val="clear" w:color="auto" w:fill="auto"/>
            <w:vAlign w:val="center"/>
          </w:tcPr>
          <w:p w14:paraId="220D68EC">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3764ACF5">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5436E26A">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2F2B984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69D4CDF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6481E1A3">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3E0EC565">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115F2489">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5C6DC724">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招标人可自主选择是否允许其他方式，如担保公司保函等，采用其他方式的应要求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2B15F0FF">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2.鼓励投标人使用电子保函、保险。</w:t>
            </w:r>
          </w:p>
        </w:tc>
      </w:tr>
      <w:tr w14:paraId="7F03D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0" w:hRule="atLeast"/>
          <w:jc w:val="center"/>
        </w:trPr>
        <w:tc>
          <w:tcPr>
            <w:tcW w:w="678" w:type="dxa"/>
            <w:shd w:val="clear" w:color="auto" w:fill="auto"/>
            <w:vAlign w:val="center"/>
          </w:tcPr>
          <w:p w14:paraId="4BE25AC4">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18</w:t>
            </w:r>
          </w:p>
        </w:tc>
        <w:tc>
          <w:tcPr>
            <w:tcW w:w="1036" w:type="dxa"/>
            <w:shd w:val="clear" w:color="auto" w:fill="auto"/>
            <w:vAlign w:val="center"/>
          </w:tcPr>
          <w:p w14:paraId="56083018">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18</w:t>
            </w:r>
          </w:p>
        </w:tc>
        <w:tc>
          <w:tcPr>
            <w:tcW w:w="1485" w:type="dxa"/>
            <w:shd w:val="clear" w:color="auto" w:fill="auto"/>
            <w:vAlign w:val="center"/>
          </w:tcPr>
          <w:p w14:paraId="412D395D">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投标文件组成</w:t>
            </w:r>
          </w:p>
        </w:tc>
        <w:tc>
          <w:tcPr>
            <w:tcW w:w="6785" w:type="dxa"/>
            <w:shd w:val="clear" w:color="auto" w:fill="auto"/>
            <w:vAlign w:val="center"/>
          </w:tcPr>
          <w:p w14:paraId="3368CA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电子投标文件组成：资格审查文件标书1份</w:t>
            </w:r>
          </w:p>
          <w:p w14:paraId="5FFAEBF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□资信标或资信内容1份</w:t>
            </w:r>
          </w:p>
          <w:p w14:paraId="4FB6FF6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□商务标部分标书1份</w:t>
            </w:r>
          </w:p>
          <w:p w14:paraId="3BFEACA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□技术标部分标书1份</w:t>
            </w:r>
          </w:p>
          <w:p w14:paraId="2ADFF1A7">
            <w:pPr>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sym w:font="Wingdings 2" w:char="00A3"/>
            </w:r>
            <w:r>
              <w:rPr>
                <w:rFonts w:ascii="宋体" w:hAnsi="宋体" w:eastAsia="宋体" w:cs="宋体"/>
                <w:color w:val="auto"/>
                <w:kern w:val="0"/>
                <w:szCs w:val="21"/>
                <w:highlight w:val="none"/>
              </w:rPr>
              <w:t>BIM标部分标书1份</w:t>
            </w:r>
            <w:r>
              <w:rPr>
                <w:rFonts w:hint="eastAsia" w:ascii="宋体" w:hAnsi="宋体" w:eastAsia="宋体" w:cs="宋体"/>
                <w:color w:val="auto"/>
                <w:kern w:val="0"/>
                <w:szCs w:val="21"/>
                <w:highlight w:val="none"/>
              </w:rPr>
              <w:t>（含BIM实施方案）</w:t>
            </w:r>
          </w:p>
          <w:p w14:paraId="47AF179C">
            <w:pPr>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14:paraId="1830174E">
            <w:pPr>
              <w:adjustRightInd w:val="0"/>
              <w:snapToGrid w:val="0"/>
              <w:spacing w:line="36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注：如窗口方式递交时应一式两份，以光盘形式（资格审查文件需单独刻盘封装）递交至</w:t>
            </w:r>
            <w:r>
              <w:rPr>
                <w:rFonts w:hint="eastAsia" w:ascii="宋体" w:hAnsi="宋体" w:eastAsia="宋体" w:cs="宋体"/>
                <w:color w:val="auto"/>
                <w:szCs w:val="21"/>
                <w:highlight w:val="none"/>
              </w:rPr>
              <w:t>深圳公共资源交易中心 深圳交易集团有限公司建设工程招标业务分公司/龙岗分公司/宝安分公司</w:t>
            </w:r>
            <w:r>
              <w:rPr>
                <w:rFonts w:hint="eastAsia" w:ascii="宋体" w:hAnsi="宋体" w:eastAsia="宋体" w:cs="宋体"/>
                <w:color w:val="auto"/>
                <w:kern w:val="0"/>
                <w:szCs w:val="21"/>
                <w:highlight w:val="none"/>
              </w:rPr>
              <w:t>窗口。</w:t>
            </w:r>
          </w:p>
        </w:tc>
      </w:tr>
      <w:tr w14:paraId="3E2B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678" w:type="dxa"/>
            <w:shd w:val="clear" w:color="auto" w:fill="auto"/>
            <w:vAlign w:val="center"/>
          </w:tcPr>
          <w:p w14:paraId="5D06CA8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w:t>
            </w:r>
          </w:p>
        </w:tc>
        <w:tc>
          <w:tcPr>
            <w:tcW w:w="1036" w:type="dxa"/>
            <w:shd w:val="clear" w:color="auto" w:fill="auto"/>
            <w:vAlign w:val="center"/>
          </w:tcPr>
          <w:p w14:paraId="4759174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782201C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是否有危险性较大的分部分项工程</w:t>
            </w:r>
          </w:p>
        </w:tc>
        <w:tc>
          <w:tcPr>
            <w:tcW w:w="6785" w:type="dxa"/>
            <w:shd w:val="clear" w:color="auto" w:fill="auto"/>
            <w:vAlign w:val="center"/>
          </w:tcPr>
          <w:p w14:paraId="04BF4BE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42A9884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注：1.危险性较大的分部分项工程（以下简称危大工程）范围详见《广东省住房和城乡建设厅关于印发房屋市政工程危险性较大的分部分项工程安全管理实施细则的通知》（粤建规范〔2019〕2号）；</w:t>
            </w:r>
          </w:p>
          <w:p w14:paraId="7AD170B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2.如是，招标人应填写《危大工程清单》（详见第九章投标文件格式--技术标编写目录及要求）；投标人根据工程实际特点，在技术标中补充完善危大工程清单并明确相应的安全管理措施。</w:t>
            </w:r>
          </w:p>
        </w:tc>
      </w:tr>
      <w:tr w14:paraId="61F2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16283AE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w:t>
            </w:r>
          </w:p>
        </w:tc>
        <w:tc>
          <w:tcPr>
            <w:tcW w:w="1036" w:type="dxa"/>
            <w:shd w:val="clear" w:color="auto" w:fill="auto"/>
            <w:vAlign w:val="center"/>
          </w:tcPr>
          <w:p w14:paraId="525FE12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w:t>
            </w:r>
          </w:p>
        </w:tc>
        <w:tc>
          <w:tcPr>
            <w:tcW w:w="1485" w:type="dxa"/>
            <w:shd w:val="clear" w:color="auto" w:fill="auto"/>
            <w:vAlign w:val="center"/>
          </w:tcPr>
          <w:p w14:paraId="05740DE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785" w:type="dxa"/>
            <w:shd w:val="clear" w:color="auto" w:fill="auto"/>
            <w:vAlign w:val="center"/>
          </w:tcPr>
          <w:p w14:paraId="5162918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bCs/>
                <w:color w:val="auto"/>
                <w:kern w:val="0"/>
                <w:szCs w:val="21"/>
                <w:highlight w:val="none"/>
                <w:u w:val="single"/>
              </w:rPr>
              <w:t xml:space="preserve">      </w:t>
            </w:r>
          </w:p>
        </w:tc>
      </w:tr>
      <w:tr w14:paraId="0E33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678" w:type="dxa"/>
            <w:shd w:val="clear" w:color="auto" w:fill="auto"/>
            <w:vAlign w:val="center"/>
          </w:tcPr>
          <w:p w14:paraId="4C7C461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036" w:type="dxa"/>
            <w:shd w:val="clear" w:color="auto" w:fill="auto"/>
            <w:vAlign w:val="center"/>
          </w:tcPr>
          <w:p w14:paraId="6497227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w:t>
            </w:r>
          </w:p>
        </w:tc>
        <w:tc>
          <w:tcPr>
            <w:tcW w:w="1485" w:type="dxa"/>
            <w:shd w:val="clear" w:color="auto" w:fill="auto"/>
            <w:vAlign w:val="center"/>
          </w:tcPr>
          <w:p w14:paraId="2B2F0BC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公布招标控制价、投标报价上限地址</w:t>
            </w:r>
          </w:p>
        </w:tc>
        <w:tc>
          <w:tcPr>
            <w:tcW w:w="6785" w:type="dxa"/>
            <w:shd w:val="clear" w:color="auto" w:fill="auto"/>
            <w:vAlign w:val="center"/>
          </w:tcPr>
          <w:p w14:paraId="79EB38B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网址：深圳公共资源交易网</w:t>
            </w:r>
          </w:p>
        </w:tc>
      </w:tr>
      <w:tr w14:paraId="284D0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56678C4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1036" w:type="dxa"/>
            <w:shd w:val="clear" w:color="auto" w:fill="auto"/>
            <w:vAlign w:val="center"/>
          </w:tcPr>
          <w:p w14:paraId="51395A4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485" w:type="dxa"/>
            <w:shd w:val="clear" w:color="auto" w:fill="auto"/>
            <w:vAlign w:val="center"/>
          </w:tcPr>
          <w:p w14:paraId="0427E67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785" w:type="dxa"/>
            <w:shd w:val="clear" w:color="auto" w:fill="auto"/>
            <w:vAlign w:val="center"/>
          </w:tcPr>
          <w:p w14:paraId="1B1E0D6F">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042A5B4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48C521E2">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网址：</w:t>
            </w:r>
            <w:r>
              <w:rPr>
                <w:rFonts w:hint="eastAsia" w:ascii="宋体" w:hAnsi="宋体" w:eastAsia="宋体" w:cs="宋体"/>
                <w:color w:val="auto"/>
                <w:kern w:val="0"/>
                <w:szCs w:val="21"/>
                <w:highlight w:val="none"/>
                <w:u w:val="single"/>
                <w:lang w:val="en-US" w:eastAsia="zh-CN"/>
              </w:rPr>
              <w:t xml:space="preserve">           </w:t>
            </w:r>
          </w:p>
          <w:p w14:paraId="4F4EABC9">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lang w:val="en-US" w:eastAsia="zh-CN"/>
              </w:rPr>
              <w:t>方式</w:t>
            </w:r>
            <w:r>
              <w:rPr>
                <w:rFonts w:hint="eastAsia" w:ascii="宋体" w:hAnsi="宋体" w:eastAsia="宋体" w:cs="宋体"/>
                <w:color w:val="auto"/>
                <w:kern w:val="0"/>
                <w:szCs w:val="21"/>
                <w:highlight w:val="none"/>
              </w:rPr>
              <w:t>：</w:t>
            </w:r>
            <w:r>
              <w:rPr>
                <w:rFonts w:hint="eastAsia" w:ascii="宋体" w:hAnsi="宋体" w:eastAsia="宋体" w:cs="宋体"/>
                <w:i w:val="0"/>
                <w:iCs w:val="0"/>
                <w:color w:val="auto"/>
                <w:kern w:val="0"/>
                <w:szCs w:val="21"/>
                <w:highlight w:val="none"/>
                <w:u w:val="single"/>
              </w:rPr>
              <w:t xml:space="preserve">             </w:t>
            </w:r>
          </w:p>
        </w:tc>
      </w:tr>
      <w:tr w14:paraId="7EA46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678" w:type="dxa"/>
            <w:shd w:val="clear" w:color="auto" w:fill="auto"/>
            <w:vAlign w:val="center"/>
          </w:tcPr>
          <w:p w14:paraId="685C6B0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1036" w:type="dxa"/>
            <w:shd w:val="clear" w:color="auto" w:fill="auto"/>
            <w:vAlign w:val="center"/>
          </w:tcPr>
          <w:p w14:paraId="67E6EA6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1485" w:type="dxa"/>
            <w:shd w:val="clear" w:color="auto" w:fill="auto"/>
            <w:vAlign w:val="center"/>
          </w:tcPr>
          <w:p w14:paraId="38C4C35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785" w:type="dxa"/>
            <w:shd w:val="clear" w:color="auto" w:fill="auto"/>
            <w:vAlign w:val="center"/>
          </w:tcPr>
          <w:p w14:paraId="3BF0928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013D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678" w:type="dxa"/>
            <w:shd w:val="clear" w:color="auto" w:fill="auto"/>
            <w:vAlign w:val="center"/>
          </w:tcPr>
          <w:p w14:paraId="20BA808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036" w:type="dxa"/>
            <w:shd w:val="clear" w:color="auto" w:fill="auto"/>
            <w:vAlign w:val="center"/>
          </w:tcPr>
          <w:p w14:paraId="446B6E5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4886AAD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785" w:type="dxa"/>
            <w:shd w:val="clear" w:color="auto" w:fill="auto"/>
            <w:vAlign w:val="center"/>
          </w:tcPr>
          <w:p w14:paraId="48E61A6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14:paraId="6DCDE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678" w:type="dxa"/>
            <w:vMerge w:val="restart"/>
            <w:shd w:val="clear" w:color="auto" w:fill="auto"/>
            <w:vAlign w:val="center"/>
          </w:tcPr>
          <w:p w14:paraId="27770D7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w:t>
            </w:r>
          </w:p>
        </w:tc>
        <w:tc>
          <w:tcPr>
            <w:tcW w:w="1036" w:type="dxa"/>
            <w:vMerge w:val="restart"/>
            <w:shd w:val="clear" w:color="auto" w:fill="auto"/>
            <w:vAlign w:val="center"/>
          </w:tcPr>
          <w:p w14:paraId="21FF49E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27.6</w:t>
            </w:r>
          </w:p>
        </w:tc>
        <w:tc>
          <w:tcPr>
            <w:tcW w:w="1485" w:type="dxa"/>
            <w:vMerge w:val="restart"/>
            <w:shd w:val="clear" w:color="auto" w:fill="auto"/>
            <w:vAlign w:val="center"/>
          </w:tcPr>
          <w:p w14:paraId="465DB94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过多投标人淘汰环节（资格审查合格的投标人＞20名）</w:t>
            </w:r>
          </w:p>
        </w:tc>
        <w:tc>
          <w:tcPr>
            <w:tcW w:w="6785" w:type="dxa"/>
            <w:shd w:val="clear" w:color="auto" w:fill="auto"/>
            <w:vAlign w:val="center"/>
          </w:tcPr>
          <w:p w14:paraId="7F87BFD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0BF5140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由计算机随机产生</w:t>
            </w:r>
          </w:p>
          <w:p w14:paraId="1890C9E2">
            <w:pPr>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14:paraId="0DDD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678" w:type="dxa"/>
            <w:vMerge w:val="continue"/>
            <w:shd w:val="clear" w:color="auto" w:fill="auto"/>
            <w:vAlign w:val="center"/>
          </w:tcPr>
          <w:p w14:paraId="51BADE47">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14:paraId="06D40B37">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14:paraId="5A7D0C70">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14:paraId="60265B21">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49"/>
                <w:rFonts w:hint="eastAsia" w:ascii="宋体" w:hAnsi="宋体" w:eastAsia="宋体" w:cs="宋体"/>
                <w:color w:val="auto"/>
                <w:kern w:val="0"/>
                <w:szCs w:val="21"/>
                <w:highlight w:val="none"/>
                <w:lang w:val="en-US" w:eastAsia="zh-CN"/>
              </w:rPr>
              <w:t>[</w:t>
            </w:r>
            <w:r>
              <w:rPr>
                <w:rStyle w:val="49"/>
                <w:rFonts w:hint="eastAsia" w:ascii="宋体" w:hAnsi="宋体" w:eastAsia="宋体" w:cs="宋体"/>
                <w:color w:val="auto"/>
                <w:kern w:val="0"/>
                <w:szCs w:val="21"/>
                <w:highlight w:val="none"/>
                <w:lang w:val="en-US" w:eastAsia="zh-CN"/>
              </w:rPr>
              <w:footnoteReference w:id="3"/>
            </w:r>
            <w:r>
              <w:rPr>
                <w:rStyle w:val="49"/>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1639E5D8">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5B09D424">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拟派项目经理及管理团队成员的资历、能力、信誉，企业资质、业绩、履约等，具体择优因素由招标人根据实际确定。</w:t>
            </w:r>
          </w:p>
        </w:tc>
      </w:tr>
      <w:tr w14:paraId="7DC32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78" w:type="dxa"/>
            <w:vMerge w:val="continue"/>
            <w:shd w:val="clear" w:color="auto" w:fill="auto"/>
            <w:vAlign w:val="center"/>
          </w:tcPr>
          <w:p w14:paraId="223D75DA">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51ED6D86">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01CDB2F2">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4C35BC52">
            <w:pPr>
              <w:adjustRightInd w:val="0"/>
              <w:snapToGrid w:val="0"/>
              <w:spacing w:line="360" w:lineRule="auto"/>
              <w:ind w:firstLine="0" w:firstLineChars="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14:paraId="29E1504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2396E6D6">
            <w:pPr>
              <w:adjustRightInd w:val="0"/>
              <w:snapToGrid w:val="0"/>
              <w:spacing w:line="360" w:lineRule="auto"/>
              <w:ind w:firstLine="420" w:firstLineChars="200"/>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rPr>
              <w:t>：</w:t>
            </w:r>
          </w:p>
        </w:tc>
      </w:tr>
      <w:tr w14:paraId="36C3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678" w:type="dxa"/>
            <w:shd w:val="clear" w:color="auto" w:fill="auto"/>
            <w:vAlign w:val="center"/>
          </w:tcPr>
          <w:p w14:paraId="1717662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1036" w:type="dxa"/>
            <w:shd w:val="clear" w:color="auto" w:fill="auto"/>
            <w:vAlign w:val="center"/>
          </w:tcPr>
          <w:p w14:paraId="6CAA408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w:t>
            </w:r>
          </w:p>
        </w:tc>
        <w:tc>
          <w:tcPr>
            <w:tcW w:w="1485" w:type="dxa"/>
            <w:shd w:val="clear" w:color="auto" w:fill="auto"/>
            <w:vAlign w:val="center"/>
          </w:tcPr>
          <w:p w14:paraId="667BF47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w:t>
            </w:r>
          </w:p>
          <w:p w14:paraId="3210225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及标准</w:t>
            </w:r>
          </w:p>
        </w:tc>
        <w:tc>
          <w:tcPr>
            <w:tcW w:w="6785" w:type="dxa"/>
            <w:shd w:val="clear" w:color="auto" w:fill="auto"/>
            <w:vAlign w:val="center"/>
          </w:tcPr>
          <w:p w14:paraId="61B9E54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定性评审法</w:t>
            </w:r>
          </w:p>
          <w:p w14:paraId="018F8E2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w:t>
            </w:r>
            <w:r>
              <w:rPr>
                <w:rFonts w:hint="eastAsia" w:ascii="宋体" w:hAnsi="宋体" w:eastAsia="宋体" w:cs="宋体"/>
                <w:color w:val="auto"/>
                <w:kern w:val="0"/>
                <w:szCs w:val="21"/>
                <w:highlight w:val="none"/>
                <w:u w:val="single"/>
              </w:rPr>
              <w:t xml:space="preserve">       </w:t>
            </w:r>
          </w:p>
        </w:tc>
      </w:tr>
      <w:tr w14:paraId="74C55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678" w:type="dxa"/>
            <w:shd w:val="clear" w:color="auto" w:fill="auto"/>
            <w:vAlign w:val="center"/>
          </w:tcPr>
          <w:p w14:paraId="078909A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w:t>
            </w:r>
          </w:p>
        </w:tc>
        <w:tc>
          <w:tcPr>
            <w:tcW w:w="1036" w:type="dxa"/>
            <w:shd w:val="clear" w:color="auto" w:fill="auto"/>
            <w:vAlign w:val="center"/>
          </w:tcPr>
          <w:p w14:paraId="7385437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7BCB683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785" w:type="dxa"/>
            <w:shd w:val="clear" w:color="auto" w:fill="auto"/>
            <w:vAlign w:val="center"/>
          </w:tcPr>
          <w:p w14:paraId="21341D8E">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lang w:val="en-US" w:eastAsia="zh-CN"/>
              </w:rPr>
              <w:t>的</w:t>
            </w:r>
            <w:r>
              <w:rPr>
                <w:rFonts w:hint="eastAsia" w:ascii="宋体" w:hAnsi="宋体" w:eastAsia="宋体" w:cs="宋体"/>
                <w:color w:val="auto"/>
                <w:kern w:val="0"/>
                <w:szCs w:val="21"/>
                <w:highlight w:val="none"/>
              </w:rPr>
              <w:t>原则</w:t>
            </w:r>
            <w:r>
              <w:rPr>
                <w:rStyle w:val="49"/>
                <w:rFonts w:hint="eastAsia" w:ascii="宋体" w:hAnsi="宋体" w:eastAsia="宋体" w:cs="宋体"/>
                <w:color w:val="auto"/>
                <w:kern w:val="0"/>
                <w:szCs w:val="21"/>
                <w:highlight w:val="none"/>
              </w:rPr>
              <w:t>[</w:t>
            </w:r>
            <w:r>
              <w:rPr>
                <w:rStyle w:val="49"/>
                <w:rFonts w:hint="eastAsia" w:ascii="宋体" w:hAnsi="宋体" w:eastAsia="宋体" w:cs="宋体"/>
                <w:color w:val="auto"/>
                <w:kern w:val="0"/>
                <w:szCs w:val="21"/>
                <w:highlight w:val="none"/>
              </w:rPr>
              <w:footnoteReference w:id="4"/>
            </w:r>
            <w:r>
              <w:rPr>
                <w:rStyle w:val="49"/>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3FF1263A">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注：1.招标人应分别设置规则清晰、可操作性强的技术标和商务标推荐中标候选人原则。</w:t>
            </w:r>
          </w:p>
          <w:p w14:paraId="7D8170F4">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2.技术复杂、专业性强或者有特殊要求的建设工程项目，可以重点考虑下列因素，</w:t>
            </w:r>
            <w:r>
              <w:rPr>
                <w:rFonts w:hint="eastAsia" w:ascii="宋体" w:hAnsi="宋体" w:eastAsia="宋体" w:cs="宋体"/>
                <w:color w:val="auto"/>
                <w:sz w:val="21"/>
                <w:szCs w:val="21"/>
                <w:highlight w:val="none"/>
                <w:lang w:val="en-US" w:eastAsia="zh-CN"/>
              </w:rPr>
              <w:t>具体因素由招标人根据实际确定。</w:t>
            </w:r>
          </w:p>
          <w:p w14:paraId="32C9AED4">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（1）技术标考虑工程建设重难点解决方案、项目管理人员配置、工程质量安全保障措施，以及四新（新材料、新设备、新工艺、新技术）技术应用等因素。</w:t>
            </w:r>
          </w:p>
          <w:p w14:paraId="14DB2C2C">
            <w:pPr>
              <w:numPr>
                <w:ilvl w:val="-1"/>
                <w:numId w:val="0"/>
              </w:numPr>
              <w:adjustRightInd w:val="0"/>
              <w:snapToGrid w:val="0"/>
              <w:spacing w:line="360" w:lineRule="auto"/>
              <w:jc w:val="left"/>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（2）商务标坚持优质优价原则，避免恶性价格竞争。</w:t>
            </w:r>
          </w:p>
        </w:tc>
      </w:tr>
      <w:tr w14:paraId="2AB0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48BF751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w:t>
            </w:r>
          </w:p>
        </w:tc>
        <w:tc>
          <w:tcPr>
            <w:tcW w:w="1036" w:type="dxa"/>
            <w:shd w:val="clear" w:color="auto" w:fill="auto"/>
            <w:vAlign w:val="center"/>
          </w:tcPr>
          <w:p w14:paraId="449C2DA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63C5A1C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785" w:type="dxa"/>
            <w:shd w:val="clear" w:color="auto" w:fill="auto"/>
            <w:vAlign w:val="center"/>
          </w:tcPr>
          <w:p w14:paraId="6DB8380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tc>
      </w:tr>
      <w:tr w14:paraId="371D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678" w:type="dxa"/>
            <w:shd w:val="clear" w:color="auto" w:fill="auto"/>
            <w:vAlign w:val="center"/>
          </w:tcPr>
          <w:p w14:paraId="2EE4DD0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w:t>
            </w:r>
          </w:p>
        </w:tc>
        <w:tc>
          <w:tcPr>
            <w:tcW w:w="1036" w:type="dxa"/>
            <w:shd w:val="clear" w:color="auto" w:fill="auto"/>
            <w:vAlign w:val="center"/>
          </w:tcPr>
          <w:p w14:paraId="2CD0322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w:t>
            </w:r>
          </w:p>
        </w:tc>
        <w:tc>
          <w:tcPr>
            <w:tcW w:w="1485" w:type="dxa"/>
            <w:shd w:val="clear" w:color="auto" w:fill="auto"/>
            <w:vAlign w:val="center"/>
          </w:tcPr>
          <w:p w14:paraId="3C89BDB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047496C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785" w:type="dxa"/>
            <w:shd w:val="clear" w:color="auto" w:fill="auto"/>
            <w:vAlign w:val="center"/>
          </w:tcPr>
          <w:p w14:paraId="6F54938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w:t>
            </w:r>
            <w:r>
              <w:rPr>
                <w:rFonts w:hint="eastAsia" w:ascii="宋体" w:hAnsi="宋体" w:eastAsia="宋体" w:cs="宋体"/>
                <w:color w:val="auto"/>
                <w:kern w:val="0"/>
                <w:szCs w:val="21"/>
                <w:highlight w:val="none"/>
                <w:lang w:val="en-US" w:eastAsia="zh-CN"/>
              </w:rPr>
              <w:t>依规</w:t>
            </w:r>
            <w:r>
              <w:rPr>
                <w:rFonts w:hint="eastAsia" w:ascii="宋体" w:hAnsi="宋体" w:eastAsia="宋体" w:cs="宋体"/>
                <w:color w:val="auto"/>
                <w:kern w:val="0"/>
                <w:szCs w:val="21"/>
                <w:highlight w:val="none"/>
              </w:rPr>
              <w:t>组建</w:t>
            </w:r>
          </w:p>
          <w:p w14:paraId="5A38243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14:paraId="3AC1F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78" w:type="dxa"/>
            <w:shd w:val="clear" w:color="auto" w:fill="auto"/>
            <w:vAlign w:val="center"/>
          </w:tcPr>
          <w:p w14:paraId="4D37209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w:t>
            </w:r>
          </w:p>
        </w:tc>
        <w:tc>
          <w:tcPr>
            <w:tcW w:w="1036" w:type="dxa"/>
            <w:shd w:val="clear" w:color="auto" w:fill="auto"/>
            <w:vAlign w:val="center"/>
          </w:tcPr>
          <w:p w14:paraId="2FB1419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w:t>
            </w:r>
          </w:p>
        </w:tc>
        <w:tc>
          <w:tcPr>
            <w:tcW w:w="1485" w:type="dxa"/>
            <w:shd w:val="clear" w:color="auto" w:fill="auto"/>
            <w:vAlign w:val="center"/>
          </w:tcPr>
          <w:p w14:paraId="22C8B3C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785" w:type="dxa"/>
            <w:shd w:val="clear" w:color="auto" w:fill="auto"/>
            <w:vAlign w:val="center"/>
          </w:tcPr>
          <w:p w14:paraId="108CBFD0">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3859AB90">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49"/>
                <w:rFonts w:hint="eastAsia" w:ascii="宋体" w:hAnsi="宋体" w:eastAsia="宋体" w:cs="宋体"/>
                <w:color w:val="auto"/>
                <w:kern w:val="0"/>
                <w:szCs w:val="21"/>
                <w:highlight w:val="none"/>
              </w:rPr>
              <w:t>[</w:t>
            </w:r>
            <w:r>
              <w:rPr>
                <w:rStyle w:val="49"/>
                <w:rFonts w:hint="eastAsia" w:ascii="宋体" w:hAnsi="宋体" w:eastAsia="宋体" w:cs="宋体"/>
                <w:color w:val="auto"/>
                <w:kern w:val="0"/>
                <w:szCs w:val="21"/>
                <w:highlight w:val="none"/>
              </w:rPr>
              <w:footnoteReference w:id="5"/>
            </w:r>
            <w:r>
              <w:rPr>
                <w:rStyle w:val="49"/>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2E0F3E5F">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4730D3A4">
            <w:pPr>
              <w:adjustRightInd w:val="0"/>
              <w:snapToGrid w:val="0"/>
              <w:spacing w:line="360" w:lineRule="auto"/>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110EE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678" w:type="dxa"/>
            <w:vMerge w:val="restart"/>
            <w:shd w:val="clear" w:color="auto" w:fill="auto"/>
            <w:vAlign w:val="center"/>
          </w:tcPr>
          <w:p w14:paraId="20C130A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w:t>
            </w:r>
          </w:p>
        </w:tc>
        <w:tc>
          <w:tcPr>
            <w:tcW w:w="1036" w:type="dxa"/>
            <w:vMerge w:val="restart"/>
            <w:shd w:val="clear" w:color="auto" w:fill="auto"/>
            <w:vAlign w:val="center"/>
          </w:tcPr>
          <w:p w14:paraId="6D3F18E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w:t>
            </w:r>
          </w:p>
        </w:tc>
        <w:tc>
          <w:tcPr>
            <w:tcW w:w="1485" w:type="dxa"/>
            <w:vMerge w:val="restart"/>
            <w:shd w:val="clear" w:color="auto" w:fill="auto"/>
            <w:vAlign w:val="center"/>
          </w:tcPr>
          <w:p w14:paraId="1FC1182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785" w:type="dxa"/>
            <w:shd w:val="clear" w:color="auto" w:fill="auto"/>
            <w:vAlign w:val="center"/>
          </w:tcPr>
          <w:p w14:paraId="426FBA1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 xml:space="preserve">直接票决定标法   </w:t>
            </w:r>
          </w:p>
          <w:p w14:paraId="19B14A4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27A5579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7B6B8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78" w:type="dxa"/>
            <w:vMerge w:val="continue"/>
            <w:shd w:val="clear" w:color="auto" w:fill="auto"/>
            <w:vAlign w:val="center"/>
          </w:tcPr>
          <w:p w14:paraId="1EF8BFC5">
            <w:pPr>
              <w:adjustRightInd w:val="0"/>
              <w:snapToGrid w:val="0"/>
              <w:spacing w:line="360" w:lineRule="auto"/>
              <w:ind w:firstLine="420" w:firstLineChars="200"/>
              <w:jc w:val="left"/>
              <w:rPr>
                <w:color w:val="auto"/>
                <w:highlight w:val="none"/>
              </w:rPr>
            </w:pPr>
          </w:p>
        </w:tc>
        <w:tc>
          <w:tcPr>
            <w:tcW w:w="1036" w:type="dxa"/>
            <w:vMerge w:val="continue"/>
            <w:shd w:val="clear" w:color="auto" w:fill="auto"/>
            <w:vAlign w:val="center"/>
          </w:tcPr>
          <w:p w14:paraId="2AAA7255">
            <w:pPr>
              <w:adjustRightInd w:val="0"/>
              <w:snapToGrid w:val="0"/>
              <w:spacing w:line="360" w:lineRule="auto"/>
              <w:ind w:firstLine="420" w:firstLineChars="200"/>
              <w:jc w:val="left"/>
              <w:rPr>
                <w:color w:val="auto"/>
                <w:highlight w:val="none"/>
              </w:rPr>
            </w:pPr>
          </w:p>
        </w:tc>
        <w:tc>
          <w:tcPr>
            <w:tcW w:w="1485" w:type="dxa"/>
            <w:vMerge w:val="continue"/>
            <w:shd w:val="clear" w:color="auto" w:fill="auto"/>
            <w:vAlign w:val="center"/>
          </w:tcPr>
          <w:p w14:paraId="13A772DC">
            <w:pPr>
              <w:adjustRightInd w:val="0"/>
              <w:snapToGrid w:val="0"/>
              <w:spacing w:line="360" w:lineRule="auto"/>
              <w:ind w:firstLine="420" w:firstLineChars="200"/>
              <w:jc w:val="left"/>
              <w:rPr>
                <w:color w:val="auto"/>
                <w:highlight w:val="none"/>
              </w:rPr>
            </w:pPr>
          </w:p>
        </w:tc>
        <w:tc>
          <w:tcPr>
            <w:tcW w:w="6785" w:type="dxa"/>
            <w:shd w:val="clear" w:color="auto" w:fill="auto"/>
            <w:vAlign w:val="center"/>
          </w:tcPr>
          <w:p w14:paraId="133204F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0282BA4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176507B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1EC5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678" w:type="dxa"/>
            <w:vMerge w:val="continue"/>
            <w:shd w:val="clear" w:color="auto" w:fill="auto"/>
            <w:vAlign w:val="center"/>
          </w:tcPr>
          <w:p w14:paraId="124B996A">
            <w:pPr>
              <w:adjustRightInd w:val="0"/>
              <w:snapToGrid w:val="0"/>
              <w:spacing w:line="360" w:lineRule="auto"/>
              <w:jc w:val="left"/>
              <w:rPr>
                <w:rFonts w:ascii="宋体" w:hAnsi="宋体" w:eastAsia="宋体" w:cs="宋体"/>
                <w:color w:val="auto"/>
                <w:kern w:val="0"/>
                <w:szCs w:val="21"/>
                <w:highlight w:val="none"/>
              </w:rPr>
            </w:pPr>
          </w:p>
        </w:tc>
        <w:tc>
          <w:tcPr>
            <w:tcW w:w="1036" w:type="dxa"/>
            <w:vMerge w:val="continue"/>
            <w:shd w:val="clear" w:color="auto" w:fill="auto"/>
            <w:vAlign w:val="center"/>
          </w:tcPr>
          <w:p w14:paraId="23C7C4F6">
            <w:pPr>
              <w:adjustRightInd w:val="0"/>
              <w:snapToGrid w:val="0"/>
              <w:spacing w:line="360" w:lineRule="auto"/>
              <w:jc w:val="left"/>
              <w:rPr>
                <w:rFonts w:ascii="宋体" w:hAnsi="宋体" w:eastAsia="宋体" w:cs="宋体"/>
                <w:color w:val="auto"/>
                <w:kern w:val="0"/>
                <w:szCs w:val="21"/>
                <w:highlight w:val="none"/>
              </w:rPr>
            </w:pPr>
          </w:p>
        </w:tc>
        <w:tc>
          <w:tcPr>
            <w:tcW w:w="1485" w:type="dxa"/>
            <w:vMerge w:val="continue"/>
            <w:shd w:val="clear" w:color="auto" w:fill="auto"/>
            <w:vAlign w:val="center"/>
          </w:tcPr>
          <w:p w14:paraId="36D0E75D">
            <w:pPr>
              <w:adjustRightInd w:val="0"/>
              <w:snapToGrid w:val="0"/>
              <w:spacing w:line="360" w:lineRule="auto"/>
              <w:jc w:val="left"/>
              <w:rPr>
                <w:rFonts w:ascii="宋体" w:hAnsi="宋体" w:eastAsia="宋体" w:cs="宋体"/>
                <w:color w:val="auto"/>
                <w:kern w:val="0"/>
                <w:szCs w:val="21"/>
                <w:highlight w:val="none"/>
              </w:rPr>
            </w:pPr>
          </w:p>
        </w:tc>
        <w:tc>
          <w:tcPr>
            <w:tcW w:w="6785" w:type="dxa"/>
            <w:shd w:val="clear" w:color="auto" w:fill="auto"/>
            <w:vAlign w:val="center"/>
          </w:tcPr>
          <w:p w14:paraId="42DCF15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14:paraId="392B3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78" w:type="dxa"/>
            <w:vMerge w:val="continue"/>
            <w:shd w:val="clear" w:color="auto" w:fill="auto"/>
            <w:vAlign w:val="center"/>
          </w:tcPr>
          <w:p w14:paraId="2708D250">
            <w:pPr>
              <w:adjustRightInd w:val="0"/>
              <w:snapToGrid w:val="0"/>
              <w:spacing w:line="360" w:lineRule="auto"/>
              <w:jc w:val="left"/>
              <w:rPr>
                <w:rFonts w:ascii="宋体" w:hAnsi="宋体" w:eastAsia="宋体" w:cs="宋体"/>
                <w:color w:val="auto"/>
                <w:kern w:val="0"/>
                <w:szCs w:val="21"/>
                <w:highlight w:val="none"/>
              </w:rPr>
            </w:pPr>
          </w:p>
        </w:tc>
        <w:tc>
          <w:tcPr>
            <w:tcW w:w="1036" w:type="dxa"/>
            <w:vMerge w:val="continue"/>
            <w:shd w:val="clear" w:color="auto" w:fill="auto"/>
            <w:vAlign w:val="center"/>
          </w:tcPr>
          <w:p w14:paraId="24EB3F39">
            <w:pPr>
              <w:adjustRightInd w:val="0"/>
              <w:snapToGrid w:val="0"/>
              <w:spacing w:line="360" w:lineRule="auto"/>
              <w:jc w:val="left"/>
              <w:rPr>
                <w:rFonts w:ascii="宋体" w:hAnsi="宋体" w:eastAsia="宋体" w:cs="宋体"/>
                <w:color w:val="auto"/>
                <w:kern w:val="0"/>
                <w:szCs w:val="21"/>
                <w:highlight w:val="none"/>
              </w:rPr>
            </w:pPr>
          </w:p>
        </w:tc>
        <w:tc>
          <w:tcPr>
            <w:tcW w:w="1485" w:type="dxa"/>
            <w:vMerge w:val="continue"/>
            <w:shd w:val="clear" w:color="auto" w:fill="auto"/>
            <w:vAlign w:val="center"/>
          </w:tcPr>
          <w:p w14:paraId="6E90DAA0">
            <w:pPr>
              <w:adjustRightInd w:val="0"/>
              <w:snapToGrid w:val="0"/>
              <w:spacing w:line="360" w:lineRule="auto"/>
              <w:jc w:val="left"/>
              <w:rPr>
                <w:rFonts w:ascii="宋体" w:hAnsi="宋体" w:eastAsia="宋体" w:cs="宋体"/>
                <w:color w:val="auto"/>
                <w:kern w:val="0"/>
                <w:szCs w:val="21"/>
                <w:highlight w:val="none"/>
              </w:rPr>
            </w:pPr>
          </w:p>
        </w:tc>
        <w:tc>
          <w:tcPr>
            <w:tcW w:w="6785" w:type="dxa"/>
            <w:shd w:val="clear" w:color="auto" w:fill="auto"/>
            <w:vAlign w:val="center"/>
          </w:tcPr>
          <w:p w14:paraId="0CCEB00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w:t>
            </w:r>
            <w:r>
              <w:rPr>
                <w:rFonts w:hint="eastAsia" w:ascii="宋体" w:hAnsi="宋体" w:eastAsia="宋体" w:cs="宋体"/>
                <w:color w:val="auto"/>
                <w:kern w:val="0"/>
                <w:szCs w:val="21"/>
                <w:highlight w:val="none"/>
                <w:u w:val="single"/>
              </w:rPr>
              <w:t xml:space="preserve">       </w:t>
            </w:r>
          </w:p>
        </w:tc>
      </w:tr>
      <w:tr w14:paraId="58D48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678" w:type="dxa"/>
            <w:vMerge w:val="restart"/>
            <w:shd w:val="clear" w:color="auto" w:fill="auto"/>
            <w:vAlign w:val="center"/>
          </w:tcPr>
          <w:p w14:paraId="66714E3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w:t>
            </w:r>
          </w:p>
        </w:tc>
        <w:tc>
          <w:tcPr>
            <w:tcW w:w="1036" w:type="dxa"/>
            <w:vMerge w:val="restart"/>
            <w:shd w:val="clear" w:color="auto" w:fill="auto"/>
            <w:vAlign w:val="center"/>
          </w:tcPr>
          <w:p w14:paraId="01F2E37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485" w:type="dxa"/>
            <w:vMerge w:val="restart"/>
            <w:shd w:val="clear" w:color="auto" w:fill="auto"/>
            <w:vAlign w:val="center"/>
          </w:tcPr>
          <w:p w14:paraId="2F2FDB7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6785" w:type="dxa"/>
            <w:shd w:val="clear" w:color="auto" w:fill="auto"/>
            <w:vAlign w:val="center"/>
          </w:tcPr>
          <w:p w14:paraId="15CF514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7E248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78" w:type="dxa"/>
            <w:vMerge w:val="continue"/>
            <w:shd w:val="clear" w:color="auto" w:fill="auto"/>
            <w:vAlign w:val="center"/>
          </w:tcPr>
          <w:p w14:paraId="448ACFFC">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3D495DBD">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7BC06322">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58DC43D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232A1C1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7F7C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78" w:type="dxa"/>
            <w:vMerge w:val="restart"/>
            <w:shd w:val="clear" w:color="auto" w:fill="auto"/>
            <w:vAlign w:val="center"/>
          </w:tcPr>
          <w:p w14:paraId="5A1C0D0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w:t>
            </w:r>
          </w:p>
        </w:tc>
        <w:tc>
          <w:tcPr>
            <w:tcW w:w="1036" w:type="dxa"/>
            <w:vMerge w:val="restart"/>
            <w:shd w:val="clear" w:color="auto" w:fill="auto"/>
            <w:vAlign w:val="center"/>
          </w:tcPr>
          <w:p w14:paraId="5F449AC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51.2</w:t>
            </w:r>
          </w:p>
        </w:tc>
        <w:tc>
          <w:tcPr>
            <w:tcW w:w="1485" w:type="dxa"/>
            <w:vMerge w:val="restart"/>
            <w:shd w:val="clear" w:color="auto" w:fill="auto"/>
            <w:vAlign w:val="center"/>
          </w:tcPr>
          <w:p w14:paraId="13975A2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6785" w:type="dxa"/>
            <w:shd w:val="clear" w:color="auto" w:fill="auto"/>
            <w:vAlign w:val="center"/>
          </w:tcPr>
          <w:p w14:paraId="09C55149">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288B9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8" w:type="dxa"/>
            <w:vMerge w:val="continue"/>
            <w:shd w:val="clear" w:color="auto" w:fill="auto"/>
            <w:vAlign w:val="center"/>
          </w:tcPr>
          <w:p w14:paraId="1B8F92BB">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15F6D101">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1E2C78A3">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610962DE">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0EB8899D">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5640C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678" w:type="dxa"/>
            <w:shd w:val="clear" w:color="auto" w:fill="auto"/>
            <w:vAlign w:val="center"/>
          </w:tcPr>
          <w:p w14:paraId="21BE554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w:t>
            </w:r>
          </w:p>
        </w:tc>
        <w:tc>
          <w:tcPr>
            <w:tcW w:w="1036" w:type="dxa"/>
            <w:shd w:val="clear" w:color="auto" w:fill="auto"/>
            <w:vAlign w:val="center"/>
          </w:tcPr>
          <w:p w14:paraId="7CB4EAE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48.1</w:t>
            </w:r>
          </w:p>
          <w:p w14:paraId="5204F2F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50.1</w:t>
            </w:r>
          </w:p>
        </w:tc>
        <w:tc>
          <w:tcPr>
            <w:tcW w:w="1485" w:type="dxa"/>
            <w:shd w:val="clear" w:color="auto" w:fill="auto"/>
            <w:vAlign w:val="center"/>
          </w:tcPr>
          <w:p w14:paraId="0F9A274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785" w:type="dxa"/>
            <w:shd w:val="clear" w:color="auto" w:fill="auto"/>
            <w:vAlign w:val="center"/>
          </w:tcPr>
          <w:p w14:paraId="15E84226">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50296057">
      <w:pPr>
        <w:adjustRightInd w:val="0"/>
        <w:snapToGrid w:val="0"/>
        <w:rPr>
          <w:rFonts w:hint="eastAsia" w:ascii="宋体" w:hAnsi="宋体" w:eastAsia="宋体" w:cs="宋体"/>
          <w:color w:val="auto"/>
          <w:szCs w:val="21"/>
          <w:highlight w:val="none"/>
        </w:rPr>
      </w:pPr>
    </w:p>
    <w:p w14:paraId="5A049D4D">
      <w:pPr>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备注：此前附表中的“条款号”相对应“三、招投标须知正文”中的条款，条款内容作为补充规定及注释，招标人及投标人应仔细阅读并参照执行。</w:t>
      </w:r>
    </w:p>
    <w:p w14:paraId="265CC284">
      <w:pPr>
        <w:spacing w:line="20" w:lineRule="exact"/>
        <w:rPr>
          <w:color w:val="auto"/>
          <w:highlight w:val="none"/>
        </w:rPr>
      </w:pPr>
      <w:r>
        <w:rPr>
          <w:color w:val="auto"/>
          <w:highlight w:val="none"/>
        </w:rPr>
        <w:br w:type="page"/>
      </w:r>
    </w:p>
    <w:p w14:paraId="2B2C2DA4">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（一）招标工程情况介绍</w:t>
      </w:r>
    </w:p>
    <w:p w14:paraId="73B5137E">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（提示招标人：本章节为必填内容，招标人应当如实详细填写，并作为投标、评标的重要参考。如因招标人未填写或未如实填写本章节内容，造成的不利后果应由招标人承担。）</w:t>
      </w:r>
    </w:p>
    <w:p w14:paraId="473B894F">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一、工程概况、工程规模、结构型式的介绍</w:t>
      </w:r>
    </w:p>
    <w:p w14:paraId="6FE2CBA3">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1.工程地址：</w:t>
      </w:r>
    </w:p>
    <w:p w14:paraId="5A375096">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46BEEB5A">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2.工程规模：</w:t>
      </w:r>
    </w:p>
    <w:p w14:paraId="7F31F156">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6EC88B85">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 工期、质量及安全文明施工要求：</w:t>
      </w:r>
    </w:p>
    <w:p w14:paraId="31156B0A">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6DF35EF0">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4.现场条件及周围环境情况：</w:t>
      </w:r>
    </w:p>
    <w:p w14:paraId="5A1F7A7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09DEC240">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5.工程地质情况：</w:t>
      </w:r>
    </w:p>
    <w:p w14:paraId="133E5A7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41B47422">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6.工程主要部位特征：</w:t>
      </w:r>
    </w:p>
    <w:p w14:paraId="298CC2D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64852ADF">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7.其它：</w:t>
      </w:r>
    </w:p>
    <w:p w14:paraId="1E05AB5C">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43298335">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二、工程主要特点、技术要求、施工重点和难点、施工采用的新方法、新工艺和新材料等内容的介绍</w:t>
      </w:r>
    </w:p>
    <w:p w14:paraId="1A0180C0">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325380B4">
      <w:pPr>
        <w:adjustRightInd w:val="0"/>
        <w:snapToGrid w:val="0"/>
        <w:spacing w:line="360" w:lineRule="auto"/>
        <w:ind w:firstLine="422" w:firstLineChars="200"/>
        <w:rPr>
          <w:rFonts w:ascii="宋体" w:hAnsi="宋体" w:eastAsia="宋体" w:cs="宋体"/>
          <w:b/>
          <w:color w:val="auto"/>
          <w:szCs w:val="21"/>
          <w:highlight w:val="none"/>
        </w:rPr>
      </w:pPr>
    </w:p>
    <w:p w14:paraId="6D2C3C93">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三、与《招标文件》示范文本有较大变动的评标方法及主要条款的介绍</w:t>
      </w:r>
    </w:p>
    <w:p w14:paraId="4BC5F804">
      <w:pPr>
        <w:tabs>
          <w:tab w:val="left" w:pos="720"/>
        </w:tabs>
        <w:adjustRightInd w:val="0"/>
        <w:snapToGrid w:val="0"/>
        <w:spacing w:line="360" w:lineRule="auto"/>
        <w:ind w:firstLine="420" w:firstLineChars="200"/>
        <w:rPr>
          <w:b/>
          <w:color w:val="auto"/>
          <w:szCs w:val="21"/>
          <w:highlight w:val="none"/>
          <w:u w:val="single"/>
        </w:rPr>
      </w:pPr>
      <w:r>
        <w:rPr>
          <w:rFonts w:hint="eastAsia" w:ascii="宋体" w:hAnsi="宋体" w:eastAsia="宋体" w:cs="宋体"/>
          <w:color w:val="auto"/>
          <w:szCs w:val="21"/>
          <w:highlight w:val="none"/>
        </w:rPr>
        <w:t>详见招标文件第三章。</w:t>
      </w:r>
      <w:r>
        <w:rPr>
          <w:color w:val="auto"/>
          <w:szCs w:val="21"/>
          <w:highlight w:val="none"/>
        </w:rPr>
        <w:br w:type="page"/>
      </w:r>
    </w:p>
    <w:p w14:paraId="0763A4A1">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（二）招标投标分段限时投诉的规定</w:t>
      </w:r>
    </w:p>
    <w:p w14:paraId="7D8D0655">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769FE175">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w:t>
      </w:r>
      <w:bookmarkStart w:id="5060" w:name="_GoBack"/>
      <w:bookmarkEnd w:id="5060"/>
      <w:r>
        <w:rPr>
          <w:rFonts w:hint="eastAsia" w:ascii="宋体" w:hAnsi="宋体" w:eastAsia="宋体" w:cs="宋体"/>
          <w:bCs/>
          <w:color w:val="auto"/>
          <w:szCs w:val="21"/>
          <w:highlight w:val="none"/>
        </w:rPr>
        <w:t>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73AE4E2A">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0C0A6203">
      <w:pPr>
        <w:ind w:firstLine="420" w:firstLineChars="200"/>
        <w:rPr>
          <w:bCs/>
          <w:color w:val="auto"/>
          <w:szCs w:val="21"/>
          <w:highlight w:val="none"/>
        </w:rPr>
      </w:pPr>
      <w:r>
        <w:rPr>
          <w:bCs/>
          <w:color w:val="auto"/>
          <w:szCs w:val="21"/>
          <w:highlight w:val="none"/>
        </w:rPr>
        <w:br w:type="page"/>
      </w:r>
    </w:p>
    <w:p w14:paraId="545C52A9">
      <w:pPr>
        <w:adjustRightInd w:val="0"/>
        <w:snapToGrid w:val="0"/>
        <w:spacing w:line="360" w:lineRule="auto"/>
        <w:jc w:val="center"/>
        <w:outlineLvl w:val="1"/>
        <w:rPr>
          <w:rFonts w:ascii="黑体" w:hAnsi="黑体" w:eastAsia="黑体" w:cs="黑体"/>
          <w:bCs/>
          <w:color w:val="auto"/>
          <w:sz w:val="32"/>
          <w:szCs w:val="32"/>
          <w:highlight w:val="none"/>
        </w:rPr>
      </w:pPr>
      <w:bookmarkStart w:id="20" w:name="_Toc28395"/>
      <w:bookmarkStart w:id="21" w:name="_Toc6954"/>
      <w:bookmarkStart w:id="22" w:name="_Toc5615"/>
      <w:bookmarkStart w:id="23" w:name="_Toc24277"/>
      <w:bookmarkStart w:id="24" w:name="_Toc26379"/>
      <w:bookmarkStart w:id="25" w:name="_Toc3169"/>
      <w:r>
        <w:rPr>
          <w:rFonts w:hint="eastAsia" w:ascii="黑体" w:hAnsi="黑体" w:eastAsia="黑体" w:cs="黑体"/>
          <w:bCs/>
          <w:color w:val="auto"/>
          <w:sz w:val="32"/>
          <w:szCs w:val="32"/>
          <w:highlight w:val="none"/>
        </w:rPr>
        <w:t>二、投标文件否决性条款</w:t>
      </w:r>
      <w:bookmarkEnd w:id="20"/>
      <w:bookmarkEnd w:id="21"/>
      <w:bookmarkEnd w:id="22"/>
      <w:bookmarkEnd w:id="23"/>
      <w:bookmarkEnd w:id="24"/>
      <w:bookmarkEnd w:id="25"/>
    </w:p>
    <w:p w14:paraId="152C78C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【提示招标人】</w:t>
      </w:r>
      <w:r>
        <w:rPr>
          <w:rFonts w:hint="eastAsia" w:ascii="宋体" w:hAnsi="宋体" w:eastAsia="宋体" w:cs="宋体"/>
          <w:bCs/>
          <w:color w:val="auto"/>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1431F6B6">
      <w:pPr>
        <w:adjustRightInd w:val="0"/>
        <w:snapToGrid w:val="0"/>
        <w:spacing w:line="360" w:lineRule="auto"/>
        <w:ind w:firstLine="422" w:firstLineChars="200"/>
        <w:rPr>
          <w:rFonts w:ascii="宋体" w:hAnsi="宋体" w:eastAsia="宋体" w:cs="宋体"/>
          <w:bCs/>
          <w:color w:val="auto"/>
          <w:szCs w:val="21"/>
          <w:highlight w:val="none"/>
        </w:rPr>
      </w:pPr>
      <w:r>
        <w:rPr>
          <w:rFonts w:hint="eastAsia" w:ascii="宋体" w:hAnsi="宋体" w:eastAsia="宋体" w:cs="宋体"/>
          <w:b/>
          <w:bCs/>
          <w:color w:val="auto"/>
          <w:szCs w:val="21"/>
          <w:highlight w:val="none"/>
        </w:rPr>
        <w:t>【提示投标人和评标委员会】</w:t>
      </w:r>
      <w:r>
        <w:rPr>
          <w:rFonts w:hint="eastAsia" w:ascii="宋体" w:hAnsi="宋体" w:eastAsia="宋体" w:cs="宋体"/>
          <w:bCs/>
          <w:color w:val="auto"/>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2063DD1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（一）开标阶段不予受理的情形：（由招标人或其委派人员负责判定）</w:t>
      </w:r>
    </w:p>
    <w:p w14:paraId="024098E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color w:val="auto"/>
          <w:szCs w:val="21"/>
          <w:highlight w:val="none"/>
        </w:rPr>
        <w:t>逾期提交投标文件的；</w:t>
      </w:r>
    </w:p>
    <w:p w14:paraId="40EAE7A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2.资格审查不合格的；</w:t>
      </w:r>
    </w:p>
    <w:p w14:paraId="3887E31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3.</w:t>
      </w:r>
      <w:r>
        <w:rPr>
          <w:rFonts w:hint="eastAsia" w:ascii="宋体" w:hAnsi="宋体" w:eastAsia="宋体" w:cs="宋体"/>
          <w:color w:val="auto"/>
          <w:szCs w:val="21"/>
          <w:highlight w:val="none"/>
        </w:rPr>
        <w:t>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szCs w:val="21"/>
          <w:highlight w:val="none"/>
        </w:rPr>
        <w:t>；</w:t>
      </w:r>
    </w:p>
    <w:p w14:paraId="41E398A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4.</w:t>
      </w:r>
      <w:r>
        <w:rPr>
          <w:rFonts w:hint="eastAsia" w:ascii="宋体" w:hAnsi="宋体" w:eastAsia="宋体" w:cs="宋体"/>
          <w:color w:val="auto"/>
          <w:szCs w:val="21"/>
          <w:highlight w:val="none"/>
        </w:rPr>
        <w:t>投标文件的投标报价高于公布招标控制价或投标报价上限的；</w:t>
      </w:r>
    </w:p>
    <w:p w14:paraId="367DC32A">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5.投标文件承诺的工期超过招标文件中工期要求的；</w:t>
      </w:r>
    </w:p>
    <w:p w14:paraId="69F86898">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color w:val="auto"/>
          <w:szCs w:val="21"/>
          <w:highlight w:val="none"/>
        </w:rPr>
        <w:t>6.项目经理（建造师）被建设行政主管部门给予红色警示且在警示期内的；</w:t>
      </w:r>
    </w:p>
    <w:p w14:paraId="0C9A31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7.投标人提交的电子标书格式不符合招标文件要求或开标后无法在交易平台读取导入的；</w:t>
      </w:r>
    </w:p>
    <w:p w14:paraId="4224664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8.组成联合体投标时，未提交联合体共同投标协议书的；</w:t>
      </w:r>
    </w:p>
    <w:p w14:paraId="0781B17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9.联合体各方在同一招标项目中以自己名义单独投标或者参加其他联合体投标的；</w:t>
      </w:r>
    </w:p>
    <w:p w14:paraId="758CBB1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10.单位负责人为同一人或者存在控股、管理关系的不同单位提交投标文件的，在资格审查阶段，当部分相关单位自愿退出后仍有两家或两家以上要求继续进入后续招投标环节的；</w:t>
      </w:r>
    </w:p>
    <w:p w14:paraId="3A52A1EB">
      <w:pPr>
        <w:adjustRightInd w:val="0"/>
        <w:snapToGrid w:val="0"/>
        <w:spacing w:line="360" w:lineRule="auto"/>
        <w:ind w:firstLine="420" w:firstLineChars="200"/>
        <w:rPr>
          <w:rFonts w:ascii="宋体" w:hAnsi="宋体" w:eastAsia="宋体" w:cs="宋体"/>
          <w:bCs/>
          <w:color w:val="auto"/>
          <w:szCs w:val="21"/>
          <w:highlight w:val="none"/>
          <w:u w:val="single"/>
        </w:rPr>
      </w:pPr>
      <w:r>
        <w:rPr>
          <w:rFonts w:hint="eastAsia" w:ascii="宋体" w:hAnsi="宋体" w:eastAsia="宋体" w:cs="宋体"/>
          <w:color w:val="auto"/>
          <w:szCs w:val="21"/>
          <w:highlight w:val="none"/>
        </w:rPr>
        <w:t>11.</w:t>
      </w:r>
      <w:r>
        <w:rPr>
          <w:rFonts w:hint="eastAsia" w:ascii="宋体" w:hAnsi="宋体" w:eastAsia="宋体" w:cs="宋体"/>
          <w:bCs/>
          <w:color w:val="auto"/>
          <w:szCs w:val="21"/>
          <w:highlight w:val="none"/>
        </w:rPr>
        <w:t>未按招标文件要求提交投标担保的；</w:t>
      </w:r>
    </w:p>
    <w:p w14:paraId="2865A8F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bCs/>
          <w:color w:val="auto"/>
          <w:szCs w:val="21"/>
          <w:highlight w:val="none"/>
        </w:rPr>
        <w:t>投标人或相关</w:t>
      </w:r>
      <w:r>
        <w:rPr>
          <w:rFonts w:hint="eastAsia" w:ascii="宋体" w:hAnsi="宋体" w:eastAsia="宋体" w:cs="宋体"/>
          <w:bCs/>
          <w:color w:val="auto"/>
          <w:szCs w:val="21"/>
          <w:highlight w:val="none"/>
          <w:lang w:val="en-US" w:eastAsia="zh-CN"/>
        </w:rPr>
        <w:t>从业</w:t>
      </w:r>
      <w:r>
        <w:rPr>
          <w:rFonts w:hint="eastAsia" w:ascii="宋体" w:hAnsi="宋体" w:eastAsia="宋体" w:cs="宋体"/>
          <w:bCs/>
          <w:color w:val="auto"/>
          <w:szCs w:val="21"/>
          <w:highlight w:val="none"/>
        </w:rPr>
        <w:t>人员具有下列情形之一的：</w:t>
      </w:r>
    </w:p>
    <w:p w14:paraId="246C5AE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12.1近3年内（从招标公告发布之日起倒算）投标人或者其法定代表人有行贿犯罪记录的；</w:t>
      </w:r>
    </w:p>
    <w:p w14:paraId="49B9166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12.2近1年内（从截标之日起倒算）因串通投标、转包、以他人名义投标或者违法分包等违法行为受到建设、交通或者财政部门行政处罚的；</w:t>
      </w:r>
    </w:p>
    <w:p w14:paraId="0911709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12.3因违反工程质量、安全生产管理规定等原因被建设部门给予红色警示且在警示期内的；</w:t>
      </w:r>
    </w:p>
    <w:p w14:paraId="4D397A6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12.4拖欠工人工资被有关部门责令改正而未改正的；</w:t>
      </w:r>
    </w:p>
    <w:p w14:paraId="710A844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12.5依法应当拒绝投标的其他情形；</w:t>
      </w:r>
    </w:p>
    <w:p w14:paraId="69EBCCF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根据《关于建设工程招标投标改革的若干规定》（深府〔2015〕</w:t>
      </w:r>
      <w:r>
        <w:rPr>
          <w:rFonts w:ascii="宋体" w:hAnsi="宋体" w:eastAsia="宋体" w:cs="宋体"/>
          <w:color w:val="auto"/>
          <w:szCs w:val="21"/>
          <w:highlight w:val="none"/>
        </w:rPr>
        <w:t>73</w:t>
      </w:r>
      <w:r>
        <w:rPr>
          <w:rFonts w:hint="eastAsia" w:ascii="宋体" w:hAnsi="宋体" w:eastAsia="宋体" w:cs="宋体"/>
          <w:color w:val="auto"/>
          <w:szCs w:val="21"/>
          <w:highlight w:val="none"/>
        </w:rPr>
        <w:t>号）的规定，招标人可以拒绝下列情形之一的企业或者从业人员参与投标，勾选后本次招标下述</w:t>
      </w:r>
      <w:r>
        <w:rPr>
          <w:rFonts w:ascii="宋体" w:hAnsi="宋体" w:eastAsia="宋体" w:cs="宋体"/>
          <w:color w:val="auto"/>
          <w:szCs w:val="21"/>
          <w:highlight w:val="none"/>
        </w:rPr>
        <w:t>12.6</w:t>
      </w:r>
      <w:r>
        <w:rPr>
          <w:rFonts w:hint="eastAsia" w:ascii="宋体" w:hAnsi="宋体" w:eastAsia="宋体" w:cs="宋体"/>
          <w:color w:val="auto"/>
          <w:szCs w:val="21"/>
          <w:highlight w:val="none"/>
        </w:rPr>
        <w:t>至</w:t>
      </w:r>
      <w:r>
        <w:rPr>
          <w:rFonts w:ascii="宋体" w:hAnsi="宋体" w:eastAsia="宋体" w:cs="宋体"/>
          <w:color w:val="auto"/>
          <w:szCs w:val="21"/>
          <w:highlight w:val="none"/>
        </w:rPr>
        <w:t>12.9</w:t>
      </w:r>
      <w:r>
        <w:rPr>
          <w:rFonts w:hint="eastAsia" w:ascii="宋体" w:hAnsi="宋体" w:eastAsia="宋体" w:cs="宋体"/>
          <w:color w:val="auto"/>
          <w:szCs w:val="21"/>
          <w:highlight w:val="none"/>
        </w:rPr>
        <w:t>条款生效：</w:t>
      </w:r>
    </w:p>
    <w:p w14:paraId="39C77586">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12.6</w:t>
      </w:r>
      <w:r>
        <w:rPr>
          <w:rFonts w:hint="eastAsia" w:ascii="宋体" w:hAnsi="宋体" w:eastAsia="宋体" w:cs="宋体"/>
          <w:color w:val="auto"/>
          <w:szCs w:val="21"/>
          <w:highlight w:val="none"/>
        </w:rPr>
        <w:t>被建设或者交通部门信用评价为红色且正处在信用评价结果公示期内的；</w:t>
      </w:r>
    </w:p>
    <w:p w14:paraId="52EA48C7">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12.7</w:t>
      </w:r>
      <w:r>
        <w:rPr>
          <w:rFonts w:hint="eastAsia" w:ascii="宋体" w:hAnsi="宋体" w:eastAsia="宋体" w:cs="宋体"/>
          <w:color w:val="auto"/>
          <w:szCs w:val="21"/>
          <w:highlight w:val="none"/>
        </w:rPr>
        <w:t>近</w:t>
      </w:r>
      <w:r>
        <w:rPr>
          <w:rFonts w:ascii="宋体" w:hAnsi="宋体" w:eastAsia="宋体" w:cs="宋体"/>
          <w:color w:val="auto"/>
          <w:szCs w:val="21"/>
          <w:highlight w:val="none"/>
        </w:rPr>
        <w:t>3</w:t>
      </w:r>
      <w:r>
        <w:rPr>
          <w:rFonts w:hint="eastAsia" w:ascii="宋体" w:hAnsi="宋体" w:eastAsia="宋体" w:cs="宋体"/>
          <w:color w:val="auto"/>
          <w:szCs w:val="21"/>
          <w:highlight w:val="none"/>
        </w:rPr>
        <w:t>年内（从截标之日起倒算）曾被本项目招标人履约评价为不合格的；</w:t>
      </w:r>
    </w:p>
    <w:p w14:paraId="51AD8259">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12.8</w:t>
      </w:r>
      <w:r>
        <w:rPr>
          <w:rFonts w:hint="eastAsia" w:ascii="宋体" w:hAnsi="宋体" w:eastAsia="宋体" w:cs="宋体"/>
          <w:color w:val="auto"/>
          <w:szCs w:val="21"/>
          <w:highlight w:val="none"/>
        </w:rPr>
        <w:t>近</w:t>
      </w:r>
      <w:r>
        <w:rPr>
          <w:rFonts w:ascii="宋体" w:hAnsi="宋体" w:eastAsia="宋体" w:cs="宋体"/>
          <w:color w:val="auto"/>
          <w:szCs w:val="21"/>
          <w:highlight w:val="none"/>
        </w:rPr>
        <w:t>2</w:t>
      </w:r>
      <w:r>
        <w:rPr>
          <w:rFonts w:hint="eastAsia" w:ascii="宋体" w:hAnsi="宋体" w:eastAsia="宋体" w:cs="宋体"/>
          <w:color w:val="auto"/>
          <w:szCs w:val="21"/>
          <w:highlight w:val="none"/>
        </w:rPr>
        <w:t>年内（从截标之日起倒算）曾有放弃中标资格、拒不签订合同、拒不提供履约担保情形的；</w:t>
      </w:r>
    </w:p>
    <w:p w14:paraId="68576BD7">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12.9</w:t>
      </w:r>
      <w:r>
        <w:rPr>
          <w:rFonts w:hint="eastAsia" w:ascii="宋体" w:hAnsi="宋体" w:eastAsia="宋体" w:cs="宋体"/>
          <w:color w:val="auto"/>
          <w:szCs w:val="21"/>
          <w:highlight w:val="none"/>
        </w:rPr>
        <w:t>因违反工程质量、安全生产管理规定，或者因串通投标、转包、以他人名义投标或者违法分包等违法行为，正在接受建设、交通或者财政部门立案调查的；</w:t>
      </w:r>
    </w:p>
    <w:p w14:paraId="4488D6F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根据《深圳市</w:t>
      </w:r>
      <w:r>
        <w:rPr>
          <w:rFonts w:ascii="宋体" w:hAnsi="宋体" w:eastAsia="宋体" w:cs="宋体"/>
          <w:color w:val="auto"/>
          <w:szCs w:val="21"/>
          <w:highlight w:val="none"/>
        </w:rPr>
        <w:t>“</w:t>
      </w:r>
      <w:r>
        <w:rPr>
          <w:rFonts w:hint="eastAsia" w:ascii="宋体" w:hAnsi="宋体" w:eastAsia="宋体" w:cs="宋体"/>
          <w:color w:val="auto"/>
          <w:szCs w:val="21"/>
          <w:highlight w:val="none"/>
        </w:rPr>
        <w:t>十四五</w:t>
      </w:r>
      <w:r>
        <w:rPr>
          <w:rFonts w:ascii="宋体" w:hAnsi="宋体" w:eastAsia="宋体" w:cs="宋体"/>
          <w:color w:val="auto"/>
          <w:szCs w:val="21"/>
          <w:highlight w:val="none"/>
        </w:rPr>
        <w:t>”</w:t>
      </w:r>
      <w:r>
        <w:rPr>
          <w:rFonts w:hint="eastAsia" w:ascii="宋体" w:hAnsi="宋体" w:eastAsia="宋体" w:cs="宋体"/>
          <w:color w:val="auto"/>
          <w:szCs w:val="21"/>
          <w:highlight w:val="none"/>
        </w:rPr>
        <w:t>时期</w:t>
      </w:r>
      <w:r>
        <w:rPr>
          <w:rFonts w:ascii="宋体" w:hAnsi="宋体" w:eastAsia="宋体" w:cs="宋体"/>
          <w:color w:val="auto"/>
          <w:szCs w:val="21"/>
          <w:highlight w:val="none"/>
        </w:rPr>
        <w:t>“</w:t>
      </w:r>
      <w:r>
        <w:rPr>
          <w:rFonts w:hint="eastAsia" w:ascii="宋体" w:hAnsi="宋体" w:eastAsia="宋体" w:cs="宋体"/>
          <w:color w:val="auto"/>
          <w:szCs w:val="21"/>
          <w:highlight w:val="none"/>
        </w:rPr>
        <w:t>无废城市</w:t>
      </w:r>
      <w:r>
        <w:rPr>
          <w:rFonts w:ascii="宋体" w:hAnsi="宋体" w:eastAsia="宋体" w:cs="宋体"/>
          <w:color w:val="auto"/>
          <w:szCs w:val="21"/>
          <w:highlight w:val="none"/>
        </w:rPr>
        <w:t>”</w:t>
      </w:r>
      <w:r>
        <w:rPr>
          <w:rFonts w:hint="eastAsia" w:ascii="宋体" w:hAnsi="宋体" w:eastAsia="宋体" w:cs="宋体"/>
          <w:color w:val="auto"/>
          <w:szCs w:val="21"/>
          <w:highlight w:val="none"/>
        </w:rPr>
        <w:t>建设工作建筑废弃物治理领域实施方案》的规定，招标人可以拒绝下列情形的企业参与投标，勾选后</w:t>
      </w:r>
      <w:r>
        <w:rPr>
          <w:rFonts w:ascii="宋体" w:hAnsi="宋体" w:eastAsia="宋体" w:cs="宋体"/>
          <w:color w:val="auto"/>
          <w:szCs w:val="21"/>
          <w:highlight w:val="none"/>
        </w:rPr>
        <w:t>12.10</w:t>
      </w:r>
      <w:r>
        <w:rPr>
          <w:rFonts w:hint="eastAsia" w:ascii="宋体" w:hAnsi="宋体" w:eastAsia="宋体" w:cs="宋体"/>
          <w:color w:val="auto"/>
          <w:szCs w:val="21"/>
          <w:highlight w:val="none"/>
        </w:rPr>
        <w:t>条款生效：</w:t>
      </w:r>
    </w:p>
    <w:p w14:paraId="7A2116A1">
      <w:pPr>
        <w:adjustRightInd w:val="0"/>
        <w:snapToGrid w:val="0"/>
        <w:spacing w:line="360" w:lineRule="auto"/>
        <w:ind w:firstLine="420" w:firstLineChars="200"/>
        <w:rPr>
          <w:rFonts w:hint="eastAsia" w:ascii="宋体" w:hAnsi="宋体" w:eastAsia="宋体" w:cs="宋体"/>
          <w:color w:val="auto"/>
          <w:szCs w:val="21"/>
          <w:highlight w:val="none"/>
        </w:rPr>
      </w:pPr>
      <w:r>
        <w:rPr>
          <w:rFonts w:ascii="宋体" w:hAnsi="宋体" w:eastAsia="宋体" w:cs="宋体"/>
          <w:color w:val="auto"/>
          <w:szCs w:val="21"/>
          <w:highlight w:val="none"/>
        </w:rPr>
        <w:t>12.10</w:t>
      </w:r>
      <w:r>
        <w:rPr>
          <w:rFonts w:hint="eastAsia" w:ascii="宋体" w:hAnsi="宋体" w:eastAsia="宋体" w:cs="宋体"/>
          <w:color w:val="auto"/>
          <w:szCs w:val="21"/>
          <w:highlight w:val="none"/>
        </w:rPr>
        <w:t>近</w:t>
      </w:r>
      <w:r>
        <w:rPr>
          <w:rFonts w:ascii="宋体" w:hAnsi="宋体" w:eastAsia="宋体" w:cs="宋体"/>
          <w:color w:val="auto"/>
          <w:szCs w:val="21"/>
          <w:highlight w:val="none"/>
        </w:rPr>
        <w:t>1</w:t>
      </w:r>
      <w:r>
        <w:rPr>
          <w:rFonts w:hint="eastAsia" w:ascii="宋体" w:hAnsi="宋体" w:eastAsia="宋体" w:cs="宋体"/>
          <w:color w:val="auto"/>
          <w:szCs w:val="21"/>
          <w:highlight w:val="none"/>
        </w:rPr>
        <w:t>年内（从截标之日起倒算）因未经核准排放建筑废弃物、未按核准内容处置建筑废弃物（使用未备案车辆运输建筑废弃物行为），涂改、倒卖、出租、出借或者以其他形式非法转让建筑废弃物排放核准文件，受到住建、交通、水务部门行政处罚的。</w:t>
      </w:r>
    </w:p>
    <w:p w14:paraId="116B9A43">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color w:val="auto"/>
          <w:szCs w:val="21"/>
          <w:highlight w:val="none"/>
        </w:rPr>
        <w:t>（二）评标阶段有关无效标的情形：</w:t>
      </w:r>
      <w:r>
        <w:rPr>
          <w:rFonts w:hint="eastAsia" w:ascii="宋体" w:hAnsi="宋体" w:eastAsia="宋体" w:cs="宋体"/>
          <w:b/>
          <w:bCs/>
          <w:color w:val="auto"/>
          <w:szCs w:val="21"/>
          <w:highlight w:val="none"/>
        </w:rPr>
        <w:t>（由评标委员会负责判定）</w:t>
      </w:r>
    </w:p>
    <w:p w14:paraId="45760A5F">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1.计算机评标系统对电子标书进行自动清标分析，出现下列情形之一的</w:t>
      </w:r>
      <w:r>
        <w:rPr>
          <w:rFonts w:hint="eastAsia" w:ascii="宋体" w:hAnsi="宋体" w:eastAsia="宋体" w:cs="宋体"/>
          <w:color w:val="auto"/>
          <w:szCs w:val="21"/>
          <w:highlight w:val="none"/>
        </w:rPr>
        <w:t>：</w:t>
      </w:r>
    </w:p>
    <w:p w14:paraId="46573BA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1.1投标人的清单和招标文件清单不一致情形的；</w:t>
      </w:r>
    </w:p>
    <w:p w14:paraId="5D892EF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1.2投标报价中擅自修改招标文件（包括补遗文件、招标控制价文件）中规定不可竞争的固定单价或合价的，如安全文明措施费、</w:t>
      </w:r>
      <w:r>
        <w:rPr>
          <w:rFonts w:hint="eastAsia" w:ascii="宋体" w:hAnsi="宋体" w:eastAsia="宋体" w:cs="宋体"/>
          <w:color w:val="auto"/>
          <w:szCs w:val="21"/>
          <w:highlight w:val="none"/>
          <w:lang w:val="en-US" w:eastAsia="zh-CN"/>
        </w:rPr>
        <w:t>暂列金额、</w:t>
      </w:r>
      <w:r>
        <w:rPr>
          <w:rFonts w:hint="eastAsia" w:ascii="宋体" w:hAnsi="宋体" w:eastAsia="宋体" w:cs="宋体"/>
          <w:color w:val="auto"/>
          <w:szCs w:val="21"/>
          <w:highlight w:val="none"/>
        </w:rPr>
        <w:t>专业工程暂估价、材料设备暂估价、优质优价奖励费等；</w:t>
      </w:r>
    </w:p>
    <w:p w14:paraId="3BF3710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1.3投标报价中规费取费超过现行《深圳市建设工程计价费率标准》的费率参考范围的；</w:t>
      </w:r>
    </w:p>
    <w:p w14:paraId="069BC74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2.投标人以他人的名义投标或出现下列串通投标、弄虚作假投标嫌疑情形之一的：</w:t>
      </w:r>
    </w:p>
    <w:p w14:paraId="7610C1A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2.1投标人在投标文件商务标书上电子签名的造价工程师与其他投标人在投标文件商务标书上电子签名的造价工程师为同一人的；</w:t>
      </w:r>
    </w:p>
    <w:p w14:paraId="306222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2.2不同投标人的投标文件内容存在非正常一致的；</w:t>
      </w:r>
    </w:p>
    <w:p w14:paraId="7397397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2.3不同投标人的投标文件错漏之处一致的；</w:t>
      </w:r>
    </w:p>
    <w:p w14:paraId="2E8001D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2.4不同投标人的投标报价或者报价组成异常一致或者呈规律性变化的；</w:t>
      </w:r>
    </w:p>
    <w:p w14:paraId="5E82104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2.5不同投标人的投标文件由同一单位或者同一个人编制的；</w:t>
      </w:r>
    </w:p>
    <w:p w14:paraId="5C17C03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2.6不同投标人的投标文件载明的项目管理机构成员出现同一人的；</w:t>
      </w:r>
    </w:p>
    <w:p w14:paraId="237630F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2.7不同投标人的投标文件相互混装的；</w:t>
      </w:r>
    </w:p>
    <w:p w14:paraId="2D53DEC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2.8不同投标人的投标文件由同一台电脑编制的；</w:t>
      </w:r>
    </w:p>
    <w:p w14:paraId="77A5092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2.9 不同投标人聘请同一人为其投标提供技术或者经济咨询服务的，但招标工程本身要求采用专有技术的除外；</w:t>
      </w:r>
    </w:p>
    <w:p w14:paraId="6E9924B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2.10评标委员会认定的其他串通投标情形；</w:t>
      </w:r>
    </w:p>
    <w:p w14:paraId="30BC9EE4">
      <w:pPr>
        <w:tabs>
          <w:tab w:val="left" w:pos="6285"/>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3、投标人资格条件不符合国家有关规定和招标文件要求的；</w:t>
      </w:r>
    </w:p>
    <w:p w14:paraId="7FC68BFE">
      <w:pPr>
        <w:tabs>
          <w:tab w:val="left" w:pos="6285"/>
        </w:tabs>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（三）评标阶段有关废标的情形：（由评标委员会负责判定）</w:t>
      </w:r>
    </w:p>
    <w:p w14:paraId="618C350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1、投标文件中存在明显不符合技术规范、技术标准、工程量清单计价规范强制性条文内容的；</w:t>
      </w:r>
    </w:p>
    <w:p w14:paraId="34487C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2、技术标经评标委员会评审为不合格的；</w:t>
      </w:r>
    </w:p>
    <w:p w14:paraId="1D924C1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3、投标人拒不按照评标委员会要求对投标文件进行澄清、说明、补正的；</w:t>
      </w:r>
    </w:p>
    <w:p w14:paraId="12BBFD6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4、投标人未承诺按照《深圳市建设工程安全文明施工标准》实施安全文明施工和信息化管理要求的；</w:t>
      </w:r>
    </w:p>
    <w:p w14:paraId="3CDD0C24">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（招标人对上述内容有修改或补充的，以下述条款为准）</w:t>
      </w:r>
    </w:p>
    <w:p w14:paraId="61125123">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（四）招标人补充的投标文件不予受理的情形：</w:t>
      </w:r>
    </w:p>
    <w:p w14:paraId="7D508F7F">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p>
    <w:p w14:paraId="357E4C43">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（五）招标人补充的无效标情形：</w:t>
      </w:r>
    </w:p>
    <w:p w14:paraId="772C3700">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p>
    <w:p w14:paraId="53BAD094">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（六）招标人补充的废标情形：</w:t>
      </w:r>
    </w:p>
    <w:p w14:paraId="2792196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br w:type="page"/>
      </w:r>
    </w:p>
    <w:p w14:paraId="30EAF274">
      <w:pPr>
        <w:adjustRightInd w:val="0"/>
        <w:snapToGrid w:val="0"/>
        <w:spacing w:line="360" w:lineRule="auto"/>
        <w:jc w:val="center"/>
        <w:outlineLvl w:val="1"/>
        <w:rPr>
          <w:rFonts w:ascii="黑体" w:hAnsi="黑体" w:eastAsia="黑体" w:cs="黑体"/>
          <w:bCs/>
          <w:color w:val="auto"/>
          <w:sz w:val="32"/>
          <w:szCs w:val="32"/>
          <w:highlight w:val="none"/>
        </w:rPr>
      </w:pPr>
      <w:bookmarkStart w:id="26" w:name="_Toc32026"/>
      <w:bookmarkStart w:id="27" w:name="_Toc12455"/>
      <w:bookmarkStart w:id="28" w:name="_Toc30721"/>
      <w:bookmarkStart w:id="29" w:name="_Toc20415"/>
      <w:bookmarkStart w:id="30" w:name="_Toc582"/>
      <w:bookmarkStart w:id="31" w:name="_Toc20602"/>
      <w:r>
        <w:rPr>
          <w:rFonts w:hint="eastAsia" w:ascii="黑体" w:hAnsi="黑体" w:eastAsia="黑体" w:cs="黑体"/>
          <w:bCs/>
          <w:color w:val="auto"/>
          <w:sz w:val="32"/>
          <w:szCs w:val="32"/>
          <w:highlight w:val="none"/>
        </w:rPr>
        <w:t>三、招投标须知正文</w:t>
      </w:r>
      <w:bookmarkEnd w:id="26"/>
      <w:bookmarkEnd w:id="27"/>
      <w:bookmarkEnd w:id="28"/>
      <w:bookmarkEnd w:id="29"/>
      <w:bookmarkEnd w:id="30"/>
      <w:bookmarkEnd w:id="31"/>
    </w:p>
    <w:p w14:paraId="5CE570C5">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32" w:name="_Toc27402"/>
      <w:bookmarkStart w:id="33" w:name="_Toc6654"/>
      <w:bookmarkStart w:id="34" w:name="_Toc18763"/>
      <w:bookmarkStart w:id="35" w:name="_Toc10499"/>
      <w:bookmarkStart w:id="36" w:name="_Toc26516"/>
      <w:bookmarkStart w:id="37" w:name="_Toc19475"/>
      <w:r>
        <w:rPr>
          <w:rFonts w:hint="eastAsia" w:eastAsia="宋体"/>
          <w:b/>
          <w:bCs w:val="0"/>
          <w:color w:val="auto"/>
          <w:sz w:val="32"/>
          <w:highlight w:val="none"/>
          <w:lang w:val="en-US"/>
        </w:rPr>
        <w:t>（一）招标</w:t>
      </w:r>
      <w:bookmarkEnd w:id="32"/>
      <w:bookmarkEnd w:id="33"/>
      <w:bookmarkEnd w:id="34"/>
      <w:bookmarkEnd w:id="35"/>
      <w:bookmarkEnd w:id="36"/>
      <w:bookmarkEnd w:id="37"/>
    </w:p>
    <w:p w14:paraId="2EF9B7E4">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1.工程规模和特征</w:t>
      </w:r>
    </w:p>
    <w:p w14:paraId="2180327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1.1工程规模和特征见招标文件所述（详见第七章-图纸、第八章-工程量清单）。</w:t>
      </w:r>
    </w:p>
    <w:p w14:paraId="41719041">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2.招标范围</w:t>
      </w:r>
    </w:p>
    <w:p w14:paraId="580F40A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2.1本次招标的工程项目见招标文件所述（详见第七章-图纸、第八章-工程量清单）。</w:t>
      </w:r>
    </w:p>
    <w:p w14:paraId="0E767951">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3.资金来源</w:t>
      </w:r>
    </w:p>
    <w:p w14:paraId="0EA7334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3.1资金来源包括政府、国企、私企、集体、外资和其他资金。</w:t>
      </w:r>
    </w:p>
    <w:p w14:paraId="0648FB21">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4.工程质量</w:t>
      </w:r>
    </w:p>
    <w:p w14:paraId="32094B3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4.1本工程的质量标准见前附表及第六章标准、规范和技术要求所述。</w:t>
      </w:r>
    </w:p>
    <w:p w14:paraId="685FDCDB">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5.工期要求</w:t>
      </w:r>
    </w:p>
    <w:p w14:paraId="08A2517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5.1标准工期（指按《深圳市建设工程施工工期标准》计算出的本工程工期）</w:t>
      </w:r>
    </w:p>
    <w:p w14:paraId="57AE953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5.2计划施工总工期不超过日历天，对比标准工期压缩比例为%（压缩比例=1-施工总工期/标准工期，不得为负值）</w:t>
      </w:r>
    </w:p>
    <w:p w14:paraId="4EF3948A">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6.投标人要求</w:t>
      </w:r>
    </w:p>
    <w:p w14:paraId="1FEA97B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6.1招标人应当按照国家相关资质管理规定设置资质等级。涉及多项资质的，应当允许联合体投标。</w:t>
      </w:r>
    </w:p>
    <w:p w14:paraId="0101C49F">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7.投标人业绩要求</w:t>
      </w:r>
    </w:p>
    <w:p w14:paraId="0058258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7.1招标人应按照73号文相关规定设置业绩要求</w:t>
      </w:r>
    </w:p>
    <w:p w14:paraId="7BBB5A6B">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8.投标人项目经理（建造师）要求</w:t>
      </w:r>
    </w:p>
    <w:p w14:paraId="24161FA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8.1招标人应当按照《注册建造师管理规定》进行设置。</w:t>
      </w:r>
    </w:p>
    <w:p w14:paraId="41FA58F3">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9.踏勘现场</w:t>
      </w:r>
    </w:p>
    <w:p w14:paraId="428539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9.1招标人不集中组织投标现场踏勘，投标人需要了解现场情况的，可自行进行现场踏勘。踏勘现场所发生的费用由投标人自己承担。</w:t>
      </w:r>
    </w:p>
    <w:p w14:paraId="01C15856">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10.招标控制价</w:t>
      </w:r>
    </w:p>
    <w:p w14:paraId="2F3E86A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10.1招标人将在截标前5日之前，公示审定招标控制价、投标报价上限、各项不可竞争费（如：安全文明施工费、暂列金额、专业工程暂估价、材料设备暂估价、优质优价奖励费，以及其它不可竞争费）的具体数值。</w:t>
      </w:r>
    </w:p>
    <w:p w14:paraId="1145B71B">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11.招标文件的澄清、答疑</w:t>
      </w:r>
    </w:p>
    <w:p w14:paraId="64FC95B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11.1招标人按法律法规规定时限在交易网发布招标文件的澄清（答疑）纪要、修改（补充）函件。澄清（答疑）纪要、修改（补充）函件均是招标文件的组成部分，对招标人投标人起约束作用。</w:t>
      </w:r>
    </w:p>
    <w:p w14:paraId="33B8F80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11.2招标人按法律法规的规定时限在交易网发布补遗文件。</w:t>
      </w:r>
    </w:p>
    <w:p w14:paraId="0C8095B0">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12.招标文件的修改</w:t>
      </w:r>
    </w:p>
    <w:p w14:paraId="58ABCC2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12.1招标文件发布后，在法律法规规定时限内，确需要变更招标文件内容的，招标人可主动或在解答投标人提出的澄清问题时对招标文件进行修改，并同时报建设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交通</w:t>
      </w:r>
      <w:r>
        <w:rPr>
          <w:rFonts w:hint="eastAsia" w:ascii="宋体" w:hAnsi="宋体" w:eastAsia="宋体" w:cs="宋体"/>
          <w:color w:val="auto"/>
          <w:szCs w:val="21"/>
          <w:highlight w:val="none"/>
        </w:rPr>
        <w:t>行政主管部门备案。招标人对工程量清单作出变更，要重新制作商务标电子招标文件和送审招标控制价文件，对评标方法、评审项目等重要评审内容作出变更，要重新制作技术标电子招标文件，对送审招标控制价作出变更，要重新制作送审招标控制价文件，并重新备案，同时发布补遗文件进行说明，便于各投标人及时重新下载最新的电子招标文件和送审招标控制价文件编制电子投标文件。</w:t>
      </w:r>
    </w:p>
    <w:p w14:paraId="3C4BF91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招标文件和送审招标控制价文件的修改将在交易网发布，招标文件的修改作为招标文件的组成部分，并具有约束力。投标人应在截标时间前随时查看有关该工程招标文件的答疑、补遗内容。否则，由此引起的投标损失自负。</w:t>
      </w:r>
    </w:p>
    <w:p w14:paraId="5D493F7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14:paraId="131A11D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14:paraId="784DD81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12.5在招标文件确定的提交投标文件截止时间后，招标人不得再变更或修改招标文件确定的评标及定标方法。</w:t>
      </w:r>
    </w:p>
    <w:p w14:paraId="0172CA10">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38" w:name="_Toc8539"/>
      <w:bookmarkStart w:id="39" w:name="_Toc21058"/>
      <w:bookmarkStart w:id="40" w:name="_Toc28200"/>
      <w:bookmarkStart w:id="41" w:name="_Toc1055"/>
      <w:bookmarkStart w:id="42" w:name="_Toc16277"/>
      <w:bookmarkStart w:id="43" w:name="_Toc22961"/>
      <w:r>
        <w:rPr>
          <w:rFonts w:hint="eastAsia" w:eastAsia="宋体"/>
          <w:b/>
          <w:bCs w:val="0"/>
          <w:color w:val="auto"/>
          <w:sz w:val="32"/>
          <w:highlight w:val="none"/>
          <w:lang w:val="en-US"/>
        </w:rPr>
        <w:t>（二）投标</w:t>
      </w:r>
      <w:bookmarkEnd w:id="38"/>
      <w:bookmarkEnd w:id="39"/>
      <w:bookmarkEnd w:id="40"/>
      <w:bookmarkEnd w:id="41"/>
      <w:bookmarkEnd w:id="42"/>
      <w:bookmarkEnd w:id="43"/>
    </w:p>
    <w:p w14:paraId="16A8FD06">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13.对招标文件的质疑</w:t>
      </w:r>
    </w:p>
    <w:p w14:paraId="42AE7E4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13.1招标人不集中组织答疑，实行网上答疑。投标人若对招标文件有疑问，需要招标人予以澄清，应按法律法规规定时限以不署名的形式在交易网提出。</w:t>
      </w:r>
    </w:p>
    <w:p w14:paraId="5133044F">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14.投标文件要求</w:t>
      </w:r>
    </w:p>
    <w:p w14:paraId="72DC8BF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61B8BAF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15.投标费用</w:t>
      </w:r>
    </w:p>
    <w:p w14:paraId="5A22958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15.1投标人应承担其编制投标文件与递交投标文件所涉及的一切费用。不论投标结果如何，招标人在任何情况下无义务也无责任承担这些费用。</w:t>
      </w:r>
    </w:p>
    <w:p w14:paraId="63433CC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16.关于联合体投标</w:t>
      </w:r>
    </w:p>
    <w:p w14:paraId="19BED61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16.1由两个或两个以上法人或者其他组织组成一个联合体以一个投标人的身份共同投标时，应符合招标项目资质及其他相关要求；</w:t>
      </w:r>
    </w:p>
    <w:p w14:paraId="6251554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16.2投标人的投标文件及中标后签署的合同协议书对联合体每一成员均具</w:t>
      </w:r>
      <w:r>
        <w:rPr>
          <w:rFonts w:hint="eastAsia" w:ascii="宋体" w:hAnsi="宋体" w:eastAsia="宋体" w:cs="宋体"/>
          <w:color w:val="auto"/>
          <w:szCs w:val="21"/>
          <w:highlight w:val="none"/>
          <w:lang w:val="en-US" w:eastAsia="zh-CN"/>
        </w:rPr>
        <w:t>有</w:t>
      </w:r>
      <w:r>
        <w:rPr>
          <w:rFonts w:hint="eastAsia" w:ascii="宋体" w:hAnsi="宋体" w:eastAsia="宋体" w:cs="宋体"/>
          <w:color w:val="auto"/>
          <w:szCs w:val="21"/>
          <w:highlight w:val="none"/>
        </w:rPr>
        <w:t>法律约束力；</w:t>
      </w:r>
    </w:p>
    <w:p w14:paraId="55F1172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16.3联合体的各成员应当签订共同投标协议，明确约定各方拟承担的工作和责任，并将该共同投标协议随投标文件一并递交给招标人；</w:t>
      </w:r>
    </w:p>
    <w:p w14:paraId="17B1F47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16.4联合体中标后，联合体各方应当共同与招标人签订合同，为履行合同向招标人承担连带责任；</w:t>
      </w:r>
    </w:p>
    <w:p w14:paraId="1658AB7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16.5由联合体的各成员提交一份授权书，证明联合体代表资格，该授权书作为投标文件的组成部分一并提交给招标人； </w:t>
      </w:r>
    </w:p>
    <w:p w14:paraId="57C314F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16.6联合体代表应被授权作为联合体所有成员的代表承担责任和接受指令，并负责整个合同的全面履行；</w:t>
      </w:r>
    </w:p>
    <w:p w14:paraId="71BF8BF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16.7参加联合体的各成员不得再以自己的名义单独投标，也不得同时参加两个或两个以上的联合体投标。出现上述情况者，其投标和与其有关的联合体的投标均做无效标处理；</w:t>
      </w:r>
    </w:p>
    <w:p w14:paraId="5E30E0E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16.8除非另有规定或说明，本须知(本款)中“投标人”一词亦指联合体各成员。</w:t>
      </w:r>
    </w:p>
    <w:p w14:paraId="3551E8E2">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17.投标文件的语言及度量单位</w:t>
      </w:r>
    </w:p>
    <w:p w14:paraId="20F8704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17.1投标人与招标人之间与投标有关的所有往来文件和投标文件均应使用中文。投标人随投标文件提供的证明文件和资料可以为其它语言，但必须附中文译文，并且，为了解释投标文件，应以中文为准。</w:t>
      </w:r>
    </w:p>
    <w:p w14:paraId="1F0C006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17.2除工程建设标准及技术要求另有规定外，投标文件使用的度量单位，均采用中华人民共和国法定计量单位。</w:t>
      </w:r>
    </w:p>
    <w:p w14:paraId="5C67AA4E">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18.投标文件的组成</w:t>
      </w:r>
    </w:p>
    <w:p w14:paraId="548B8FB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18.1资格审查文件主要包括下列内容（扫描件）：</w:t>
      </w:r>
    </w:p>
    <w:p w14:paraId="14B5644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18.1.1投标人营业执照；</w:t>
      </w:r>
    </w:p>
    <w:p w14:paraId="5E50C5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18.1.2投标人资质证书；</w:t>
      </w:r>
    </w:p>
    <w:p w14:paraId="63D952D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18.1.3投标人安全生产许可证证明以及拟派项目经理的安全生产考核合格证证明；</w:t>
      </w:r>
    </w:p>
    <w:p w14:paraId="2C0494D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18.1.4投标人拟派出的项目经理的《注册建造师证》；</w:t>
      </w:r>
    </w:p>
    <w:p w14:paraId="48CC6ECB">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18.1.5投标担保证明文件（如银行保函、保证金、投标保证保险合同或保险单</w:t>
      </w:r>
      <w:r>
        <w:rPr>
          <w:rFonts w:hint="eastAsia" w:ascii="宋体" w:hAnsi="宋体" w:eastAsia="宋体" w:cs="宋体"/>
          <w:color w:val="auto"/>
          <w:szCs w:val="21"/>
          <w:highlight w:val="none"/>
          <w:lang w:eastAsia="zh-CN"/>
        </w:rPr>
        <w:t>、投标保证金承诺函</w:t>
      </w:r>
      <w:r>
        <w:rPr>
          <w:rFonts w:hint="eastAsia" w:ascii="宋体" w:hAnsi="宋体" w:eastAsia="宋体" w:cs="宋体"/>
          <w:color w:val="auto"/>
          <w:szCs w:val="21"/>
          <w:highlight w:val="none"/>
        </w:rPr>
        <w:t>等）；</w:t>
      </w:r>
    </w:p>
    <w:p w14:paraId="3D1D15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招标人要求提供的与投标人条件审查有关的其他资格证明材料：（必须详细、明确、足以证明资格条件）</w:t>
      </w:r>
    </w:p>
    <w:p w14:paraId="77DB989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18.2资信标部分主要内容：详见招标文件“资信标要求一览表”</w:t>
      </w:r>
    </w:p>
    <w:p w14:paraId="0F97473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18.3商务标部分主要包括下列内容：</w:t>
      </w:r>
    </w:p>
    <w:p w14:paraId="397E8B6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18.3.1工程量清单报价表的说明；</w:t>
      </w:r>
    </w:p>
    <w:p w14:paraId="5ADCE31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18.3.2工程量清单报价表；</w:t>
      </w:r>
    </w:p>
    <w:p w14:paraId="6B515A8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18.3.3施工投标承诺函；</w:t>
      </w:r>
    </w:p>
    <w:p w14:paraId="2AAF338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18.3.4 投标人委托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编制商务标书的，需提供委托协议，且商务标</w:t>
      </w:r>
      <w:r>
        <w:rPr>
          <w:rFonts w:hint="eastAsia" w:ascii="宋体" w:hAnsi="宋体" w:eastAsia="宋体" w:cs="宋体"/>
          <w:color w:val="auto"/>
          <w:szCs w:val="21"/>
          <w:highlight w:val="none"/>
        </w:rPr>
        <w:t>加签工程造价咨询企业</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造价工程师个人数字证书</w:t>
      </w:r>
      <w:r>
        <w:rPr>
          <w:rFonts w:hint="eastAsia" w:ascii="宋体" w:hAnsi="宋体" w:eastAsia="宋体" w:cs="宋体"/>
          <w:color w:val="auto"/>
          <w:szCs w:val="21"/>
          <w:highlight w:val="none"/>
          <w:lang w:val="en-US" w:eastAsia="zh-CN"/>
        </w:rPr>
        <w:t>；</w:t>
      </w:r>
    </w:p>
    <w:p w14:paraId="1D7F564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招标文件要求提交的其它资料：</w:t>
      </w:r>
      <w:r>
        <w:rPr>
          <w:rFonts w:hint="eastAsia" w:ascii="宋体" w:hAnsi="宋体" w:eastAsia="宋体" w:cs="宋体"/>
          <w:bCs/>
          <w:color w:val="auto"/>
          <w:szCs w:val="21"/>
          <w:highlight w:val="none"/>
          <w:u w:val="single"/>
        </w:rPr>
        <w:t xml:space="preserve">      </w:t>
      </w:r>
    </w:p>
    <w:p w14:paraId="679B2F1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18.4对技术标部分的要求： </w:t>
      </w:r>
    </w:p>
    <w:p w14:paraId="26FCCCA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□投标人应按照招标人提供的“技术标编写目录及要求”编制技术标书。（选择此项的，招标人必须在《第九章投标文件格式》的“技术标编写目录及要求”中填写相关内容。）</w:t>
      </w:r>
    </w:p>
    <w:p w14:paraId="1CE579A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□技术标部分不超过</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页（不含证明材料）。</w:t>
      </w:r>
    </w:p>
    <w:p w14:paraId="51A9E93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ascii="宋体" w:hAnsi="宋体" w:eastAsia="宋体" w:cs="宋体"/>
          <w:color w:val="auto"/>
          <w:szCs w:val="21"/>
          <w:highlight w:val="none"/>
        </w:rPr>
        <w:t>8.5</w:t>
      </w:r>
      <w:r>
        <w:rPr>
          <w:rFonts w:hint="eastAsia" w:ascii="宋体" w:hAnsi="宋体" w:eastAsia="宋体" w:cs="宋体"/>
          <w:color w:val="auto"/>
          <w:szCs w:val="21"/>
          <w:highlight w:val="none"/>
        </w:rPr>
        <w:t>对BIM标部分的要求：</w:t>
      </w:r>
    </w:p>
    <w:p w14:paraId="2C1899D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□投标人应按照招标人提供的“BIM标编写目录及要求”编制BIM标书。（选择此项的，招标人必须在第二章BIM标定性评审表、第九章投标文件格式的“BIM标编写目录及要求”中填写相关内容。）</w:t>
      </w:r>
    </w:p>
    <w:p w14:paraId="30947D8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□本工程不要求编制BIM标，但投标人中标后应当在</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日内编制相应的BIM实施方案，经招标人认可后组织实施。</w:t>
      </w:r>
    </w:p>
    <w:p w14:paraId="3EEAD0F8">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19.投标文件的格式要求</w:t>
      </w:r>
    </w:p>
    <w:p w14:paraId="083DA8B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19.1商务标电子文档的格式要求：投标文件电子标书应使用</w:t>
      </w:r>
      <w:r>
        <w:rPr>
          <w:rFonts w:hint="eastAsia" w:ascii="宋体" w:hAnsi="宋体" w:eastAsia="宋体" w:cs="宋体"/>
          <w:color w:val="auto"/>
          <w:szCs w:val="21"/>
          <w:highlight w:val="none"/>
          <w:lang w:val="en-US" w:eastAsia="zh-CN"/>
        </w:rPr>
        <w:t>电子</w:t>
      </w: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制作。（电子文档为*.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格式）</w:t>
      </w:r>
    </w:p>
    <w:p w14:paraId="13425D2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19.2其它电子文档的格式要求：</w:t>
      </w:r>
    </w:p>
    <w:p w14:paraId="33A9EC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19.2.1投标文件电子标书应使用</w:t>
      </w:r>
      <w:r>
        <w:rPr>
          <w:rFonts w:hint="eastAsia" w:ascii="宋体" w:hAnsi="宋体" w:eastAsia="宋体" w:cs="宋体"/>
          <w:color w:val="auto"/>
          <w:szCs w:val="21"/>
          <w:highlight w:val="none"/>
          <w:lang w:val="en-US" w:eastAsia="zh-CN"/>
        </w:rPr>
        <w:t>电子</w:t>
      </w: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制作。（资格审查文件为*.</w:t>
      </w:r>
      <w:r>
        <w:rPr>
          <w:rFonts w:ascii="宋体" w:hAnsi="宋体" w:eastAsia="宋体" w:cs="宋体"/>
          <w:color w:val="auto"/>
          <w:szCs w:val="21"/>
          <w:highlight w:val="none"/>
        </w:rPr>
        <w:t>SGTZS</w:t>
      </w:r>
      <w:r>
        <w:rPr>
          <w:rFonts w:hint="eastAsia" w:ascii="宋体" w:hAnsi="宋体" w:eastAsia="宋体" w:cs="宋体"/>
          <w:color w:val="auto"/>
          <w:szCs w:val="21"/>
          <w:highlight w:val="none"/>
        </w:rPr>
        <w:t>格式、投标文件为*.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格式）</w:t>
      </w:r>
    </w:p>
    <w:p w14:paraId="1FB3AE1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w:t>
      </w:r>
      <w:r>
        <w:rPr>
          <w:rFonts w:ascii="宋体" w:hAnsi="宋体" w:eastAsia="宋体" w:cs="宋体"/>
          <w:color w:val="auto"/>
          <w:szCs w:val="21"/>
          <w:highlight w:val="none"/>
        </w:rPr>
        <w:t>2.2</w:t>
      </w:r>
      <w:r>
        <w:rPr>
          <w:color w:val="auto"/>
          <w:highlight w:val="none"/>
        </w:rPr>
        <w:t xml:space="preserve"> </w:t>
      </w:r>
      <w:r>
        <w:rPr>
          <w:rFonts w:hint="eastAsia" w:ascii="宋体" w:hAnsi="宋体" w:eastAsia="宋体" w:cs="宋体"/>
          <w:color w:val="auto"/>
          <w:szCs w:val="21"/>
          <w:highlight w:val="none"/>
        </w:rPr>
        <w:t>使用符合建设工程招投标平台 BIM 电子招投标系统兼容要求的施工模型标书编制工具，根据招标文件要求进行BIM模型、商务报价、进度计划等文件的整合，整合完成后，将输出资料导入</w:t>
      </w:r>
      <w:r>
        <w:rPr>
          <w:rFonts w:hint="eastAsia" w:ascii="宋体" w:hAnsi="宋体" w:eastAsia="宋体" w:cs="宋体"/>
          <w:color w:val="auto"/>
          <w:szCs w:val="21"/>
          <w:highlight w:val="none"/>
          <w:lang w:eastAsia="zh-CN"/>
        </w:rPr>
        <w:t>电子投标文件编制工具</w:t>
      </w:r>
      <w:r>
        <w:rPr>
          <w:rFonts w:hint="eastAsia" w:ascii="宋体" w:hAnsi="宋体" w:eastAsia="宋体" w:cs="宋体"/>
          <w:color w:val="auto"/>
          <w:szCs w:val="21"/>
          <w:highlight w:val="none"/>
        </w:rPr>
        <w:t>进行签名，生成BIM投标文件（格式为*.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w:t>
      </w:r>
    </w:p>
    <w:p w14:paraId="4DB4AD6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19.2.3投标文件包括投标文件的格式要求中规定的内容，投标人提交的投标文件必须使用招标文件所提供的投标文件格式，详见招标文件第九章—投标文件格式（表格可以按同样格式扩展）。</w:t>
      </w:r>
    </w:p>
    <w:p w14:paraId="5A944B8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20.投标文件的签署</w:t>
      </w:r>
    </w:p>
    <w:p w14:paraId="33314FC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20.1投标文件必须采用数字证书或电子营业执照进行签名，除加签投标人机构数字证书或电子营业执照、法定代表人个人数字证书外，技术标必须加签拟派项目经理（建造师）个人数字证书，商务标必须加签造价工程师个人数字证书。</w:t>
      </w:r>
    </w:p>
    <w:p w14:paraId="0FFE4A8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20.2采用个人数字证书签名的项目经理（建造师）、造价工程师对签署部分的投标文件的真实性、合法性承担个人执业责任（但并不因此免除投标人应承担的法律责任）。</w:t>
      </w:r>
    </w:p>
    <w:p w14:paraId="2ABF15CA">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21.投标报价</w:t>
      </w:r>
    </w:p>
    <w:p w14:paraId="50119F1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21.1投标报价为投标人的投标文件中提出的各项支付金额的总和。</w:t>
      </w:r>
    </w:p>
    <w:p w14:paraId="4E9DAA6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21.2投标人的投标报价，应是招标范围和合同条件上所列的各项内容中所述的全部，不得以任何理由予以重复，并以投标人在工程量清单中提出的综合单价或总价为依据。</w:t>
      </w:r>
    </w:p>
    <w:p w14:paraId="329EC9F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21.3投标人应按工程量清单中列出的工程项目填报综合单价和合价。任何有选择的报价将不予接受，每一项目只允许有一个报价。投标人未填综合单价或合价的工程项目，将被视为该项费用已包括在其它有价款的综合单价或合价内，任何与此有关的工程价款，招标人将不另行支付。</w:t>
      </w:r>
    </w:p>
    <w:p w14:paraId="36003D2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21.4工程建设标准和技术规范要求的费用应包括在投标报价中。</w:t>
      </w:r>
    </w:p>
    <w:p w14:paraId="693C8EB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21.5投标人应先到工地踏勘以充分了解工地位置、道路、储存空间、装卸限制及任何其它足以影响投标报价的情况，任何因忽视或误解工地情况而导致的索赔或工期延长申请将不获批准。</w:t>
      </w:r>
    </w:p>
    <w:p w14:paraId="2121796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21.6除非招标人通过修改招标文件予以更正，否则，投标人应按工程量清单中的项目和数量进行报价。</w:t>
      </w:r>
    </w:p>
    <w:p w14:paraId="6FF641C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21.7“安全文明施工措施费”应当作为非竞争性费用，在投标报价中单列（但应计入投标总价）。“安全文明施工措施费”包括临时设施费、安全施工费、文明施工费、环境保护费。</w:t>
      </w:r>
    </w:p>
    <w:p w14:paraId="019F3406">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22.投标有效期</w:t>
      </w:r>
    </w:p>
    <w:p w14:paraId="0192E96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22.1投标有效期按法律法规规定期限内，所有投标文件均保持有效。</w:t>
      </w:r>
    </w:p>
    <w:p w14:paraId="0AFF01F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14:paraId="3212468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23.投标担保</w:t>
      </w:r>
    </w:p>
    <w:p w14:paraId="427EC52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72EB14E4">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23.2投标人应按前附表要求提交投标担保</w:t>
      </w:r>
      <w:r>
        <w:rPr>
          <w:rFonts w:hint="eastAsia" w:ascii="宋体" w:hAnsi="宋体" w:eastAsia="宋体" w:cs="宋体"/>
          <w:color w:val="auto"/>
          <w:szCs w:val="21"/>
          <w:highlight w:val="none"/>
          <w:lang w:eastAsia="zh-CN"/>
        </w:rPr>
        <w:t>。</w:t>
      </w:r>
    </w:p>
    <w:p w14:paraId="5E2B3FA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2F93A1C2">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308AB4EF">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7AB6901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4C5ECBF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的格式见第九章--投标文件格式。如果投标人不采用参考格式的投标保函，拟采用的投标保函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0F2572D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132F82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65817D5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0AB2406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31ADEBF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55D48B3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137CD21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129D66B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584373D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2958AF6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45EB9D7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0380E3A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6E7776D1">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24.投标文件的提交</w:t>
      </w:r>
    </w:p>
    <w:p w14:paraId="716A4D4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24.1联合体投标的工程，联合体代表应在投标时录入已进行企业信息登记的联合体其他成员单位。</w:t>
      </w:r>
    </w:p>
    <w:p w14:paraId="41C999A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24.2投标人应根据投标文件递交的规定，在投标截止时间前将投标文件上传到交易</w:t>
      </w:r>
      <w:r>
        <w:rPr>
          <w:rFonts w:hint="eastAsia" w:ascii="宋体" w:hAnsi="宋体" w:eastAsia="宋体" w:cs="宋体"/>
          <w:color w:val="auto"/>
          <w:szCs w:val="21"/>
          <w:highlight w:val="none"/>
          <w:lang w:val="en-US" w:eastAsia="zh-CN"/>
        </w:rPr>
        <w:t>平台</w:t>
      </w:r>
      <w:r>
        <w:rPr>
          <w:rFonts w:hint="eastAsia" w:ascii="宋体" w:hAnsi="宋体" w:eastAsia="宋体" w:cs="宋体"/>
          <w:color w:val="auto"/>
          <w:szCs w:val="21"/>
          <w:highlight w:val="none"/>
        </w:rPr>
        <w:t>。</w:t>
      </w:r>
    </w:p>
    <w:p w14:paraId="248D4FE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24.3投标人在递交投标文件以后，在规定的投标截止时间之前，可以重新提交经修改补充的投标文件，并电子签名确认和打印回执，原已提交的投标文件会被新的投标文件覆盖。</w:t>
      </w:r>
    </w:p>
    <w:p w14:paraId="4B107AD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24.4在投标截止时间以后，不得补充、修改投标文件。</w:t>
      </w:r>
    </w:p>
    <w:p w14:paraId="609A76F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24.5截标时递交标书的投标人数量不足3名的，招标人将按法律法规的规定暂停开标和评标程序。如导致招标失败，招标人将不负担因此给投标人造成的损失。</w:t>
      </w:r>
    </w:p>
    <w:p w14:paraId="4D09DFC4">
      <w:pPr>
        <w:adjustRightInd w:val="0"/>
        <w:snapToGrid w:val="0"/>
        <w:spacing w:before="0" w:after="0"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rPr>
        <w:t>25.</w:t>
      </w:r>
      <w:r>
        <w:rPr>
          <w:rFonts w:hint="eastAsia" w:ascii="宋体" w:hAnsi="宋体" w:eastAsia="宋体" w:cs="宋体"/>
          <w:b/>
          <w:bCs/>
          <w:color w:val="auto"/>
          <w:sz w:val="21"/>
          <w:szCs w:val="21"/>
          <w:highlight w:val="none"/>
        </w:rPr>
        <w:t>其他规定</w:t>
      </w:r>
    </w:p>
    <w:p w14:paraId="3A04719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25.1投标人保证投标文件及资料均未侵犯他人的知识产权，否则必须承担全部责任。若投标人使用了他人的专利、专有技术，涉及的费用由投标人负责。</w:t>
      </w:r>
    </w:p>
    <w:p w14:paraId="116B34C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投标人中标后应按照《深圳经济特区数据条例》的有关规定，加强对BIM数据的安全管理，建立健全数据管理制度，及时排查BIM数据在存储、使用、加工、传递、交付过程中可能出现的信息安全隐患，做好安全防护和处理。</w:t>
      </w:r>
    </w:p>
    <w:p w14:paraId="48A348CD">
      <w:pPr>
        <w:adjustRightInd w:val="0"/>
        <w:snapToGrid w:val="0"/>
        <w:spacing w:line="360" w:lineRule="auto"/>
        <w:ind w:firstLine="420" w:firstLineChars="200"/>
        <w:rPr>
          <w:rFonts w:ascii="宋体" w:hAnsi="宋体" w:eastAsia="宋体" w:cs="宋体"/>
          <w:color w:val="auto"/>
          <w:szCs w:val="21"/>
          <w:highlight w:val="none"/>
        </w:rPr>
      </w:pPr>
    </w:p>
    <w:p w14:paraId="728D9864">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44" w:name="_Toc13262"/>
      <w:bookmarkStart w:id="45" w:name="_Toc19176"/>
      <w:bookmarkStart w:id="46" w:name="_Toc28259"/>
      <w:bookmarkStart w:id="47" w:name="_Toc23086"/>
      <w:bookmarkStart w:id="48" w:name="_Toc7010"/>
      <w:bookmarkStart w:id="49" w:name="_Toc9012"/>
      <w:r>
        <w:rPr>
          <w:rFonts w:hint="eastAsia" w:eastAsia="宋体"/>
          <w:b/>
          <w:bCs w:val="0"/>
          <w:color w:val="auto"/>
          <w:sz w:val="32"/>
          <w:highlight w:val="none"/>
          <w:lang w:val="en-US"/>
        </w:rPr>
        <w:t>（三）资格后审</w:t>
      </w:r>
      <w:bookmarkEnd w:id="44"/>
      <w:bookmarkEnd w:id="45"/>
      <w:bookmarkEnd w:id="46"/>
      <w:bookmarkEnd w:id="47"/>
      <w:bookmarkEnd w:id="48"/>
      <w:bookmarkEnd w:id="49"/>
    </w:p>
    <w:p w14:paraId="3E4A5BE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26.资格后审</w:t>
      </w:r>
    </w:p>
    <w:p w14:paraId="1007454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26.1资格审查由招标人组成的资格后审委员会负责，在截标后招标人登陆交易网对各投标人资格进行审查。</w:t>
      </w:r>
    </w:p>
    <w:p w14:paraId="7AFC354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26.2资格后审委员会由3名以上单数的招标人代表组成，招标代理人员参与资格审查的，其人员不得超过总人数的1/3。</w:t>
      </w:r>
    </w:p>
    <w:p w14:paraId="2E31B35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26.3资格后审委员严格对照招标公告中要求的投标人资格条件，逐个审查投标人递交的资格审查文件，审核判断投标人是否满足该资格条件。</w:t>
      </w:r>
    </w:p>
    <w:p w14:paraId="66CEC2E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69B959F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26.5拟进行资格后审澄清、答辩的代表由招标人核对身份。</w:t>
      </w:r>
    </w:p>
    <w:p w14:paraId="29304AB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26.6资格后审委员会要求投标人进行澄清、答辩，但投标人在招标人规定时间内未派出人员及时作出澄清、答辩的，资格后审委员会将可能作出不利于投标人的判定。</w:t>
      </w:r>
    </w:p>
    <w:p w14:paraId="3FA24BAD">
      <w:pPr>
        <w:adjustRightInd w:val="0"/>
        <w:snapToGrid w:val="0"/>
        <w:spacing w:line="360" w:lineRule="auto"/>
        <w:ind w:firstLine="420" w:firstLineChars="200"/>
        <w:rPr>
          <w:rFonts w:ascii="宋体" w:hAnsi="宋体" w:eastAsia="宋体" w:cs="宋体"/>
          <w:color w:val="auto"/>
          <w:sz w:val="24"/>
          <w:szCs w:val="24"/>
          <w:highlight w:val="none"/>
        </w:rPr>
      </w:pPr>
      <w:r>
        <w:rPr>
          <w:rFonts w:hint="eastAsia" w:ascii="宋体" w:hAnsi="宋体" w:eastAsia="宋体" w:cs="宋体"/>
          <w:color w:val="auto"/>
          <w:szCs w:val="21"/>
          <w:highlight w:val="none"/>
        </w:rPr>
        <w:t>26.7全部投标人的资格审查材料审查完毕后，资格后审委员会出具资格审查报告，并按规定将审查结果进行公示，同时由系统直接将所有投标人的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37031EBE">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50" w:name="_Toc15306"/>
      <w:bookmarkStart w:id="51" w:name="_Toc10951"/>
      <w:bookmarkStart w:id="52" w:name="_Toc31382"/>
      <w:bookmarkStart w:id="53" w:name="_Toc31112"/>
      <w:bookmarkStart w:id="54" w:name="_Toc17110"/>
      <w:bookmarkStart w:id="55" w:name="_Toc24949"/>
      <w:r>
        <w:rPr>
          <w:rFonts w:hint="eastAsia" w:eastAsia="宋体"/>
          <w:b/>
          <w:bCs w:val="0"/>
          <w:color w:val="auto"/>
          <w:sz w:val="32"/>
          <w:highlight w:val="none"/>
          <w:lang w:val="en-US"/>
        </w:rPr>
        <w:t>（四）开标</w:t>
      </w:r>
      <w:bookmarkEnd w:id="50"/>
      <w:bookmarkEnd w:id="51"/>
      <w:bookmarkEnd w:id="52"/>
      <w:bookmarkEnd w:id="53"/>
      <w:bookmarkEnd w:id="54"/>
      <w:bookmarkEnd w:id="55"/>
    </w:p>
    <w:p w14:paraId="6FAB033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27.开标</w:t>
      </w:r>
    </w:p>
    <w:p w14:paraId="5ED9DFA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27.1开标会议由招标人在交易网进行，投标人现场参加开标会的必须是法定代表人或投标员，并必须遵守办理程序及人员身份的相关规定。 </w:t>
      </w:r>
    </w:p>
    <w:p w14:paraId="4F392D0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27.2资格后审不合格的投标人的投标文件将不再进入下一步开标程序。</w:t>
      </w:r>
    </w:p>
    <w:p w14:paraId="1111997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27.3开标时，招标人需按开标程序分步对电子投标文件各部分进行导入；如电子投标文件已加密的，也必须按开标程序分步对电子投标文件各部分进行解密。</w:t>
      </w:r>
    </w:p>
    <w:p w14:paraId="274F5C3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27.4按招标文件规定宣布为不予受理情形的投标文件，不予送交评标委员会评审。</w:t>
      </w:r>
    </w:p>
    <w:p w14:paraId="2D309E2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27.5招标人应对开标过程进行记录，以存档备查。</w:t>
      </w:r>
    </w:p>
    <w:p w14:paraId="2006700B">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27.6对于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488AE2E1">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63D974BE">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招标人在过多投标人淘汰环节应当采用票决法进行择优</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经理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szCs w:val="21"/>
          <w:highlight w:val="none"/>
        </w:rPr>
        <w:t>招标人可以根据项目实际情况增加择优因素，也可以综合考虑择优因素或按择优因素的重要性，对投标人进行逐级淘汰。</w:t>
      </w:r>
    </w:p>
    <w:p w14:paraId="1AD76CC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eastAsia="zh-CN"/>
        </w:rPr>
        <w:t>9</w:t>
      </w:r>
      <w:r>
        <w:rPr>
          <w:rFonts w:hint="eastAsia" w:ascii="宋体" w:hAnsi="宋体" w:eastAsia="宋体" w:cs="宋体"/>
          <w:color w:val="auto"/>
          <w:kern w:val="0"/>
          <w:szCs w:val="21"/>
          <w:highlight w:val="none"/>
        </w:rPr>
        <w:t>招标人应对开标过程进行记录，以存档备查。</w:t>
      </w:r>
      <w:r>
        <w:rPr>
          <w:rFonts w:hint="eastAsia" w:ascii="宋体" w:hAnsi="宋体" w:eastAsia="宋体" w:cs="宋体"/>
          <w:color w:val="auto"/>
          <w:szCs w:val="21"/>
          <w:highlight w:val="none"/>
        </w:rPr>
        <w:t>开标及入围结果应当在交易网进行公示。</w:t>
      </w:r>
    </w:p>
    <w:p w14:paraId="6DAE326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招标人在深圳交易集团有限公司（深圳公共资源交易中心）现场组织的开标会应遵循《会议管理规定》及《开标会程序》的相关规定。</w:t>
      </w:r>
    </w:p>
    <w:p w14:paraId="6E28281F">
      <w:pPr>
        <w:adjustRightInd w:val="0"/>
        <w:snapToGrid w:val="0"/>
        <w:spacing w:line="360" w:lineRule="auto"/>
        <w:ind w:firstLine="422" w:firstLineChars="200"/>
        <w:rPr>
          <w:b/>
          <w:bCs/>
          <w:color w:val="auto"/>
          <w:szCs w:val="21"/>
          <w:highlight w:val="none"/>
        </w:rPr>
      </w:pPr>
      <w:r>
        <w:rPr>
          <w:rFonts w:hint="eastAsia" w:ascii="宋体" w:hAnsi="宋体" w:eastAsia="宋体" w:cs="宋体"/>
          <w:b/>
          <w:bCs/>
          <w:color w:val="auto"/>
          <w:szCs w:val="21"/>
          <w:highlight w:val="none"/>
        </w:rPr>
        <w:t>28.投标文件不予受理的情形（详见投标文件否决性条款第一条）</w:t>
      </w:r>
    </w:p>
    <w:p w14:paraId="47E3C88D">
      <w:pPr>
        <w:rPr>
          <w:color w:val="auto"/>
          <w:highlight w:val="none"/>
        </w:rPr>
      </w:pPr>
    </w:p>
    <w:p w14:paraId="60BB0A5B">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56" w:name="_Toc6149"/>
      <w:bookmarkStart w:id="57" w:name="_Toc13700"/>
      <w:bookmarkStart w:id="58" w:name="_Toc13159"/>
      <w:bookmarkStart w:id="59" w:name="_Toc28916"/>
      <w:bookmarkStart w:id="60" w:name="_Toc14893"/>
      <w:bookmarkStart w:id="61" w:name="_Toc31279"/>
      <w:r>
        <w:rPr>
          <w:rFonts w:hint="eastAsia" w:eastAsia="宋体"/>
          <w:b/>
          <w:bCs w:val="0"/>
          <w:color w:val="auto"/>
          <w:sz w:val="32"/>
          <w:highlight w:val="none"/>
          <w:lang w:val="en-US"/>
        </w:rPr>
        <w:t>（五）评标</w:t>
      </w:r>
      <w:bookmarkEnd w:id="56"/>
      <w:bookmarkEnd w:id="57"/>
      <w:bookmarkEnd w:id="58"/>
      <w:bookmarkEnd w:id="59"/>
      <w:bookmarkEnd w:id="60"/>
      <w:bookmarkEnd w:id="61"/>
    </w:p>
    <w:p w14:paraId="1E3271E7">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29.评标方法及标准</w:t>
      </w:r>
    </w:p>
    <w:p w14:paraId="6312106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29.1评标委员会应当根据“投标须知前附表”规定的评标方法，对投标文件进行评审和比较，招标文件中没有规定的标准和方法不得作为评标的依据。</w:t>
      </w:r>
    </w:p>
    <w:p w14:paraId="6D530D6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30.评标委员会组建及职责</w:t>
      </w:r>
    </w:p>
    <w:p w14:paraId="5EE73B2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评标委员会组建方式：由招标人依法组建，负责评标活动。评标委员会的专家成员由招标人从评标专家库内按照专业随机抽取（招标人可以各委派一名代表作为技术标和商务标的评标委员会成员），且应当符合下列要求：</w:t>
      </w:r>
    </w:p>
    <w:p w14:paraId="434D9A3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30.1.1采用电子评标的，技术标评标委员会成员数量为5人以上单数，商务标评标委员会成员数量为3人以上单数；</w:t>
      </w:r>
    </w:p>
    <w:p w14:paraId="7B96647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30.1.2采用纸质方式评标的，技术标评标委员会和商务标评标委员会数量均为5人以上单数。</w:t>
      </w:r>
    </w:p>
    <w:p w14:paraId="081F2A0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30.2评标委员会职责：评标委员会应根据招标文件规定的评标方法和标准，遵循公开、公正、公平、科学、择优的原则，对投标文件进行评审。评标委员会根据招标文件规定向招标人推荐合格投标人或中标候选人。</w:t>
      </w:r>
    </w:p>
    <w:p w14:paraId="7DE8376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5C6BBEA8">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31.投标文件的初步评审</w:t>
      </w:r>
    </w:p>
    <w:p w14:paraId="2B2C1A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31.1计算机评标系统对投标文件进行自动清标分析，然后由评标委员会进行投标文件的初步评审。</w:t>
      </w:r>
    </w:p>
    <w:p w14:paraId="2EE479C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31.2投标文件初步评审不合格的，应参照投标文件否决性条款作无效标处理。</w:t>
      </w:r>
    </w:p>
    <w:p w14:paraId="42A3AF1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32.投标文件的详细评审</w:t>
      </w:r>
    </w:p>
    <w:p w14:paraId="2C6F08A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32.1评标委员会根据招标文件规定的评标方法和标准，对各投标人的投标文件分别进行详细评审。</w:t>
      </w:r>
    </w:p>
    <w:p w14:paraId="323352DA">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33.投标文件的重大偏差</w:t>
      </w:r>
    </w:p>
    <w:p w14:paraId="59A2FFA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33.1投标文件存在的重大偏差情形的，评标委员会应根据相应的投标文件否决性条款作废标处理。</w:t>
      </w:r>
    </w:p>
    <w:p w14:paraId="21ABA50E">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34.投标文件的细微偏差</w:t>
      </w:r>
    </w:p>
    <w:p w14:paraId="48EF0C5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34.1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09895325">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35.投标文件的澄清答辩</w:t>
      </w:r>
    </w:p>
    <w:p w14:paraId="062AF0A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2F98160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35.2采用评标区录音电话方式澄清答辩的答辩人，仅限该项目递交投标文件时确定的投标员，投标员的联系方式以系统登记信息为准。采用现场方式澄清答辩的答辩人应为该单位的授权委托人，授权委托人须本人携带有效的身份证明文件（包含身份证原件、法定代表人证明书、法人授权委托书等）。澄清答辩人员的身份由招标人核验。</w:t>
      </w:r>
    </w:p>
    <w:p w14:paraId="3131AA0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35.3评标委员会要求投标人进行答辩，但投标人在评标委员会规定的时间内（不少于30分钟）内未派出代表及时作出答辩的，评标委员会将根据招标文件规定作出不利于投标人的判定，投标人不得因此提出任何异议。</w:t>
      </w:r>
    </w:p>
    <w:p w14:paraId="2F1096A4">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36.无效标和废标的处理</w:t>
      </w:r>
    </w:p>
    <w:p w14:paraId="1DECD2E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06B9B4B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36.2评标委员会在作出任何一项无效标和废标决定前，都应当严格遵循以下程序：</w:t>
      </w:r>
    </w:p>
    <w:p w14:paraId="6C4B69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36.2.1向当事投标人作相应的澄清；</w:t>
      </w:r>
    </w:p>
    <w:p w14:paraId="1AF49FD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36.2.2当事投标人应当在通知规定时间内，向评标委员会作出澄清和解释。未按时作出澄清和解释的，评标委员会可对相应投标文件按最不利情形认定；</w:t>
      </w:r>
    </w:p>
    <w:p w14:paraId="4DAFA89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36.2.3在充分讨论的基础上集体表决；</w:t>
      </w:r>
    </w:p>
    <w:p w14:paraId="5AB683E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36.2.4若表决通过无效标或废标决定，应在评标报告中详细载明无效标或废标的理由、依据、答辩的情况和集体表决的情况（同意无效标或废标和不同意无效标或废标的评标委员会成员均应当注明）；</w:t>
      </w:r>
    </w:p>
    <w:p w14:paraId="215F639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36.2.5评标委员会在否决所有投标文件前，应当向招标人核实有关情况，听取招标人意见。</w:t>
      </w:r>
    </w:p>
    <w:p w14:paraId="5AC1AF79">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37.</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bCs/>
          <w:color w:val="auto"/>
          <w:szCs w:val="21"/>
          <w:highlight w:val="none"/>
        </w:rPr>
        <w:t>的推荐</w:t>
      </w:r>
    </w:p>
    <w:p w14:paraId="4A90A1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37.1评标委员会实行少数服从多数的原则，评标结果经评标委员会全体成员过半数通过有效。</w:t>
      </w:r>
    </w:p>
    <w:p w14:paraId="186B5897">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rPr>
        <w:t>37.2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49"/>
          <w:rFonts w:hint="eastAsia" w:ascii="宋体" w:hAnsi="宋体" w:eastAsia="宋体" w:cs="宋体"/>
          <w:strike w:val="0"/>
          <w:color w:val="auto"/>
          <w:szCs w:val="21"/>
          <w:highlight w:val="none"/>
          <w:u w:val="none"/>
          <w:lang w:val="en-US" w:eastAsia="zh-CN"/>
        </w:rPr>
        <w:t>[</w:t>
      </w:r>
      <w:r>
        <w:rPr>
          <w:rStyle w:val="49"/>
          <w:rFonts w:hint="eastAsia" w:ascii="宋体" w:hAnsi="宋体" w:eastAsia="宋体" w:cs="宋体"/>
          <w:strike w:val="0"/>
          <w:color w:val="auto"/>
          <w:szCs w:val="21"/>
          <w:highlight w:val="none"/>
          <w:u w:val="none"/>
          <w:lang w:val="en-US" w:eastAsia="zh-CN"/>
        </w:rPr>
        <w:footnoteReference w:id="6"/>
      </w:r>
      <w:r>
        <w:rPr>
          <w:rStyle w:val="49"/>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64145CB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37.3评标委员会作出无效标或者废标处理后，合格投标人数量不足3名的，招标人应当宣布本次招标失败，重新招标。</w:t>
      </w:r>
    </w:p>
    <w:p w14:paraId="53A37D9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37.4采用批量招标的，评标委员会作出无效标或者废标处理后，合格投标人数量不足拟定中标人数量加上2名的，招标人不得再采用批量招标方式。</w:t>
      </w:r>
    </w:p>
    <w:p w14:paraId="3A7AEFE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37.5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交易网公示3个工作日后直接发包。</w:t>
      </w:r>
    </w:p>
    <w:p w14:paraId="037A946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37.6评标过程中，若评标委员会认为本次招标缺乏竞争性，可以不推荐投标人，由招标人重新组织招标。</w:t>
      </w:r>
    </w:p>
    <w:p w14:paraId="1DE99D4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37.7如招投标过程中出现严重异常情况，经</w:t>
      </w:r>
      <w:r>
        <w:rPr>
          <w:rFonts w:hint="eastAsia" w:ascii="宋体" w:hAnsi="宋体" w:eastAsia="宋体" w:cs="宋体"/>
          <w:color w:val="auto"/>
          <w:szCs w:val="21"/>
          <w:highlight w:val="none"/>
          <w:lang w:val="en-US" w:eastAsia="zh-CN"/>
        </w:rPr>
        <w:t>行政</w:t>
      </w:r>
      <w:r>
        <w:rPr>
          <w:rFonts w:hint="eastAsia" w:ascii="宋体" w:hAnsi="宋体" w:eastAsia="宋体" w:cs="宋体"/>
          <w:color w:val="auto"/>
          <w:szCs w:val="21"/>
          <w:highlight w:val="none"/>
        </w:rPr>
        <w:t>主管部门批准，招标人可以不接受本次招标结果，应当重新招标。</w:t>
      </w:r>
    </w:p>
    <w:p w14:paraId="7ED203A8">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38评标报告</w:t>
      </w:r>
    </w:p>
    <w:p w14:paraId="63162FC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38.1评标委员会收集并汇总全体评委评审意见后，由评标委员会主任委员填写《评标报告》。</w:t>
      </w:r>
    </w:p>
    <w:p w14:paraId="32A85A51">
      <w:pPr>
        <w:adjustRightInd w:val="0"/>
        <w:snapToGrid w:val="0"/>
        <w:spacing w:line="360" w:lineRule="auto"/>
        <w:ind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14:paraId="5546C0AD">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38.2评标报告应由评标委员会全体成员签字。评标委员会成员对评审意见和中标候选人名单存在分歧意见的，可采用书面方式阐述其不同意见和理由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在评标报告中客观记录。评标委员会成员拒绝签字的，视为同意评标结论。评标委员会应对此做出书面记录。</w:t>
      </w:r>
    </w:p>
    <w:p w14:paraId="3C9E16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38.3对发现的涉嫌违法、违规行为，应当在评标报告中做出详细说明，做好取证工作，并及时告知行政主管部门。</w:t>
      </w:r>
    </w:p>
    <w:p w14:paraId="174584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38.4评标委员会向招标人提交评标报告后即解散。评标过程中使用的文件、资料等，都不得带离评标室。</w:t>
      </w:r>
    </w:p>
    <w:p w14:paraId="22B5AC16">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39.评标结果公示</w:t>
      </w:r>
    </w:p>
    <w:p w14:paraId="09BA1DD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39.1招标人应当将评标报告（含合格投标人名单）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szCs w:val="21"/>
          <w:highlight w:val="none"/>
        </w:rPr>
        <w:t>在交易网公示3个工作日。</w:t>
      </w:r>
    </w:p>
    <w:p w14:paraId="091E734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40.其它规定</w:t>
      </w:r>
    </w:p>
    <w:p w14:paraId="2DE55F4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40.1若投标人的投标行为出现违反相关法律法规等政策文件列明的各种情形的，招标人将提请主管部门对相应投标人作不良记录。</w:t>
      </w:r>
    </w:p>
    <w:p w14:paraId="2BEB039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40.2评标过程中，若评标委员依据招标文件的规定要求招标人重新招标，招标人不承担因招标失败给投标人造成的损失。</w:t>
      </w:r>
    </w:p>
    <w:p w14:paraId="2213211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40.3如果投标文件中的BIM标书文件与其他文件内容不一致时，原则上以其他文件内容为准，投标人在投标文件或澄清中明确以</w:t>
      </w:r>
      <w:r>
        <w:rPr>
          <w:rFonts w:hint="eastAsia" w:ascii="宋体" w:hAnsi="宋体" w:eastAsia="宋体" w:cs="宋体"/>
          <w:b/>
          <w:bCs/>
          <w:color w:val="auto"/>
          <w:kern w:val="0"/>
          <w:szCs w:val="21"/>
          <w:highlight w:val="none"/>
        </w:rPr>
        <w:t>BIM</w:t>
      </w:r>
      <w:r>
        <w:rPr>
          <w:rFonts w:hint="eastAsia" w:ascii="宋体" w:hAnsi="宋体" w:eastAsia="宋体" w:cs="宋体"/>
          <w:color w:val="auto"/>
          <w:kern w:val="0"/>
          <w:szCs w:val="21"/>
          <w:highlight w:val="none"/>
        </w:rPr>
        <w:t>标书文件为准的除外。</w:t>
      </w:r>
    </w:p>
    <w:p w14:paraId="172BDE03">
      <w:pPr>
        <w:adjustRightInd w:val="0"/>
        <w:snapToGrid w:val="0"/>
        <w:spacing w:line="360" w:lineRule="auto"/>
        <w:ind w:firstLine="420" w:firstLineChars="200"/>
        <w:rPr>
          <w:rFonts w:ascii="宋体" w:hAnsi="宋体" w:eastAsia="宋体" w:cs="宋体"/>
          <w:color w:val="auto"/>
          <w:szCs w:val="21"/>
          <w:highlight w:val="none"/>
        </w:rPr>
      </w:pPr>
    </w:p>
    <w:p w14:paraId="6FF1774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41.评标表格</w:t>
      </w:r>
    </w:p>
    <w:p w14:paraId="5178BA55">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商务标定性评审表</w:t>
      </w:r>
    </w:p>
    <w:p w14:paraId="4C50298F">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标段名称：                                投标单位：</w:t>
      </w:r>
    </w:p>
    <w:tbl>
      <w:tblPr>
        <w:tblStyle w:val="41"/>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817"/>
        <w:gridCol w:w="1125"/>
        <w:gridCol w:w="1205"/>
        <w:gridCol w:w="1160"/>
        <w:gridCol w:w="1249"/>
        <w:gridCol w:w="536"/>
        <w:gridCol w:w="2014"/>
      </w:tblGrid>
      <w:tr w14:paraId="31F1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33B19B8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一、投标总价概况</w:t>
            </w:r>
          </w:p>
        </w:tc>
        <w:tc>
          <w:tcPr>
            <w:tcW w:w="817" w:type="dxa"/>
            <w:vMerge w:val="restart"/>
            <w:vAlign w:val="center"/>
          </w:tcPr>
          <w:p w14:paraId="21D20A2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投标总价（万元）</w:t>
            </w:r>
          </w:p>
        </w:tc>
        <w:tc>
          <w:tcPr>
            <w:tcW w:w="1125" w:type="dxa"/>
            <w:vMerge w:val="restart"/>
            <w:vAlign w:val="center"/>
          </w:tcPr>
          <w:p w14:paraId="03B1EDE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投标总价与招标控制价的差额（万元）</w:t>
            </w:r>
          </w:p>
        </w:tc>
        <w:tc>
          <w:tcPr>
            <w:tcW w:w="1205" w:type="dxa"/>
            <w:vMerge w:val="restart"/>
            <w:vAlign w:val="center"/>
          </w:tcPr>
          <w:p w14:paraId="524A5FE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投标总价的净下浮率（%）</w:t>
            </w:r>
          </w:p>
        </w:tc>
        <w:tc>
          <w:tcPr>
            <w:tcW w:w="4959" w:type="dxa"/>
            <w:gridSpan w:val="4"/>
            <w:vAlign w:val="center"/>
          </w:tcPr>
          <w:p w14:paraId="1D71AAD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投标总价中</w:t>
            </w:r>
          </w:p>
        </w:tc>
      </w:tr>
      <w:tr w14:paraId="0E1D8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6776D58E">
            <w:pPr>
              <w:adjustRightInd w:val="0"/>
              <w:snapToGrid w:val="0"/>
              <w:spacing w:line="360" w:lineRule="auto"/>
              <w:rPr>
                <w:rFonts w:ascii="宋体" w:hAnsi="宋体" w:eastAsia="宋体" w:cs="宋体"/>
                <w:color w:val="auto"/>
                <w:kern w:val="0"/>
                <w:szCs w:val="21"/>
                <w:highlight w:val="none"/>
              </w:rPr>
            </w:pPr>
          </w:p>
        </w:tc>
        <w:tc>
          <w:tcPr>
            <w:tcW w:w="817" w:type="dxa"/>
            <w:vMerge w:val="continue"/>
          </w:tcPr>
          <w:p w14:paraId="29E17511">
            <w:pPr>
              <w:adjustRightInd w:val="0"/>
              <w:snapToGrid w:val="0"/>
              <w:spacing w:line="360" w:lineRule="auto"/>
              <w:rPr>
                <w:rFonts w:ascii="宋体" w:hAnsi="宋体" w:eastAsia="宋体" w:cs="宋体"/>
                <w:color w:val="auto"/>
                <w:kern w:val="0"/>
                <w:szCs w:val="21"/>
                <w:highlight w:val="none"/>
              </w:rPr>
            </w:pPr>
          </w:p>
        </w:tc>
        <w:tc>
          <w:tcPr>
            <w:tcW w:w="1125" w:type="dxa"/>
            <w:vMerge w:val="continue"/>
          </w:tcPr>
          <w:p w14:paraId="3594F4A3">
            <w:pPr>
              <w:adjustRightInd w:val="0"/>
              <w:snapToGrid w:val="0"/>
              <w:spacing w:line="360" w:lineRule="auto"/>
              <w:rPr>
                <w:rFonts w:ascii="宋体" w:hAnsi="宋体" w:eastAsia="宋体" w:cs="宋体"/>
                <w:color w:val="auto"/>
                <w:kern w:val="0"/>
                <w:szCs w:val="21"/>
                <w:highlight w:val="none"/>
              </w:rPr>
            </w:pPr>
          </w:p>
        </w:tc>
        <w:tc>
          <w:tcPr>
            <w:tcW w:w="1205" w:type="dxa"/>
            <w:vMerge w:val="continue"/>
          </w:tcPr>
          <w:p w14:paraId="32E38B7D">
            <w:pPr>
              <w:adjustRightInd w:val="0"/>
              <w:snapToGrid w:val="0"/>
              <w:spacing w:line="360" w:lineRule="auto"/>
              <w:rPr>
                <w:rFonts w:ascii="宋体" w:hAnsi="宋体" w:eastAsia="宋体" w:cs="宋体"/>
                <w:color w:val="auto"/>
                <w:kern w:val="0"/>
                <w:szCs w:val="21"/>
                <w:highlight w:val="none"/>
              </w:rPr>
            </w:pPr>
          </w:p>
        </w:tc>
        <w:tc>
          <w:tcPr>
            <w:tcW w:w="1160" w:type="dxa"/>
          </w:tcPr>
          <w:p w14:paraId="553D418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分部分项</w:t>
            </w:r>
          </w:p>
          <w:p w14:paraId="148F1BB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金额（万元）</w:t>
            </w:r>
          </w:p>
        </w:tc>
        <w:tc>
          <w:tcPr>
            <w:tcW w:w="1785" w:type="dxa"/>
            <w:gridSpan w:val="2"/>
          </w:tcPr>
          <w:p w14:paraId="459BFDD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w:t>
            </w:r>
          </w:p>
          <w:p w14:paraId="5C212AF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金额（万元）</w:t>
            </w:r>
          </w:p>
        </w:tc>
        <w:tc>
          <w:tcPr>
            <w:tcW w:w="2014" w:type="dxa"/>
          </w:tcPr>
          <w:p w14:paraId="2BFB3FB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其他金额（万元）</w:t>
            </w:r>
          </w:p>
        </w:tc>
      </w:tr>
      <w:tr w14:paraId="3312E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5412CA63">
            <w:pPr>
              <w:adjustRightInd w:val="0"/>
              <w:snapToGrid w:val="0"/>
              <w:spacing w:line="360" w:lineRule="auto"/>
              <w:rPr>
                <w:rFonts w:ascii="宋体" w:hAnsi="宋体" w:eastAsia="宋体" w:cs="宋体"/>
                <w:color w:val="auto"/>
                <w:kern w:val="0"/>
                <w:szCs w:val="21"/>
                <w:highlight w:val="none"/>
              </w:rPr>
            </w:pPr>
          </w:p>
        </w:tc>
        <w:tc>
          <w:tcPr>
            <w:tcW w:w="817" w:type="dxa"/>
          </w:tcPr>
          <w:p w14:paraId="748BFDB2">
            <w:pPr>
              <w:adjustRightInd w:val="0"/>
              <w:snapToGrid w:val="0"/>
              <w:spacing w:line="360" w:lineRule="auto"/>
              <w:rPr>
                <w:rFonts w:ascii="宋体" w:hAnsi="宋体" w:eastAsia="宋体" w:cs="宋体"/>
                <w:color w:val="auto"/>
                <w:kern w:val="0"/>
                <w:szCs w:val="21"/>
                <w:highlight w:val="none"/>
              </w:rPr>
            </w:pPr>
          </w:p>
        </w:tc>
        <w:tc>
          <w:tcPr>
            <w:tcW w:w="1125" w:type="dxa"/>
          </w:tcPr>
          <w:p w14:paraId="7EA53302">
            <w:pPr>
              <w:adjustRightInd w:val="0"/>
              <w:snapToGrid w:val="0"/>
              <w:spacing w:line="360" w:lineRule="auto"/>
              <w:rPr>
                <w:rFonts w:ascii="宋体" w:hAnsi="宋体" w:eastAsia="宋体" w:cs="宋体"/>
                <w:color w:val="auto"/>
                <w:kern w:val="0"/>
                <w:szCs w:val="21"/>
                <w:highlight w:val="none"/>
              </w:rPr>
            </w:pPr>
          </w:p>
        </w:tc>
        <w:tc>
          <w:tcPr>
            <w:tcW w:w="1205" w:type="dxa"/>
          </w:tcPr>
          <w:p w14:paraId="59D192F8">
            <w:pPr>
              <w:adjustRightInd w:val="0"/>
              <w:snapToGrid w:val="0"/>
              <w:spacing w:line="360" w:lineRule="auto"/>
              <w:rPr>
                <w:rFonts w:ascii="宋体" w:hAnsi="宋体" w:eastAsia="宋体" w:cs="宋体"/>
                <w:color w:val="auto"/>
                <w:kern w:val="0"/>
                <w:szCs w:val="21"/>
                <w:highlight w:val="none"/>
              </w:rPr>
            </w:pPr>
          </w:p>
        </w:tc>
        <w:tc>
          <w:tcPr>
            <w:tcW w:w="1160" w:type="dxa"/>
          </w:tcPr>
          <w:p w14:paraId="1940D1DB">
            <w:pPr>
              <w:adjustRightInd w:val="0"/>
              <w:snapToGrid w:val="0"/>
              <w:spacing w:line="360" w:lineRule="auto"/>
              <w:rPr>
                <w:rFonts w:ascii="宋体" w:hAnsi="宋体" w:eastAsia="宋体" w:cs="宋体"/>
                <w:color w:val="auto"/>
                <w:kern w:val="0"/>
                <w:szCs w:val="21"/>
                <w:highlight w:val="none"/>
              </w:rPr>
            </w:pPr>
          </w:p>
        </w:tc>
        <w:tc>
          <w:tcPr>
            <w:tcW w:w="1785" w:type="dxa"/>
            <w:gridSpan w:val="2"/>
          </w:tcPr>
          <w:p w14:paraId="3CD08CA0">
            <w:pPr>
              <w:adjustRightInd w:val="0"/>
              <w:snapToGrid w:val="0"/>
              <w:spacing w:line="360" w:lineRule="auto"/>
              <w:rPr>
                <w:rFonts w:ascii="宋体" w:hAnsi="宋体" w:eastAsia="宋体" w:cs="宋体"/>
                <w:color w:val="auto"/>
                <w:kern w:val="0"/>
                <w:szCs w:val="21"/>
                <w:highlight w:val="none"/>
              </w:rPr>
            </w:pPr>
          </w:p>
        </w:tc>
        <w:tc>
          <w:tcPr>
            <w:tcW w:w="2014" w:type="dxa"/>
          </w:tcPr>
          <w:p w14:paraId="56710BB0">
            <w:pPr>
              <w:adjustRightInd w:val="0"/>
              <w:snapToGrid w:val="0"/>
              <w:spacing w:line="360" w:lineRule="auto"/>
              <w:rPr>
                <w:rFonts w:ascii="宋体" w:hAnsi="宋体" w:eastAsia="宋体" w:cs="宋体"/>
                <w:color w:val="auto"/>
                <w:kern w:val="0"/>
                <w:szCs w:val="21"/>
                <w:highlight w:val="none"/>
              </w:rPr>
            </w:pPr>
          </w:p>
        </w:tc>
      </w:tr>
      <w:tr w14:paraId="77C23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574E824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二、指定单位工程报价分析</w:t>
            </w:r>
          </w:p>
        </w:tc>
        <w:tc>
          <w:tcPr>
            <w:tcW w:w="1942" w:type="dxa"/>
            <w:gridSpan w:val="2"/>
            <w:vAlign w:val="center"/>
          </w:tcPr>
          <w:p w14:paraId="665633A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单位工程名称</w:t>
            </w:r>
          </w:p>
        </w:tc>
        <w:tc>
          <w:tcPr>
            <w:tcW w:w="1205" w:type="dxa"/>
            <w:vAlign w:val="center"/>
          </w:tcPr>
          <w:p w14:paraId="2ABB21D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招标控制价</w:t>
            </w:r>
          </w:p>
          <w:p w14:paraId="3EA2BBD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160" w:type="dxa"/>
            <w:vAlign w:val="center"/>
          </w:tcPr>
          <w:p w14:paraId="3E2CBCD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投标价</w:t>
            </w:r>
          </w:p>
          <w:p w14:paraId="086BD32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249" w:type="dxa"/>
            <w:vAlign w:val="center"/>
          </w:tcPr>
          <w:p w14:paraId="306F124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单位工程净下浮率（%）</w:t>
            </w:r>
          </w:p>
        </w:tc>
        <w:tc>
          <w:tcPr>
            <w:tcW w:w="2550" w:type="dxa"/>
            <w:gridSpan w:val="2"/>
            <w:vAlign w:val="center"/>
          </w:tcPr>
          <w:p w14:paraId="6271F31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指定专业工程投标报价偏离度（A=投标总价净下浮率-单位工程净下浮率）</w:t>
            </w:r>
          </w:p>
        </w:tc>
      </w:tr>
      <w:tr w14:paraId="7C10D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4861C7D8">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20430C87">
            <w:pPr>
              <w:adjustRightInd w:val="0"/>
              <w:snapToGrid w:val="0"/>
              <w:spacing w:line="360" w:lineRule="auto"/>
              <w:rPr>
                <w:rFonts w:ascii="宋体" w:hAnsi="宋体" w:eastAsia="宋体" w:cs="宋体"/>
                <w:color w:val="auto"/>
                <w:kern w:val="0"/>
                <w:szCs w:val="21"/>
                <w:highlight w:val="none"/>
              </w:rPr>
            </w:pPr>
          </w:p>
        </w:tc>
        <w:tc>
          <w:tcPr>
            <w:tcW w:w="1205" w:type="dxa"/>
          </w:tcPr>
          <w:p w14:paraId="3754429C">
            <w:pPr>
              <w:adjustRightInd w:val="0"/>
              <w:snapToGrid w:val="0"/>
              <w:spacing w:line="360" w:lineRule="auto"/>
              <w:rPr>
                <w:rFonts w:ascii="宋体" w:hAnsi="宋体" w:eastAsia="宋体" w:cs="宋体"/>
                <w:color w:val="auto"/>
                <w:kern w:val="0"/>
                <w:szCs w:val="21"/>
                <w:highlight w:val="none"/>
              </w:rPr>
            </w:pPr>
          </w:p>
        </w:tc>
        <w:tc>
          <w:tcPr>
            <w:tcW w:w="1160" w:type="dxa"/>
          </w:tcPr>
          <w:p w14:paraId="53B8F12B">
            <w:pPr>
              <w:adjustRightInd w:val="0"/>
              <w:snapToGrid w:val="0"/>
              <w:spacing w:line="360" w:lineRule="auto"/>
              <w:rPr>
                <w:rFonts w:ascii="宋体" w:hAnsi="宋体" w:eastAsia="宋体" w:cs="宋体"/>
                <w:color w:val="auto"/>
                <w:kern w:val="0"/>
                <w:szCs w:val="21"/>
                <w:highlight w:val="none"/>
              </w:rPr>
            </w:pPr>
          </w:p>
        </w:tc>
        <w:tc>
          <w:tcPr>
            <w:tcW w:w="1249" w:type="dxa"/>
          </w:tcPr>
          <w:p w14:paraId="0EC51F71">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6143C973">
            <w:pPr>
              <w:adjustRightInd w:val="0"/>
              <w:snapToGrid w:val="0"/>
              <w:spacing w:line="360" w:lineRule="auto"/>
              <w:rPr>
                <w:rFonts w:ascii="宋体" w:hAnsi="宋体" w:eastAsia="宋体" w:cs="宋体"/>
                <w:color w:val="auto"/>
                <w:kern w:val="0"/>
                <w:szCs w:val="21"/>
                <w:highlight w:val="none"/>
              </w:rPr>
            </w:pPr>
          </w:p>
        </w:tc>
      </w:tr>
      <w:tr w14:paraId="7DEC6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160AB404">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2B7B41D3">
            <w:pPr>
              <w:adjustRightInd w:val="0"/>
              <w:snapToGrid w:val="0"/>
              <w:spacing w:line="360" w:lineRule="auto"/>
              <w:rPr>
                <w:rFonts w:ascii="宋体" w:hAnsi="宋体" w:eastAsia="宋体" w:cs="宋体"/>
                <w:color w:val="auto"/>
                <w:kern w:val="0"/>
                <w:szCs w:val="21"/>
                <w:highlight w:val="none"/>
              </w:rPr>
            </w:pPr>
          </w:p>
        </w:tc>
        <w:tc>
          <w:tcPr>
            <w:tcW w:w="1205" w:type="dxa"/>
          </w:tcPr>
          <w:p w14:paraId="1E23ECDA">
            <w:pPr>
              <w:adjustRightInd w:val="0"/>
              <w:snapToGrid w:val="0"/>
              <w:spacing w:line="360" w:lineRule="auto"/>
              <w:rPr>
                <w:rFonts w:ascii="宋体" w:hAnsi="宋体" w:eastAsia="宋体" w:cs="宋体"/>
                <w:color w:val="auto"/>
                <w:kern w:val="0"/>
                <w:szCs w:val="21"/>
                <w:highlight w:val="none"/>
              </w:rPr>
            </w:pPr>
          </w:p>
        </w:tc>
        <w:tc>
          <w:tcPr>
            <w:tcW w:w="1160" w:type="dxa"/>
          </w:tcPr>
          <w:p w14:paraId="39C03C95">
            <w:pPr>
              <w:adjustRightInd w:val="0"/>
              <w:snapToGrid w:val="0"/>
              <w:spacing w:line="360" w:lineRule="auto"/>
              <w:rPr>
                <w:rFonts w:ascii="宋体" w:hAnsi="宋体" w:eastAsia="宋体" w:cs="宋体"/>
                <w:color w:val="auto"/>
                <w:kern w:val="0"/>
                <w:szCs w:val="21"/>
                <w:highlight w:val="none"/>
              </w:rPr>
            </w:pPr>
          </w:p>
        </w:tc>
        <w:tc>
          <w:tcPr>
            <w:tcW w:w="1249" w:type="dxa"/>
          </w:tcPr>
          <w:p w14:paraId="633C0880">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565D0103">
            <w:pPr>
              <w:adjustRightInd w:val="0"/>
              <w:snapToGrid w:val="0"/>
              <w:spacing w:line="360" w:lineRule="auto"/>
              <w:rPr>
                <w:rFonts w:ascii="宋体" w:hAnsi="宋体" w:eastAsia="宋体" w:cs="宋体"/>
                <w:color w:val="auto"/>
                <w:kern w:val="0"/>
                <w:szCs w:val="21"/>
                <w:highlight w:val="none"/>
              </w:rPr>
            </w:pPr>
          </w:p>
        </w:tc>
      </w:tr>
      <w:tr w14:paraId="53108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166C259D">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三、清单子目招标控制价超过</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万元报价分析</w:t>
            </w:r>
          </w:p>
          <w:p w14:paraId="6F7961E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（列出B≥±</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%的清单项）</w:t>
            </w:r>
          </w:p>
          <w:p w14:paraId="350D3D22">
            <w:pPr>
              <w:adjustRightInd w:val="0"/>
              <w:snapToGrid w:val="0"/>
              <w:spacing w:line="360" w:lineRule="auto"/>
              <w:jc w:val="center"/>
              <w:rPr>
                <w:rFonts w:ascii="宋体" w:hAnsi="宋体" w:eastAsia="宋体" w:cs="宋体"/>
                <w:color w:val="auto"/>
                <w:kern w:val="0"/>
                <w:szCs w:val="21"/>
                <w:highlight w:val="none"/>
              </w:rPr>
            </w:pPr>
          </w:p>
        </w:tc>
        <w:tc>
          <w:tcPr>
            <w:tcW w:w="1942" w:type="dxa"/>
            <w:gridSpan w:val="2"/>
            <w:vAlign w:val="center"/>
          </w:tcPr>
          <w:p w14:paraId="42BD866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清单子目编号及工程名称</w:t>
            </w:r>
          </w:p>
        </w:tc>
        <w:tc>
          <w:tcPr>
            <w:tcW w:w="1205" w:type="dxa"/>
            <w:vAlign w:val="center"/>
          </w:tcPr>
          <w:p w14:paraId="7153198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招标控制价</w:t>
            </w:r>
          </w:p>
          <w:p w14:paraId="794EB9A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160" w:type="dxa"/>
            <w:vAlign w:val="center"/>
          </w:tcPr>
          <w:p w14:paraId="18C4BFE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投标价</w:t>
            </w:r>
          </w:p>
          <w:p w14:paraId="16B36BC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249" w:type="dxa"/>
            <w:vAlign w:val="center"/>
          </w:tcPr>
          <w:p w14:paraId="4FA0D7C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下浮率（%）</w:t>
            </w:r>
          </w:p>
        </w:tc>
        <w:tc>
          <w:tcPr>
            <w:tcW w:w="2550" w:type="dxa"/>
            <w:gridSpan w:val="2"/>
            <w:vAlign w:val="center"/>
          </w:tcPr>
          <w:p w14:paraId="0CD3024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清单子目投标报价偏离度（B=投标总价净下浮率-清单子目报价相对招标控制价下浮率）</w:t>
            </w:r>
          </w:p>
        </w:tc>
      </w:tr>
      <w:tr w14:paraId="51428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183" w:type="dxa"/>
            <w:vMerge w:val="continue"/>
          </w:tcPr>
          <w:p w14:paraId="63A4C31D">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748BB263">
            <w:pPr>
              <w:adjustRightInd w:val="0"/>
              <w:snapToGrid w:val="0"/>
              <w:spacing w:line="360" w:lineRule="auto"/>
              <w:rPr>
                <w:rFonts w:ascii="宋体" w:hAnsi="宋体" w:eastAsia="宋体" w:cs="宋体"/>
                <w:color w:val="auto"/>
                <w:kern w:val="0"/>
                <w:szCs w:val="21"/>
                <w:highlight w:val="none"/>
              </w:rPr>
            </w:pPr>
          </w:p>
        </w:tc>
        <w:tc>
          <w:tcPr>
            <w:tcW w:w="1205" w:type="dxa"/>
          </w:tcPr>
          <w:p w14:paraId="5D15221F">
            <w:pPr>
              <w:adjustRightInd w:val="0"/>
              <w:snapToGrid w:val="0"/>
              <w:spacing w:line="360" w:lineRule="auto"/>
              <w:rPr>
                <w:rFonts w:ascii="宋体" w:hAnsi="宋体" w:eastAsia="宋体" w:cs="宋体"/>
                <w:color w:val="auto"/>
                <w:kern w:val="0"/>
                <w:szCs w:val="21"/>
                <w:highlight w:val="none"/>
              </w:rPr>
            </w:pPr>
          </w:p>
        </w:tc>
        <w:tc>
          <w:tcPr>
            <w:tcW w:w="1160" w:type="dxa"/>
          </w:tcPr>
          <w:p w14:paraId="65182681">
            <w:pPr>
              <w:adjustRightInd w:val="0"/>
              <w:snapToGrid w:val="0"/>
              <w:spacing w:line="360" w:lineRule="auto"/>
              <w:rPr>
                <w:rFonts w:ascii="宋体" w:hAnsi="宋体" w:eastAsia="宋体" w:cs="宋体"/>
                <w:color w:val="auto"/>
                <w:kern w:val="0"/>
                <w:szCs w:val="21"/>
                <w:highlight w:val="none"/>
              </w:rPr>
            </w:pPr>
          </w:p>
        </w:tc>
        <w:tc>
          <w:tcPr>
            <w:tcW w:w="1249" w:type="dxa"/>
          </w:tcPr>
          <w:p w14:paraId="23AA6C91">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4DC8BA51">
            <w:pPr>
              <w:adjustRightInd w:val="0"/>
              <w:snapToGrid w:val="0"/>
              <w:spacing w:line="360" w:lineRule="auto"/>
              <w:rPr>
                <w:rFonts w:ascii="宋体" w:hAnsi="宋体" w:eastAsia="宋体" w:cs="宋体"/>
                <w:color w:val="auto"/>
                <w:kern w:val="0"/>
                <w:szCs w:val="21"/>
                <w:highlight w:val="none"/>
              </w:rPr>
            </w:pPr>
          </w:p>
        </w:tc>
      </w:tr>
      <w:tr w14:paraId="2AC6B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183" w:type="dxa"/>
            <w:vMerge w:val="continue"/>
          </w:tcPr>
          <w:p w14:paraId="600DD370">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14397EC0">
            <w:pPr>
              <w:adjustRightInd w:val="0"/>
              <w:snapToGrid w:val="0"/>
              <w:spacing w:line="360" w:lineRule="auto"/>
              <w:rPr>
                <w:rFonts w:ascii="宋体" w:hAnsi="宋体" w:eastAsia="宋体" w:cs="宋体"/>
                <w:color w:val="auto"/>
                <w:kern w:val="0"/>
                <w:szCs w:val="21"/>
                <w:highlight w:val="none"/>
              </w:rPr>
            </w:pPr>
          </w:p>
        </w:tc>
        <w:tc>
          <w:tcPr>
            <w:tcW w:w="1205" w:type="dxa"/>
          </w:tcPr>
          <w:p w14:paraId="675166C4">
            <w:pPr>
              <w:adjustRightInd w:val="0"/>
              <w:snapToGrid w:val="0"/>
              <w:spacing w:line="360" w:lineRule="auto"/>
              <w:rPr>
                <w:rFonts w:ascii="宋体" w:hAnsi="宋体" w:eastAsia="宋体" w:cs="宋体"/>
                <w:color w:val="auto"/>
                <w:kern w:val="0"/>
                <w:szCs w:val="21"/>
                <w:highlight w:val="none"/>
              </w:rPr>
            </w:pPr>
          </w:p>
        </w:tc>
        <w:tc>
          <w:tcPr>
            <w:tcW w:w="1160" w:type="dxa"/>
          </w:tcPr>
          <w:p w14:paraId="22AC826D">
            <w:pPr>
              <w:adjustRightInd w:val="0"/>
              <w:snapToGrid w:val="0"/>
              <w:spacing w:line="360" w:lineRule="auto"/>
              <w:rPr>
                <w:rFonts w:ascii="宋体" w:hAnsi="宋体" w:eastAsia="宋体" w:cs="宋体"/>
                <w:color w:val="auto"/>
                <w:kern w:val="0"/>
                <w:szCs w:val="21"/>
                <w:highlight w:val="none"/>
              </w:rPr>
            </w:pPr>
          </w:p>
        </w:tc>
        <w:tc>
          <w:tcPr>
            <w:tcW w:w="1249" w:type="dxa"/>
          </w:tcPr>
          <w:p w14:paraId="5E71093B">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1DAA46C1">
            <w:pPr>
              <w:adjustRightInd w:val="0"/>
              <w:snapToGrid w:val="0"/>
              <w:spacing w:line="360" w:lineRule="auto"/>
              <w:rPr>
                <w:rFonts w:ascii="宋体" w:hAnsi="宋体" w:eastAsia="宋体" w:cs="宋体"/>
                <w:color w:val="auto"/>
                <w:kern w:val="0"/>
                <w:szCs w:val="21"/>
                <w:highlight w:val="none"/>
              </w:rPr>
            </w:pPr>
          </w:p>
        </w:tc>
      </w:tr>
      <w:tr w14:paraId="60ACB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3" w:type="dxa"/>
            <w:vMerge w:val="continue"/>
          </w:tcPr>
          <w:p w14:paraId="492E654C">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6361DA9D">
            <w:pPr>
              <w:adjustRightInd w:val="0"/>
              <w:snapToGrid w:val="0"/>
              <w:spacing w:line="360" w:lineRule="auto"/>
              <w:rPr>
                <w:rFonts w:ascii="宋体" w:hAnsi="宋体" w:eastAsia="宋体" w:cs="宋体"/>
                <w:color w:val="auto"/>
                <w:kern w:val="0"/>
                <w:szCs w:val="21"/>
                <w:highlight w:val="none"/>
              </w:rPr>
            </w:pPr>
          </w:p>
        </w:tc>
        <w:tc>
          <w:tcPr>
            <w:tcW w:w="1205" w:type="dxa"/>
          </w:tcPr>
          <w:p w14:paraId="27FF2FDC">
            <w:pPr>
              <w:adjustRightInd w:val="0"/>
              <w:snapToGrid w:val="0"/>
              <w:spacing w:line="360" w:lineRule="auto"/>
              <w:rPr>
                <w:rFonts w:ascii="宋体" w:hAnsi="宋体" w:eastAsia="宋体" w:cs="宋体"/>
                <w:color w:val="auto"/>
                <w:kern w:val="0"/>
                <w:szCs w:val="21"/>
                <w:highlight w:val="none"/>
              </w:rPr>
            </w:pPr>
          </w:p>
        </w:tc>
        <w:tc>
          <w:tcPr>
            <w:tcW w:w="1160" w:type="dxa"/>
          </w:tcPr>
          <w:p w14:paraId="69ECC699">
            <w:pPr>
              <w:adjustRightInd w:val="0"/>
              <w:snapToGrid w:val="0"/>
              <w:spacing w:line="360" w:lineRule="auto"/>
              <w:rPr>
                <w:rFonts w:ascii="宋体" w:hAnsi="宋体" w:eastAsia="宋体" w:cs="宋体"/>
                <w:color w:val="auto"/>
                <w:kern w:val="0"/>
                <w:szCs w:val="21"/>
                <w:highlight w:val="none"/>
              </w:rPr>
            </w:pPr>
          </w:p>
        </w:tc>
        <w:tc>
          <w:tcPr>
            <w:tcW w:w="1249" w:type="dxa"/>
          </w:tcPr>
          <w:p w14:paraId="1933A49E">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40F2D8D6">
            <w:pPr>
              <w:adjustRightInd w:val="0"/>
              <w:snapToGrid w:val="0"/>
              <w:spacing w:line="360" w:lineRule="auto"/>
              <w:rPr>
                <w:rFonts w:ascii="宋体" w:hAnsi="宋体" w:eastAsia="宋体" w:cs="宋体"/>
                <w:color w:val="auto"/>
                <w:kern w:val="0"/>
                <w:szCs w:val="21"/>
                <w:highlight w:val="none"/>
              </w:rPr>
            </w:pPr>
          </w:p>
        </w:tc>
      </w:tr>
      <w:tr w14:paraId="3C19B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24B56F6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四、措施项目费合计的异常报价分析</w:t>
            </w:r>
          </w:p>
        </w:tc>
        <w:tc>
          <w:tcPr>
            <w:tcW w:w="1942" w:type="dxa"/>
            <w:gridSpan w:val="2"/>
            <w:vAlign w:val="center"/>
          </w:tcPr>
          <w:p w14:paraId="48F31E3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措施项目费投标价合计（元）</w:t>
            </w:r>
          </w:p>
        </w:tc>
        <w:tc>
          <w:tcPr>
            <w:tcW w:w="1205" w:type="dxa"/>
            <w:vAlign w:val="center"/>
          </w:tcPr>
          <w:p w14:paraId="4EECEF9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招标控制价合计（元）</w:t>
            </w:r>
          </w:p>
        </w:tc>
        <w:tc>
          <w:tcPr>
            <w:tcW w:w="1160" w:type="dxa"/>
            <w:vAlign w:val="center"/>
          </w:tcPr>
          <w:p w14:paraId="7073A26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下浮率（%）</w:t>
            </w:r>
          </w:p>
        </w:tc>
        <w:tc>
          <w:tcPr>
            <w:tcW w:w="3799" w:type="dxa"/>
            <w:gridSpan w:val="3"/>
            <w:vAlign w:val="center"/>
          </w:tcPr>
          <w:p w14:paraId="62F266C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措施项目投标报价偏离度（C=投标总价净下浮率-措施项目费相对招标控制价下浮率）</w:t>
            </w:r>
          </w:p>
        </w:tc>
      </w:tr>
      <w:tr w14:paraId="52CE8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06DE0494">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70909170">
            <w:pPr>
              <w:adjustRightInd w:val="0"/>
              <w:snapToGrid w:val="0"/>
              <w:spacing w:line="360" w:lineRule="auto"/>
              <w:rPr>
                <w:rFonts w:ascii="宋体" w:hAnsi="宋体" w:eastAsia="宋体" w:cs="宋体"/>
                <w:color w:val="auto"/>
                <w:kern w:val="0"/>
                <w:szCs w:val="21"/>
                <w:highlight w:val="none"/>
              </w:rPr>
            </w:pPr>
          </w:p>
        </w:tc>
        <w:tc>
          <w:tcPr>
            <w:tcW w:w="1205" w:type="dxa"/>
          </w:tcPr>
          <w:p w14:paraId="15DC4B7A">
            <w:pPr>
              <w:adjustRightInd w:val="0"/>
              <w:snapToGrid w:val="0"/>
              <w:spacing w:line="360" w:lineRule="auto"/>
              <w:rPr>
                <w:rFonts w:ascii="宋体" w:hAnsi="宋体" w:eastAsia="宋体" w:cs="宋体"/>
                <w:color w:val="auto"/>
                <w:kern w:val="0"/>
                <w:szCs w:val="21"/>
                <w:highlight w:val="none"/>
              </w:rPr>
            </w:pPr>
          </w:p>
        </w:tc>
        <w:tc>
          <w:tcPr>
            <w:tcW w:w="1160" w:type="dxa"/>
          </w:tcPr>
          <w:p w14:paraId="4AE5FCB9">
            <w:pPr>
              <w:adjustRightInd w:val="0"/>
              <w:snapToGrid w:val="0"/>
              <w:spacing w:line="360" w:lineRule="auto"/>
              <w:rPr>
                <w:rFonts w:ascii="宋体" w:hAnsi="宋体" w:eastAsia="宋体" w:cs="宋体"/>
                <w:color w:val="auto"/>
                <w:kern w:val="0"/>
                <w:szCs w:val="21"/>
                <w:highlight w:val="none"/>
              </w:rPr>
            </w:pPr>
          </w:p>
        </w:tc>
        <w:tc>
          <w:tcPr>
            <w:tcW w:w="1249" w:type="dxa"/>
          </w:tcPr>
          <w:p w14:paraId="3A11808E">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14B67597">
            <w:pPr>
              <w:adjustRightInd w:val="0"/>
              <w:snapToGrid w:val="0"/>
              <w:spacing w:line="360" w:lineRule="auto"/>
              <w:rPr>
                <w:rFonts w:ascii="宋体" w:hAnsi="宋体" w:eastAsia="宋体" w:cs="宋体"/>
                <w:color w:val="auto"/>
                <w:kern w:val="0"/>
                <w:szCs w:val="21"/>
                <w:highlight w:val="none"/>
              </w:rPr>
            </w:pPr>
          </w:p>
        </w:tc>
      </w:tr>
      <w:tr w14:paraId="31426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3" w:type="dxa"/>
          </w:tcPr>
          <w:p w14:paraId="67078BF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五、其他报价问题以及对合同签订、履行过程中的风险警示</w:t>
            </w:r>
          </w:p>
        </w:tc>
        <w:tc>
          <w:tcPr>
            <w:tcW w:w="8106" w:type="dxa"/>
            <w:gridSpan w:val="7"/>
          </w:tcPr>
          <w:p w14:paraId="7B9FEF0B">
            <w:pPr>
              <w:adjustRightInd w:val="0"/>
              <w:snapToGrid w:val="0"/>
              <w:spacing w:line="360" w:lineRule="auto"/>
              <w:rPr>
                <w:rFonts w:ascii="宋体" w:hAnsi="宋体" w:eastAsia="宋体" w:cs="宋体"/>
                <w:color w:val="auto"/>
                <w:kern w:val="0"/>
                <w:szCs w:val="21"/>
                <w:highlight w:val="none"/>
              </w:rPr>
            </w:pPr>
          </w:p>
          <w:p w14:paraId="359D201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投标文件商务标还存在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等其他报价问题，并对合同签订、履行过程中的风险提出如下警示：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2C64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tcPr>
          <w:p w14:paraId="232D896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六、评审结论</w:t>
            </w:r>
          </w:p>
        </w:tc>
        <w:tc>
          <w:tcPr>
            <w:tcW w:w="8106" w:type="dxa"/>
            <w:gridSpan w:val="7"/>
          </w:tcPr>
          <w:p w14:paraId="35F08AA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□合格       □不合格</w:t>
            </w:r>
          </w:p>
        </w:tc>
      </w:tr>
    </w:tbl>
    <w:p w14:paraId="63C4369E">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评标专家：                               评标日期：    年   月   日</w:t>
      </w:r>
    </w:p>
    <w:p w14:paraId="3553AB82">
      <w:pPr>
        <w:adjustRightInd w:val="0"/>
        <w:snapToGrid w:val="0"/>
        <w:spacing w:line="360" w:lineRule="auto"/>
        <w:ind w:firstLine="420" w:firstLineChars="200"/>
        <w:rPr>
          <w:rFonts w:ascii="宋体" w:hAnsi="宋体" w:eastAsia="宋体" w:cs="宋体"/>
          <w:color w:val="auto"/>
          <w:szCs w:val="21"/>
          <w:highlight w:val="none"/>
        </w:rPr>
      </w:pPr>
    </w:p>
    <w:p w14:paraId="69E909CF">
      <w:pPr>
        <w:adjustRightInd w:val="0"/>
        <w:snapToGrid w:val="0"/>
        <w:spacing w:line="360" w:lineRule="auto"/>
        <w:jc w:val="center"/>
        <w:rPr>
          <w:rFonts w:ascii="宋体" w:hAnsi="宋体" w:eastAsia="宋体" w:cs="宋体"/>
          <w:b/>
          <w:color w:val="auto"/>
          <w:sz w:val="30"/>
          <w:szCs w:val="30"/>
          <w:highlight w:val="none"/>
        </w:rPr>
      </w:pPr>
      <w:bookmarkStart w:id="62" w:name="定性评审法"/>
      <w:r>
        <w:rPr>
          <w:rFonts w:hint="eastAsia" w:ascii="宋体" w:hAnsi="宋体" w:eastAsia="宋体" w:cs="宋体"/>
          <w:b/>
          <w:color w:val="auto"/>
          <w:sz w:val="30"/>
          <w:szCs w:val="30"/>
          <w:highlight w:val="none"/>
        </w:rPr>
        <w:t>技术标定性评审表</w:t>
      </w:r>
    </w:p>
    <w:p w14:paraId="11FDE2E0">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color w:val="auto"/>
          <w:szCs w:val="21"/>
          <w:highlight w:val="none"/>
        </w:rPr>
        <w:t>标段名称：                                       投标单位：</w:t>
      </w:r>
    </w:p>
    <w:tbl>
      <w:tblPr>
        <w:tblStyle w:val="41"/>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4"/>
        <w:gridCol w:w="1700"/>
        <w:gridCol w:w="1274"/>
        <w:gridCol w:w="4209"/>
      </w:tblGrid>
      <w:tr w14:paraId="1F156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5" w:type="dxa"/>
            <w:shd w:val="clear" w:color="auto" w:fill="auto"/>
            <w:vAlign w:val="center"/>
          </w:tcPr>
          <w:p w14:paraId="07CFD70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694" w:type="dxa"/>
            <w:shd w:val="clear" w:color="auto" w:fill="auto"/>
            <w:vAlign w:val="center"/>
          </w:tcPr>
          <w:p w14:paraId="4E9E3AE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0" w:type="dxa"/>
            <w:shd w:val="clear" w:color="auto" w:fill="auto"/>
            <w:vAlign w:val="center"/>
          </w:tcPr>
          <w:p w14:paraId="37BBB94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274" w:type="dxa"/>
            <w:shd w:val="clear" w:color="auto" w:fill="auto"/>
            <w:vAlign w:val="center"/>
          </w:tcPr>
          <w:p w14:paraId="2508EE8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4209" w:type="dxa"/>
            <w:shd w:val="clear" w:color="auto" w:fill="auto"/>
            <w:vAlign w:val="center"/>
          </w:tcPr>
          <w:p w14:paraId="7847AC3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3689C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0278FAD4">
            <w:pPr>
              <w:adjustRightInd w:val="0"/>
              <w:snapToGrid w:val="0"/>
              <w:spacing w:line="360" w:lineRule="auto"/>
              <w:jc w:val="center"/>
              <w:rPr>
                <w:rFonts w:ascii="宋体" w:hAnsi="宋体" w:eastAsia="宋体" w:cs="宋体"/>
                <w:color w:val="auto"/>
                <w:kern w:val="0"/>
                <w:szCs w:val="21"/>
                <w:highlight w:val="none"/>
              </w:rPr>
            </w:pPr>
            <w:bookmarkStart w:id="63" w:name="定性评审法2" w:colFirst="0" w:colLast="0"/>
          </w:p>
        </w:tc>
        <w:tc>
          <w:tcPr>
            <w:tcW w:w="1694" w:type="dxa"/>
            <w:shd w:val="clear" w:color="auto" w:fill="auto"/>
            <w:vAlign w:val="center"/>
          </w:tcPr>
          <w:p w14:paraId="4BEA9B7C">
            <w:pPr>
              <w:adjustRightInd w:val="0"/>
              <w:snapToGrid w:val="0"/>
              <w:spacing w:line="360" w:lineRule="auto"/>
              <w:jc w:val="left"/>
              <w:rPr>
                <w:rFonts w:ascii="宋体" w:hAnsi="宋体" w:eastAsia="宋体" w:cs="宋体"/>
                <w:color w:val="auto"/>
                <w:kern w:val="0"/>
                <w:szCs w:val="21"/>
                <w:highlight w:val="none"/>
              </w:rPr>
            </w:pPr>
          </w:p>
        </w:tc>
        <w:tc>
          <w:tcPr>
            <w:tcW w:w="1700" w:type="dxa"/>
            <w:shd w:val="clear" w:color="auto" w:fill="auto"/>
            <w:vAlign w:val="center"/>
          </w:tcPr>
          <w:p w14:paraId="72CE78F2">
            <w:pPr>
              <w:adjustRightInd w:val="0"/>
              <w:snapToGrid w:val="0"/>
              <w:spacing w:line="360" w:lineRule="auto"/>
              <w:jc w:val="left"/>
              <w:rPr>
                <w:rFonts w:ascii="宋体" w:hAnsi="宋体" w:eastAsia="宋体" w:cs="宋体"/>
                <w:color w:val="auto"/>
                <w:kern w:val="0"/>
                <w:szCs w:val="21"/>
                <w:highlight w:val="none"/>
              </w:rPr>
            </w:pPr>
          </w:p>
        </w:tc>
        <w:tc>
          <w:tcPr>
            <w:tcW w:w="1274" w:type="dxa"/>
            <w:shd w:val="clear" w:color="auto" w:fill="auto"/>
            <w:vAlign w:val="center"/>
          </w:tcPr>
          <w:p w14:paraId="454C034D">
            <w:pPr>
              <w:adjustRightInd w:val="0"/>
              <w:snapToGrid w:val="0"/>
              <w:spacing w:line="360" w:lineRule="auto"/>
              <w:jc w:val="left"/>
              <w:rPr>
                <w:rFonts w:ascii="宋体" w:hAnsi="宋体" w:eastAsia="宋体" w:cs="宋体"/>
                <w:color w:val="auto"/>
                <w:kern w:val="0"/>
                <w:szCs w:val="21"/>
                <w:highlight w:val="none"/>
              </w:rPr>
            </w:pPr>
          </w:p>
        </w:tc>
        <w:tc>
          <w:tcPr>
            <w:tcW w:w="4209" w:type="dxa"/>
            <w:shd w:val="clear" w:color="auto" w:fill="auto"/>
            <w:vAlign w:val="center"/>
          </w:tcPr>
          <w:p w14:paraId="3EF2BB97">
            <w:pPr>
              <w:adjustRightInd w:val="0"/>
              <w:snapToGrid w:val="0"/>
              <w:spacing w:line="360" w:lineRule="auto"/>
              <w:jc w:val="center"/>
              <w:rPr>
                <w:rFonts w:ascii="宋体" w:hAnsi="宋体" w:eastAsia="宋体" w:cs="宋体"/>
                <w:color w:val="auto"/>
                <w:kern w:val="0"/>
                <w:szCs w:val="21"/>
                <w:highlight w:val="none"/>
              </w:rPr>
            </w:pPr>
          </w:p>
        </w:tc>
      </w:tr>
      <w:bookmarkEnd w:id="63"/>
      <w:tr w14:paraId="37C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2" w:type="dxa"/>
            <w:gridSpan w:val="5"/>
            <w:shd w:val="clear" w:color="auto" w:fill="auto"/>
            <w:vAlign w:val="center"/>
          </w:tcPr>
          <w:p w14:paraId="7CA116B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461B42EB">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评标专家：                           评标日期：    年  月  日</w:t>
      </w:r>
    </w:p>
    <w:p w14:paraId="4C65EEB7">
      <w:pPr>
        <w:adjustRightInd w:val="0"/>
        <w:snapToGrid w:val="0"/>
        <w:spacing w:line="360" w:lineRule="auto"/>
        <w:rPr>
          <w:rFonts w:ascii="宋体" w:hAnsi="宋体" w:eastAsia="宋体" w:cs="宋体"/>
          <w:b/>
          <w:color w:val="auto"/>
          <w:szCs w:val="21"/>
          <w:highlight w:val="none"/>
        </w:rPr>
      </w:pPr>
    </w:p>
    <w:p w14:paraId="2073E96B">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14:paraId="23C6148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14:paraId="66D3DD8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2、指出各评审项的优点、存在缺陷或签订合同前应注意和澄清事项；</w:t>
      </w:r>
    </w:p>
    <w:p w14:paraId="02901F5D">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p w14:paraId="1BC5B6AF">
      <w:pPr>
        <w:adjustRightInd w:val="0"/>
        <w:snapToGrid w:val="0"/>
        <w:spacing w:line="360" w:lineRule="auto"/>
        <w:ind w:firstLine="420" w:firstLineChars="200"/>
        <w:rPr>
          <w:rFonts w:ascii="宋体" w:hAnsi="宋体" w:eastAsia="宋体" w:cs="宋体"/>
          <w:color w:val="auto"/>
          <w:szCs w:val="21"/>
          <w:highlight w:val="none"/>
        </w:rPr>
      </w:pPr>
    </w:p>
    <w:p w14:paraId="03DB5C42">
      <w:pPr>
        <w:adjustRightInd w:val="0"/>
        <w:snapToGrid w:val="0"/>
        <w:spacing w:line="360" w:lineRule="auto"/>
        <w:jc w:val="center"/>
        <w:rPr>
          <w:b/>
          <w:color w:val="auto"/>
          <w:sz w:val="28"/>
          <w:szCs w:val="28"/>
          <w:highlight w:val="none"/>
        </w:rPr>
      </w:pPr>
      <w:r>
        <w:rPr>
          <w:rFonts w:hint="eastAsia"/>
          <w:b/>
          <w:color w:val="auto"/>
          <w:sz w:val="28"/>
          <w:szCs w:val="28"/>
          <w:highlight w:val="none"/>
        </w:rPr>
        <w:t>BIM标定性评审表（仅供参考）</w:t>
      </w:r>
    </w:p>
    <w:p w14:paraId="31C09C5D">
      <w:pPr>
        <w:adjustRightInd w:val="0"/>
        <w:snapToGrid w:val="0"/>
        <w:spacing w:line="360" w:lineRule="auto"/>
        <w:rPr>
          <w:b/>
          <w:color w:val="auto"/>
          <w:szCs w:val="21"/>
          <w:highlight w:val="none"/>
        </w:rPr>
      </w:pPr>
      <w:r>
        <w:rPr>
          <w:rFonts w:hint="eastAsia"/>
          <w:color w:val="auto"/>
          <w:szCs w:val="21"/>
          <w:highlight w:val="none"/>
        </w:rPr>
        <w:t>标段名称：</w:t>
      </w:r>
      <w:r>
        <w:rPr>
          <w:color w:val="auto"/>
          <w:szCs w:val="21"/>
          <w:highlight w:val="none"/>
        </w:rPr>
        <w:t xml:space="preserve">                 </w:t>
      </w:r>
      <w:r>
        <w:rPr>
          <w:rFonts w:hint="eastAsia"/>
          <w:color w:val="auto"/>
          <w:szCs w:val="21"/>
          <w:highlight w:val="none"/>
        </w:rPr>
        <w:t xml:space="preserve"> </w:t>
      </w:r>
      <w:r>
        <w:rPr>
          <w:color w:val="auto"/>
          <w:szCs w:val="21"/>
          <w:highlight w:val="none"/>
        </w:rPr>
        <w:t xml:space="preserve">                     </w:t>
      </w:r>
      <w:r>
        <w:rPr>
          <w:rFonts w:hint="eastAsia"/>
          <w:color w:val="auto"/>
          <w:szCs w:val="21"/>
          <w:highlight w:val="none"/>
        </w:rPr>
        <w:t>投标单位：</w:t>
      </w:r>
    </w:p>
    <w:tbl>
      <w:tblPr>
        <w:tblStyle w:val="41"/>
        <w:tblW w:w="9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5"/>
        <w:gridCol w:w="4370"/>
        <w:gridCol w:w="528"/>
        <w:gridCol w:w="2285"/>
      </w:tblGrid>
      <w:tr w14:paraId="25669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vAlign w:val="center"/>
          </w:tcPr>
          <w:p w14:paraId="2C26C529">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695" w:type="dxa"/>
            <w:vAlign w:val="center"/>
          </w:tcPr>
          <w:p w14:paraId="387FC07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评审项目</w:t>
            </w:r>
          </w:p>
        </w:tc>
        <w:tc>
          <w:tcPr>
            <w:tcW w:w="4370" w:type="dxa"/>
            <w:vAlign w:val="center"/>
          </w:tcPr>
          <w:p w14:paraId="65B5BEF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评审内容</w:t>
            </w:r>
          </w:p>
        </w:tc>
        <w:tc>
          <w:tcPr>
            <w:tcW w:w="528" w:type="dxa"/>
            <w:vAlign w:val="center"/>
          </w:tcPr>
          <w:p w14:paraId="09DCB0AF">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优点</w:t>
            </w:r>
          </w:p>
        </w:tc>
        <w:tc>
          <w:tcPr>
            <w:tcW w:w="2285" w:type="dxa"/>
            <w:vAlign w:val="center"/>
          </w:tcPr>
          <w:p w14:paraId="69527A94">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存在缺陷或签订合同前应注意和澄清事项</w:t>
            </w:r>
          </w:p>
        </w:tc>
      </w:tr>
      <w:tr w14:paraId="2960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0E5DB038">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695" w:type="dxa"/>
            <w:vAlign w:val="center"/>
          </w:tcPr>
          <w:p w14:paraId="30788E4F">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BIM实施方案</w:t>
            </w:r>
          </w:p>
        </w:tc>
        <w:tc>
          <w:tcPr>
            <w:tcW w:w="4370" w:type="dxa"/>
            <w:vAlign w:val="center"/>
          </w:tcPr>
          <w:p w14:paraId="4F92EA78">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投标人BIM综合应用能力情况</w:t>
            </w:r>
          </w:p>
        </w:tc>
        <w:tc>
          <w:tcPr>
            <w:tcW w:w="528" w:type="dxa"/>
            <w:vAlign w:val="center"/>
          </w:tcPr>
          <w:p w14:paraId="04B453DD">
            <w:pPr>
              <w:rPr>
                <w:rFonts w:ascii="宋体" w:hAnsi="宋体" w:eastAsia="宋体" w:cs="宋体"/>
                <w:color w:val="auto"/>
                <w:szCs w:val="21"/>
                <w:highlight w:val="none"/>
              </w:rPr>
            </w:pPr>
          </w:p>
        </w:tc>
        <w:tc>
          <w:tcPr>
            <w:tcW w:w="2285" w:type="dxa"/>
            <w:vAlign w:val="center"/>
          </w:tcPr>
          <w:p w14:paraId="5CCD8B60">
            <w:pPr>
              <w:rPr>
                <w:rFonts w:ascii="宋体" w:hAnsi="宋体" w:eastAsia="宋体" w:cs="宋体"/>
                <w:color w:val="auto"/>
                <w:szCs w:val="21"/>
                <w:highlight w:val="none"/>
              </w:rPr>
            </w:pPr>
          </w:p>
        </w:tc>
      </w:tr>
      <w:tr w14:paraId="11BC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1863E9CF">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695" w:type="dxa"/>
            <w:vAlign w:val="center"/>
          </w:tcPr>
          <w:p w14:paraId="79827A36">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模型评审</w:t>
            </w:r>
          </w:p>
        </w:tc>
        <w:tc>
          <w:tcPr>
            <w:tcW w:w="4370" w:type="dxa"/>
            <w:vAlign w:val="center"/>
          </w:tcPr>
          <w:p w14:paraId="7ADC1F72">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投标人对图纸的理解程度和BIM建模范围、精度情况</w:t>
            </w:r>
          </w:p>
        </w:tc>
        <w:tc>
          <w:tcPr>
            <w:tcW w:w="528" w:type="dxa"/>
            <w:vAlign w:val="center"/>
          </w:tcPr>
          <w:p w14:paraId="6B5EE7B0">
            <w:pPr>
              <w:rPr>
                <w:rFonts w:ascii="宋体" w:hAnsi="宋体" w:eastAsia="宋体" w:cs="宋体"/>
                <w:color w:val="auto"/>
                <w:szCs w:val="21"/>
                <w:highlight w:val="none"/>
              </w:rPr>
            </w:pPr>
          </w:p>
        </w:tc>
        <w:tc>
          <w:tcPr>
            <w:tcW w:w="2285" w:type="dxa"/>
            <w:vAlign w:val="center"/>
          </w:tcPr>
          <w:p w14:paraId="57BEA9FE">
            <w:pPr>
              <w:rPr>
                <w:rFonts w:ascii="宋体" w:hAnsi="宋体" w:eastAsia="宋体" w:cs="宋体"/>
                <w:color w:val="auto"/>
                <w:szCs w:val="21"/>
                <w:highlight w:val="none"/>
              </w:rPr>
            </w:pPr>
          </w:p>
        </w:tc>
      </w:tr>
      <w:tr w14:paraId="11B2C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4FBC9120">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1695" w:type="dxa"/>
            <w:vAlign w:val="center"/>
          </w:tcPr>
          <w:p w14:paraId="354002EE">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进度评审</w:t>
            </w:r>
          </w:p>
        </w:tc>
        <w:tc>
          <w:tcPr>
            <w:tcW w:w="4370" w:type="dxa"/>
            <w:vAlign w:val="center"/>
          </w:tcPr>
          <w:p w14:paraId="664DDC0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投标人施工组织安排的合理性和科学性情况</w:t>
            </w:r>
          </w:p>
        </w:tc>
        <w:tc>
          <w:tcPr>
            <w:tcW w:w="528" w:type="dxa"/>
            <w:vAlign w:val="center"/>
          </w:tcPr>
          <w:p w14:paraId="3C476A8A">
            <w:pPr>
              <w:rPr>
                <w:rFonts w:ascii="宋体" w:hAnsi="宋体" w:eastAsia="宋体" w:cs="宋体"/>
                <w:color w:val="auto"/>
                <w:szCs w:val="21"/>
                <w:highlight w:val="none"/>
              </w:rPr>
            </w:pPr>
          </w:p>
        </w:tc>
        <w:tc>
          <w:tcPr>
            <w:tcW w:w="2285" w:type="dxa"/>
            <w:vAlign w:val="center"/>
          </w:tcPr>
          <w:p w14:paraId="012FC811">
            <w:pPr>
              <w:rPr>
                <w:rFonts w:ascii="宋体" w:hAnsi="宋体" w:eastAsia="宋体" w:cs="宋体"/>
                <w:color w:val="auto"/>
                <w:szCs w:val="21"/>
                <w:highlight w:val="none"/>
              </w:rPr>
            </w:pPr>
          </w:p>
        </w:tc>
      </w:tr>
      <w:tr w14:paraId="31E14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52B9043F">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1695" w:type="dxa"/>
            <w:vAlign w:val="center"/>
          </w:tcPr>
          <w:p w14:paraId="0C3D8226">
            <w:pPr>
              <w:adjustRightInd w:val="0"/>
              <w:snapToGrid w:val="0"/>
              <w:jc w:val="center"/>
              <w:rPr>
                <w:rFonts w:ascii="宋体" w:hAnsi="宋体" w:eastAsia="宋体" w:cs="宋体"/>
                <w:color w:val="auto"/>
                <w:szCs w:val="21"/>
                <w:highlight w:val="none"/>
              </w:rPr>
            </w:pPr>
          </w:p>
        </w:tc>
        <w:tc>
          <w:tcPr>
            <w:tcW w:w="4370" w:type="dxa"/>
            <w:vAlign w:val="center"/>
          </w:tcPr>
          <w:p w14:paraId="2BE071A4">
            <w:pPr>
              <w:adjustRightInd w:val="0"/>
              <w:snapToGrid w:val="0"/>
              <w:jc w:val="center"/>
              <w:rPr>
                <w:rFonts w:ascii="宋体" w:hAnsi="宋体" w:eastAsia="宋体" w:cs="宋体"/>
                <w:color w:val="auto"/>
                <w:szCs w:val="21"/>
                <w:highlight w:val="none"/>
              </w:rPr>
            </w:pPr>
          </w:p>
        </w:tc>
        <w:tc>
          <w:tcPr>
            <w:tcW w:w="528" w:type="dxa"/>
            <w:vAlign w:val="center"/>
          </w:tcPr>
          <w:p w14:paraId="0D79ED09">
            <w:pPr>
              <w:rPr>
                <w:rFonts w:ascii="宋体" w:hAnsi="宋体" w:eastAsia="宋体" w:cs="宋体"/>
                <w:color w:val="auto"/>
                <w:szCs w:val="21"/>
                <w:highlight w:val="none"/>
              </w:rPr>
            </w:pPr>
          </w:p>
        </w:tc>
        <w:tc>
          <w:tcPr>
            <w:tcW w:w="2285" w:type="dxa"/>
            <w:vAlign w:val="center"/>
          </w:tcPr>
          <w:p w14:paraId="3780013D">
            <w:pPr>
              <w:rPr>
                <w:rFonts w:ascii="宋体" w:hAnsi="宋体" w:eastAsia="宋体" w:cs="宋体"/>
                <w:color w:val="auto"/>
                <w:szCs w:val="21"/>
                <w:highlight w:val="none"/>
              </w:rPr>
            </w:pPr>
          </w:p>
        </w:tc>
      </w:tr>
      <w:tr w14:paraId="2021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6F68500A">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1695" w:type="dxa"/>
            <w:vAlign w:val="center"/>
          </w:tcPr>
          <w:p w14:paraId="26958E2A">
            <w:pPr>
              <w:adjustRightInd w:val="0"/>
              <w:snapToGrid w:val="0"/>
              <w:jc w:val="center"/>
              <w:rPr>
                <w:rFonts w:ascii="宋体" w:hAnsi="宋体" w:eastAsia="宋体" w:cs="宋体"/>
                <w:color w:val="auto"/>
                <w:szCs w:val="21"/>
                <w:highlight w:val="none"/>
              </w:rPr>
            </w:pPr>
          </w:p>
        </w:tc>
        <w:tc>
          <w:tcPr>
            <w:tcW w:w="4370" w:type="dxa"/>
            <w:vAlign w:val="center"/>
          </w:tcPr>
          <w:p w14:paraId="053935D3">
            <w:pPr>
              <w:adjustRightInd w:val="0"/>
              <w:snapToGrid w:val="0"/>
              <w:jc w:val="center"/>
              <w:rPr>
                <w:rFonts w:ascii="宋体" w:hAnsi="宋体" w:eastAsia="宋体" w:cs="宋体"/>
                <w:color w:val="auto"/>
                <w:szCs w:val="21"/>
                <w:highlight w:val="none"/>
              </w:rPr>
            </w:pPr>
          </w:p>
        </w:tc>
        <w:tc>
          <w:tcPr>
            <w:tcW w:w="528" w:type="dxa"/>
            <w:vAlign w:val="center"/>
          </w:tcPr>
          <w:p w14:paraId="505A57FF">
            <w:pPr>
              <w:rPr>
                <w:rFonts w:ascii="宋体" w:hAnsi="宋体" w:eastAsia="宋体" w:cs="宋体"/>
                <w:color w:val="auto"/>
                <w:szCs w:val="21"/>
                <w:highlight w:val="none"/>
              </w:rPr>
            </w:pPr>
          </w:p>
        </w:tc>
        <w:tc>
          <w:tcPr>
            <w:tcW w:w="2285" w:type="dxa"/>
            <w:vAlign w:val="center"/>
          </w:tcPr>
          <w:p w14:paraId="2B846226">
            <w:pPr>
              <w:rPr>
                <w:rFonts w:ascii="宋体" w:hAnsi="宋体" w:eastAsia="宋体" w:cs="宋体"/>
                <w:color w:val="auto"/>
                <w:szCs w:val="21"/>
                <w:highlight w:val="none"/>
              </w:rPr>
            </w:pPr>
          </w:p>
        </w:tc>
      </w:tr>
      <w:tr w14:paraId="698E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105C05E4">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1695" w:type="dxa"/>
            <w:vAlign w:val="center"/>
          </w:tcPr>
          <w:p w14:paraId="0FAAAA8C">
            <w:pPr>
              <w:adjustRightInd w:val="0"/>
              <w:snapToGrid w:val="0"/>
              <w:jc w:val="center"/>
              <w:rPr>
                <w:rFonts w:ascii="宋体" w:hAnsi="宋体" w:eastAsia="宋体" w:cs="宋体"/>
                <w:color w:val="auto"/>
                <w:szCs w:val="21"/>
                <w:highlight w:val="none"/>
              </w:rPr>
            </w:pPr>
          </w:p>
        </w:tc>
        <w:tc>
          <w:tcPr>
            <w:tcW w:w="4370" w:type="dxa"/>
            <w:vAlign w:val="center"/>
          </w:tcPr>
          <w:p w14:paraId="5B909292">
            <w:pPr>
              <w:adjustRightInd w:val="0"/>
              <w:snapToGrid w:val="0"/>
              <w:jc w:val="center"/>
              <w:rPr>
                <w:rFonts w:ascii="宋体" w:hAnsi="宋体" w:eastAsia="宋体" w:cs="宋体"/>
                <w:color w:val="auto"/>
                <w:szCs w:val="21"/>
                <w:highlight w:val="none"/>
              </w:rPr>
            </w:pPr>
          </w:p>
        </w:tc>
        <w:tc>
          <w:tcPr>
            <w:tcW w:w="528" w:type="dxa"/>
            <w:vAlign w:val="center"/>
          </w:tcPr>
          <w:p w14:paraId="62CB7B86">
            <w:pPr>
              <w:rPr>
                <w:rFonts w:ascii="宋体" w:hAnsi="宋体" w:eastAsia="宋体" w:cs="宋体"/>
                <w:color w:val="auto"/>
                <w:szCs w:val="21"/>
                <w:highlight w:val="none"/>
              </w:rPr>
            </w:pPr>
          </w:p>
        </w:tc>
        <w:tc>
          <w:tcPr>
            <w:tcW w:w="2285" w:type="dxa"/>
            <w:vAlign w:val="center"/>
          </w:tcPr>
          <w:p w14:paraId="6C98E1F1">
            <w:pPr>
              <w:rPr>
                <w:rFonts w:ascii="宋体" w:hAnsi="宋体" w:eastAsia="宋体" w:cs="宋体"/>
                <w:color w:val="auto"/>
                <w:szCs w:val="21"/>
                <w:highlight w:val="none"/>
              </w:rPr>
            </w:pPr>
          </w:p>
        </w:tc>
      </w:tr>
      <w:tr w14:paraId="49C8F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3" w:type="dxa"/>
            <w:gridSpan w:val="5"/>
            <w:vAlign w:val="center"/>
          </w:tcPr>
          <w:p w14:paraId="18F0BC2E">
            <w:pPr>
              <w:adjustRightInd w:val="0"/>
              <w:snapToGrid w:val="0"/>
              <w:jc w:val="left"/>
              <w:rPr>
                <w:rFonts w:ascii="宋体" w:hAnsi="宋体" w:eastAsia="宋体" w:cs="宋体"/>
                <w:color w:val="auto"/>
                <w:szCs w:val="21"/>
                <w:highlight w:val="none"/>
              </w:rPr>
            </w:pPr>
            <w:r>
              <w:rPr>
                <w:rFonts w:hint="eastAsia" w:ascii="宋体" w:hAnsi="宋体" w:eastAsia="宋体" w:cs="宋体"/>
                <w:color w:val="auto"/>
                <w:szCs w:val="21"/>
                <w:highlight w:val="none"/>
              </w:rPr>
              <w:t>综合评价等级：□合格    □不合格</w:t>
            </w:r>
          </w:p>
        </w:tc>
      </w:tr>
    </w:tbl>
    <w:p w14:paraId="0C8FE634">
      <w:pPr>
        <w:adjustRightInd w:val="0"/>
        <w:snapToGrid w:val="0"/>
        <w:spacing w:line="360" w:lineRule="auto"/>
        <w:rPr>
          <w:rFonts w:ascii="宋体" w:hAnsi="宋体" w:eastAsia="宋体" w:cs="宋体"/>
          <w:b/>
          <w:color w:val="auto"/>
          <w:szCs w:val="21"/>
          <w:highlight w:val="none"/>
        </w:rPr>
      </w:pPr>
      <w:r>
        <w:rPr>
          <w:rFonts w:hint="eastAsia" w:ascii="黑体" w:eastAsia="黑体"/>
          <w:color w:val="auto"/>
          <w:szCs w:val="21"/>
          <w:highlight w:val="none"/>
        </w:rPr>
        <w:t>评标专家：                           评标日期：    年  月  日</w:t>
      </w:r>
    </w:p>
    <w:p w14:paraId="3340F718">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14:paraId="68AB7A9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14:paraId="65E5B7B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2、指出各评审项的优点、存在缺陷或签订合同前应注意和澄清事项；</w:t>
      </w:r>
    </w:p>
    <w:p w14:paraId="6F58ACC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bookmarkEnd w:id="62"/>
    <w:p w14:paraId="314410CB">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64" w:name="_Toc8528"/>
      <w:bookmarkStart w:id="65" w:name="_Toc31697"/>
      <w:bookmarkStart w:id="66" w:name="_Toc13098"/>
      <w:bookmarkStart w:id="67" w:name="_Toc10935"/>
      <w:bookmarkStart w:id="68" w:name="_Toc17365"/>
      <w:bookmarkStart w:id="69" w:name="_Toc22422"/>
      <w:r>
        <w:rPr>
          <w:rFonts w:hint="eastAsia" w:eastAsia="宋体"/>
          <w:b/>
          <w:bCs w:val="0"/>
          <w:color w:val="auto"/>
          <w:sz w:val="32"/>
          <w:highlight w:val="none"/>
          <w:lang w:val="en-US"/>
        </w:rPr>
        <w:t>（六）定标</w:t>
      </w:r>
      <w:bookmarkEnd w:id="64"/>
      <w:bookmarkEnd w:id="65"/>
      <w:bookmarkEnd w:id="66"/>
      <w:bookmarkEnd w:id="67"/>
      <w:bookmarkEnd w:id="68"/>
      <w:bookmarkEnd w:id="69"/>
    </w:p>
    <w:p w14:paraId="2E54F6D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42.清标</w:t>
      </w:r>
    </w:p>
    <w:p w14:paraId="3B47556B">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42.1在开展定标前，招标人</w:t>
      </w:r>
      <w:r>
        <w:rPr>
          <w:rFonts w:hint="eastAsia" w:ascii="宋体" w:hAnsi="宋体" w:eastAsia="宋体" w:cs="宋体"/>
          <w:color w:val="auto"/>
          <w:szCs w:val="21"/>
          <w:highlight w:val="none"/>
        </w:rPr>
        <w:t>原则上应开展清标工作，</w:t>
      </w:r>
      <w:r>
        <w:rPr>
          <w:rFonts w:hint="eastAsia" w:ascii="宋体" w:hAnsi="宋体" w:eastAsia="宋体" w:cs="宋体"/>
          <w:color w:val="auto"/>
          <w:kern w:val="0"/>
          <w:szCs w:val="21"/>
          <w:highlight w:val="none"/>
        </w:rPr>
        <w:t>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0DCA328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42.2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3F5A95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7AF7A195">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43.</w:t>
      </w:r>
      <w:r>
        <w:rPr>
          <w:rFonts w:hint="eastAsia" w:ascii="宋体" w:hAnsi="宋体" w:eastAsia="宋体" w:cs="宋体"/>
          <w:color w:val="auto"/>
          <w:szCs w:val="21"/>
          <w:highlight w:val="none"/>
        </w:rPr>
        <w:t xml:space="preserve"> </w:t>
      </w:r>
      <w:r>
        <w:rPr>
          <w:rFonts w:hint="eastAsia" w:ascii="宋体" w:hAnsi="宋体" w:eastAsia="宋体" w:cs="宋体"/>
          <w:b/>
          <w:bCs/>
          <w:color w:val="auto"/>
          <w:szCs w:val="21"/>
          <w:highlight w:val="none"/>
        </w:rPr>
        <w:t>定标方法</w:t>
      </w:r>
    </w:p>
    <w:p w14:paraId="795044BC">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招标人在定标过程中，应当坚持择优与竞价相结合，择优为主，择优因素重点考虑施工组织设计（方案）、技术响应、BIM技术应用情况</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自有产业工人配备数量、</w:t>
      </w:r>
      <w:r>
        <w:rPr>
          <w:rFonts w:hint="eastAsia" w:ascii="宋体" w:hAnsi="宋体" w:eastAsia="宋体" w:cs="宋体"/>
          <w:color w:val="auto"/>
          <w:szCs w:val="21"/>
          <w:highlight w:val="none"/>
          <w:lang w:eastAsia="zh-CN"/>
        </w:rPr>
        <w:t>产业工人入门</w:t>
      </w:r>
      <w:r>
        <w:rPr>
          <w:rFonts w:hint="eastAsia" w:ascii="宋体" w:hAnsi="宋体" w:eastAsia="宋体" w:cs="宋体"/>
          <w:color w:val="auto"/>
          <w:szCs w:val="21"/>
          <w:highlight w:val="none"/>
          <w:lang w:val="en-US" w:eastAsia="zh-CN"/>
        </w:rPr>
        <w:t>级</w:t>
      </w:r>
      <w:r>
        <w:rPr>
          <w:rFonts w:hint="eastAsia" w:ascii="宋体" w:hAnsi="宋体" w:eastAsia="宋体" w:cs="宋体"/>
          <w:color w:val="auto"/>
          <w:szCs w:val="21"/>
          <w:highlight w:val="none"/>
          <w:lang w:eastAsia="zh-CN"/>
        </w:rPr>
        <w:t>培训情况、施工现场技能工人配备情况</w:t>
      </w:r>
      <w:r>
        <w:rPr>
          <w:rFonts w:hint="eastAsia" w:ascii="宋体" w:hAnsi="宋体" w:eastAsia="宋体" w:cs="宋体"/>
          <w:color w:val="auto"/>
          <w:szCs w:val="21"/>
          <w:highlight w:val="none"/>
        </w:rPr>
        <w:t>等因素，投标人承诺采用新材料、新设备、新工艺、新技术</w:t>
      </w:r>
      <w:r>
        <w:rPr>
          <w:rFonts w:hint="eastAsia" w:ascii="宋体" w:hAnsi="宋体" w:eastAsia="宋体" w:cs="宋体"/>
          <w:color w:val="auto"/>
          <w:szCs w:val="21"/>
          <w:highlight w:val="none"/>
          <w:lang w:val="en-US" w:eastAsia="zh-CN"/>
        </w:rPr>
        <w:t>的（包括选择首台（套）重大技术装备、节能环保产品、国四及以上排放标准非道路移动机械等），</w:t>
      </w:r>
      <w:r>
        <w:rPr>
          <w:rFonts w:hint="eastAsia" w:ascii="宋体" w:hAnsi="宋体" w:eastAsia="宋体" w:cs="宋体"/>
          <w:color w:val="auto"/>
          <w:szCs w:val="21"/>
          <w:highlight w:val="none"/>
        </w:rPr>
        <w:t>可以优先考虑。鼓励招标人将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相关业绩、奖项作为定标择优因素。招标人应采用下列方法在评标委员会推荐的</w:t>
      </w:r>
      <w:r>
        <w:rPr>
          <w:rFonts w:hint="eastAsia" w:ascii="宋体" w:hAnsi="宋体" w:eastAsia="宋体" w:cs="宋体"/>
          <w:color w:val="auto"/>
          <w:szCs w:val="21"/>
          <w:highlight w:val="none"/>
          <w:lang w:val="en-US" w:eastAsia="zh-CN"/>
        </w:rPr>
        <w:t>中标候选</w:t>
      </w:r>
      <w:r>
        <w:rPr>
          <w:rFonts w:hint="eastAsia" w:ascii="宋体" w:hAnsi="宋体" w:eastAsia="宋体" w:cs="宋体"/>
          <w:color w:val="auto"/>
          <w:szCs w:val="21"/>
          <w:highlight w:val="none"/>
        </w:rPr>
        <w:t>人中确定中标人：</w:t>
      </w:r>
    </w:p>
    <w:p w14:paraId="7F8CB408">
      <w:pPr>
        <w:adjustRightInd w:val="0"/>
        <w:snapToGrid w:val="0"/>
        <w:spacing w:line="360" w:lineRule="auto"/>
        <w:ind w:firstLine="422" w:firstLineChars="200"/>
        <w:rPr>
          <w:rFonts w:ascii="宋体" w:hAnsi="宋体" w:eastAsia="宋体" w:cs="宋体"/>
          <w:color w:val="auto"/>
          <w:szCs w:val="21"/>
          <w:highlight w:val="none"/>
        </w:rPr>
      </w:pPr>
      <w:bookmarkStart w:id="70" w:name="票决定标法"/>
      <w:r>
        <w:rPr>
          <w:rFonts w:hint="eastAsia" w:ascii="宋体" w:hAnsi="宋体" w:eastAsia="宋体" w:cs="宋体"/>
          <w:b/>
          <w:color w:val="auto"/>
          <w:szCs w:val="21"/>
          <w:highlight w:val="none"/>
        </w:rPr>
        <w:t>43.1直接票决定标法</w:t>
      </w:r>
    </w:p>
    <w:p w14:paraId="65852B5A">
      <w:pPr>
        <w:adjustRightInd w:val="0"/>
        <w:snapToGrid w:val="0"/>
        <w:spacing w:line="360" w:lineRule="auto"/>
        <w:ind w:firstLine="420" w:firstLineChars="200"/>
        <w:jc w:val="left"/>
        <w:rPr>
          <w:rFonts w:ascii="宋体" w:hAnsi="宋体" w:eastAsia="宋体" w:cs="宋体"/>
          <w:color w:val="auto"/>
          <w:kern w:val="0"/>
          <w:highlight w:val="none"/>
        </w:rPr>
      </w:pPr>
      <w:bookmarkStart w:id="71" w:name="直接票决定标"/>
      <w:r>
        <w:rPr>
          <w:rFonts w:hint="eastAsia" w:ascii="宋体" w:hAnsi="宋体" w:eastAsia="宋体" w:cs="宋体"/>
          <w:color w:val="auto"/>
          <w:kern w:val="0"/>
          <w:highlight w:val="none"/>
        </w:rPr>
        <w:t>招标人组建定标委员会，定标委员会成员对所有进入定标程序的投标人根据前附表确定的方式进行投票，根据得票数确定中标人。</w:t>
      </w:r>
    </w:p>
    <w:p w14:paraId="6E38898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7B3E6DE8">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390F41C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690087F5">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4D85B0B5">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6043437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0CFE818F">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3195C868">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23C1AE49">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7698679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568F8FFA">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43.2逐轮票决定标法</w:t>
      </w:r>
    </w:p>
    <w:p w14:paraId="122A7881">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招标人组建定标委员会，定标委员会成员对所有进入定标程序的投标人根据前附表确定的方式进行逐轮投票，每轮以得票数确定进入下一轮投票的投标人直至确定中标人。</w:t>
      </w:r>
    </w:p>
    <w:p w14:paraId="0B42BC19">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60D0E9C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237DF02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203196B7">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28AE3DF6">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14:paraId="65F56C0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58F75E17">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5496D388">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56301C2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4D6B6D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0330421A">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szCs w:val="21"/>
          <w:highlight w:val="none"/>
        </w:rPr>
        <w:t>根据前述规则，直至剩余1名投标人为中标人。</w:t>
      </w:r>
    </w:p>
    <w:bookmarkEnd w:id="70"/>
    <w:bookmarkEnd w:id="71"/>
    <w:p w14:paraId="3FB59A78">
      <w:pPr>
        <w:adjustRightInd w:val="0"/>
        <w:snapToGrid w:val="0"/>
        <w:spacing w:line="360" w:lineRule="auto"/>
        <w:ind w:firstLine="422" w:firstLineChars="200"/>
        <w:rPr>
          <w:rFonts w:ascii="宋体" w:hAnsi="宋体" w:eastAsia="宋体" w:cs="宋体"/>
          <w:color w:val="auto"/>
          <w:szCs w:val="21"/>
          <w:highlight w:val="none"/>
        </w:rPr>
      </w:pPr>
      <w:bookmarkStart w:id="72" w:name="集体议事法定标"/>
      <w:r>
        <w:rPr>
          <w:rFonts w:hint="eastAsia" w:ascii="宋体" w:hAnsi="宋体" w:eastAsia="宋体" w:cs="宋体"/>
          <w:b/>
          <w:color w:val="auto"/>
          <w:szCs w:val="21"/>
          <w:highlight w:val="none"/>
        </w:rPr>
        <w:t>43.</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集体议事定标法</w:t>
      </w:r>
    </w:p>
    <w:p w14:paraId="634562D3">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72"/>
    </w:p>
    <w:p w14:paraId="2AD8665A">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44.定标程序</w:t>
      </w:r>
    </w:p>
    <w:p w14:paraId="41C77EE8">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44.1招标人应当事先制定定标工作规则，对不同类别项目择优竞价结合方式、择优因素、竞价方法予以明确，并报招标人内设（或上级）的纪检监察机构（或督查机构）备案。</w:t>
      </w:r>
    </w:p>
    <w:p w14:paraId="3B7FF8D6">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44.2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委员会成员构成、定标</w:t>
      </w:r>
      <w:r>
        <w:rPr>
          <w:rFonts w:hint="eastAsia" w:ascii="宋体" w:hAnsi="宋体" w:eastAsia="宋体" w:cs="宋体"/>
          <w:color w:val="auto"/>
          <w:kern w:val="0"/>
          <w:szCs w:val="21"/>
          <w:highlight w:val="none"/>
        </w:rPr>
        <w:t>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7E0819D8">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49"/>
          <w:rFonts w:hint="eastAsia" w:ascii="宋体" w:hAnsi="宋体" w:eastAsia="宋体" w:cs="宋体"/>
          <w:color w:val="auto"/>
          <w:kern w:val="0"/>
          <w:szCs w:val="21"/>
          <w:highlight w:val="none"/>
          <w:lang w:val="en-US" w:eastAsia="zh-CN"/>
        </w:rPr>
        <w:t>[</w:t>
      </w:r>
      <w:r>
        <w:rPr>
          <w:rStyle w:val="49"/>
          <w:rFonts w:hint="eastAsia" w:ascii="宋体" w:hAnsi="宋体" w:eastAsia="宋体" w:cs="宋体"/>
          <w:color w:val="auto"/>
          <w:kern w:val="0"/>
          <w:szCs w:val="21"/>
          <w:highlight w:val="none"/>
          <w:lang w:val="en-US" w:eastAsia="zh-CN"/>
        </w:rPr>
        <w:footnoteReference w:id="7"/>
      </w:r>
      <w:r>
        <w:rPr>
          <w:rStyle w:val="49"/>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329B2B13">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44.3在定标环节，招标人应当遵循如下原则</w:t>
      </w:r>
      <w:r>
        <w:rPr>
          <w:rStyle w:val="49"/>
          <w:rFonts w:hint="eastAsia" w:ascii="宋体" w:hAnsi="宋体" w:eastAsia="宋体" w:cs="宋体"/>
          <w:color w:val="auto"/>
          <w:szCs w:val="21"/>
          <w:highlight w:val="none"/>
        </w:rPr>
        <w:t>[</w:t>
      </w:r>
      <w:r>
        <w:rPr>
          <w:rStyle w:val="49"/>
          <w:rFonts w:hint="eastAsia" w:ascii="宋体" w:hAnsi="宋体" w:eastAsia="宋体" w:cs="宋体"/>
          <w:color w:val="auto"/>
          <w:szCs w:val="21"/>
          <w:highlight w:val="none"/>
        </w:rPr>
        <w:footnoteReference w:id="8"/>
      </w:r>
      <w:r>
        <w:rPr>
          <w:rStyle w:val="49"/>
          <w:rFonts w:hint="eastAsia" w:ascii="宋体" w:hAnsi="宋体" w:eastAsia="宋体" w:cs="宋体"/>
          <w:color w:val="auto"/>
          <w:szCs w:val="21"/>
          <w:highlight w:val="none"/>
        </w:rPr>
        <w:t>]</w:t>
      </w:r>
      <w:r>
        <w:rPr>
          <w:rFonts w:hint="eastAsia" w:ascii="宋体" w:hAnsi="宋体" w:eastAsia="宋体" w:cs="宋体"/>
          <w:color w:val="auto"/>
          <w:szCs w:val="21"/>
          <w:highlight w:val="none"/>
        </w:rPr>
        <w:t>：</w:t>
      </w:r>
    </w:p>
    <w:p w14:paraId="34691D43">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经认定的国家、省、市级重大项目，按照规定可以设置同类工程经验（业绩）的项目，应综合考虑企业资质、业绩、履约，项目经理（总监）和其管理团队</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的资历、能力、信誉，以及投标方案中建筑信息模型（BIM）技术、模块化建筑（MiC）技术、智能建造、智能监测、装配式建筑、绿色建筑、绿色建材等应用情况，坚持优中选低原则。</w:t>
      </w:r>
    </w:p>
    <w:p w14:paraId="37288A71">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）具有通用技术、性能标准或者招标人对技术、性能没有特殊要求的项目，坚持低中选优原则。</w:t>
      </w:r>
    </w:p>
    <w:p w14:paraId="4AC0DB38">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szCs w:val="21"/>
          <w:highlight w:val="none"/>
        </w:rPr>
        <w:t>44.4</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w:t>
      </w:r>
    </w:p>
    <w:p w14:paraId="190A9B7C">
      <w:pPr>
        <w:adjustRightInd w:val="0"/>
        <w:snapToGrid w:val="0"/>
        <w:spacing w:line="360" w:lineRule="auto"/>
        <w:ind w:firstLine="0" w:firstLineChars="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rPr>
        <w:t>标投标行政监督部门批准后由评标委员会复核纠正</w:t>
      </w:r>
      <w:r>
        <w:rPr>
          <w:rStyle w:val="49"/>
          <w:rFonts w:hint="eastAsia" w:ascii="宋体" w:hAnsi="宋体" w:eastAsia="宋体" w:cs="宋体"/>
          <w:strike w:val="0"/>
          <w:color w:val="auto"/>
          <w:szCs w:val="21"/>
          <w:highlight w:val="none"/>
        </w:rPr>
        <w:t>[</w:t>
      </w:r>
      <w:r>
        <w:rPr>
          <w:rStyle w:val="49"/>
          <w:rFonts w:hint="eastAsia" w:ascii="宋体" w:hAnsi="宋体" w:eastAsia="宋体" w:cs="宋体"/>
          <w:strike w:val="0"/>
          <w:color w:val="auto"/>
          <w:szCs w:val="21"/>
          <w:highlight w:val="none"/>
        </w:rPr>
        <w:footnoteReference w:id="9"/>
      </w:r>
      <w:r>
        <w:rPr>
          <w:rStyle w:val="49"/>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14:paraId="451F1E2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44.5定标委员会由招标人的法定代表人或者主要负责人组建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49"/>
          <w:rFonts w:hint="eastAsia" w:ascii="宋体" w:hAnsi="宋体" w:eastAsia="宋体" w:cs="宋体"/>
          <w:color w:val="auto"/>
          <w:szCs w:val="21"/>
          <w:highlight w:val="none"/>
          <w:lang w:val="en-US" w:eastAsia="zh-CN"/>
        </w:rPr>
        <w:t>[</w:t>
      </w:r>
      <w:r>
        <w:rPr>
          <w:rStyle w:val="49"/>
          <w:rFonts w:hint="eastAsia" w:ascii="宋体" w:hAnsi="宋体" w:eastAsia="宋体" w:cs="宋体"/>
          <w:color w:val="auto"/>
          <w:szCs w:val="21"/>
          <w:highlight w:val="none"/>
          <w:lang w:val="en-US" w:eastAsia="zh-CN"/>
        </w:rPr>
        <w:footnoteReference w:id="10"/>
      </w:r>
      <w:r>
        <w:rPr>
          <w:rStyle w:val="49"/>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69CC1D76">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2CAE8133">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57A4694F">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14:paraId="2631705D">
      <w:pPr>
        <w:adjustRightInd w:val="0"/>
        <w:snapToGrid w:val="0"/>
        <w:spacing w:line="360" w:lineRule="auto"/>
        <w:ind w:firstLine="411" w:firstLineChars="196"/>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44.6定标委员会应当在定标会上推荐定标组长，招标人的法定代表人或者主要负责人参加定标委员会的，由其直接担任定标委员会组长。招标人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p>
    <w:p w14:paraId="441F453B">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44.7招标人应当自评标结束后10个工作日内进入深圳交易集团有限公司（深圳公共资源交易中心）进行定标。不能按时定标的，应当通过交易网公示延期原因和最终定标时间。</w:t>
      </w:r>
    </w:p>
    <w:p w14:paraId="30C92750">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44.8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1750476F">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44.9招标人应在定标结束后将定标记录、定标报告交由深圳交易集团有限公司（深圳公共资源交易中心）归档并同时公示定标结果和中标结果。定标记录应包括定标委员会会议过程、正式成员名单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485731B6">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44.10招标人应当向定标委员会提供项目定标方案、清标报告作为定标辅助材料。定标结束后，项目定标方案、清标报告及定标委员投票结果等定标过程资料应当留存备查。</w:t>
      </w:r>
    </w:p>
    <w:p w14:paraId="285C8960">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color w:val="auto"/>
          <w:szCs w:val="21"/>
          <w:highlight w:val="none"/>
        </w:rPr>
        <w:t>45.</w:t>
      </w: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5A82BD90">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45.1中标人放弃中标资格或者拒不签订合同的；</w:t>
      </w:r>
    </w:p>
    <w:p w14:paraId="05A3F77C">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45.2中标人不按照招标文件要求提交履约担保的；</w:t>
      </w:r>
    </w:p>
    <w:p w14:paraId="4F2D78A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45.3被查实存在影响中标结果违法行为的。</w:t>
      </w:r>
    </w:p>
    <w:p w14:paraId="45CA87BF">
      <w:pPr>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45.4 招标人将项目经理（总监）的资历、能力、信誉作为重要择优因素，除符合《关于建设工程招标投标改革的若干规定》（深府〔2015〕73号）第五十四条第（一）、（八）项以及《深圳市规范项目经理和项目总监理工程师任职行为的若干规定》（深建规〔2022〕1号）第四条第（三）项、第八条第（三）项规定情形外，</w:t>
      </w:r>
      <w:r>
        <w:rPr>
          <w:rFonts w:hint="eastAsia" w:ascii="宋体" w:hAnsi="宋体" w:eastAsia="宋体" w:cs="宋体"/>
          <w:b w:val="0"/>
          <w:bCs w:val="0"/>
          <w:color w:val="auto"/>
          <w:sz w:val="21"/>
          <w:szCs w:val="21"/>
          <w:highlight w:val="none"/>
          <w:u w:val="none"/>
          <w:lang w:val="en-US" w:eastAsia="zh-CN"/>
        </w:rPr>
        <w:t>在取得施工许可或者相关主管部门批准开工（含开工备案）手续前，中标人确认项目</w:t>
      </w:r>
      <w:r>
        <w:rPr>
          <w:rFonts w:hint="eastAsia" w:ascii="宋体" w:hAnsi="宋体" w:eastAsia="宋体" w:cs="宋体"/>
          <w:b w:val="0"/>
          <w:bCs w:val="0"/>
          <w:color w:val="auto"/>
          <w:sz w:val="21"/>
          <w:szCs w:val="21"/>
          <w:highlight w:val="none"/>
          <w:u w:val="none"/>
        </w:rPr>
        <w:t>经理（总监）</w:t>
      </w:r>
      <w:r>
        <w:rPr>
          <w:rFonts w:hint="eastAsia" w:ascii="宋体" w:hAnsi="宋体" w:eastAsia="宋体" w:cs="宋体"/>
          <w:b w:val="0"/>
          <w:bCs w:val="0"/>
          <w:color w:val="auto"/>
          <w:sz w:val="21"/>
          <w:szCs w:val="21"/>
          <w:highlight w:val="none"/>
          <w:u w:val="none"/>
          <w:lang w:val="en-US" w:eastAsia="zh-CN"/>
        </w:rPr>
        <w:t>无法到岗的。</w:t>
      </w:r>
    </w:p>
    <w:p w14:paraId="5AAA42A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46.招标人拒绝投标等权力</w:t>
      </w:r>
    </w:p>
    <w:p w14:paraId="3231872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46.1招标人不承诺将合同授予报价最低的投标人。</w:t>
      </w:r>
    </w:p>
    <w:p w14:paraId="2E1D7A8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46.2中标人确定后，招标人无义务向未中标的投标人就其未中标的原因作出解释。未中标的投标人不得向评标委员会组成人员或招标人询问评标过程的情况或索要相关材料。</w:t>
      </w:r>
    </w:p>
    <w:p w14:paraId="2781C73D">
      <w:pPr>
        <w:adjustRightInd w:val="0"/>
        <w:snapToGrid w:val="0"/>
        <w:spacing w:line="360" w:lineRule="auto"/>
        <w:ind w:firstLine="422" w:firstLineChars="200"/>
        <w:rPr>
          <w:rFonts w:ascii="宋体" w:hAnsi="宋体" w:eastAsia="宋体" w:cs="宋体"/>
          <w:b/>
          <w:bCs/>
          <w:color w:val="auto"/>
          <w:szCs w:val="21"/>
          <w:highlight w:val="none"/>
        </w:rPr>
      </w:pPr>
      <w:bookmarkStart w:id="73" w:name="资信标要求一览表"/>
      <w:r>
        <w:rPr>
          <w:rFonts w:hint="eastAsia" w:ascii="宋体" w:hAnsi="宋体" w:eastAsia="宋体" w:cs="宋体"/>
          <w:b/>
          <w:bCs/>
          <w:color w:val="auto"/>
          <w:szCs w:val="21"/>
          <w:highlight w:val="none"/>
        </w:rPr>
        <w:t>47.资信标表格</w:t>
      </w:r>
    </w:p>
    <w:p w14:paraId="7F5CB54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47.1招标人可以结合项目实际要求投标人提供资信标作为定标参考因素之一。</w:t>
      </w:r>
    </w:p>
    <w:p w14:paraId="46B67009">
      <w:pPr>
        <w:adjustRightInd w:val="0"/>
        <w:snapToGrid w:val="0"/>
        <w:spacing w:line="360" w:lineRule="auto"/>
        <w:jc w:val="center"/>
        <w:rPr>
          <w:rFonts w:ascii="宋体" w:hAnsi="宋体" w:eastAsia="宋体" w:cs="宋体"/>
          <w:b/>
          <w:color w:val="auto"/>
          <w:szCs w:val="21"/>
          <w:highlight w:val="none"/>
        </w:rPr>
      </w:pPr>
    </w:p>
    <w:p w14:paraId="09A3BB0F">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资信标要求一览表（如有）</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260"/>
        <w:gridCol w:w="4503"/>
      </w:tblGrid>
      <w:tr w14:paraId="674E1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175DCC4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260" w:type="dxa"/>
            <w:vAlign w:val="center"/>
          </w:tcPr>
          <w:p w14:paraId="765AE9F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503" w:type="dxa"/>
            <w:vAlign w:val="center"/>
          </w:tcPr>
          <w:p w14:paraId="41E3E8E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3231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6AD96344">
            <w:pPr>
              <w:adjustRightInd w:val="0"/>
              <w:snapToGrid w:val="0"/>
              <w:spacing w:line="360" w:lineRule="auto"/>
              <w:jc w:val="center"/>
              <w:rPr>
                <w:rFonts w:ascii="宋体" w:hAnsi="宋体" w:eastAsia="宋体" w:cs="宋体"/>
                <w:color w:val="auto"/>
                <w:kern w:val="0"/>
                <w:szCs w:val="21"/>
                <w:highlight w:val="none"/>
              </w:rPr>
            </w:pPr>
            <w:bookmarkStart w:id="74" w:name="资信标要求一览表2" w:colFirst="0" w:colLast="0"/>
          </w:p>
        </w:tc>
        <w:tc>
          <w:tcPr>
            <w:tcW w:w="3260" w:type="dxa"/>
            <w:vAlign w:val="center"/>
          </w:tcPr>
          <w:p w14:paraId="101E34A9">
            <w:pPr>
              <w:adjustRightInd w:val="0"/>
              <w:snapToGrid w:val="0"/>
              <w:spacing w:line="360" w:lineRule="auto"/>
              <w:rPr>
                <w:rFonts w:ascii="宋体" w:hAnsi="宋体" w:eastAsia="宋体" w:cs="宋体"/>
                <w:color w:val="auto"/>
                <w:kern w:val="0"/>
                <w:szCs w:val="21"/>
                <w:highlight w:val="none"/>
              </w:rPr>
            </w:pPr>
          </w:p>
        </w:tc>
        <w:tc>
          <w:tcPr>
            <w:tcW w:w="4503" w:type="dxa"/>
            <w:vAlign w:val="center"/>
          </w:tcPr>
          <w:p w14:paraId="07620276">
            <w:pPr>
              <w:adjustRightInd w:val="0"/>
              <w:snapToGrid w:val="0"/>
              <w:spacing w:line="360" w:lineRule="auto"/>
              <w:rPr>
                <w:rFonts w:ascii="宋体" w:hAnsi="宋体" w:eastAsia="宋体" w:cs="宋体"/>
                <w:color w:val="auto"/>
                <w:kern w:val="0"/>
                <w:szCs w:val="21"/>
                <w:highlight w:val="none"/>
              </w:rPr>
            </w:pPr>
          </w:p>
        </w:tc>
      </w:tr>
      <w:bookmarkEnd w:id="74"/>
    </w:tbl>
    <w:p w14:paraId="481AE734">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备注：资信要素不进行评审，真实性通过公示予以监督。</w:t>
      </w:r>
    </w:p>
    <w:bookmarkEnd w:id="73"/>
    <w:p w14:paraId="2FDEBDD9">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75" w:name="_Toc13909"/>
      <w:bookmarkStart w:id="76" w:name="_Toc21717"/>
      <w:bookmarkStart w:id="77" w:name="_Toc29655"/>
      <w:bookmarkStart w:id="78" w:name="_Toc19005"/>
      <w:bookmarkStart w:id="79" w:name="_Toc24706"/>
      <w:bookmarkStart w:id="80" w:name="_Toc45"/>
      <w:r>
        <w:rPr>
          <w:rFonts w:hint="eastAsia" w:eastAsia="宋体"/>
          <w:b/>
          <w:bCs w:val="0"/>
          <w:color w:val="auto"/>
          <w:sz w:val="32"/>
          <w:highlight w:val="none"/>
          <w:lang w:val="en-US"/>
        </w:rPr>
        <w:t>（七）中标通知书</w:t>
      </w:r>
      <w:bookmarkEnd w:id="75"/>
      <w:bookmarkEnd w:id="76"/>
      <w:bookmarkEnd w:id="77"/>
      <w:bookmarkEnd w:id="78"/>
      <w:bookmarkEnd w:id="79"/>
      <w:bookmarkEnd w:id="80"/>
    </w:p>
    <w:p w14:paraId="7FBF87B2">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48.</w:t>
      </w:r>
      <w:r>
        <w:rPr>
          <w:rFonts w:hint="eastAsia" w:ascii="宋体" w:hAnsi="宋体" w:eastAsia="宋体" w:cs="宋体"/>
          <w:color w:val="auto"/>
          <w:highlight w:val="none"/>
        </w:rPr>
        <w:t xml:space="preserve"> </w:t>
      </w:r>
      <w:r>
        <w:rPr>
          <w:rFonts w:hint="eastAsia" w:ascii="宋体" w:hAnsi="宋体" w:eastAsia="宋体" w:cs="宋体"/>
          <w:b/>
          <w:bCs/>
          <w:color w:val="auto"/>
          <w:szCs w:val="21"/>
          <w:highlight w:val="none"/>
        </w:rPr>
        <w:t>中标通知书</w:t>
      </w:r>
    </w:p>
    <w:p w14:paraId="74B1C39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48.1在规定的公示期内未收到对中标结果的异议的，招标人将按法律法规规定的时间内向中标人发出中标通知书。如接到有关投诉的，招标人将可能暂停发出中标通知书。</w:t>
      </w:r>
    </w:p>
    <w:p w14:paraId="162E690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48.2招标人在发出中标通知书之前因正当理由，经行政监督部门批准并经交易网公示3个工作日后，招标人有权接受或拒绝投标、宣布投标程序无效或拒绝所有投标。对受影响的投标人不承担任何责任。</w:t>
      </w:r>
    </w:p>
    <w:p w14:paraId="1B50ED98">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48.3中标人应在收到中标通知书后15天内，向招标人提交可实施的施工组织设计，招标人应当会同监理单位对施工组织设计进行审核。</w:t>
      </w:r>
    </w:p>
    <w:p w14:paraId="740E4DE7">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81" w:name="_Toc6968"/>
      <w:bookmarkStart w:id="82" w:name="_Toc6410"/>
      <w:bookmarkStart w:id="83" w:name="_Toc17575"/>
      <w:bookmarkStart w:id="84" w:name="_Toc24147"/>
      <w:bookmarkStart w:id="85" w:name="_Toc9135"/>
      <w:bookmarkStart w:id="86" w:name="_Toc4971"/>
      <w:r>
        <w:rPr>
          <w:rFonts w:hint="eastAsia" w:eastAsia="宋体"/>
          <w:b/>
          <w:bCs w:val="0"/>
          <w:color w:val="auto"/>
          <w:sz w:val="32"/>
          <w:highlight w:val="none"/>
          <w:lang w:val="en-US"/>
        </w:rPr>
        <w:t>（八）合同的授予</w:t>
      </w:r>
      <w:bookmarkEnd w:id="81"/>
      <w:bookmarkEnd w:id="82"/>
      <w:bookmarkEnd w:id="83"/>
      <w:bookmarkEnd w:id="84"/>
      <w:bookmarkEnd w:id="85"/>
      <w:bookmarkEnd w:id="86"/>
    </w:p>
    <w:p w14:paraId="5B58E989">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49.合同授予标准</w:t>
      </w:r>
    </w:p>
    <w:p w14:paraId="789A7A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49.1本工程的施工合同将授予按招标文件规定所确定的中标人。</w:t>
      </w:r>
    </w:p>
    <w:p w14:paraId="0E0689D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50.合同协议书的签订</w:t>
      </w:r>
    </w:p>
    <w:p w14:paraId="01E944D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50.1招标人与中标人将于招标文件规定的时限内，根据招标文件和中标人的投标文件签订建设工程施工合同，合同价为中标人的投标报价（因计算错误，评标委员会修正中标价的除外）。</w:t>
      </w:r>
    </w:p>
    <w:p w14:paraId="49BE978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50.2招标人与中标人签订的施工合同必须遵守本招标文件的合同条件，并且不得更改合同条件。</w:t>
      </w:r>
    </w:p>
    <w:p w14:paraId="2290DE3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50.3中标人不按招标文件规定与招标人签订合同，招标人有权废除中标，并没收其投标保证金或投标保函，给招标人造成的损失超过投标担保数额的，还应当对超过部分予以赔偿，同时依法承担相应法律责任。</w:t>
      </w:r>
    </w:p>
    <w:p w14:paraId="09FCA61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50.4中标人应当按照合同约定履行义务，完成中标工程施工，不得将中标工程转让（转包）给他人施工。</w:t>
      </w:r>
    </w:p>
    <w:p w14:paraId="7C7A3968">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51.工程担保</w:t>
      </w:r>
    </w:p>
    <w:p w14:paraId="614E130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51.1中标人应在签订工程承包合同时，按招标文件规定的时间、出具单位及规定的金额向招标人提交履约担保，履约担保可参照使用本招标文件附表提供的格式。履约担保为中标价与招标控制价或投标报价上限（无招标控制价招标的）的差额，且不高于中标价的10%。</w:t>
      </w:r>
    </w:p>
    <w:p w14:paraId="47A94DD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51.2招标人应在中标人提交履约担保的同时向中标人提供与履约担保数额等额的工程款支付担保。</w:t>
      </w:r>
    </w:p>
    <w:p w14:paraId="25177F4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51.3中标人不按招标文件规定提交履约担保的，招标人有权取消其中标资格，并没收其投标保证金，给招标人造成的损失超过投标保证金数额的，中标人应当对超过部分予以赔偿。</w:t>
      </w:r>
    </w:p>
    <w:p w14:paraId="4D53E74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51.4承包商履约担保和业主支付担保都必须采用经对方认可的银行保函、保证保险、专业工程担保公司担保等 。双方均不得在工程担保有效期内解除担保。</w:t>
      </w:r>
    </w:p>
    <w:p w14:paraId="2EC72A9F">
      <w:pPr>
        <w:rPr>
          <w:color w:val="auto"/>
          <w:szCs w:val="21"/>
          <w:highlight w:val="none"/>
        </w:rPr>
      </w:pPr>
      <w:r>
        <w:rPr>
          <w:color w:val="auto"/>
          <w:szCs w:val="21"/>
          <w:highlight w:val="none"/>
        </w:rPr>
        <w:br w:type="page"/>
      </w:r>
    </w:p>
    <w:p w14:paraId="6C7E33D3">
      <w:pPr>
        <w:adjustRightInd w:val="0"/>
        <w:snapToGrid w:val="0"/>
        <w:jc w:val="center"/>
        <w:outlineLvl w:val="0"/>
        <w:rPr>
          <w:rFonts w:ascii="黑体" w:hAnsi="黑体" w:eastAsia="黑体" w:cs="黑体"/>
          <w:bCs/>
          <w:color w:val="auto"/>
          <w:sz w:val="44"/>
          <w:szCs w:val="44"/>
          <w:highlight w:val="none"/>
        </w:rPr>
      </w:pPr>
      <w:bookmarkStart w:id="87" w:name="_Toc1533"/>
      <w:bookmarkStart w:id="88" w:name="_Toc29169"/>
      <w:bookmarkStart w:id="89" w:name="_Toc1753"/>
      <w:bookmarkStart w:id="90" w:name="_Toc18045"/>
      <w:bookmarkStart w:id="91" w:name="_Toc3408"/>
      <w:bookmarkStart w:id="92" w:name="_Toc2220"/>
      <w:bookmarkStart w:id="93" w:name="_Toc14347"/>
      <w:r>
        <w:rPr>
          <w:rFonts w:hint="eastAsia" w:ascii="黑体" w:hAnsi="黑体" w:eastAsia="黑体" w:cs="黑体"/>
          <w:bCs/>
          <w:color w:val="auto"/>
          <w:sz w:val="44"/>
          <w:szCs w:val="44"/>
          <w:highlight w:val="none"/>
        </w:rPr>
        <w:t>第三章  招标人对招标文件及合同范本的补充/修改</w:t>
      </w:r>
      <w:bookmarkEnd w:id="87"/>
      <w:bookmarkEnd w:id="88"/>
      <w:bookmarkEnd w:id="89"/>
      <w:bookmarkEnd w:id="90"/>
      <w:bookmarkEnd w:id="91"/>
      <w:bookmarkEnd w:id="92"/>
    </w:p>
    <w:p w14:paraId="0CD367C2">
      <w:pPr>
        <w:topLinePunct/>
        <w:adjustRightInd w:val="0"/>
        <w:snapToGrid w:val="0"/>
        <w:spacing w:line="360" w:lineRule="auto"/>
        <w:ind w:firstLine="440" w:firstLineChars="200"/>
        <w:rPr>
          <w:color w:val="auto"/>
          <w:sz w:val="22"/>
          <w:highlight w:val="none"/>
        </w:rPr>
      </w:pPr>
    </w:p>
    <w:p w14:paraId="4A8FD4BF">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招标人可根据工程实际情况，对本范本进行补充或修改，但有关补充或修改内容不得违法违规，且必须逐一列举在以下栏目中。请投标人认真阅读并遵照执行：</w:t>
      </w:r>
    </w:p>
    <w:p w14:paraId="1092DBC5">
      <w:pPr>
        <w:topLinePunct/>
        <w:adjustRightInd w:val="0"/>
        <w:snapToGrid w:val="0"/>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提示：招标人必须</w:t>
      </w:r>
    </w:p>
    <w:p w14:paraId="1FD4E938">
      <w:pPr>
        <w:topLinePunct/>
        <w:adjustRightInd w:val="0"/>
        <w:snapToGrid w:val="0"/>
        <w:spacing w:line="360" w:lineRule="auto"/>
        <w:ind w:firstLine="420" w:firstLineChars="200"/>
        <w:rPr>
          <w:rFonts w:hint="default" w:ascii="宋体" w:hAnsi="宋体" w:eastAsia="宋体" w:cs="宋体"/>
          <w:color w:val="auto"/>
          <w:szCs w:val="21"/>
          <w:highlight w:val="none"/>
          <w:u w:val="single"/>
          <w:lang w:val="en-US" w:eastAsia="zh-CN"/>
        </w:rPr>
      </w:pPr>
    </w:p>
    <w:p w14:paraId="2A01F00F">
      <w:pPr>
        <w:topLinePunct/>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补充修改</w:t>
      </w:r>
    </w:p>
    <w:p w14:paraId="60184962">
      <w:pPr>
        <w:topLinePunct/>
        <w:adjustRightInd w:val="0"/>
        <w:snapToGrid w:val="0"/>
        <w:spacing w:line="360" w:lineRule="auto"/>
        <w:ind w:firstLine="420" w:firstLineChars="200"/>
        <w:rPr>
          <w:rFonts w:ascii="宋体" w:hAnsi="宋体" w:eastAsia="宋体" w:cs="宋体"/>
          <w:color w:val="auto"/>
          <w:szCs w:val="21"/>
          <w:highlight w:val="none"/>
          <w:u w:val="single"/>
        </w:rPr>
      </w:pPr>
    </w:p>
    <w:p w14:paraId="74FCD26D">
      <w:pPr>
        <w:topLinePunct/>
        <w:adjustRightInd w:val="0"/>
        <w:snapToGrid w:val="0"/>
        <w:spacing w:line="360" w:lineRule="auto"/>
        <w:ind w:firstLine="420" w:firstLineChars="200"/>
        <w:rPr>
          <w:rFonts w:ascii="宋体" w:hAnsi="宋体" w:eastAsia="宋体" w:cs="宋体"/>
          <w:color w:val="auto"/>
          <w:szCs w:val="21"/>
          <w:highlight w:val="none"/>
        </w:rPr>
      </w:pPr>
    </w:p>
    <w:p w14:paraId="48E35783">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以下空白。</w:t>
      </w:r>
    </w:p>
    <w:p w14:paraId="10951E5E">
      <w:pPr>
        <w:topLinePunct/>
        <w:adjustRightInd w:val="0"/>
        <w:snapToGrid w:val="0"/>
        <w:spacing w:line="360" w:lineRule="auto"/>
        <w:ind w:firstLine="420" w:firstLineChars="200"/>
        <w:rPr>
          <w:rFonts w:ascii="宋体" w:hAnsi="宋体" w:eastAsia="宋体" w:cs="宋体"/>
          <w:color w:val="auto"/>
          <w:szCs w:val="21"/>
          <w:highlight w:val="none"/>
        </w:rPr>
      </w:pPr>
    </w:p>
    <w:p w14:paraId="186B62F9">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   标   人：</w:t>
      </w:r>
      <w:r>
        <w:rPr>
          <w:rFonts w:hint="eastAsia" w:ascii="宋体" w:hAnsi="宋体" w:eastAsia="宋体" w:cs="宋体"/>
          <w:bCs/>
          <w:color w:val="auto"/>
          <w:szCs w:val="21"/>
          <w:highlight w:val="none"/>
          <w:u w:val="single"/>
        </w:rPr>
        <w:t xml:space="preserve">      </w:t>
      </w:r>
    </w:p>
    <w:p w14:paraId="1BFD1404">
      <w:pPr>
        <w:topLinePunct/>
        <w:adjustRightInd w:val="0"/>
        <w:snapToGrid w:val="0"/>
        <w:spacing w:line="360" w:lineRule="auto"/>
        <w:ind w:firstLine="420" w:firstLineChars="200"/>
        <w:rPr>
          <w:rFonts w:ascii="宋体" w:hAnsi="宋体" w:eastAsia="宋体" w:cs="宋体"/>
          <w:color w:val="auto"/>
          <w:szCs w:val="21"/>
          <w:highlight w:val="none"/>
        </w:rPr>
      </w:pPr>
    </w:p>
    <w:p w14:paraId="5036B48E">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招标代理机构：</w:t>
      </w:r>
      <w:r>
        <w:rPr>
          <w:rFonts w:hint="eastAsia" w:ascii="宋体" w:hAnsi="宋体" w:eastAsia="宋体" w:cs="宋体"/>
          <w:bCs/>
          <w:color w:val="auto"/>
          <w:szCs w:val="21"/>
          <w:highlight w:val="none"/>
          <w:u w:val="single"/>
        </w:rPr>
        <w:t xml:space="preserve">      </w:t>
      </w:r>
    </w:p>
    <w:p w14:paraId="533B43A4">
      <w:pPr>
        <w:topLinePunct/>
        <w:adjustRightInd w:val="0"/>
        <w:snapToGrid w:val="0"/>
        <w:spacing w:line="360" w:lineRule="auto"/>
        <w:ind w:firstLine="420" w:firstLineChars="200"/>
        <w:rPr>
          <w:rFonts w:ascii="宋体" w:hAnsi="宋体" w:eastAsia="宋体" w:cs="宋体"/>
          <w:color w:val="auto"/>
          <w:szCs w:val="21"/>
          <w:highlight w:val="none"/>
        </w:rPr>
      </w:pPr>
    </w:p>
    <w:p w14:paraId="1093095C">
      <w:pPr>
        <w:topLinePunct/>
        <w:adjustRightInd w:val="0"/>
        <w:snapToGrid w:val="0"/>
        <w:spacing w:line="360" w:lineRule="auto"/>
        <w:ind w:firstLine="420" w:firstLineChars="200"/>
        <w:rPr>
          <w:rFonts w:ascii="宋体" w:hAnsi="宋体" w:eastAsia="宋体" w:cs="宋体"/>
          <w:color w:val="auto"/>
          <w:highlight w:val="none"/>
        </w:rPr>
        <w:sectPr>
          <w:headerReference r:id="rId4" w:type="default"/>
          <w:footerReference r:id="rId5" w:type="default"/>
          <w:pgSz w:w="11907" w:h="16840"/>
          <w:pgMar w:top="1417" w:right="1417" w:bottom="1417" w:left="1417" w:header="851" w:footer="851" w:gutter="0"/>
          <w:pgNumType w:fmt="decimal"/>
          <w:cols w:space="425" w:num="1"/>
          <w:docGrid w:type="lines" w:linePitch="312" w:charSpace="0"/>
        </w:sectPr>
      </w:pPr>
      <w:r>
        <w:rPr>
          <w:rFonts w:hint="eastAsia" w:ascii="宋体" w:hAnsi="宋体" w:eastAsia="宋体" w:cs="宋体"/>
          <w:color w:val="auto"/>
          <w:szCs w:val="21"/>
          <w:highlight w:val="none"/>
        </w:rPr>
        <w:t>编制日期：</w:t>
      </w:r>
      <w:r>
        <w:rPr>
          <w:rFonts w:hint="eastAsia" w:ascii="宋体" w:hAnsi="宋体" w:eastAsia="宋体" w:cs="宋体"/>
          <w:bCs/>
          <w:color w:val="auto"/>
          <w:szCs w:val="21"/>
          <w:highlight w:val="none"/>
          <w:u w:val="single"/>
        </w:rPr>
        <w:t xml:space="preserve">      </w:t>
      </w:r>
      <w:bookmarkEnd w:id="93"/>
      <w:r>
        <w:rPr>
          <w:rFonts w:hint="eastAsia" w:ascii="宋体" w:hAnsi="宋体" w:eastAsia="宋体" w:cs="宋体"/>
          <w:color w:val="auto"/>
          <w:highlight w:val="none"/>
        </w:rPr>
        <w:br w:type="page"/>
      </w:r>
    </w:p>
    <w:p w14:paraId="577DE6E1">
      <w:pPr>
        <w:topLinePunct/>
        <w:adjustRightInd w:val="0"/>
        <w:snapToGrid w:val="0"/>
        <w:spacing w:line="360" w:lineRule="auto"/>
        <w:ind w:firstLine="420" w:firstLineChars="200"/>
        <w:rPr>
          <w:rFonts w:ascii="宋体" w:hAnsi="宋体" w:eastAsia="宋体" w:cs="宋体"/>
          <w:color w:val="auto"/>
          <w:highlight w:val="none"/>
        </w:rPr>
      </w:pPr>
    </w:p>
    <w:p w14:paraId="5F588ACC">
      <w:pPr>
        <w:adjustRightInd w:val="0"/>
        <w:snapToGrid w:val="0"/>
        <w:spacing w:line="360" w:lineRule="auto"/>
        <w:jc w:val="center"/>
        <w:outlineLvl w:val="0"/>
        <w:rPr>
          <w:rFonts w:hint="eastAsia" w:ascii="黑体" w:hAnsi="黑体" w:eastAsia="黑体" w:cs="黑体"/>
          <w:b/>
          <w:bCs w:val="0"/>
          <w:color w:val="auto"/>
          <w:sz w:val="32"/>
          <w:szCs w:val="32"/>
          <w:highlight w:val="none"/>
        </w:rPr>
      </w:pPr>
      <w:bookmarkStart w:id="94" w:name="_Toc15305"/>
      <w:bookmarkStart w:id="95" w:name="_Toc7592"/>
      <w:bookmarkStart w:id="96" w:name="_Toc14641"/>
      <w:bookmarkStart w:id="97" w:name="_Toc23924"/>
      <w:bookmarkStart w:id="98" w:name="_Toc23579"/>
      <w:bookmarkStart w:id="99" w:name="_Toc13629"/>
      <w:r>
        <w:rPr>
          <w:rFonts w:hint="eastAsia" w:ascii="黑体" w:hAnsi="黑体" w:eastAsia="黑体" w:cs="黑体"/>
          <w:b/>
          <w:bCs w:val="0"/>
          <w:color w:val="auto"/>
          <w:sz w:val="32"/>
          <w:szCs w:val="32"/>
          <w:highlight w:val="none"/>
        </w:rPr>
        <w:t>第四章  合同条款</w:t>
      </w:r>
      <w:bookmarkEnd w:id="94"/>
      <w:bookmarkEnd w:id="95"/>
      <w:bookmarkEnd w:id="96"/>
      <w:bookmarkEnd w:id="97"/>
      <w:bookmarkEnd w:id="98"/>
      <w:bookmarkEnd w:id="99"/>
    </w:p>
    <w:p w14:paraId="2D78C5D3">
      <w:pPr>
        <w:rPr>
          <w:rFonts w:ascii="黑体" w:eastAsia="黑体"/>
          <w:color w:val="auto"/>
          <w:sz w:val="28"/>
          <w:szCs w:val="28"/>
          <w:highlight w:val="none"/>
        </w:rPr>
      </w:pPr>
      <w:r>
        <w:rPr>
          <w:rFonts w:ascii="黑体" w:eastAsia="黑体"/>
          <w:color w:val="auto"/>
          <w:sz w:val="28"/>
          <w:szCs w:val="28"/>
          <w:highlight w:val="none"/>
        </w:rPr>
        <w:br w:type="page"/>
      </w:r>
    </w:p>
    <w:p w14:paraId="603A9D33">
      <w:pPr>
        <w:jc w:val="left"/>
        <w:rPr>
          <w:rFonts w:hint="eastAsia" w:ascii="宋体" w:hAnsi="宋体" w:eastAsia="宋体" w:cs="Times New Roman"/>
          <w:b/>
          <w:color w:val="auto"/>
          <w:sz w:val="28"/>
          <w:szCs w:val="28"/>
          <w:highlight w:val="none"/>
          <w:lang w:eastAsia="zh-CN"/>
        </w:rPr>
      </w:pPr>
      <w:bookmarkStart w:id="100" w:name="Bookmark27"/>
      <w:bookmarkEnd w:id="100"/>
      <w:bookmarkStart w:id="101" w:name="_Toc38943429"/>
      <w:r>
        <w:rPr>
          <w:rFonts w:ascii="宋体" w:hAnsi="宋体" w:eastAsia="宋体" w:cs="Times New Roman"/>
          <w:b/>
          <w:color w:val="auto"/>
          <w:sz w:val="28"/>
          <w:szCs w:val="28"/>
          <w:highlight w:val="none"/>
        </w:rPr>
        <w:t>SFD-2015-0</w:t>
      </w:r>
      <w:r>
        <w:rPr>
          <w:rFonts w:hint="eastAsia" w:ascii="宋体" w:hAnsi="宋体" w:eastAsia="宋体" w:cs="Times New Roman"/>
          <w:b/>
          <w:color w:val="auto"/>
          <w:sz w:val="28"/>
          <w:szCs w:val="28"/>
          <w:highlight w:val="none"/>
        </w:rPr>
        <w:t>7</w:t>
      </w:r>
    </w:p>
    <w:p w14:paraId="3B0EEEB7">
      <w:pPr>
        <w:jc w:val="right"/>
        <w:rPr>
          <w:rFonts w:hint="eastAsia" w:ascii="黑体" w:hAnsi="宋体" w:eastAsia="黑体" w:cs="Times New Roman"/>
          <w:color w:val="auto"/>
          <w:sz w:val="28"/>
          <w:szCs w:val="28"/>
          <w:highlight w:val="none"/>
        </w:rPr>
      </w:pPr>
      <w:r>
        <w:rPr>
          <w:rFonts w:hint="eastAsia" w:ascii="黑体" w:hAnsi="宋体" w:eastAsia="黑体" w:cs="Times New Roman"/>
          <w:color w:val="auto"/>
          <w:sz w:val="28"/>
          <w:szCs w:val="28"/>
          <w:highlight w:val="none"/>
        </w:rPr>
        <w:t>工程编号：</w:t>
      </w:r>
      <w:r>
        <w:rPr>
          <w:rFonts w:hint="eastAsia" w:ascii="黑体" w:hAnsi="宋体" w:eastAsia="黑体" w:cs="Times New Roman"/>
          <w:color w:val="auto"/>
          <w:sz w:val="28"/>
          <w:szCs w:val="28"/>
          <w:highlight w:val="none"/>
          <w:u w:val="single"/>
        </w:rPr>
        <w:t xml:space="preserve">                 </w:t>
      </w:r>
    </w:p>
    <w:p w14:paraId="0FEFA612">
      <w:pPr>
        <w:jc w:val="right"/>
        <w:rPr>
          <w:rFonts w:hint="eastAsia" w:ascii="黑体" w:hAnsi="宋体" w:eastAsia="黑体" w:cs="Times New Roman"/>
          <w:color w:val="auto"/>
          <w:sz w:val="28"/>
          <w:szCs w:val="28"/>
          <w:highlight w:val="none"/>
          <w:u w:val="single"/>
        </w:rPr>
      </w:pPr>
      <w:r>
        <w:rPr>
          <w:rFonts w:hint="eastAsia" w:ascii="黑体" w:hAnsi="宋体" w:eastAsia="黑体" w:cs="Times New Roman"/>
          <w:color w:val="auto"/>
          <w:sz w:val="28"/>
          <w:szCs w:val="28"/>
          <w:highlight w:val="none"/>
        </w:rPr>
        <w:t>合同编号：</w:t>
      </w:r>
      <w:r>
        <w:rPr>
          <w:rFonts w:hint="eastAsia" w:ascii="黑体" w:hAnsi="宋体" w:eastAsia="黑体" w:cs="Times New Roman"/>
          <w:color w:val="auto"/>
          <w:sz w:val="28"/>
          <w:szCs w:val="28"/>
          <w:highlight w:val="none"/>
          <w:u w:val="single"/>
        </w:rPr>
        <w:t xml:space="preserve">                 </w:t>
      </w:r>
    </w:p>
    <w:p w14:paraId="56707144">
      <w:pPr>
        <w:jc w:val="right"/>
        <w:rPr>
          <w:rFonts w:hint="eastAsia" w:ascii="黑体" w:hAnsi="Times New Roman" w:eastAsia="黑体" w:cs="Times New Roman"/>
          <w:color w:val="auto"/>
          <w:sz w:val="32"/>
          <w:szCs w:val="32"/>
          <w:highlight w:val="none"/>
          <w:u w:val="single"/>
        </w:rPr>
      </w:pPr>
    </w:p>
    <w:p w14:paraId="653AE5B9">
      <w:pPr>
        <w:jc w:val="right"/>
        <w:rPr>
          <w:rFonts w:hint="eastAsia" w:ascii="黑体" w:hAnsi="Times New Roman" w:eastAsia="黑体" w:cs="Times New Roman"/>
          <w:color w:val="auto"/>
          <w:sz w:val="32"/>
          <w:szCs w:val="32"/>
          <w:highlight w:val="none"/>
          <w:u w:val="single"/>
        </w:rPr>
      </w:pPr>
    </w:p>
    <w:p w14:paraId="5C4B38A1">
      <w:pPr>
        <w:jc w:val="center"/>
        <w:rPr>
          <w:rFonts w:hint="eastAsia" w:ascii="黑体" w:hAnsi="宋体" w:eastAsia="黑体" w:cs="Times New Roman"/>
          <w:color w:val="auto"/>
          <w:sz w:val="44"/>
          <w:szCs w:val="44"/>
          <w:highlight w:val="none"/>
        </w:rPr>
      </w:pPr>
      <w:r>
        <w:rPr>
          <w:rFonts w:hint="eastAsia" w:ascii="黑体" w:hAnsi="宋体" w:eastAsia="黑体" w:cs="Times New Roman"/>
          <w:color w:val="auto"/>
          <w:sz w:val="44"/>
          <w:szCs w:val="44"/>
          <w:highlight w:val="none"/>
        </w:rPr>
        <w:t>深圳市建设工程</w:t>
      </w:r>
    </w:p>
    <w:p w14:paraId="3974543D">
      <w:pPr>
        <w:jc w:val="center"/>
        <w:rPr>
          <w:rFonts w:hint="eastAsia" w:ascii="黑体" w:hAnsi="宋体" w:eastAsia="黑体" w:cs="Times New Roman"/>
          <w:color w:val="auto"/>
          <w:szCs w:val="21"/>
          <w:highlight w:val="none"/>
        </w:rPr>
      </w:pPr>
    </w:p>
    <w:p w14:paraId="6E3A865B">
      <w:pPr>
        <w:jc w:val="center"/>
        <w:rPr>
          <w:rFonts w:hint="eastAsia" w:ascii="黑体" w:hAnsi="宋体" w:eastAsia="黑体" w:cs="Times New Roman"/>
          <w:color w:val="auto"/>
          <w:sz w:val="52"/>
          <w:szCs w:val="52"/>
          <w:highlight w:val="none"/>
        </w:rPr>
      </w:pPr>
      <w:r>
        <w:rPr>
          <w:rFonts w:hint="eastAsia" w:ascii="黑体" w:hAnsi="宋体" w:eastAsia="黑体" w:cs="Times New Roman"/>
          <w:color w:val="auto"/>
          <w:sz w:val="52"/>
          <w:szCs w:val="52"/>
          <w:highlight w:val="none"/>
        </w:rPr>
        <w:t>施工(单价)合同</w:t>
      </w:r>
    </w:p>
    <w:p w14:paraId="516D52C4">
      <w:pPr>
        <w:jc w:val="center"/>
        <w:outlineLvl w:val="9"/>
        <w:rPr>
          <w:rFonts w:hint="eastAsia" w:ascii="黑体" w:hAnsi="宋体" w:eastAsia="黑体" w:cs="Times New Roman"/>
          <w:color w:val="auto"/>
          <w:sz w:val="32"/>
          <w:szCs w:val="32"/>
          <w:highlight w:val="none"/>
        </w:rPr>
      </w:pPr>
      <w:bookmarkStart w:id="102" w:name="_Toc25027"/>
      <w:bookmarkStart w:id="103" w:name="_Toc492904945"/>
      <w:bookmarkStart w:id="104" w:name="_Toc67418462"/>
      <w:bookmarkStart w:id="105" w:name="_Toc448840947"/>
      <w:bookmarkStart w:id="106" w:name="_Toc453616279"/>
      <w:bookmarkStart w:id="107" w:name="_Toc448493953"/>
      <w:bookmarkStart w:id="108" w:name="_Toc67418029"/>
      <w:bookmarkStart w:id="109" w:name="_Toc67326976"/>
      <w:r>
        <w:rPr>
          <w:rFonts w:hint="eastAsia" w:ascii="黑体" w:hAnsi="宋体" w:eastAsia="黑体" w:cs="Times New Roman"/>
          <w:color w:val="auto"/>
          <w:sz w:val="32"/>
          <w:szCs w:val="32"/>
          <w:highlight w:val="none"/>
        </w:rPr>
        <w:t>(适用于招标工程固定单价施工合同)</w:t>
      </w:r>
      <w:bookmarkEnd w:id="102"/>
      <w:bookmarkEnd w:id="103"/>
      <w:bookmarkEnd w:id="104"/>
      <w:bookmarkEnd w:id="105"/>
      <w:bookmarkEnd w:id="106"/>
      <w:bookmarkEnd w:id="107"/>
      <w:bookmarkEnd w:id="108"/>
      <w:bookmarkEnd w:id="109"/>
    </w:p>
    <w:p w14:paraId="25025941">
      <w:pPr>
        <w:jc w:val="center"/>
        <w:rPr>
          <w:rFonts w:hint="eastAsia" w:ascii="黑体" w:hAnsi="Times New Roman" w:eastAsia="黑体" w:cs="Times New Roman"/>
          <w:color w:val="auto"/>
          <w:sz w:val="32"/>
          <w:szCs w:val="32"/>
          <w:highlight w:val="none"/>
        </w:rPr>
      </w:pPr>
    </w:p>
    <w:p w14:paraId="2E631293">
      <w:pPr>
        <w:jc w:val="center"/>
        <w:rPr>
          <w:rFonts w:hint="eastAsia" w:ascii="黑体" w:hAnsi="Times New Roman" w:eastAsia="黑体" w:cs="Times New Roman"/>
          <w:color w:val="auto"/>
          <w:sz w:val="32"/>
          <w:szCs w:val="32"/>
          <w:highlight w:val="none"/>
        </w:rPr>
      </w:pPr>
    </w:p>
    <w:p w14:paraId="54C276C1">
      <w:pPr>
        <w:jc w:val="center"/>
        <w:rPr>
          <w:rFonts w:hint="eastAsia" w:ascii="黑体" w:hAnsi="Times New Roman" w:eastAsia="黑体" w:cs="Times New Roman"/>
          <w:color w:val="auto"/>
          <w:sz w:val="32"/>
          <w:szCs w:val="32"/>
          <w:highlight w:val="none"/>
        </w:rPr>
      </w:pPr>
    </w:p>
    <w:p w14:paraId="36C4C4BA">
      <w:pPr>
        <w:rPr>
          <w:rFonts w:hint="eastAsia" w:ascii="黑体" w:hAnsi="Times New Roman" w:eastAsia="黑体" w:cs="Times New Roman"/>
          <w:color w:val="auto"/>
          <w:sz w:val="32"/>
          <w:szCs w:val="32"/>
          <w:highlight w:val="none"/>
        </w:rPr>
      </w:pPr>
    </w:p>
    <w:p w14:paraId="6A47AA9A">
      <w:pPr>
        <w:spacing w:before="312" w:after="156" w:line="480" w:lineRule="auto"/>
        <w:ind w:firstLine="320"/>
        <w:rPr>
          <w:rFonts w:hint="eastAsia" w:ascii="黑体" w:hAnsi="Times New Roman" w:eastAsia="黑体" w:cs="Times New Roman"/>
          <w:color w:val="auto"/>
          <w:sz w:val="32"/>
          <w:szCs w:val="32"/>
          <w:highlight w:val="none"/>
        </w:rPr>
      </w:pPr>
      <w:r>
        <w:rPr>
          <w:rFonts w:hint="eastAsia" w:ascii="黑体" w:hAnsi="Times New Roman" w:eastAsia="黑体" w:cs="Times New Roman"/>
          <w:color w:val="auto"/>
          <w:sz w:val="32"/>
          <w:szCs w:val="32"/>
          <w:highlight w:val="none"/>
        </w:rPr>
        <w:t>工程名称：</w:t>
      </w:r>
      <w:r>
        <w:rPr>
          <w:rFonts w:hint="eastAsia" w:ascii="黑体" w:hAnsi="Times New Roman" w:eastAsia="黑体" w:cs="Times New Roman"/>
          <w:color w:val="auto"/>
          <w:sz w:val="32"/>
          <w:szCs w:val="32"/>
          <w:highlight w:val="none"/>
          <w:u w:val="single"/>
        </w:rPr>
        <w:t xml:space="preserve">         　　　                  </w:t>
      </w:r>
    </w:p>
    <w:p w14:paraId="4A85365A">
      <w:pPr>
        <w:spacing w:before="312" w:after="156" w:line="480" w:lineRule="auto"/>
        <w:ind w:firstLine="320"/>
        <w:rPr>
          <w:rFonts w:hint="eastAsia" w:ascii="黑体" w:hAnsi="Times New Roman" w:eastAsia="黑体" w:cs="Times New Roman"/>
          <w:color w:val="auto"/>
          <w:sz w:val="32"/>
          <w:szCs w:val="32"/>
          <w:highlight w:val="none"/>
        </w:rPr>
      </w:pPr>
      <w:r>
        <w:rPr>
          <w:rFonts w:hint="eastAsia" w:ascii="黑体" w:hAnsi="Times New Roman" w:eastAsia="黑体" w:cs="Times New Roman"/>
          <w:color w:val="auto"/>
          <w:sz w:val="32"/>
          <w:szCs w:val="32"/>
          <w:highlight w:val="none"/>
        </w:rPr>
        <w:t>工程地点：</w:t>
      </w:r>
      <w:r>
        <w:rPr>
          <w:rFonts w:hint="eastAsia" w:ascii="黑体" w:hAnsi="Times New Roman" w:eastAsia="黑体" w:cs="Times New Roman"/>
          <w:color w:val="auto"/>
          <w:sz w:val="32"/>
          <w:szCs w:val="32"/>
          <w:highlight w:val="none"/>
          <w:u w:val="single"/>
        </w:rPr>
        <w:t xml:space="preserve">            　　　               </w:t>
      </w:r>
    </w:p>
    <w:p w14:paraId="31DF505B">
      <w:pPr>
        <w:spacing w:before="312" w:after="156" w:line="480" w:lineRule="auto"/>
        <w:ind w:firstLine="320"/>
        <w:rPr>
          <w:rFonts w:hint="eastAsia" w:ascii="黑体" w:hAnsi="Times New Roman" w:eastAsia="黑体" w:cs="Times New Roman"/>
          <w:color w:val="auto"/>
          <w:sz w:val="32"/>
          <w:szCs w:val="32"/>
          <w:highlight w:val="none"/>
        </w:rPr>
      </w:pPr>
      <w:r>
        <w:rPr>
          <w:rFonts w:hint="eastAsia" w:ascii="黑体" w:hAnsi="Times New Roman" w:eastAsia="黑体" w:cs="Times New Roman"/>
          <w:color w:val="auto"/>
          <w:sz w:val="32"/>
          <w:szCs w:val="32"/>
          <w:highlight w:val="none"/>
        </w:rPr>
        <w:t>发 包 人：</w:t>
      </w:r>
      <w:r>
        <w:rPr>
          <w:rFonts w:hint="eastAsia" w:ascii="黑体" w:hAnsi="Times New Roman" w:eastAsia="黑体" w:cs="Times New Roman"/>
          <w:color w:val="auto"/>
          <w:sz w:val="32"/>
          <w:szCs w:val="32"/>
          <w:highlight w:val="none"/>
          <w:u w:val="single"/>
        </w:rPr>
        <w:t xml:space="preserve">             　　　              </w:t>
      </w:r>
    </w:p>
    <w:p w14:paraId="7F40C8CC">
      <w:pPr>
        <w:spacing w:before="312" w:after="156" w:line="480" w:lineRule="auto"/>
        <w:ind w:firstLine="320"/>
        <w:rPr>
          <w:rFonts w:hint="eastAsia" w:ascii="黑体" w:hAnsi="Times New Roman" w:eastAsia="黑体" w:cs="Times New Roman"/>
          <w:color w:val="auto"/>
          <w:sz w:val="32"/>
          <w:szCs w:val="32"/>
          <w:highlight w:val="none"/>
          <w:u w:val="single"/>
        </w:rPr>
      </w:pPr>
      <w:r>
        <w:rPr>
          <w:rFonts w:hint="eastAsia" w:ascii="黑体" w:hAnsi="Times New Roman" w:eastAsia="黑体" w:cs="Times New Roman"/>
          <w:color w:val="auto"/>
          <w:sz w:val="32"/>
          <w:szCs w:val="32"/>
          <w:highlight w:val="none"/>
        </w:rPr>
        <w:t>承 包 人：</w:t>
      </w:r>
      <w:r>
        <w:rPr>
          <w:rFonts w:hint="eastAsia" w:ascii="黑体" w:hAnsi="Times New Roman" w:eastAsia="黑体" w:cs="Times New Roman"/>
          <w:color w:val="auto"/>
          <w:sz w:val="32"/>
          <w:szCs w:val="32"/>
          <w:highlight w:val="none"/>
          <w:u w:val="single"/>
        </w:rPr>
        <w:t xml:space="preserve">                　　　           </w:t>
      </w:r>
    </w:p>
    <w:p w14:paraId="2E388DEC">
      <w:pPr>
        <w:ind w:firstLine="960"/>
        <w:rPr>
          <w:rFonts w:hint="eastAsia" w:ascii="黑体" w:hAnsi="宋体" w:eastAsia="黑体" w:cs="Times New Roman"/>
          <w:color w:val="auto"/>
          <w:sz w:val="32"/>
          <w:szCs w:val="32"/>
          <w:highlight w:val="none"/>
          <w:u w:val="single"/>
        </w:rPr>
      </w:pPr>
    </w:p>
    <w:p w14:paraId="477C979F">
      <w:pPr>
        <w:rPr>
          <w:rFonts w:hint="eastAsia" w:ascii="黑体" w:hAnsi="宋体" w:eastAsia="黑体" w:cs="Times New Roman"/>
          <w:color w:val="auto"/>
          <w:szCs w:val="24"/>
          <w:highlight w:val="none"/>
        </w:rPr>
      </w:pPr>
    </w:p>
    <w:p w14:paraId="032DA7CD">
      <w:pPr>
        <w:rPr>
          <w:rFonts w:hint="eastAsia" w:ascii="黑体" w:hAnsi="宋体" w:eastAsia="黑体" w:cs="Times New Roman"/>
          <w:color w:val="auto"/>
          <w:szCs w:val="24"/>
          <w:highlight w:val="none"/>
        </w:rPr>
      </w:pPr>
    </w:p>
    <w:p w14:paraId="1EC91ED4">
      <w:pPr>
        <w:jc w:val="center"/>
        <w:rPr>
          <w:rFonts w:ascii="黑体" w:hAnsi="Times New Roman" w:eastAsia="黑体" w:cs="Times New Roman"/>
          <w:b/>
          <w:bCs/>
          <w:color w:val="auto"/>
          <w:sz w:val="44"/>
          <w:szCs w:val="24"/>
          <w:highlight w:val="none"/>
        </w:rPr>
      </w:pPr>
      <w:r>
        <w:rPr>
          <w:rFonts w:hint="eastAsia" w:ascii="黑体" w:hAnsi="宋体" w:eastAsia="黑体" w:cs="Times New Roman"/>
          <w:color w:val="auto"/>
          <w:sz w:val="28"/>
          <w:szCs w:val="28"/>
          <w:highlight w:val="none"/>
        </w:rPr>
        <w:t>201</w:t>
      </w:r>
      <w:r>
        <w:rPr>
          <w:rFonts w:ascii="黑体" w:hAnsi="宋体" w:eastAsia="黑体" w:cs="Times New Roman"/>
          <w:color w:val="auto"/>
          <w:sz w:val="28"/>
          <w:szCs w:val="28"/>
          <w:highlight w:val="none"/>
        </w:rPr>
        <w:t>5</w:t>
      </w:r>
      <w:r>
        <w:rPr>
          <w:rFonts w:hint="eastAsia" w:ascii="黑体" w:hAnsi="宋体" w:eastAsia="黑体" w:cs="Times New Roman"/>
          <w:color w:val="auto"/>
          <w:sz w:val="28"/>
          <w:szCs w:val="28"/>
          <w:highlight w:val="none"/>
        </w:rPr>
        <w:t>年版</w:t>
      </w:r>
      <w:r>
        <w:rPr>
          <w:rFonts w:hint="eastAsia" w:ascii="黑体" w:hAnsi="Times New Roman" w:eastAsia="黑体" w:cs="Times New Roman"/>
          <w:b/>
          <w:bCs/>
          <w:color w:val="auto"/>
          <w:sz w:val="44"/>
          <w:szCs w:val="24"/>
          <w:highlight w:val="none"/>
        </w:rPr>
        <w:br w:type="page"/>
      </w:r>
    </w:p>
    <w:p w14:paraId="10B29A3E">
      <w:pPr>
        <w:jc w:val="center"/>
        <w:rPr>
          <w:rFonts w:ascii="Times New Roman" w:hAnsi="Times New Roman" w:eastAsia="宋体" w:cs="Times New Roman"/>
          <w:b/>
          <w:bCs/>
          <w:color w:val="auto"/>
          <w:sz w:val="32"/>
          <w:szCs w:val="32"/>
          <w:highlight w:val="none"/>
        </w:rPr>
      </w:pPr>
      <w:r>
        <w:rPr>
          <w:rFonts w:hint="eastAsia" w:ascii="Times New Roman" w:hAnsi="Times New Roman" w:eastAsia="宋体" w:cs="Times New Roman"/>
          <w:b/>
          <w:bCs/>
          <w:color w:val="auto"/>
          <w:sz w:val="32"/>
          <w:szCs w:val="32"/>
          <w:highlight w:val="none"/>
        </w:rPr>
        <w:t>说</w:t>
      </w:r>
      <w:r>
        <w:rPr>
          <w:rFonts w:ascii="Times New Roman" w:hAnsi="Times New Roman" w:eastAsia="宋体" w:cs="Times New Roman"/>
          <w:b/>
          <w:bCs/>
          <w:color w:val="auto"/>
          <w:sz w:val="32"/>
          <w:szCs w:val="32"/>
          <w:highlight w:val="none"/>
        </w:rPr>
        <w:t xml:space="preserve"> </w:t>
      </w:r>
      <w:r>
        <w:rPr>
          <w:rFonts w:hint="eastAsia" w:ascii="Times New Roman" w:hAnsi="Times New Roman" w:eastAsia="宋体" w:cs="Times New Roman"/>
          <w:b/>
          <w:bCs/>
          <w:color w:val="auto"/>
          <w:sz w:val="32"/>
          <w:szCs w:val="32"/>
          <w:highlight w:val="none"/>
        </w:rPr>
        <w:t>明</w:t>
      </w:r>
    </w:p>
    <w:p w14:paraId="112EE497">
      <w:pPr>
        <w:ind w:firstLine="480"/>
        <w:rPr>
          <w:rFonts w:ascii="Times New Roman" w:hAnsi="Times New Roman" w:eastAsia="宋体" w:cs="Times New Roman"/>
          <w:color w:val="auto"/>
          <w:sz w:val="24"/>
          <w:szCs w:val="24"/>
          <w:highlight w:val="none"/>
        </w:rPr>
      </w:pPr>
    </w:p>
    <w:p w14:paraId="334C6921">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示范文本)根据《中华人民共和国民法典》、《中华人民共和国建筑法》、《中华人民共和国招标投标法》等法律以及深圳市相关的法规,借鉴国际通用的工程施工合同和住房城乡建设部、国家工商行政管理总局制定的《建设工程施工合同示范文本》（GF－2017-0201）,结合深圳市现行施工合同(示范文本)近几年的实践情况,由深圳市建设工程造价管理站编制而成。</w:t>
      </w:r>
    </w:p>
    <w:p w14:paraId="3F7C7831">
      <w:pPr>
        <w:spacing w:line="360" w:lineRule="auto"/>
        <w:ind w:firstLine="480"/>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一、《示范文本》的组成</w:t>
      </w:r>
    </w:p>
    <w:p w14:paraId="7246882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本合同(示范文本)由“协议书”、“通用条款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、“专用条款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和“补充条款”四部分组成。其中：</w:t>
      </w:r>
    </w:p>
    <w:p w14:paraId="2747CB84">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承发包双方基本的合同权利义务。</w:t>
      </w:r>
    </w:p>
    <w:p w14:paraId="2017CFD5">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2.“通用条款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是根据现行法律、法规、规章等规定，就工程建设的实施及相关事项，对发包人与承包人的权利义务作出的原则性约定。既考虑了现行法律法规对工程建设的有关要求，也考虑了建设工程施工管理的实际需要，具有较强的普遍性和通用性，是通用于建设工程施工的基础性合同条款。</w:t>
      </w:r>
    </w:p>
    <w:p w14:paraId="275A8A4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3.“专用条款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是指对通用条款原则性约定的细化、完善、补充、修改或另行约定的条款。发包人与承包人可根据法律、法规和规章的规定，结合具体工程实际，经过双方的谈判、协商达成一致意见，对应通用条款的内容，对不明确的条款作出具体约定；对不适用的条款作出修改；对缺少的内容作出补充；使合同更具可操作性，便于理解和履行。</w:t>
      </w:r>
    </w:p>
    <w:p w14:paraId="59FC4DD1">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4.“补充条款”是对合同中通用条款和专用条款未约定或约定不明确的内容进行补充约定的条款。</w:t>
      </w:r>
    </w:p>
    <w:p w14:paraId="06DF856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二、专用条款使用注意事项</w:t>
      </w:r>
    </w:p>
    <w:p w14:paraId="2444426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1.专用条款的编号应与相应的通用条款的编号一致。</w:t>
      </w:r>
    </w:p>
    <w:p w14:paraId="31D25993">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2.在专用条款中有横道线的地方，承发包双方可针对相应的通用条款进行细化、完善、补充、修改或另行约定；如无细化、完善、补充、修改或另行约定，则填写“无”或划“/”。</w:t>
      </w:r>
    </w:p>
    <w:p w14:paraId="082BBCB4">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3.“通用条款”和“专用条款”一并作为完整的合同条款，当两者之间有不符之处，以“专用条款”为准。“通用条款”中出现斜体字加粗“</w:t>
      </w:r>
      <w:r>
        <w:rPr>
          <w:rFonts w:hint="eastAsia" w:ascii="宋体" w:hAnsi="宋体" w:eastAsia="宋体" w:cs="Times New Roman"/>
          <w:b/>
          <w:i/>
          <w:color w:val="auto"/>
          <w:sz w:val="24"/>
          <w:szCs w:val="24"/>
          <w:highlight w:val="none"/>
        </w:rPr>
        <w:t>专用条款</w:t>
      </w:r>
      <w:r>
        <w:rPr>
          <w:rFonts w:hint="eastAsia" w:ascii="宋体" w:hAnsi="宋体" w:eastAsia="宋体" w:cs="Times New Roman"/>
          <w:color w:val="auto"/>
          <w:sz w:val="24"/>
          <w:szCs w:val="24"/>
          <w:highlight w:val="none"/>
        </w:rPr>
        <w:t>”字样的条文在相应“专用条款”的条文中有明确的约定。应按照同一编号的条款一起阅读和理解。</w:t>
      </w:r>
    </w:p>
    <w:p w14:paraId="67B8CA9A">
      <w:pPr>
        <w:spacing w:line="360" w:lineRule="auto"/>
        <w:ind w:firstLine="480"/>
        <w:rPr>
          <w:rFonts w:hint="eastAsia" w:ascii="宋体" w:hAnsi="宋体" w:eastAsia="宋体" w:cs="Times New Roman"/>
          <w:b/>
          <w:color w:val="auto"/>
          <w:sz w:val="24"/>
          <w:szCs w:val="24"/>
          <w:highlight w:val="none"/>
        </w:rPr>
      </w:pPr>
      <w:r>
        <w:rPr>
          <w:rFonts w:hint="eastAsia" w:ascii="宋体" w:hAnsi="宋体" w:eastAsia="宋体" w:cs="Times New Roman"/>
          <w:bCs/>
          <w:color w:val="auto"/>
          <w:sz w:val="24"/>
          <w:szCs w:val="24"/>
          <w:highlight w:val="none"/>
        </w:rPr>
        <w:t>三、《示范文本》的性质和适用范围</w:t>
      </w:r>
    </w:p>
    <w:p w14:paraId="06DD3857">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本合同(示范文本)适用于房屋建筑工程、土木工程、线路管道和设备安装工程、装修工程等建设招标工程</w:t>
      </w:r>
      <w:r>
        <w:rPr>
          <w:rFonts w:hint="eastAsia" w:ascii="宋体" w:hAnsi="宋体" w:eastAsia="宋体" w:cs="Times New Roman"/>
          <w:b/>
          <w:color w:val="auto"/>
          <w:sz w:val="24"/>
          <w:szCs w:val="24"/>
          <w:highlight w:val="none"/>
        </w:rPr>
        <w:t>固定单价施工合同</w:t>
      </w:r>
      <w:r>
        <w:rPr>
          <w:rFonts w:hint="eastAsia" w:ascii="宋体" w:hAnsi="宋体" w:eastAsia="宋体" w:cs="Times New Roman"/>
          <w:color w:val="auto"/>
          <w:sz w:val="24"/>
          <w:szCs w:val="24"/>
          <w:highlight w:val="none"/>
        </w:rPr>
        <w:t>,发包人与承包人可结合建设工程具体情况，参考本合同(示范文本)订立合同，并按照法律法规规定和合同约定承担相应的法律责任及合同权利义务。</w:t>
      </w:r>
    </w:p>
    <w:p w14:paraId="6FE839D0">
      <w:pPr>
        <w:spacing w:line="360" w:lineRule="auto"/>
        <w:ind w:firstLine="480"/>
        <w:rPr>
          <w:rFonts w:hint="eastAsia" w:ascii="宋体" w:hAnsi="宋体" w:eastAsia="宋体" w:cs="Times New Roman"/>
          <w:color w:val="auto"/>
          <w:sz w:val="24"/>
          <w:szCs w:val="24"/>
          <w:highlight w:val="none"/>
        </w:rPr>
      </w:pPr>
    </w:p>
    <w:p w14:paraId="1687FE78">
      <w:pPr>
        <w:spacing w:line="360" w:lineRule="auto"/>
        <w:ind w:firstLine="560"/>
        <w:rPr>
          <w:rFonts w:hint="eastAsia" w:ascii="黑体" w:hAnsi="宋体" w:eastAsia="黑体" w:cs="Times New Roman"/>
          <w:color w:val="auto"/>
          <w:sz w:val="28"/>
          <w:szCs w:val="28"/>
          <w:highlight w:val="none"/>
        </w:rPr>
      </w:pPr>
      <w:r>
        <w:rPr>
          <w:rFonts w:hint="eastAsia" w:ascii="黑体" w:hAnsi="宋体" w:eastAsia="黑体" w:cs="Times New Roman"/>
          <w:color w:val="auto"/>
          <w:sz w:val="28"/>
          <w:szCs w:val="28"/>
          <w:highlight w:val="none"/>
        </w:rPr>
        <w:t>《示范文本》使用过程中，</w:t>
      </w:r>
      <w:r>
        <w:rPr>
          <w:rFonts w:ascii="黑体" w:hAnsi="宋体" w:eastAsia="黑体" w:cs="Times New Roman"/>
          <w:color w:val="auto"/>
          <w:sz w:val="28"/>
          <w:szCs w:val="28"/>
          <w:highlight w:val="none"/>
        </w:rPr>
        <w:t>如有任何疑问或不明之处,请及时向专业人士咨询。</w:t>
      </w:r>
    </w:p>
    <w:p w14:paraId="710E539F">
      <w:pPr>
        <w:spacing w:line="360" w:lineRule="auto"/>
        <w:ind w:firstLine="560"/>
        <w:rPr>
          <w:rFonts w:hint="eastAsia" w:ascii="黑体" w:hAnsi="宋体" w:eastAsia="黑体" w:cs="Times New Roman"/>
          <w:color w:val="auto"/>
          <w:sz w:val="28"/>
          <w:szCs w:val="28"/>
          <w:highlight w:val="none"/>
        </w:rPr>
      </w:pPr>
      <w:r>
        <w:rPr>
          <w:rFonts w:hint="eastAsia" w:ascii="黑体" w:hAnsi="宋体" w:eastAsia="黑体" w:cs="Times New Roman"/>
          <w:color w:val="auto"/>
          <w:sz w:val="28"/>
          <w:szCs w:val="28"/>
          <w:highlight w:val="none"/>
        </w:rPr>
        <w:t>任何单位或个人未经深圳市建设工程造价管理站同意，不得以任何形式销售本合同(示范文本)及其中的任何部分。</w:t>
      </w:r>
    </w:p>
    <w:p w14:paraId="1F4B2884">
      <w:pPr>
        <w:spacing w:line="360" w:lineRule="auto"/>
        <w:ind w:firstLine="560"/>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本次印发版次为SFD-2015-0</w:t>
      </w:r>
      <w:r>
        <w:rPr>
          <w:rFonts w:hint="eastAsia" w:ascii="Times New Roman" w:hAnsi="Times New Roman" w:eastAsia="黑体" w:cs="Times New Roman"/>
          <w:color w:val="auto"/>
          <w:sz w:val="28"/>
          <w:szCs w:val="28"/>
          <w:highlight w:val="none"/>
        </w:rPr>
        <w:t>7</w:t>
      </w:r>
      <w:r>
        <w:rPr>
          <w:rFonts w:ascii="Times New Roman" w:hAnsi="Times New Roman" w:eastAsia="黑体" w:cs="Times New Roman"/>
          <w:color w:val="auto"/>
          <w:sz w:val="28"/>
          <w:szCs w:val="28"/>
          <w:highlight w:val="none"/>
        </w:rPr>
        <w:t>，即2015版第</w:t>
      </w:r>
      <w:r>
        <w:rPr>
          <w:rFonts w:hint="eastAsia" w:ascii="Times New Roman" w:hAnsi="Times New Roman" w:eastAsia="黑体" w:cs="Times New Roman"/>
          <w:color w:val="auto"/>
          <w:sz w:val="28"/>
          <w:szCs w:val="28"/>
          <w:highlight w:val="none"/>
        </w:rPr>
        <w:t>七</w:t>
      </w:r>
      <w:r>
        <w:rPr>
          <w:rFonts w:ascii="Times New Roman" w:hAnsi="Times New Roman" w:eastAsia="黑体" w:cs="Times New Roman"/>
          <w:color w:val="auto"/>
          <w:sz w:val="28"/>
          <w:szCs w:val="28"/>
          <w:highlight w:val="none"/>
        </w:rPr>
        <w:t>版。</w:t>
      </w:r>
    </w:p>
    <w:tbl>
      <w:tblPr>
        <w:tblStyle w:val="40"/>
        <w:tblW w:w="6584" w:type="dxa"/>
        <w:jc w:val="center"/>
        <w:tblLayout w:type="autofit"/>
        <w:tblCellMar>
          <w:top w:w="0" w:type="dxa"/>
          <w:left w:w="108" w:type="dxa"/>
          <w:bottom w:w="0" w:type="dxa"/>
          <w:right w:w="108" w:type="dxa"/>
        </w:tblCellMar>
      </w:tblPr>
      <w:tblGrid>
        <w:gridCol w:w="222"/>
        <w:gridCol w:w="222"/>
        <w:gridCol w:w="222"/>
        <w:gridCol w:w="222"/>
        <w:gridCol w:w="14"/>
        <w:gridCol w:w="236"/>
        <w:gridCol w:w="194"/>
        <w:gridCol w:w="28"/>
        <w:gridCol w:w="308"/>
        <w:gridCol w:w="28"/>
        <w:gridCol w:w="348"/>
        <w:gridCol w:w="320"/>
        <w:gridCol w:w="28"/>
        <w:gridCol w:w="308"/>
        <w:gridCol w:w="28"/>
        <w:gridCol w:w="228"/>
        <w:gridCol w:w="200"/>
        <w:gridCol w:w="28"/>
        <w:gridCol w:w="1052"/>
        <w:gridCol w:w="28"/>
        <w:gridCol w:w="2292"/>
        <w:gridCol w:w="28"/>
      </w:tblGrid>
      <w:tr w14:paraId="4A8D6B4C">
        <w:tblPrEx>
          <w:tblCellMar>
            <w:top w:w="0" w:type="dxa"/>
            <w:left w:w="108" w:type="dxa"/>
            <w:bottom w:w="0" w:type="dxa"/>
            <w:right w:w="108" w:type="dxa"/>
          </w:tblCellMar>
        </w:tblPrEx>
        <w:trPr>
          <w:gridAfter w:val="1"/>
          <w:wAfter w:w="28" w:type="dxa"/>
          <w:trHeight w:val="270" w:hRule="atLeast"/>
          <w:jc w:val="center"/>
        </w:trPr>
        <w:tc>
          <w:tcPr>
            <w:tcW w:w="444" w:type="dxa"/>
            <w:gridSpan w:val="2"/>
            <w:tcBorders>
              <w:top w:val="nil"/>
              <w:left w:val="nil"/>
              <w:bottom w:val="nil"/>
              <w:right w:val="nil"/>
            </w:tcBorders>
            <w:shd w:val="clear" w:color="000000" w:fill="FFFFFF"/>
            <w:noWrap/>
            <w:vAlign w:val="bottom"/>
          </w:tcPr>
          <w:p w14:paraId="4D5F7687">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S</w:t>
            </w:r>
          </w:p>
        </w:tc>
        <w:tc>
          <w:tcPr>
            <w:tcW w:w="444" w:type="dxa"/>
            <w:gridSpan w:val="2"/>
            <w:tcBorders>
              <w:top w:val="nil"/>
              <w:left w:val="nil"/>
              <w:bottom w:val="nil"/>
              <w:right w:val="nil"/>
            </w:tcBorders>
            <w:shd w:val="clear" w:color="000000" w:fill="FFFFFF"/>
            <w:noWrap/>
            <w:vAlign w:val="bottom"/>
          </w:tcPr>
          <w:p w14:paraId="3E1B9FAD">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p>
        </w:tc>
        <w:tc>
          <w:tcPr>
            <w:tcW w:w="444" w:type="dxa"/>
            <w:gridSpan w:val="3"/>
            <w:tcBorders>
              <w:top w:val="nil"/>
              <w:left w:val="nil"/>
              <w:bottom w:val="nil"/>
              <w:right w:val="nil"/>
            </w:tcBorders>
            <w:shd w:val="clear" w:color="000000" w:fill="FFFFFF"/>
            <w:noWrap/>
            <w:vAlign w:val="bottom"/>
          </w:tcPr>
          <w:p w14:paraId="07C100DB">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w:t>
            </w:r>
          </w:p>
        </w:tc>
        <w:tc>
          <w:tcPr>
            <w:tcW w:w="336" w:type="dxa"/>
            <w:gridSpan w:val="2"/>
            <w:tcBorders>
              <w:top w:val="nil"/>
              <w:left w:val="nil"/>
              <w:bottom w:val="nil"/>
              <w:right w:val="nil"/>
            </w:tcBorders>
            <w:shd w:val="clear" w:color="000000" w:fill="FFFFFF"/>
            <w:noWrap/>
            <w:vAlign w:val="bottom"/>
          </w:tcPr>
          <w:p w14:paraId="55DC9DD9">
            <w:pPr>
              <w:widowControl/>
              <w:rPr>
                <w:rFonts w:ascii="宋体" w:hAnsi="宋体" w:eastAsia="宋体" w:cs="宋体"/>
                <w:color w:val="auto"/>
                <w:sz w:val="24"/>
                <w:szCs w:val="24"/>
                <w:highlight w:val="none"/>
              </w:rPr>
            </w:pPr>
          </w:p>
        </w:tc>
        <w:tc>
          <w:tcPr>
            <w:tcW w:w="696" w:type="dxa"/>
            <w:gridSpan w:val="3"/>
            <w:tcBorders>
              <w:top w:val="nil"/>
              <w:left w:val="nil"/>
              <w:bottom w:val="nil"/>
              <w:right w:val="nil"/>
            </w:tcBorders>
            <w:shd w:val="clear" w:color="000000" w:fill="FFFFFF"/>
            <w:noWrap/>
            <w:vAlign w:val="bottom"/>
          </w:tcPr>
          <w:p w14:paraId="2219BAF4">
            <w:pPr>
              <w:widowControl/>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2015</w:t>
            </w:r>
          </w:p>
        </w:tc>
        <w:tc>
          <w:tcPr>
            <w:tcW w:w="336" w:type="dxa"/>
            <w:gridSpan w:val="2"/>
            <w:tcBorders>
              <w:top w:val="nil"/>
              <w:left w:val="nil"/>
              <w:bottom w:val="nil"/>
              <w:right w:val="nil"/>
            </w:tcBorders>
            <w:shd w:val="clear" w:color="000000" w:fill="FFFFFF"/>
            <w:noWrap/>
            <w:vAlign w:val="bottom"/>
          </w:tcPr>
          <w:p w14:paraId="5E8370D2">
            <w:pPr>
              <w:widowControl/>
              <w:rPr>
                <w:rFonts w:ascii="宋体" w:hAnsi="宋体" w:eastAsia="宋体" w:cs="宋体"/>
                <w:color w:val="auto"/>
                <w:sz w:val="24"/>
                <w:szCs w:val="24"/>
                <w:highlight w:val="none"/>
              </w:rPr>
            </w:pPr>
          </w:p>
        </w:tc>
        <w:tc>
          <w:tcPr>
            <w:tcW w:w="456" w:type="dxa"/>
            <w:gridSpan w:val="3"/>
            <w:tcBorders>
              <w:top w:val="nil"/>
              <w:left w:val="nil"/>
              <w:bottom w:val="nil"/>
              <w:right w:val="nil"/>
            </w:tcBorders>
            <w:shd w:val="clear" w:color="000000" w:fill="FFFFFF"/>
            <w:noWrap/>
            <w:vAlign w:val="bottom"/>
          </w:tcPr>
          <w:p w14:paraId="6BC6BDAD">
            <w:pPr>
              <w:widowControl/>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07</w:t>
            </w:r>
          </w:p>
        </w:tc>
        <w:tc>
          <w:tcPr>
            <w:tcW w:w="1080" w:type="dxa"/>
            <w:gridSpan w:val="2"/>
            <w:tcBorders>
              <w:top w:val="nil"/>
              <w:left w:val="nil"/>
              <w:bottom w:val="nil"/>
              <w:right w:val="nil"/>
            </w:tcBorders>
            <w:shd w:val="clear" w:color="000000" w:fill="FFFFFF"/>
            <w:noWrap/>
            <w:vAlign w:val="bottom"/>
          </w:tcPr>
          <w:p w14:paraId="635EE91A">
            <w:pPr>
              <w:widowControl/>
              <w:rPr>
                <w:rFonts w:ascii="宋体" w:hAnsi="宋体" w:eastAsia="宋体" w:cs="宋体"/>
                <w:color w:val="auto"/>
                <w:sz w:val="24"/>
                <w:szCs w:val="24"/>
                <w:highlight w:val="none"/>
              </w:rPr>
            </w:pPr>
          </w:p>
        </w:tc>
        <w:tc>
          <w:tcPr>
            <w:tcW w:w="2320" w:type="dxa"/>
            <w:gridSpan w:val="2"/>
            <w:tcBorders>
              <w:top w:val="nil"/>
              <w:left w:val="nil"/>
              <w:bottom w:val="nil"/>
              <w:right w:val="nil"/>
            </w:tcBorders>
            <w:shd w:val="clear" w:color="000000" w:fill="FFFFFF"/>
            <w:noWrap/>
            <w:vAlign w:val="bottom"/>
          </w:tcPr>
          <w:p w14:paraId="2E469821">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31C7E3F">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5E80BD6A">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single" w:color="auto" w:sz="4" w:space="0"/>
              <w:bottom w:val="single" w:color="auto" w:sz="4" w:space="0"/>
              <w:right w:val="nil"/>
            </w:tcBorders>
            <w:shd w:val="clear" w:color="000000" w:fill="FFFFFF"/>
            <w:noWrap/>
            <w:vAlign w:val="bottom"/>
          </w:tcPr>
          <w:p w14:paraId="1D3D6310">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single" w:color="auto" w:sz="4" w:space="0"/>
              <w:right w:val="nil"/>
            </w:tcBorders>
            <w:shd w:val="clear" w:color="000000" w:fill="FFFFFF"/>
            <w:noWrap/>
            <w:vAlign w:val="bottom"/>
          </w:tcPr>
          <w:p w14:paraId="36BAD4EA">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single" w:color="auto" w:sz="4" w:space="0"/>
              <w:bottom w:val="single" w:color="auto" w:sz="4" w:space="0"/>
              <w:right w:val="nil"/>
            </w:tcBorders>
            <w:shd w:val="clear" w:color="000000" w:fill="FFFFFF"/>
            <w:noWrap/>
            <w:vAlign w:val="bottom"/>
          </w:tcPr>
          <w:p w14:paraId="11760215">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single" w:color="auto" w:sz="4" w:space="0"/>
              <w:right w:val="nil"/>
            </w:tcBorders>
            <w:shd w:val="clear" w:color="000000" w:fill="FFFFFF"/>
            <w:noWrap/>
            <w:vAlign w:val="bottom"/>
          </w:tcPr>
          <w:p w14:paraId="77EA3C2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single" w:color="auto" w:sz="4" w:space="0"/>
              <w:bottom w:val="single" w:color="auto" w:sz="4" w:space="0"/>
              <w:right w:val="nil"/>
            </w:tcBorders>
            <w:shd w:val="clear" w:color="000000" w:fill="FFFFFF"/>
            <w:noWrap/>
            <w:vAlign w:val="bottom"/>
          </w:tcPr>
          <w:p w14:paraId="364A4BC4">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629F48E9">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single" w:color="auto" w:sz="4" w:space="0"/>
              <w:right w:val="nil"/>
            </w:tcBorders>
            <w:shd w:val="clear" w:color="000000" w:fill="FFFFFF"/>
            <w:noWrap/>
            <w:vAlign w:val="bottom"/>
          </w:tcPr>
          <w:p w14:paraId="11EB3185">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651C4141">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405DE39F">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14:paraId="0A9F5A13">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69E834F9">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14:paraId="37B59BE9">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14:paraId="015B196E">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深圳</w:t>
            </w:r>
          </w:p>
        </w:tc>
      </w:tr>
      <w:tr w14:paraId="13D0B6B4">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1E09D1AD">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52933231">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2E654B1F">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single" w:color="auto" w:sz="4" w:space="0"/>
              <w:bottom w:val="single" w:color="auto" w:sz="4" w:space="0"/>
              <w:right w:val="nil"/>
            </w:tcBorders>
            <w:shd w:val="clear" w:color="000000" w:fill="FFFFFF"/>
            <w:noWrap/>
            <w:vAlign w:val="bottom"/>
          </w:tcPr>
          <w:p w14:paraId="0CB501D8">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single" w:color="auto" w:sz="4" w:space="0"/>
              <w:right w:val="nil"/>
            </w:tcBorders>
            <w:shd w:val="clear" w:color="000000" w:fill="FFFFFF"/>
            <w:noWrap/>
            <w:vAlign w:val="bottom"/>
          </w:tcPr>
          <w:p w14:paraId="61C3B9F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single" w:color="auto" w:sz="4" w:space="0"/>
              <w:bottom w:val="single" w:color="auto" w:sz="4" w:space="0"/>
              <w:right w:val="nil"/>
            </w:tcBorders>
            <w:shd w:val="clear" w:color="000000" w:fill="FFFFFF"/>
            <w:noWrap/>
            <w:vAlign w:val="bottom"/>
          </w:tcPr>
          <w:p w14:paraId="5CB43EA4">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3D506AAD">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single" w:color="auto" w:sz="4" w:space="0"/>
              <w:right w:val="nil"/>
            </w:tcBorders>
            <w:shd w:val="clear" w:color="000000" w:fill="FFFFFF"/>
            <w:noWrap/>
            <w:vAlign w:val="bottom"/>
          </w:tcPr>
          <w:p w14:paraId="26D9E5C5">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36BDD05E">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4B85F053">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14:paraId="5303ED13">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5B2521EB">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14:paraId="1EBDEAD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14:paraId="423CE09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范本</w:t>
            </w:r>
          </w:p>
        </w:tc>
      </w:tr>
      <w:tr w14:paraId="0FCC4278">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4B3D4FC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78FC637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47AADC09">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nil"/>
              <w:bottom w:val="nil"/>
              <w:right w:val="nil"/>
            </w:tcBorders>
            <w:shd w:val="clear" w:color="000000" w:fill="FFFFFF"/>
            <w:noWrap/>
            <w:vAlign w:val="bottom"/>
          </w:tcPr>
          <w:p w14:paraId="0F433AD4">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nil"/>
              <w:right w:val="nil"/>
            </w:tcBorders>
            <w:shd w:val="clear" w:color="000000" w:fill="FFFFFF"/>
            <w:noWrap/>
            <w:vAlign w:val="bottom"/>
          </w:tcPr>
          <w:p w14:paraId="4CBD0BC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single" w:color="auto" w:sz="4" w:space="0"/>
              <w:bottom w:val="single" w:color="auto" w:sz="4" w:space="0"/>
              <w:right w:val="nil"/>
            </w:tcBorders>
            <w:shd w:val="clear" w:color="000000" w:fill="FFFFFF"/>
            <w:noWrap/>
            <w:vAlign w:val="bottom"/>
          </w:tcPr>
          <w:p w14:paraId="0A263560">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67D8A71B">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single" w:color="auto" w:sz="4" w:space="0"/>
              <w:right w:val="nil"/>
            </w:tcBorders>
            <w:shd w:val="clear" w:color="000000" w:fill="FFFFFF"/>
            <w:noWrap/>
            <w:vAlign w:val="bottom"/>
          </w:tcPr>
          <w:p w14:paraId="0413BDD7">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6EE9F1F8">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15CE75B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14:paraId="496BB82E">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2A45095A">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14:paraId="3C85593A">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14:paraId="6F495838">
            <w:pPr>
              <w:widowControl/>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招标工程单价合同</w:t>
            </w:r>
          </w:p>
        </w:tc>
      </w:tr>
      <w:tr w14:paraId="2E19899A">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5923BB69">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4B71356B">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22696347">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nil"/>
              <w:bottom w:val="nil"/>
              <w:right w:val="nil"/>
            </w:tcBorders>
            <w:shd w:val="clear" w:color="000000" w:fill="FFFFFF"/>
            <w:noWrap/>
            <w:vAlign w:val="bottom"/>
          </w:tcPr>
          <w:p w14:paraId="653F4981">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nil"/>
              <w:right w:val="nil"/>
            </w:tcBorders>
            <w:shd w:val="clear" w:color="000000" w:fill="FFFFFF"/>
            <w:noWrap/>
            <w:vAlign w:val="bottom"/>
          </w:tcPr>
          <w:p w14:paraId="4E42C80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nil"/>
              <w:bottom w:val="nil"/>
              <w:right w:val="nil"/>
            </w:tcBorders>
            <w:shd w:val="clear" w:color="000000" w:fill="FFFFFF"/>
            <w:noWrap/>
            <w:vAlign w:val="bottom"/>
          </w:tcPr>
          <w:p w14:paraId="695EFBFF">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nil"/>
              <w:right w:val="nil"/>
            </w:tcBorders>
            <w:shd w:val="clear" w:color="000000" w:fill="FFFFFF"/>
            <w:noWrap/>
            <w:vAlign w:val="bottom"/>
          </w:tcPr>
          <w:p w14:paraId="1789B33A">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nil"/>
              <w:right w:val="nil"/>
            </w:tcBorders>
            <w:shd w:val="clear" w:color="000000" w:fill="FFFFFF"/>
            <w:noWrap/>
            <w:vAlign w:val="bottom"/>
          </w:tcPr>
          <w:p w14:paraId="0498B223">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2C0040A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14:paraId="4008207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14:paraId="1A092FA4">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05C1331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14:paraId="54D7444C">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14:paraId="7AB5798B">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2015版</w:t>
            </w:r>
          </w:p>
        </w:tc>
      </w:tr>
      <w:tr w14:paraId="0AA5538B">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1867CA71">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6A157E0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14:paraId="47319A30">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nil"/>
              <w:bottom w:val="nil"/>
              <w:right w:val="nil"/>
            </w:tcBorders>
            <w:shd w:val="clear" w:color="000000" w:fill="FFFFFF"/>
            <w:noWrap/>
            <w:vAlign w:val="bottom"/>
          </w:tcPr>
          <w:p w14:paraId="20961350">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nil"/>
              <w:right w:val="nil"/>
            </w:tcBorders>
            <w:shd w:val="clear" w:color="000000" w:fill="FFFFFF"/>
            <w:noWrap/>
            <w:vAlign w:val="bottom"/>
          </w:tcPr>
          <w:p w14:paraId="1CBFE778">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nil"/>
              <w:bottom w:val="nil"/>
              <w:right w:val="nil"/>
            </w:tcBorders>
            <w:shd w:val="clear" w:color="000000" w:fill="FFFFFF"/>
            <w:noWrap/>
            <w:vAlign w:val="bottom"/>
          </w:tcPr>
          <w:p w14:paraId="6163992F">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nil"/>
              <w:right w:val="nil"/>
            </w:tcBorders>
            <w:shd w:val="clear" w:color="000000" w:fill="FFFFFF"/>
            <w:noWrap/>
            <w:vAlign w:val="bottom"/>
          </w:tcPr>
          <w:p w14:paraId="5178C4C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nil"/>
              <w:right w:val="nil"/>
            </w:tcBorders>
            <w:shd w:val="clear" w:color="000000" w:fill="FFFFFF"/>
            <w:noWrap/>
            <w:vAlign w:val="bottom"/>
          </w:tcPr>
          <w:p w14:paraId="16169D52">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nil"/>
              <w:bottom w:val="nil"/>
              <w:right w:val="nil"/>
            </w:tcBorders>
            <w:shd w:val="clear" w:color="000000" w:fill="FFFFFF"/>
            <w:noWrap/>
            <w:vAlign w:val="bottom"/>
          </w:tcPr>
          <w:p w14:paraId="57F92DE9">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nil"/>
              <w:right w:val="nil"/>
            </w:tcBorders>
            <w:shd w:val="clear" w:color="000000" w:fill="FFFFFF"/>
            <w:noWrap/>
            <w:vAlign w:val="bottom"/>
          </w:tcPr>
          <w:p w14:paraId="0B9A962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nil"/>
              <w:right w:val="nil"/>
            </w:tcBorders>
            <w:shd w:val="clear" w:color="000000" w:fill="FFFFFF"/>
            <w:noWrap/>
            <w:vAlign w:val="bottom"/>
          </w:tcPr>
          <w:p w14:paraId="4CF4345C">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48D59166">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14:paraId="1CC7C600">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14:paraId="7C884586">
            <w:pPr>
              <w:widowControl/>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第七次修订</w:t>
            </w:r>
          </w:p>
        </w:tc>
      </w:tr>
    </w:tbl>
    <w:p w14:paraId="42B3E5DD">
      <w:pPr>
        <w:spacing w:line="360" w:lineRule="auto"/>
        <w:ind w:firstLine="560"/>
        <w:rPr>
          <w:rFonts w:hint="eastAsia" w:ascii="Times New Roman" w:hAnsi="Times New Roman" w:eastAsia="黑体" w:cs="Times New Roman"/>
          <w:color w:val="auto"/>
          <w:sz w:val="28"/>
          <w:szCs w:val="28"/>
          <w:highlight w:val="none"/>
        </w:rPr>
      </w:pPr>
    </w:p>
    <w:p w14:paraId="4869E226">
      <w:pPr>
        <w:snapToGrid w:val="0"/>
        <w:ind w:firstLine="2520" w:firstLineChars="1200"/>
        <w:rPr>
          <w:rFonts w:ascii="Times New Roman" w:hAnsi="Times New Roman" w:eastAsia="黑体" w:cs="Times New Roman"/>
          <w:color w:val="auto"/>
          <w:sz w:val="28"/>
          <w:szCs w:val="28"/>
          <w:highlight w:val="none"/>
        </w:rPr>
      </w:pPr>
      <w:r>
        <w:rPr>
          <w:rFonts w:ascii="Times New Roman" w:hAnsi="Times New Roman" w:eastAsia="宋体" w:cs="Times New Roman"/>
          <w:color w:val="auto"/>
          <w:szCs w:val="24"/>
          <w:highlight w:val="none"/>
        </w:rPr>
        <w:t xml:space="preserve"> </w:t>
      </w:r>
    </w:p>
    <w:p w14:paraId="6BD361E4">
      <w:pPr>
        <w:spacing w:line="360" w:lineRule="auto"/>
        <w:ind w:firstLine="560"/>
        <w:rPr>
          <w:rFonts w:hint="eastAsia" w:ascii="黑体" w:hAnsi="宋体" w:eastAsia="黑体" w:cs="Times New Roman"/>
          <w:color w:val="auto"/>
          <w:sz w:val="28"/>
          <w:szCs w:val="28"/>
          <w:highlight w:val="none"/>
        </w:rPr>
      </w:pPr>
    </w:p>
    <w:p w14:paraId="531C4DBD">
      <w:pPr>
        <w:spacing w:line="360" w:lineRule="auto"/>
        <w:ind w:firstLine="560"/>
        <w:rPr>
          <w:rFonts w:hint="eastAsia" w:ascii="黑体" w:hAnsi="宋体" w:eastAsia="黑体" w:cs="Times New Roman"/>
          <w:color w:val="auto"/>
          <w:sz w:val="28"/>
          <w:szCs w:val="28"/>
          <w:highlight w:val="none"/>
        </w:rPr>
      </w:pPr>
    </w:p>
    <w:p w14:paraId="320955D7">
      <w:pPr>
        <w:spacing w:line="360" w:lineRule="auto"/>
        <w:ind w:firstLine="560"/>
        <w:rPr>
          <w:rFonts w:hint="eastAsia" w:ascii="黑体" w:hAnsi="宋体" w:eastAsia="黑体" w:cs="Times New Roman"/>
          <w:color w:val="auto"/>
          <w:sz w:val="28"/>
          <w:szCs w:val="28"/>
          <w:highlight w:val="none"/>
        </w:rPr>
      </w:pPr>
    </w:p>
    <w:p w14:paraId="6BB15986">
      <w:pPr>
        <w:spacing w:line="360" w:lineRule="auto"/>
        <w:ind w:firstLine="560"/>
        <w:rPr>
          <w:rFonts w:hint="eastAsia" w:ascii="黑体" w:hAnsi="宋体" w:eastAsia="黑体"/>
          <w:color w:val="auto"/>
          <w:sz w:val="28"/>
          <w:szCs w:val="28"/>
          <w:highlight w:val="none"/>
          <w:lang w:eastAsia="zh-CN"/>
        </w:rPr>
        <w:sectPr>
          <w:headerReference r:id="rId6" w:type="default"/>
          <w:footerReference r:id="rId7" w:type="default"/>
          <w:footerReference r:id="rId8" w:type="even"/>
          <w:pgSz w:w="11906" w:h="16838"/>
          <w:pgMar w:top="1440" w:right="1800" w:bottom="1440" w:left="1800" w:header="851" w:footer="992" w:gutter="0"/>
          <w:pgNumType w:fmt="decimal"/>
          <w:cols w:space="720" w:num="1"/>
          <w:docGrid w:type="lines" w:linePitch="312" w:charSpace="0"/>
        </w:sectPr>
      </w:pPr>
    </w:p>
    <w:p w14:paraId="086088CD">
      <w:pPr>
        <w:keepNext w:val="0"/>
        <w:keepLines w:val="0"/>
        <w:widowControl/>
        <w:numPr>
          <w:ilvl w:val="-1"/>
          <w:numId w:val="0"/>
        </w:numPr>
        <w:adjustRightInd w:val="0"/>
        <w:snapToGrid w:val="0"/>
        <w:spacing w:before="0" w:after="0" w:line="360" w:lineRule="auto"/>
        <w:jc w:val="center"/>
        <w:outlineLvl w:val="0"/>
        <w:rPr>
          <w:rFonts w:hint="eastAsia" w:ascii="黑体" w:hAnsi="黑体" w:eastAsia="黑体" w:cs="黑体"/>
          <w:b/>
          <w:bCs w:val="0"/>
          <w:snapToGrid/>
          <w:color w:val="auto"/>
          <w:kern w:val="2"/>
          <w:sz w:val="32"/>
          <w:szCs w:val="32"/>
          <w:highlight w:val="none"/>
          <w:lang w:val="en-US" w:eastAsia="zh-CN" w:bidi="ar-SA"/>
        </w:rPr>
      </w:pPr>
      <w:bookmarkStart w:id="110" w:name="_Toc8567"/>
      <w:bookmarkStart w:id="111" w:name="_Toc11999"/>
      <w:bookmarkStart w:id="112" w:name="_Toc5461"/>
      <w:bookmarkStart w:id="113" w:name="_Toc21582"/>
      <w:bookmarkStart w:id="114" w:name="_Toc302635677"/>
      <w:bookmarkStart w:id="115" w:name="_Toc4505"/>
      <w:bookmarkStart w:id="116" w:name="_Toc24432"/>
      <w:bookmarkStart w:id="117" w:name="_Toc9127"/>
      <w:bookmarkStart w:id="118" w:name="_Toc9281"/>
      <w:bookmarkStart w:id="119" w:name="_Toc27002"/>
      <w:r>
        <w:rPr>
          <w:rFonts w:hint="eastAsia" w:ascii="黑体" w:hAnsi="黑体" w:eastAsia="黑体" w:cs="黑体"/>
          <w:b/>
          <w:bCs w:val="0"/>
          <w:snapToGrid/>
          <w:color w:val="auto"/>
          <w:kern w:val="2"/>
          <w:sz w:val="32"/>
          <w:szCs w:val="32"/>
          <w:highlight w:val="none"/>
          <w:lang w:val="en-US" w:eastAsia="zh-CN" w:bidi="ar-SA"/>
        </w:rPr>
        <w:t>第一部分 协议书</w:t>
      </w:r>
      <w:bookmarkEnd w:id="110"/>
      <w:bookmarkEnd w:id="111"/>
      <w:bookmarkEnd w:id="112"/>
      <w:bookmarkEnd w:id="113"/>
      <w:bookmarkEnd w:id="114"/>
      <w:bookmarkEnd w:id="115"/>
      <w:bookmarkEnd w:id="116"/>
      <w:bookmarkEnd w:id="117"/>
      <w:bookmarkEnd w:id="118"/>
      <w:bookmarkEnd w:id="119"/>
    </w:p>
    <w:p w14:paraId="01A3CBD9">
      <w:pPr>
        <w:spacing w:line="360" w:lineRule="auto"/>
        <w:ind w:firstLine="519"/>
        <w:rPr>
          <w:rFonts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发包人</w:t>
      </w:r>
      <w:r>
        <w:rPr>
          <w:rFonts w:hint="eastAsia" w:ascii="宋体" w:hAnsi="宋体" w:eastAsia="宋体" w:cs="Times New Roman"/>
          <w:bCs/>
          <w:color w:val="auto"/>
          <w:sz w:val="24"/>
          <w:szCs w:val="24"/>
          <w:highlight w:val="none"/>
        </w:rPr>
        <w:t>(全称)：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57921939">
      <w:pPr>
        <w:spacing w:line="360" w:lineRule="auto"/>
        <w:ind w:firstLine="519"/>
        <w:rPr>
          <w:rFonts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承包人</w:t>
      </w:r>
      <w:r>
        <w:rPr>
          <w:rFonts w:hint="eastAsia" w:ascii="宋体" w:hAnsi="宋体" w:eastAsia="宋体" w:cs="Times New Roman"/>
          <w:bCs/>
          <w:color w:val="auto"/>
          <w:sz w:val="24"/>
          <w:szCs w:val="24"/>
          <w:highlight w:val="none"/>
        </w:rPr>
        <w:t>(全称)</w:t>
      </w:r>
      <w:r>
        <w:rPr>
          <w:rFonts w:hint="eastAsia" w:ascii="宋体" w:hAnsi="宋体" w:eastAsia="宋体" w:cs="Times New Roman"/>
          <w:b/>
          <w:bCs/>
          <w:color w:val="auto"/>
          <w:sz w:val="24"/>
          <w:szCs w:val="24"/>
          <w:highlight w:val="none"/>
        </w:rPr>
        <w:t>：</w:t>
      </w:r>
      <w:r>
        <w:rPr>
          <w:rFonts w:hint="eastAsia" w:ascii="宋体" w:hAnsi="宋体" w:eastAsia="宋体" w:cs="Times New Roman"/>
          <w:color w:val="auto"/>
          <w:sz w:val="24"/>
          <w:szCs w:val="24"/>
          <w:highlight w:val="none"/>
          <w:u w:val="single"/>
        </w:rPr>
        <w:t xml:space="preserve">                                      </w:t>
      </w:r>
    </w:p>
    <w:p w14:paraId="7C3C13A0">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根据《中华人民共和国民法典》、《中华人民共和国建筑法》、《</w:t>
      </w:r>
      <w:r>
        <w:rPr>
          <w:rFonts w:ascii="宋体" w:hAnsi="宋体" w:eastAsia="宋体" w:cs="Times New Roman"/>
          <w:color w:val="auto"/>
          <w:sz w:val="24"/>
          <w:szCs w:val="24"/>
          <w:highlight w:val="none"/>
        </w:rPr>
        <w:t>深圳经济特区建设工程施工招标投标条例</w:t>
      </w:r>
      <w:r>
        <w:rPr>
          <w:rFonts w:hint="eastAsia" w:ascii="宋体" w:hAnsi="宋体" w:eastAsia="宋体" w:cs="Times New Roman"/>
          <w:color w:val="auto"/>
          <w:sz w:val="24"/>
          <w:szCs w:val="24"/>
          <w:highlight w:val="none"/>
        </w:rPr>
        <w:t>》及其他有关法律、法规，遵循平等、自愿、公平和诚实信用的原则，发包人和承包人就本工程施工事项协商一致，订立本合同，达成协议如下：</w:t>
      </w:r>
    </w:p>
    <w:p w14:paraId="54E22483">
      <w:pPr>
        <w:keepNext w:val="0"/>
        <w:keepLines w:val="0"/>
        <w:widowControl/>
        <w:numPr>
          <w:ilvl w:val="0"/>
          <w:numId w:val="0"/>
        </w:numPr>
        <w:spacing w:before="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20" w:name="_Toc19976"/>
      <w:bookmarkStart w:id="121" w:name="_Toc13316"/>
      <w:bookmarkStart w:id="122" w:name="_Toc28227"/>
      <w:bookmarkStart w:id="123" w:name="_Toc3339"/>
      <w:bookmarkStart w:id="124" w:name="_Toc6207"/>
      <w:bookmarkStart w:id="125" w:name="_Toc16659"/>
      <w:bookmarkStart w:id="126" w:name="_Toc302635678"/>
      <w:bookmarkStart w:id="127" w:name="_Toc24698"/>
      <w:bookmarkStart w:id="128" w:name="_Toc19619"/>
      <w:bookmarkStart w:id="129" w:name="_Toc27383"/>
      <w:r>
        <w:rPr>
          <w:rFonts w:hint="eastAsia" w:ascii="宋体" w:hAnsi="宋体" w:eastAsia="宋体" w:cs="Times New Roman"/>
          <w:b/>
          <w:bCs/>
          <w:snapToGrid w:val="0"/>
          <w:color w:val="auto"/>
          <w:kern w:val="0"/>
          <w:sz w:val="30"/>
          <w:szCs w:val="44"/>
          <w:highlight w:val="none"/>
          <w:lang w:val="en-US" w:eastAsia="zh-CN" w:bidi="ar-SA"/>
        </w:rPr>
        <w:t>一、工程概况</w:t>
      </w:r>
      <w:bookmarkEnd w:id="120"/>
      <w:bookmarkEnd w:id="121"/>
      <w:bookmarkEnd w:id="122"/>
      <w:bookmarkEnd w:id="123"/>
      <w:bookmarkEnd w:id="124"/>
      <w:bookmarkEnd w:id="125"/>
      <w:bookmarkEnd w:id="126"/>
      <w:bookmarkEnd w:id="127"/>
      <w:bookmarkEnd w:id="128"/>
      <w:bookmarkEnd w:id="129"/>
    </w:p>
    <w:p w14:paraId="6C751B91">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工程名称：</w:t>
      </w:r>
      <w:r>
        <w:rPr>
          <w:rFonts w:hint="eastAsia" w:ascii="宋体" w:hAnsi="宋体" w:eastAsia="宋体" w:cs="Times New Roman"/>
          <w:color w:val="auto"/>
          <w:sz w:val="24"/>
          <w:szCs w:val="24"/>
          <w:highlight w:val="none"/>
          <w:u w:val="single"/>
        </w:rPr>
        <w:t xml:space="preserve">                                                                </w:t>
      </w:r>
    </w:p>
    <w:p w14:paraId="5AE59146">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工程地点：</w:t>
      </w:r>
      <w:r>
        <w:rPr>
          <w:rFonts w:hint="eastAsia" w:ascii="宋体" w:hAnsi="宋体" w:eastAsia="宋体" w:cs="Times New Roman"/>
          <w:color w:val="auto"/>
          <w:sz w:val="24"/>
          <w:szCs w:val="24"/>
          <w:highlight w:val="none"/>
          <w:u w:val="single"/>
        </w:rPr>
        <w:t xml:space="preserve">                                                           </w:t>
      </w:r>
    </w:p>
    <w:p w14:paraId="0B9BA4D3">
      <w:pPr>
        <w:spacing w:line="360" w:lineRule="auto"/>
        <w:ind w:firstLine="480"/>
        <w:rPr>
          <w:rFonts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核准（备案）证编号</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p>
    <w:p w14:paraId="65F1EA3D">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工程规模及特征：</w:t>
      </w:r>
      <w:r>
        <w:rPr>
          <w:rFonts w:hint="eastAsia" w:ascii="宋体" w:hAnsi="宋体" w:eastAsia="宋体" w:cs="Times New Roman"/>
          <w:color w:val="auto"/>
          <w:sz w:val="24"/>
          <w:szCs w:val="24"/>
          <w:highlight w:val="none"/>
          <w:u w:val="single"/>
        </w:rPr>
        <w:t xml:space="preserve">                                                   </w:t>
      </w:r>
    </w:p>
    <w:p w14:paraId="701D236B">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7BAC4A28">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资金来源：财政投入</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%；国有资本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%；集体资本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%；民营资本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%；外商投资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%；混合经济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其他</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5EA31B3">
      <w:pPr>
        <w:keepNext w:val="0"/>
        <w:keepLines w:val="0"/>
        <w:widowControl/>
        <w:numPr>
          <w:ilvl w:val="0"/>
          <w:numId w:val="0"/>
        </w:numPr>
        <w:spacing w:before="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30" w:name="_Toc8530"/>
      <w:bookmarkStart w:id="131" w:name="_Toc2580"/>
      <w:bookmarkStart w:id="132" w:name="_Toc1096"/>
      <w:bookmarkStart w:id="133" w:name="_Toc31258"/>
      <w:bookmarkStart w:id="134" w:name="_Toc15817"/>
      <w:bookmarkStart w:id="135" w:name="_Toc14417"/>
      <w:bookmarkStart w:id="136" w:name="_Toc18525"/>
      <w:bookmarkStart w:id="137" w:name="_Toc302635679"/>
      <w:bookmarkStart w:id="138" w:name="_Toc19789"/>
      <w:bookmarkStart w:id="139" w:name="_Toc2310"/>
      <w:r>
        <w:rPr>
          <w:rFonts w:hint="eastAsia" w:ascii="宋体" w:hAnsi="宋体" w:eastAsia="宋体" w:cs="Times New Roman"/>
          <w:b/>
          <w:bCs/>
          <w:snapToGrid w:val="0"/>
          <w:color w:val="auto"/>
          <w:kern w:val="0"/>
          <w:sz w:val="30"/>
          <w:szCs w:val="44"/>
          <w:highlight w:val="none"/>
          <w:lang w:val="en-US" w:eastAsia="zh-CN" w:bidi="ar-SA"/>
        </w:rPr>
        <w:t>二、工程承包范围</w:t>
      </w:r>
      <w:bookmarkEnd w:id="130"/>
      <w:bookmarkEnd w:id="131"/>
      <w:bookmarkEnd w:id="132"/>
      <w:bookmarkEnd w:id="133"/>
      <w:bookmarkEnd w:id="134"/>
      <w:bookmarkEnd w:id="135"/>
      <w:bookmarkEnd w:id="136"/>
      <w:bookmarkEnd w:id="137"/>
      <w:bookmarkEnd w:id="138"/>
      <w:bookmarkEnd w:id="139"/>
    </w:p>
    <w:p w14:paraId="031CE4EA">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ABD1E81">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3632653">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04A4DB16">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FB10D89">
      <w:pPr>
        <w:spacing w:line="360" w:lineRule="auto"/>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1.市政公用及配套专业工程、其他工程：</w:t>
      </w:r>
      <w:r>
        <w:rPr>
          <w:rFonts w:hint="eastAsia" w:ascii="宋体" w:hAnsi="宋体" w:eastAsia="宋体" w:cs="Times New Roman"/>
          <w:color w:val="auto"/>
          <w:szCs w:val="21"/>
          <w:highlight w:val="none"/>
        </w:rPr>
        <w:t>(在□内打√，并填写相应的工程量)</w:t>
      </w:r>
    </w:p>
    <w:tbl>
      <w:tblPr>
        <w:tblStyle w:val="40"/>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4111"/>
      </w:tblGrid>
      <w:tr w14:paraId="5C8D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26FE079D">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七通一平工程             万平方米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1C212380">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□电信管道工程          米</w:t>
            </w:r>
          </w:p>
        </w:tc>
      </w:tr>
      <w:tr w14:paraId="1B732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6612883A">
            <w:pPr>
              <w:spacing w:line="240" w:lineRule="atLeast"/>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□挡墙护坡工程 长： 米； 宽： 米；高： 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13A643C8">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□电力管道工程          米        </w:t>
            </w:r>
          </w:p>
        </w:tc>
      </w:tr>
      <w:tr w14:paraId="34D3D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2BB580D2">
            <w:pPr>
              <w:spacing w:line="240" w:lineRule="atLeast"/>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 软基处理工程            万平方米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2A2FB65C">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□污水处理厂及配套工程     立方米/d</w:t>
            </w:r>
          </w:p>
        </w:tc>
      </w:tr>
      <w:tr w14:paraId="2206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2FC3A76E">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□水厂及配套工程              立方米/d</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53C81DB8">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□污泥处理厂及配套工程     立方米/d</w:t>
            </w:r>
          </w:p>
        </w:tc>
      </w:tr>
      <w:tr w14:paraId="27F1C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2B750C34">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□给水管道工程            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74B55AD0">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□泵站工程                   平方米</w:t>
            </w:r>
          </w:p>
        </w:tc>
      </w:tr>
      <w:tr w14:paraId="54017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0138E5B2">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□道路工程   长：  米 宽：  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1F4E6971">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□隧道工程  长：  米 宽：  米 高：  米</w:t>
            </w:r>
          </w:p>
        </w:tc>
      </w:tr>
      <w:tr w14:paraId="41D5B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3806F774">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□桥梁工程           座</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43FCF84A">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□道路改造工程  长：  米   宽：  米</w:t>
            </w:r>
          </w:p>
        </w:tc>
      </w:tr>
      <w:tr w14:paraId="368F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478780CB">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□排水箱涵工程  长：  米 宽：  米 高：  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254FAAFD">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□路灯照明工程           座    </w:t>
            </w:r>
          </w:p>
        </w:tc>
      </w:tr>
      <w:tr w14:paraId="096A0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114741C4">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□交通监控、收费综合系统工程</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35F5CDBA">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□绿化工程          米</w:t>
            </w:r>
          </w:p>
        </w:tc>
      </w:tr>
      <w:tr w14:paraId="477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14:paraId="1A96C418">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□交通安全设施工程          米</w:t>
            </w:r>
          </w:p>
        </w:tc>
        <w:tc>
          <w:tcPr>
            <w:tcW w:w="4111" w:type="dxa"/>
            <w:tcBorders>
              <w:top w:val="single" w:color="auto" w:sz="4" w:space="0"/>
              <w:left w:val="single" w:color="auto" w:sz="4" w:space="0"/>
              <w:bottom w:val="single" w:color="auto" w:sz="4" w:space="0"/>
              <w:right w:val="single" w:color="auto" w:sz="4" w:space="0"/>
            </w:tcBorders>
            <w:noWrap w:val="0"/>
            <w:vAlign w:val="center"/>
          </w:tcPr>
          <w:p w14:paraId="483E037F">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□燃气工程          米</w:t>
            </w:r>
          </w:p>
        </w:tc>
      </w:tr>
      <w:tr w14:paraId="2ADA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784" w:type="dxa"/>
            <w:gridSpan w:val="2"/>
            <w:tcBorders>
              <w:top w:val="single" w:color="auto" w:sz="4" w:space="0"/>
              <w:left w:val="single" w:color="auto" w:sz="4" w:space="0"/>
              <w:bottom w:val="single" w:color="auto" w:sz="4" w:space="0"/>
              <w:right w:val="single" w:color="auto" w:sz="4" w:space="0"/>
            </w:tcBorders>
            <w:noWrap w:val="0"/>
            <w:vAlign w:val="center"/>
          </w:tcPr>
          <w:p w14:paraId="5042471A">
            <w:pPr>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□其它:</w:t>
            </w:r>
          </w:p>
        </w:tc>
      </w:tr>
    </w:tbl>
    <w:p w14:paraId="2827A513">
      <w:pPr>
        <w:spacing w:line="360" w:lineRule="auto"/>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2.房屋建筑及配套专业工程：</w:t>
      </w:r>
      <w:r>
        <w:rPr>
          <w:rFonts w:hint="eastAsia" w:ascii="宋体" w:hAnsi="宋体" w:eastAsia="宋体" w:cs="Times New Roman"/>
          <w:color w:val="auto"/>
          <w:szCs w:val="21"/>
          <w:highlight w:val="none"/>
        </w:rPr>
        <w:t>(在□内打√，并填写相应的工程量)</w:t>
      </w:r>
    </w:p>
    <w:tbl>
      <w:tblPr>
        <w:tblStyle w:val="40"/>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10"/>
        <w:gridCol w:w="2532"/>
        <w:gridCol w:w="3759"/>
      </w:tblGrid>
      <w:tr w14:paraId="5BF93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5A76A5C8">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□地基与基础工程  （□基础  □ 基坑支护  □边坡  □土石方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  </w:t>
            </w:r>
          </w:p>
        </w:tc>
      </w:tr>
      <w:tr w14:paraId="1873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0C6A90E6">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□主体结构工程    （□钢筋混凝土 □钢结构 □</w:t>
            </w:r>
            <w:r>
              <w:rPr>
                <w:rFonts w:hint="eastAsia" w:ascii="楷体_GB2312" w:hAnsi="Times New Roman" w:eastAsia="楷体_GB2312" w:cs="Times New Roman"/>
                <w:bCs/>
                <w:color w:val="auto"/>
                <w:spacing w:val="-20"/>
                <w:sz w:val="22"/>
                <w:szCs w:val="24"/>
                <w:highlight w:val="none"/>
              </w:rPr>
              <w:t xml:space="preserve">网架  </w:t>
            </w:r>
            <w:r>
              <w:rPr>
                <w:rFonts w:hint="eastAsia" w:ascii="楷体_GB2312" w:hAnsi="Times New Roman" w:eastAsia="楷体_GB2312" w:cs="Times New Roman"/>
                <w:bCs/>
                <w:color w:val="auto"/>
                <w:sz w:val="22"/>
                <w:szCs w:val="24"/>
                <w:highlight w:val="none"/>
              </w:rPr>
              <w:t xml:space="preserve">□索膜结构 □其它 </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6164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02BA6BC6">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□装饰装修工程     （□金属门窗   □幕墙：   平方米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  </w:t>
            </w:r>
          </w:p>
        </w:tc>
      </w:tr>
      <w:tr w14:paraId="1876B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2AA8241C">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□通风与空调       (□通风  □空调       </w:t>
            </w:r>
            <w:r>
              <w:rPr>
                <w:rFonts w:hint="eastAsia" w:ascii="楷体_GB2312" w:hAnsi="Times New Roman" w:eastAsia="楷体_GB2312" w:cs="Times New Roman"/>
                <w:bCs/>
                <w:color w:val="auto"/>
                <w:sz w:val="22"/>
                <w:szCs w:val="24"/>
                <w:highlight w:val="none"/>
                <w:lang w:eastAsia="zh-CN"/>
              </w:rPr>
              <w:t>□</w:t>
            </w:r>
            <w:r>
              <w:rPr>
                <w:rFonts w:hint="eastAsia" w:ascii="楷体_GB2312" w:hAnsi="Times New Roman" w:eastAsia="楷体_GB2312" w:cs="Times New Roman"/>
                <w:bCs/>
                <w:color w:val="auto"/>
                <w:sz w:val="22"/>
                <w:szCs w:val="24"/>
                <w:highlight w:val="none"/>
              </w:rPr>
              <w:t>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318BD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78CD839B">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w:t>
            </w:r>
            <w:r>
              <w:rPr>
                <w:rFonts w:hint="eastAsia" w:ascii="楷体_GB2312" w:hAnsi="Times New Roman" w:eastAsia="楷体_GB2312" w:cs="Times New Roman"/>
                <w:bCs/>
                <w:color w:val="auto"/>
                <w:spacing w:val="-20"/>
                <w:sz w:val="22"/>
                <w:szCs w:val="24"/>
                <w:highlight w:val="none"/>
              </w:rPr>
              <w:t xml:space="preserve">建筑给水排水及供暖    </w:t>
            </w:r>
            <w:r>
              <w:rPr>
                <w:rFonts w:hint="eastAsia" w:ascii="楷体_GB2312" w:hAnsi="Times New Roman" w:eastAsia="楷体_GB2312" w:cs="Times New Roman"/>
                <w:bCs/>
                <w:color w:val="auto"/>
                <w:sz w:val="22"/>
                <w:szCs w:val="24"/>
                <w:highlight w:val="none"/>
              </w:rPr>
              <w:t>（□室内给、排水系统 □ 室外给、排水系统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743A4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198EE948">
            <w:pPr>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□建筑电气工程     (□室外电气    □电气照明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7EB0F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2552" w:type="dxa"/>
            <w:gridSpan w:val="2"/>
            <w:tcBorders>
              <w:top w:val="single" w:color="auto" w:sz="4" w:space="0"/>
              <w:left w:val="single" w:color="auto" w:sz="4" w:space="0"/>
              <w:bottom w:val="single" w:color="auto" w:sz="4" w:space="0"/>
              <w:right w:val="single" w:color="auto" w:sz="4" w:space="0"/>
            </w:tcBorders>
            <w:noWrap w:val="0"/>
            <w:vAlign w:val="center"/>
          </w:tcPr>
          <w:p w14:paraId="41AB4D43">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□智能建筑</w:t>
            </w:r>
          </w:p>
        </w:tc>
        <w:tc>
          <w:tcPr>
            <w:tcW w:w="6291" w:type="dxa"/>
            <w:gridSpan w:val="2"/>
            <w:tcBorders>
              <w:top w:val="single" w:color="auto" w:sz="4" w:space="0"/>
              <w:left w:val="single" w:color="auto" w:sz="4" w:space="0"/>
              <w:bottom w:val="single" w:color="auto" w:sz="4" w:space="0"/>
              <w:right w:val="single" w:color="auto" w:sz="4" w:space="0"/>
            </w:tcBorders>
            <w:noWrap w:val="0"/>
            <w:vAlign w:val="center"/>
          </w:tcPr>
          <w:p w14:paraId="43F3E96A">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(□综合布线系统  □信息网络系统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w:t>
            </w:r>
          </w:p>
        </w:tc>
      </w:tr>
      <w:tr w14:paraId="7A3F0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2542" w:type="dxa"/>
            <w:tcBorders>
              <w:top w:val="single" w:color="auto" w:sz="4" w:space="0"/>
              <w:left w:val="single" w:color="auto" w:sz="4" w:space="0"/>
              <w:bottom w:val="single" w:color="auto" w:sz="4" w:space="0"/>
              <w:right w:val="single" w:color="auto" w:sz="4" w:space="0"/>
            </w:tcBorders>
            <w:noWrap w:val="0"/>
            <w:vAlign w:val="center"/>
          </w:tcPr>
          <w:p w14:paraId="728C94A6">
            <w:pPr>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□屋面及防水工程</w:t>
            </w:r>
          </w:p>
        </w:tc>
        <w:tc>
          <w:tcPr>
            <w:tcW w:w="2542" w:type="dxa"/>
            <w:gridSpan w:val="2"/>
            <w:tcBorders>
              <w:top w:val="single" w:color="auto" w:sz="4" w:space="0"/>
              <w:left w:val="single" w:color="auto" w:sz="4" w:space="0"/>
              <w:bottom w:val="single" w:color="auto" w:sz="4" w:space="0"/>
              <w:right w:val="single" w:color="auto" w:sz="4" w:space="0"/>
            </w:tcBorders>
            <w:noWrap w:val="0"/>
            <w:vAlign w:val="center"/>
          </w:tcPr>
          <w:p w14:paraId="3EB9D301">
            <w:pPr>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 xml:space="preserve">□建筑节能    </w:t>
            </w:r>
          </w:p>
        </w:tc>
        <w:tc>
          <w:tcPr>
            <w:tcW w:w="3759" w:type="dxa"/>
            <w:tcBorders>
              <w:top w:val="single" w:color="auto" w:sz="4" w:space="0"/>
              <w:left w:val="single" w:color="auto" w:sz="4" w:space="0"/>
              <w:bottom w:val="single" w:color="auto" w:sz="4" w:space="0"/>
              <w:right w:val="single" w:color="auto" w:sz="4" w:space="0"/>
            </w:tcBorders>
            <w:noWrap w:val="0"/>
            <w:vAlign w:val="center"/>
          </w:tcPr>
          <w:p w14:paraId="32E85538">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□消防工程</w:t>
            </w:r>
          </w:p>
        </w:tc>
      </w:tr>
      <w:tr w14:paraId="70126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53F6A293">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室外工程   （ □室外设施</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□附属建筑</w:t>
            </w:r>
            <w:r>
              <w:rPr>
                <w:rFonts w:hint="eastAsia" w:ascii="楷体_GB2312" w:hAnsi="Times New Roman" w:eastAsia="楷体_GB2312" w:cs="Times New Roman"/>
                <w:color w:val="auto"/>
                <w:sz w:val="22"/>
                <w:szCs w:val="24"/>
                <w:highlight w:val="none"/>
                <w:u w:val="single"/>
              </w:rPr>
              <w:t xml:space="preserve">                   </w:t>
            </w:r>
          </w:p>
          <w:p w14:paraId="4DD77C83">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                 □室外环境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6E532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14:paraId="7F1160E3">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□燃气工程     （户数：</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color w:val="auto"/>
                <w:sz w:val="22"/>
                <w:szCs w:val="24"/>
                <w:highlight w:val="none"/>
              </w:rPr>
              <w:t>户；</w:t>
            </w:r>
            <w:r>
              <w:rPr>
                <w:rFonts w:hint="eastAsia" w:ascii="楷体_GB2312" w:hAnsi="Times New Roman" w:eastAsia="楷体_GB2312" w:cs="Times New Roman"/>
                <w:bCs/>
                <w:color w:val="auto"/>
                <w:sz w:val="22"/>
                <w:szCs w:val="24"/>
                <w:highlight w:val="none"/>
              </w:rPr>
              <w:t xml:space="preserve"> 庭院管：</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米）</w:t>
            </w:r>
          </w:p>
        </w:tc>
      </w:tr>
    </w:tbl>
    <w:p w14:paraId="16B07868">
      <w:pPr>
        <w:spacing w:line="360" w:lineRule="auto"/>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3.二次装饰装修工程：</w:t>
      </w:r>
      <w:r>
        <w:rPr>
          <w:rFonts w:hint="eastAsia" w:ascii="宋体" w:hAnsi="宋体" w:eastAsia="宋体" w:cs="Times New Roman"/>
          <w:color w:val="auto"/>
          <w:szCs w:val="21"/>
          <w:highlight w:val="none"/>
        </w:rPr>
        <w:t>(在□内打√，并填写相应的工程量)</w:t>
      </w:r>
    </w:p>
    <w:tbl>
      <w:tblPr>
        <w:tblStyle w:val="40"/>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43"/>
        <w:gridCol w:w="2126"/>
        <w:gridCol w:w="1701"/>
        <w:gridCol w:w="1559"/>
      </w:tblGrid>
      <w:tr w14:paraId="4CED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665" w:type="dxa"/>
            <w:tcBorders>
              <w:top w:val="single" w:color="auto" w:sz="4" w:space="0"/>
              <w:left w:val="single" w:color="auto" w:sz="4" w:space="0"/>
              <w:bottom w:val="single" w:color="auto" w:sz="4" w:space="0"/>
              <w:right w:val="single" w:color="auto" w:sz="4" w:space="0"/>
            </w:tcBorders>
            <w:noWrap w:val="0"/>
            <w:vAlign w:val="center"/>
          </w:tcPr>
          <w:p w14:paraId="554A239E">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□消防工程</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2D8D288">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□门窗</w:t>
            </w:r>
          </w:p>
        </w:tc>
        <w:tc>
          <w:tcPr>
            <w:tcW w:w="2126" w:type="dxa"/>
            <w:tcBorders>
              <w:top w:val="single" w:color="auto" w:sz="4" w:space="0"/>
              <w:left w:val="single" w:color="auto" w:sz="4" w:space="0"/>
              <w:bottom w:val="single" w:color="auto" w:sz="4" w:space="0"/>
              <w:right w:val="single" w:color="auto" w:sz="4" w:space="0"/>
            </w:tcBorders>
            <w:noWrap w:val="0"/>
            <w:vAlign w:val="center"/>
          </w:tcPr>
          <w:p w14:paraId="60CB3243">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□防水工程</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7F0E7EE">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□电气照明 </w:t>
            </w:r>
          </w:p>
        </w:tc>
        <w:tc>
          <w:tcPr>
            <w:tcW w:w="1559" w:type="dxa"/>
            <w:tcBorders>
              <w:top w:val="single" w:color="auto" w:sz="4" w:space="0"/>
              <w:left w:val="single" w:color="auto" w:sz="4" w:space="0"/>
              <w:bottom w:val="single" w:color="auto" w:sz="4" w:space="0"/>
              <w:right w:val="single" w:color="auto" w:sz="4" w:space="0"/>
            </w:tcBorders>
            <w:noWrap w:val="0"/>
            <w:vAlign w:val="center"/>
          </w:tcPr>
          <w:p w14:paraId="7F74EE7B">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w:t>
            </w:r>
            <w:r>
              <w:rPr>
                <w:rFonts w:hint="eastAsia" w:ascii="楷体_GB2312" w:hAnsi="楷体_GB2312" w:eastAsia="楷体_GB2312" w:cs="楷体_GB2312"/>
                <w:color w:val="auto"/>
                <w:sz w:val="22"/>
                <w:szCs w:val="24"/>
                <w:highlight w:val="none"/>
              </w:rPr>
              <w:t>建筑节能</w:t>
            </w:r>
          </w:p>
        </w:tc>
      </w:tr>
      <w:tr w14:paraId="141BD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7F102753">
            <w:pPr>
              <w:tabs>
                <w:tab w:val="left" w:pos="600"/>
              </w:tabs>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□通风与空调 (□通风  □空调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7292B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5C8F37F4">
            <w:pPr>
              <w:rPr>
                <w:rFonts w:hint="eastAsia"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□建筑给排水及供暖（□室内给、排水系统   □室外给、排水系统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648B3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02854579">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□智能建筑  (□综合布线系统    □信息网络系统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2B46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7A69F9DC">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□装饰装修  (□抹灰   □涂饰   □饰面板（砖）   □吊顶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14:paraId="4CCED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106160B6">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□其它：</w:t>
            </w:r>
          </w:p>
        </w:tc>
      </w:tr>
    </w:tbl>
    <w:p w14:paraId="42E0F7F9">
      <w:pPr>
        <w:spacing w:line="360" w:lineRule="auto"/>
        <w:rPr>
          <w:rFonts w:hint="eastAsia" w:ascii="宋体" w:hAnsi="宋体" w:eastAsia="宋体" w:cs="Times New Roman"/>
          <w:b/>
          <w:color w:val="auto"/>
          <w:sz w:val="24"/>
          <w:szCs w:val="24"/>
          <w:highlight w:val="none"/>
        </w:rPr>
      </w:pPr>
      <w:bookmarkStart w:id="140" w:name="_Toc302635680"/>
      <w:r>
        <w:rPr>
          <w:rFonts w:hint="eastAsia" w:ascii="宋体" w:hAnsi="宋体" w:eastAsia="宋体" w:cs="Times New Roman"/>
          <w:b/>
          <w:color w:val="auto"/>
          <w:sz w:val="24"/>
          <w:szCs w:val="24"/>
          <w:highlight w:val="none"/>
        </w:rPr>
        <w:t>4.其他工程</w:t>
      </w:r>
    </w:p>
    <w:p w14:paraId="0607AA88">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149173F4">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24471196">
      <w:pPr>
        <w:spacing w:line="360" w:lineRule="auto"/>
        <w:ind w:firstLine="480"/>
        <w:rPr>
          <w:rFonts w:hint="eastAsia" w:ascii="宋体" w:hAnsi="宋体" w:eastAsia="宋体" w:cs="Times New Roman"/>
          <w:color w:val="auto"/>
          <w:sz w:val="24"/>
          <w:szCs w:val="24"/>
          <w:highlight w:val="none"/>
          <w:u w:val="single"/>
        </w:rPr>
      </w:pPr>
    </w:p>
    <w:p w14:paraId="747177D2">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41" w:name="_Toc1976"/>
      <w:bookmarkStart w:id="142" w:name="_Toc31626"/>
      <w:bookmarkStart w:id="143" w:name="_Toc31005"/>
      <w:bookmarkStart w:id="144" w:name="_Toc29075"/>
      <w:bookmarkStart w:id="145" w:name="_Toc7563"/>
      <w:bookmarkStart w:id="146" w:name="_Toc18794"/>
      <w:bookmarkStart w:id="147" w:name="_Toc25575"/>
      <w:bookmarkStart w:id="148" w:name="_Toc989"/>
      <w:bookmarkStart w:id="149" w:name="_Toc20289"/>
      <w:r>
        <w:rPr>
          <w:rFonts w:hint="eastAsia" w:ascii="宋体" w:hAnsi="宋体" w:eastAsia="宋体" w:cs="Times New Roman"/>
          <w:b/>
          <w:bCs/>
          <w:snapToGrid w:val="0"/>
          <w:color w:val="auto"/>
          <w:kern w:val="0"/>
          <w:sz w:val="30"/>
          <w:szCs w:val="44"/>
          <w:highlight w:val="none"/>
          <w:lang w:val="en-US" w:eastAsia="zh-CN" w:bidi="ar-SA"/>
        </w:rPr>
        <w:t>三、合同工期</w:t>
      </w:r>
      <w:bookmarkEnd w:id="140"/>
      <w:bookmarkEnd w:id="141"/>
      <w:bookmarkEnd w:id="142"/>
      <w:bookmarkEnd w:id="143"/>
      <w:bookmarkEnd w:id="144"/>
      <w:bookmarkEnd w:id="145"/>
      <w:bookmarkEnd w:id="146"/>
      <w:bookmarkEnd w:id="147"/>
      <w:bookmarkEnd w:id="148"/>
      <w:bookmarkEnd w:id="149"/>
    </w:p>
    <w:p w14:paraId="52827ED5">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计划开工日期：</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14:paraId="352B65DD">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计划竣工日期：</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14:paraId="1DCB3F0B">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合同工期总日历天数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14:paraId="554354A3">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招标工期总日历天数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14:paraId="4B77CD0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定额工期总日历天数</w:t>
      </w:r>
      <w:r>
        <w:rPr>
          <w:rFonts w:hint="eastAsia" w:ascii="宋体" w:hAnsi="宋体" w:eastAsia="宋体" w:cs="Times New Roman"/>
          <w:bCs/>
          <w:color w:val="auto"/>
          <w:sz w:val="28"/>
          <w:szCs w:val="28"/>
          <w:highlight w:val="none"/>
          <w:u w:val="single"/>
        </w:rPr>
        <w:t xml:space="preserve">          </w:t>
      </w:r>
      <w:r>
        <w:rPr>
          <w:rFonts w:hint="eastAsia" w:ascii="宋体" w:hAnsi="宋体" w:eastAsia="宋体" w:cs="Times New Roman"/>
          <w:color w:val="auto"/>
          <w:sz w:val="24"/>
          <w:szCs w:val="24"/>
          <w:highlight w:val="none"/>
        </w:rPr>
        <w:t>天。</w:t>
      </w:r>
    </w:p>
    <w:p w14:paraId="7F0CFE12">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合同工期对比定额工期的压缩比例为</w:t>
      </w:r>
      <w:r>
        <w:rPr>
          <w:rFonts w:hint="eastAsia" w:ascii="宋体" w:hAnsi="宋体" w:eastAsia="宋体" w:cs="Times New Roman"/>
          <w:b/>
          <w:bCs/>
          <w:color w:val="auto"/>
          <w:sz w:val="28"/>
          <w:szCs w:val="28"/>
          <w:highlight w:val="none"/>
          <w:u w:val="single"/>
        </w:rPr>
        <w:t xml:space="preserve">    </w:t>
      </w:r>
      <w:r>
        <w:rPr>
          <w:rFonts w:hint="eastAsia" w:ascii="宋体" w:hAnsi="宋体" w:eastAsia="宋体" w:cs="Times New Roman"/>
          <w:bCs/>
          <w:color w:val="auto"/>
          <w:sz w:val="28"/>
          <w:szCs w:val="28"/>
          <w:highlight w:val="none"/>
          <w:u w:val="single"/>
        </w:rPr>
        <w:t>%</w:t>
      </w:r>
      <w:r>
        <w:rPr>
          <w:rFonts w:hint="eastAsia" w:ascii="宋体" w:hAnsi="宋体" w:eastAsia="宋体" w:cs="Times New Roman"/>
          <w:b/>
          <w:bCs/>
          <w:color w:val="auto"/>
          <w:sz w:val="28"/>
          <w:szCs w:val="28"/>
          <w:highlight w:val="none"/>
          <w:u w:val="single"/>
        </w:rPr>
        <w:t xml:space="preserve"> </w:t>
      </w:r>
      <w:r>
        <w:rPr>
          <w:rFonts w:hint="eastAsia" w:ascii="宋体" w:hAnsi="宋体" w:eastAsia="宋体" w:cs="Times New Roman"/>
          <w:color w:val="auto"/>
          <w:sz w:val="24"/>
          <w:szCs w:val="24"/>
          <w:highlight w:val="none"/>
        </w:rPr>
        <w:t xml:space="preserve"> (压缩比例=1-合同工期/定额工期)。</w:t>
      </w:r>
    </w:p>
    <w:p w14:paraId="328C8652">
      <w:pPr>
        <w:keepNext w:val="0"/>
        <w:keepLines w:val="0"/>
        <w:widowControl w:val="0"/>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50" w:name="_Toc30909"/>
      <w:bookmarkStart w:id="151" w:name="_Toc29688"/>
      <w:bookmarkStart w:id="152" w:name="_Toc790"/>
      <w:bookmarkStart w:id="153" w:name="_Toc16810"/>
      <w:bookmarkStart w:id="154" w:name="_Toc880"/>
      <w:bookmarkStart w:id="155" w:name="_Toc14545"/>
      <w:bookmarkStart w:id="156" w:name="_Toc915"/>
      <w:bookmarkStart w:id="157" w:name="_Toc302635681"/>
      <w:bookmarkStart w:id="158" w:name="_Toc20626"/>
      <w:bookmarkStart w:id="159" w:name="_Toc14257"/>
      <w:r>
        <w:rPr>
          <w:rFonts w:hint="eastAsia" w:ascii="宋体" w:hAnsi="宋体" w:eastAsia="宋体" w:cs="Times New Roman"/>
          <w:b/>
          <w:bCs/>
          <w:snapToGrid w:val="0"/>
          <w:color w:val="auto"/>
          <w:kern w:val="0"/>
          <w:sz w:val="30"/>
          <w:szCs w:val="44"/>
          <w:highlight w:val="none"/>
          <w:lang w:val="en-US" w:eastAsia="zh-CN" w:bidi="ar-SA"/>
        </w:rPr>
        <w:t>四、质量标准</w:t>
      </w:r>
      <w:bookmarkEnd w:id="150"/>
      <w:bookmarkEnd w:id="151"/>
      <w:bookmarkEnd w:id="152"/>
      <w:bookmarkEnd w:id="153"/>
      <w:bookmarkEnd w:id="154"/>
      <w:bookmarkEnd w:id="155"/>
      <w:bookmarkEnd w:id="156"/>
      <w:bookmarkEnd w:id="157"/>
      <w:bookmarkEnd w:id="158"/>
      <w:bookmarkEnd w:id="159"/>
    </w:p>
    <w:p w14:paraId="21EFD2C3">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本工程质量标准：</w:t>
      </w:r>
      <w:r>
        <w:rPr>
          <w:rFonts w:hint="eastAsia" w:ascii="宋体" w:hAnsi="宋体" w:eastAsia="宋体" w:cs="Times New Roman"/>
          <w:bCs/>
          <w:color w:val="auto"/>
          <w:sz w:val="24"/>
          <w:szCs w:val="24"/>
          <w:highlight w:val="none"/>
          <w:u w:val="single"/>
        </w:rPr>
        <w:t xml:space="preserve">                                                 </w:t>
      </w:r>
    </w:p>
    <w:p w14:paraId="7433D169">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60" w:name="_Toc302635682"/>
      <w:bookmarkStart w:id="161" w:name="_Toc16355"/>
      <w:bookmarkStart w:id="162" w:name="_Toc18035"/>
      <w:bookmarkStart w:id="163" w:name="_Toc13802"/>
      <w:bookmarkStart w:id="164" w:name="_Toc25115"/>
      <w:bookmarkStart w:id="165" w:name="_Toc19788"/>
      <w:bookmarkStart w:id="166" w:name="_Toc30177"/>
      <w:bookmarkStart w:id="167" w:name="_Toc31835"/>
      <w:bookmarkStart w:id="168" w:name="_Toc10418"/>
      <w:bookmarkStart w:id="169" w:name="_Toc9540"/>
      <w:r>
        <w:rPr>
          <w:rFonts w:hint="eastAsia" w:ascii="宋体" w:hAnsi="宋体" w:eastAsia="宋体" w:cs="Times New Roman"/>
          <w:b/>
          <w:bCs/>
          <w:snapToGrid w:val="0"/>
          <w:color w:val="auto"/>
          <w:kern w:val="0"/>
          <w:sz w:val="30"/>
          <w:szCs w:val="44"/>
          <w:highlight w:val="none"/>
          <w:lang w:val="en-US" w:eastAsia="zh-CN" w:bidi="ar-SA"/>
        </w:rPr>
        <w:t>五、</w:t>
      </w:r>
      <w:bookmarkEnd w:id="160"/>
      <w:r>
        <w:rPr>
          <w:rFonts w:hint="eastAsia" w:ascii="宋体" w:hAnsi="宋体" w:eastAsia="宋体" w:cs="Times New Roman"/>
          <w:b/>
          <w:bCs/>
          <w:snapToGrid w:val="0"/>
          <w:color w:val="auto"/>
          <w:kern w:val="0"/>
          <w:sz w:val="30"/>
          <w:szCs w:val="44"/>
          <w:highlight w:val="none"/>
          <w:lang w:val="en-US" w:eastAsia="zh-CN" w:bidi="ar-SA"/>
        </w:rPr>
        <w:t>签约合同价</w:t>
      </w:r>
      <w:bookmarkEnd w:id="161"/>
      <w:bookmarkEnd w:id="162"/>
      <w:bookmarkEnd w:id="163"/>
      <w:bookmarkEnd w:id="164"/>
      <w:bookmarkEnd w:id="165"/>
      <w:bookmarkEnd w:id="166"/>
      <w:bookmarkEnd w:id="167"/>
      <w:bookmarkEnd w:id="168"/>
      <w:bookmarkEnd w:id="169"/>
    </w:p>
    <w:p w14:paraId="003ACDF8">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14:paraId="781D2C58">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其中：</w:t>
      </w:r>
    </w:p>
    <w:p w14:paraId="6F561F0F">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⑴</w:t>
      </w:r>
      <w:r>
        <w:rPr>
          <w:rFonts w:ascii="宋体" w:hAnsi="宋体" w:eastAsia="宋体" w:cs="Times New Roman"/>
          <w:color w:val="auto"/>
          <w:sz w:val="24"/>
          <w:szCs w:val="24"/>
          <w:highlight w:val="none"/>
        </w:rPr>
        <w:t>安全文明施工费：</w:t>
      </w:r>
    </w:p>
    <w:p w14:paraId="2D809A29">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14:paraId="71212D50">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⑵</w:t>
      </w:r>
      <w:r>
        <w:rPr>
          <w:rFonts w:ascii="宋体" w:hAnsi="宋体" w:eastAsia="宋体" w:cs="Times New Roman"/>
          <w:color w:val="auto"/>
          <w:sz w:val="24"/>
          <w:szCs w:val="24"/>
          <w:highlight w:val="none"/>
        </w:rPr>
        <w:t>材料和工程设备暂估价金额：</w:t>
      </w:r>
    </w:p>
    <w:p w14:paraId="505955D2">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14:paraId="2E0479D7">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⑶</w:t>
      </w:r>
      <w:r>
        <w:rPr>
          <w:rFonts w:ascii="宋体" w:hAnsi="宋体" w:eastAsia="宋体" w:cs="Times New Roman"/>
          <w:color w:val="auto"/>
          <w:sz w:val="24"/>
          <w:szCs w:val="24"/>
          <w:highlight w:val="none"/>
        </w:rPr>
        <w:t>专业工程暂估价金额：</w:t>
      </w:r>
    </w:p>
    <w:p w14:paraId="1F1CF5FD">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14:paraId="092B6A33">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⑷</w:t>
      </w:r>
      <w:r>
        <w:rPr>
          <w:rFonts w:ascii="宋体" w:hAnsi="宋体" w:eastAsia="宋体" w:cs="Times New Roman"/>
          <w:color w:val="auto"/>
          <w:sz w:val="24"/>
          <w:szCs w:val="24"/>
          <w:highlight w:val="none"/>
        </w:rPr>
        <w:t>暂列金额：</w:t>
      </w:r>
    </w:p>
    <w:p w14:paraId="7B59F92D">
      <w:pPr>
        <w:spacing w:line="360" w:lineRule="auto"/>
        <w:ind w:firstLine="475"/>
        <w:rPr>
          <w:rFonts w:hint="eastAsia" w:ascii="宋体" w:hAnsi="宋体" w:eastAsia="宋体" w:cs="Times New Roman"/>
          <w:color w:val="auto"/>
          <w:sz w:val="24"/>
          <w:szCs w:val="24"/>
          <w:highlight w:val="none"/>
          <w:lang w:eastAsia="zh-CN"/>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lang w:eastAsia="zh-CN"/>
        </w:rPr>
        <w:t>；</w:t>
      </w:r>
    </w:p>
    <w:p w14:paraId="33CC52F7">
      <w:pPr>
        <w:spacing w:line="360" w:lineRule="auto"/>
        <w:ind w:firstLine="475"/>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⑸BIM技术应用费用：</w:t>
      </w:r>
    </w:p>
    <w:p w14:paraId="260E39D3">
      <w:pPr>
        <w:spacing w:line="360" w:lineRule="auto"/>
        <w:ind w:firstLine="475"/>
        <w:rPr>
          <w:rFonts w:ascii="宋体" w:hAnsi="宋体" w:eastAsia="宋体" w:cs="Times New Roman"/>
          <w:color w:val="auto"/>
          <w:sz w:val="24"/>
          <w:szCs w:val="24"/>
          <w:highlight w:val="none"/>
        </w:rPr>
      </w:pPr>
      <w:bookmarkStart w:id="170" w:name="_Toc302635683"/>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14:paraId="5D108E49">
      <w:pPr>
        <w:keepNext w:val="0"/>
        <w:keepLines w:val="0"/>
        <w:widowControl/>
        <w:numPr>
          <w:ilvl w:val="0"/>
          <w:numId w:val="0"/>
        </w:numPr>
        <w:spacing w:before="80" w:after="0"/>
        <w:jc w:val="left"/>
        <w:outlineLvl w:val="0"/>
        <w:rPr>
          <w:rFonts w:hint="eastAsia" w:ascii="宋体" w:hAnsi="宋体" w:eastAsia="宋体" w:cs="Times New Roman"/>
          <w:b/>
          <w:bCs/>
          <w:snapToGrid w:val="0"/>
          <w:color w:val="auto"/>
          <w:kern w:val="0"/>
          <w:sz w:val="30"/>
          <w:szCs w:val="44"/>
          <w:highlight w:val="none"/>
          <w:lang w:val="en-US" w:eastAsia="zh-CN" w:bidi="ar-SA"/>
        </w:rPr>
      </w:pPr>
      <w:bookmarkStart w:id="171" w:name="_Toc8312"/>
      <w:bookmarkStart w:id="172" w:name="_Toc20606"/>
      <w:bookmarkStart w:id="173" w:name="_Toc22904"/>
      <w:bookmarkStart w:id="174" w:name="_Toc11997"/>
      <w:bookmarkStart w:id="175" w:name="_Toc16152"/>
      <w:bookmarkStart w:id="176" w:name="_Toc6630"/>
      <w:bookmarkStart w:id="177" w:name="_Toc23374"/>
      <w:bookmarkStart w:id="178" w:name="_Toc31662"/>
      <w:bookmarkStart w:id="179" w:name="_Toc18202"/>
      <w:r>
        <w:rPr>
          <w:rFonts w:hint="eastAsia" w:ascii="宋体" w:hAnsi="宋体" w:eastAsia="宋体" w:cs="Times New Roman"/>
          <w:b/>
          <w:bCs/>
          <w:snapToGrid w:val="0"/>
          <w:color w:val="auto"/>
          <w:kern w:val="0"/>
          <w:sz w:val="30"/>
          <w:szCs w:val="44"/>
          <w:highlight w:val="none"/>
          <w:lang w:val="en-US" w:eastAsia="zh-CN" w:bidi="ar-SA"/>
        </w:rPr>
        <w:t>六、工人工资专用账户信息</w:t>
      </w:r>
      <w:bookmarkEnd w:id="171"/>
      <w:bookmarkEnd w:id="172"/>
      <w:bookmarkEnd w:id="173"/>
      <w:bookmarkEnd w:id="174"/>
      <w:bookmarkEnd w:id="175"/>
      <w:bookmarkEnd w:id="176"/>
      <w:bookmarkEnd w:id="177"/>
      <w:bookmarkEnd w:id="178"/>
      <w:bookmarkEnd w:id="179"/>
    </w:p>
    <w:p w14:paraId="2D7E5E5C">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工人工资款支付专用账户名称：</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BCF26E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工人工资款支付专用账户开户银行：</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4DEB57A">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工人工资款支付专用账户号：</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D494863">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80" w:name="_Toc25902"/>
      <w:bookmarkStart w:id="181" w:name="_Toc9099"/>
      <w:bookmarkStart w:id="182" w:name="_Toc17395"/>
      <w:bookmarkStart w:id="183" w:name="_Toc18523"/>
      <w:bookmarkStart w:id="184" w:name="_Toc8092"/>
      <w:bookmarkStart w:id="185" w:name="_Toc24078"/>
      <w:bookmarkStart w:id="186" w:name="_Toc27781"/>
      <w:bookmarkStart w:id="187" w:name="_Toc27947"/>
      <w:bookmarkStart w:id="188" w:name="_Toc9102"/>
      <w:r>
        <w:rPr>
          <w:rFonts w:hint="eastAsia" w:ascii="宋体" w:hAnsi="宋体" w:eastAsia="宋体" w:cs="Times New Roman"/>
          <w:b/>
          <w:bCs/>
          <w:snapToGrid w:val="0"/>
          <w:color w:val="auto"/>
          <w:kern w:val="0"/>
          <w:sz w:val="30"/>
          <w:szCs w:val="44"/>
          <w:highlight w:val="none"/>
          <w:lang w:val="en-US" w:eastAsia="zh-CN" w:bidi="ar-SA"/>
        </w:rPr>
        <w:t>七、组成合同的文件</w:t>
      </w:r>
      <w:bookmarkEnd w:id="170"/>
      <w:bookmarkEnd w:id="180"/>
      <w:bookmarkEnd w:id="181"/>
      <w:bookmarkEnd w:id="182"/>
      <w:bookmarkEnd w:id="183"/>
      <w:bookmarkEnd w:id="184"/>
      <w:bookmarkEnd w:id="185"/>
      <w:bookmarkEnd w:id="186"/>
      <w:bookmarkEnd w:id="187"/>
      <w:bookmarkEnd w:id="188"/>
    </w:p>
    <w:p w14:paraId="4DB32E0E">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组成本合同的文件及优先解释顺序与本合同通用条款2.1款的规定一致：</w:t>
      </w:r>
    </w:p>
    <w:p w14:paraId="68281598">
      <w:pPr>
        <w:spacing w:line="360" w:lineRule="auto"/>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⑴本合同签订后双方新签订的补充协议；</w:t>
      </w:r>
    </w:p>
    <w:p w14:paraId="7DFD43CB">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⑵本合同第一部分的协议书；</w:t>
      </w:r>
    </w:p>
    <w:p w14:paraId="0BA23ACB">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⑶中标通知书及其附件；</w:t>
      </w:r>
      <w:r>
        <w:rPr>
          <w:rFonts w:ascii="宋体" w:hAnsi="宋体" w:eastAsia="宋体" w:cs="Times New Roman"/>
          <w:color w:val="auto"/>
          <w:sz w:val="24"/>
          <w:szCs w:val="24"/>
          <w:highlight w:val="none"/>
        </w:rPr>
        <w:t xml:space="preserve"> </w:t>
      </w:r>
    </w:p>
    <w:p w14:paraId="65BB442E">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⑷本合同第四部分的补充条款；</w:t>
      </w:r>
    </w:p>
    <w:p w14:paraId="56EB43E2">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⑸本合同第三部分的专用条款；</w:t>
      </w:r>
    </w:p>
    <w:p w14:paraId="7FA7391B">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⑹本合同第二部分的通用条款；</w:t>
      </w:r>
    </w:p>
    <w:p w14:paraId="4FF19A96">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⑺本工程招标文件中的技术要求和投标报价规定；</w:t>
      </w:r>
    </w:p>
    <w:p w14:paraId="7287F105">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⑻投标文件(包括承包人在评标期间和合同谈判过程中递交和确认并经发包人同意的对有关问题的补充资料和澄清文件等)；</w:t>
      </w:r>
    </w:p>
    <w:p w14:paraId="2DCDDCBB">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⑼现行的标准、规范、规定及有关技术文件；</w:t>
      </w:r>
    </w:p>
    <w:p w14:paraId="26D3AE1F">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⑽图纸和技术规格书；</w:t>
      </w:r>
    </w:p>
    <w:p w14:paraId="31D1D75D">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⑾已标价工程量清单；</w:t>
      </w:r>
    </w:p>
    <w:p w14:paraId="2CC37B56">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⑿发包人和承包人双方有关本工程的变更、签证、洽商、索赔、询价采购凭证等书面文件及组成合同的其他文件。</w:t>
      </w:r>
    </w:p>
    <w:p w14:paraId="620284B7">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89" w:name="_Toc31002"/>
      <w:bookmarkStart w:id="190" w:name="_Toc14463"/>
      <w:bookmarkStart w:id="191" w:name="_Toc17526"/>
      <w:bookmarkStart w:id="192" w:name="_Toc10441"/>
      <w:bookmarkStart w:id="193" w:name="_Toc7127"/>
      <w:bookmarkStart w:id="194" w:name="_Toc4160"/>
      <w:bookmarkStart w:id="195" w:name="_Toc2121"/>
      <w:bookmarkStart w:id="196" w:name="_Toc27578"/>
      <w:bookmarkStart w:id="197" w:name="_Toc302635684"/>
      <w:bookmarkStart w:id="198" w:name="_Toc20635"/>
      <w:r>
        <w:rPr>
          <w:rFonts w:hint="eastAsia" w:ascii="宋体" w:hAnsi="宋体" w:eastAsia="宋体" w:cs="Times New Roman"/>
          <w:b/>
          <w:bCs/>
          <w:snapToGrid w:val="0"/>
          <w:color w:val="auto"/>
          <w:kern w:val="0"/>
          <w:sz w:val="30"/>
          <w:szCs w:val="44"/>
          <w:highlight w:val="none"/>
          <w:lang w:val="en-US" w:eastAsia="zh-CN" w:bidi="ar-SA"/>
        </w:rPr>
        <w:t>八、词语含义</w:t>
      </w:r>
      <w:bookmarkEnd w:id="189"/>
      <w:bookmarkEnd w:id="190"/>
      <w:bookmarkEnd w:id="191"/>
      <w:bookmarkEnd w:id="192"/>
      <w:bookmarkEnd w:id="193"/>
      <w:bookmarkEnd w:id="194"/>
      <w:bookmarkEnd w:id="195"/>
      <w:bookmarkEnd w:id="196"/>
      <w:bookmarkEnd w:id="197"/>
      <w:bookmarkEnd w:id="198"/>
    </w:p>
    <w:p w14:paraId="7A8EBE75">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本协议书中有关词语含义与本合同“通用条款”中赋予它们的定义相同。</w:t>
      </w:r>
    </w:p>
    <w:p w14:paraId="1B9843D4">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99" w:name="_Toc1089"/>
      <w:bookmarkStart w:id="200" w:name="_Toc13235"/>
      <w:bookmarkStart w:id="201" w:name="_Toc28545"/>
      <w:bookmarkStart w:id="202" w:name="_Toc28966"/>
      <w:bookmarkStart w:id="203" w:name="_Toc302635685"/>
      <w:bookmarkStart w:id="204" w:name="_Toc14999"/>
      <w:bookmarkStart w:id="205" w:name="_Toc29969"/>
      <w:bookmarkStart w:id="206" w:name="_Toc30021"/>
      <w:bookmarkStart w:id="207" w:name="_Toc21137"/>
      <w:bookmarkStart w:id="208" w:name="_Toc29502"/>
      <w:r>
        <w:rPr>
          <w:rFonts w:hint="eastAsia" w:ascii="宋体" w:hAnsi="宋体" w:eastAsia="宋体" w:cs="Times New Roman"/>
          <w:b/>
          <w:bCs/>
          <w:snapToGrid w:val="0"/>
          <w:color w:val="auto"/>
          <w:kern w:val="0"/>
          <w:sz w:val="30"/>
          <w:szCs w:val="44"/>
          <w:highlight w:val="none"/>
          <w:lang w:val="en-US" w:eastAsia="zh-CN" w:bidi="ar-SA"/>
        </w:rPr>
        <w:t>九、承诺</w:t>
      </w:r>
      <w:bookmarkEnd w:id="199"/>
      <w:bookmarkEnd w:id="200"/>
      <w:bookmarkEnd w:id="201"/>
      <w:bookmarkEnd w:id="202"/>
      <w:bookmarkEnd w:id="203"/>
      <w:bookmarkEnd w:id="204"/>
      <w:bookmarkEnd w:id="205"/>
      <w:bookmarkEnd w:id="206"/>
      <w:bookmarkEnd w:id="207"/>
      <w:bookmarkEnd w:id="208"/>
    </w:p>
    <w:p w14:paraId="7E736B0C">
      <w:pPr>
        <w:spacing w:line="360" w:lineRule="auto"/>
        <w:ind w:firstLine="480"/>
        <w:rPr>
          <w:rFonts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1.发包人承诺按照法律规定履行项目审批手续、筹集工程建设资金并按照合同约定的期限和方式支付合同价款</w:t>
      </w:r>
      <w:r>
        <w:rPr>
          <w:rFonts w:hint="eastAsia" w:ascii="宋体" w:hAnsi="宋体" w:eastAsia="宋体" w:cs="Times New Roman"/>
          <w:color w:val="auto"/>
          <w:sz w:val="24"/>
          <w:szCs w:val="24"/>
          <w:highlight w:val="none"/>
        </w:rPr>
        <w:t>及其它应当支付的款项,并履行本合同所约定的全部义务</w:t>
      </w:r>
      <w:r>
        <w:rPr>
          <w:rFonts w:ascii="宋体" w:hAnsi="宋体" w:eastAsia="宋体" w:cs="Times New Roman"/>
          <w:bCs/>
          <w:color w:val="auto"/>
          <w:sz w:val="24"/>
          <w:szCs w:val="24"/>
          <w:highlight w:val="none"/>
        </w:rPr>
        <w:t>。</w:t>
      </w:r>
    </w:p>
    <w:p w14:paraId="71209AFD">
      <w:pPr>
        <w:spacing w:line="360" w:lineRule="auto"/>
        <w:ind w:firstLine="480"/>
        <w:rPr>
          <w:rFonts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2.承包人承诺按照法律规定及合同约定组织完成工程施工，确保工程质量和安全，不进行转包及违法分包，并在</w:t>
      </w:r>
      <w:r>
        <w:rPr>
          <w:rFonts w:hint="eastAsia" w:ascii="宋体" w:hAnsi="宋体" w:eastAsia="宋体" w:cs="Times New Roman"/>
          <w:bCs/>
          <w:color w:val="auto"/>
          <w:sz w:val="24"/>
          <w:szCs w:val="24"/>
          <w:highlight w:val="none"/>
        </w:rPr>
        <w:t>质量</w:t>
      </w:r>
      <w:r>
        <w:rPr>
          <w:rFonts w:ascii="宋体" w:hAnsi="宋体" w:eastAsia="宋体" w:cs="Times New Roman"/>
          <w:bCs/>
          <w:color w:val="auto"/>
          <w:sz w:val="24"/>
          <w:szCs w:val="24"/>
          <w:highlight w:val="none"/>
        </w:rPr>
        <w:t>缺陷责任期及保修期内承担相应的工程维修责任</w:t>
      </w:r>
      <w:r>
        <w:rPr>
          <w:rFonts w:hint="eastAsia" w:ascii="宋体" w:hAnsi="宋体" w:eastAsia="宋体" w:cs="Times New Roman"/>
          <w:color w:val="auto"/>
          <w:sz w:val="24"/>
          <w:szCs w:val="24"/>
          <w:highlight w:val="none"/>
        </w:rPr>
        <w:t>,并履行本合同所约定的全部义务</w:t>
      </w:r>
      <w:r>
        <w:rPr>
          <w:rFonts w:ascii="宋体" w:hAnsi="宋体" w:eastAsia="宋体" w:cs="Times New Roman"/>
          <w:bCs/>
          <w:color w:val="auto"/>
          <w:sz w:val="24"/>
          <w:szCs w:val="24"/>
          <w:highlight w:val="none"/>
        </w:rPr>
        <w:t>。</w:t>
      </w:r>
    </w:p>
    <w:p w14:paraId="7CCFA00B">
      <w:pPr>
        <w:spacing w:line="360" w:lineRule="auto"/>
        <w:ind w:firstLine="480"/>
        <w:rPr>
          <w:rFonts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3.发包人和承包人双方理解并</w:t>
      </w:r>
      <w:r>
        <w:rPr>
          <w:rFonts w:hint="eastAsia" w:ascii="宋体" w:hAnsi="宋体" w:eastAsia="宋体" w:cs="Times New Roman"/>
          <w:bCs/>
          <w:color w:val="auto"/>
          <w:sz w:val="24"/>
          <w:szCs w:val="24"/>
          <w:highlight w:val="none"/>
        </w:rPr>
        <w:t>承诺</w:t>
      </w:r>
      <w:r>
        <w:rPr>
          <w:rFonts w:ascii="宋体" w:hAnsi="宋体" w:eastAsia="宋体" w:cs="Times New Roman"/>
          <w:bCs/>
          <w:color w:val="auto"/>
          <w:sz w:val="24"/>
          <w:szCs w:val="24"/>
          <w:highlight w:val="none"/>
        </w:rPr>
        <w:t>不再就同一工程另行签订与合同实质性内容相背离的协议。</w:t>
      </w:r>
    </w:p>
    <w:p w14:paraId="7D4FB37C">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209" w:name="_Toc3232"/>
      <w:bookmarkStart w:id="210" w:name="_Toc6349"/>
      <w:bookmarkStart w:id="211" w:name="_Toc30651"/>
      <w:bookmarkStart w:id="212" w:name="_Toc6863"/>
      <w:bookmarkStart w:id="213" w:name="_Toc29712"/>
      <w:bookmarkStart w:id="214" w:name="_Toc7973"/>
      <w:bookmarkStart w:id="215" w:name="_Toc13127"/>
      <w:bookmarkStart w:id="216" w:name="_Toc302635686"/>
      <w:bookmarkStart w:id="217" w:name="_Toc8870"/>
      <w:bookmarkStart w:id="218" w:name="_Toc3317"/>
      <w:r>
        <w:rPr>
          <w:rFonts w:hint="eastAsia" w:ascii="宋体" w:hAnsi="宋体" w:eastAsia="宋体" w:cs="Times New Roman"/>
          <w:b/>
          <w:bCs/>
          <w:snapToGrid w:val="0"/>
          <w:color w:val="auto"/>
          <w:kern w:val="0"/>
          <w:sz w:val="30"/>
          <w:szCs w:val="44"/>
          <w:highlight w:val="none"/>
          <w:lang w:val="en-US" w:eastAsia="zh-CN" w:bidi="ar-SA"/>
        </w:rPr>
        <w:t>十、合同订立与生效</w:t>
      </w:r>
      <w:bookmarkEnd w:id="209"/>
      <w:bookmarkEnd w:id="210"/>
      <w:bookmarkEnd w:id="211"/>
      <w:bookmarkEnd w:id="212"/>
      <w:bookmarkEnd w:id="213"/>
      <w:bookmarkEnd w:id="214"/>
      <w:bookmarkEnd w:id="215"/>
      <w:bookmarkEnd w:id="216"/>
      <w:bookmarkEnd w:id="217"/>
      <w:bookmarkEnd w:id="218"/>
    </w:p>
    <w:p w14:paraId="3C9564AA">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本合同订立时间：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14:paraId="37AD2542">
      <w:pPr>
        <w:spacing w:line="360" w:lineRule="auto"/>
        <w:ind w:firstLine="1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订立地点：</w:t>
      </w:r>
      <w:r>
        <w:rPr>
          <w:rFonts w:hint="eastAsia" w:ascii="宋体" w:hAnsi="宋体" w:eastAsia="宋体" w:cs="Times New Roman"/>
          <w:color w:val="auto"/>
          <w:sz w:val="24"/>
          <w:szCs w:val="24"/>
          <w:highlight w:val="none"/>
          <w:u w:val="single"/>
        </w:rPr>
        <w:t xml:space="preserve">                                            </w:t>
      </w:r>
    </w:p>
    <w:p w14:paraId="3B6AB30C">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发包人和承包人约定本合同自</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后成立。</w:t>
      </w:r>
    </w:p>
    <w:p w14:paraId="084955F6">
      <w:pPr>
        <w:spacing w:line="360" w:lineRule="auto"/>
        <w:ind w:firstLine="480"/>
        <w:jc w:val="left"/>
        <w:rPr>
          <w:rFonts w:hint="eastAsia"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本合同一式</w:t>
      </w:r>
      <w:r>
        <w:rPr>
          <w:rFonts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rPr>
        <w:t>份，均具有同等法律效力，发包人执</w:t>
      </w:r>
      <w:r>
        <w:rPr>
          <w:rFonts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rPr>
        <w:t>份，承包人执</w:t>
      </w:r>
      <w:r>
        <w:rPr>
          <w:rFonts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rPr>
        <w:t>份。</w:t>
      </w:r>
    </w:p>
    <w:p w14:paraId="3B7520B8">
      <w:pPr>
        <w:spacing w:line="360" w:lineRule="auto"/>
        <w:ind w:firstLine="480"/>
        <w:jc w:val="left"/>
        <w:rPr>
          <w:rFonts w:hint="eastAsia" w:ascii="宋体" w:hAnsi="宋体" w:eastAsia="宋体" w:cs="Times New Roman"/>
          <w:bCs/>
          <w:color w:val="auto"/>
          <w:sz w:val="24"/>
          <w:szCs w:val="24"/>
          <w:highlight w:val="none"/>
        </w:rPr>
      </w:pPr>
    </w:p>
    <w:p w14:paraId="3A870C35">
      <w:pPr>
        <w:spacing w:line="360" w:lineRule="auto"/>
        <w:ind w:firstLine="480"/>
        <w:jc w:val="left"/>
        <w:rPr>
          <w:rFonts w:hint="eastAsia" w:ascii="宋体" w:hAnsi="宋体" w:eastAsia="宋体" w:cs="Times New Roman"/>
          <w:bCs/>
          <w:color w:val="auto"/>
          <w:sz w:val="24"/>
          <w:szCs w:val="24"/>
          <w:highlight w:val="none"/>
        </w:rPr>
      </w:pPr>
    </w:p>
    <w:p w14:paraId="7677C1C2">
      <w:pPr>
        <w:spacing w:line="360" w:lineRule="auto"/>
        <w:ind w:firstLine="480"/>
        <w:jc w:val="left"/>
        <w:rPr>
          <w:rFonts w:hint="eastAsia" w:ascii="宋体" w:hAnsi="宋体" w:eastAsia="宋体" w:cs="Times New Roman"/>
          <w:bCs/>
          <w:color w:val="auto"/>
          <w:sz w:val="24"/>
          <w:szCs w:val="24"/>
          <w:highlight w:val="none"/>
        </w:rPr>
      </w:pPr>
    </w:p>
    <w:p w14:paraId="567D2C43">
      <w:pPr>
        <w:spacing w:line="360" w:lineRule="auto"/>
        <w:ind w:firstLine="480"/>
        <w:jc w:val="left"/>
        <w:rPr>
          <w:rFonts w:hint="eastAsia" w:ascii="宋体" w:hAnsi="宋体" w:eastAsia="宋体" w:cs="Times New Roman"/>
          <w:bCs/>
          <w:color w:val="auto"/>
          <w:sz w:val="24"/>
          <w:szCs w:val="24"/>
          <w:highlight w:val="none"/>
        </w:rPr>
      </w:pPr>
    </w:p>
    <w:p w14:paraId="13967D3F">
      <w:pPr>
        <w:spacing w:line="360" w:lineRule="auto"/>
        <w:ind w:firstLine="480"/>
        <w:jc w:val="left"/>
        <w:rPr>
          <w:rFonts w:hint="eastAsia" w:ascii="宋体" w:hAnsi="宋体" w:eastAsia="宋体" w:cs="Times New Roman"/>
          <w:bCs/>
          <w:color w:val="auto"/>
          <w:sz w:val="24"/>
          <w:szCs w:val="24"/>
          <w:highlight w:val="none"/>
        </w:rPr>
      </w:pPr>
    </w:p>
    <w:p w14:paraId="067BED4D">
      <w:pPr>
        <w:spacing w:line="360" w:lineRule="auto"/>
        <w:ind w:firstLine="480"/>
        <w:jc w:val="left"/>
        <w:rPr>
          <w:rFonts w:hint="eastAsia" w:ascii="宋体" w:hAnsi="宋体" w:eastAsia="宋体" w:cs="Times New Roman"/>
          <w:bCs/>
          <w:color w:val="auto"/>
          <w:sz w:val="24"/>
          <w:szCs w:val="24"/>
          <w:highlight w:val="none"/>
        </w:rPr>
      </w:pPr>
    </w:p>
    <w:p w14:paraId="1C50F837">
      <w:pPr>
        <w:spacing w:line="360" w:lineRule="auto"/>
        <w:ind w:firstLine="480"/>
        <w:jc w:val="left"/>
        <w:rPr>
          <w:rFonts w:hint="eastAsia" w:ascii="宋体" w:hAnsi="宋体" w:eastAsia="宋体" w:cs="Times New Roman"/>
          <w:bCs/>
          <w:color w:val="auto"/>
          <w:sz w:val="24"/>
          <w:szCs w:val="24"/>
          <w:highlight w:val="none"/>
        </w:rPr>
      </w:pPr>
    </w:p>
    <w:tbl>
      <w:tblPr>
        <w:tblStyle w:val="40"/>
        <w:tblW w:w="0" w:type="auto"/>
        <w:tblInd w:w="0" w:type="dxa"/>
        <w:tblLayout w:type="autofit"/>
        <w:tblCellMar>
          <w:top w:w="0" w:type="dxa"/>
          <w:left w:w="108" w:type="dxa"/>
          <w:bottom w:w="0" w:type="dxa"/>
          <w:right w:w="108" w:type="dxa"/>
        </w:tblCellMar>
      </w:tblPr>
      <w:tblGrid>
        <w:gridCol w:w="4360"/>
        <w:gridCol w:w="4360"/>
      </w:tblGrid>
      <w:tr w14:paraId="07011BFE">
        <w:tc>
          <w:tcPr>
            <w:tcW w:w="4360" w:type="dxa"/>
            <w:noWrap w:val="0"/>
            <w:vAlign w:val="top"/>
          </w:tcPr>
          <w:p w14:paraId="42F4115B">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发包人</w:t>
            </w:r>
            <w:r>
              <w:rPr>
                <w:rFonts w:hint="eastAsia" w:ascii="宋体" w:hAnsi="宋体" w:eastAsia="宋体" w:cs="Times New Roman"/>
                <w:b/>
                <w:color w:val="auto"/>
                <w:sz w:val="24"/>
                <w:szCs w:val="24"/>
                <w:highlight w:val="none"/>
              </w:rPr>
              <w:t>：</w:t>
            </w:r>
            <w:r>
              <w:rPr>
                <w:rFonts w:ascii="宋体" w:hAnsi="宋体" w:eastAsia="宋体" w:cs="Times New Roman"/>
                <w:color w:val="auto"/>
                <w:sz w:val="24"/>
                <w:szCs w:val="24"/>
                <w:highlight w:val="none"/>
              </w:rPr>
              <w:t>(公章)</w:t>
            </w:r>
          </w:p>
        </w:tc>
        <w:tc>
          <w:tcPr>
            <w:tcW w:w="4360" w:type="dxa"/>
            <w:noWrap w:val="0"/>
            <w:vAlign w:val="top"/>
          </w:tcPr>
          <w:p w14:paraId="1C88CBA1">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b/>
                <w:color w:val="auto"/>
                <w:sz w:val="24"/>
                <w:szCs w:val="24"/>
                <w:highlight w:val="none"/>
              </w:rPr>
              <w:t>承包</w:t>
            </w:r>
            <w:r>
              <w:rPr>
                <w:rFonts w:ascii="宋体" w:hAnsi="宋体" w:eastAsia="宋体" w:cs="Times New Roman"/>
                <w:b/>
                <w:color w:val="auto"/>
                <w:sz w:val="24"/>
                <w:szCs w:val="24"/>
                <w:highlight w:val="none"/>
              </w:rPr>
              <w:t>人</w:t>
            </w:r>
            <w:r>
              <w:rPr>
                <w:rFonts w:hint="eastAsia" w:ascii="宋体" w:hAnsi="宋体" w:eastAsia="宋体" w:cs="Times New Roman"/>
                <w:b/>
                <w:color w:val="auto"/>
                <w:sz w:val="24"/>
                <w:szCs w:val="24"/>
                <w:highlight w:val="none"/>
              </w:rPr>
              <w:t>：</w:t>
            </w:r>
            <w:r>
              <w:rPr>
                <w:rFonts w:ascii="宋体" w:hAnsi="宋体" w:eastAsia="宋体" w:cs="Times New Roman"/>
                <w:color w:val="auto"/>
                <w:sz w:val="24"/>
                <w:szCs w:val="24"/>
                <w:highlight w:val="none"/>
              </w:rPr>
              <w:t>(公章)</w:t>
            </w:r>
          </w:p>
        </w:tc>
      </w:tr>
      <w:tr w14:paraId="268291FE">
        <w:tblPrEx>
          <w:tblCellMar>
            <w:top w:w="0" w:type="dxa"/>
            <w:left w:w="108" w:type="dxa"/>
            <w:bottom w:w="0" w:type="dxa"/>
            <w:right w:w="108" w:type="dxa"/>
          </w:tblCellMar>
        </w:tblPrEx>
        <w:trPr>
          <w:trHeight w:val="1267" w:hRule="atLeast"/>
        </w:trPr>
        <w:tc>
          <w:tcPr>
            <w:tcW w:w="4360" w:type="dxa"/>
            <w:noWrap w:val="0"/>
            <w:vAlign w:val="top"/>
          </w:tcPr>
          <w:p w14:paraId="1C1B051B">
            <w:pPr>
              <w:spacing w:line="360" w:lineRule="auto"/>
              <w:jc w:val="left"/>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法定代表人或其委托代理人：</w:t>
            </w:r>
          </w:p>
          <w:p w14:paraId="483E3262">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color w:val="auto"/>
                <w:sz w:val="24"/>
                <w:szCs w:val="24"/>
                <w:highlight w:val="none"/>
              </w:rPr>
              <w:t>（签字）</w:t>
            </w:r>
          </w:p>
        </w:tc>
        <w:tc>
          <w:tcPr>
            <w:tcW w:w="4360" w:type="dxa"/>
            <w:noWrap w:val="0"/>
            <w:vAlign w:val="top"/>
          </w:tcPr>
          <w:p w14:paraId="371AF909">
            <w:pPr>
              <w:spacing w:line="360" w:lineRule="auto"/>
              <w:jc w:val="left"/>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法定代表人或其委托代理人：</w:t>
            </w:r>
          </w:p>
          <w:p w14:paraId="084EC551">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color w:val="auto"/>
                <w:sz w:val="24"/>
                <w:szCs w:val="24"/>
                <w:highlight w:val="none"/>
              </w:rPr>
              <w:t>（签字）</w:t>
            </w:r>
          </w:p>
        </w:tc>
      </w:tr>
      <w:tr w14:paraId="2EB02344">
        <w:tblPrEx>
          <w:tblCellMar>
            <w:top w:w="0" w:type="dxa"/>
            <w:left w:w="108" w:type="dxa"/>
            <w:bottom w:w="0" w:type="dxa"/>
            <w:right w:w="108" w:type="dxa"/>
          </w:tblCellMar>
        </w:tblPrEx>
        <w:tc>
          <w:tcPr>
            <w:tcW w:w="4360" w:type="dxa"/>
            <w:noWrap w:val="0"/>
            <w:vAlign w:val="top"/>
          </w:tcPr>
          <w:p w14:paraId="08AA85A3">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b/>
                <w:color w:val="auto"/>
                <w:sz w:val="24"/>
                <w:szCs w:val="24"/>
                <w:highlight w:val="none"/>
              </w:rPr>
              <w:t>统一社会信用代码：</w:t>
            </w:r>
            <w:r>
              <w:rPr>
                <w:rFonts w:ascii="宋体" w:hAnsi="宋体" w:eastAsia="宋体" w:cs="Times New Roman"/>
                <w:b/>
                <w:color w:val="auto"/>
                <w:sz w:val="24"/>
                <w:szCs w:val="24"/>
                <w:highlight w:val="none"/>
                <w:u w:val="single"/>
              </w:rPr>
              <w:t xml:space="preserve">                 </w:t>
            </w:r>
          </w:p>
        </w:tc>
        <w:tc>
          <w:tcPr>
            <w:tcW w:w="4360" w:type="dxa"/>
            <w:noWrap w:val="0"/>
            <w:vAlign w:val="top"/>
          </w:tcPr>
          <w:p w14:paraId="6E51DDC2">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b/>
                <w:color w:val="auto"/>
                <w:sz w:val="24"/>
                <w:szCs w:val="24"/>
                <w:highlight w:val="none"/>
              </w:rPr>
              <w:t>统一社会信用代码：</w:t>
            </w:r>
            <w:r>
              <w:rPr>
                <w:rFonts w:ascii="宋体" w:hAnsi="宋体" w:eastAsia="宋体" w:cs="Times New Roman"/>
                <w:b/>
                <w:color w:val="auto"/>
                <w:sz w:val="24"/>
                <w:szCs w:val="24"/>
                <w:highlight w:val="none"/>
                <w:u w:val="single"/>
              </w:rPr>
              <w:t xml:space="preserve">                 </w:t>
            </w:r>
          </w:p>
        </w:tc>
      </w:tr>
      <w:tr w14:paraId="1F31E95A">
        <w:tblPrEx>
          <w:tblCellMar>
            <w:top w:w="0" w:type="dxa"/>
            <w:left w:w="108" w:type="dxa"/>
            <w:bottom w:w="0" w:type="dxa"/>
            <w:right w:w="108" w:type="dxa"/>
          </w:tblCellMar>
        </w:tblPrEx>
        <w:tc>
          <w:tcPr>
            <w:tcW w:w="4360" w:type="dxa"/>
            <w:noWrap w:val="0"/>
            <w:vAlign w:val="top"/>
          </w:tcPr>
          <w:p w14:paraId="2339F413">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地址：</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p>
        </w:tc>
        <w:tc>
          <w:tcPr>
            <w:tcW w:w="4360" w:type="dxa"/>
            <w:noWrap w:val="0"/>
            <w:vAlign w:val="top"/>
          </w:tcPr>
          <w:p w14:paraId="41E24EA9">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地址：</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p>
        </w:tc>
      </w:tr>
      <w:tr w14:paraId="5ABF37AE">
        <w:tblPrEx>
          <w:tblCellMar>
            <w:top w:w="0" w:type="dxa"/>
            <w:left w:w="108" w:type="dxa"/>
            <w:bottom w:w="0" w:type="dxa"/>
            <w:right w:w="108" w:type="dxa"/>
          </w:tblCellMar>
        </w:tblPrEx>
        <w:tc>
          <w:tcPr>
            <w:tcW w:w="4360" w:type="dxa"/>
            <w:noWrap w:val="0"/>
            <w:vAlign w:val="top"/>
          </w:tcPr>
          <w:p w14:paraId="774A182C">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邮政编码：</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14:paraId="6F4693D7">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邮政编码：</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14:paraId="1E63598F">
        <w:tblPrEx>
          <w:tblCellMar>
            <w:top w:w="0" w:type="dxa"/>
            <w:left w:w="108" w:type="dxa"/>
            <w:bottom w:w="0" w:type="dxa"/>
            <w:right w:w="108" w:type="dxa"/>
          </w:tblCellMar>
        </w:tblPrEx>
        <w:tc>
          <w:tcPr>
            <w:tcW w:w="4360" w:type="dxa"/>
            <w:noWrap w:val="0"/>
            <w:vAlign w:val="top"/>
          </w:tcPr>
          <w:p w14:paraId="05C730D6">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法定代表人：</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c>
          <w:tcPr>
            <w:tcW w:w="4360" w:type="dxa"/>
            <w:noWrap w:val="0"/>
            <w:vAlign w:val="top"/>
          </w:tcPr>
          <w:p w14:paraId="1B1C37A3">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法定代表人：</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r>
      <w:tr w14:paraId="258B2F5E">
        <w:tblPrEx>
          <w:tblCellMar>
            <w:top w:w="0" w:type="dxa"/>
            <w:left w:w="108" w:type="dxa"/>
            <w:bottom w:w="0" w:type="dxa"/>
            <w:right w:w="108" w:type="dxa"/>
          </w:tblCellMar>
        </w:tblPrEx>
        <w:tc>
          <w:tcPr>
            <w:tcW w:w="4360" w:type="dxa"/>
            <w:noWrap w:val="0"/>
            <w:vAlign w:val="top"/>
          </w:tcPr>
          <w:p w14:paraId="56E7245B">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委托代理人：</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14:paraId="1185FF27">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委托代理人：</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14:paraId="693EDEDC">
        <w:tblPrEx>
          <w:tblCellMar>
            <w:top w:w="0" w:type="dxa"/>
            <w:left w:w="108" w:type="dxa"/>
            <w:bottom w:w="0" w:type="dxa"/>
            <w:right w:w="108" w:type="dxa"/>
          </w:tblCellMar>
        </w:tblPrEx>
        <w:tc>
          <w:tcPr>
            <w:tcW w:w="4360" w:type="dxa"/>
            <w:noWrap w:val="0"/>
            <w:vAlign w:val="top"/>
          </w:tcPr>
          <w:p w14:paraId="7EB5CFE4">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电话：</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14:paraId="78B78EA0">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电话：</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14:paraId="4A0BD8CE">
        <w:tblPrEx>
          <w:tblCellMar>
            <w:top w:w="0" w:type="dxa"/>
            <w:left w:w="108" w:type="dxa"/>
            <w:bottom w:w="0" w:type="dxa"/>
            <w:right w:w="108" w:type="dxa"/>
          </w:tblCellMar>
        </w:tblPrEx>
        <w:tc>
          <w:tcPr>
            <w:tcW w:w="4360" w:type="dxa"/>
            <w:noWrap w:val="0"/>
            <w:vAlign w:val="top"/>
          </w:tcPr>
          <w:p w14:paraId="5F3B3170">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传真：</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14:paraId="1DD966FF">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传真：</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14:paraId="2AFD1C7C">
        <w:tblPrEx>
          <w:tblCellMar>
            <w:top w:w="0" w:type="dxa"/>
            <w:left w:w="108" w:type="dxa"/>
            <w:bottom w:w="0" w:type="dxa"/>
            <w:right w:w="108" w:type="dxa"/>
          </w:tblCellMar>
        </w:tblPrEx>
        <w:tc>
          <w:tcPr>
            <w:tcW w:w="4360" w:type="dxa"/>
            <w:noWrap w:val="0"/>
            <w:vAlign w:val="top"/>
          </w:tcPr>
          <w:p w14:paraId="39AEE7C5">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电子信箱：</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c>
          <w:tcPr>
            <w:tcW w:w="4360" w:type="dxa"/>
            <w:noWrap w:val="0"/>
            <w:vAlign w:val="top"/>
          </w:tcPr>
          <w:p w14:paraId="4A395672">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电子信箱：</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r>
      <w:tr w14:paraId="4842DE37">
        <w:tblPrEx>
          <w:tblCellMar>
            <w:top w:w="0" w:type="dxa"/>
            <w:left w:w="108" w:type="dxa"/>
            <w:bottom w:w="0" w:type="dxa"/>
            <w:right w:w="108" w:type="dxa"/>
          </w:tblCellMar>
        </w:tblPrEx>
        <w:tc>
          <w:tcPr>
            <w:tcW w:w="4360" w:type="dxa"/>
            <w:noWrap w:val="0"/>
            <w:vAlign w:val="top"/>
          </w:tcPr>
          <w:p w14:paraId="2399572C">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开户银行：</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c>
          <w:tcPr>
            <w:tcW w:w="4360" w:type="dxa"/>
            <w:noWrap w:val="0"/>
            <w:vAlign w:val="top"/>
          </w:tcPr>
          <w:p w14:paraId="65ADCD8E">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开户银行：</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r>
      <w:tr w14:paraId="238BCA0D">
        <w:tblPrEx>
          <w:tblCellMar>
            <w:top w:w="0" w:type="dxa"/>
            <w:left w:w="108" w:type="dxa"/>
            <w:bottom w:w="0" w:type="dxa"/>
            <w:right w:w="108" w:type="dxa"/>
          </w:tblCellMar>
        </w:tblPrEx>
        <w:tc>
          <w:tcPr>
            <w:tcW w:w="4360" w:type="dxa"/>
            <w:noWrap w:val="0"/>
            <w:vAlign w:val="top"/>
          </w:tcPr>
          <w:p w14:paraId="0B90718C">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账号：</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c>
          <w:tcPr>
            <w:tcW w:w="4360" w:type="dxa"/>
            <w:noWrap w:val="0"/>
            <w:vAlign w:val="top"/>
          </w:tcPr>
          <w:p w14:paraId="326818D2">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账号：</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r>
    </w:tbl>
    <w:p w14:paraId="1D4DD1B1">
      <w:pPr>
        <w:spacing w:line="360" w:lineRule="auto"/>
        <w:ind w:firstLine="142"/>
        <w:jc w:val="left"/>
        <w:rPr>
          <w:rFonts w:hint="eastAsia" w:ascii="宋体" w:hAnsi="宋体" w:eastAsia="宋体" w:cs="Times New Roman"/>
          <w:bCs/>
          <w:color w:val="auto"/>
          <w:sz w:val="24"/>
          <w:szCs w:val="24"/>
          <w:highlight w:val="none"/>
        </w:rPr>
      </w:pPr>
    </w:p>
    <w:p w14:paraId="34184D59">
      <w:pPr>
        <w:spacing w:line="360" w:lineRule="auto"/>
        <w:rPr>
          <w:rFonts w:hint="eastAsia" w:ascii="宋体" w:hAnsi="宋体" w:eastAsia="宋体" w:cs="Times New Roman"/>
          <w:b/>
          <w:color w:val="auto"/>
          <w:sz w:val="24"/>
          <w:szCs w:val="24"/>
          <w:highlight w:val="none"/>
          <w:u w:val="single"/>
        </w:rPr>
      </w:pPr>
      <w:r>
        <w:rPr>
          <w:rFonts w:hint="eastAsia" w:ascii="宋体" w:hAnsi="宋体" w:eastAsia="宋体" w:cs="Times New Roman"/>
          <w:b/>
          <w:color w:val="auto"/>
          <w:sz w:val="24"/>
          <w:szCs w:val="24"/>
          <w:highlight w:val="none"/>
        </w:rPr>
        <w:t xml:space="preserve">                                 </w:t>
      </w:r>
    </w:p>
    <w:p w14:paraId="6EEBAD9E">
      <w:pPr>
        <w:spacing w:line="360" w:lineRule="auto"/>
        <w:ind w:firstLine="480"/>
        <w:jc w:val="left"/>
        <w:rPr>
          <w:rFonts w:ascii="宋体" w:hAnsi="宋体" w:eastAsia="宋体" w:cs="Times New Roman"/>
          <w:bCs/>
          <w:color w:val="auto"/>
          <w:sz w:val="24"/>
          <w:szCs w:val="24"/>
          <w:highlight w:val="none"/>
        </w:rPr>
      </w:pPr>
    </w:p>
    <w:p w14:paraId="2EBC088A">
      <w:pPr>
        <w:keepNext w:val="0"/>
        <w:keepLines w:val="0"/>
        <w:widowControl w:val="0"/>
        <w:numPr>
          <w:ilvl w:val="0"/>
          <w:numId w:val="0"/>
        </w:numPr>
        <w:spacing w:before="340" w:after="330"/>
        <w:jc w:val="center"/>
        <w:outlineLvl w:val="0"/>
        <w:rPr>
          <w:rFonts w:ascii="宋体" w:hAnsi="宋体" w:eastAsia="宋体" w:cs="Times New Roman"/>
          <w:b/>
          <w:bCs/>
          <w:snapToGrid w:val="0"/>
          <w:color w:val="auto"/>
          <w:kern w:val="0"/>
          <w:sz w:val="24"/>
          <w:szCs w:val="44"/>
          <w:highlight w:val="none"/>
          <w:lang w:val="en-US" w:eastAsia="zh-CN" w:bidi="ar-SA"/>
        </w:rPr>
        <w:sectPr>
          <w:headerReference r:id="rId9" w:type="default"/>
          <w:footerReference r:id="rId10" w:type="default"/>
          <w:pgSz w:w="11907" w:h="16840"/>
          <w:pgMar w:top="1417" w:right="1417" w:bottom="1417" w:left="1417" w:header="851" w:footer="851" w:gutter="0"/>
          <w:pgNumType w:fmt="decimal"/>
          <w:cols w:space="425" w:num="1"/>
          <w:docGrid w:type="lines" w:linePitch="312" w:charSpace="0"/>
        </w:sectPr>
      </w:pPr>
      <w:r>
        <w:rPr>
          <w:rFonts w:ascii="宋体" w:hAnsi="宋体" w:eastAsia="宋体" w:cs="Times New Roman"/>
          <w:b/>
          <w:bCs/>
          <w:snapToGrid w:val="0"/>
          <w:color w:val="auto"/>
          <w:kern w:val="0"/>
          <w:sz w:val="24"/>
          <w:szCs w:val="44"/>
          <w:highlight w:val="none"/>
          <w:lang w:val="en-US" w:eastAsia="zh-CN" w:bidi="ar-SA"/>
        </w:rPr>
        <w:br w:type="page"/>
      </w:r>
      <w:bookmarkStart w:id="219" w:name="_Toc4725"/>
      <w:bookmarkStart w:id="220" w:name="_Toc29244"/>
      <w:bookmarkStart w:id="221" w:name="_Toc14765"/>
      <w:bookmarkStart w:id="222" w:name="_Toc302635687"/>
      <w:bookmarkStart w:id="223" w:name="_Toc19012"/>
      <w:bookmarkStart w:id="224" w:name="_Toc305331221"/>
      <w:bookmarkStart w:id="225" w:name="_Toc34908886"/>
      <w:bookmarkStart w:id="226" w:name="_Toc25662"/>
      <w:bookmarkStart w:id="227" w:name="_Toc9023"/>
      <w:bookmarkStart w:id="228" w:name="_Toc35656454"/>
      <w:bookmarkStart w:id="229" w:name="_Toc17442"/>
      <w:bookmarkStart w:id="230" w:name="_Toc1350"/>
      <w:bookmarkStart w:id="231" w:name="_Toc35656954"/>
      <w:bookmarkStart w:id="232" w:name="_Toc16411"/>
      <w:bookmarkStart w:id="233" w:name="_Toc42392984"/>
      <w:bookmarkStart w:id="234" w:name="_Toc47425624"/>
      <w:bookmarkStart w:id="235" w:name="_Toc84303950"/>
    </w:p>
    <w:p w14:paraId="668BE9B1">
      <w:pPr>
        <w:keepNext w:val="0"/>
        <w:keepLines w:val="0"/>
        <w:widowControl w:val="0"/>
        <w:numPr>
          <w:ilvl w:val="0"/>
          <w:numId w:val="0"/>
        </w:numPr>
        <w:spacing w:before="340" w:after="330"/>
        <w:jc w:val="center"/>
        <w:outlineLvl w:val="0"/>
        <w:rPr>
          <w:rFonts w:ascii="宋体" w:hAnsi="宋体" w:eastAsia="宋体" w:cs="Times New Roman"/>
          <w:b/>
          <w:bCs/>
          <w:snapToGrid w:val="0"/>
          <w:color w:val="auto"/>
          <w:kern w:val="0"/>
          <w:sz w:val="32"/>
          <w:szCs w:val="44"/>
          <w:highlight w:val="none"/>
          <w:lang w:val="en-US" w:eastAsia="zh-CN" w:bidi="ar-SA"/>
        </w:rPr>
      </w:pPr>
      <w:r>
        <w:rPr>
          <w:rFonts w:hint="eastAsia" w:ascii="黑体" w:hAnsi="黑体" w:eastAsia="黑体" w:cs="黑体"/>
          <w:b/>
          <w:bCs w:val="0"/>
          <w:snapToGrid/>
          <w:color w:val="auto"/>
          <w:kern w:val="2"/>
          <w:sz w:val="32"/>
          <w:szCs w:val="32"/>
          <w:highlight w:val="none"/>
          <w:lang w:val="en-US" w:eastAsia="zh-CN" w:bidi="ar-SA"/>
        </w:rPr>
        <w:t>第二部分  通用条款</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C43BF9E">
      <w:pPr>
        <w:keepNext w:val="0"/>
        <w:keepLines w:val="0"/>
        <w:widowControl w:val="0"/>
        <w:numPr>
          <w:ilvl w:val="0"/>
          <w:numId w:val="1"/>
        </w:numPr>
        <w:tabs>
          <w:tab w:val="left" w:pos="54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36" w:name="_Toc18613"/>
      <w:bookmarkStart w:id="237" w:name="_Toc5984"/>
      <w:bookmarkStart w:id="238" w:name="_Toc2205"/>
      <w:bookmarkStart w:id="239" w:name="_Toc30825"/>
      <w:bookmarkStart w:id="240" w:name="_Toc302635688"/>
      <w:bookmarkStart w:id="241" w:name="_Toc35656956"/>
      <w:bookmarkStart w:id="242" w:name="_Toc14725"/>
      <w:bookmarkStart w:id="243" w:name="_Toc17378"/>
      <w:bookmarkStart w:id="244" w:name="_Toc35656456"/>
      <w:bookmarkStart w:id="245" w:name="_Toc27360"/>
      <w:bookmarkStart w:id="246" w:name="_Toc30670"/>
      <w:bookmarkStart w:id="247" w:name="_Toc305331222"/>
      <w:bookmarkStart w:id="248" w:name="_Toc24804"/>
      <w:bookmarkStart w:id="249" w:name="_Toc34908888"/>
      <w:r>
        <w:rPr>
          <w:rFonts w:hint="eastAsia" w:ascii="华文细黑" w:hAnsi="宋体" w:eastAsia="宋体" w:cs="Times New Roman"/>
          <w:b/>
          <w:bCs/>
          <w:snapToGrid w:val="0"/>
          <w:color w:val="auto"/>
          <w:kern w:val="0"/>
          <w:sz w:val="28"/>
          <w:szCs w:val="44"/>
          <w:highlight w:val="none"/>
          <w:lang w:val="en-US" w:eastAsia="zh-CN" w:bidi="ar-SA"/>
        </w:rPr>
        <w:t>词语定义</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37DEE49E">
      <w:pPr>
        <w:tabs>
          <w:tab w:val="left" w:pos="1620"/>
          <w:tab w:val="left" w:pos="2340"/>
        </w:tabs>
        <w:ind w:firstLine="420"/>
        <w:jc w:val="left"/>
        <w:rPr>
          <w:rFonts w:ascii="宋体" w:hAnsi="宋体" w:eastAsia="宋体" w:cs="Times New Roman"/>
          <w:color w:val="auto"/>
          <w:kern w:val="0"/>
          <w:szCs w:val="24"/>
          <w:highlight w:val="none"/>
        </w:rPr>
      </w:pPr>
      <w:bookmarkStart w:id="250" w:name="_Toc34908889"/>
      <w:r>
        <w:rPr>
          <w:rFonts w:hint="eastAsia" w:ascii="宋体" w:hAnsi="宋体" w:eastAsia="宋体" w:cs="Times New Roman"/>
          <w:color w:val="auto"/>
          <w:kern w:val="0"/>
          <w:szCs w:val="24"/>
          <w:highlight w:val="none"/>
        </w:rPr>
        <w:t>下列词语除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另有约定外，应具有本条所赋予的定义：</w:t>
      </w:r>
      <w:bookmarkEnd w:id="250"/>
    </w:p>
    <w:p w14:paraId="5774BD31">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1" w:name="_Toc12556"/>
      <w:bookmarkStart w:id="252" w:name="_Toc9183"/>
      <w:bookmarkStart w:id="253" w:name="_Toc240"/>
      <w:bookmarkStart w:id="254" w:name="_Toc23348"/>
      <w:bookmarkStart w:id="255" w:name="_Toc6782"/>
      <w:bookmarkStart w:id="256" w:name="_Toc302635689"/>
      <w:bookmarkStart w:id="257" w:name="_Toc17095"/>
      <w:bookmarkStart w:id="258" w:name="_Toc21076"/>
      <w:bookmarkStart w:id="259" w:name="_Toc305331223"/>
      <w:bookmarkStart w:id="260" w:name="_Toc27766"/>
      <w:bookmarkStart w:id="261" w:name="_Toc13521"/>
      <w:bookmarkStart w:id="262" w:name="_Toc34908892"/>
      <w:r>
        <w:rPr>
          <w:rFonts w:hint="eastAsia" w:ascii="宋体" w:hAnsi="宋体" w:eastAsia="宋体" w:cs="Times New Roman"/>
          <w:b/>
          <w:bCs/>
          <w:color w:val="auto"/>
          <w:kern w:val="0"/>
          <w:sz w:val="24"/>
          <w:szCs w:val="24"/>
          <w:highlight w:val="none"/>
          <w:lang w:val="en-US" w:eastAsia="zh-CN" w:bidi="ar-SA"/>
        </w:rPr>
        <w:t>合同主体与参与各方</w:t>
      </w:r>
      <w:bookmarkEnd w:id="251"/>
      <w:bookmarkEnd w:id="252"/>
      <w:bookmarkEnd w:id="253"/>
      <w:bookmarkEnd w:id="254"/>
      <w:bookmarkEnd w:id="255"/>
      <w:bookmarkEnd w:id="256"/>
      <w:bookmarkEnd w:id="257"/>
      <w:bookmarkEnd w:id="258"/>
      <w:bookmarkEnd w:id="259"/>
      <w:bookmarkEnd w:id="260"/>
      <w:bookmarkEnd w:id="261"/>
    </w:p>
    <w:p w14:paraId="6E51332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⑴发包人：指本合同指明执行本工程投资或负责管理本工程的、具有相应工程发包主体资格和支付工程价款能力的当事人，以及取得该资格和能力的合法继承人。</w:t>
      </w:r>
      <w:bookmarkEnd w:id="262"/>
      <w:r>
        <w:rPr>
          <w:rFonts w:hint="eastAsia" w:ascii="宋体" w:hAnsi="宋体" w:eastAsia="宋体" w:cs="Times New Roman"/>
          <w:color w:val="auto"/>
          <w:kern w:val="0"/>
          <w:szCs w:val="24"/>
          <w:highlight w:val="none"/>
        </w:rPr>
        <w:t xml:space="preserve"> </w:t>
      </w:r>
    </w:p>
    <w:p w14:paraId="2570F6DC">
      <w:pPr>
        <w:tabs>
          <w:tab w:val="left" w:pos="1620"/>
          <w:tab w:val="left" w:pos="2340"/>
        </w:tabs>
        <w:spacing w:after="156"/>
        <w:ind w:left="899"/>
        <w:jc w:val="left"/>
        <w:rPr>
          <w:rFonts w:ascii="宋体" w:hAnsi="宋体" w:eastAsia="宋体" w:cs="Times New Roman"/>
          <w:color w:val="auto"/>
          <w:kern w:val="0"/>
          <w:szCs w:val="24"/>
          <w:highlight w:val="none"/>
        </w:rPr>
      </w:pPr>
      <w:bookmarkStart w:id="263" w:name="_Toc34908893"/>
      <w:r>
        <w:rPr>
          <w:rFonts w:hint="eastAsia" w:ascii="宋体" w:hAnsi="宋体" w:eastAsia="宋体" w:cs="Times New Roman"/>
          <w:color w:val="auto"/>
          <w:kern w:val="0"/>
          <w:szCs w:val="24"/>
          <w:highlight w:val="none"/>
        </w:rPr>
        <w:t>⑵发包人代表：指由发包人任命的行使发包人在本合同约定的权利和义务的代表。</w:t>
      </w:r>
    </w:p>
    <w:p w14:paraId="36207F5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⑶承包人：指其投标文件已为发包人所接受，并与发包人签订了合同协议书承建本工程、具有相应工程施工资质的当事人</w:t>
      </w:r>
      <w:bookmarkEnd w:id="263"/>
      <w:r>
        <w:rPr>
          <w:rFonts w:hint="eastAsia" w:ascii="宋体" w:hAnsi="宋体" w:eastAsia="宋体" w:cs="Times New Roman"/>
          <w:color w:val="auto"/>
          <w:kern w:val="0"/>
          <w:szCs w:val="24"/>
          <w:highlight w:val="none"/>
        </w:rPr>
        <w:t>，以及取得该资格的合法继承人。</w:t>
      </w:r>
    </w:p>
    <w:p w14:paraId="7401BB2D">
      <w:pPr>
        <w:tabs>
          <w:tab w:val="left" w:pos="1620"/>
          <w:tab w:val="left" w:pos="2340"/>
        </w:tabs>
        <w:spacing w:after="156"/>
        <w:ind w:left="899"/>
        <w:jc w:val="left"/>
        <w:rPr>
          <w:rFonts w:ascii="宋体" w:hAnsi="宋体" w:eastAsia="宋体" w:cs="Times New Roman"/>
          <w:color w:val="auto"/>
          <w:kern w:val="0"/>
          <w:szCs w:val="24"/>
          <w:highlight w:val="none"/>
        </w:rPr>
      </w:pPr>
      <w:bookmarkStart w:id="264" w:name="_Toc34908895"/>
      <w:r>
        <w:rPr>
          <w:rFonts w:hint="eastAsia" w:ascii="宋体" w:hAnsi="宋体" w:eastAsia="宋体" w:cs="Times New Roman"/>
          <w:color w:val="auto"/>
          <w:kern w:val="0"/>
          <w:szCs w:val="24"/>
          <w:highlight w:val="none"/>
        </w:rPr>
        <w:t>⑷项目经理：指由承包人任命常驻现场、并取得相应资格的工程管理人员，代表承包人履行本合同约定的权利和义务。</w:t>
      </w:r>
      <w:bookmarkEnd w:id="264"/>
    </w:p>
    <w:p w14:paraId="55324C5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⑸专业工程承包人：指与发包人签订专业工程施工合同并承建该合同指定专业工程的、具有相应工程施工资质的当事人，以及取得该当事人资格的合法继承人。</w:t>
      </w:r>
    </w:p>
    <w:p w14:paraId="3D48F0C1">
      <w:pPr>
        <w:tabs>
          <w:tab w:val="left" w:pos="1620"/>
          <w:tab w:val="left" w:pos="2340"/>
        </w:tabs>
        <w:spacing w:after="156"/>
        <w:ind w:left="899"/>
        <w:jc w:val="left"/>
        <w:rPr>
          <w:rFonts w:ascii="宋体" w:hAnsi="宋体" w:eastAsia="宋体" w:cs="Times New Roman"/>
          <w:color w:val="auto"/>
          <w:kern w:val="0"/>
          <w:szCs w:val="24"/>
          <w:highlight w:val="none"/>
        </w:rPr>
      </w:pPr>
      <w:bookmarkStart w:id="265" w:name="_Toc34908894"/>
      <w:r>
        <w:rPr>
          <w:rFonts w:hint="eastAsia" w:ascii="宋体" w:hAnsi="宋体" w:eastAsia="宋体" w:cs="Times New Roman"/>
          <w:color w:val="auto"/>
          <w:kern w:val="0"/>
          <w:szCs w:val="24"/>
          <w:highlight w:val="none"/>
        </w:rPr>
        <w:t>⑹分包人：指经发包人认可并与承包人签订了分包合同承建本工程部分工程的、具有相应工程施工资质的当事人，以及取得该当事人资格的合法继承人。</w:t>
      </w:r>
    </w:p>
    <w:p w14:paraId="0F5F931E">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：指由发包人委托的负责本工程监理工作并取得相应工程监理资质的当事人，以及取得该当事人资格的合法继承人。</w:t>
      </w:r>
      <w:bookmarkEnd w:id="265"/>
    </w:p>
    <w:p w14:paraId="26500C8E">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66" w:name="_Toc34908897"/>
      <w:r>
        <w:rPr>
          <w:rFonts w:hint="eastAsia" w:ascii="宋体" w:hAnsi="宋体" w:eastAsia="宋体" w:cs="Times New Roman"/>
          <w:color w:val="auto"/>
          <w:kern w:val="0"/>
          <w:szCs w:val="24"/>
          <w:highlight w:val="none"/>
        </w:rPr>
        <w:t>⑻总监理工程师：指</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指派常驻现场履行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职责的代表。</w:t>
      </w:r>
    </w:p>
    <w:p w14:paraId="37A12378">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：指发包人委托的负责本工程设计并取得相应工程设计资质的当事人，以及取得该当事人资格的合法继承人。</w:t>
      </w:r>
      <w:bookmarkEnd w:id="266"/>
    </w:p>
    <w:p w14:paraId="6E17408A">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67" w:name="_Toc1817"/>
      <w:bookmarkStart w:id="268" w:name="_Toc13446"/>
      <w:bookmarkStart w:id="269" w:name="_Toc3187"/>
      <w:bookmarkStart w:id="270" w:name="_Toc305331224"/>
      <w:bookmarkStart w:id="271" w:name="_Toc27846"/>
      <w:bookmarkStart w:id="272" w:name="_Toc302635690"/>
      <w:bookmarkStart w:id="273" w:name="_Toc16880"/>
      <w:bookmarkStart w:id="274" w:name="_Toc1341"/>
      <w:bookmarkStart w:id="275" w:name="_Toc28967"/>
      <w:bookmarkStart w:id="276" w:name="_Toc8606"/>
      <w:bookmarkStart w:id="277" w:name="_Toc26155"/>
      <w:bookmarkStart w:id="278" w:name="_Toc34908898"/>
      <w:r>
        <w:rPr>
          <w:rFonts w:hint="eastAsia" w:ascii="宋体" w:hAnsi="宋体" w:eastAsia="宋体" w:cs="Times New Roman"/>
          <w:b/>
          <w:bCs/>
          <w:color w:val="auto"/>
          <w:kern w:val="0"/>
          <w:sz w:val="24"/>
          <w:szCs w:val="24"/>
          <w:highlight w:val="none"/>
          <w:lang w:val="en-US" w:eastAsia="zh-CN" w:bidi="ar-SA"/>
        </w:rPr>
        <w:t>合同文件</w:t>
      </w:r>
      <w:bookmarkEnd w:id="267"/>
      <w:bookmarkEnd w:id="268"/>
      <w:bookmarkEnd w:id="269"/>
      <w:bookmarkEnd w:id="270"/>
      <w:bookmarkEnd w:id="271"/>
      <w:bookmarkEnd w:id="272"/>
      <w:bookmarkEnd w:id="273"/>
      <w:bookmarkEnd w:id="274"/>
      <w:bookmarkEnd w:id="275"/>
      <w:bookmarkEnd w:id="276"/>
      <w:bookmarkEnd w:id="277"/>
    </w:p>
    <w:p w14:paraId="7C2668F6">
      <w:pPr>
        <w:tabs>
          <w:tab w:val="left" w:pos="1620"/>
          <w:tab w:val="left" w:pos="2340"/>
        </w:tabs>
        <w:spacing w:after="156"/>
        <w:ind w:left="899"/>
        <w:jc w:val="left"/>
        <w:rPr>
          <w:rFonts w:ascii="宋体" w:hAnsi="宋体" w:eastAsia="宋体" w:cs="Times New Roman"/>
          <w:color w:val="auto"/>
          <w:kern w:val="0"/>
          <w:szCs w:val="24"/>
          <w:highlight w:val="none"/>
        </w:rPr>
      </w:pPr>
      <w:bookmarkStart w:id="279" w:name="_Toc34908916"/>
      <w:r>
        <w:rPr>
          <w:rFonts w:hint="eastAsia" w:ascii="宋体" w:hAnsi="宋体" w:eastAsia="宋体" w:cs="Times New Roman"/>
          <w:color w:val="auto"/>
          <w:kern w:val="0"/>
          <w:szCs w:val="24"/>
          <w:highlight w:val="none"/>
        </w:rPr>
        <w:t>⑴合同：是指由承包人进行本工程施工并提供工程保修服务，发包人支付价款，约定双方权利义务的协议。合同由通用条款第</w:t>
      </w:r>
      <w:r>
        <w:rPr>
          <w:rFonts w:ascii="宋体" w:hAnsi="宋体" w:eastAsia="宋体" w:cs="Times New Roman"/>
          <w:color w:val="auto"/>
          <w:kern w:val="0"/>
          <w:szCs w:val="24"/>
          <w:highlight w:val="none"/>
        </w:rPr>
        <w:t>2.</w:t>
      </w:r>
      <w:r>
        <w:rPr>
          <w:rFonts w:hint="eastAsia" w:ascii="宋体" w:hAnsi="宋体" w:eastAsia="宋体" w:cs="Times New Roman"/>
          <w:color w:val="auto"/>
          <w:kern w:val="0"/>
          <w:szCs w:val="24"/>
          <w:highlight w:val="none"/>
        </w:rPr>
        <w:t>1款所列的文件组成。</w:t>
      </w:r>
    </w:p>
    <w:p w14:paraId="11EC85A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⑵图纸：指由发包人按本合同约定向承包人提供的全部设计图纸、计算书和性质类似的技术资料，或由承包人提交并经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批准的所有图纸、计算书和其他性质类似的技术资料。</w:t>
      </w:r>
    </w:p>
    <w:p w14:paraId="618BEE58">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⑶标准、规范：指本合同中约定的适用于本工程的技术标准、规范及其修改或补充。</w:t>
      </w:r>
    </w:p>
    <w:p w14:paraId="4E28ED86">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bookmarkEnd w:id="279"/>
      <w:r>
        <w:rPr>
          <w:rFonts w:hint="eastAsia" w:ascii="宋体" w:hAnsi="宋体" w:eastAsia="宋体" w:cs="Times New Roman"/>
          <w:color w:val="auto"/>
          <w:kern w:val="0"/>
          <w:szCs w:val="24"/>
          <w:highlight w:val="none"/>
        </w:rPr>
        <w:t>工程量清单：指根据图纸、技术规范，按照《建设工程工程量清单计价规范》有关格式、工程量计算规则等列出的项目名称和相应数量等的明细清单。载明分部分项工程项目、措施项目、其他项目的名称和相应数量以及规费、税金项目等内容。</w:t>
      </w:r>
    </w:p>
    <w:p w14:paraId="2481232B">
      <w:pPr>
        <w:tabs>
          <w:tab w:val="left" w:pos="1620"/>
          <w:tab w:val="left" w:pos="2340"/>
        </w:tabs>
        <w:spacing w:after="156"/>
        <w:ind w:left="899"/>
        <w:jc w:val="left"/>
        <w:rPr>
          <w:rFonts w:ascii="宋体" w:hAnsi="宋体" w:eastAsia="宋体" w:cs="Times New Roman"/>
          <w:color w:val="auto"/>
          <w:kern w:val="0"/>
          <w:szCs w:val="24"/>
          <w:highlight w:val="none"/>
        </w:rPr>
      </w:pPr>
      <w:bookmarkStart w:id="280" w:name="_Toc34908917"/>
      <w:r>
        <w:rPr>
          <w:rFonts w:hint="eastAsia" w:ascii="宋体" w:hAnsi="宋体" w:eastAsia="宋体" w:cs="Times New Roman"/>
          <w:color w:val="auto"/>
          <w:kern w:val="0"/>
          <w:szCs w:val="24"/>
          <w:highlight w:val="none"/>
        </w:rPr>
        <w:t>⑸</w:t>
      </w:r>
      <w:bookmarkEnd w:id="280"/>
      <w:r>
        <w:rPr>
          <w:rFonts w:hint="eastAsia" w:ascii="宋体" w:hAnsi="宋体" w:eastAsia="宋体" w:cs="Times New Roman"/>
          <w:color w:val="auto"/>
          <w:kern w:val="0"/>
          <w:szCs w:val="24"/>
          <w:highlight w:val="none"/>
        </w:rPr>
        <w:t>书面形式：指合同、协议、信件和数据电文(包括电报、电传、传真、电子数据交换和电子邮件)等可以有形地表现所载内容的形式。</w:t>
      </w:r>
    </w:p>
    <w:p w14:paraId="5EEE0B07">
      <w:pPr>
        <w:tabs>
          <w:tab w:val="left" w:pos="1620"/>
          <w:tab w:val="left" w:pos="2340"/>
        </w:tabs>
        <w:spacing w:after="156"/>
        <w:ind w:left="899"/>
        <w:jc w:val="left"/>
        <w:rPr>
          <w:rFonts w:ascii="宋体" w:hAnsi="宋体" w:eastAsia="宋体" w:cs="Times New Roman"/>
          <w:color w:val="auto"/>
          <w:kern w:val="0"/>
          <w:szCs w:val="24"/>
          <w:highlight w:val="none"/>
        </w:rPr>
      </w:pPr>
      <w:bookmarkStart w:id="281" w:name="_Toc34908918"/>
      <w:r>
        <w:rPr>
          <w:rFonts w:hint="eastAsia" w:ascii="宋体" w:hAnsi="宋体" w:eastAsia="宋体" w:cs="Times New Roman"/>
          <w:color w:val="auto"/>
          <w:kern w:val="0"/>
          <w:szCs w:val="24"/>
          <w:highlight w:val="none"/>
        </w:rPr>
        <w:t>⑹</w:t>
      </w:r>
      <w:bookmarkEnd w:id="281"/>
      <w:r>
        <w:rPr>
          <w:rFonts w:hint="eastAsia" w:ascii="宋体" w:hAnsi="宋体" w:eastAsia="宋体" w:cs="Times New Roman"/>
          <w:color w:val="auto"/>
          <w:kern w:val="0"/>
          <w:szCs w:val="24"/>
          <w:highlight w:val="none"/>
        </w:rPr>
        <w:t>其他合同文件：是指经承发包双方约定的与工程施工有关的具有合同约束力的文件或书面协议。承发包双方可以在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中进行约定。</w:t>
      </w:r>
    </w:p>
    <w:p w14:paraId="15148146">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2" w:name="_Toc14600"/>
      <w:bookmarkStart w:id="283" w:name="_Toc22333"/>
      <w:bookmarkStart w:id="284" w:name="_Toc20141"/>
      <w:bookmarkStart w:id="285" w:name="_Toc17398"/>
      <w:bookmarkStart w:id="286" w:name="_Toc29427"/>
      <w:bookmarkStart w:id="287" w:name="_Toc16541"/>
      <w:bookmarkStart w:id="288" w:name="_Toc302635691"/>
      <w:bookmarkStart w:id="289" w:name="_Toc305331225"/>
      <w:bookmarkStart w:id="290" w:name="_Toc21216"/>
      <w:bookmarkStart w:id="291" w:name="_Toc25197"/>
      <w:bookmarkStart w:id="292" w:name="_Toc12608"/>
      <w:r>
        <w:rPr>
          <w:rFonts w:hint="eastAsia" w:ascii="宋体" w:hAnsi="宋体" w:eastAsia="宋体" w:cs="Times New Roman"/>
          <w:b/>
          <w:bCs/>
          <w:color w:val="auto"/>
          <w:kern w:val="0"/>
          <w:sz w:val="24"/>
          <w:szCs w:val="24"/>
          <w:highlight w:val="none"/>
          <w:lang w:val="en-US" w:eastAsia="zh-CN" w:bidi="ar-SA"/>
        </w:rPr>
        <w:t>工程、现场与装备</w:t>
      </w:r>
      <w:bookmarkEnd w:id="282"/>
      <w:bookmarkEnd w:id="283"/>
      <w:bookmarkEnd w:id="284"/>
      <w:bookmarkEnd w:id="285"/>
      <w:bookmarkEnd w:id="286"/>
      <w:bookmarkEnd w:id="287"/>
      <w:bookmarkEnd w:id="288"/>
      <w:bookmarkEnd w:id="289"/>
      <w:bookmarkEnd w:id="290"/>
      <w:bookmarkEnd w:id="291"/>
      <w:bookmarkEnd w:id="292"/>
    </w:p>
    <w:p w14:paraId="6D655AD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⑴永久工程：指根据本合同约定应实施的永久性工程，包括1.3⑻款所指的设备。</w:t>
      </w:r>
      <w:bookmarkEnd w:id="278"/>
    </w:p>
    <w:p w14:paraId="74FA2BE0">
      <w:pPr>
        <w:tabs>
          <w:tab w:val="left" w:pos="1620"/>
          <w:tab w:val="left" w:pos="2340"/>
        </w:tabs>
        <w:spacing w:after="156"/>
        <w:ind w:left="899"/>
        <w:jc w:val="left"/>
        <w:rPr>
          <w:rFonts w:ascii="宋体" w:hAnsi="宋体" w:eastAsia="宋体" w:cs="Times New Roman"/>
          <w:color w:val="auto"/>
          <w:kern w:val="0"/>
          <w:szCs w:val="24"/>
          <w:highlight w:val="none"/>
        </w:rPr>
      </w:pPr>
      <w:bookmarkStart w:id="293" w:name="_Toc34908899"/>
      <w:r>
        <w:rPr>
          <w:rFonts w:hint="eastAsia" w:ascii="宋体" w:hAnsi="宋体" w:eastAsia="宋体" w:cs="Times New Roman"/>
          <w:color w:val="auto"/>
          <w:kern w:val="0"/>
          <w:szCs w:val="24"/>
          <w:highlight w:val="none"/>
        </w:rPr>
        <w:t>⑵临时工程：指实施和完成本工程及其缺陷的修复过程中所需的各种临时性工程，但不包括1.3⑼款所指的承包人装备。</w:t>
      </w:r>
      <w:bookmarkEnd w:id="293"/>
    </w:p>
    <w:p w14:paraId="0FE6EC71">
      <w:pPr>
        <w:tabs>
          <w:tab w:val="left" w:pos="1620"/>
          <w:tab w:val="left" w:pos="2340"/>
        </w:tabs>
        <w:spacing w:after="156"/>
        <w:ind w:left="899"/>
        <w:jc w:val="left"/>
        <w:rPr>
          <w:rFonts w:ascii="宋体" w:hAnsi="宋体" w:eastAsia="宋体" w:cs="Times New Roman"/>
          <w:color w:val="auto"/>
          <w:kern w:val="0"/>
          <w:szCs w:val="24"/>
          <w:highlight w:val="none"/>
        </w:rPr>
      </w:pPr>
      <w:bookmarkStart w:id="294" w:name="_Toc34908900"/>
      <w:r>
        <w:rPr>
          <w:rFonts w:hint="eastAsia" w:ascii="宋体" w:hAnsi="宋体" w:eastAsia="宋体" w:cs="Times New Roman"/>
          <w:color w:val="auto"/>
          <w:kern w:val="0"/>
          <w:szCs w:val="24"/>
          <w:highlight w:val="none"/>
        </w:rPr>
        <w:t>⑶工程：指永久工程和临时工程，或视具体情况指两者中的任何一个。</w:t>
      </w:r>
      <w:bookmarkEnd w:id="294"/>
    </w:p>
    <w:p w14:paraId="73A7664B">
      <w:pPr>
        <w:tabs>
          <w:tab w:val="left" w:pos="1620"/>
          <w:tab w:val="left" w:pos="2340"/>
        </w:tabs>
        <w:spacing w:after="156"/>
        <w:ind w:left="899"/>
        <w:jc w:val="left"/>
        <w:rPr>
          <w:rFonts w:ascii="宋体" w:hAnsi="宋体" w:eastAsia="宋体" w:cs="Times New Roman"/>
          <w:color w:val="auto"/>
          <w:kern w:val="0"/>
          <w:szCs w:val="24"/>
          <w:highlight w:val="none"/>
        </w:rPr>
      </w:pPr>
      <w:bookmarkStart w:id="295" w:name="_Toc34908901"/>
      <w:r>
        <w:rPr>
          <w:rFonts w:hint="eastAsia" w:ascii="宋体" w:hAnsi="宋体" w:eastAsia="宋体" w:cs="Times New Roman"/>
          <w:color w:val="auto"/>
          <w:kern w:val="0"/>
          <w:szCs w:val="24"/>
          <w:highlight w:val="none"/>
        </w:rPr>
        <w:t>⑷单项工程：指本工程范围内、合同约定或能单独发挥效益的某一独立工程。</w:t>
      </w:r>
      <w:bookmarkEnd w:id="295"/>
    </w:p>
    <w:p w14:paraId="5C531E18">
      <w:pPr>
        <w:tabs>
          <w:tab w:val="left" w:pos="1620"/>
          <w:tab w:val="left" w:pos="2340"/>
        </w:tabs>
        <w:spacing w:after="156"/>
        <w:ind w:left="899"/>
        <w:jc w:val="left"/>
        <w:rPr>
          <w:rFonts w:ascii="宋体" w:hAnsi="宋体" w:eastAsia="宋体" w:cs="Times New Roman"/>
          <w:color w:val="auto"/>
          <w:kern w:val="0"/>
          <w:szCs w:val="24"/>
          <w:highlight w:val="none"/>
        </w:rPr>
      </w:pPr>
      <w:bookmarkStart w:id="296" w:name="_Toc34908905"/>
      <w:bookmarkStart w:id="297" w:name="_Toc34908902"/>
      <w:r>
        <w:rPr>
          <w:rFonts w:hint="eastAsia" w:ascii="宋体" w:hAnsi="宋体" w:eastAsia="宋体" w:cs="Times New Roman"/>
          <w:color w:val="auto"/>
          <w:kern w:val="0"/>
          <w:szCs w:val="24"/>
          <w:highlight w:val="none"/>
        </w:rPr>
        <w:t>⑸现场：指由发包人提供的用于本工程施工的场地以及发包人在本合同中具体指定构成现场一部分的其他场所。</w:t>
      </w:r>
      <w:bookmarkEnd w:id="296"/>
    </w:p>
    <w:p w14:paraId="2208076E">
      <w:pPr>
        <w:tabs>
          <w:tab w:val="left" w:pos="1620"/>
          <w:tab w:val="left" w:pos="2340"/>
        </w:tabs>
        <w:spacing w:after="156"/>
        <w:ind w:left="899"/>
        <w:jc w:val="left"/>
        <w:rPr>
          <w:rFonts w:ascii="宋体" w:hAnsi="宋体" w:eastAsia="宋体" w:cs="Times New Roman"/>
          <w:color w:val="auto"/>
          <w:kern w:val="0"/>
          <w:szCs w:val="24"/>
          <w:highlight w:val="none"/>
        </w:rPr>
      </w:pPr>
      <w:bookmarkStart w:id="298" w:name="_Toc34908906"/>
      <w:r>
        <w:rPr>
          <w:rFonts w:hint="eastAsia" w:ascii="宋体" w:hAnsi="宋体" w:eastAsia="宋体" w:cs="Times New Roman"/>
          <w:color w:val="auto"/>
          <w:kern w:val="0"/>
          <w:szCs w:val="24"/>
          <w:highlight w:val="none"/>
        </w:rPr>
        <w:t>⑹永久占地：</w:t>
      </w:r>
      <w:bookmarkEnd w:id="298"/>
      <w:r>
        <w:rPr>
          <w:rFonts w:hint="eastAsia" w:ascii="宋体" w:hAnsi="宋体" w:eastAsia="宋体" w:cs="Times New Roman"/>
          <w:color w:val="auto"/>
          <w:kern w:val="0"/>
          <w:szCs w:val="24"/>
          <w:highlight w:val="none"/>
        </w:rPr>
        <w:t>指为实施本工程而需要的长期占用的土地，具体期限以政府批准的土地使用年限为准。</w:t>
      </w:r>
    </w:p>
    <w:p w14:paraId="5AA9873D">
      <w:pPr>
        <w:tabs>
          <w:tab w:val="left" w:pos="1620"/>
          <w:tab w:val="left" w:pos="2340"/>
        </w:tabs>
        <w:spacing w:after="156"/>
        <w:ind w:left="899"/>
        <w:jc w:val="left"/>
        <w:rPr>
          <w:rFonts w:ascii="宋体" w:hAnsi="宋体" w:eastAsia="宋体" w:cs="Times New Roman"/>
          <w:color w:val="auto"/>
          <w:kern w:val="0"/>
          <w:szCs w:val="24"/>
          <w:highlight w:val="none"/>
        </w:rPr>
      </w:pPr>
      <w:bookmarkStart w:id="299" w:name="_Toc34908907"/>
      <w:r>
        <w:rPr>
          <w:rFonts w:hint="eastAsia" w:ascii="宋体" w:hAnsi="宋体" w:eastAsia="宋体" w:cs="Times New Roman"/>
          <w:color w:val="auto"/>
          <w:kern w:val="0"/>
          <w:szCs w:val="24"/>
          <w:highlight w:val="none"/>
        </w:rPr>
        <w:t>⑺临时占地：指为实施本工程而需要的一切临时占用土地，包括施工所用的临时支线、便道、便桥和现场的临时出入通道，以及生产、生活等临时设施用地等。</w:t>
      </w:r>
      <w:bookmarkEnd w:id="299"/>
    </w:p>
    <w:p w14:paraId="02785D64">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⑻设备：指预定构成或构成永久工程一部分的机械、仪器、装置。</w:t>
      </w:r>
      <w:bookmarkEnd w:id="297"/>
    </w:p>
    <w:p w14:paraId="72FD2F5B">
      <w:pPr>
        <w:tabs>
          <w:tab w:val="left" w:pos="1620"/>
          <w:tab w:val="left" w:pos="2340"/>
        </w:tabs>
        <w:spacing w:after="156"/>
        <w:ind w:left="899"/>
        <w:jc w:val="left"/>
        <w:rPr>
          <w:rFonts w:ascii="宋体" w:hAnsi="宋体" w:eastAsia="宋体" w:cs="Times New Roman"/>
          <w:color w:val="auto"/>
          <w:kern w:val="0"/>
          <w:szCs w:val="24"/>
          <w:highlight w:val="none"/>
        </w:rPr>
      </w:pPr>
      <w:bookmarkStart w:id="300" w:name="_Toc34908903"/>
      <w:r>
        <w:rPr>
          <w:rFonts w:hint="eastAsia" w:ascii="宋体" w:hAnsi="宋体" w:eastAsia="宋体" w:cs="Times New Roman"/>
          <w:color w:val="auto"/>
          <w:kern w:val="0"/>
          <w:szCs w:val="24"/>
          <w:highlight w:val="none"/>
        </w:rPr>
        <w:t>⑼承包人装备：指属承包人所有(或租赁)的，为实施和完成本工程及其缺陷修复所需的机械、器具或物品。</w:t>
      </w:r>
      <w:bookmarkEnd w:id="300"/>
    </w:p>
    <w:p w14:paraId="54F42CEA">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1" w:name="_Toc707"/>
      <w:bookmarkStart w:id="302" w:name="_Toc14483"/>
      <w:bookmarkStart w:id="303" w:name="_Toc305331226"/>
      <w:bookmarkStart w:id="304" w:name="_Toc735"/>
      <w:bookmarkStart w:id="305" w:name="_Toc9109"/>
      <w:bookmarkStart w:id="306" w:name="_Toc24985"/>
      <w:bookmarkStart w:id="307" w:name="_Toc302635692"/>
      <w:bookmarkStart w:id="308" w:name="_Toc21333"/>
      <w:bookmarkStart w:id="309" w:name="_Toc25323"/>
      <w:bookmarkStart w:id="310" w:name="_Toc20917"/>
      <w:bookmarkStart w:id="311" w:name="_Toc5518"/>
      <w:bookmarkStart w:id="312" w:name="_Toc34908908"/>
      <w:r>
        <w:rPr>
          <w:rFonts w:hint="eastAsia" w:ascii="宋体" w:hAnsi="宋体" w:eastAsia="宋体" w:cs="Times New Roman"/>
          <w:b/>
          <w:bCs/>
          <w:color w:val="auto"/>
          <w:kern w:val="0"/>
          <w:sz w:val="24"/>
          <w:szCs w:val="24"/>
          <w:highlight w:val="none"/>
          <w:lang w:val="en-US" w:eastAsia="zh-CN" w:bidi="ar-SA"/>
        </w:rPr>
        <w:t>合同价格与费用</w:t>
      </w:r>
      <w:bookmarkEnd w:id="301"/>
      <w:bookmarkEnd w:id="302"/>
      <w:bookmarkEnd w:id="303"/>
      <w:bookmarkEnd w:id="304"/>
      <w:bookmarkEnd w:id="305"/>
      <w:bookmarkEnd w:id="306"/>
      <w:bookmarkEnd w:id="307"/>
      <w:bookmarkEnd w:id="308"/>
      <w:bookmarkEnd w:id="309"/>
      <w:bookmarkEnd w:id="310"/>
      <w:bookmarkEnd w:id="311"/>
    </w:p>
    <w:p w14:paraId="379FF9F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⑴签约合同价：指在中标通知书和合同协议书中写明的，承包人按合同约定实施和完成本工程及其缺陷的修复应得到的价款。</w:t>
      </w:r>
      <w:bookmarkEnd w:id="312"/>
    </w:p>
    <w:p w14:paraId="0537D4B8">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⑵合同价格：指发包人用于支付承包人按照合同约定完成承包范围内全部工作的金额，包括合同履行过程中按合同约定发生的价格变化。</w:t>
      </w:r>
    </w:p>
    <w:p w14:paraId="0E0631E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⑶费用：指为履行合同所发生的或将要发生的所有必需的开支，包括管理费和应分摊的其他费用，但不包括利润。</w:t>
      </w:r>
    </w:p>
    <w:p w14:paraId="1E6D237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⑷计日工：承包人在本合同履行过程中依发包人要求所完成的施工图纸以外的零星项目或工作。</w:t>
      </w:r>
    </w:p>
    <w:p w14:paraId="69E38BA4">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⑸现场签证：发包人和承包人双方对其在本合同履行过程中涉及的相关责任事件所作的签认证明。</w:t>
      </w:r>
    </w:p>
    <w:p w14:paraId="7E236B4C">
      <w:pPr>
        <w:tabs>
          <w:tab w:val="left" w:pos="1620"/>
          <w:tab w:val="left" w:pos="2340"/>
        </w:tabs>
        <w:spacing w:after="156"/>
        <w:ind w:left="899"/>
        <w:jc w:val="left"/>
        <w:rPr>
          <w:rFonts w:ascii="宋体" w:hAnsi="宋体" w:eastAsia="宋体" w:cs="Times New Roman"/>
          <w:color w:val="auto"/>
          <w:kern w:val="0"/>
          <w:szCs w:val="24"/>
          <w:highlight w:val="none"/>
        </w:rPr>
      </w:pPr>
      <w:bookmarkStart w:id="313" w:name="_Toc34908909"/>
      <w:r>
        <w:rPr>
          <w:rFonts w:hint="eastAsia" w:ascii="宋体" w:hAnsi="宋体" w:eastAsia="宋体" w:cs="Times New Roman"/>
          <w:color w:val="auto"/>
          <w:kern w:val="0"/>
          <w:szCs w:val="24"/>
          <w:highlight w:val="none"/>
        </w:rPr>
        <w:t>⑹</w:t>
      </w:r>
      <w:bookmarkEnd w:id="313"/>
      <w:r>
        <w:rPr>
          <w:rFonts w:hint="eastAsia" w:ascii="宋体" w:hAnsi="宋体" w:eastAsia="宋体" w:cs="Times New Roman"/>
          <w:color w:val="auto"/>
          <w:kern w:val="0"/>
          <w:szCs w:val="24"/>
          <w:highlight w:val="none"/>
        </w:rPr>
        <w:t>质量保证金：指承包人用于保证其在缺陷责任期内履行缺陷修补义务的担保。</w:t>
      </w:r>
    </w:p>
    <w:p w14:paraId="53055A99">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14" w:name="_Toc305331227"/>
      <w:bookmarkStart w:id="315" w:name="_Toc617"/>
      <w:bookmarkStart w:id="316" w:name="_Toc302635693"/>
      <w:bookmarkStart w:id="317" w:name="_Toc34908910"/>
      <w:r>
        <w:rPr>
          <w:rFonts w:hint="eastAsia" w:ascii="宋体" w:hAnsi="宋体" w:eastAsia="宋体" w:cs="Times New Roman"/>
          <w:color w:val="auto"/>
          <w:kern w:val="0"/>
          <w:szCs w:val="24"/>
          <w:highlight w:val="none"/>
        </w:rPr>
        <w:t>⑺过程结算：指项目实施过程中，发承包双方依据本合同，对结算周期内完成的工程内容开展工程价款计算、调整、确认及支付等的活动。</w:t>
      </w:r>
    </w:p>
    <w:p w14:paraId="4F3CE65A">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18" w:name="_Toc13524"/>
      <w:bookmarkStart w:id="319" w:name="_Toc8215"/>
      <w:bookmarkStart w:id="320" w:name="_Toc7036"/>
      <w:bookmarkStart w:id="321" w:name="_Toc28629"/>
      <w:bookmarkStart w:id="322" w:name="_Toc26726"/>
      <w:bookmarkStart w:id="323" w:name="_Toc5859"/>
      <w:bookmarkStart w:id="324" w:name="_Toc23408"/>
      <w:bookmarkStart w:id="325" w:name="_Toc5422"/>
      <w:r>
        <w:rPr>
          <w:rFonts w:hint="eastAsia" w:ascii="宋体" w:hAnsi="宋体" w:eastAsia="宋体" w:cs="Times New Roman"/>
          <w:b/>
          <w:bCs/>
          <w:color w:val="auto"/>
          <w:kern w:val="0"/>
          <w:sz w:val="24"/>
          <w:szCs w:val="24"/>
          <w:highlight w:val="none"/>
          <w:lang w:val="en-US" w:eastAsia="zh-CN" w:bidi="ar-SA"/>
        </w:rPr>
        <w:t>施工工期</w:t>
      </w:r>
      <w:bookmarkEnd w:id="314"/>
      <w:bookmarkEnd w:id="315"/>
      <w:bookmarkEnd w:id="316"/>
      <w:bookmarkEnd w:id="318"/>
      <w:bookmarkEnd w:id="319"/>
      <w:bookmarkEnd w:id="320"/>
      <w:bookmarkEnd w:id="321"/>
      <w:bookmarkEnd w:id="322"/>
      <w:bookmarkEnd w:id="323"/>
      <w:bookmarkEnd w:id="324"/>
      <w:bookmarkEnd w:id="325"/>
    </w:p>
    <w:bookmarkEnd w:id="317"/>
    <w:p w14:paraId="32BDF0AC">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26" w:name="_Toc34908911"/>
      <w:r>
        <w:rPr>
          <w:rFonts w:hint="eastAsia" w:ascii="宋体" w:hAnsi="宋体" w:eastAsia="宋体" w:cs="Times New Roman"/>
          <w:color w:val="auto"/>
          <w:kern w:val="0"/>
          <w:szCs w:val="24"/>
          <w:highlight w:val="none"/>
        </w:rPr>
        <w:t>⑴计划开工日期：指发包人和承包人在本合同协议书中约定，承包人开始本工程施工的绝对或相对的日期。</w:t>
      </w:r>
      <w:bookmarkEnd w:id="326"/>
    </w:p>
    <w:p w14:paraId="4A350CE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bookmarkStart w:id="327" w:name="_Toc34908912"/>
      <w:r>
        <w:rPr>
          <w:rFonts w:hint="eastAsia" w:ascii="宋体" w:hAnsi="宋体" w:eastAsia="宋体" w:cs="Times New Roman"/>
          <w:color w:val="auto"/>
          <w:kern w:val="0"/>
          <w:szCs w:val="24"/>
          <w:highlight w:val="none"/>
        </w:rPr>
        <w:t>计划竣工日期：指发包人和承包人在本合同协议书中约定，承包人完成本工程施工的绝对或相对的日期。</w:t>
      </w:r>
      <w:bookmarkEnd w:id="327"/>
    </w:p>
    <w:p w14:paraId="1638A5D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bookmarkStart w:id="328" w:name="_Toc34908914"/>
      <w:r>
        <w:rPr>
          <w:rFonts w:hint="eastAsia" w:ascii="宋体" w:hAnsi="宋体" w:eastAsia="宋体" w:cs="Times New Roman"/>
          <w:color w:val="auto"/>
          <w:kern w:val="0"/>
          <w:szCs w:val="24"/>
          <w:highlight w:val="none"/>
        </w:rPr>
        <w:t>合同工期：指发包人和承包人在本合同协议书中约定的，按总日历天数(包括法定节假日)计算的从开工日期至竣工日期的天数。</w:t>
      </w:r>
      <w:bookmarkEnd w:id="328"/>
    </w:p>
    <w:p w14:paraId="41E5989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⑷定额工期：指按《深圳市建设工程施工工期定额》计算的本工程工期。《深圳市建设工程施工工期定额》缺项的专业工程，其定额工期由发包人组织专家论证评审确定。</w:t>
      </w:r>
    </w:p>
    <w:p w14:paraId="0E934AC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⑸实际开工日期：指工程具备开工条件，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向承包人发出开工通知书中指令的开始本工程施工的日期。</w:t>
      </w:r>
    </w:p>
    <w:p w14:paraId="01ABDC27">
      <w:pPr>
        <w:tabs>
          <w:tab w:val="left" w:pos="1620"/>
          <w:tab w:val="left" w:pos="2340"/>
        </w:tabs>
        <w:spacing w:after="156"/>
        <w:ind w:left="899"/>
        <w:jc w:val="left"/>
        <w:rPr>
          <w:rFonts w:ascii="宋体" w:hAnsi="宋体" w:eastAsia="宋体" w:cs="Times New Roman"/>
          <w:color w:val="auto"/>
          <w:kern w:val="0"/>
          <w:szCs w:val="24"/>
          <w:highlight w:val="none"/>
        </w:rPr>
      </w:pPr>
      <w:bookmarkStart w:id="329" w:name="_Toc34908913"/>
      <w:r>
        <w:rPr>
          <w:rFonts w:hint="eastAsia" w:ascii="宋体" w:hAnsi="宋体" w:eastAsia="宋体" w:cs="Times New Roman"/>
          <w:color w:val="auto"/>
          <w:kern w:val="0"/>
          <w:szCs w:val="24"/>
          <w:highlight w:val="none"/>
        </w:rPr>
        <w:t>⑹实际竣工日期：指承包人按本合同约定承包范围和质量要求完成本工程施工并通过竣工验收的日期。</w:t>
      </w:r>
      <w:bookmarkEnd w:id="329"/>
    </w:p>
    <w:p w14:paraId="23D000A7">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30" w:name="_Toc34908915"/>
      <w:r>
        <w:rPr>
          <w:rFonts w:hint="eastAsia" w:ascii="宋体" w:hAnsi="宋体" w:eastAsia="宋体" w:cs="Times New Roman"/>
          <w:color w:val="auto"/>
          <w:kern w:val="0"/>
          <w:szCs w:val="24"/>
          <w:highlight w:val="none"/>
        </w:rPr>
        <w:t>⑺实际工期：指按总日历天数(包括法定节假日)计算的从实际开工日期至实际竣工日期的天数。</w:t>
      </w:r>
      <w:bookmarkEnd w:id="330"/>
    </w:p>
    <w:p w14:paraId="7D64BB3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⑻交接证书：指本工程或本合同中约定有单独工期的单项工程竣工后，发包人和承包人进行本工程移交所签发的证书。</w:t>
      </w:r>
    </w:p>
    <w:p w14:paraId="6EA21C1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⑼缺陷责任期：是指承包人按照合同约定承担缺陷修复义务，且发包人预留质量保证金的期限，自工程实际竣工日期起计算。</w:t>
      </w:r>
    </w:p>
    <w:p w14:paraId="6992E46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⑽保修期：是指承包人按照合同约定对工程承担保修责任的期限，从工程竣工验收合格之日起计算。</w:t>
      </w:r>
    </w:p>
    <w:p w14:paraId="29BC1E9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⑾基准日期：</w:t>
      </w:r>
      <w:r>
        <w:rPr>
          <w:rFonts w:ascii="宋体" w:hAnsi="宋体" w:eastAsia="宋体" w:cs="Times New Roman"/>
          <w:color w:val="auto"/>
          <w:kern w:val="0"/>
          <w:szCs w:val="24"/>
          <w:highlight w:val="none"/>
        </w:rPr>
        <w:t>以投标截止日前28天的日期为基准日</w:t>
      </w:r>
      <w:r>
        <w:rPr>
          <w:rFonts w:hint="eastAsia" w:ascii="宋体" w:hAnsi="宋体" w:eastAsia="宋体" w:cs="Times New Roman"/>
          <w:color w:val="auto"/>
          <w:kern w:val="0"/>
          <w:szCs w:val="24"/>
          <w:highlight w:val="none"/>
        </w:rPr>
        <w:t>期</w:t>
      </w:r>
      <w:r>
        <w:rPr>
          <w:rFonts w:ascii="宋体" w:hAnsi="宋体" w:eastAsia="宋体" w:cs="Times New Roman"/>
          <w:color w:val="auto"/>
          <w:kern w:val="0"/>
          <w:szCs w:val="24"/>
          <w:highlight w:val="none"/>
        </w:rPr>
        <w:t>。</w:t>
      </w:r>
    </w:p>
    <w:p w14:paraId="43042E6D">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31" w:name="_Toc776"/>
      <w:bookmarkStart w:id="332" w:name="_Toc2166"/>
      <w:bookmarkStart w:id="333" w:name="_Toc13142"/>
      <w:bookmarkStart w:id="334" w:name="_Toc4253"/>
      <w:bookmarkStart w:id="335" w:name="_Toc22420"/>
      <w:bookmarkStart w:id="336" w:name="_Toc302635694"/>
      <w:bookmarkStart w:id="337" w:name="_Toc305331228"/>
      <w:bookmarkStart w:id="338" w:name="_Toc32018"/>
      <w:bookmarkStart w:id="339" w:name="_Toc18730"/>
      <w:bookmarkStart w:id="340" w:name="_Toc1160"/>
      <w:bookmarkStart w:id="341" w:name="_Toc24346"/>
      <w:bookmarkStart w:id="342" w:name="_Toc34908921"/>
      <w:r>
        <w:rPr>
          <w:rFonts w:hint="eastAsia" w:ascii="宋体" w:hAnsi="宋体" w:eastAsia="宋体" w:cs="Times New Roman"/>
          <w:b/>
          <w:bCs/>
          <w:color w:val="auto"/>
          <w:kern w:val="0"/>
          <w:sz w:val="24"/>
          <w:szCs w:val="24"/>
          <w:highlight w:val="none"/>
          <w:lang w:val="en-US" w:eastAsia="zh-CN" w:bidi="ar-SA"/>
        </w:rPr>
        <w:t>其它</w:t>
      </w:r>
      <w:bookmarkEnd w:id="331"/>
      <w:bookmarkEnd w:id="332"/>
      <w:bookmarkEnd w:id="333"/>
      <w:bookmarkEnd w:id="334"/>
      <w:bookmarkEnd w:id="335"/>
      <w:bookmarkEnd w:id="336"/>
      <w:bookmarkEnd w:id="337"/>
      <w:bookmarkEnd w:id="338"/>
      <w:bookmarkEnd w:id="339"/>
      <w:bookmarkEnd w:id="340"/>
      <w:bookmarkEnd w:id="341"/>
    </w:p>
    <w:p w14:paraId="3EBB27E7">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⑴违约责任：指合同一方不履行合同义务或履行合同义务不符合约定所应承担的责任。</w:t>
      </w:r>
      <w:bookmarkEnd w:id="342"/>
    </w:p>
    <w:p w14:paraId="38CFA047">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43" w:name="_Toc34908922"/>
      <w:r>
        <w:rPr>
          <w:rFonts w:hint="eastAsia" w:ascii="宋体" w:hAnsi="宋体" w:eastAsia="宋体" w:cs="Times New Roman"/>
          <w:color w:val="auto"/>
          <w:kern w:val="0"/>
          <w:szCs w:val="24"/>
          <w:highlight w:val="none"/>
        </w:rPr>
        <w:t>⑵索赔：指在合同履行过程中，对于并非自己的过错、而应由对方承担责任的情况造成的损失，向对方提出经济补偿和</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或</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工期顺延的要求。</w:t>
      </w:r>
      <w:bookmarkEnd w:id="343"/>
    </w:p>
    <w:p w14:paraId="136109FB">
      <w:pPr>
        <w:tabs>
          <w:tab w:val="left" w:pos="1620"/>
          <w:tab w:val="left" w:pos="2340"/>
        </w:tabs>
        <w:spacing w:after="156"/>
        <w:ind w:left="899"/>
        <w:jc w:val="left"/>
        <w:rPr>
          <w:rFonts w:ascii="宋体" w:hAnsi="宋体" w:eastAsia="宋体" w:cs="Times New Roman"/>
          <w:color w:val="auto"/>
          <w:kern w:val="0"/>
          <w:szCs w:val="24"/>
          <w:highlight w:val="none"/>
        </w:rPr>
      </w:pPr>
      <w:bookmarkStart w:id="344" w:name="_Toc34908923"/>
      <w:r>
        <w:rPr>
          <w:rFonts w:hint="eastAsia" w:ascii="宋体" w:hAnsi="宋体" w:eastAsia="宋体" w:cs="Times New Roman"/>
          <w:color w:val="auto"/>
          <w:kern w:val="0"/>
          <w:szCs w:val="24"/>
          <w:highlight w:val="none"/>
        </w:rPr>
        <w:t>⑶不可抗力：发包人和承包人在合同签订时不能预见、对其发生的后果不能避免，并且不能克服的自然灾害和社会性突发事件。</w:t>
      </w:r>
      <w:bookmarkEnd w:id="344"/>
    </w:p>
    <w:p w14:paraId="46CCE61E">
      <w:pPr>
        <w:tabs>
          <w:tab w:val="left" w:pos="1620"/>
          <w:tab w:val="left" w:pos="2340"/>
        </w:tabs>
        <w:spacing w:after="156"/>
        <w:ind w:left="899"/>
        <w:jc w:val="left"/>
        <w:rPr>
          <w:rFonts w:ascii="宋体" w:hAnsi="宋体" w:eastAsia="宋体" w:cs="Times New Roman"/>
          <w:color w:val="auto"/>
          <w:kern w:val="0"/>
          <w:szCs w:val="24"/>
          <w:highlight w:val="none"/>
        </w:rPr>
      </w:pPr>
      <w:bookmarkStart w:id="345" w:name="_Toc34908924"/>
      <w:r>
        <w:rPr>
          <w:rFonts w:hint="eastAsia" w:ascii="宋体" w:hAnsi="宋体" w:eastAsia="宋体" w:cs="Times New Roman"/>
          <w:color w:val="auto"/>
          <w:kern w:val="0"/>
          <w:szCs w:val="24"/>
          <w:highlight w:val="none"/>
        </w:rPr>
        <w:t>⑷小时或天：合同中约定按小时计算时间的，从事件有效开始时计算(不扣除休息时间)；约定按天计算时间的，开始当天不计入，从次日开始计算。时限的最后一天是法定节假日的，以节假日次日为时限的最后一天，但竣工日期除外。时限的最后一天的截止时间为当日24时。</w:t>
      </w:r>
      <w:bookmarkEnd w:id="345"/>
    </w:p>
    <w:p w14:paraId="6196506A">
      <w:pPr>
        <w:tabs>
          <w:tab w:val="left" w:pos="1620"/>
          <w:tab w:val="left" w:pos="2340"/>
        </w:tabs>
        <w:spacing w:after="156"/>
        <w:ind w:left="899"/>
        <w:jc w:val="left"/>
        <w:rPr>
          <w:rFonts w:ascii="宋体" w:hAnsi="宋体" w:eastAsia="宋体" w:cs="Times New Roman"/>
          <w:color w:val="auto"/>
          <w:kern w:val="0"/>
          <w:szCs w:val="24"/>
          <w:highlight w:val="none"/>
        </w:rPr>
      </w:pPr>
      <w:bookmarkStart w:id="346" w:name="_Toc34908925"/>
      <w:r>
        <w:rPr>
          <w:rFonts w:hint="eastAsia" w:ascii="宋体" w:hAnsi="宋体" w:eastAsia="宋体" w:cs="Times New Roman"/>
          <w:color w:val="auto"/>
          <w:kern w:val="0"/>
          <w:szCs w:val="24"/>
          <w:highlight w:val="none"/>
        </w:rPr>
        <w:t>⑸法定节假日：指星期六、星期天及国家法定的其它节假日。</w:t>
      </w:r>
      <w:bookmarkEnd w:id="346"/>
    </w:p>
    <w:p w14:paraId="6DF1EBA0">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47" w:name="_Toc27199"/>
      <w:bookmarkStart w:id="348" w:name="_Toc3711"/>
      <w:bookmarkStart w:id="349" w:name="_Toc3476"/>
      <w:bookmarkStart w:id="350" w:name="_Toc594"/>
      <w:bookmarkStart w:id="351" w:name="_Toc28056"/>
      <w:bookmarkStart w:id="352" w:name="_Toc7170"/>
      <w:bookmarkStart w:id="353" w:name="_Toc24821"/>
      <w:bookmarkStart w:id="354" w:name="_Toc15073"/>
      <w:bookmarkStart w:id="355" w:name="_Toc23936"/>
      <w:bookmarkStart w:id="356" w:name="_Toc302635695"/>
      <w:bookmarkStart w:id="357" w:name="_Toc305331229"/>
      <w:bookmarkStart w:id="358" w:name="_Toc34908927"/>
      <w:r>
        <w:rPr>
          <w:rFonts w:hint="eastAsia" w:ascii="宋体" w:hAnsi="宋体" w:eastAsia="宋体" w:cs="Times New Roman"/>
          <w:b/>
          <w:bCs/>
          <w:color w:val="auto"/>
          <w:kern w:val="0"/>
          <w:sz w:val="24"/>
          <w:szCs w:val="24"/>
          <w:highlight w:val="none"/>
          <w:lang w:val="en-US" w:eastAsia="zh-CN" w:bidi="ar-SA"/>
        </w:rPr>
        <w:t>标题</w:t>
      </w:r>
      <w:bookmarkEnd w:id="347"/>
      <w:bookmarkEnd w:id="348"/>
      <w:bookmarkEnd w:id="349"/>
      <w:bookmarkEnd w:id="350"/>
      <w:bookmarkEnd w:id="351"/>
      <w:bookmarkEnd w:id="352"/>
      <w:bookmarkEnd w:id="353"/>
      <w:bookmarkEnd w:id="354"/>
      <w:bookmarkEnd w:id="355"/>
      <w:bookmarkEnd w:id="356"/>
      <w:bookmarkEnd w:id="357"/>
    </w:p>
    <w:p w14:paraId="72A3C2E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本合同条款的标题不视为合同条款或合同本身的一部分，在解释及推定合同条款时，不列入考虑。</w:t>
      </w:r>
      <w:bookmarkEnd w:id="358"/>
    </w:p>
    <w:p w14:paraId="3529E28F">
      <w:pPr>
        <w:widowControl w:val="0"/>
        <w:numPr>
          <w:ilvl w:val="1"/>
          <w:numId w:val="1"/>
        </w:numPr>
        <w:tabs>
          <w:tab w:val="left" w:pos="540"/>
          <w:tab w:val="left" w:pos="900"/>
          <w:tab w:val="left" w:pos="234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59" w:name="_Toc25665"/>
      <w:bookmarkStart w:id="360" w:name="_Toc20292"/>
      <w:bookmarkStart w:id="361" w:name="_Toc32326"/>
      <w:bookmarkStart w:id="362" w:name="_Toc35656458"/>
      <w:bookmarkStart w:id="363" w:name="_Toc26422"/>
      <w:bookmarkStart w:id="364" w:name="_Toc34908928"/>
      <w:bookmarkStart w:id="365" w:name="_Toc23300"/>
      <w:bookmarkStart w:id="366" w:name="_Toc8311"/>
      <w:bookmarkStart w:id="367" w:name="_Toc305331230"/>
      <w:bookmarkStart w:id="368" w:name="_Toc302635696"/>
      <w:bookmarkStart w:id="369" w:name="_Toc10220"/>
      <w:bookmarkStart w:id="370" w:name="_Toc35656958"/>
      <w:bookmarkStart w:id="371" w:name="_Toc30709"/>
      <w:bookmarkStart w:id="372" w:name="_Toc15570"/>
      <w:r>
        <w:rPr>
          <w:rFonts w:hint="eastAsia" w:ascii="宋体" w:hAnsi="宋体" w:eastAsia="宋体" w:cs="Times New Roman"/>
          <w:b/>
          <w:bCs/>
          <w:color w:val="auto"/>
          <w:kern w:val="0"/>
          <w:sz w:val="24"/>
          <w:szCs w:val="24"/>
          <w:highlight w:val="none"/>
          <w:lang w:val="en-US" w:eastAsia="zh-CN" w:bidi="ar-SA"/>
        </w:rPr>
        <w:t>书面形式</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0BBDACE8">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73" w:name="_Toc34908929"/>
      <w:r>
        <w:rPr>
          <w:rFonts w:hint="eastAsia" w:ascii="宋体" w:hAnsi="宋体" w:eastAsia="宋体" w:cs="Times New Roman"/>
          <w:color w:val="auto"/>
          <w:kern w:val="0"/>
          <w:szCs w:val="24"/>
          <w:highlight w:val="none"/>
        </w:rPr>
        <w:t>⑴本合同另有约定外，在合同履行过程中承发包双方发出或发布的任何通知、指令，均应是书面的，收件方应在回执上签署姓名和收到时间</w:t>
      </w:r>
      <w:bookmarkEnd w:id="373"/>
      <w:r>
        <w:rPr>
          <w:rFonts w:hint="eastAsia" w:ascii="宋体" w:hAnsi="宋体" w:eastAsia="宋体" w:cs="Times New Roman"/>
          <w:color w:val="auto"/>
          <w:kern w:val="0"/>
          <w:szCs w:val="24"/>
          <w:highlight w:val="none"/>
        </w:rPr>
        <w:t>，不应无理扣压或拖延。</w:t>
      </w:r>
    </w:p>
    <w:p w14:paraId="3E0C41D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⑵本合同在签订过程中应由打印形成，除承发包双方的法定代表人或授权代表签名外，如需手写的，所有手写部分必须由同一人手写。发包人和承包人应共同指定填写人，并在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中明确填写人的姓名和身份证号码。</w:t>
      </w:r>
    </w:p>
    <w:p w14:paraId="7C9C256B">
      <w:pPr>
        <w:keepNext w:val="0"/>
        <w:keepLines w:val="0"/>
        <w:widowControl w:val="0"/>
        <w:numPr>
          <w:ilvl w:val="0"/>
          <w:numId w:val="1"/>
        </w:numPr>
        <w:tabs>
          <w:tab w:val="left" w:pos="54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74" w:name="_Toc22192"/>
      <w:bookmarkStart w:id="375" w:name="_Toc13730"/>
      <w:bookmarkStart w:id="376" w:name="_Toc410"/>
      <w:bookmarkStart w:id="377" w:name="_Toc2558"/>
      <w:bookmarkStart w:id="378" w:name="_Toc13294"/>
      <w:bookmarkStart w:id="379" w:name="_Toc22878"/>
      <w:bookmarkStart w:id="380" w:name="_Toc302635697"/>
      <w:bookmarkStart w:id="381" w:name="_Toc25889"/>
      <w:bookmarkStart w:id="382" w:name="_Toc31920"/>
      <w:bookmarkStart w:id="383" w:name="_Toc12905"/>
      <w:r>
        <w:rPr>
          <w:rFonts w:hint="eastAsia" w:ascii="华文细黑" w:hAnsi="宋体" w:eastAsia="宋体" w:cs="Times New Roman"/>
          <w:b/>
          <w:bCs/>
          <w:snapToGrid w:val="0"/>
          <w:color w:val="auto"/>
          <w:kern w:val="0"/>
          <w:sz w:val="28"/>
          <w:szCs w:val="44"/>
          <w:highlight w:val="none"/>
          <w:lang w:val="en-US" w:eastAsia="zh-CN" w:bidi="ar-SA"/>
        </w:rPr>
        <w:t>一般约定</w:t>
      </w:r>
      <w:bookmarkEnd w:id="374"/>
      <w:bookmarkEnd w:id="375"/>
      <w:bookmarkEnd w:id="376"/>
      <w:bookmarkEnd w:id="377"/>
      <w:bookmarkEnd w:id="378"/>
      <w:bookmarkEnd w:id="379"/>
      <w:bookmarkEnd w:id="380"/>
      <w:bookmarkEnd w:id="381"/>
      <w:bookmarkEnd w:id="382"/>
      <w:bookmarkEnd w:id="383"/>
    </w:p>
    <w:p w14:paraId="04D2E63E">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84" w:name="_Toc22149"/>
      <w:bookmarkStart w:id="385" w:name="_Toc29594"/>
      <w:bookmarkStart w:id="386" w:name="_Toc302635698"/>
      <w:bookmarkStart w:id="387" w:name="_Toc12493"/>
      <w:bookmarkStart w:id="388" w:name="_Toc3522"/>
      <w:bookmarkStart w:id="389" w:name="_Toc35656960"/>
      <w:bookmarkStart w:id="390" w:name="_Toc3874"/>
      <w:bookmarkStart w:id="391" w:name="_Toc34908931"/>
      <w:bookmarkStart w:id="392" w:name="_Toc2099"/>
      <w:bookmarkStart w:id="393" w:name="_Toc14287"/>
      <w:bookmarkStart w:id="394" w:name="_Toc21264"/>
      <w:bookmarkStart w:id="395" w:name="_Toc35656460"/>
      <w:bookmarkStart w:id="396" w:name="_Toc27725"/>
      <w:bookmarkStart w:id="397" w:name="_Toc305331232"/>
      <w:r>
        <w:rPr>
          <w:rFonts w:hint="eastAsia" w:ascii="宋体" w:hAnsi="宋体" w:eastAsia="宋体" w:cs="Times New Roman"/>
          <w:b/>
          <w:bCs/>
          <w:color w:val="auto"/>
          <w:kern w:val="0"/>
          <w:sz w:val="24"/>
          <w:szCs w:val="24"/>
          <w:highlight w:val="none"/>
          <w:lang w:val="en-US" w:eastAsia="zh-CN" w:bidi="ar-SA"/>
        </w:rPr>
        <w:t>合同文件组成及解释顺序</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21D22B5E">
      <w:pPr>
        <w:tabs>
          <w:tab w:val="left" w:pos="1620"/>
          <w:tab w:val="left" w:pos="2340"/>
        </w:tabs>
        <w:ind w:left="899"/>
        <w:jc w:val="left"/>
        <w:rPr>
          <w:rFonts w:ascii="宋体" w:hAnsi="宋体" w:eastAsia="宋体" w:cs="Times New Roman"/>
          <w:color w:val="auto"/>
          <w:kern w:val="0"/>
          <w:szCs w:val="24"/>
          <w:highlight w:val="none"/>
        </w:rPr>
      </w:pPr>
      <w:bookmarkStart w:id="398" w:name="_Toc34908932"/>
      <w:r>
        <w:rPr>
          <w:rFonts w:ascii="宋体" w:hAnsi="宋体" w:eastAsia="宋体" w:cs="Times New Roman"/>
          <w:color w:val="auto"/>
          <w:kern w:val="0"/>
          <w:szCs w:val="24"/>
          <w:highlight w:val="none"/>
        </w:rPr>
        <w:t>在合同订立及履行过程中形成的与合同有关的文件均构成合同文件组成部分。</w:t>
      </w:r>
      <w:r>
        <w:rPr>
          <w:rFonts w:hint="eastAsia" w:ascii="宋体" w:hAnsi="宋体" w:eastAsia="宋体" w:cs="Times New Roman"/>
          <w:color w:val="auto"/>
          <w:kern w:val="0"/>
          <w:szCs w:val="24"/>
          <w:highlight w:val="none"/>
        </w:rPr>
        <w:t>组成合同的各个文件应该是一个整体，彼此相互解释，互为说明。本合同组成文件及优先解释顺序如下：</w:t>
      </w:r>
      <w:bookmarkEnd w:id="398"/>
    </w:p>
    <w:p w14:paraId="0ACAA401">
      <w:pPr>
        <w:tabs>
          <w:tab w:val="left" w:pos="1620"/>
          <w:tab w:val="left" w:pos="2340"/>
        </w:tabs>
        <w:ind w:left="899"/>
        <w:jc w:val="left"/>
        <w:rPr>
          <w:rFonts w:hint="eastAsia" w:ascii="宋体" w:hAnsi="宋体" w:eastAsia="宋体" w:cs="Times New Roman"/>
          <w:color w:val="auto"/>
          <w:kern w:val="0"/>
          <w:szCs w:val="24"/>
          <w:highlight w:val="none"/>
        </w:rPr>
      </w:pPr>
      <w:bookmarkStart w:id="399" w:name="_Toc34908933"/>
      <w:r>
        <w:rPr>
          <w:rFonts w:hint="eastAsia" w:ascii="宋体" w:hAnsi="宋体" w:eastAsia="宋体" w:cs="Times New Roman"/>
          <w:color w:val="auto"/>
          <w:kern w:val="0"/>
          <w:szCs w:val="24"/>
          <w:highlight w:val="none"/>
        </w:rPr>
        <w:t>⑴本合同签订后双方新签订的补充协议；</w:t>
      </w:r>
    </w:p>
    <w:p w14:paraId="11761C8B">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⑵合同协议书；</w:t>
      </w:r>
    </w:p>
    <w:p w14:paraId="0C5DFFDD">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⑶中标通知书及其附件；</w:t>
      </w:r>
      <w:r>
        <w:rPr>
          <w:rFonts w:ascii="宋体" w:hAnsi="宋体" w:eastAsia="宋体" w:cs="Times New Roman"/>
          <w:color w:val="auto"/>
          <w:kern w:val="0"/>
          <w:szCs w:val="24"/>
          <w:highlight w:val="none"/>
        </w:rPr>
        <w:t xml:space="preserve"> </w:t>
      </w:r>
    </w:p>
    <w:p w14:paraId="050889B4">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⑷合同补充条款；</w:t>
      </w:r>
    </w:p>
    <w:p w14:paraId="1994329F">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⑸合同专用条款；</w:t>
      </w:r>
    </w:p>
    <w:p w14:paraId="13D7E61D">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⑹合同通用条款；</w:t>
      </w:r>
    </w:p>
    <w:p w14:paraId="336BDE55">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⑺本工程招标文件中的技术要求和投标报价规定；</w:t>
      </w:r>
    </w:p>
    <w:p w14:paraId="04D028A5">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⑻投标文件(包括承包人在评标期间和合同谈判过程中递交和确认并经发包人同意的对有关问题的补充资料和澄清文件等)；</w:t>
      </w:r>
    </w:p>
    <w:p w14:paraId="582B85DA">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⑼现行的标准、规范、规定及有关技术文件；</w:t>
      </w:r>
    </w:p>
    <w:p w14:paraId="19A09B61">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⑽图纸和技术规格书；</w:t>
      </w:r>
    </w:p>
    <w:p w14:paraId="32951903">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⑾已标价工程量清单；</w:t>
      </w:r>
    </w:p>
    <w:p w14:paraId="4330B938">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⑿发包人和承包人双方有关本工程的变更、签证、洽商、索赔、询价采购凭证等书面文件及组成合同的其他文件。</w:t>
      </w:r>
    </w:p>
    <w:p w14:paraId="133D5B84">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上述各项合同文件包括承发包双方就该项合同文件所作出的补充和修改，属于同一类内容的文件，应以最新签署的为准。</w:t>
      </w:r>
    </w:p>
    <w:p w14:paraId="63533DB3">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00" w:name="_Toc12037"/>
      <w:bookmarkStart w:id="401" w:name="_Toc855"/>
      <w:bookmarkStart w:id="402" w:name="_Toc30316"/>
      <w:bookmarkStart w:id="403" w:name="_Toc7070"/>
      <w:bookmarkStart w:id="404" w:name="_Toc17990"/>
      <w:bookmarkStart w:id="405" w:name="_Toc302635699"/>
      <w:bookmarkStart w:id="406" w:name="_Toc28180"/>
      <w:bookmarkStart w:id="407" w:name="_Toc30379"/>
      <w:bookmarkStart w:id="408" w:name="_Toc1812"/>
      <w:bookmarkStart w:id="409" w:name="_Toc13513"/>
      <w:r>
        <w:rPr>
          <w:rFonts w:hint="eastAsia" w:ascii="宋体" w:hAnsi="宋体" w:eastAsia="宋体" w:cs="Times New Roman"/>
          <w:b/>
          <w:bCs/>
          <w:color w:val="auto"/>
          <w:kern w:val="0"/>
          <w:sz w:val="24"/>
          <w:szCs w:val="24"/>
          <w:highlight w:val="none"/>
          <w:lang w:val="en-US" w:eastAsia="zh-CN" w:bidi="ar-SA"/>
        </w:rPr>
        <w:t>合同文件内容争议</w:t>
      </w:r>
      <w:bookmarkEnd w:id="400"/>
      <w:bookmarkEnd w:id="401"/>
      <w:bookmarkEnd w:id="402"/>
      <w:bookmarkEnd w:id="403"/>
      <w:bookmarkEnd w:id="404"/>
      <w:bookmarkEnd w:id="405"/>
      <w:bookmarkEnd w:id="406"/>
      <w:bookmarkEnd w:id="407"/>
      <w:bookmarkEnd w:id="408"/>
      <w:bookmarkEnd w:id="409"/>
    </w:p>
    <w:p w14:paraId="52F9A09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当合同文件内容含糊不清或相互矛盾时，由发包人与承包人在不影响本工程正常实施的情况下协商解决，并达成补充协议予以明确约定。双方协商不成的，按通用条款第</w:t>
      </w:r>
      <w:r>
        <w:rPr>
          <w:rFonts w:hint="eastAsia" w:ascii="宋体" w:hAnsi="宋体" w:eastAsia="宋体" w:cs="Times New Roman"/>
          <w:color w:val="auto"/>
          <w:kern w:val="0"/>
          <w:szCs w:val="24"/>
          <w:highlight w:val="none"/>
          <w:lang w:val="en-US" w:eastAsia="zh-CN"/>
        </w:rPr>
        <w:t>31</w:t>
      </w:r>
      <w:r>
        <w:rPr>
          <w:rFonts w:hint="eastAsia" w:ascii="宋体" w:hAnsi="宋体" w:eastAsia="宋体" w:cs="Times New Roman"/>
          <w:color w:val="auto"/>
          <w:kern w:val="0"/>
          <w:szCs w:val="24"/>
          <w:highlight w:val="none"/>
        </w:rPr>
        <w:t>条〔争议解决〕的约定处理。</w:t>
      </w:r>
      <w:bookmarkEnd w:id="399"/>
    </w:p>
    <w:p w14:paraId="3C9DFC40">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410" w:name="_Toc302635700"/>
      <w:bookmarkStart w:id="411" w:name="_Toc22103"/>
      <w:bookmarkStart w:id="412" w:name="_Toc25489"/>
      <w:bookmarkStart w:id="413" w:name="_Toc5962"/>
      <w:bookmarkStart w:id="414" w:name="_Toc305331234"/>
      <w:bookmarkStart w:id="415" w:name="_Toc29413"/>
      <w:bookmarkStart w:id="416" w:name="_Toc15164"/>
      <w:bookmarkStart w:id="417" w:name="_Toc24828"/>
      <w:bookmarkStart w:id="418" w:name="_Toc9499"/>
      <w:bookmarkStart w:id="419" w:name="_Toc4678"/>
      <w:bookmarkStart w:id="420" w:name="_Toc9971"/>
      <w:bookmarkStart w:id="421" w:name="_Toc34908934"/>
      <w:bookmarkStart w:id="422" w:name="_Toc35656461"/>
      <w:bookmarkStart w:id="423" w:name="_Toc35656961"/>
      <w:r>
        <w:rPr>
          <w:rFonts w:hint="eastAsia" w:ascii="宋体" w:hAnsi="宋体" w:eastAsia="宋体" w:cs="Times New Roman"/>
          <w:b/>
          <w:bCs/>
          <w:color w:val="auto"/>
          <w:kern w:val="0"/>
          <w:sz w:val="24"/>
          <w:szCs w:val="24"/>
          <w:highlight w:val="none"/>
          <w:lang w:val="en-US" w:eastAsia="zh-CN" w:bidi="ar-SA"/>
        </w:rPr>
        <w:t>语言文字</w:t>
      </w:r>
      <w:bookmarkEnd w:id="410"/>
      <w:bookmarkEnd w:id="411"/>
      <w:bookmarkEnd w:id="412"/>
      <w:bookmarkEnd w:id="413"/>
      <w:bookmarkEnd w:id="414"/>
      <w:bookmarkEnd w:id="415"/>
      <w:bookmarkEnd w:id="416"/>
      <w:bookmarkEnd w:id="417"/>
      <w:bookmarkEnd w:id="418"/>
      <w:bookmarkEnd w:id="419"/>
      <w:bookmarkEnd w:id="420"/>
    </w:p>
    <w:p w14:paraId="7A60EAE7">
      <w:pPr>
        <w:tabs>
          <w:tab w:val="left" w:pos="1620"/>
          <w:tab w:val="left" w:pos="2340"/>
        </w:tabs>
        <w:spacing w:after="156"/>
        <w:ind w:left="899"/>
        <w:jc w:val="left"/>
        <w:rPr>
          <w:rFonts w:ascii="宋体" w:hAnsi="宋体" w:eastAsia="宋体" w:cs="Times New Roman"/>
          <w:color w:val="auto"/>
          <w:kern w:val="0"/>
          <w:szCs w:val="24"/>
          <w:highlight w:val="none"/>
        </w:rPr>
      </w:pPr>
      <w:bookmarkStart w:id="424" w:name="_Toc34908935"/>
      <w:r>
        <w:rPr>
          <w:rFonts w:hint="eastAsia" w:ascii="宋体" w:hAnsi="宋体" w:eastAsia="宋体" w:cs="Times New Roman"/>
          <w:color w:val="auto"/>
          <w:kern w:val="0"/>
          <w:szCs w:val="24"/>
          <w:highlight w:val="none"/>
        </w:rPr>
        <w:t>本合同文件使用汉语语言文字书写、解释和说明。</w:t>
      </w:r>
      <w:bookmarkEnd w:id="424"/>
    </w:p>
    <w:p w14:paraId="1DA1B436">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25" w:name="_Toc28382"/>
      <w:bookmarkStart w:id="426" w:name="_Toc20108"/>
      <w:bookmarkStart w:id="427" w:name="_Toc8366"/>
      <w:bookmarkStart w:id="428" w:name="_Toc8340"/>
      <w:bookmarkStart w:id="429" w:name="_Toc288"/>
      <w:bookmarkStart w:id="430" w:name="_Toc5750"/>
      <w:bookmarkStart w:id="431" w:name="_Toc302635701"/>
      <w:bookmarkStart w:id="432" w:name="_Toc25801"/>
      <w:bookmarkStart w:id="433" w:name="_Toc7154"/>
      <w:bookmarkStart w:id="434" w:name="_Toc305331235"/>
      <w:bookmarkStart w:id="435" w:name="_Toc2981"/>
      <w:r>
        <w:rPr>
          <w:rFonts w:hint="eastAsia" w:ascii="宋体" w:hAnsi="宋体" w:eastAsia="宋体" w:cs="Times New Roman"/>
          <w:b/>
          <w:bCs/>
          <w:color w:val="auto"/>
          <w:kern w:val="0"/>
          <w:sz w:val="24"/>
          <w:szCs w:val="24"/>
          <w:highlight w:val="none"/>
          <w:lang w:val="en-US" w:eastAsia="zh-CN" w:bidi="ar-SA"/>
        </w:rPr>
        <w:t>法律、法规</w:t>
      </w:r>
      <w:bookmarkEnd w:id="421"/>
      <w:bookmarkEnd w:id="422"/>
      <w:bookmarkEnd w:id="423"/>
      <w:r>
        <w:rPr>
          <w:rFonts w:hint="eastAsia" w:ascii="宋体" w:hAnsi="宋体" w:eastAsia="宋体" w:cs="Times New Roman"/>
          <w:b/>
          <w:bCs/>
          <w:color w:val="auto"/>
          <w:kern w:val="0"/>
          <w:sz w:val="24"/>
          <w:szCs w:val="24"/>
          <w:highlight w:val="none"/>
          <w:lang w:val="en-US" w:eastAsia="zh-CN" w:bidi="ar-SA"/>
        </w:rPr>
        <w:t>和规章</w:t>
      </w:r>
      <w:bookmarkEnd w:id="425"/>
      <w:bookmarkEnd w:id="426"/>
      <w:bookmarkEnd w:id="427"/>
      <w:bookmarkEnd w:id="428"/>
      <w:bookmarkEnd w:id="429"/>
      <w:bookmarkEnd w:id="430"/>
      <w:bookmarkEnd w:id="431"/>
      <w:bookmarkEnd w:id="432"/>
      <w:bookmarkEnd w:id="433"/>
      <w:bookmarkEnd w:id="434"/>
      <w:bookmarkEnd w:id="435"/>
    </w:p>
    <w:p w14:paraId="4CF0D385">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436" w:name="_Toc34908936"/>
      <w:r>
        <w:rPr>
          <w:rFonts w:hint="eastAsia" w:ascii="宋体" w:hAnsi="宋体" w:eastAsia="宋体" w:cs="Times New Roman"/>
          <w:color w:val="auto"/>
          <w:kern w:val="0"/>
          <w:szCs w:val="24"/>
          <w:highlight w:val="none"/>
        </w:rPr>
        <w:t>本合同适用中华人民共和国法律、法规和规章，以及本</w:t>
      </w:r>
      <w:r>
        <w:rPr>
          <w:rFonts w:hint="eastAsia" w:ascii="Times New Roman" w:hAnsi="宋体" w:eastAsia="宋体" w:cs="Times New Roman"/>
          <w:color w:val="auto"/>
          <w:sz w:val="20"/>
          <w:szCs w:val="24"/>
          <w:highlight w:val="none"/>
        </w:rPr>
        <w:t>工程所在地的地方性法规和规章</w:t>
      </w:r>
      <w:r>
        <w:rPr>
          <w:rFonts w:hint="eastAsia" w:ascii="宋体" w:hAnsi="宋体" w:eastAsia="宋体" w:cs="Times New Roman"/>
          <w:color w:val="auto"/>
          <w:kern w:val="0"/>
          <w:szCs w:val="24"/>
          <w:highlight w:val="none"/>
        </w:rPr>
        <w:t>。需要明示的法律、法规和规章，由发包人和承包人在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w:t>
      </w:r>
      <w:bookmarkEnd w:id="436"/>
    </w:p>
    <w:p w14:paraId="2939AA8B">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37" w:name="_Toc305331236"/>
      <w:bookmarkStart w:id="438" w:name="_Toc6484"/>
      <w:bookmarkStart w:id="439" w:name="_Toc31291"/>
      <w:bookmarkStart w:id="440" w:name="_Toc302635702"/>
      <w:bookmarkStart w:id="441" w:name="_Toc35656462"/>
      <w:bookmarkStart w:id="442" w:name="_Toc34908937"/>
      <w:bookmarkStart w:id="443" w:name="_Toc28392"/>
      <w:bookmarkStart w:id="444" w:name="_Toc25590"/>
      <w:bookmarkStart w:id="445" w:name="_Toc26500"/>
      <w:bookmarkStart w:id="446" w:name="_Toc17870"/>
      <w:bookmarkStart w:id="447" w:name="_Toc18572"/>
      <w:bookmarkStart w:id="448" w:name="_Toc17469"/>
      <w:bookmarkStart w:id="449" w:name="_Toc35656962"/>
      <w:bookmarkStart w:id="450" w:name="_Toc11365"/>
      <w:r>
        <w:rPr>
          <w:rFonts w:hint="eastAsia" w:ascii="宋体" w:hAnsi="宋体" w:eastAsia="宋体" w:cs="Times New Roman"/>
          <w:b/>
          <w:bCs/>
          <w:color w:val="auto"/>
          <w:kern w:val="0"/>
          <w:sz w:val="24"/>
          <w:szCs w:val="24"/>
          <w:highlight w:val="none"/>
          <w:lang w:val="en-US" w:eastAsia="zh-CN" w:bidi="ar-SA"/>
        </w:rPr>
        <w:t>标准、规范</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87AE187">
      <w:pPr>
        <w:tabs>
          <w:tab w:val="left" w:pos="1620"/>
          <w:tab w:val="left" w:pos="2340"/>
        </w:tabs>
        <w:spacing w:after="156"/>
        <w:ind w:left="899"/>
        <w:jc w:val="left"/>
        <w:rPr>
          <w:rFonts w:ascii="宋体" w:hAnsi="宋体" w:eastAsia="宋体" w:cs="Times New Roman"/>
          <w:color w:val="auto"/>
          <w:kern w:val="0"/>
          <w:szCs w:val="24"/>
          <w:highlight w:val="none"/>
        </w:rPr>
      </w:pPr>
      <w:bookmarkStart w:id="451" w:name="_Toc34908938"/>
      <w:r>
        <w:rPr>
          <w:rFonts w:hint="eastAsia" w:ascii="宋体" w:hAnsi="宋体" w:eastAsia="宋体" w:cs="Times New Roman"/>
          <w:color w:val="auto"/>
          <w:kern w:val="0"/>
          <w:szCs w:val="24"/>
          <w:highlight w:val="none"/>
        </w:rPr>
        <w:t>⑴本工程的材料、设备、施工必须符合现行国家、行业及住房和城乡建设部、广东省、深圳市颁布的相关标准、规范、规程和验收标准的要求。当国家、行业及深圳市地方标准、规范存在不一致时，以要求更严格者为准，设计文件另有规定除外。</w:t>
      </w:r>
    </w:p>
    <w:bookmarkEnd w:id="451"/>
    <w:p w14:paraId="42E067B4">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452" w:name="_Toc34908939"/>
      <w:r>
        <w:rPr>
          <w:rFonts w:hint="eastAsia" w:ascii="宋体" w:hAnsi="宋体" w:eastAsia="宋体" w:cs="Times New Roman"/>
          <w:color w:val="auto"/>
          <w:kern w:val="0"/>
          <w:szCs w:val="24"/>
          <w:highlight w:val="none"/>
        </w:rPr>
        <w:t>⑵发包人对工程的技术标准、功能要求高于或严于现行国家、行业或地方标准的，应当在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中予以明确。除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中另有约定外，应视为承包人在签订合同前已充分预见前述技术标准和功能要求的复杂程度，签约合同价中已包含由此产生的费用。</w:t>
      </w:r>
    </w:p>
    <w:p w14:paraId="3278168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⑶国内没有相应标准、规范的，以设计文件、产品说明书或承包人提交的且由发包人和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批准的技术方案为准。发包人要求使用国外标准、规范的，发包人负责提供原文版本和中文译本。</w:t>
      </w:r>
    </w:p>
    <w:bookmarkEnd w:id="452"/>
    <w:p w14:paraId="786BA86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⑷用于本工程的标准、规范按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中约定的方式提供。</w:t>
      </w:r>
    </w:p>
    <w:p w14:paraId="3EC6E475">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53" w:name="_Toc34908940"/>
      <w:bookmarkStart w:id="454" w:name="_Toc35656963"/>
      <w:bookmarkStart w:id="455" w:name="_Toc35656463"/>
      <w:bookmarkStart w:id="456" w:name="_Toc302635703"/>
      <w:bookmarkStart w:id="457" w:name="_Toc4323"/>
      <w:bookmarkStart w:id="458" w:name="_Toc28241"/>
      <w:bookmarkStart w:id="459" w:name="_Toc27795"/>
      <w:bookmarkStart w:id="460" w:name="_Toc23781"/>
      <w:bookmarkStart w:id="461" w:name="_Toc305331237"/>
      <w:bookmarkStart w:id="462" w:name="_Toc23553"/>
      <w:bookmarkStart w:id="463" w:name="_Toc13079"/>
      <w:bookmarkStart w:id="464" w:name="_Toc21566"/>
      <w:bookmarkStart w:id="465" w:name="_Toc10022"/>
      <w:bookmarkStart w:id="466" w:name="_Toc22939"/>
      <w:r>
        <w:rPr>
          <w:rFonts w:hint="eastAsia" w:ascii="宋体" w:hAnsi="宋体" w:eastAsia="宋体" w:cs="Times New Roman"/>
          <w:b/>
          <w:bCs/>
          <w:color w:val="auto"/>
          <w:kern w:val="0"/>
          <w:sz w:val="24"/>
          <w:szCs w:val="24"/>
          <w:highlight w:val="none"/>
          <w:lang w:val="en-US" w:eastAsia="zh-CN" w:bidi="ar-SA"/>
        </w:rPr>
        <w:t>图纸</w:t>
      </w:r>
      <w:bookmarkEnd w:id="453"/>
      <w:bookmarkEnd w:id="454"/>
      <w:bookmarkEnd w:id="455"/>
      <w:r>
        <w:rPr>
          <w:rFonts w:hint="eastAsia" w:ascii="宋体" w:hAnsi="宋体" w:eastAsia="宋体" w:cs="Times New Roman"/>
          <w:b/>
          <w:bCs/>
          <w:color w:val="auto"/>
          <w:kern w:val="0"/>
          <w:sz w:val="24"/>
          <w:szCs w:val="24"/>
          <w:highlight w:val="none"/>
          <w:lang w:val="en-US" w:eastAsia="zh-CN" w:bidi="ar-SA"/>
        </w:rPr>
        <w:t>和技术资料的提供</w:t>
      </w:r>
      <w:bookmarkEnd w:id="456"/>
      <w:bookmarkEnd w:id="457"/>
      <w:bookmarkEnd w:id="458"/>
      <w:bookmarkEnd w:id="459"/>
      <w:bookmarkEnd w:id="460"/>
      <w:bookmarkEnd w:id="461"/>
      <w:bookmarkEnd w:id="462"/>
      <w:bookmarkEnd w:id="463"/>
      <w:bookmarkEnd w:id="464"/>
      <w:bookmarkEnd w:id="465"/>
      <w:bookmarkEnd w:id="466"/>
    </w:p>
    <w:p w14:paraId="43DF3DCD">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467" w:name="_Toc34908941"/>
      <w:r>
        <w:rPr>
          <w:rFonts w:hint="eastAsia" w:ascii="宋体" w:hAnsi="宋体" w:eastAsia="宋体" w:cs="Times New Roman"/>
          <w:color w:val="auto"/>
          <w:kern w:val="0"/>
          <w:szCs w:val="24"/>
          <w:highlight w:val="none"/>
        </w:rPr>
        <w:t>⑴发包人应按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约定的时间和数量向承包人提供由发包人委托的</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设计的全部施工图纸和其他技术资料，并组织向承包人进行技术交底。承包人需要增加图纸和资料套数的，应自费复制。发包人至迟不得晚于第11.1款〔开工〕中开工通知书载明的开工日期前14天向承包人提供图纸。</w:t>
      </w:r>
    </w:p>
    <w:p w14:paraId="596C462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⑵承包人应在施工现场保留一套完整的图纸，供</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及有关人员进行工程检查时使用。</w:t>
      </w:r>
    </w:p>
    <w:p w14:paraId="240CCAC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如发包人提供的图纸</w:t>
      </w:r>
      <w:r>
        <w:rPr>
          <w:rFonts w:hint="eastAsia" w:ascii="宋体" w:hAnsi="宋体" w:eastAsia="宋体" w:cs="Times New Roman"/>
          <w:color w:val="auto"/>
          <w:kern w:val="0"/>
          <w:szCs w:val="24"/>
          <w:highlight w:val="none"/>
        </w:rPr>
        <w:t>和</w:t>
      </w:r>
      <w:r>
        <w:rPr>
          <w:rFonts w:ascii="宋体" w:hAnsi="宋体" w:eastAsia="宋体" w:cs="Times New Roman"/>
          <w:color w:val="auto"/>
          <w:kern w:val="0"/>
          <w:szCs w:val="24"/>
          <w:highlight w:val="none"/>
        </w:rPr>
        <w:t>资料不完整，承包人应在</w:t>
      </w: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工程开工</w:t>
      </w:r>
      <w:r>
        <w:rPr>
          <w:rFonts w:hint="eastAsia" w:ascii="宋体" w:hAnsi="宋体" w:eastAsia="宋体" w:cs="Times New Roman"/>
          <w:color w:val="auto"/>
          <w:kern w:val="0"/>
          <w:szCs w:val="24"/>
          <w:highlight w:val="none"/>
        </w:rPr>
        <w:t>前</w:t>
      </w:r>
      <w:r>
        <w:rPr>
          <w:rFonts w:ascii="宋体" w:hAnsi="宋体" w:eastAsia="宋体" w:cs="Times New Roman"/>
          <w:color w:val="auto"/>
          <w:kern w:val="0"/>
          <w:szCs w:val="24"/>
          <w:highlight w:val="none"/>
        </w:rPr>
        <w:t>7日向发包人提交</w:t>
      </w:r>
      <w:r>
        <w:rPr>
          <w:rFonts w:hint="eastAsia" w:ascii="宋体" w:hAnsi="宋体" w:eastAsia="宋体" w:cs="Times New Roman"/>
          <w:color w:val="auto"/>
          <w:kern w:val="0"/>
          <w:szCs w:val="24"/>
          <w:highlight w:val="none"/>
        </w:rPr>
        <w:t>书面报告</w:t>
      </w:r>
      <w:r>
        <w:rPr>
          <w:rFonts w:ascii="宋体" w:hAnsi="宋体" w:eastAsia="宋体" w:cs="Times New Roman"/>
          <w:color w:val="auto"/>
          <w:kern w:val="0"/>
          <w:szCs w:val="24"/>
          <w:highlight w:val="none"/>
        </w:rPr>
        <w:t>，列明在不影响进度的条件下，发包人在整个</w:t>
      </w:r>
      <w:r>
        <w:rPr>
          <w:rFonts w:hint="eastAsia" w:ascii="宋体" w:hAnsi="宋体" w:eastAsia="宋体" w:cs="Times New Roman"/>
          <w:color w:val="auto"/>
          <w:kern w:val="0"/>
          <w:szCs w:val="24"/>
          <w:highlight w:val="none"/>
        </w:rPr>
        <w:t>施</w:t>
      </w:r>
      <w:r>
        <w:rPr>
          <w:rFonts w:ascii="宋体" w:hAnsi="宋体" w:eastAsia="宋体" w:cs="Times New Roman"/>
          <w:color w:val="auto"/>
          <w:kern w:val="0"/>
          <w:szCs w:val="24"/>
          <w:highlight w:val="none"/>
        </w:rPr>
        <w:t>工期内应向承包人提供补充的图纸及资料的种类及最后期限。</w:t>
      </w:r>
      <w:r>
        <w:rPr>
          <w:rFonts w:hint="eastAsia" w:ascii="宋体" w:hAnsi="宋体" w:eastAsia="宋体" w:cs="Times New Roman"/>
          <w:color w:val="auto"/>
          <w:kern w:val="0"/>
          <w:szCs w:val="24"/>
          <w:highlight w:val="none"/>
        </w:rPr>
        <w:t>发包人收到书面报告后应及时通知</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予以补充，并按照2.6(1)款约定的时间和数量提供给承包人。</w:t>
      </w:r>
    </w:p>
    <w:p w14:paraId="7F67611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⑷承包人在收到发包人提供的图纸后，发现图纸存在差错、遗漏或缺陷的，应在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约定的时限内通知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接到该通知后，应附具相关意见并在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约定的时限内报送发包人，发包人应在收到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报送的通知后在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约定的时限内作出决定。</w:t>
      </w:r>
    </w:p>
    <w:bookmarkEnd w:id="467"/>
    <w:p w14:paraId="45886705">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68" w:name="_Toc1003"/>
      <w:bookmarkStart w:id="469" w:name="_Toc10431"/>
      <w:bookmarkStart w:id="470" w:name="_Toc12532"/>
      <w:bookmarkStart w:id="471" w:name="_Toc30421"/>
      <w:bookmarkStart w:id="472" w:name="_Toc305331238"/>
      <w:bookmarkStart w:id="473" w:name="_Toc16968"/>
      <w:bookmarkStart w:id="474" w:name="_Toc4878"/>
      <w:bookmarkStart w:id="475" w:name="_Toc15763"/>
      <w:bookmarkStart w:id="476" w:name="_Toc23856"/>
      <w:bookmarkStart w:id="477" w:name="_Toc302635704"/>
      <w:bookmarkStart w:id="478" w:name="_Toc27697"/>
      <w:bookmarkStart w:id="479" w:name="_Toc34908942"/>
      <w:r>
        <w:rPr>
          <w:rFonts w:hint="eastAsia" w:ascii="宋体" w:hAnsi="宋体" w:eastAsia="宋体" w:cs="Times New Roman"/>
          <w:b/>
          <w:bCs/>
          <w:color w:val="auto"/>
          <w:kern w:val="0"/>
          <w:sz w:val="24"/>
          <w:szCs w:val="24"/>
          <w:highlight w:val="none"/>
          <w:lang w:val="en-US" w:eastAsia="zh-CN" w:bidi="ar-SA"/>
        </w:rPr>
        <w:t>图纸和资料提供的延误</w:t>
      </w:r>
      <w:bookmarkEnd w:id="468"/>
      <w:bookmarkEnd w:id="469"/>
      <w:bookmarkEnd w:id="470"/>
      <w:bookmarkEnd w:id="471"/>
      <w:bookmarkEnd w:id="472"/>
      <w:bookmarkEnd w:id="473"/>
      <w:bookmarkEnd w:id="474"/>
      <w:bookmarkEnd w:id="475"/>
      <w:bookmarkEnd w:id="476"/>
      <w:bookmarkEnd w:id="477"/>
      <w:bookmarkEnd w:id="478"/>
    </w:p>
    <w:p w14:paraId="6600FB88">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⑴因发包人未能按约定提供图纸和资料，打乱工程施工进度计划，给承包人造成损失和(或)导致工期延误的，发包人应赔偿承包人损失和(或)顺延延误的工期。</w:t>
      </w:r>
      <w:bookmarkEnd w:id="479"/>
    </w:p>
    <w:p w14:paraId="4107DC8F">
      <w:pPr>
        <w:tabs>
          <w:tab w:val="left" w:pos="1620"/>
          <w:tab w:val="left" w:pos="2340"/>
        </w:tabs>
        <w:spacing w:after="156"/>
        <w:ind w:left="899"/>
        <w:jc w:val="left"/>
        <w:rPr>
          <w:rFonts w:ascii="宋体" w:hAnsi="宋体" w:eastAsia="宋体" w:cs="Times New Roman"/>
          <w:color w:val="auto"/>
          <w:kern w:val="0"/>
          <w:szCs w:val="24"/>
          <w:highlight w:val="none"/>
        </w:rPr>
      </w:pPr>
      <w:bookmarkStart w:id="480" w:name="_Toc34908943"/>
      <w:r>
        <w:rPr>
          <w:rFonts w:hint="eastAsia" w:ascii="宋体" w:hAnsi="宋体" w:eastAsia="宋体" w:cs="Times New Roman"/>
          <w:color w:val="auto"/>
          <w:kern w:val="0"/>
          <w:szCs w:val="24"/>
          <w:highlight w:val="none"/>
        </w:rPr>
        <w:t>⑵发包人之所以不能按约定提供图纸和资料，是因为承包人未能提交本合同约定应由其提交的资料或提交的资料有误所致，则承包人无权要求发包人赔偿损失、顺延工期。</w:t>
      </w:r>
      <w:bookmarkEnd w:id="480"/>
    </w:p>
    <w:p w14:paraId="653603D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481" w:name="_Toc26378"/>
      <w:bookmarkStart w:id="482" w:name="_Toc24258"/>
      <w:bookmarkStart w:id="483" w:name="_Toc31457"/>
      <w:bookmarkStart w:id="484" w:name="_Toc31587"/>
      <w:bookmarkStart w:id="485" w:name="_Toc27832"/>
      <w:bookmarkStart w:id="486" w:name="_Toc29640"/>
      <w:bookmarkStart w:id="487" w:name="_Toc305331239"/>
      <w:bookmarkStart w:id="488" w:name="_Toc27111"/>
      <w:bookmarkStart w:id="489" w:name="_Toc302635705"/>
      <w:bookmarkStart w:id="490" w:name="_Toc23118"/>
      <w:bookmarkStart w:id="491" w:name="_Toc27313"/>
      <w:bookmarkStart w:id="492" w:name="_Toc34908945"/>
      <w:r>
        <w:rPr>
          <w:rFonts w:hint="eastAsia" w:ascii="宋体" w:hAnsi="宋体" w:eastAsia="宋体" w:cs="Times New Roman"/>
          <w:b/>
          <w:bCs/>
          <w:color w:val="auto"/>
          <w:kern w:val="0"/>
          <w:sz w:val="24"/>
          <w:szCs w:val="24"/>
          <w:highlight w:val="none"/>
          <w:lang w:val="en-US" w:eastAsia="zh-CN" w:bidi="ar-SA"/>
        </w:rPr>
        <w:t>补充图纸和资料</w:t>
      </w:r>
      <w:bookmarkEnd w:id="481"/>
      <w:bookmarkEnd w:id="482"/>
      <w:bookmarkEnd w:id="483"/>
      <w:bookmarkEnd w:id="484"/>
      <w:bookmarkEnd w:id="485"/>
      <w:bookmarkEnd w:id="486"/>
      <w:bookmarkEnd w:id="487"/>
      <w:bookmarkEnd w:id="488"/>
      <w:bookmarkEnd w:id="489"/>
      <w:bookmarkEnd w:id="490"/>
      <w:bookmarkEnd w:id="491"/>
    </w:p>
    <w:p w14:paraId="21A9B84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发包人为满足本工程的正确实施和完成及其缺陷修复所需，可委托</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设计补充图纸(含深化设计图纸)和技术资料，并按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约定的时间和数量向承包人发出，承包人应予执行。</w:t>
      </w:r>
      <w:bookmarkEnd w:id="492"/>
    </w:p>
    <w:p w14:paraId="363D2BB8">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493" w:name="_Toc26081"/>
      <w:bookmarkStart w:id="494" w:name="_Toc9795"/>
      <w:bookmarkStart w:id="495" w:name="_Toc14552"/>
      <w:bookmarkStart w:id="496" w:name="_Toc302635706"/>
      <w:bookmarkStart w:id="497" w:name="_Toc29587"/>
      <w:bookmarkStart w:id="498" w:name="_Toc25258"/>
      <w:bookmarkStart w:id="499" w:name="_Toc305331240"/>
      <w:bookmarkStart w:id="500" w:name="_Toc29084"/>
      <w:bookmarkStart w:id="501" w:name="_Toc657"/>
      <w:bookmarkStart w:id="502" w:name="_Toc30351"/>
      <w:bookmarkStart w:id="503" w:name="_Toc29726"/>
      <w:bookmarkStart w:id="504" w:name="_Toc34908944"/>
      <w:bookmarkStart w:id="505" w:name="_Toc35656464"/>
      <w:bookmarkStart w:id="506" w:name="_Toc34908946"/>
      <w:bookmarkStart w:id="507" w:name="_Toc35656964"/>
      <w:r>
        <w:rPr>
          <w:rFonts w:hint="eastAsia" w:ascii="宋体" w:hAnsi="宋体" w:eastAsia="宋体" w:cs="Times New Roman"/>
          <w:b/>
          <w:bCs/>
          <w:color w:val="auto"/>
          <w:kern w:val="0"/>
          <w:sz w:val="24"/>
          <w:szCs w:val="24"/>
          <w:highlight w:val="none"/>
          <w:lang w:val="en-US" w:eastAsia="zh-CN" w:bidi="ar-SA"/>
        </w:rPr>
        <w:t>临时工程图纸</w:t>
      </w:r>
      <w:bookmarkEnd w:id="493"/>
      <w:bookmarkEnd w:id="494"/>
      <w:bookmarkEnd w:id="495"/>
      <w:bookmarkEnd w:id="496"/>
      <w:bookmarkEnd w:id="497"/>
      <w:bookmarkEnd w:id="498"/>
      <w:bookmarkEnd w:id="499"/>
      <w:bookmarkEnd w:id="500"/>
      <w:bookmarkEnd w:id="501"/>
      <w:bookmarkEnd w:id="502"/>
      <w:bookmarkEnd w:id="503"/>
    </w:p>
    <w:p w14:paraId="44AEAC6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当</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认为需要时，承包人应提交本工程临时工程的设计图纸一式3份，供</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批准或备查。</w:t>
      </w:r>
      <w:bookmarkEnd w:id="504"/>
    </w:p>
    <w:p w14:paraId="76FDD220">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08" w:name="_Toc6624"/>
      <w:bookmarkStart w:id="509" w:name="_Toc302635707"/>
      <w:bookmarkStart w:id="510" w:name="_Toc25083"/>
      <w:bookmarkStart w:id="511" w:name="_Toc4559"/>
      <w:bookmarkStart w:id="512" w:name="_Toc27833"/>
      <w:bookmarkStart w:id="513" w:name="_Toc20176"/>
      <w:bookmarkStart w:id="514" w:name="_Toc226"/>
      <w:bookmarkStart w:id="515" w:name="_Toc23948"/>
      <w:bookmarkStart w:id="516" w:name="_Toc29909"/>
      <w:bookmarkStart w:id="517" w:name="_Toc305331241"/>
      <w:bookmarkStart w:id="518" w:name="_Toc19100"/>
      <w:r>
        <w:rPr>
          <w:rFonts w:hint="eastAsia" w:ascii="宋体" w:hAnsi="宋体" w:eastAsia="宋体" w:cs="Times New Roman"/>
          <w:b/>
          <w:bCs/>
          <w:color w:val="auto"/>
          <w:kern w:val="0"/>
          <w:sz w:val="24"/>
          <w:szCs w:val="24"/>
          <w:highlight w:val="none"/>
          <w:lang w:val="en-US" w:eastAsia="zh-CN" w:bidi="ar-SA"/>
        </w:rPr>
        <w:t>竣工图</w:t>
      </w:r>
      <w:bookmarkEnd w:id="508"/>
      <w:bookmarkEnd w:id="509"/>
      <w:bookmarkEnd w:id="510"/>
      <w:bookmarkEnd w:id="511"/>
      <w:bookmarkEnd w:id="512"/>
      <w:bookmarkEnd w:id="513"/>
      <w:bookmarkEnd w:id="514"/>
      <w:bookmarkEnd w:id="515"/>
      <w:bookmarkEnd w:id="516"/>
      <w:bookmarkEnd w:id="517"/>
      <w:bookmarkEnd w:id="518"/>
    </w:p>
    <w:p w14:paraId="716C458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w:t>
      </w:r>
      <w:r>
        <w:rPr>
          <w:rFonts w:ascii="宋体" w:hAnsi="宋体" w:eastAsia="宋体" w:cs="Times New Roman"/>
          <w:color w:val="auto"/>
          <w:kern w:val="0"/>
          <w:szCs w:val="24"/>
          <w:highlight w:val="none"/>
        </w:rPr>
        <w:t>在本工程</w:t>
      </w:r>
      <w:r>
        <w:rPr>
          <w:rFonts w:hint="eastAsia" w:ascii="宋体" w:hAnsi="宋体" w:eastAsia="宋体" w:cs="Times New Roman"/>
          <w:color w:val="auto"/>
          <w:kern w:val="0"/>
          <w:szCs w:val="24"/>
          <w:highlight w:val="none"/>
        </w:rPr>
        <w:t>竣工</w:t>
      </w:r>
      <w:r>
        <w:rPr>
          <w:rFonts w:ascii="宋体" w:hAnsi="宋体" w:eastAsia="宋体" w:cs="Times New Roman"/>
          <w:color w:val="auto"/>
          <w:kern w:val="0"/>
          <w:szCs w:val="24"/>
          <w:highlight w:val="none"/>
        </w:rPr>
        <w:t>验收之前，承包人须按</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建设行政</w:t>
      </w:r>
      <w:r>
        <w:rPr>
          <w:rFonts w:hint="eastAsia" w:ascii="宋体" w:hAnsi="宋体" w:eastAsia="宋体" w:cs="Times New Roman"/>
          <w:color w:val="auto"/>
          <w:kern w:val="0"/>
          <w:szCs w:val="24"/>
          <w:highlight w:val="none"/>
        </w:rPr>
        <w:t>主管</w:t>
      </w:r>
      <w:r>
        <w:rPr>
          <w:rFonts w:ascii="宋体" w:hAnsi="宋体" w:eastAsia="宋体" w:cs="Times New Roman"/>
          <w:color w:val="auto"/>
          <w:kern w:val="0"/>
          <w:szCs w:val="24"/>
          <w:highlight w:val="none"/>
        </w:rPr>
        <w:t>部门</w:t>
      </w:r>
      <w:r>
        <w:rPr>
          <w:rFonts w:hint="eastAsia" w:ascii="宋体" w:hAnsi="宋体" w:eastAsia="宋体" w:cs="Times New Roman"/>
          <w:color w:val="auto"/>
          <w:kern w:val="0"/>
          <w:szCs w:val="24"/>
          <w:highlight w:val="none"/>
        </w:rPr>
        <w:t>及政府</w:t>
      </w:r>
      <w:r>
        <w:rPr>
          <w:rFonts w:ascii="宋体" w:hAnsi="宋体" w:eastAsia="宋体" w:cs="Times New Roman"/>
          <w:color w:val="auto"/>
          <w:kern w:val="0"/>
          <w:szCs w:val="24"/>
          <w:highlight w:val="none"/>
        </w:rPr>
        <w:t>档案</w:t>
      </w:r>
      <w:r>
        <w:rPr>
          <w:rFonts w:hint="eastAsia" w:ascii="宋体" w:hAnsi="宋体" w:eastAsia="宋体" w:cs="Times New Roman"/>
          <w:color w:val="auto"/>
          <w:kern w:val="0"/>
          <w:szCs w:val="24"/>
          <w:highlight w:val="none"/>
        </w:rPr>
        <w:t>主管部门有关</w:t>
      </w:r>
      <w:r>
        <w:rPr>
          <w:rFonts w:ascii="宋体" w:hAnsi="宋体" w:eastAsia="宋体" w:cs="Times New Roman"/>
          <w:color w:val="auto"/>
          <w:kern w:val="0"/>
          <w:szCs w:val="24"/>
          <w:highlight w:val="none"/>
        </w:rPr>
        <w:t>技术档案管理</w:t>
      </w:r>
      <w:r>
        <w:rPr>
          <w:rFonts w:hint="eastAsia" w:ascii="宋体" w:hAnsi="宋体" w:eastAsia="宋体" w:cs="Times New Roman"/>
          <w:color w:val="auto"/>
          <w:kern w:val="0"/>
          <w:szCs w:val="24"/>
          <w:highlight w:val="none"/>
        </w:rPr>
        <w:t>要求</w:t>
      </w:r>
      <w:r>
        <w:rPr>
          <w:rFonts w:ascii="宋体" w:hAnsi="宋体" w:eastAsia="宋体" w:cs="Times New Roman"/>
          <w:color w:val="auto"/>
          <w:kern w:val="0"/>
          <w:szCs w:val="24"/>
          <w:highlight w:val="none"/>
        </w:rPr>
        <w:t>编制整理竣工图</w:t>
      </w:r>
      <w:r>
        <w:rPr>
          <w:rFonts w:hint="eastAsia" w:ascii="宋体" w:hAnsi="宋体" w:eastAsia="宋体" w:cs="Times New Roman"/>
          <w:color w:val="auto"/>
          <w:kern w:val="0"/>
          <w:szCs w:val="24"/>
          <w:highlight w:val="none"/>
        </w:rPr>
        <w:t>，报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w:t>
      </w:r>
      <w:r>
        <w:rPr>
          <w:rFonts w:ascii="宋体" w:hAnsi="宋体" w:eastAsia="宋体" w:cs="Times New Roman"/>
          <w:color w:val="auto"/>
          <w:kern w:val="0"/>
          <w:szCs w:val="24"/>
          <w:highlight w:val="none"/>
        </w:rPr>
        <w:t>后移交给发包人</w:t>
      </w:r>
      <w:r>
        <w:rPr>
          <w:rFonts w:hint="eastAsia" w:ascii="宋体" w:hAnsi="宋体" w:eastAsia="宋体" w:cs="Times New Roman"/>
          <w:color w:val="auto"/>
          <w:kern w:val="0"/>
          <w:szCs w:val="24"/>
          <w:highlight w:val="none"/>
        </w:rPr>
        <w:t>。</w:t>
      </w:r>
    </w:p>
    <w:p w14:paraId="1C93FD9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竣工图</w:t>
      </w:r>
      <w:r>
        <w:rPr>
          <w:rFonts w:hint="eastAsia" w:ascii="宋体" w:hAnsi="宋体" w:eastAsia="宋体" w:cs="Times New Roman"/>
          <w:color w:val="auto"/>
          <w:kern w:val="0"/>
          <w:szCs w:val="24"/>
          <w:highlight w:val="none"/>
        </w:rPr>
        <w:t>内容应</w:t>
      </w:r>
      <w:r>
        <w:rPr>
          <w:rFonts w:ascii="宋体" w:hAnsi="宋体" w:eastAsia="宋体" w:cs="Times New Roman"/>
          <w:color w:val="auto"/>
          <w:kern w:val="0"/>
          <w:szCs w:val="24"/>
          <w:highlight w:val="none"/>
        </w:rPr>
        <w:t>与工程实物相符，加盖竣工图章，</w:t>
      </w:r>
      <w:r>
        <w:rPr>
          <w:rFonts w:hint="eastAsia" w:ascii="宋体" w:hAnsi="宋体" w:eastAsia="宋体" w:cs="Times New Roman"/>
          <w:color w:val="auto"/>
          <w:kern w:val="0"/>
          <w:szCs w:val="24"/>
          <w:highlight w:val="none"/>
        </w:rPr>
        <w:t>由承包人</w:t>
      </w:r>
      <w:r>
        <w:rPr>
          <w:rFonts w:ascii="宋体" w:hAnsi="宋体" w:eastAsia="宋体" w:cs="Times New Roman"/>
          <w:color w:val="auto"/>
          <w:kern w:val="0"/>
          <w:szCs w:val="24"/>
          <w:highlight w:val="none"/>
        </w:rPr>
        <w:t>本工程技术负责人签名</w:t>
      </w:r>
      <w:r>
        <w:rPr>
          <w:rFonts w:hint="eastAsia" w:ascii="宋体" w:hAnsi="宋体" w:eastAsia="宋体" w:cs="Times New Roman"/>
          <w:color w:val="auto"/>
          <w:kern w:val="0"/>
          <w:szCs w:val="24"/>
          <w:highlight w:val="none"/>
        </w:rPr>
        <w:t>，并</w:t>
      </w:r>
      <w:r>
        <w:rPr>
          <w:rFonts w:ascii="宋体" w:hAnsi="宋体" w:eastAsia="宋体" w:cs="Times New Roman"/>
          <w:color w:val="auto"/>
          <w:kern w:val="0"/>
          <w:szCs w:val="24"/>
          <w:highlight w:val="none"/>
        </w:rPr>
        <w:t>按规定要求叠折、装订和组卷。承包人</w:t>
      </w:r>
      <w:r>
        <w:rPr>
          <w:rFonts w:hint="eastAsia" w:ascii="宋体" w:hAnsi="宋体" w:eastAsia="宋体" w:cs="Times New Roman"/>
          <w:color w:val="auto"/>
          <w:kern w:val="0"/>
          <w:szCs w:val="24"/>
          <w:highlight w:val="none"/>
        </w:rPr>
        <w:t>应向政府</w:t>
      </w:r>
      <w:r>
        <w:rPr>
          <w:rFonts w:ascii="宋体" w:hAnsi="宋体" w:eastAsia="宋体" w:cs="Times New Roman"/>
          <w:color w:val="auto"/>
          <w:kern w:val="0"/>
          <w:szCs w:val="24"/>
          <w:highlight w:val="none"/>
        </w:rPr>
        <w:t>档案</w:t>
      </w:r>
      <w:r>
        <w:rPr>
          <w:rFonts w:hint="eastAsia" w:ascii="宋体" w:hAnsi="宋体" w:eastAsia="宋体" w:cs="Times New Roman"/>
          <w:color w:val="auto"/>
          <w:kern w:val="0"/>
          <w:szCs w:val="24"/>
          <w:highlight w:val="none"/>
        </w:rPr>
        <w:t>主管部门</w:t>
      </w:r>
      <w:r>
        <w:rPr>
          <w:rFonts w:ascii="宋体" w:hAnsi="宋体" w:eastAsia="宋体" w:cs="Times New Roman"/>
          <w:color w:val="auto"/>
          <w:kern w:val="0"/>
          <w:szCs w:val="24"/>
          <w:highlight w:val="none"/>
        </w:rPr>
        <w:t>和发包人各</w:t>
      </w:r>
      <w:r>
        <w:rPr>
          <w:rFonts w:hint="eastAsia" w:ascii="宋体" w:hAnsi="宋体" w:eastAsia="宋体" w:cs="Times New Roman"/>
          <w:color w:val="auto"/>
          <w:kern w:val="0"/>
          <w:szCs w:val="24"/>
          <w:highlight w:val="none"/>
        </w:rPr>
        <w:t>提交</w:t>
      </w:r>
      <w:r>
        <w:rPr>
          <w:rFonts w:ascii="宋体" w:hAnsi="宋体" w:eastAsia="宋体" w:cs="Times New Roman"/>
          <w:color w:val="auto"/>
          <w:kern w:val="0"/>
          <w:szCs w:val="24"/>
          <w:highlight w:val="none"/>
        </w:rPr>
        <w:t>一份竣工图</w:t>
      </w:r>
      <w:r>
        <w:rPr>
          <w:rFonts w:hint="eastAsia" w:ascii="宋体" w:hAnsi="宋体" w:eastAsia="宋体" w:cs="Times New Roman"/>
          <w:color w:val="auto"/>
          <w:kern w:val="0"/>
          <w:szCs w:val="24"/>
          <w:highlight w:val="none"/>
        </w:rPr>
        <w:t>及</w:t>
      </w:r>
      <w:r>
        <w:rPr>
          <w:rFonts w:ascii="宋体" w:hAnsi="宋体" w:eastAsia="宋体" w:cs="Times New Roman"/>
          <w:color w:val="auto"/>
          <w:kern w:val="0"/>
          <w:szCs w:val="24"/>
          <w:highlight w:val="none"/>
        </w:rPr>
        <w:t>电子</w:t>
      </w:r>
      <w:r>
        <w:rPr>
          <w:rFonts w:hint="eastAsia" w:ascii="宋体" w:hAnsi="宋体" w:eastAsia="宋体" w:cs="Times New Roman"/>
          <w:color w:val="auto"/>
          <w:kern w:val="0"/>
          <w:szCs w:val="24"/>
          <w:highlight w:val="none"/>
        </w:rPr>
        <w:t>文档，</w:t>
      </w:r>
      <w:r>
        <w:rPr>
          <w:rFonts w:ascii="宋体" w:hAnsi="宋体" w:eastAsia="宋体" w:cs="Times New Roman"/>
          <w:color w:val="auto"/>
          <w:kern w:val="0"/>
          <w:szCs w:val="24"/>
          <w:highlight w:val="none"/>
        </w:rPr>
        <w:t>交</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档案</w:t>
      </w:r>
      <w:r>
        <w:rPr>
          <w:rFonts w:hint="eastAsia" w:ascii="宋体" w:hAnsi="宋体" w:eastAsia="宋体" w:cs="Times New Roman"/>
          <w:color w:val="auto"/>
          <w:kern w:val="0"/>
          <w:szCs w:val="24"/>
          <w:highlight w:val="none"/>
        </w:rPr>
        <w:t>主管部门</w:t>
      </w:r>
      <w:r>
        <w:rPr>
          <w:rFonts w:ascii="宋体" w:hAnsi="宋体" w:eastAsia="宋体" w:cs="Times New Roman"/>
          <w:color w:val="auto"/>
          <w:kern w:val="0"/>
          <w:szCs w:val="24"/>
          <w:highlight w:val="none"/>
        </w:rPr>
        <w:t>的竣工图需要由设计人加盖设计人公章。</w:t>
      </w:r>
    </w:p>
    <w:p w14:paraId="72F8645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519" w:name="_Toc302635708"/>
      <w:bookmarkStart w:id="520" w:name="_Toc7908"/>
      <w:bookmarkStart w:id="521" w:name="_Toc840"/>
      <w:bookmarkStart w:id="522" w:name="_Toc15057"/>
      <w:bookmarkStart w:id="523" w:name="_Toc28162"/>
      <w:bookmarkStart w:id="524" w:name="_Toc10019"/>
      <w:bookmarkStart w:id="525" w:name="_Toc19545"/>
      <w:bookmarkStart w:id="526" w:name="_Toc305331242"/>
      <w:bookmarkStart w:id="527" w:name="_Toc27598"/>
      <w:bookmarkStart w:id="528" w:name="_Toc29233"/>
      <w:bookmarkStart w:id="529" w:name="_Toc15868"/>
      <w:r>
        <w:rPr>
          <w:rFonts w:hint="eastAsia" w:ascii="宋体" w:hAnsi="宋体" w:eastAsia="宋体" w:cs="Times New Roman"/>
          <w:b/>
          <w:bCs/>
          <w:color w:val="auto"/>
          <w:kern w:val="0"/>
          <w:sz w:val="24"/>
          <w:szCs w:val="24"/>
          <w:highlight w:val="none"/>
          <w:lang w:val="en-US" w:eastAsia="zh-CN" w:bidi="ar-SA"/>
        </w:rPr>
        <w:t>通知</w:t>
      </w:r>
      <w:bookmarkEnd w:id="505"/>
      <w:bookmarkEnd w:id="506"/>
      <w:bookmarkEnd w:id="507"/>
      <w:bookmarkEnd w:id="519"/>
      <w:bookmarkEnd w:id="520"/>
      <w:bookmarkEnd w:id="521"/>
      <w:bookmarkEnd w:id="522"/>
      <w:bookmarkEnd w:id="523"/>
      <w:bookmarkEnd w:id="524"/>
      <w:bookmarkEnd w:id="525"/>
      <w:bookmarkEnd w:id="526"/>
      <w:bookmarkEnd w:id="527"/>
      <w:bookmarkEnd w:id="528"/>
      <w:bookmarkEnd w:id="529"/>
    </w:p>
    <w:p w14:paraId="6DF19C7D">
      <w:pPr>
        <w:tabs>
          <w:tab w:val="left" w:pos="1620"/>
          <w:tab w:val="left" w:pos="2340"/>
        </w:tabs>
        <w:spacing w:after="156"/>
        <w:ind w:left="899"/>
        <w:jc w:val="left"/>
        <w:rPr>
          <w:rFonts w:ascii="宋体" w:hAnsi="宋体" w:eastAsia="宋体" w:cs="Times New Roman"/>
          <w:color w:val="auto"/>
          <w:kern w:val="0"/>
          <w:szCs w:val="24"/>
          <w:highlight w:val="none"/>
        </w:rPr>
      </w:pPr>
      <w:bookmarkStart w:id="530" w:name="_Toc34908947"/>
      <w:r>
        <w:rPr>
          <w:rFonts w:hint="eastAsia" w:ascii="宋体" w:hAnsi="宋体" w:eastAsia="宋体" w:cs="Times New Roman"/>
          <w:color w:val="auto"/>
          <w:kern w:val="0"/>
          <w:szCs w:val="24"/>
          <w:highlight w:val="none"/>
        </w:rPr>
        <w:t>⑴根据本合同条款由发包人或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发给承包人的一切证书、通知或指令均应发送或派专人送达承包人在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中指定的地址。</w:t>
      </w:r>
      <w:bookmarkEnd w:id="530"/>
    </w:p>
    <w:p w14:paraId="72258D46">
      <w:pPr>
        <w:tabs>
          <w:tab w:val="left" w:pos="1620"/>
          <w:tab w:val="left" w:pos="2340"/>
        </w:tabs>
        <w:spacing w:after="156"/>
        <w:ind w:left="899"/>
        <w:jc w:val="left"/>
        <w:rPr>
          <w:rFonts w:ascii="宋体" w:hAnsi="宋体" w:eastAsia="宋体" w:cs="Times New Roman"/>
          <w:color w:val="auto"/>
          <w:kern w:val="0"/>
          <w:szCs w:val="24"/>
          <w:highlight w:val="none"/>
        </w:rPr>
      </w:pPr>
      <w:bookmarkStart w:id="531" w:name="_Toc34908948"/>
      <w:r>
        <w:rPr>
          <w:rFonts w:hint="eastAsia" w:ascii="宋体" w:hAnsi="宋体" w:eastAsia="宋体" w:cs="Times New Roman"/>
          <w:color w:val="auto"/>
          <w:kern w:val="0"/>
          <w:szCs w:val="24"/>
          <w:highlight w:val="none"/>
        </w:rPr>
        <w:t>⑵根据本合同条款由承包人发给发包人或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的一切通知均应发送或派专人送达发包人或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中指定的地址。</w:t>
      </w:r>
      <w:bookmarkEnd w:id="531"/>
    </w:p>
    <w:p w14:paraId="3FE8FD58">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⑶若一方的通信地址发生改变，应提前3天书面通知另一方，</w:t>
      </w:r>
    </w:p>
    <w:p w14:paraId="4C239C7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⑷如一方拒绝签收另一方通知，另一方以特快专递方式将通知送至2.11⑴、⑵款指定的地址，视为送达。</w:t>
      </w:r>
    </w:p>
    <w:p w14:paraId="10F937B8">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32" w:name="_Toc336"/>
      <w:bookmarkStart w:id="533" w:name="_Toc30893"/>
      <w:bookmarkStart w:id="534" w:name="_Toc337"/>
      <w:bookmarkStart w:id="535" w:name="_Toc302635709"/>
      <w:bookmarkStart w:id="536" w:name="_Toc13986"/>
      <w:bookmarkStart w:id="537" w:name="_Toc10537"/>
      <w:bookmarkStart w:id="538" w:name="_Toc8098"/>
      <w:bookmarkStart w:id="539" w:name="_Toc30477"/>
      <w:bookmarkStart w:id="540" w:name="_Toc4308"/>
      <w:bookmarkStart w:id="541" w:name="_Toc16124"/>
      <w:r>
        <w:rPr>
          <w:rFonts w:hint="eastAsia" w:ascii="宋体" w:hAnsi="宋体" w:eastAsia="宋体" w:cs="Times New Roman"/>
          <w:b/>
          <w:bCs/>
          <w:color w:val="auto"/>
          <w:kern w:val="0"/>
          <w:sz w:val="24"/>
          <w:szCs w:val="24"/>
          <w:highlight w:val="none"/>
          <w:lang w:val="en-US" w:eastAsia="zh-CN" w:bidi="ar-SA"/>
        </w:rPr>
        <w:t>严禁贿赂</w:t>
      </w:r>
      <w:bookmarkEnd w:id="532"/>
      <w:bookmarkEnd w:id="533"/>
      <w:bookmarkEnd w:id="534"/>
      <w:bookmarkEnd w:id="535"/>
      <w:bookmarkEnd w:id="536"/>
      <w:bookmarkEnd w:id="537"/>
      <w:bookmarkEnd w:id="538"/>
      <w:bookmarkEnd w:id="539"/>
      <w:bookmarkEnd w:id="540"/>
      <w:bookmarkEnd w:id="541"/>
    </w:p>
    <w:p w14:paraId="7CB7B5B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⑴承发包双方不得以贿赂或变相贿赂的方式，谋取非法利益或损害对方权益。因一方的贿赂造成对方损失的，应赔偿损失，并承担相应的法律责任。</w:t>
      </w:r>
    </w:p>
    <w:p w14:paraId="77B6BC9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⑵承包人不得与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或发包人聘请的第三方串通损害发包人利益。未经发包人书面同意，承包人不得为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提供合同约定以外的通讯设备、交通工具及其他任何形式的利益，不得向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支付报酬。</w:t>
      </w:r>
    </w:p>
    <w:p w14:paraId="5E3525DA">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42" w:name="_Toc2598"/>
      <w:bookmarkStart w:id="543" w:name="_Toc26277"/>
      <w:bookmarkStart w:id="544" w:name="_Toc27442"/>
      <w:bookmarkStart w:id="545" w:name="_Toc14832"/>
      <w:bookmarkStart w:id="546" w:name="_Toc13760"/>
      <w:bookmarkStart w:id="547" w:name="_Toc26179"/>
      <w:bookmarkStart w:id="548" w:name="_Toc21345"/>
      <w:bookmarkStart w:id="549" w:name="_Toc26184"/>
      <w:bookmarkStart w:id="550" w:name="_Toc302635710"/>
      <w:bookmarkStart w:id="551" w:name="_Toc30053"/>
      <w:r>
        <w:rPr>
          <w:rFonts w:hint="eastAsia" w:ascii="宋体" w:hAnsi="宋体" w:eastAsia="宋体" w:cs="Times New Roman"/>
          <w:b/>
          <w:bCs/>
          <w:color w:val="auto"/>
          <w:kern w:val="0"/>
          <w:sz w:val="24"/>
          <w:szCs w:val="24"/>
          <w:highlight w:val="none"/>
          <w:lang w:val="en-US" w:eastAsia="zh-CN" w:bidi="ar-SA"/>
        </w:rPr>
        <w:t>交通运输</w:t>
      </w:r>
      <w:bookmarkEnd w:id="542"/>
      <w:bookmarkEnd w:id="543"/>
      <w:bookmarkEnd w:id="544"/>
      <w:bookmarkEnd w:id="545"/>
      <w:bookmarkEnd w:id="546"/>
      <w:bookmarkEnd w:id="547"/>
      <w:bookmarkEnd w:id="548"/>
      <w:bookmarkEnd w:id="549"/>
      <w:bookmarkEnd w:id="550"/>
      <w:bookmarkEnd w:id="551"/>
    </w:p>
    <w:p w14:paraId="280D317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⑴出入现场的权利</w:t>
      </w:r>
    </w:p>
    <w:p w14:paraId="65CFAF7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01AFCB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755BFB2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⑵场外交通</w:t>
      </w:r>
    </w:p>
    <w:p w14:paraId="1D2FF10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9DD995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余泥渣土运输车辆要求详见第18条〔余泥渣土运输车辆要求〕。</w:t>
      </w:r>
    </w:p>
    <w:p w14:paraId="3B76D29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⑶场内交通</w:t>
      </w:r>
    </w:p>
    <w:p w14:paraId="0064672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发包人应提供场内交通设施的技术参数和具体条件，并应按照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的约定向承包人免费提供满足工程施工所需的场内道路和交通设施。因承包人原因造成上述道路或交通设施损坏的，承包人负责修复并承担由此增加的费用。</w:t>
      </w:r>
    </w:p>
    <w:p w14:paraId="4AB84CF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另有约定外，为保证正常的公共交通秩序而修建的社会便道或便桥及交通疏解费用由发包人承担。</w:t>
      </w:r>
    </w:p>
    <w:p w14:paraId="22EB0A31">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除发包人按照合同约定提供的场内道路和交通设施外，承包人负责修建、维修、养护和管理施工所需的其他场内临时道路和交通设施。</w:t>
      </w:r>
    </w:p>
    <w:p w14:paraId="223FA0F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⑷超大件和超重件的运输</w:t>
      </w:r>
    </w:p>
    <w:p w14:paraId="6403A1E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另有约定除外</w:t>
      </w:r>
      <w:r>
        <w:rPr>
          <w:rFonts w:hint="eastAsia" w:ascii="宋体" w:hAnsi="宋体" w:eastAsia="宋体" w:cs="Times New Roman"/>
          <w:color w:val="auto"/>
          <w:kern w:val="0"/>
          <w:szCs w:val="24"/>
          <w:highlight w:val="none"/>
        </w:rPr>
        <w:t>。</w:t>
      </w:r>
    </w:p>
    <w:p w14:paraId="19721DC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⑸道路和桥梁的损坏责任</w:t>
      </w:r>
    </w:p>
    <w:p w14:paraId="7D34FF3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因承包人运输造成施工场地内外公共道路和桥梁损坏的，由承包人承担修复损坏的全部费用和可能引起的赔偿。</w:t>
      </w:r>
    </w:p>
    <w:p w14:paraId="7533FDD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⑹水路和航空运输</w:t>
      </w:r>
    </w:p>
    <w:p w14:paraId="163661C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本款前述各项的内容适用于水路运输和航空运输，其中“道路”一词的涵义包括河道、航线、船闸、机场、码头、堤防以及水路或航空运输中其他相似结构物；“车辆”一词的涵义包括船舶和</w:t>
      </w:r>
      <w:r>
        <w:rPr>
          <w:rFonts w:hint="eastAsia" w:ascii="宋体" w:hAnsi="宋体" w:eastAsia="宋体" w:cs="Times New Roman"/>
          <w:color w:val="auto"/>
          <w:kern w:val="0"/>
          <w:szCs w:val="24"/>
          <w:highlight w:val="none"/>
        </w:rPr>
        <w:t>飞机等。</w:t>
      </w:r>
    </w:p>
    <w:p w14:paraId="737A2C0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52" w:name="_Toc14162"/>
      <w:bookmarkStart w:id="553" w:name="_Toc2462"/>
      <w:bookmarkStart w:id="554" w:name="_Toc13155"/>
      <w:bookmarkStart w:id="555" w:name="_Toc12841"/>
      <w:bookmarkStart w:id="556" w:name="_Toc26953"/>
      <w:bookmarkStart w:id="557" w:name="_Toc25183"/>
      <w:bookmarkStart w:id="558" w:name="_Toc11990"/>
      <w:bookmarkStart w:id="559" w:name="_Toc19376"/>
      <w:bookmarkStart w:id="560" w:name="_Toc3515"/>
      <w:bookmarkStart w:id="561" w:name="_Toc302635711"/>
      <w:r>
        <w:rPr>
          <w:rFonts w:hint="eastAsia" w:ascii="宋体" w:hAnsi="宋体" w:eastAsia="宋体" w:cs="Times New Roman"/>
          <w:b/>
          <w:bCs/>
          <w:color w:val="auto"/>
          <w:kern w:val="0"/>
          <w:sz w:val="24"/>
          <w:szCs w:val="24"/>
          <w:highlight w:val="none"/>
          <w:lang w:val="en-US" w:eastAsia="zh-CN" w:bidi="ar-SA"/>
        </w:rPr>
        <w:t>水土保持</w:t>
      </w:r>
      <w:bookmarkEnd w:id="552"/>
      <w:bookmarkEnd w:id="553"/>
      <w:bookmarkEnd w:id="554"/>
      <w:bookmarkEnd w:id="555"/>
      <w:bookmarkEnd w:id="556"/>
      <w:bookmarkEnd w:id="557"/>
      <w:bookmarkEnd w:id="558"/>
      <w:bookmarkEnd w:id="559"/>
      <w:bookmarkEnd w:id="560"/>
    </w:p>
    <w:p w14:paraId="6022F48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⑴发包人应及时向承包人提供本工程已通过市区水务行政主管部门审批（备案）的水土保持方案（报告书或报告表）及准予行政许可决定书。</w:t>
      </w:r>
    </w:p>
    <w:p w14:paraId="65EBF49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施工期间，应严格执行《中华人民共和国水土保持法》、《广东省水土保持条例》、《深圳经济特区水土保持条例》等有关法律法规的规定，做好施工区和生活区的水土保持工作，减少对项目周边水土资源和生态环境的影响和破坏。</w:t>
      </w:r>
    </w:p>
    <w:p w14:paraId="5D2FE39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应按合同约定和监理人指令，接受国家和省、市、县、流域等地方水务行政主管部门的监督和检查。承包人应对其违反水土保持相关法律法规规定以及合同约定所造成的水土流失灾害、人身伤害和财产损失负责。</w:t>
      </w:r>
    </w:p>
    <w:p w14:paraId="0E8193E2">
      <w:pPr>
        <w:tabs>
          <w:tab w:val="left" w:pos="1620"/>
          <w:tab w:val="left" w:pos="2340"/>
        </w:tabs>
        <w:spacing w:after="156"/>
        <w:ind w:left="899"/>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kern w:val="0"/>
          <w:szCs w:val="24"/>
          <w:highlight w:val="none"/>
        </w:rPr>
        <w:t>⑷承包人的施工组织设计应满足《生产建设项目水土保持技术标准》、《生产建设项目水土流失防治标准》、《深圳市生产建设项目水土保持技术规范》等技术标准和要求。</w:t>
      </w:r>
    </w:p>
    <w:p w14:paraId="4514C7B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62" w:name="_Toc9475"/>
      <w:bookmarkStart w:id="563" w:name="_Toc12742"/>
      <w:bookmarkStart w:id="564" w:name="_Toc28890"/>
      <w:bookmarkStart w:id="565" w:name="_Toc19016"/>
      <w:bookmarkStart w:id="566" w:name="_Toc29839"/>
      <w:bookmarkStart w:id="567" w:name="_Toc4239"/>
      <w:bookmarkStart w:id="568" w:name="_Toc4247"/>
      <w:bookmarkStart w:id="569" w:name="_Toc13466"/>
      <w:bookmarkStart w:id="570" w:name="_Toc18753"/>
      <w:r>
        <w:rPr>
          <w:rFonts w:hint="eastAsia" w:ascii="宋体" w:hAnsi="宋体" w:eastAsia="宋体" w:cs="Times New Roman"/>
          <w:b/>
          <w:bCs/>
          <w:color w:val="auto"/>
          <w:kern w:val="0"/>
          <w:sz w:val="24"/>
          <w:szCs w:val="24"/>
          <w:highlight w:val="none"/>
          <w:lang w:val="en-US" w:eastAsia="zh-CN" w:bidi="ar-SA"/>
        </w:rPr>
        <w:t>BIM实施应用</w:t>
      </w:r>
      <w:bookmarkEnd w:id="562"/>
      <w:bookmarkEnd w:id="563"/>
      <w:bookmarkEnd w:id="564"/>
      <w:bookmarkEnd w:id="565"/>
      <w:bookmarkEnd w:id="566"/>
      <w:bookmarkEnd w:id="567"/>
      <w:bookmarkEnd w:id="568"/>
      <w:bookmarkEnd w:id="569"/>
      <w:bookmarkEnd w:id="570"/>
    </w:p>
    <w:p w14:paraId="4800FF1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⑴BIM实施范围</w:t>
      </w:r>
    </w:p>
    <w:p w14:paraId="2FDE9FD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需实施BIM技术应用的，BIM实施内容应包含“施工BIM实施准备”、“设计BIM成果接收”、“施工BIM应用内容和要求”、“施工BIM成果归档和移交”、“竣工数字化资产验收和运维移交”、“施工BIM考核评价”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约定的内容。</w:t>
      </w:r>
    </w:p>
    <w:p w14:paraId="65C79B3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BIM实施应继承和延用设计阶段BIM成果，并考虑运维阶段的BIM技术应用需求。</w:t>
      </w:r>
    </w:p>
    <w:p w14:paraId="159CC83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⑵BIM实施内容和要求</w:t>
      </w:r>
    </w:p>
    <w:p w14:paraId="028FD4D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承包人应在BIM实施前编制《施工BIM实施方案》，经发包人确认后，作为承包人BIM实施以及发包人BIM审查验收的依据。</w:t>
      </w:r>
    </w:p>
    <w:p w14:paraId="6029661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本工程BIM模型的创建和管理应分为深化设计、施工过程和竣工验收3个阶段，承包人应用BIM技术进行深化设计、施工过程可视化模拟、施工方案优化、施工进度和成本的管控等。各阶段的BIM技术和管理应用应满足</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中约定的要求。</w:t>
      </w:r>
    </w:p>
    <w:p w14:paraId="0BB8332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承包人创建的BIM模型应保证信息要素全面完备，模型精细度应符合</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中的标准要求。</w:t>
      </w:r>
    </w:p>
    <w:p w14:paraId="41B8655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发包人应在办理规划许可、施工许可、竣工验收审批报建环节提交BIM模型。</w:t>
      </w:r>
    </w:p>
    <w:p w14:paraId="5C77A33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⑶BIM成果的归档和移交</w:t>
      </w:r>
    </w:p>
    <w:p w14:paraId="63A0C48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发包人应在工程竣工后，组织对本工程BIM实施成果进行归档和移交。</w:t>
      </w:r>
    </w:p>
    <w:p w14:paraId="6108502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本工程BIM成果包括BIM模型和与之对应的图纸、文档、统计表格，以及综合协调、模拟分析、统计计算等形成的数字化成果文件。BIM模型必须与竣工图纸一致。</w:t>
      </w:r>
    </w:p>
    <w:p w14:paraId="6A30ABC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约定的交付标准移交BIM成果。发包人审核后，按照政府有关部门的要求进行归档，并在工程交付使用时，应将BIM模型提交给运维单位。</w:t>
      </w:r>
    </w:p>
    <w:p w14:paraId="7E2619C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⑷BIM信息安全责任</w:t>
      </w:r>
    </w:p>
    <w:p w14:paraId="7D8D733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承包双方应按照《深圳经济特区数据条例》的有关规定，加强对BIM数据的安全管理，建立健全数据管理制度，及时排查BIM数据在存储、使用、加工、传递、交付过程中可能出现的信息安全隐患，做好安全防护和处理。</w:t>
      </w:r>
    </w:p>
    <w:p w14:paraId="5286768A">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71" w:name="_Toc22438"/>
      <w:bookmarkStart w:id="572" w:name="_Toc31090"/>
      <w:bookmarkStart w:id="573" w:name="_Toc24308"/>
      <w:bookmarkStart w:id="574" w:name="_Toc4587"/>
      <w:bookmarkStart w:id="575" w:name="_Toc13424"/>
      <w:bookmarkStart w:id="576" w:name="_Toc8060"/>
      <w:bookmarkStart w:id="577" w:name="_Toc23274"/>
      <w:bookmarkStart w:id="578" w:name="_Toc31452"/>
      <w:bookmarkStart w:id="579" w:name="_Toc25824"/>
      <w:r>
        <w:rPr>
          <w:rFonts w:hint="eastAsia" w:ascii="宋体" w:hAnsi="宋体" w:eastAsia="宋体" w:cs="Times New Roman"/>
          <w:b/>
          <w:bCs/>
          <w:color w:val="auto"/>
          <w:kern w:val="0"/>
          <w:sz w:val="24"/>
          <w:szCs w:val="24"/>
          <w:highlight w:val="none"/>
          <w:lang w:val="en-US" w:eastAsia="zh-CN" w:bidi="ar-SA"/>
        </w:rPr>
        <w:t>知识产权</w:t>
      </w:r>
      <w:bookmarkEnd w:id="561"/>
      <w:bookmarkEnd w:id="571"/>
      <w:bookmarkEnd w:id="572"/>
      <w:bookmarkEnd w:id="573"/>
      <w:bookmarkEnd w:id="574"/>
      <w:bookmarkEnd w:id="575"/>
      <w:bookmarkEnd w:id="576"/>
      <w:bookmarkEnd w:id="577"/>
      <w:bookmarkEnd w:id="578"/>
      <w:bookmarkEnd w:id="579"/>
    </w:p>
    <w:p w14:paraId="6342167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1D8170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033AB9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发包双方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0CBD02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另有约定外，承包人在合同签订前和签订时已确定采用的专利、专有技术、技术秘密的使用费已包含在签约合同价中。</w:t>
      </w:r>
    </w:p>
    <w:p w14:paraId="4C4CA568">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80" w:name="_Toc302635712"/>
      <w:bookmarkStart w:id="581" w:name="_Toc30776"/>
      <w:bookmarkStart w:id="582" w:name="_Toc31737"/>
      <w:bookmarkStart w:id="583" w:name="_Toc30395"/>
      <w:bookmarkStart w:id="584" w:name="_Toc4701"/>
      <w:bookmarkStart w:id="585" w:name="_Toc2916"/>
      <w:bookmarkStart w:id="586" w:name="_Toc17887"/>
      <w:bookmarkStart w:id="587" w:name="_Toc31577"/>
      <w:bookmarkStart w:id="588" w:name="_Toc12223"/>
      <w:bookmarkStart w:id="589" w:name="_Toc21040"/>
      <w:r>
        <w:rPr>
          <w:rFonts w:hint="eastAsia" w:ascii="宋体" w:hAnsi="宋体" w:eastAsia="宋体" w:cs="Times New Roman"/>
          <w:b/>
          <w:bCs/>
          <w:color w:val="auto"/>
          <w:kern w:val="0"/>
          <w:sz w:val="24"/>
          <w:szCs w:val="24"/>
          <w:highlight w:val="none"/>
          <w:lang w:val="en-US" w:eastAsia="zh-CN" w:bidi="ar-SA"/>
        </w:rPr>
        <w:t>保密</w:t>
      </w:r>
      <w:bookmarkEnd w:id="580"/>
      <w:bookmarkEnd w:id="581"/>
      <w:bookmarkEnd w:id="582"/>
      <w:bookmarkEnd w:id="583"/>
      <w:bookmarkEnd w:id="584"/>
      <w:bookmarkEnd w:id="585"/>
      <w:bookmarkEnd w:id="586"/>
      <w:bookmarkEnd w:id="587"/>
      <w:bookmarkEnd w:id="588"/>
      <w:bookmarkEnd w:id="589"/>
    </w:p>
    <w:p w14:paraId="2B754CDF">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除法律规定或合同另有约定外，未经发包人同意，承包人不得将发包人提供的图纸、文件以及声明需要保密的资料信息等商业秘密泄露给第三方。</w:t>
      </w:r>
    </w:p>
    <w:p w14:paraId="0C9EDAB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除法律规定或合同另有约定外，未经承包人同意，发包人不得将承包人提供的技术秘密及声明需要保密的资料信息等商业秘密泄露给第三方。</w:t>
      </w:r>
    </w:p>
    <w:p w14:paraId="51FFC34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590" w:name="_Toc17763"/>
      <w:bookmarkStart w:id="591" w:name="_Toc302635819"/>
      <w:bookmarkStart w:id="592" w:name="_Toc29930"/>
      <w:bookmarkStart w:id="593" w:name="_Toc13049"/>
      <w:bookmarkStart w:id="594" w:name="_Toc8114"/>
      <w:bookmarkStart w:id="595" w:name="_Toc305331332"/>
      <w:bookmarkStart w:id="596" w:name="_Toc5118"/>
      <w:bookmarkStart w:id="597" w:name="_Toc6643"/>
      <w:bookmarkStart w:id="598" w:name="_Toc236"/>
      <w:bookmarkStart w:id="599" w:name="_Toc19178"/>
      <w:bookmarkStart w:id="600" w:name="_Toc23898"/>
      <w:bookmarkStart w:id="601" w:name="_Toc34909069"/>
      <w:r>
        <w:rPr>
          <w:rFonts w:hint="eastAsia" w:ascii="宋体" w:hAnsi="宋体" w:eastAsia="宋体" w:cs="Times New Roman"/>
          <w:b/>
          <w:bCs/>
          <w:color w:val="auto"/>
          <w:kern w:val="0"/>
          <w:sz w:val="24"/>
          <w:szCs w:val="24"/>
          <w:highlight w:val="none"/>
          <w:lang w:val="en-US" w:eastAsia="zh-CN" w:bidi="ar-SA"/>
        </w:rPr>
        <w:t>化石、文物的保护</w:t>
      </w:r>
      <w:bookmarkEnd w:id="590"/>
      <w:bookmarkEnd w:id="591"/>
      <w:bookmarkEnd w:id="592"/>
      <w:bookmarkEnd w:id="593"/>
      <w:bookmarkEnd w:id="594"/>
      <w:bookmarkEnd w:id="595"/>
      <w:bookmarkEnd w:id="596"/>
      <w:bookmarkEnd w:id="597"/>
      <w:bookmarkEnd w:id="598"/>
      <w:bookmarkEnd w:id="599"/>
      <w:bookmarkEnd w:id="600"/>
    </w:p>
    <w:p w14:paraId="4BAEABF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在现场发现的所有化石、文物，以及有地质或考古意义的结构物和其他遗迹或物品时，承包人应立即保护好现场并于4小时内通知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应于收到通知后24小时内报告当地文物管理部门，发包人和承包人应按文物管理部门的要求采取妥善保护措施。</w:t>
      </w:r>
      <w:bookmarkEnd w:id="601"/>
      <w:r>
        <w:rPr>
          <w:rFonts w:hint="eastAsia" w:ascii="宋体" w:hAnsi="宋体" w:eastAsia="宋体" w:cs="Times New Roman"/>
          <w:color w:val="auto"/>
          <w:kern w:val="0"/>
          <w:szCs w:val="24"/>
          <w:highlight w:val="none"/>
        </w:rPr>
        <w:t>发包人承担由此发生的费用，顺延延误的工期。如发现后隐瞒不报或报告不及时，致使上述化石、文物遭受破坏，责任人依法承担相应责任。</w:t>
      </w:r>
    </w:p>
    <w:p w14:paraId="4BF74565">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602" w:name="_Toc7045"/>
      <w:bookmarkStart w:id="603" w:name="_Toc32051"/>
      <w:bookmarkStart w:id="604" w:name="_Toc34908950"/>
      <w:bookmarkStart w:id="605" w:name="_Toc28730"/>
      <w:bookmarkStart w:id="606" w:name="_Toc1886"/>
      <w:bookmarkStart w:id="607" w:name="_Toc35656966"/>
      <w:bookmarkStart w:id="608" w:name="_Toc31304"/>
      <w:bookmarkStart w:id="609" w:name="_Toc15924"/>
      <w:bookmarkStart w:id="610" w:name="_Toc19521"/>
      <w:bookmarkStart w:id="611" w:name="_Toc30366"/>
      <w:bookmarkStart w:id="612" w:name="_Toc19098"/>
      <w:bookmarkStart w:id="613" w:name="_Toc302635714"/>
      <w:bookmarkStart w:id="614" w:name="_Toc35656466"/>
      <w:bookmarkStart w:id="615" w:name="_Toc305331243"/>
      <w:r>
        <w:rPr>
          <w:rFonts w:hint="eastAsia" w:ascii="华文细黑" w:hAnsi="宋体" w:eastAsia="宋体" w:cs="Times New Roman"/>
          <w:b/>
          <w:bCs/>
          <w:snapToGrid w:val="0"/>
          <w:color w:val="auto"/>
          <w:kern w:val="0"/>
          <w:sz w:val="28"/>
          <w:szCs w:val="44"/>
          <w:highlight w:val="none"/>
          <w:lang w:val="en-US" w:eastAsia="zh-CN" w:bidi="ar-SA"/>
        </w:rPr>
        <w:t>发包人</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45ED03D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16" w:name="_Toc31217"/>
      <w:bookmarkStart w:id="617" w:name="_Toc8619"/>
      <w:bookmarkStart w:id="618" w:name="_Toc3048"/>
      <w:bookmarkStart w:id="619" w:name="_Toc24884"/>
      <w:bookmarkStart w:id="620" w:name="_Toc20077"/>
      <w:bookmarkStart w:id="621" w:name="_Toc302635715"/>
      <w:bookmarkStart w:id="622" w:name="_Toc27057"/>
      <w:bookmarkStart w:id="623" w:name="_Toc8296"/>
      <w:bookmarkStart w:id="624" w:name="_Toc16038"/>
      <w:bookmarkStart w:id="625" w:name="_Toc305331244"/>
      <w:bookmarkStart w:id="626" w:name="_Toc25247"/>
      <w:bookmarkStart w:id="627" w:name="_Toc34908951"/>
      <w:r>
        <w:rPr>
          <w:rFonts w:hint="eastAsia" w:ascii="宋体" w:hAnsi="宋体" w:eastAsia="宋体" w:cs="Times New Roman"/>
          <w:b/>
          <w:bCs/>
          <w:color w:val="auto"/>
          <w:kern w:val="0"/>
          <w:sz w:val="24"/>
          <w:szCs w:val="24"/>
          <w:highlight w:val="none"/>
          <w:lang w:val="en-US" w:eastAsia="zh-CN" w:bidi="ar-SA"/>
        </w:rPr>
        <w:t>发包人代表</w:t>
      </w:r>
      <w:bookmarkEnd w:id="616"/>
      <w:bookmarkEnd w:id="617"/>
      <w:bookmarkEnd w:id="618"/>
      <w:bookmarkEnd w:id="619"/>
      <w:bookmarkEnd w:id="620"/>
      <w:bookmarkEnd w:id="621"/>
      <w:bookmarkEnd w:id="622"/>
      <w:bookmarkEnd w:id="623"/>
      <w:bookmarkEnd w:id="624"/>
      <w:bookmarkEnd w:id="625"/>
      <w:bookmarkEnd w:id="626"/>
    </w:p>
    <w:p w14:paraId="2E99CD9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发包人应任命发包人代表，发包人代表的姓名在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中明确。本合同中约定由发包人确认、批准、同意、审批等事项均应以发包人盖章或发包人代表签字为准。发包人如需更换发包人代表，应至少提前7天以书面形式通知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和承包人。</w:t>
      </w:r>
    </w:p>
    <w:p w14:paraId="4BA439F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发包人代表不能按照合同约定履行其职责及义务，并导致合同无法继续正常履行的，承包人可以要求发包人撤换发包人代表。</w:t>
      </w:r>
    </w:p>
    <w:p w14:paraId="7DC30D89">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28" w:name="_Toc19898"/>
      <w:bookmarkStart w:id="629" w:name="_Toc28217"/>
      <w:bookmarkStart w:id="630" w:name="_Toc31575"/>
      <w:bookmarkStart w:id="631" w:name="_Toc31530"/>
      <w:bookmarkStart w:id="632" w:name="_Toc302635716"/>
      <w:bookmarkStart w:id="633" w:name="_Toc305331245"/>
      <w:bookmarkStart w:id="634" w:name="_Toc3307"/>
      <w:bookmarkStart w:id="635" w:name="_Toc6002"/>
      <w:bookmarkStart w:id="636" w:name="_Toc27384"/>
      <w:bookmarkStart w:id="637" w:name="_Toc31695"/>
      <w:bookmarkStart w:id="638" w:name="_Toc23760"/>
      <w:r>
        <w:rPr>
          <w:rFonts w:hint="eastAsia" w:ascii="宋体" w:hAnsi="宋体" w:eastAsia="宋体" w:cs="Times New Roman"/>
          <w:b/>
          <w:bCs/>
          <w:color w:val="auto"/>
          <w:kern w:val="0"/>
          <w:sz w:val="24"/>
          <w:szCs w:val="24"/>
          <w:highlight w:val="none"/>
          <w:lang w:val="en-US" w:eastAsia="zh-CN" w:bidi="ar-SA"/>
        </w:rPr>
        <w:t>发包人的义务</w:t>
      </w:r>
      <w:bookmarkEnd w:id="628"/>
      <w:bookmarkEnd w:id="629"/>
      <w:bookmarkEnd w:id="630"/>
      <w:bookmarkEnd w:id="631"/>
      <w:bookmarkEnd w:id="632"/>
      <w:bookmarkEnd w:id="633"/>
      <w:bookmarkEnd w:id="634"/>
      <w:bookmarkEnd w:id="635"/>
      <w:bookmarkEnd w:id="636"/>
      <w:bookmarkEnd w:id="637"/>
      <w:bookmarkEnd w:id="638"/>
    </w:p>
    <w:p w14:paraId="4B4D938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履行本合同所约定的全部义务。发包人应按本合同约定的期限和方式向承包人支付合同价款及其它应支付的款项，办理法律规定由其办理的许可、批准或备案，按合同约定向承包人提供基础资料和施工条件，并按合同约定及时组织竣工验收。</w:t>
      </w:r>
      <w:bookmarkEnd w:id="627"/>
    </w:p>
    <w:p w14:paraId="5857BAB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39" w:name="_Toc18177"/>
      <w:bookmarkStart w:id="640" w:name="_Toc17632"/>
      <w:bookmarkStart w:id="641" w:name="_Toc21082"/>
      <w:bookmarkStart w:id="642" w:name="_Toc9933"/>
      <w:bookmarkStart w:id="643" w:name="_Toc32303"/>
      <w:bookmarkStart w:id="644" w:name="_Toc23442"/>
      <w:bookmarkStart w:id="645" w:name="_Toc28940"/>
      <w:bookmarkStart w:id="646" w:name="_Toc18851"/>
      <w:bookmarkStart w:id="647" w:name="_Toc13448"/>
      <w:bookmarkStart w:id="648" w:name="_Toc302635717"/>
      <w:r>
        <w:rPr>
          <w:rFonts w:hint="eastAsia" w:ascii="宋体" w:hAnsi="宋体" w:eastAsia="宋体" w:cs="Times New Roman"/>
          <w:b/>
          <w:bCs/>
          <w:color w:val="auto"/>
          <w:kern w:val="0"/>
          <w:sz w:val="24"/>
          <w:szCs w:val="24"/>
          <w:highlight w:val="none"/>
          <w:lang w:val="en-US" w:eastAsia="zh-CN" w:bidi="ar-SA"/>
        </w:rPr>
        <w:t>发包人人员</w:t>
      </w:r>
      <w:bookmarkEnd w:id="639"/>
      <w:bookmarkEnd w:id="640"/>
      <w:bookmarkEnd w:id="641"/>
      <w:bookmarkEnd w:id="642"/>
      <w:bookmarkEnd w:id="643"/>
      <w:bookmarkEnd w:id="644"/>
      <w:bookmarkEnd w:id="645"/>
      <w:bookmarkEnd w:id="646"/>
      <w:bookmarkEnd w:id="647"/>
      <w:bookmarkEnd w:id="648"/>
    </w:p>
    <w:p w14:paraId="7C404307">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发包人人员包括发包人代表及其他由发包人派驻施工现场的人员。</w:t>
      </w:r>
      <w:r>
        <w:rPr>
          <w:rFonts w:hint="eastAsia" w:ascii="宋体" w:hAnsi="宋体" w:eastAsia="宋体" w:cs="Times New Roman"/>
          <w:color w:val="auto"/>
          <w:kern w:val="0"/>
          <w:szCs w:val="24"/>
          <w:highlight w:val="none"/>
        </w:rPr>
        <w:t>发包人应要求在施工现场的发包人人员配合承包人的工作并遵守关于工程安全、质量、环境保护与文明施工的规定，并保障承包人免于承受因发包人人员未遵守上述要求给承包人造成的损失和责任。</w:t>
      </w:r>
    </w:p>
    <w:p w14:paraId="479B47F1">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49" w:name="_Toc2413"/>
      <w:bookmarkStart w:id="650" w:name="_Toc302635718"/>
      <w:bookmarkStart w:id="651" w:name="_Toc19609"/>
      <w:bookmarkStart w:id="652" w:name="_Toc22229"/>
      <w:bookmarkStart w:id="653" w:name="_Toc13357"/>
      <w:bookmarkStart w:id="654" w:name="_Toc1703"/>
      <w:bookmarkStart w:id="655" w:name="_Toc3431"/>
      <w:bookmarkStart w:id="656" w:name="_Toc2119"/>
      <w:bookmarkStart w:id="657" w:name="_Toc27835"/>
      <w:bookmarkStart w:id="658" w:name="_Toc305331246"/>
      <w:bookmarkStart w:id="659" w:name="_Toc9149"/>
      <w:bookmarkStart w:id="660" w:name="_Toc34908952"/>
      <w:r>
        <w:rPr>
          <w:rFonts w:hint="eastAsia" w:ascii="宋体" w:hAnsi="宋体" w:eastAsia="宋体" w:cs="Times New Roman"/>
          <w:b/>
          <w:bCs/>
          <w:color w:val="auto"/>
          <w:kern w:val="0"/>
          <w:sz w:val="24"/>
          <w:szCs w:val="24"/>
          <w:highlight w:val="none"/>
          <w:lang w:val="en-US" w:eastAsia="zh-CN" w:bidi="ar-SA"/>
        </w:rPr>
        <w:t>发包人的工作</w:t>
      </w:r>
      <w:bookmarkEnd w:id="649"/>
      <w:bookmarkEnd w:id="650"/>
      <w:bookmarkEnd w:id="651"/>
      <w:bookmarkEnd w:id="652"/>
      <w:bookmarkEnd w:id="653"/>
      <w:bookmarkEnd w:id="654"/>
      <w:bookmarkEnd w:id="655"/>
      <w:bookmarkEnd w:id="656"/>
      <w:bookmarkEnd w:id="657"/>
      <w:bookmarkEnd w:id="658"/>
      <w:bookmarkEnd w:id="659"/>
    </w:p>
    <w:p w14:paraId="1C193F92">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的约定在本工程开工前完成以下工作，并承担相关费用</w:t>
      </w:r>
      <w:bookmarkEnd w:id="660"/>
      <w:r>
        <w:rPr>
          <w:rFonts w:hint="eastAsia" w:ascii="宋体" w:hAnsi="宋体" w:eastAsia="宋体" w:cs="Times New Roman"/>
          <w:color w:val="auto"/>
          <w:kern w:val="0"/>
          <w:szCs w:val="24"/>
          <w:highlight w:val="none"/>
        </w:rPr>
        <w:t>：</w:t>
      </w:r>
    </w:p>
    <w:p w14:paraId="77333F4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①办理土地征用、搬迁补偿、平整施工场地等工作，使施工场地具备施工条件，并在开工后继续负责解决上述工作遗留的问题；</w:t>
      </w:r>
    </w:p>
    <w:p w14:paraId="7E2BBACB">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约定的接驳地点，将施工所需水、电、通讯线路从施工场地外部接驳到施工场地内，保证施工期间的需要；</w:t>
      </w:r>
    </w:p>
    <w:p w14:paraId="1835153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③开通施工场地与城乡公共道路间的通道，满足施工运输的需要；</w:t>
      </w:r>
    </w:p>
    <w:p w14:paraId="7289613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④向承包人提供施工场地的工程地质和地下管线资料，对资料的真实性、准确性负责；</w:t>
      </w:r>
    </w:p>
    <w:p w14:paraId="113B5162">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⑤办理规划、施工许可证以及停水、停电、中断道路交通、爆破作业等的批件；</w:t>
      </w:r>
    </w:p>
    <w:p w14:paraId="67208A2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⑥确定水准点与坐标控制点，组织现场交验并移交给承包人；</w:t>
      </w:r>
    </w:p>
    <w:p w14:paraId="2CFD1B5E">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约定的时间，组织承包人和</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进行图纸会审和设计交底；</w:t>
      </w:r>
    </w:p>
    <w:p w14:paraId="1B0EFCD6">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⑧协调处理施工场地周围地下管线和邻近建筑物、构筑物(包括文物保护建筑)、古树名木等的保护工作；</w:t>
      </w:r>
    </w:p>
    <w:p w14:paraId="15AA59DD">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⑨在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内约定发包人应做的其他工作。</w:t>
      </w:r>
      <w:bookmarkStart w:id="661" w:name="_Toc34908954"/>
    </w:p>
    <w:p w14:paraId="088BFE12">
      <w:pPr>
        <w:tabs>
          <w:tab w:val="left" w:pos="1620"/>
          <w:tab w:val="left" w:pos="2340"/>
        </w:tabs>
        <w:spacing w:before="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⑵发包人未完成前款约定的各项工作，且未委托承包人办理，给承包人造成损失和(或)导致工期延误的，发包人应赔偿承包人损失和(或)顺延延误的工期。</w:t>
      </w:r>
      <w:bookmarkEnd w:id="661"/>
    </w:p>
    <w:p w14:paraId="3A431AC8">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62" w:name="_Toc29269"/>
      <w:bookmarkStart w:id="663" w:name="_Toc29514"/>
      <w:bookmarkStart w:id="664" w:name="_Toc21441"/>
      <w:bookmarkStart w:id="665" w:name="_Toc30220"/>
      <w:bookmarkStart w:id="666" w:name="_Toc2576"/>
      <w:bookmarkStart w:id="667" w:name="_Toc305331247"/>
      <w:bookmarkStart w:id="668" w:name="_Toc26467"/>
      <w:bookmarkStart w:id="669" w:name="_Toc302635719"/>
      <w:bookmarkStart w:id="670" w:name="_Toc7565"/>
      <w:bookmarkStart w:id="671" w:name="_Toc85"/>
      <w:bookmarkStart w:id="672" w:name="_Toc23168"/>
      <w:bookmarkStart w:id="673" w:name="_Toc34908953"/>
      <w:r>
        <w:rPr>
          <w:rFonts w:hint="eastAsia" w:ascii="宋体" w:hAnsi="宋体" w:eastAsia="宋体" w:cs="Times New Roman"/>
          <w:b/>
          <w:bCs/>
          <w:color w:val="auto"/>
          <w:kern w:val="0"/>
          <w:sz w:val="24"/>
          <w:szCs w:val="24"/>
          <w:highlight w:val="none"/>
          <w:lang w:val="en-US" w:eastAsia="zh-CN" w:bidi="ar-SA"/>
        </w:rPr>
        <w:t>发包人委托</w:t>
      </w:r>
      <w:bookmarkEnd w:id="662"/>
      <w:bookmarkEnd w:id="663"/>
      <w:bookmarkEnd w:id="664"/>
      <w:bookmarkEnd w:id="665"/>
      <w:bookmarkEnd w:id="666"/>
      <w:bookmarkEnd w:id="667"/>
      <w:bookmarkEnd w:id="668"/>
      <w:bookmarkEnd w:id="669"/>
      <w:bookmarkEnd w:id="670"/>
      <w:bookmarkEnd w:id="671"/>
      <w:bookmarkEnd w:id="672"/>
    </w:p>
    <w:p w14:paraId="5181B45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发包人可将3.4款部分工作委托承包人办理，具体委托内容由双方在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中约定，费用由发包人承担。</w:t>
      </w:r>
      <w:bookmarkEnd w:id="673"/>
    </w:p>
    <w:p w14:paraId="78F7FAF7">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674" w:name="_Toc5603"/>
      <w:bookmarkStart w:id="675" w:name="_Toc302635720"/>
      <w:bookmarkStart w:id="676" w:name="_Toc14361"/>
      <w:bookmarkStart w:id="677" w:name="_Toc35656467"/>
      <w:bookmarkStart w:id="678" w:name="_Toc16492"/>
      <w:bookmarkStart w:id="679" w:name="_Toc35656967"/>
      <w:bookmarkStart w:id="680" w:name="_Toc10125"/>
      <w:bookmarkStart w:id="681" w:name="_Toc29684"/>
      <w:bookmarkStart w:id="682" w:name="_Toc29877"/>
      <w:bookmarkStart w:id="683" w:name="_Toc34908955"/>
      <w:bookmarkStart w:id="684" w:name="_Toc7753"/>
      <w:bookmarkStart w:id="685" w:name="_Toc24536"/>
      <w:bookmarkStart w:id="686" w:name="_Toc10602"/>
      <w:bookmarkStart w:id="687" w:name="_Toc305331248"/>
      <w:r>
        <w:rPr>
          <w:rFonts w:hint="eastAsia" w:ascii="华文细黑" w:hAnsi="宋体" w:eastAsia="宋体" w:cs="Times New Roman"/>
          <w:b/>
          <w:bCs/>
          <w:snapToGrid w:val="0"/>
          <w:color w:val="auto"/>
          <w:kern w:val="0"/>
          <w:sz w:val="28"/>
          <w:szCs w:val="44"/>
          <w:highlight w:val="none"/>
          <w:lang w:val="en-US" w:eastAsia="zh-CN" w:bidi="ar-SA"/>
        </w:rPr>
        <w:t>承包人</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70579146">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88" w:name="_Toc7020"/>
      <w:bookmarkStart w:id="689" w:name="_Toc5047"/>
      <w:bookmarkStart w:id="690" w:name="_Toc16086"/>
      <w:bookmarkStart w:id="691" w:name="_Toc23599"/>
      <w:bookmarkStart w:id="692" w:name="_Toc305331249"/>
      <w:bookmarkStart w:id="693" w:name="_Toc302635721"/>
      <w:bookmarkStart w:id="694" w:name="_Toc9862"/>
      <w:bookmarkStart w:id="695" w:name="_Toc25890"/>
      <w:bookmarkStart w:id="696" w:name="_Toc23000"/>
      <w:bookmarkStart w:id="697" w:name="_Toc26003"/>
      <w:bookmarkStart w:id="698" w:name="_Toc27864"/>
      <w:bookmarkStart w:id="699" w:name="_Toc34908956"/>
      <w:r>
        <w:rPr>
          <w:rFonts w:hint="eastAsia" w:ascii="宋体" w:hAnsi="宋体" w:eastAsia="宋体" w:cs="Times New Roman"/>
          <w:b/>
          <w:bCs/>
          <w:color w:val="auto"/>
          <w:kern w:val="0"/>
          <w:sz w:val="24"/>
          <w:szCs w:val="24"/>
          <w:highlight w:val="none"/>
          <w:lang w:val="en-US" w:eastAsia="zh-CN" w:bidi="ar-SA"/>
        </w:rPr>
        <w:t>承包人的义务</w:t>
      </w:r>
      <w:bookmarkEnd w:id="688"/>
      <w:bookmarkEnd w:id="689"/>
      <w:bookmarkEnd w:id="690"/>
      <w:bookmarkEnd w:id="691"/>
      <w:bookmarkEnd w:id="692"/>
      <w:bookmarkEnd w:id="693"/>
      <w:bookmarkEnd w:id="694"/>
      <w:bookmarkEnd w:id="695"/>
      <w:bookmarkEnd w:id="696"/>
      <w:bookmarkEnd w:id="697"/>
      <w:bookmarkEnd w:id="698"/>
    </w:p>
    <w:p w14:paraId="1422F16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履行本合同所约定的全部义务。承包人应精心组织施工，按时完成本工程及其在缺陷保修期内对缺陷的修复。为此，承包人应提供所需的全部监督管理、人工、材料、设备、施工装备、往返工地的交通以及合同约定或合理地推断为进行本工程而需要的各种资源。</w:t>
      </w:r>
      <w:bookmarkEnd w:id="699"/>
    </w:p>
    <w:p w14:paraId="72D5E871">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00" w:name="_Toc31711"/>
      <w:bookmarkStart w:id="701" w:name="_Toc302635722"/>
      <w:bookmarkStart w:id="702" w:name="_Toc26399"/>
      <w:bookmarkStart w:id="703" w:name="_Toc31105"/>
      <w:bookmarkStart w:id="704" w:name="_Toc3478"/>
      <w:bookmarkStart w:id="705" w:name="_Toc5587"/>
      <w:bookmarkStart w:id="706" w:name="_Toc2305"/>
      <w:bookmarkStart w:id="707" w:name="_Toc26062"/>
      <w:bookmarkStart w:id="708" w:name="_Toc8168"/>
      <w:bookmarkStart w:id="709" w:name="_Toc305331250"/>
      <w:bookmarkStart w:id="710" w:name="_Toc10038"/>
      <w:r>
        <w:rPr>
          <w:rFonts w:hint="eastAsia" w:ascii="宋体" w:hAnsi="宋体" w:eastAsia="宋体" w:cs="Times New Roman"/>
          <w:b/>
          <w:bCs/>
          <w:color w:val="auto"/>
          <w:kern w:val="0"/>
          <w:sz w:val="24"/>
          <w:szCs w:val="24"/>
          <w:highlight w:val="none"/>
          <w:lang w:val="en-US" w:eastAsia="zh-CN" w:bidi="ar-SA"/>
        </w:rPr>
        <w:t>承包人的工作</w:t>
      </w:r>
      <w:bookmarkEnd w:id="700"/>
      <w:bookmarkEnd w:id="701"/>
      <w:bookmarkEnd w:id="702"/>
      <w:bookmarkEnd w:id="703"/>
      <w:bookmarkEnd w:id="704"/>
      <w:bookmarkEnd w:id="705"/>
      <w:bookmarkEnd w:id="706"/>
      <w:bookmarkEnd w:id="707"/>
      <w:bookmarkEnd w:id="708"/>
      <w:bookmarkEnd w:id="709"/>
      <w:bookmarkEnd w:id="710"/>
    </w:p>
    <w:p w14:paraId="782FD241">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约定完成以下工作：</w:t>
      </w:r>
    </w:p>
    <w:p w14:paraId="5153583A">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①办理法律规定应由承包人办理的许可和批准，并将办理结果书面报送发包人留存；</w:t>
      </w:r>
    </w:p>
    <w:p w14:paraId="1A37AEC9">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按法律规定和合同约定完成工程，并在保修期内承担保修义务；在本工程或本工程中某单项工程已竣工但未交付发包人以前，负责已完工程的保护工作，保护期间发生损坏，应予以修复并承担费用。如发包人要求承包人采取特殊保护措施，发包人应承担相应费用；</w:t>
      </w:r>
    </w:p>
    <w:p w14:paraId="25EBDFCB">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 xml:space="preserve">另有约定外，向发包人提供施工场地办公和生活的房屋及设施，发包人承担由此发生的费用； </w:t>
      </w:r>
    </w:p>
    <w:p w14:paraId="564027F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按法律规定和合同约定采取施工安全措施，确保工程及其人员、材料、设备和设施的安全，防止因工程施工造成的人身伤害和财产损失；采取环境保护措施，负责施工场地及其周边环境与生态的保护工作；</w:t>
      </w:r>
    </w:p>
    <w:p w14:paraId="5ACC0597">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按合同约定的工作内容和施工进度要求，编制施工组织设计和施工措施计划，并对所有施工作业和施工方法的完备性和安全可靠性负责；</w:t>
      </w:r>
    </w:p>
    <w:p w14:paraId="5BCA2029">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w:t>
      </w:r>
      <w:r>
        <w:rPr>
          <w:rFonts w:ascii="宋体" w:hAnsi="宋体" w:eastAsia="宋体" w:cs="Times New Roman"/>
          <w:color w:val="auto"/>
          <w:kern w:val="0"/>
          <w:szCs w:val="24"/>
          <w:highlight w:val="none"/>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53588D9">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⑦将</w:t>
      </w:r>
      <w:r>
        <w:rPr>
          <w:rFonts w:ascii="宋体" w:hAnsi="宋体" w:eastAsia="宋体" w:cs="Times New Roman"/>
          <w:color w:val="auto"/>
          <w:kern w:val="0"/>
          <w:szCs w:val="24"/>
          <w:highlight w:val="none"/>
        </w:rPr>
        <w:t>发包人按合同约定支付的各项价款专用于合同工程，且应及时支付其雇用人员工资，并及时向分包人支付合同价款；</w:t>
      </w:r>
    </w:p>
    <w:p w14:paraId="2959323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w:t>
      </w:r>
      <w:r>
        <w:rPr>
          <w:rFonts w:ascii="宋体" w:hAnsi="宋体" w:eastAsia="宋体" w:cs="Times New Roman"/>
          <w:color w:val="auto"/>
          <w:kern w:val="0"/>
          <w:szCs w:val="24"/>
          <w:highlight w:val="none"/>
        </w:rPr>
        <w:t>按照法律规定和合同约定编制竣工资料，完成竣工资料立卷及归档，并按</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约定的竣工资料的套数、时间等要求移交发包人；</w:t>
      </w:r>
    </w:p>
    <w:p w14:paraId="0C97A4C3">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⑨在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内约定承包人应做的其他工作。</w:t>
      </w:r>
    </w:p>
    <w:p w14:paraId="4B802E9B">
      <w:pPr>
        <w:tabs>
          <w:tab w:val="left" w:pos="1620"/>
          <w:tab w:val="left" w:pos="2340"/>
        </w:tabs>
        <w:spacing w:before="156"/>
        <w:ind w:left="899"/>
        <w:jc w:val="left"/>
        <w:rPr>
          <w:rFonts w:hint="eastAsia" w:ascii="宋体" w:hAnsi="宋体" w:eastAsia="宋体" w:cs="Times New Roman"/>
          <w:color w:val="auto"/>
          <w:kern w:val="0"/>
          <w:szCs w:val="24"/>
          <w:highlight w:val="none"/>
        </w:rPr>
      </w:pPr>
      <w:bookmarkStart w:id="711" w:name="_Toc34908958"/>
      <w:r>
        <w:rPr>
          <w:rFonts w:hint="eastAsia" w:ascii="宋体" w:hAnsi="宋体" w:eastAsia="宋体" w:cs="Times New Roman"/>
          <w:color w:val="auto"/>
          <w:kern w:val="0"/>
          <w:szCs w:val="24"/>
          <w:highlight w:val="none"/>
        </w:rPr>
        <w:t>⑵承包人未完成3.5款及4.2款约定的各项工作，应视为承包人违约，承包人按</w:t>
      </w:r>
      <w:r>
        <w:rPr>
          <w:rFonts w:hint="eastAsia" w:ascii="宋体" w:hAnsi="宋体" w:eastAsia="宋体" w:cs="Times New Roman"/>
          <w:color w:val="auto"/>
          <w:kern w:val="0"/>
          <w:szCs w:val="24"/>
          <w:highlight w:val="none"/>
          <w:lang w:val="en-US" w:eastAsia="zh-CN"/>
        </w:rPr>
        <w:t>29</w:t>
      </w:r>
      <w:r>
        <w:rPr>
          <w:rFonts w:hint="eastAsia" w:ascii="宋体" w:hAnsi="宋体" w:eastAsia="宋体" w:cs="Times New Roman"/>
          <w:color w:val="auto"/>
          <w:kern w:val="0"/>
          <w:szCs w:val="24"/>
          <w:highlight w:val="none"/>
        </w:rPr>
        <w:t>.2款的约定承担违约责任，给发包人造成损失和(或)导致工期延误的，承包人应赔偿发包人的损失和(或)工期不予顺延。</w:t>
      </w:r>
      <w:bookmarkEnd w:id="711"/>
    </w:p>
    <w:p w14:paraId="39B4E573">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712" w:name="_Toc35656469"/>
      <w:bookmarkStart w:id="713" w:name="_Toc34908971"/>
      <w:bookmarkStart w:id="714" w:name="_Toc35656970"/>
      <w:bookmarkStart w:id="715" w:name="_Toc305331251"/>
      <w:bookmarkStart w:id="716" w:name="_Toc28313"/>
      <w:bookmarkStart w:id="717" w:name="_Toc1946"/>
      <w:bookmarkStart w:id="718" w:name="_Toc17727"/>
      <w:bookmarkStart w:id="719" w:name="_Toc18637"/>
      <w:bookmarkStart w:id="720" w:name="_Toc10981"/>
      <w:bookmarkStart w:id="721" w:name="_Toc26697"/>
      <w:bookmarkStart w:id="722" w:name="_Toc9722"/>
      <w:bookmarkStart w:id="723" w:name="_Toc18776"/>
      <w:bookmarkStart w:id="724" w:name="_Toc23219"/>
      <w:bookmarkStart w:id="725" w:name="_Toc302635723"/>
      <w:r>
        <w:rPr>
          <w:rFonts w:hint="eastAsia" w:ascii="宋体" w:hAnsi="宋体" w:eastAsia="宋体" w:cs="Times New Roman"/>
          <w:b/>
          <w:bCs/>
          <w:color w:val="auto"/>
          <w:kern w:val="0"/>
          <w:sz w:val="24"/>
          <w:szCs w:val="24"/>
          <w:highlight w:val="none"/>
          <w:lang w:val="en-US" w:eastAsia="zh-CN" w:bidi="ar-SA"/>
        </w:rPr>
        <w:t>项目经理</w:t>
      </w:r>
      <w:bookmarkEnd w:id="712"/>
      <w:bookmarkEnd w:id="713"/>
      <w:bookmarkEnd w:id="714"/>
      <w:r>
        <w:rPr>
          <w:rFonts w:hint="eastAsia" w:ascii="宋体" w:hAnsi="宋体" w:eastAsia="宋体" w:cs="Times New Roman"/>
          <w:b/>
          <w:bCs/>
          <w:color w:val="auto"/>
          <w:kern w:val="0"/>
          <w:sz w:val="24"/>
          <w:szCs w:val="24"/>
          <w:highlight w:val="none"/>
          <w:lang w:val="en-US" w:eastAsia="zh-CN" w:bidi="ar-SA"/>
        </w:rPr>
        <w:t>的任命</w:t>
      </w:r>
      <w:bookmarkEnd w:id="715"/>
      <w:r>
        <w:rPr>
          <w:rFonts w:hint="eastAsia" w:ascii="宋体" w:hAnsi="宋体" w:eastAsia="宋体" w:cs="Times New Roman"/>
          <w:b/>
          <w:bCs/>
          <w:color w:val="auto"/>
          <w:kern w:val="0"/>
          <w:sz w:val="24"/>
          <w:szCs w:val="24"/>
          <w:highlight w:val="none"/>
          <w:lang w:val="en-US" w:eastAsia="zh-CN" w:bidi="ar-SA"/>
        </w:rPr>
        <w:t>和职责</w:t>
      </w:r>
      <w:bookmarkEnd w:id="716"/>
      <w:bookmarkEnd w:id="717"/>
      <w:bookmarkEnd w:id="718"/>
      <w:bookmarkEnd w:id="719"/>
      <w:bookmarkEnd w:id="720"/>
      <w:bookmarkEnd w:id="721"/>
      <w:bookmarkEnd w:id="722"/>
      <w:bookmarkEnd w:id="723"/>
      <w:bookmarkEnd w:id="724"/>
      <w:bookmarkEnd w:id="725"/>
    </w:p>
    <w:p w14:paraId="7A8E562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⑴承包人应任命项目经理，授权其代表承包人履行本合同约定的权利和义务，</w:t>
      </w:r>
      <w:bookmarkStart w:id="726" w:name="_Toc34908973"/>
      <w:r>
        <w:rPr>
          <w:rFonts w:hint="eastAsia" w:ascii="宋体" w:hAnsi="宋体" w:eastAsia="宋体" w:cs="Times New Roman"/>
          <w:color w:val="auto"/>
          <w:kern w:val="0"/>
          <w:szCs w:val="24"/>
          <w:highlight w:val="none"/>
        </w:rPr>
        <w:t>承包人根据合同发出的一切文件(包括致发包人或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的通知)，均应以书面形式由项目经理签字后发出。</w:t>
      </w:r>
      <w:bookmarkEnd w:id="726"/>
    </w:p>
    <w:p w14:paraId="45EBD6F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⑵承包人任命的项目经理，应取得符合本工程要求的建造师资格，应在承包人单位注册，应与投标文件所载明的人选一致，并经发包人确认后在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w:t>
      </w:r>
    </w:p>
    <w:p w14:paraId="40C8BF3D">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727" w:name="_Toc34908974"/>
      <w:r>
        <w:rPr>
          <w:rFonts w:hint="eastAsia" w:ascii="宋体" w:hAnsi="宋体" w:eastAsia="宋体" w:cs="Times New Roman"/>
          <w:color w:val="auto"/>
          <w:kern w:val="0"/>
          <w:szCs w:val="24"/>
          <w:highlight w:val="none"/>
        </w:rPr>
        <w:t>⑶若承包人派驻现场的项目经理与投标文件的承诺不一致，或项目经理未及时到位或未常驻现场，或同时兼任承包人</w:t>
      </w:r>
      <w:r>
        <w:rPr>
          <w:rFonts w:ascii="宋体" w:hAnsi="宋体" w:eastAsia="宋体" w:cs="Times New Roman"/>
          <w:color w:val="auto"/>
          <w:kern w:val="0"/>
          <w:szCs w:val="24"/>
          <w:highlight w:val="none"/>
        </w:rPr>
        <w:t>其它</w:t>
      </w:r>
      <w:r>
        <w:rPr>
          <w:rFonts w:hint="eastAsia" w:ascii="宋体" w:hAnsi="宋体" w:eastAsia="宋体" w:cs="Times New Roman"/>
          <w:color w:val="auto"/>
          <w:kern w:val="0"/>
          <w:szCs w:val="24"/>
          <w:highlight w:val="none"/>
        </w:rPr>
        <w:t>工程</w:t>
      </w:r>
      <w:r>
        <w:rPr>
          <w:rFonts w:ascii="宋体" w:hAnsi="宋体" w:eastAsia="宋体" w:cs="Times New Roman"/>
          <w:color w:val="auto"/>
          <w:kern w:val="0"/>
          <w:szCs w:val="24"/>
          <w:highlight w:val="none"/>
        </w:rPr>
        <w:t>项目的</w:t>
      </w:r>
      <w:r>
        <w:rPr>
          <w:rFonts w:hint="eastAsia" w:ascii="宋体" w:hAnsi="宋体" w:eastAsia="宋体" w:cs="Times New Roman"/>
          <w:color w:val="auto"/>
          <w:kern w:val="0"/>
          <w:szCs w:val="24"/>
          <w:highlight w:val="none"/>
        </w:rPr>
        <w:t>项目经理，发包人可按照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中的约定对承包人进行相应处罚。</w:t>
      </w:r>
    </w:p>
    <w:p w14:paraId="75B036B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项目经理按合同约定组织工程实施。在紧急情况下</w:t>
      </w:r>
      <w:r>
        <w:rPr>
          <w:rFonts w:hint="eastAsia" w:ascii="宋体" w:hAnsi="宋体" w:eastAsia="宋体" w:cs="Times New Roman"/>
          <w:color w:val="auto"/>
          <w:kern w:val="0"/>
          <w:szCs w:val="24"/>
          <w:highlight w:val="none"/>
        </w:rPr>
        <w:t>为确保施工安全和人员安全</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在</w:t>
      </w:r>
      <w:r>
        <w:rPr>
          <w:rFonts w:ascii="宋体" w:hAnsi="宋体" w:eastAsia="宋体" w:cs="Times New Roman"/>
          <w:color w:val="auto"/>
          <w:kern w:val="0"/>
          <w:szCs w:val="24"/>
          <w:highlight w:val="none"/>
        </w:rPr>
        <w:t>无法与发包人代表和总监理工程师</w:t>
      </w:r>
      <w:r>
        <w:rPr>
          <w:rFonts w:hint="eastAsia" w:ascii="宋体" w:hAnsi="宋体" w:eastAsia="宋体" w:cs="Times New Roman"/>
          <w:color w:val="auto"/>
          <w:kern w:val="0"/>
          <w:szCs w:val="24"/>
          <w:highlight w:val="none"/>
        </w:rPr>
        <w:t>及时</w:t>
      </w:r>
      <w:r>
        <w:rPr>
          <w:rFonts w:ascii="宋体" w:hAnsi="宋体" w:eastAsia="宋体" w:cs="Times New Roman"/>
          <w:color w:val="auto"/>
          <w:kern w:val="0"/>
          <w:szCs w:val="24"/>
          <w:highlight w:val="none"/>
        </w:rPr>
        <w:t>取得联系时，项目经理有权采取必要的措施保证与工程有关的人身、财产和工程的安全，但应在48小时内向发包人代表和总监理工程师提交书面报告。</w:t>
      </w:r>
    </w:p>
    <w:p w14:paraId="5A60749F">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28" w:name="_Toc25435"/>
      <w:bookmarkStart w:id="729" w:name="_Toc17405"/>
      <w:bookmarkStart w:id="730" w:name="_Toc17312"/>
      <w:bookmarkStart w:id="731" w:name="_Toc302635724"/>
      <w:bookmarkStart w:id="732" w:name="_Toc305331252"/>
      <w:bookmarkStart w:id="733" w:name="_Toc21769"/>
      <w:bookmarkStart w:id="734" w:name="_Toc28611"/>
      <w:bookmarkStart w:id="735" w:name="_Toc8736"/>
      <w:bookmarkStart w:id="736" w:name="_Toc7082"/>
      <w:bookmarkStart w:id="737" w:name="_Toc24667"/>
      <w:bookmarkStart w:id="738" w:name="_Toc8998"/>
      <w:r>
        <w:rPr>
          <w:rFonts w:hint="eastAsia" w:ascii="宋体" w:hAnsi="宋体" w:eastAsia="宋体" w:cs="Times New Roman"/>
          <w:b/>
          <w:bCs/>
          <w:color w:val="auto"/>
          <w:kern w:val="0"/>
          <w:sz w:val="24"/>
          <w:szCs w:val="24"/>
          <w:highlight w:val="none"/>
          <w:lang w:val="en-US" w:eastAsia="zh-CN" w:bidi="ar-SA"/>
        </w:rPr>
        <w:t>项目经理的更换</w:t>
      </w:r>
      <w:bookmarkEnd w:id="728"/>
      <w:bookmarkEnd w:id="729"/>
      <w:bookmarkEnd w:id="730"/>
      <w:bookmarkEnd w:id="731"/>
      <w:bookmarkEnd w:id="732"/>
      <w:bookmarkEnd w:id="733"/>
      <w:bookmarkEnd w:id="734"/>
      <w:bookmarkEnd w:id="735"/>
      <w:bookmarkEnd w:id="736"/>
      <w:bookmarkEnd w:id="737"/>
      <w:bookmarkEnd w:id="738"/>
    </w:p>
    <w:p w14:paraId="168AE59D">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⑴承包人的项目经理除以下情形之一外，不得更换：</w:t>
      </w:r>
    </w:p>
    <w:p w14:paraId="76EA6F94">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①因重病或重伤(持有县、区以上医院证明)两个月以上不能履行职责的；</w:t>
      </w:r>
    </w:p>
    <w:p w14:paraId="20E3DCB0">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②主动辞职或调离原工作单位的；</w:t>
      </w:r>
    </w:p>
    <w:p w14:paraId="09F1F5D4">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③因管理原因发生重大工程质量、安全事故，承包人认为该项目经理不称职需要更换的；</w:t>
      </w:r>
    </w:p>
    <w:p w14:paraId="3DD0A02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④无能力履行合同的责任和义务，造成严重后果，发包人要求更换的；</w:t>
      </w:r>
    </w:p>
    <w:p w14:paraId="793EA2BA">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⑤因违法被责令停止执业的；</w:t>
      </w:r>
    </w:p>
    <w:p w14:paraId="348B6952">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⑥因</w:t>
      </w:r>
      <w:r>
        <w:rPr>
          <w:rFonts w:ascii="宋体" w:hAnsi="宋体" w:eastAsia="宋体" w:cs="Times New Roman"/>
          <w:color w:val="auto"/>
          <w:kern w:val="0"/>
          <w:szCs w:val="24"/>
          <w:highlight w:val="none"/>
        </w:rPr>
        <w:t>涉嫌</w:t>
      </w:r>
      <w:r>
        <w:rPr>
          <w:rFonts w:hint="eastAsia" w:ascii="宋体" w:hAnsi="宋体" w:eastAsia="宋体" w:cs="Times New Roman"/>
          <w:color w:val="auto"/>
          <w:kern w:val="0"/>
          <w:szCs w:val="24"/>
          <w:highlight w:val="none"/>
        </w:rPr>
        <w:t>犯罪被羁押或判刑的；</w:t>
      </w:r>
    </w:p>
    <w:p w14:paraId="035E5374">
      <w:pPr>
        <w:tabs>
          <w:tab w:val="left" w:pos="1620"/>
          <w:tab w:val="left" w:pos="2340"/>
        </w:tabs>
        <w:spacing w:after="156"/>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⑦死亡。</w:t>
      </w:r>
    </w:p>
    <w:p w14:paraId="24D6FE3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⑵承包人如确需更换项目经理，应至少提前7天以书面形式通知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，并报发包人同意，并按市</w:t>
      </w:r>
      <w:r>
        <w:rPr>
          <w:rFonts w:hint="eastAsia" w:ascii="Times New Roman" w:hAnsi="Times New Roman" w:eastAsia="宋体" w:cs="Times New Roman"/>
          <w:color w:val="auto"/>
          <w:szCs w:val="24"/>
          <w:highlight w:val="none"/>
        </w:rPr>
        <w:t>建设行政主管部门的规定办理变更手续，否则更换无效</w:t>
      </w:r>
      <w:r>
        <w:rPr>
          <w:rFonts w:hint="eastAsia" w:ascii="宋体" w:hAnsi="宋体" w:eastAsia="宋体" w:cs="Times New Roman"/>
          <w:color w:val="auto"/>
          <w:kern w:val="0"/>
          <w:szCs w:val="24"/>
          <w:highlight w:val="none"/>
        </w:rPr>
        <w:t>。</w:t>
      </w:r>
      <w:r>
        <w:rPr>
          <w:rFonts w:hint="eastAsia" w:ascii="Times New Roman" w:hAnsi="Times New Roman" w:eastAsia="宋体" w:cs="Times New Roman"/>
          <w:color w:val="auto"/>
          <w:szCs w:val="24"/>
          <w:highlight w:val="none"/>
        </w:rPr>
        <w:t>发包人应在收到通知后7天内予以答复，否则视为同意。续任项目经理应继续行使合同约定的项目经理的职权和履行相应的义务。</w:t>
      </w:r>
      <w:bookmarkEnd w:id="727"/>
      <w:r>
        <w:rPr>
          <w:rFonts w:hint="eastAsia" w:ascii="Times New Roman" w:hAnsi="Times New Roman" w:eastAsia="宋体" w:cs="Times New Roman"/>
          <w:color w:val="auto"/>
          <w:szCs w:val="24"/>
          <w:highlight w:val="none"/>
        </w:rPr>
        <w:t>承包人</w:t>
      </w:r>
      <w:r>
        <w:rPr>
          <w:rFonts w:hint="eastAsia" w:ascii="宋体" w:hAnsi="宋体" w:eastAsia="宋体" w:cs="Times New Roman"/>
          <w:color w:val="auto"/>
          <w:kern w:val="0"/>
          <w:szCs w:val="24"/>
          <w:highlight w:val="none"/>
        </w:rPr>
        <w:t>未经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及发包人同意更换项目经理的，发包人可按照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中的约定对承包人进行相应处罚。</w:t>
      </w:r>
    </w:p>
    <w:p w14:paraId="7D4E37E2">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⑶</w:t>
      </w:r>
      <w:r>
        <w:rPr>
          <w:rFonts w:ascii="Times New Roman" w:hAnsi="Times New Roman" w:eastAsia="宋体" w:cs="Times New Roman"/>
          <w:color w:val="auto"/>
          <w:szCs w:val="24"/>
          <w:highlight w:val="none"/>
        </w:rPr>
        <w:t>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承包人无正当理由拒绝更换项目经理的，应按照</w:t>
      </w:r>
      <w:r>
        <w:rPr>
          <w:rFonts w:ascii="Times New Roman" w:hAnsi="Times New Roman" w:eastAsia="宋体" w:cs="Times New Roman"/>
          <w:b/>
          <w:i/>
          <w:color w:val="auto"/>
          <w:szCs w:val="24"/>
          <w:highlight w:val="none"/>
        </w:rPr>
        <w:t>专用条款</w:t>
      </w:r>
      <w:r>
        <w:rPr>
          <w:rFonts w:ascii="Times New Roman" w:hAnsi="Times New Roman" w:eastAsia="宋体" w:cs="Times New Roman"/>
          <w:color w:val="auto"/>
          <w:szCs w:val="24"/>
          <w:highlight w:val="none"/>
        </w:rPr>
        <w:t>的约定承担违约责任。</w:t>
      </w:r>
    </w:p>
    <w:p w14:paraId="0E954CC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39" w:name="_Toc9849"/>
      <w:bookmarkStart w:id="740" w:name="_Toc13397"/>
      <w:bookmarkStart w:id="741" w:name="_Toc9009"/>
      <w:bookmarkStart w:id="742" w:name="_Toc19394"/>
      <w:bookmarkStart w:id="743" w:name="_Toc32471"/>
      <w:bookmarkStart w:id="744" w:name="_Toc302635725"/>
      <w:bookmarkStart w:id="745" w:name="_Toc25884"/>
      <w:bookmarkStart w:id="746" w:name="_Toc29950"/>
      <w:bookmarkStart w:id="747" w:name="_Toc30091"/>
      <w:bookmarkStart w:id="748" w:name="_Toc16785"/>
      <w:r>
        <w:rPr>
          <w:rFonts w:hint="eastAsia" w:ascii="宋体" w:hAnsi="宋体" w:eastAsia="宋体" w:cs="Times New Roman"/>
          <w:b/>
          <w:bCs/>
          <w:color w:val="auto"/>
          <w:kern w:val="0"/>
          <w:sz w:val="24"/>
          <w:szCs w:val="24"/>
          <w:highlight w:val="none"/>
          <w:lang w:val="en-US" w:eastAsia="zh-CN" w:bidi="ar-SA"/>
        </w:rPr>
        <w:t>项目经理的临时授权</w:t>
      </w:r>
      <w:bookmarkEnd w:id="739"/>
      <w:bookmarkEnd w:id="740"/>
      <w:bookmarkEnd w:id="741"/>
      <w:bookmarkEnd w:id="742"/>
      <w:bookmarkEnd w:id="743"/>
      <w:bookmarkEnd w:id="744"/>
      <w:bookmarkEnd w:id="745"/>
      <w:bookmarkEnd w:id="746"/>
      <w:bookmarkEnd w:id="747"/>
      <w:bookmarkEnd w:id="748"/>
    </w:p>
    <w:p w14:paraId="456FE156">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⑴</w:t>
      </w:r>
      <w:r>
        <w:rPr>
          <w:rFonts w:ascii="Times New Roman" w:hAnsi="Times New Roman" w:eastAsia="宋体" w:cs="Times New Roman"/>
          <w:color w:val="auto"/>
          <w:szCs w:val="24"/>
          <w:highlight w:val="none"/>
        </w:rPr>
        <w:t>项目经理因特殊情况授权其下属人员履行其某项工作职责的，该下属人员应具备履行相应职责的能力，并应提前7天将上述人员的姓名和授权范围书面通知监理人，并征得发包人书面同意。</w:t>
      </w:r>
      <w:r>
        <w:rPr>
          <w:rFonts w:hint="eastAsia" w:ascii="Times New Roman" w:hAnsi="Times New Roman" w:eastAsia="宋体" w:cs="Times New Roman"/>
          <w:color w:val="auto"/>
          <w:szCs w:val="24"/>
          <w:highlight w:val="none"/>
        </w:rPr>
        <w:t>未经发包人批准，任何此类任命和撤回均为无效。</w:t>
      </w:r>
    </w:p>
    <w:p w14:paraId="0EC7EA2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⑵项目经理临时任命人在项目经理暂离现场期间行使项目经理授予的职权，对承包人负责。临时任命人在项目经理授予职权范围和期限内的工作，项目经理应予认可。</w:t>
      </w:r>
    </w:p>
    <w:p w14:paraId="5A0E68A3">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49" w:name="_Toc23152"/>
      <w:bookmarkStart w:id="750" w:name="_Toc6415"/>
      <w:bookmarkStart w:id="751" w:name="_Toc28477"/>
      <w:bookmarkStart w:id="752" w:name="_Toc11779"/>
      <w:bookmarkStart w:id="753" w:name="_Toc275"/>
      <w:bookmarkStart w:id="754" w:name="_Toc26650"/>
      <w:bookmarkStart w:id="755" w:name="_Toc29394"/>
      <w:bookmarkStart w:id="756" w:name="_Toc8506"/>
      <w:bookmarkStart w:id="757" w:name="_Toc9616"/>
      <w:bookmarkStart w:id="758" w:name="_Toc305331253"/>
      <w:bookmarkStart w:id="759" w:name="_Toc302635726"/>
      <w:r>
        <w:rPr>
          <w:rFonts w:hint="eastAsia" w:ascii="宋体" w:hAnsi="宋体" w:eastAsia="宋体" w:cs="Times New Roman"/>
          <w:b/>
          <w:bCs/>
          <w:color w:val="auto"/>
          <w:kern w:val="0"/>
          <w:sz w:val="24"/>
          <w:szCs w:val="24"/>
          <w:highlight w:val="none"/>
          <w:lang w:val="en-US" w:eastAsia="zh-CN" w:bidi="ar-SA"/>
        </w:rPr>
        <w:t>施工管理人员</w:t>
      </w:r>
      <w:bookmarkEnd w:id="749"/>
      <w:bookmarkEnd w:id="750"/>
      <w:bookmarkEnd w:id="751"/>
      <w:bookmarkEnd w:id="752"/>
      <w:bookmarkEnd w:id="753"/>
      <w:bookmarkEnd w:id="754"/>
      <w:bookmarkEnd w:id="755"/>
      <w:bookmarkEnd w:id="756"/>
      <w:bookmarkEnd w:id="757"/>
      <w:bookmarkEnd w:id="758"/>
      <w:bookmarkEnd w:id="759"/>
    </w:p>
    <w:p w14:paraId="49C013F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⑴承包人应按照投标文件的承诺，为本工程配备施工、技术、合同、材料、质量、安全、财务和</w:t>
      </w:r>
      <w:r>
        <w:rPr>
          <w:rFonts w:hint="eastAsia" w:ascii="Times New Roman" w:hAnsi="Times New Roman" w:eastAsia="宋体" w:cs="Times New Roman"/>
          <w:color w:val="auto"/>
          <w:szCs w:val="24"/>
          <w:highlight w:val="none"/>
        </w:rPr>
        <w:t>劳资</w:t>
      </w:r>
      <w:r>
        <w:rPr>
          <w:rFonts w:hint="eastAsia" w:ascii="宋体" w:hAnsi="宋体" w:eastAsia="宋体" w:cs="Times New Roman"/>
          <w:color w:val="auto"/>
          <w:kern w:val="0"/>
          <w:szCs w:val="24"/>
          <w:highlight w:val="none"/>
        </w:rPr>
        <w:t>等施工管理人员。</w:t>
      </w:r>
      <w:r>
        <w:rPr>
          <w:rFonts w:ascii="Times New Roman" w:hAnsi="宋体" w:eastAsia="宋体" w:cs="Times New Roman"/>
          <w:color w:val="auto"/>
          <w:szCs w:val="24"/>
          <w:highlight w:val="none"/>
        </w:rPr>
        <w:t>承包人应在</w:t>
      </w:r>
      <w:r>
        <w:rPr>
          <w:rFonts w:hint="eastAsia" w:ascii="Times New Roman" w:hAnsi="宋体" w:eastAsia="宋体" w:cs="Times New Roman"/>
          <w:color w:val="auto"/>
          <w:szCs w:val="24"/>
          <w:highlight w:val="none"/>
        </w:rPr>
        <w:t>合同签订</w:t>
      </w:r>
      <w:r>
        <w:rPr>
          <w:rFonts w:ascii="Times New Roman" w:hAnsi="宋体" w:eastAsia="宋体" w:cs="Times New Roman"/>
          <w:color w:val="auto"/>
          <w:szCs w:val="24"/>
          <w:highlight w:val="none"/>
        </w:rPr>
        <w:t>后7天内提交</w:t>
      </w:r>
      <w:r>
        <w:rPr>
          <w:rFonts w:hint="eastAsia" w:ascii="Times New Roman" w:hAnsi="宋体" w:eastAsia="宋体" w:cs="Times New Roman"/>
          <w:color w:val="auto"/>
          <w:szCs w:val="24"/>
          <w:highlight w:val="none"/>
        </w:rPr>
        <w:t>施工</w:t>
      </w:r>
      <w:r>
        <w:rPr>
          <w:rFonts w:ascii="Times New Roman" w:hAnsi="宋体" w:eastAsia="宋体" w:cs="Times New Roman"/>
          <w:color w:val="auto"/>
          <w:szCs w:val="24"/>
          <w:highlight w:val="none"/>
        </w:rPr>
        <w:t>管理人员的名单</w:t>
      </w:r>
      <w:r>
        <w:rPr>
          <w:rFonts w:hint="eastAsia" w:ascii="Times New Roman" w:hAnsi="宋体" w:eastAsia="宋体" w:cs="Times New Roman"/>
          <w:color w:val="auto"/>
          <w:szCs w:val="24"/>
          <w:highlight w:val="none"/>
        </w:rPr>
        <w:t>及其岗位、注册执业资格等，以及与承包人之间的劳动关系证明和缴纳社会保险的有效证明</w:t>
      </w:r>
      <w:r>
        <w:rPr>
          <w:rFonts w:ascii="Times New Roman" w:hAnsi="宋体" w:eastAsia="宋体" w:cs="Times New Roman"/>
          <w:color w:val="auto"/>
          <w:szCs w:val="24"/>
          <w:highlight w:val="none"/>
        </w:rPr>
        <w:t>供监理人和发包人</w:t>
      </w:r>
      <w:r>
        <w:rPr>
          <w:rFonts w:hint="eastAsia" w:ascii="Times New Roman" w:hAnsi="宋体" w:eastAsia="宋体" w:cs="Times New Roman"/>
          <w:color w:val="auto"/>
          <w:szCs w:val="24"/>
          <w:highlight w:val="none"/>
        </w:rPr>
        <w:t>审核，承包人项目管理机构的设置应与投标文件一致。</w:t>
      </w:r>
    </w:p>
    <w:p w14:paraId="23E8A744">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⑵承包人的主要施工管理人员(技术负责人、质量负责人、安全负责人、安全员、劳资专管员及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约定的其他人员)应</w:t>
      </w:r>
      <w:r>
        <w:rPr>
          <w:rFonts w:hint="eastAsia" w:ascii="Times New Roman" w:hAnsi="Times New Roman" w:eastAsia="宋体" w:cs="Times New Roman"/>
          <w:color w:val="auto"/>
          <w:szCs w:val="24"/>
          <w:highlight w:val="none"/>
        </w:rPr>
        <w:t>与投标文件所载明的人选一致且</w:t>
      </w:r>
      <w:r>
        <w:rPr>
          <w:rFonts w:hint="eastAsia" w:ascii="宋体" w:hAnsi="宋体" w:eastAsia="宋体" w:cs="Times New Roman"/>
          <w:color w:val="auto"/>
          <w:kern w:val="0"/>
          <w:szCs w:val="24"/>
          <w:highlight w:val="none"/>
        </w:rPr>
        <w:t>相对稳定。承包人如确需更换主要施工管理人员，应至少提前7天以书面形式通知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，并报发包人同意。</w:t>
      </w:r>
      <w:r>
        <w:rPr>
          <w:rFonts w:hint="eastAsia" w:ascii="Times New Roman" w:hAnsi="Times New Roman" w:eastAsia="宋体" w:cs="Times New Roman"/>
          <w:color w:val="auto"/>
          <w:szCs w:val="24"/>
          <w:highlight w:val="none"/>
        </w:rPr>
        <w:t>发包人应在收到通知后7天内予以答复，否则视为同意。</w:t>
      </w:r>
    </w:p>
    <w:p w14:paraId="22BF72DF">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⑶承包人的主要施工管理人员应保证常驻现场。除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承包人的主要施工管理人员离开施工现场每月累计不超过5天的，应报监理人同意；离开施工现场每月累计超过5天的，应以书面形式通知监理人，并报发包人同意。主要施工管理人员离开施工现场前应指定一名有经验的人员临时代行其职责，该人员应具备履行相应职责的资格和能力，且应征得监理人或发包人的同意。</w:t>
      </w:r>
    </w:p>
    <w:p w14:paraId="3CAB42F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⑷承包人的劳资专管员应掌握施工现场用工、考勤、工资发放等情况，对分包人劳动用工实施监督管理，审核分包人编制的工人工资支付表。</w:t>
      </w:r>
    </w:p>
    <w:p w14:paraId="6530F649">
      <w:pPr>
        <w:tabs>
          <w:tab w:val="left" w:pos="1620"/>
          <w:tab w:val="left" w:pos="2340"/>
        </w:tabs>
        <w:ind w:left="902"/>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承包人的</w:t>
      </w:r>
      <w:r>
        <w:rPr>
          <w:rFonts w:hint="eastAsia" w:ascii="宋体" w:hAnsi="宋体" w:eastAsia="宋体" w:cs="Times New Roman"/>
          <w:color w:val="auto"/>
          <w:kern w:val="0"/>
          <w:szCs w:val="24"/>
          <w:highlight w:val="none"/>
        </w:rPr>
        <w:t>管理人员</w:t>
      </w:r>
      <w:r>
        <w:rPr>
          <w:rFonts w:ascii="宋体" w:hAnsi="宋体" w:eastAsia="宋体" w:cs="Times New Roman"/>
          <w:color w:val="auto"/>
          <w:kern w:val="0"/>
          <w:szCs w:val="24"/>
          <w:highlight w:val="none"/>
        </w:rPr>
        <w:t>在</w:t>
      </w:r>
      <w:r>
        <w:rPr>
          <w:rFonts w:hint="eastAsia" w:ascii="宋体" w:hAnsi="宋体" w:eastAsia="宋体" w:cs="Times New Roman"/>
          <w:color w:val="auto"/>
          <w:kern w:val="0"/>
          <w:szCs w:val="24"/>
          <w:highlight w:val="none"/>
        </w:rPr>
        <w:t>施工</w:t>
      </w:r>
      <w:r>
        <w:rPr>
          <w:rFonts w:ascii="宋体" w:hAnsi="宋体" w:eastAsia="宋体" w:cs="Times New Roman"/>
          <w:color w:val="auto"/>
          <w:kern w:val="0"/>
          <w:szCs w:val="24"/>
          <w:highlight w:val="none"/>
        </w:rPr>
        <w:t>期间出现以下情况</w:t>
      </w:r>
      <w:r>
        <w:rPr>
          <w:rFonts w:hint="eastAsia" w:ascii="宋体" w:hAnsi="宋体" w:eastAsia="宋体" w:cs="Times New Roman"/>
          <w:color w:val="auto"/>
          <w:kern w:val="0"/>
          <w:szCs w:val="24"/>
          <w:highlight w:val="none"/>
        </w:rPr>
        <w:t>，应承担</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的约定的违约责任</w:t>
      </w:r>
      <w:r>
        <w:rPr>
          <w:rFonts w:ascii="宋体" w:hAnsi="宋体" w:eastAsia="宋体" w:cs="Times New Roman"/>
          <w:color w:val="auto"/>
          <w:kern w:val="0"/>
          <w:szCs w:val="24"/>
          <w:highlight w:val="none"/>
        </w:rPr>
        <w:t>：</w:t>
      </w:r>
    </w:p>
    <w:p w14:paraId="60FE086C">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承包人的项目</w:t>
      </w:r>
      <w:r>
        <w:rPr>
          <w:rFonts w:hint="eastAsia" w:ascii="宋体" w:hAnsi="宋体" w:eastAsia="宋体" w:cs="Times New Roman"/>
          <w:color w:val="auto"/>
          <w:kern w:val="0"/>
          <w:szCs w:val="24"/>
          <w:highlight w:val="none"/>
        </w:rPr>
        <w:t>管理</w:t>
      </w:r>
      <w:r>
        <w:rPr>
          <w:rFonts w:ascii="宋体" w:hAnsi="宋体" w:eastAsia="宋体" w:cs="Times New Roman"/>
          <w:color w:val="auto"/>
          <w:kern w:val="0"/>
          <w:szCs w:val="24"/>
          <w:highlight w:val="none"/>
        </w:rPr>
        <w:t>机构设置与</w:t>
      </w:r>
      <w:r>
        <w:rPr>
          <w:rFonts w:hint="eastAsia" w:ascii="Times New Roman" w:hAnsi="宋体" w:eastAsia="宋体" w:cs="Times New Roman"/>
          <w:color w:val="auto"/>
          <w:szCs w:val="24"/>
          <w:highlight w:val="none"/>
        </w:rPr>
        <w:t>投标文件</w:t>
      </w:r>
      <w:r>
        <w:rPr>
          <w:rFonts w:ascii="宋体" w:hAnsi="宋体" w:eastAsia="宋体" w:cs="Times New Roman"/>
          <w:color w:val="auto"/>
          <w:kern w:val="0"/>
          <w:szCs w:val="24"/>
          <w:highlight w:val="none"/>
        </w:rPr>
        <w:t xml:space="preserve">的承诺不一致； </w:t>
      </w:r>
    </w:p>
    <w:p w14:paraId="622FE51F">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承包人的主要</w:t>
      </w:r>
      <w:r>
        <w:rPr>
          <w:rFonts w:hint="eastAsia" w:ascii="宋体" w:hAnsi="宋体" w:eastAsia="宋体" w:cs="Times New Roman"/>
          <w:color w:val="auto"/>
          <w:kern w:val="0"/>
          <w:szCs w:val="24"/>
          <w:highlight w:val="none"/>
        </w:rPr>
        <w:t>施工管理</w:t>
      </w:r>
      <w:r>
        <w:rPr>
          <w:rFonts w:ascii="宋体" w:hAnsi="宋体" w:eastAsia="宋体" w:cs="Times New Roman"/>
          <w:color w:val="auto"/>
          <w:kern w:val="0"/>
          <w:szCs w:val="24"/>
          <w:highlight w:val="none"/>
        </w:rPr>
        <w:t>人员不到位；</w:t>
      </w:r>
    </w:p>
    <w:p w14:paraId="02163A77">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未经发包人</w:t>
      </w:r>
      <w:r>
        <w:rPr>
          <w:rFonts w:hint="eastAsia" w:ascii="宋体" w:hAnsi="宋体" w:eastAsia="宋体" w:cs="Times New Roman"/>
          <w:color w:val="auto"/>
          <w:kern w:val="0"/>
          <w:szCs w:val="24"/>
          <w:highlight w:val="none"/>
        </w:rPr>
        <w:t>同意</w:t>
      </w:r>
      <w:r>
        <w:rPr>
          <w:rFonts w:ascii="宋体" w:hAnsi="宋体" w:eastAsia="宋体" w:cs="Times New Roman"/>
          <w:color w:val="auto"/>
          <w:kern w:val="0"/>
          <w:szCs w:val="24"/>
          <w:highlight w:val="none"/>
        </w:rPr>
        <w:t>，承包人擅自更换主要</w:t>
      </w:r>
      <w:r>
        <w:rPr>
          <w:rFonts w:hint="eastAsia" w:ascii="宋体" w:hAnsi="宋体" w:eastAsia="宋体" w:cs="Times New Roman"/>
          <w:color w:val="auto"/>
          <w:kern w:val="0"/>
          <w:szCs w:val="24"/>
          <w:highlight w:val="none"/>
        </w:rPr>
        <w:t>施工</w:t>
      </w:r>
      <w:r>
        <w:rPr>
          <w:rFonts w:ascii="宋体" w:hAnsi="宋体" w:eastAsia="宋体" w:cs="Times New Roman"/>
          <w:color w:val="auto"/>
          <w:kern w:val="0"/>
          <w:szCs w:val="24"/>
          <w:highlight w:val="none"/>
        </w:rPr>
        <w:t>管理人员；</w:t>
      </w:r>
    </w:p>
    <w:p w14:paraId="039598A9">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承包人的主要</w:t>
      </w:r>
      <w:r>
        <w:rPr>
          <w:rFonts w:hint="eastAsia" w:ascii="宋体" w:hAnsi="宋体" w:eastAsia="宋体" w:cs="Times New Roman"/>
          <w:color w:val="auto"/>
          <w:kern w:val="0"/>
          <w:szCs w:val="24"/>
          <w:highlight w:val="none"/>
        </w:rPr>
        <w:t>施工管理</w:t>
      </w:r>
      <w:r>
        <w:rPr>
          <w:rFonts w:ascii="宋体" w:hAnsi="宋体" w:eastAsia="宋体" w:cs="Times New Roman"/>
          <w:color w:val="auto"/>
          <w:kern w:val="0"/>
          <w:szCs w:val="24"/>
          <w:highlight w:val="none"/>
        </w:rPr>
        <w:t>人员</w:t>
      </w:r>
      <w:r>
        <w:rPr>
          <w:rFonts w:hint="eastAsia" w:ascii="宋体" w:hAnsi="宋体" w:eastAsia="宋体" w:cs="Times New Roman"/>
          <w:color w:val="auto"/>
          <w:kern w:val="0"/>
          <w:szCs w:val="24"/>
          <w:highlight w:val="none"/>
        </w:rPr>
        <w:t>未经监理人或发包人同意擅自离开施工现场的；</w:t>
      </w:r>
    </w:p>
    <w:p w14:paraId="774E89E1">
      <w:pPr>
        <w:tabs>
          <w:tab w:val="left" w:pos="1620"/>
          <w:tab w:val="left" w:pos="2340"/>
        </w:tabs>
        <w:snapToGrid w:val="0"/>
        <w:spacing w:after="156"/>
        <w:ind w:left="902"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承包人的主要</w:t>
      </w:r>
      <w:r>
        <w:rPr>
          <w:rFonts w:hint="eastAsia" w:ascii="宋体" w:hAnsi="宋体" w:eastAsia="宋体" w:cs="Times New Roman"/>
          <w:color w:val="auto"/>
          <w:kern w:val="0"/>
          <w:szCs w:val="24"/>
          <w:highlight w:val="none"/>
        </w:rPr>
        <w:t>施工管理</w:t>
      </w:r>
      <w:r>
        <w:rPr>
          <w:rFonts w:ascii="宋体" w:hAnsi="宋体" w:eastAsia="宋体" w:cs="Times New Roman"/>
          <w:color w:val="auto"/>
          <w:kern w:val="0"/>
          <w:szCs w:val="24"/>
          <w:highlight w:val="none"/>
        </w:rPr>
        <w:t>人员</w:t>
      </w:r>
      <w:r>
        <w:rPr>
          <w:rFonts w:hint="eastAsia" w:ascii="宋体" w:hAnsi="宋体" w:eastAsia="宋体" w:cs="Times New Roman"/>
          <w:color w:val="auto"/>
          <w:kern w:val="0"/>
          <w:szCs w:val="24"/>
          <w:highlight w:val="none"/>
        </w:rPr>
        <w:t>同时</w:t>
      </w:r>
      <w:r>
        <w:rPr>
          <w:rFonts w:ascii="宋体" w:hAnsi="宋体" w:eastAsia="宋体" w:cs="Times New Roman"/>
          <w:color w:val="auto"/>
          <w:kern w:val="0"/>
          <w:szCs w:val="24"/>
          <w:highlight w:val="none"/>
        </w:rPr>
        <w:t>兼任承包人其它</w:t>
      </w:r>
      <w:r>
        <w:rPr>
          <w:rFonts w:hint="eastAsia" w:ascii="宋体" w:hAnsi="宋体" w:eastAsia="宋体" w:cs="Times New Roman"/>
          <w:color w:val="auto"/>
          <w:kern w:val="0"/>
          <w:szCs w:val="24"/>
          <w:highlight w:val="none"/>
        </w:rPr>
        <w:t>工程</w:t>
      </w:r>
      <w:r>
        <w:rPr>
          <w:rFonts w:ascii="宋体" w:hAnsi="宋体" w:eastAsia="宋体" w:cs="Times New Roman"/>
          <w:color w:val="auto"/>
          <w:kern w:val="0"/>
          <w:szCs w:val="24"/>
          <w:highlight w:val="none"/>
        </w:rPr>
        <w:t>项目</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任何职务</w:t>
      </w:r>
      <w:r>
        <w:rPr>
          <w:rFonts w:hint="eastAsia" w:ascii="宋体" w:hAnsi="宋体" w:eastAsia="宋体" w:cs="Times New Roman"/>
          <w:color w:val="auto"/>
          <w:kern w:val="0"/>
          <w:szCs w:val="24"/>
          <w:highlight w:val="none"/>
        </w:rPr>
        <w:t>。</w:t>
      </w:r>
    </w:p>
    <w:p w14:paraId="259435A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发包人对于承包人主要施工管理人员</w:t>
      </w:r>
      <w:r>
        <w:rPr>
          <w:rFonts w:hint="eastAsia" w:ascii="宋体" w:hAnsi="宋体" w:eastAsia="宋体" w:cs="Times New Roman"/>
          <w:color w:val="auto"/>
          <w:kern w:val="0"/>
          <w:szCs w:val="24"/>
          <w:highlight w:val="none"/>
        </w:rPr>
        <w:t>的资格或能力</w:t>
      </w:r>
      <w:r>
        <w:rPr>
          <w:rFonts w:ascii="宋体" w:hAnsi="宋体" w:eastAsia="宋体" w:cs="Times New Roman"/>
          <w:color w:val="auto"/>
          <w:kern w:val="0"/>
          <w:szCs w:val="24"/>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的约定承担违约责任。</w:t>
      </w:r>
    </w:p>
    <w:p w14:paraId="01C5F80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60" w:name="_Toc32049"/>
      <w:bookmarkStart w:id="761" w:name="_Toc17159"/>
      <w:bookmarkStart w:id="762" w:name="_Toc3434"/>
      <w:bookmarkStart w:id="763" w:name="_Toc12916"/>
      <w:bookmarkStart w:id="764" w:name="_Toc305331254"/>
      <w:bookmarkStart w:id="765" w:name="_Toc13165"/>
      <w:bookmarkStart w:id="766" w:name="_Toc2154"/>
      <w:bookmarkStart w:id="767" w:name="_Toc9671"/>
      <w:bookmarkStart w:id="768" w:name="_Toc302635727"/>
      <w:bookmarkStart w:id="769" w:name="_Toc1095"/>
      <w:bookmarkStart w:id="770" w:name="_Toc7315"/>
      <w:r>
        <w:rPr>
          <w:rFonts w:hint="eastAsia" w:ascii="宋体" w:hAnsi="宋体" w:eastAsia="宋体" w:cs="Times New Roman"/>
          <w:b/>
          <w:bCs/>
          <w:color w:val="auto"/>
          <w:kern w:val="0"/>
          <w:sz w:val="24"/>
          <w:szCs w:val="24"/>
          <w:highlight w:val="none"/>
          <w:lang w:val="en-US" w:eastAsia="zh-CN" w:bidi="ar-SA"/>
        </w:rPr>
        <w:t>联合体承包人</w:t>
      </w:r>
      <w:bookmarkEnd w:id="760"/>
      <w:bookmarkEnd w:id="761"/>
      <w:bookmarkEnd w:id="762"/>
      <w:bookmarkEnd w:id="763"/>
      <w:bookmarkEnd w:id="764"/>
      <w:bookmarkEnd w:id="765"/>
      <w:bookmarkEnd w:id="766"/>
      <w:bookmarkEnd w:id="767"/>
      <w:bookmarkEnd w:id="768"/>
      <w:bookmarkEnd w:id="769"/>
      <w:bookmarkEnd w:id="770"/>
    </w:p>
    <w:p w14:paraId="5151F9C0">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如果承包人是由两个或两个以上的当事人依法组成的联营体、联合体或其他形式的组合：</w:t>
      </w:r>
    </w:p>
    <w:p w14:paraId="1AAC702A">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①各成员在履行合同上对发包人负有共同的和各自的责任；</w:t>
      </w:r>
    </w:p>
    <w:p w14:paraId="7643C1FF">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②各成员应将有权约束承包人及其各自的负责人通知发包人；</w:t>
      </w:r>
    </w:p>
    <w:p w14:paraId="28412391">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③未经发包人事先同意，承包人不得改变其组成或法律地位；</w:t>
      </w:r>
    </w:p>
    <w:p w14:paraId="76CDC64C">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④各成员的责任、权利、义务、合同价款的分配比例及方式在联合体协议中明确。</w:t>
      </w:r>
    </w:p>
    <w:p w14:paraId="42DFF4B4">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771" w:name="_Toc3396"/>
      <w:bookmarkStart w:id="772" w:name="_Toc29550"/>
      <w:bookmarkStart w:id="773" w:name="_Toc31333"/>
      <w:bookmarkStart w:id="774" w:name="_Toc9524"/>
      <w:bookmarkStart w:id="775" w:name="_Toc21524"/>
      <w:bookmarkStart w:id="776" w:name="_Toc17352"/>
      <w:bookmarkStart w:id="777" w:name="_Toc28111"/>
      <w:bookmarkStart w:id="778" w:name="_Toc27967"/>
      <w:bookmarkStart w:id="779" w:name="_Toc4746"/>
      <w:r>
        <w:rPr>
          <w:rFonts w:ascii="华文细黑" w:hAnsi="宋体" w:eastAsia="宋体" w:cs="Times New Roman"/>
          <w:b/>
          <w:bCs/>
          <w:snapToGrid w:val="0"/>
          <w:color w:val="auto"/>
          <w:kern w:val="0"/>
          <w:sz w:val="28"/>
          <w:szCs w:val="44"/>
          <w:highlight w:val="none"/>
          <w:lang w:val="en-US" w:eastAsia="zh-CN" w:bidi="ar-SA"/>
        </w:rPr>
        <w:t>监理人</w:t>
      </w:r>
      <w:bookmarkEnd w:id="771"/>
      <w:bookmarkEnd w:id="772"/>
      <w:bookmarkEnd w:id="773"/>
      <w:bookmarkEnd w:id="774"/>
      <w:bookmarkEnd w:id="775"/>
      <w:bookmarkEnd w:id="776"/>
      <w:bookmarkEnd w:id="777"/>
      <w:bookmarkEnd w:id="778"/>
      <w:bookmarkEnd w:id="779"/>
    </w:p>
    <w:p w14:paraId="52B74E28">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80" w:name="_Toc302635729"/>
      <w:bookmarkStart w:id="781" w:name="_Toc305331256"/>
      <w:bookmarkStart w:id="782" w:name="_Toc7643"/>
      <w:bookmarkStart w:id="783" w:name="_Toc32591"/>
      <w:bookmarkStart w:id="784" w:name="_Toc26789"/>
      <w:bookmarkStart w:id="785" w:name="_Toc27373"/>
      <w:bookmarkStart w:id="786" w:name="_Toc16071"/>
      <w:bookmarkStart w:id="787" w:name="_Toc624"/>
      <w:bookmarkStart w:id="788" w:name="_Toc24863"/>
      <w:bookmarkStart w:id="789" w:name="_Toc6642"/>
      <w:bookmarkStart w:id="790" w:name="_Toc25876"/>
      <w:bookmarkStart w:id="791" w:name="_Toc34908961"/>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的</w:t>
      </w:r>
      <w:bookmarkEnd w:id="780"/>
      <w:bookmarkEnd w:id="781"/>
      <w:r>
        <w:rPr>
          <w:rFonts w:hint="eastAsia" w:ascii="宋体" w:hAnsi="宋体" w:eastAsia="宋体" w:cs="Times New Roman"/>
          <w:b/>
          <w:bCs/>
          <w:color w:val="auto"/>
          <w:kern w:val="0"/>
          <w:sz w:val="24"/>
          <w:szCs w:val="24"/>
          <w:highlight w:val="none"/>
          <w:lang w:val="en-US" w:eastAsia="zh-CN" w:bidi="ar-SA"/>
        </w:rPr>
        <w:t>通知</w:t>
      </w:r>
      <w:bookmarkEnd w:id="782"/>
      <w:bookmarkEnd w:id="783"/>
      <w:bookmarkEnd w:id="784"/>
      <w:bookmarkEnd w:id="785"/>
      <w:bookmarkEnd w:id="786"/>
      <w:bookmarkEnd w:id="787"/>
      <w:bookmarkEnd w:id="788"/>
      <w:bookmarkEnd w:id="789"/>
      <w:bookmarkEnd w:id="790"/>
    </w:p>
    <w:p w14:paraId="3B50726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发包人应在本合同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w:t>
      </w:r>
      <w:bookmarkEnd w:id="791"/>
      <w:r>
        <w:rPr>
          <w:rFonts w:hint="eastAsia" w:ascii="宋体" w:hAnsi="宋体" w:eastAsia="宋体" w:cs="Times New Roman"/>
          <w:color w:val="auto"/>
          <w:kern w:val="0"/>
          <w:szCs w:val="24"/>
          <w:highlight w:val="none"/>
        </w:rPr>
        <w:t>列明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。实施监理的工程，发包人应在开工前将</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和总监理工程师的名称、姓名、监理内容书面通知承包人。发包人如需更换</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，应至少提前7天以书面形式通知承包人。</w:t>
      </w:r>
    </w:p>
    <w:p w14:paraId="0E2D4CE5">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92" w:name="_Toc22934"/>
      <w:bookmarkStart w:id="793" w:name="_Toc16547"/>
      <w:bookmarkStart w:id="794" w:name="_Toc8375"/>
      <w:bookmarkStart w:id="795" w:name="_Toc27291"/>
      <w:bookmarkStart w:id="796" w:name="_Toc9539"/>
      <w:bookmarkStart w:id="797" w:name="_Toc305331257"/>
      <w:bookmarkStart w:id="798" w:name="_Toc15209"/>
      <w:bookmarkStart w:id="799" w:name="_Toc4387"/>
      <w:bookmarkStart w:id="800" w:name="_Toc1779"/>
      <w:bookmarkStart w:id="801" w:name="_Toc302635730"/>
      <w:bookmarkStart w:id="802" w:name="_Toc14215"/>
      <w:bookmarkStart w:id="803" w:name="_Toc34908962"/>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的职权</w:t>
      </w:r>
      <w:bookmarkEnd w:id="792"/>
      <w:bookmarkEnd w:id="793"/>
      <w:bookmarkEnd w:id="794"/>
      <w:bookmarkEnd w:id="795"/>
      <w:bookmarkEnd w:id="796"/>
      <w:bookmarkEnd w:id="797"/>
      <w:bookmarkEnd w:id="798"/>
      <w:bookmarkEnd w:id="799"/>
      <w:bookmarkEnd w:id="800"/>
      <w:bookmarkEnd w:id="801"/>
      <w:bookmarkEnd w:id="802"/>
    </w:p>
    <w:p w14:paraId="58B53C18">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应履行本合同条款约定的职责，行使本合同订明或必然隐含的权力。除合同明确说明外，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无权修改合同，亦无权免除承包人在合同内的任何职责和义务。</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在履行和行使其职权时，其任何行为或遗漏，不免除承包人履行合同约定的任何职责和义务。</w:t>
      </w:r>
      <w:bookmarkEnd w:id="803"/>
    </w:p>
    <w:p w14:paraId="58D3F319">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04" w:name="_Toc19944"/>
      <w:bookmarkStart w:id="805" w:name="_Toc28954"/>
      <w:bookmarkStart w:id="806" w:name="_Toc302635731"/>
      <w:bookmarkStart w:id="807" w:name="_Toc3056"/>
      <w:bookmarkStart w:id="808" w:name="_Toc25456"/>
      <w:bookmarkStart w:id="809" w:name="_Toc2684"/>
      <w:bookmarkStart w:id="810" w:name="_Toc28115"/>
      <w:bookmarkStart w:id="811" w:name="_Toc13548"/>
      <w:bookmarkStart w:id="812" w:name="_Toc16912"/>
      <w:bookmarkStart w:id="813" w:name="_Toc23426"/>
      <w:bookmarkStart w:id="814" w:name="_Toc305331258"/>
      <w:bookmarkStart w:id="815" w:name="_Toc34908963"/>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权力的限制</w:t>
      </w:r>
      <w:bookmarkEnd w:id="804"/>
      <w:bookmarkEnd w:id="805"/>
      <w:bookmarkEnd w:id="806"/>
      <w:bookmarkEnd w:id="807"/>
      <w:bookmarkEnd w:id="808"/>
      <w:bookmarkEnd w:id="809"/>
      <w:bookmarkEnd w:id="810"/>
      <w:bookmarkEnd w:id="811"/>
      <w:bookmarkEnd w:id="812"/>
      <w:bookmarkEnd w:id="813"/>
      <w:bookmarkEnd w:id="814"/>
    </w:p>
    <w:p w14:paraId="726883A6">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行使下列权力时，应先取得发包人的批准。但是，当</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行使下列需经发包人批准的权力时，应视为发包人已予批准：</w:t>
      </w:r>
      <w:bookmarkEnd w:id="815"/>
    </w:p>
    <w:p w14:paraId="68EA7FBD">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①发布开工令、停工令、复工令；</w:t>
      </w:r>
    </w:p>
    <w:p w14:paraId="598B989B">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②向</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或承包人提出建议且提出的建议可能会提高工程造价或延误工期；</w:t>
      </w:r>
    </w:p>
    <w:p w14:paraId="25F6E89A">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③对本工程任何形式、数量、质量、价款和内容上的变动；</w:t>
      </w:r>
    </w:p>
    <w:p w14:paraId="6AF101FD">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④对合同约定的承包人职责和义务进行变更；</w:t>
      </w:r>
    </w:p>
    <w:p w14:paraId="5E8C77AE">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⑤提出或批准索赔；</w:t>
      </w:r>
    </w:p>
    <w:p w14:paraId="1A7C013E">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⑥签发工程款支付证书；</w:t>
      </w:r>
    </w:p>
    <w:p w14:paraId="542400FB">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⑦合同条款中明确约定应取得发包人批准的其他权力；</w:t>
      </w:r>
    </w:p>
    <w:p w14:paraId="7F18BAC3">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中明确的其他需经发包人批准的权力。</w:t>
      </w:r>
    </w:p>
    <w:p w14:paraId="0D16A088">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816" w:name="_Toc34908964"/>
      <w:r>
        <w:rPr>
          <w:rFonts w:hint="eastAsia" w:ascii="宋体" w:hAnsi="宋体" w:eastAsia="宋体" w:cs="Times New Roman"/>
          <w:color w:val="auto"/>
          <w:kern w:val="0"/>
          <w:szCs w:val="24"/>
          <w:highlight w:val="none"/>
        </w:rPr>
        <w:t>⑵当</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认为出现了危及人身、财产安全和立即影响工程安危的紧急情况，且不可能在事前把情况报告给发包人时，在不免除合同约定的承包人的任何职责和义务的情况下，</w:t>
      </w:r>
      <w:r>
        <w:rPr>
          <w:rFonts w:ascii="宋体" w:hAnsi="宋体" w:eastAsia="宋体" w:cs="Times New Roman"/>
          <w:color w:val="auto"/>
          <w:kern w:val="0"/>
          <w:szCs w:val="24"/>
          <w:highlight w:val="none"/>
        </w:rPr>
        <w:t>监理人</w:t>
      </w:r>
      <w:bookmarkEnd w:id="816"/>
      <w:r>
        <w:rPr>
          <w:rFonts w:hint="eastAsia" w:ascii="宋体" w:hAnsi="宋体" w:eastAsia="宋体" w:cs="Times New Roman"/>
          <w:color w:val="auto"/>
          <w:kern w:val="0"/>
          <w:szCs w:val="24"/>
          <w:highlight w:val="none"/>
        </w:rPr>
        <w:t>可先行行使5.3款⑴中的权力，并应在事后24小时内向发包人作出书面报告。</w:t>
      </w:r>
    </w:p>
    <w:p w14:paraId="5D586E20">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17" w:name="_Toc20949"/>
      <w:bookmarkStart w:id="818" w:name="_Toc19710"/>
      <w:bookmarkStart w:id="819" w:name="_Toc29259"/>
      <w:bookmarkStart w:id="820" w:name="_Toc19270"/>
      <w:bookmarkStart w:id="821" w:name="_Toc29596"/>
      <w:bookmarkStart w:id="822" w:name="_Toc23108"/>
      <w:bookmarkStart w:id="823" w:name="_Toc24257"/>
      <w:bookmarkStart w:id="824" w:name="_Toc302635732"/>
      <w:bookmarkStart w:id="825" w:name="_Toc28371"/>
      <w:bookmarkStart w:id="826" w:name="_Toc30678"/>
      <w:bookmarkStart w:id="827" w:name="_Toc34908965"/>
      <w:r>
        <w:rPr>
          <w:rFonts w:hint="eastAsia" w:ascii="宋体" w:hAnsi="宋体" w:eastAsia="宋体" w:cs="Times New Roman"/>
          <w:b/>
          <w:bCs/>
          <w:color w:val="auto"/>
          <w:kern w:val="0"/>
          <w:sz w:val="24"/>
          <w:szCs w:val="24"/>
          <w:highlight w:val="none"/>
          <w:lang w:val="en-US" w:eastAsia="zh-CN" w:bidi="ar-SA"/>
        </w:rPr>
        <w:t>总监理工程师</w:t>
      </w:r>
      <w:bookmarkEnd w:id="817"/>
      <w:bookmarkEnd w:id="818"/>
      <w:bookmarkEnd w:id="819"/>
      <w:bookmarkEnd w:id="820"/>
      <w:bookmarkEnd w:id="821"/>
      <w:bookmarkEnd w:id="822"/>
      <w:bookmarkEnd w:id="823"/>
      <w:bookmarkEnd w:id="824"/>
      <w:bookmarkEnd w:id="825"/>
      <w:bookmarkEnd w:id="826"/>
    </w:p>
    <w:p w14:paraId="61A977B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可随时将其任何职责和权力授予其任命的总监理工程师(按有关规定或发包人指定必须由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亲自履行的职权不得转授)，亦可随时将其授予总监理工程师的任何职权撤回。任何此类授权和撤回应由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提前7天以书面形式通知发包人和承包人，在未将有关文件副本送交承包人之前，该项授权和撤回不能生效。</w:t>
      </w:r>
      <w:bookmarkEnd w:id="827"/>
      <w:bookmarkStart w:id="828" w:name="_Toc34908966"/>
    </w:p>
    <w:p w14:paraId="445D2D9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⑵总监理工程师对</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负责，履行和行使</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授予的职责和权力。总监理工程师在其授权范围内履行职权时，视同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bookmarkEnd w:id="828"/>
    </w:p>
    <w:p w14:paraId="3E915945">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29" w:name="_Toc28187"/>
      <w:bookmarkStart w:id="830" w:name="_Toc18164"/>
      <w:bookmarkStart w:id="831" w:name="_Toc3842"/>
      <w:bookmarkStart w:id="832" w:name="_Toc2635"/>
      <w:bookmarkStart w:id="833" w:name="_Toc302635733"/>
      <w:bookmarkStart w:id="834" w:name="_Toc11693"/>
      <w:bookmarkStart w:id="835" w:name="_Toc11940"/>
      <w:bookmarkStart w:id="836" w:name="_Toc30406"/>
      <w:bookmarkStart w:id="837" w:name="_Toc26453"/>
      <w:bookmarkStart w:id="838" w:name="_Toc1367"/>
      <w:bookmarkStart w:id="839" w:name="_Toc305331260"/>
      <w:bookmarkStart w:id="840" w:name="_Toc34908969"/>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指令</w:t>
      </w:r>
      <w:bookmarkEnd w:id="829"/>
      <w:bookmarkEnd w:id="830"/>
      <w:bookmarkEnd w:id="831"/>
      <w:bookmarkEnd w:id="832"/>
      <w:bookmarkEnd w:id="833"/>
      <w:bookmarkEnd w:id="834"/>
      <w:bookmarkEnd w:id="835"/>
      <w:bookmarkEnd w:id="836"/>
      <w:bookmarkEnd w:id="837"/>
      <w:bookmarkEnd w:id="838"/>
      <w:bookmarkEnd w:id="839"/>
    </w:p>
    <w:p w14:paraId="64A0AB5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应按合同约定，及时向承包人提供所需的指令。</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的指令以书面形式送达项目经理，项目经理在回执上签署姓名和收到时间后生效。</w:t>
      </w:r>
    </w:p>
    <w:p w14:paraId="012DF45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⑵必要时，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可以发出口头指令，并在48小时内给予书面确认。对</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的口头指令，承包人应予执行。如承包人在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发出的口头指令48小时之后，未收到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的书面确认，应在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发出口头指令后7天内提出书面确认要求，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应在承包人提出书面确认要求后48小时内给予答复，逾期不予答复的，视为口头指令已被确认。</w:t>
      </w:r>
      <w:bookmarkEnd w:id="840"/>
    </w:p>
    <w:p w14:paraId="79A9708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⑶承包人认为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的指令不合理，应在收到指令后24小时内向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报告，</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应在收到承包人报告后24小时内作出修改指令或继续执行原指令的决定，通知承包人。</w:t>
      </w:r>
      <w:r>
        <w:rPr>
          <w:rFonts w:ascii="宋体" w:hAnsi="宋体" w:eastAsia="宋体" w:cs="Times New Roman"/>
          <w:color w:val="auto"/>
          <w:kern w:val="0"/>
          <w:szCs w:val="24"/>
          <w:highlight w:val="none"/>
        </w:rPr>
        <w:t>监理人逾期未回复的，承包人有权拒绝执行上述指示。</w:t>
      </w:r>
    </w:p>
    <w:p w14:paraId="0BB548E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EA1E6C9">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841" w:name="_Toc30932"/>
      <w:bookmarkStart w:id="842" w:name="_Toc6922"/>
      <w:bookmarkStart w:id="843" w:name="_Toc28322"/>
      <w:bookmarkStart w:id="844" w:name="_Toc30646"/>
      <w:bookmarkStart w:id="845" w:name="_Toc11200"/>
      <w:bookmarkStart w:id="846" w:name="_Toc545"/>
      <w:bookmarkStart w:id="847" w:name="_Toc6592"/>
      <w:bookmarkStart w:id="848" w:name="_Toc302635734"/>
      <w:bookmarkStart w:id="849" w:name="_Toc6292"/>
      <w:bookmarkStart w:id="850" w:name="_Toc24479"/>
      <w:bookmarkStart w:id="851" w:name="_Toc305331261"/>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未尽义务或失误</w:t>
      </w:r>
      <w:bookmarkEnd w:id="841"/>
      <w:bookmarkEnd w:id="842"/>
      <w:bookmarkEnd w:id="843"/>
      <w:bookmarkEnd w:id="844"/>
      <w:bookmarkEnd w:id="845"/>
      <w:bookmarkEnd w:id="846"/>
      <w:bookmarkEnd w:id="847"/>
      <w:bookmarkEnd w:id="848"/>
      <w:bookmarkEnd w:id="849"/>
      <w:bookmarkEnd w:id="850"/>
      <w:bookmarkEnd w:id="851"/>
    </w:p>
    <w:p w14:paraId="694FB23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应按本合同约定，及时向承包人提供所需的指令、批准并履行约定的其他义务。因</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未能按合同约定履行义务或因</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的失误，给承包人造成损失和(或)导致工期延误的，发包人应赔偿承包人的损失，顺延延误的工期。</w:t>
      </w:r>
    </w:p>
    <w:p w14:paraId="2E209A5C">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852" w:name="_Toc35656971"/>
      <w:bookmarkStart w:id="853" w:name="_Toc27630"/>
      <w:bookmarkStart w:id="854" w:name="_Toc22492"/>
      <w:bookmarkStart w:id="855" w:name="_Toc28116"/>
      <w:bookmarkStart w:id="856" w:name="_Toc305331262"/>
      <w:bookmarkStart w:id="857" w:name="_Toc32571"/>
      <w:bookmarkStart w:id="858" w:name="_Toc34908976"/>
      <w:bookmarkStart w:id="859" w:name="_Toc15533"/>
      <w:bookmarkStart w:id="860" w:name="_Toc20607"/>
      <w:bookmarkStart w:id="861" w:name="_Toc24929"/>
      <w:bookmarkStart w:id="862" w:name="_Toc2712"/>
      <w:bookmarkStart w:id="863" w:name="_Toc302635736"/>
      <w:bookmarkStart w:id="864" w:name="_Toc14348"/>
      <w:r>
        <w:rPr>
          <w:rFonts w:hint="eastAsia" w:ascii="华文细黑" w:hAnsi="宋体" w:eastAsia="宋体" w:cs="Times New Roman"/>
          <w:b/>
          <w:bCs/>
          <w:snapToGrid w:val="0"/>
          <w:color w:val="auto"/>
          <w:kern w:val="0"/>
          <w:sz w:val="28"/>
          <w:szCs w:val="44"/>
          <w:highlight w:val="none"/>
          <w:lang w:val="en-US" w:eastAsia="zh-CN" w:bidi="ar-SA"/>
        </w:rPr>
        <w:t>转让、分包</w:t>
      </w:r>
      <w:bookmarkEnd w:id="852"/>
      <w:bookmarkEnd w:id="853"/>
      <w:bookmarkEnd w:id="854"/>
      <w:bookmarkEnd w:id="855"/>
      <w:bookmarkEnd w:id="856"/>
      <w:bookmarkEnd w:id="857"/>
      <w:bookmarkEnd w:id="858"/>
      <w:bookmarkEnd w:id="859"/>
      <w:bookmarkEnd w:id="860"/>
      <w:bookmarkEnd w:id="861"/>
      <w:bookmarkEnd w:id="862"/>
      <w:bookmarkEnd w:id="863"/>
      <w:bookmarkEnd w:id="864"/>
    </w:p>
    <w:p w14:paraId="6E81820A">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865" w:name="_Toc22771"/>
      <w:bookmarkStart w:id="866" w:name="_Toc20896"/>
      <w:bookmarkStart w:id="867" w:name="_Toc18341"/>
      <w:bookmarkStart w:id="868" w:name="_Toc18552"/>
      <w:bookmarkStart w:id="869" w:name="_Toc305331263"/>
      <w:bookmarkStart w:id="870" w:name="_Toc6108"/>
      <w:bookmarkStart w:id="871" w:name="_Toc24181"/>
      <w:bookmarkStart w:id="872" w:name="_Toc763"/>
      <w:bookmarkStart w:id="873" w:name="_Toc302635737"/>
      <w:bookmarkStart w:id="874" w:name="_Toc11640"/>
      <w:bookmarkStart w:id="875" w:name="_Toc35656972"/>
      <w:bookmarkStart w:id="876" w:name="_Toc34908977"/>
      <w:bookmarkStart w:id="877" w:name="_Toc35656470"/>
      <w:bookmarkStart w:id="878" w:name="_Toc14987"/>
      <w:r>
        <w:rPr>
          <w:rFonts w:hint="eastAsia" w:ascii="宋体" w:hAnsi="宋体" w:eastAsia="宋体" w:cs="Times New Roman"/>
          <w:b/>
          <w:bCs/>
          <w:color w:val="auto"/>
          <w:kern w:val="0"/>
          <w:sz w:val="24"/>
          <w:szCs w:val="24"/>
          <w:highlight w:val="none"/>
          <w:lang w:val="en-US" w:eastAsia="zh-CN" w:bidi="ar-SA"/>
        </w:rPr>
        <w:t>转让</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1BF86D32">
      <w:pPr>
        <w:tabs>
          <w:tab w:val="left" w:pos="1620"/>
          <w:tab w:val="left" w:pos="2340"/>
        </w:tabs>
        <w:spacing w:after="156"/>
        <w:ind w:left="899"/>
        <w:jc w:val="left"/>
        <w:rPr>
          <w:rFonts w:ascii="宋体" w:hAnsi="宋体" w:eastAsia="宋体" w:cs="Times New Roman"/>
          <w:color w:val="auto"/>
          <w:kern w:val="0"/>
          <w:szCs w:val="24"/>
          <w:highlight w:val="none"/>
        </w:rPr>
      </w:pPr>
      <w:bookmarkStart w:id="879" w:name="_Toc34908978"/>
      <w:r>
        <w:rPr>
          <w:rFonts w:hint="eastAsia" w:ascii="宋体" w:hAnsi="宋体" w:eastAsia="宋体" w:cs="Times New Roman"/>
          <w:color w:val="auto"/>
          <w:kern w:val="0"/>
          <w:szCs w:val="24"/>
          <w:highlight w:val="none"/>
        </w:rPr>
        <w:t>承包人不得将本合同的全部工程或其中任何部分转让给其他单位或个人。</w:t>
      </w:r>
      <w:bookmarkEnd w:id="879"/>
      <w:r>
        <w:rPr>
          <w:rFonts w:hint="eastAsia" w:ascii="宋体" w:hAnsi="宋体" w:eastAsia="宋体" w:cs="Times New Roman"/>
          <w:color w:val="auto"/>
          <w:kern w:val="0"/>
          <w:szCs w:val="24"/>
          <w:highlight w:val="none"/>
        </w:rPr>
        <w:t>如承包人有上述转让行为，按照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14:paraId="272198D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80" w:name="_Toc305331264"/>
      <w:bookmarkStart w:id="881" w:name="_Toc4431"/>
      <w:bookmarkStart w:id="882" w:name="_Toc29852"/>
      <w:bookmarkStart w:id="883" w:name="_Toc2976"/>
      <w:bookmarkStart w:id="884" w:name="_Toc29041"/>
      <w:bookmarkStart w:id="885" w:name="_Toc26590"/>
      <w:bookmarkStart w:id="886" w:name="_Toc20252"/>
      <w:bookmarkStart w:id="887" w:name="_Toc302635738"/>
      <w:bookmarkStart w:id="888" w:name="_Toc9309"/>
      <w:bookmarkStart w:id="889" w:name="_Toc16945"/>
      <w:bookmarkStart w:id="890" w:name="_Toc17975"/>
      <w:bookmarkStart w:id="891" w:name="_Toc35656471"/>
      <w:bookmarkStart w:id="892" w:name="_Toc35656973"/>
      <w:bookmarkStart w:id="893" w:name="_Toc34908979"/>
      <w:r>
        <w:rPr>
          <w:rFonts w:hint="eastAsia" w:ascii="宋体" w:hAnsi="宋体" w:eastAsia="宋体" w:cs="Times New Roman"/>
          <w:b/>
          <w:bCs/>
          <w:color w:val="auto"/>
          <w:kern w:val="0"/>
          <w:sz w:val="24"/>
          <w:szCs w:val="24"/>
          <w:highlight w:val="none"/>
          <w:lang w:val="en-US" w:eastAsia="zh-CN" w:bidi="ar-SA"/>
        </w:rPr>
        <w:t>分包</w:t>
      </w:r>
      <w:bookmarkEnd w:id="880"/>
      <w:bookmarkEnd w:id="881"/>
      <w:bookmarkEnd w:id="882"/>
      <w:bookmarkEnd w:id="883"/>
      <w:bookmarkEnd w:id="884"/>
      <w:bookmarkEnd w:id="885"/>
      <w:bookmarkEnd w:id="886"/>
      <w:bookmarkEnd w:id="887"/>
      <w:bookmarkEnd w:id="888"/>
      <w:bookmarkEnd w:id="889"/>
      <w:bookmarkEnd w:id="890"/>
    </w:p>
    <w:bookmarkEnd w:id="891"/>
    <w:bookmarkEnd w:id="892"/>
    <w:bookmarkEnd w:id="893"/>
    <w:p w14:paraId="4B381770">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894" w:name="_Toc34908984"/>
      <w:bookmarkStart w:id="895" w:name="_Toc34908982"/>
      <w:r>
        <w:rPr>
          <w:rFonts w:hint="eastAsia" w:ascii="宋体" w:hAnsi="宋体" w:eastAsia="宋体" w:cs="Times New Roman"/>
          <w:color w:val="auto"/>
          <w:kern w:val="0"/>
          <w:szCs w:val="24"/>
          <w:highlight w:val="none"/>
        </w:rPr>
        <w:t>⑴如承包人不具备其本工程承包范围内的某专业工程的专项施工资质时，应对该专业工程实施分包</w:t>
      </w:r>
      <w:bookmarkEnd w:id="894"/>
      <w:r>
        <w:rPr>
          <w:rFonts w:hint="eastAsia" w:ascii="宋体" w:hAnsi="宋体" w:eastAsia="宋体" w:cs="Times New Roman"/>
          <w:color w:val="auto"/>
          <w:kern w:val="0"/>
          <w:szCs w:val="24"/>
          <w:highlight w:val="none"/>
        </w:rPr>
        <w:t>。</w:t>
      </w:r>
    </w:p>
    <w:p w14:paraId="2FEDD936">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承包人不得将工程主体结构、关键性工作及</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中禁止分包的专业工程分包给第三人，主体结构、关键性工作的范围由承发包双方按照法律规定在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中予以明确。</w:t>
      </w:r>
    </w:p>
    <w:p w14:paraId="4D08AD3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⑶未报经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审查并取得发包人批准，承包人不得将其本工程承包范围内的任何部分工程分包。如承包人有未经发包人同意的分包行为，按照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14:paraId="6931365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⑷承包人应禁止分包人将分包工程的任何部分再分包。如出现分包人将分包工程的任何部分再分包的行为，承包人应按照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14:paraId="70116174">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hint="eastAsia" w:ascii="宋体" w:hAnsi="宋体" w:eastAsia="宋体" w:cs="Times New Roman"/>
          <w:color w:val="auto"/>
          <w:kern w:val="0"/>
          <w:szCs w:val="24"/>
          <w:highlight w:val="none"/>
        </w:rPr>
        <w:t>承包人不得将其承包范围内全部工程肢解分包。如承包人有将其承包范围内全部工程肢解分包的行为，按照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14:paraId="5D22FB4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96" w:name="_Toc17603"/>
      <w:bookmarkStart w:id="897" w:name="_Toc305331265"/>
      <w:bookmarkStart w:id="898" w:name="_Toc18417"/>
      <w:bookmarkStart w:id="899" w:name="_Toc23634"/>
      <w:bookmarkStart w:id="900" w:name="_Toc12989"/>
      <w:bookmarkStart w:id="901" w:name="_Toc31041"/>
      <w:bookmarkStart w:id="902" w:name="_Toc15240"/>
      <w:bookmarkStart w:id="903" w:name="_Toc302635739"/>
      <w:bookmarkStart w:id="904" w:name="_Toc18884"/>
      <w:bookmarkStart w:id="905" w:name="_Toc16755"/>
      <w:bookmarkStart w:id="906" w:name="_Toc8933"/>
      <w:r>
        <w:rPr>
          <w:rFonts w:hint="eastAsia" w:ascii="宋体" w:hAnsi="宋体" w:eastAsia="宋体" w:cs="Times New Roman"/>
          <w:b/>
          <w:bCs/>
          <w:color w:val="auto"/>
          <w:kern w:val="0"/>
          <w:sz w:val="24"/>
          <w:szCs w:val="24"/>
          <w:highlight w:val="none"/>
          <w:lang w:val="en-US" w:eastAsia="zh-CN" w:bidi="ar-SA"/>
        </w:rPr>
        <w:t>分包人的确定</w:t>
      </w:r>
      <w:bookmarkEnd w:id="896"/>
      <w:bookmarkEnd w:id="897"/>
      <w:bookmarkEnd w:id="898"/>
      <w:bookmarkEnd w:id="899"/>
      <w:bookmarkEnd w:id="900"/>
      <w:bookmarkEnd w:id="901"/>
      <w:bookmarkEnd w:id="902"/>
      <w:bookmarkEnd w:id="903"/>
      <w:bookmarkEnd w:id="904"/>
      <w:bookmarkEnd w:id="905"/>
      <w:bookmarkEnd w:id="906"/>
    </w:p>
    <w:p w14:paraId="15D74A8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⑴承包人按照6.2⑴款对某专业工程实施分包时，分包人必须具备承建该专业工程的施工资质条件，同时满足</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约定的条件。</w:t>
      </w:r>
    </w:p>
    <w:p w14:paraId="6DB8F9C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⑵选择分包人时，承包人有义务依据</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的要求向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提供拟选分包人的一切资料，经发包人和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批准后作为分包人。</w:t>
      </w:r>
    </w:p>
    <w:p w14:paraId="3A6F594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07" w:name="_Toc23965"/>
      <w:bookmarkStart w:id="908" w:name="_Toc15132"/>
      <w:bookmarkStart w:id="909" w:name="_Toc302635740"/>
      <w:bookmarkStart w:id="910" w:name="_Toc31293"/>
      <w:bookmarkStart w:id="911" w:name="_Toc30915"/>
      <w:bookmarkStart w:id="912" w:name="_Toc8009"/>
      <w:bookmarkStart w:id="913" w:name="_Toc30474"/>
      <w:bookmarkStart w:id="914" w:name="_Toc9580"/>
      <w:bookmarkStart w:id="915" w:name="_Toc305331266"/>
      <w:bookmarkStart w:id="916" w:name="_Toc11165"/>
      <w:bookmarkStart w:id="917" w:name="_Toc24870"/>
      <w:r>
        <w:rPr>
          <w:rFonts w:hint="eastAsia" w:ascii="宋体" w:hAnsi="宋体" w:eastAsia="宋体" w:cs="Times New Roman"/>
          <w:b/>
          <w:bCs/>
          <w:color w:val="auto"/>
          <w:kern w:val="0"/>
          <w:sz w:val="24"/>
          <w:szCs w:val="24"/>
          <w:highlight w:val="none"/>
          <w:lang w:val="en-US" w:eastAsia="zh-CN" w:bidi="ar-SA"/>
        </w:rPr>
        <w:t>分包合同</w:t>
      </w:r>
      <w:bookmarkEnd w:id="907"/>
      <w:bookmarkEnd w:id="908"/>
      <w:bookmarkEnd w:id="909"/>
      <w:bookmarkEnd w:id="910"/>
      <w:bookmarkEnd w:id="911"/>
      <w:bookmarkEnd w:id="912"/>
      <w:bookmarkEnd w:id="913"/>
      <w:bookmarkEnd w:id="914"/>
      <w:bookmarkEnd w:id="915"/>
      <w:bookmarkEnd w:id="916"/>
      <w:bookmarkEnd w:id="917"/>
    </w:p>
    <w:bookmarkEnd w:id="895"/>
    <w:p w14:paraId="2E62CC94">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918" w:name="_Toc34908985"/>
      <w:r>
        <w:rPr>
          <w:rFonts w:hint="eastAsia" w:ascii="宋体" w:hAnsi="宋体" w:eastAsia="宋体" w:cs="Times New Roman"/>
          <w:color w:val="auto"/>
          <w:kern w:val="0"/>
          <w:szCs w:val="24"/>
          <w:highlight w:val="none"/>
        </w:rPr>
        <w:t>⑴承包人与分包人签订分包合同后7天内，应将分包合同送发包人</w:t>
      </w:r>
      <w:r>
        <w:rPr>
          <w:rFonts w:hint="eastAsia" w:ascii="Times New Roman" w:hAnsi="Times New Roman" w:eastAsia="宋体" w:cs="Times New Roman"/>
          <w:color w:val="auto"/>
          <w:szCs w:val="24"/>
          <w:highlight w:val="none"/>
        </w:rPr>
        <w:t>和</w:t>
      </w:r>
      <w:r>
        <w:rPr>
          <w:rFonts w:ascii="Times New Roman" w:hAnsi="Times New Roman" w:eastAsia="宋体" w:cs="Times New Roman"/>
          <w:color w:val="auto"/>
          <w:szCs w:val="24"/>
          <w:highlight w:val="none"/>
        </w:rPr>
        <w:t>监理人</w:t>
      </w:r>
      <w:r>
        <w:rPr>
          <w:rFonts w:hint="eastAsia" w:ascii="Times New Roman" w:hAnsi="Times New Roman" w:eastAsia="宋体" w:cs="Times New Roman"/>
          <w:color w:val="auto"/>
          <w:szCs w:val="24"/>
          <w:highlight w:val="none"/>
        </w:rPr>
        <w:t>各一份</w:t>
      </w:r>
      <w:r>
        <w:rPr>
          <w:rFonts w:hint="eastAsia" w:ascii="宋体" w:hAnsi="宋体" w:eastAsia="宋体" w:cs="Times New Roman"/>
          <w:color w:val="auto"/>
          <w:kern w:val="0"/>
          <w:szCs w:val="24"/>
          <w:highlight w:val="none"/>
        </w:rPr>
        <w:t>存档。</w:t>
      </w:r>
    </w:p>
    <w:p w14:paraId="21117ED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对分包合同承担连带责任。分包合同不解除本合同约定承包人的任何义务与责任，承包人在分包工程现场应派驻监督管理人员，保证分包合同的履行。分包人的任何违约或疏忽，均视为承包人违约或疏忽。</w:t>
      </w:r>
    </w:p>
    <w:p w14:paraId="21FDFAC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⑶分包工程价款由承包人与分包人结算。</w:t>
      </w:r>
      <w:bookmarkEnd w:id="918"/>
      <w:bookmarkStart w:id="919" w:name="_Toc34908983"/>
      <w:r>
        <w:rPr>
          <w:rFonts w:hint="eastAsia" w:ascii="宋体" w:hAnsi="宋体" w:eastAsia="宋体" w:cs="Times New Roman"/>
          <w:color w:val="auto"/>
          <w:kern w:val="0"/>
          <w:szCs w:val="24"/>
          <w:highlight w:val="none"/>
        </w:rPr>
        <w:t>除本合同另有约定或取得承包人的同意外，发包人不得以任何形式向分包人支付各种工程价款。</w:t>
      </w:r>
    </w:p>
    <w:p w14:paraId="217D73C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⑷承包人有义务向发包人提供其向分包人支付工程款项的证明。如承包人有拖欠分包人工程款项行为的，视为承包人违约，</w:t>
      </w:r>
      <w:r>
        <w:rPr>
          <w:rFonts w:hint="eastAsia" w:ascii="Times New Roman" w:hAnsi="宋体" w:eastAsia="宋体" w:cs="Times New Roman"/>
          <w:color w:val="auto"/>
          <w:szCs w:val="24"/>
          <w:highlight w:val="none"/>
        </w:rPr>
        <w:t>发包人有权直接向分包人支付承包人未支付的应得款项，</w:t>
      </w:r>
      <w:r>
        <w:rPr>
          <w:rFonts w:hint="eastAsia" w:ascii="宋体" w:hAnsi="宋体" w:eastAsia="宋体" w:cs="Times New Roman"/>
          <w:color w:val="auto"/>
          <w:kern w:val="0"/>
          <w:szCs w:val="24"/>
          <w:highlight w:val="none"/>
        </w:rPr>
        <w:t>并从承包人的应得工程款项中抵扣。</w:t>
      </w:r>
    </w:p>
    <w:bookmarkEnd w:id="919"/>
    <w:p w14:paraId="7305BA80">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920" w:name="_Toc8113"/>
      <w:bookmarkStart w:id="921" w:name="_Toc305331267"/>
      <w:bookmarkStart w:id="922" w:name="_Toc19159"/>
      <w:bookmarkStart w:id="923" w:name="_Toc18886"/>
      <w:bookmarkStart w:id="924" w:name="_Toc21448"/>
      <w:bookmarkStart w:id="925" w:name="_Toc15907"/>
      <w:bookmarkStart w:id="926" w:name="_Toc32098"/>
      <w:bookmarkStart w:id="927" w:name="_Toc9576"/>
      <w:bookmarkStart w:id="928" w:name="_Toc29755"/>
      <w:bookmarkStart w:id="929" w:name="_Toc302635741"/>
      <w:bookmarkStart w:id="930" w:name="_Toc6067"/>
      <w:r>
        <w:rPr>
          <w:rFonts w:hint="eastAsia" w:ascii="华文细黑" w:hAnsi="宋体" w:eastAsia="宋体" w:cs="Times New Roman"/>
          <w:b/>
          <w:bCs/>
          <w:snapToGrid w:val="0"/>
          <w:color w:val="auto"/>
          <w:kern w:val="0"/>
          <w:sz w:val="28"/>
          <w:szCs w:val="44"/>
          <w:highlight w:val="none"/>
          <w:lang w:val="en-US" w:eastAsia="zh-CN" w:bidi="ar-SA"/>
        </w:rPr>
        <w:t>专业工程发包</w:t>
      </w:r>
      <w:bookmarkEnd w:id="920"/>
      <w:bookmarkEnd w:id="921"/>
      <w:bookmarkEnd w:id="922"/>
      <w:bookmarkEnd w:id="923"/>
      <w:bookmarkEnd w:id="924"/>
      <w:bookmarkEnd w:id="925"/>
      <w:bookmarkEnd w:id="926"/>
      <w:bookmarkEnd w:id="927"/>
      <w:bookmarkEnd w:id="928"/>
      <w:bookmarkEnd w:id="929"/>
      <w:bookmarkEnd w:id="930"/>
    </w:p>
    <w:p w14:paraId="774C8C85">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31" w:name="_Toc17158"/>
      <w:bookmarkStart w:id="932" w:name="_Toc9958"/>
      <w:bookmarkStart w:id="933" w:name="_Toc305331268"/>
      <w:bookmarkStart w:id="934" w:name="_Toc29212"/>
      <w:bookmarkStart w:id="935" w:name="_Toc409"/>
      <w:bookmarkStart w:id="936" w:name="_Toc302635742"/>
      <w:bookmarkStart w:id="937" w:name="_Toc26600"/>
      <w:bookmarkStart w:id="938" w:name="_Toc12607"/>
      <w:bookmarkStart w:id="939" w:name="_Toc5043"/>
      <w:bookmarkStart w:id="940" w:name="_Toc30521"/>
      <w:bookmarkStart w:id="941" w:name="_Toc32139"/>
      <w:r>
        <w:rPr>
          <w:rFonts w:hint="eastAsia" w:ascii="宋体" w:hAnsi="宋体" w:eastAsia="宋体" w:cs="Times New Roman"/>
          <w:b/>
          <w:bCs/>
          <w:color w:val="auto"/>
          <w:kern w:val="0"/>
          <w:sz w:val="24"/>
          <w:szCs w:val="24"/>
          <w:highlight w:val="none"/>
          <w:lang w:val="en-US" w:eastAsia="zh-CN" w:bidi="ar-SA"/>
        </w:rPr>
        <w:t>专业工程承包人</w:t>
      </w:r>
      <w:bookmarkEnd w:id="931"/>
      <w:bookmarkEnd w:id="932"/>
      <w:bookmarkEnd w:id="933"/>
      <w:bookmarkEnd w:id="934"/>
      <w:bookmarkEnd w:id="935"/>
      <w:bookmarkEnd w:id="936"/>
      <w:bookmarkEnd w:id="937"/>
      <w:bookmarkEnd w:id="938"/>
      <w:bookmarkEnd w:id="939"/>
      <w:bookmarkEnd w:id="940"/>
      <w:bookmarkEnd w:id="941"/>
    </w:p>
    <w:p w14:paraId="2880144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⑴发包人可将本工程中承包人承包范围以外的专业工程，按照有关法律、法规的规定另行组织招标确定专业工程承包人，并在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中明确另行发包的专业工程以及专业工程承包人。</w:t>
      </w:r>
    </w:p>
    <w:p w14:paraId="0B869A0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专业工程施工合同由发包人与专业工程承包人签订。发包人应保障承包人免于承担应由专业工程承包人承担的责任和义务，任何由于专业工程承包人未履行上述责任和义务，或由于专业工程承包人的过失而造成的任何损失，承包人免于承担。</w:t>
      </w:r>
    </w:p>
    <w:p w14:paraId="7A9A7AD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⑶专业工程承包人应接受承包人的统一协调管理，施工中协作配合。</w:t>
      </w:r>
    </w:p>
    <w:p w14:paraId="14836B95">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942" w:name="_Toc15322"/>
      <w:bookmarkStart w:id="943" w:name="_Toc32002"/>
      <w:bookmarkStart w:id="944" w:name="_Toc3159"/>
      <w:bookmarkStart w:id="945" w:name="_Toc11026"/>
      <w:bookmarkStart w:id="946" w:name="_Toc3532"/>
      <w:bookmarkStart w:id="947" w:name="_Toc11447"/>
      <w:bookmarkStart w:id="948" w:name="_Toc15410"/>
      <w:bookmarkStart w:id="949" w:name="_Toc30368"/>
      <w:bookmarkStart w:id="950" w:name="_Toc78"/>
      <w:bookmarkStart w:id="951" w:name="_Toc305331269"/>
      <w:bookmarkStart w:id="952" w:name="_Toc302635743"/>
      <w:r>
        <w:rPr>
          <w:rFonts w:ascii="宋体" w:hAnsi="宋体" w:eastAsia="宋体" w:cs="Times New Roman"/>
          <w:b/>
          <w:bCs/>
          <w:color w:val="auto"/>
          <w:kern w:val="0"/>
          <w:sz w:val="24"/>
          <w:szCs w:val="24"/>
          <w:highlight w:val="none"/>
          <w:lang w:val="en-US" w:eastAsia="zh-CN" w:bidi="ar-SA"/>
        </w:rPr>
        <w:t>总承包服务费</w:t>
      </w:r>
      <w:bookmarkEnd w:id="942"/>
      <w:bookmarkEnd w:id="943"/>
      <w:bookmarkEnd w:id="944"/>
      <w:bookmarkEnd w:id="945"/>
      <w:bookmarkEnd w:id="946"/>
      <w:bookmarkEnd w:id="947"/>
      <w:bookmarkEnd w:id="948"/>
      <w:bookmarkEnd w:id="949"/>
      <w:bookmarkEnd w:id="950"/>
    </w:p>
    <w:p w14:paraId="4B2ECAB8">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总承包服务费是承包人为配合协调发包人进行的专业工程发包、对发包人自行采购的材料与设备等进行保管以及施工现场管理、竣工资料汇总整理等服务所需的费用。包括总包管理服务费和发包人供应材料（设备）保管费</w:t>
      </w:r>
      <w:r>
        <w:rPr>
          <w:rFonts w:hint="eastAsia" w:ascii="宋体" w:hAnsi="宋体" w:eastAsia="宋体" w:cs="Times New Roman"/>
          <w:color w:val="auto"/>
          <w:kern w:val="0"/>
          <w:szCs w:val="24"/>
          <w:highlight w:val="none"/>
        </w:rPr>
        <w:t>，其对应的工作内容可在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中详细约定</w:t>
      </w:r>
      <w:r>
        <w:rPr>
          <w:rFonts w:ascii="宋体" w:hAnsi="宋体" w:eastAsia="宋体" w:cs="Times New Roman"/>
          <w:color w:val="auto"/>
          <w:kern w:val="0"/>
          <w:szCs w:val="24"/>
          <w:highlight w:val="none"/>
        </w:rPr>
        <w:t>。</w:t>
      </w:r>
    </w:p>
    <w:p w14:paraId="24DA257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发包人自行发包的专业工程需要使用承包人设施或其提供的服务，其费用已包含在总包工程费用或该分包工程费用中，可由</w:t>
      </w:r>
      <w:r>
        <w:rPr>
          <w:rFonts w:hint="eastAsia" w:ascii="宋体" w:hAnsi="宋体" w:eastAsia="宋体" w:cs="Times New Roman"/>
          <w:color w:val="auto"/>
          <w:kern w:val="0"/>
          <w:szCs w:val="24"/>
          <w:highlight w:val="none"/>
        </w:rPr>
        <w:t>专业工程承包人和承包人</w:t>
      </w:r>
      <w:r>
        <w:rPr>
          <w:rFonts w:ascii="宋体" w:hAnsi="宋体" w:eastAsia="宋体" w:cs="Times New Roman"/>
          <w:color w:val="auto"/>
          <w:kern w:val="0"/>
          <w:szCs w:val="24"/>
          <w:highlight w:val="none"/>
        </w:rPr>
        <w:t>根据该设施或服务情况协商支付，不得向发包人另行索要。</w:t>
      </w:r>
    </w:p>
    <w:bookmarkEnd w:id="951"/>
    <w:bookmarkEnd w:id="952"/>
    <w:p w14:paraId="78A99565">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53" w:name="_Toc2201"/>
      <w:bookmarkStart w:id="954" w:name="_Toc29879"/>
      <w:bookmarkStart w:id="955" w:name="_Toc15061"/>
      <w:bookmarkStart w:id="956" w:name="_Toc2005"/>
      <w:bookmarkStart w:id="957" w:name="_Toc20033"/>
      <w:bookmarkStart w:id="958" w:name="_Toc23834"/>
      <w:bookmarkStart w:id="959" w:name="_Toc305331271"/>
      <w:bookmarkStart w:id="960" w:name="_Toc32514"/>
      <w:bookmarkStart w:id="961" w:name="_Toc1053"/>
      <w:bookmarkStart w:id="962" w:name="_Toc302635745"/>
      <w:bookmarkStart w:id="963" w:name="_Toc12061"/>
      <w:r>
        <w:rPr>
          <w:rFonts w:hint="eastAsia" w:ascii="宋体" w:hAnsi="宋体" w:eastAsia="宋体" w:cs="Times New Roman"/>
          <w:b/>
          <w:bCs/>
          <w:color w:val="auto"/>
          <w:kern w:val="0"/>
          <w:sz w:val="24"/>
          <w:szCs w:val="24"/>
          <w:highlight w:val="none"/>
          <w:lang w:val="en-US" w:eastAsia="zh-CN" w:bidi="ar-SA"/>
        </w:rPr>
        <w:t>工作界面协调</w:t>
      </w:r>
      <w:bookmarkEnd w:id="953"/>
      <w:bookmarkEnd w:id="954"/>
      <w:bookmarkEnd w:id="955"/>
      <w:bookmarkEnd w:id="956"/>
      <w:bookmarkEnd w:id="957"/>
      <w:bookmarkEnd w:id="958"/>
      <w:bookmarkEnd w:id="959"/>
      <w:bookmarkEnd w:id="960"/>
      <w:bookmarkEnd w:id="961"/>
      <w:bookmarkEnd w:id="962"/>
      <w:bookmarkEnd w:id="963"/>
    </w:p>
    <w:p w14:paraId="05AB464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w:t>
      </w:r>
      <w:r>
        <w:rPr>
          <w:rFonts w:ascii="宋体" w:hAnsi="宋体" w:eastAsia="宋体" w:cs="Times New Roman"/>
          <w:color w:val="auto"/>
          <w:kern w:val="0"/>
          <w:szCs w:val="24"/>
          <w:highlight w:val="none"/>
        </w:rPr>
        <w:t>做好</w:t>
      </w:r>
      <w:r>
        <w:rPr>
          <w:rFonts w:hint="eastAsia" w:ascii="宋体" w:hAnsi="宋体" w:eastAsia="宋体" w:cs="Times New Roman"/>
          <w:color w:val="auto"/>
          <w:kern w:val="0"/>
          <w:szCs w:val="24"/>
          <w:highlight w:val="none"/>
        </w:rPr>
        <w:t>与本工程相关</w:t>
      </w:r>
      <w:r>
        <w:rPr>
          <w:rFonts w:ascii="宋体" w:hAnsi="宋体" w:eastAsia="宋体" w:cs="Times New Roman"/>
          <w:color w:val="auto"/>
          <w:kern w:val="0"/>
          <w:szCs w:val="24"/>
          <w:highlight w:val="none"/>
        </w:rPr>
        <w:t>各专业</w:t>
      </w:r>
      <w:r>
        <w:rPr>
          <w:rFonts w:hint="eastAsia" w:ascii="宋体" w:hAnsi="宋体" w:eastAsia="宋体" w:cs="Times New Roman"/>
          <w:color w:val="auto"/>
          <w:kern w:val="0"/>
          <w:szCs w:val="24"/>
          <w:highlight w:val="none"/>
        </w:rPr>
        <w:t>工作</w:t>
      </w:r>
      <w:r>
        <w:rPr>
          <w:rFonts w:ascii="宋体" w:hAnsi="宋体" w:eastAsia="宋体" w:cs="Times New Roman"/>
          <w:color w:val="auto"/>
          <w:kern w:val="0"/>
          <w:szCs w:val="24"/>
          <w:highlight w:val="none"/>
        </w:rPr>
        <w:t>界面的</w:t>
      </w:r>
      <w:r>
        <w:rPr>
          <w:rFonts w:hint="eastAsia" w:ascii="宋体" w:hAnsi="宋体" w:eastAsia="宋体" w:cs="Times New Roman"/>
          <w:color w:val="auto"/>
          <w:kern w:val="0"/>
          <w:szCs w:val="24"/>
          <w:highlight w:val="none"/>
        </w:rPr>
        <w:t>协调工作。</w:t>
      </w:r>
      <w:r>
        <w:rPr>
          <w:rFonts w:ascii="宋体" w:hAnsi="宋体" w:eastAsia="宋体" w:cs="Times New Roman"/>
          <w:color w:val="auto"/>
          <w:kern w:val="0"/>
          <w:szCs w:val="24"/>
          <w:highlight w:val="none"/>
        </w:rPr>
        <w:t>本工程施工期间，承包人</w:t>
      </w:r>
      <w:r>
        <w:rPr>
          <w:rFonts w:hint="eastAsia" w:ascii="宋体" w:hAnsi="宋体" w:eastAsia="宋体" w:cs="Times New Roman"/>
          <w:color w:val="auto"/>
          <w:kern w:val="0"/>
          <w:szCs w:val="24"/>
          <w:highlight w:val="none"/>
        </w:rPr>
        <w:t>应</w:t>
      </w:r>
      <w:r>
        <w:rPr>
          <w:rFonts w:ascii="宋体" w:hAnsi="宋体" w:eastAsia="宋体" w:cs="Times New Roman"/>
          <w:color w:val="auto"/>
          <w:kern w:val="0"/>
          <w:szCs w:val="24"/>
          <w:highlight w:val="none"/>
        </w:rPr>
        <w:t>无条件服从发包人及</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的统一协调指令</w:t>
      </w:r>
      <w:r>
        <w:rPr>
          <w:rFonts w:hint="eastAsia" w:ascii="宋体" w:hAnsi="宋体" w:eastAsia="宋体" w:cs="Times New Roman"/>
          <w:color w:val="auto"/>
          <w:kern w:val="0"/>
          <w:szCs w:val="24"/>
          <w:highlight w:val="none"/>
        </w:rPr>
        <w:t>，并指定</w:t>
      </w:r>
      <w:r>
        <w:rPr>
          <w:rFonts w:ascii="宋体" w:hAnsi="宋体" w:eastAsia="宋体" w:cs="Times New Roman"/>
          <w:color w:val="auto"/>
          <w:kern w:val="0"/>
          <w:szCs w:val="24"/>
          <w:highlight w:val="none"/>
        </w:rPr>
        <w:t>专人负责接口协调工作，确保发包人及</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指令的及时实施。</w:t>
      </w:r>
    </w:p>
    <w:p w14:paraId="0ABD1AC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承包人在编制施工组织设计时，应根据设计文件</w:t>
      </w:r>
      <w:r>
        <w:rPr>
          <w:rFonts w:hint="eastAsia" w:ascii="宋体" w:hAnsi="宋体" w:eastAsia="宋体" w:cs="Times New Roman"/>
          <w:color w:val="auto"/>
          <w:kern w:val="0"/>
          <w:szCs w:val="24"/>
          <w:highlight w:val="none"/>
        </w:rPr>
        <w:t>和</w:t>
      </w:r>
      <w:r>
        <w:rPr>
          <w:rFonts w:ascii="宋体" w:hAnsi="宋体" w:eastAsia="宋体" w:cs="Times New Roman"/>
          <w:color w:val="auto"/>
          <w:kern w:val="0"/>
          <w:szCs w:val="24"/>
          <w:highlight w:val="none"/>
        </w:rPr>
        <w:t>现场调查资料，充分考虑施工接口的部位及内容，制定可能引起接口部位安全质量问题的预防措施；及时向</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提交本工程需其它专业工程提供接口的细目清单，交由</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统一协调；或接受</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的接口指令，及时实施接口指令作业。</w:t>
      </w:r>
    </w:p>
    <w:p w14:paraId="69B2812E">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承包人与其它工程之间</w:t>
      </w:r>
      <w:r>
        <w:rPr>
          <w:rFonts w:hint="eastAsia" w:ascii="宋体" w:hAnsi="宋体" w:eastAsia="宋体" w:cs="Times New Roman"/>
          <w:color w:val="auto"/>
          <w:kern w:val="0"/>
          <w:szCs w:val="24"/>
          <w:highlight w:val="none"/>
        </w:rPr>
        <w:t>应当就</w:t>
      </w:r>
      <w:r>
        <w:rPr>
          <w:rFonts w:ascii="宋体" w:hAnsi="宋体" w:eastAsia="宋体" w:cs="Times New Roman"/>
          <w:color w:val="auto"/>
          <w:kern w:val="0"/>
          <w:szCs w:val="24"/>
          <w:highlight w:val="none"/>
        </w:rPr>
        <w:t>施工接</w:t>
      </w:r>
      <w:r>
        <w:rPr>
          <w:rFonts w:hint="eastAsia" w:ascii="宋体" w:hAnsi="宋体" w:eastAsia="宋体" w:cs="Times New Roman"/>
          <w:color w:val="auto"/>
          <w:kern w:val="0"/>
          <w:szCs w:val="24"/>
          <w:highlight w:val="none"/>
        </w:rPr>
        <w:t>口</w:t>
      </w:r>
      <w:r>
        <w:rPr>
          <w:rFonts w:ascii="宋体" w:hAnsi="宋体" w:eastAsia="宋体" w:cs="Times New Roman"/>
          <w:color w:val="auto"/>
          <w:kern w:val="0"/>
          <w:szCs w:val="24"/>
          <w:highlight w:val="none"/>
        </w:rPr>
        <w:t>、测量控制网点</w:t>
      </w:r>
      <w:r>
        <w:rPr>
          <w:rFonts w:hint="eastAsia" w:ascii="宋体" w:hAnsi="宋体" w:eastAsia="宋体" w:cs="Times New Roman"/>
          <w:color w:val="auto"/>
          <w:kern w:val="0"/>
          <w:szCs w:val="24"/>
          <w:highlight w:val="none"/>
        </w:rPr>
        <w:t>、预埋件(预留孔洞)位置和尺寸等资料及时互通信息，中线控制桩点应贯通测定，水准点应相互闭合，以确保施工顺利进行，避免工程质量事故的发生。</w:t>
      </w:r>
    </w:p>
    <w:p w14:paraId="1D2E4D3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由于承包人未能及时对工程接口问题进行协调或未及时实施</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接口指令而造成工程延误、返工或其它损失，所有损失和费用由承包人</w:t>
      </w:r>
      <w:r>
        <w:rPr>
          <w:rFonts w:hint="eastAsia" w:ascii="宋体" w:hAnsi="宋体" w:eastAsia="宋体" w:cs="Times New Roman"/>
          <w:color w:val="auto"/>
          <w:kern w:val="0"/>
          <w:szCs w:val="24"/>
          <w:highlight w:val="none"/>
        </w:rPr>
        <w:t>承</w:t>
      </w:r>
      <w:r>
        <w:rPr>
          <w:rFonts w:ascii="宋体" w:hAnsi="宋体" w:eastAsia="宋体" w:cs="Times New Roman"/>
          <w:color w:val="auto"/>
          <w:kern w:val="0"/>
          <w:szCs w:val="24"/>
          <w:highlight w:val="none"/>
        </w:rPr>
        <w:t>担。发包人或监理人均有权根据实际情况，</w:t>
      </w:r>
      <w:r>
        <w:rPr>
          <w:rFonts w:hint="eastAsia" w:ascii="宋体" w:hAnsi="宋体" w:eastAsia="宋体" w:cs="Times New Roman"/>
          <w:color w:val="auto"/>
          <w:kern w:val="0"/>
          <w:szCs w:val="24"/>
          <w:highlight w:val="none"/>
        </w:rPr>
        <w:t>要求</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支付</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约定的违约金</w:t>
      </w:r>
      <w:r>
        <w:rPr>
          <w:rFonts w:ascii="宋体" w:hAnsi="宋体" w:eastAsia="宋体" w:cs="Times New Roman"/>
          <w:color w:val="auto"/>
          <w:kern w:val="0"/>
          <w:szCs w:val="24"/>
          <w:highlight w:val="none"/>
        </w:rPr>
        <w:t>，包括并不限于采取扣付工程款等方式。</w:t>
      </w:r>
    </w:p>
    <w:p w14:paraId="03EE4A07">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964" w:name="_Toc8226"/>
      <w:bookmarkStart w:id="965" w:name="_Toc30975"/>
      <w:bookmarkStart w:id="966" w:name="_Toc24279"/>
      <w:bookmarkStart w:id="967" w:name="_Toc17894"/>
      <w:bookmarkStart w:id="968" w:name="_Toc8448"/>
      <w:bookmarkStart w:id="969" w:name="_Toc12967"/>
      <w:bookmarkStart w:id="970" w:name="_Toc305331272"/>
      <w:bookmarkStart w:id="971" w:name="_Toc23505"/>
      <w:bookmarkStart w:id="972" w:name="_Toc4245"/>
      <w:bookmarkStart w:id="973" w:name="_Toc302635746"/>
      <w:bookmarkStart w:id="974" w:name="_Toc31732"/>
      <w:r>
        <w:rPr>
          <w:rFonts w:hint="eastAsia" w:ascii="华文细黑" w:hAnsi="宋体" w:eastAsia="宋体" w:cs="Times New Roman"/>
          <w:b/>
          <w:bCs/>
          <w:snapToGrid w:val="0"/>
          <w:color w:val="auto"/>
          <w:kern w:val="0"/>
          <w:sz w:val="28"/>
          <w:szCs w:val="44"/>
          <w:highlight w:val="none"/>
          <w:lang w:val="en-US" w:eastAsia="zh-CN" w:bidi="ar-SA"/>
        </w:rPr>
        <w:t>用工和劳务</w:t>
      </w:r>
      <w:bookmarkEnd w:id="964"/>
      <w:bookmarkEnd w:id="965"/>
      <w:bookmarkEnd w:id="966"/>
      <w:bookmarkEnd w:id="967"/>
      <w:bookmarkEnd w:id="968"/>
      <w:bookmarkEnd w:id="969"/>
      <w:bookmarkEnd w:id="970"/>
      <w:bookmarkEnd w:id="971"/>
      <w:bookmarkEnd w:id="972"/>
      <w:bookmarkEnd w:id="973"/>
      <w:bookmarkEnd w:id="974"/>
    </w:p>
    <w:p w14:paraId="28358AB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75" w:name="_Toc302635747"/>
      <w:bookmarkStart w:id="976" w:name="_Toc1652"/>
      <w:bookmarkStart w:id="977" w:name="_Toc305331273"/>
      <w:bookmarkStart w:id="978" w:name="_Toc13886"/>
      <w:bookmarkStart w:id="979" w:name="_Toc28236"/>
      <w:bookmarkStart w:id="980" w:name="_Toc10834"/>
      <w:bookmarkStart w:id="981" w:name="_Toc929"/>
      <w:bookmarkStart w:id="982" w:name="_Toc5322"/>
      <w:bookmarkStart w:id="983" w:name="_Toc31747"/>
      <w:bookmarkStart w:id="984" w:name="_Toc18004"/>
      <w:bookmarkStart w:id="985" w:name="_Toc13412"/>
      <w:r>
        <w:rPr>
          <w:rFonts w:hint="eastAsia" w:ascii="宋体" w:hAnsi="宋体" w:eastAsia="宋体" w:cs="Times New Roman"/>
          <w:b/>
          <w:bCs/>
          <w:color w:val="auto"/>
          <w:kern w:val="0"/>
          <w:sz w:val="24"/>
          <w:szCs w:val="24"/>
          <w:highlight w:val="none"/>
          <w:lang w:val="en-US" w:eastAsia="zh-CN" w:bidi="ar-SA"/>
        </w:rPr>
        <w:t>劳动合同</w:t>
      </w:r>
      <w:bookmarkEnd w:id="975"/>
      <w:bookmarkEnd w:id="976"/>
      <w:bookmarkEnd w:id="977"/>
      <w:bookmarkEnd w:id="978"/>
      <w:bookmarkEnd w:id="979"/>
      <w:bookmarkEnd w:id="980"/>
      <w:bookmarkEnd w:id="981"/>
      <w:bookmarkEnd w:id="982"/>
      <w:bookmarkEnd w:id="983"/>
      <w:bookmarkEnd w:id="984"/>
      <w:bookmarkEnd w:id="985"/>
    </w:p>
    <w:p w14:paraId="16F6093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⑴除合同另有规定外，承包人应自行聘(雇)用工人。承包人不得从为发包人或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服务的人员中招雇任何人员。</w:t>
      </w:r>
    </w:p>
    <w:p w14:paraId="6FC4945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⑵承包人应按照劳动法和劳动合同法的相关规定与聘(雇)用工人签订劳动合同，缴纳社会保险，按国家规定提供劳动保护，明确劳动报酬等内容，及时足额支付工资等劳动报酬。</w:t>
      </w:r>
    </w:p>
    <w:p w14:paraId="4C94F68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发现有未签订劳动合同的工人在现场施工，则视为承包人违约，并承担</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约定的违约责任。</w:t>
      </w:r>
    </w:p>
    <w:p w14:paraId="5E08C1FB">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86" w:name="_Toc17177"/>
      <w:bookmarkStart w:id="987" w:name="_Toc9930"/>
      <w:bookmarkStart w:id="988" w:name="_Toc26337"/>
      <w:bookmarkStart w:id="989" w:name="_Toc18645"/>
      <w:bookmarkStart w:id="990" w:name="_Toc22430"/>
      <w:bookmarkStart w:id="991" w:name="_Toc9667"/>
      <w:bookmarkStart w:id="992" w:name="_Toc302635748"/>
      <w:bookmarkStart w:id="993" w:name="_Toc31125"/>
      <w:bookmarkStart w:id="994" w:name="_Toc8428"/>
      <w:bookmarkStart w:id="995" w:name="_Toc9775"/>
      <w:bookmarkStart w:id="996" w:name="_Toc305331274"/>
      <w:r>
        <w:rPr>
          <w:rFonts w:hint="eastAsia" w:ascii="宋体" w:hAnsi="宋体" w:eastAsia="宋体" w:cs="Times New Roman"/>
          <w:b/>
          <w:bCs/>
          <w:color w:val="auto"/>
          <w:kern w:val="0"/>
          <w:sz w:val="24"/>
          <w:szCs w:val="24"/>
          <w:highlight w:val="none"/>
          <w:lang w:val="en-US" w:eastAsia="zh-CN" w:bidi="ar-SA"/>
        </w:rPr>
        <w:t>劳务分包</w:t>
      </w:r>
      <w:bookmarkEnd w:id="986"/>
      <w:bookmarkEnd w:id="987"/>
      <w:bookmarkEnd w:id="988"/>
      <w:bookmarkEnd w:id="989"/>
      <w:bookmarkEnd w:id="990"/>
      <w:bookmarkEnd w:id="991"/>
      <w:bookmarkEnd w:id="992"/>
      <w:bookmarkEnd w:id="993"/>
      <w:bookmarkEnd w:id="994"/>
      <w:bookmarkEnd w:id="995"/>
      <w:bookmarkEnd w:id="996"/>
    </w:p>
    <w:p w14:paraId="0FCE84A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⑴承包人实施劳务分包的，应将劳务发包给具有相应劳务资质的劳务企业，与劳务分包企业设立工人工资支付专用账户，并按照劳务分包合同约定及时足额向劳务企业支付劳务费用。</w:t>
      </w:r>
    </w:p>
    <w:p w14:paraId="5B4398F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⑵承包人应在劳务分包合同中要求劳务分包企业对所有派遣工人购买意外伤害险和工伤保险，保险金额不得低于</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额度。保险单复印件应提供一份给发包人备案，承包人未对劳务分包企业提出此要求或虽然提出此要求但劳务企业未购买此保险的，承包人应完善相关购买手续，否则承包人与劳务分包企业向受伤害工人承担连带赔偿责任。</w:t>
      </w:r>
    </w:p>
    <w:p w14:paraId="53145980">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97" w:name="_Toc12637"/>
      <w:bookmarkStart w:id="998" w:name="_Toc6789"/>
      <w:bookmarkStart w:id="999" w:name="_Toc20764"/>
      <w:bookmarkStart w:id="1000" w:name="_Toc14699"/>
      <w:bookmarkStart w:id="1001" w:name="_Toc305331275"/>
      <w:bookmarkStart w:id="1002" w:name="_Toc7487"/>
      <w:bookmarkStart w:id="1003" w:name="_Toc302635749"/>
      <w:bookmarkStart w:id="1004" w:name="_Toc16927"/>
      <w:bookmarkStart w:id="1005" w:name="_Toc4536"/>
      <w:bookmarkStart w:id="1006" w:name="_Toc24758"/>
      <w:bookmarkStart w:id="1007" w:name="_Toc26786"/>
      <w:r>
        <w:rPr>
          <w:rFonts w:hint="eastAsia" w:ascii="宋体" w:hAnsi="宋体" w:eastAsia="宋体" w:cs="Times New Roman"/>
          <w:b/>
          <w:bCs/>
          <w:color w:val="auto"/>
          <w:kern w:val="0"/>
          <w:sz w:val="24"/>
          <w:szCs w:val="24"/>
          <w:highlight w:val="none"/>
          <w:lang w:val="en-US" w:eastAsia="zh-CN" w:bidi="ar-SA"/>
        </w:rPr>
        <w:t>劳务分包合同</w:t>
      </w:r>
      <w:bookmarkEnd w:id="997"/>
      <w:bookmarkEnd w:id="998"/>
      <w:bookmarkEnd w:id="999"/>
      <w:bookmarkEnd w:id="1000"/>
      <w:bookmarkEnd w:id="1001"/>
      <w:bookmarkEnd w:id="1002"/>
      <w:bookmarkEnd w:id="1003"/>
      <w:bookmarkEnd w:id="1004"/>
      <w:bookmarkEnd w:id="1005"/>
      <w:bookmarkEnd w:id="1006"/>
      <w:bookmarkEnd w:id="1007"/>
    </w:p>
    <w:p w14:paraId="71187E3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⑴选择劳务分包企业时，承包人有义务依据</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的要求向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提供拟选劳务分包企业的一切资料，经发包人和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批准后作为劳务分包企业。</w:t>
      </w:r>
    </w:p>
    <w:p w14:paraId="1F52A28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⑵承包人与劳务分包企业签订劳务分包合同后7天内，应将劳务分包合同送发包人</w:t>
      </w:r>
      <w:r>
        <w:rPr>
          <w:rFonts w:hint="eastAsia" w:ascii="Times New Roman" w:hAnsi="Times New Roman" w:eastAsia="宋体" w:cs="Times New Roman"/>
          <w:color w:val="auto"/>
          <w:szCs w:val="24"/>
          <w:highlight w:val="none"/>
        </w:rPr>
        <w:t>和</w:t>
      </w:r>
      <w:r>
        <w:rPr>
          <w:rFonts w:ascii="Times New Roman" w:hAnsi="Times New Roman" w:eastAsia="宋体" w:cs="Times New Roman"/>
          <w:color w:val="auto"/>
          <w:szCs w:val="24"/>
          <w:highlight w:val="none"/>
        </w:rPr>
        <w:t>监理人</w:t>
      </w:r>
      <w:r>
        <w:rPr>
          <w:rFonts w:hint="eastAsia" w:ascii="Times New Roman" w:hAnsi="Times New Roman" w:eastAsia="宋体" w:cs="Times New Roman"/>
          <w:color w:val="auto"/>
          <w:szCs w:val="24"/>
          <w:highlight w:val="none"/>
        </w:rPr>
        <w:t>各一份</w:t>
      </w:r>
      <w:r>
        <w:rPr>
          <w:rFonts w:hint="eastAsia" w:ascii="宋体" w:hAnsi="宋体" w:eastAsia="宋体" w:cs="Times New Roman"/>
          <w:color w:val="auto"/>
          <w:kern w:val="0"/>
          <w:szCs w:val="24"/>
          <w:highlight w:val="none"/>
        </w:rPr>
        <w:t>存档。</w:t>
      </w:r>
    </w:p>
    <w:p w14:paraId="6D8B6D8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发现工地上有未签订劳务分包合同的劳务企业人员在现场施工，则视为承包人违约，并承担</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约定的违约责任。</w:t>
      </w:r>
    </w:p>
    <w:p w14:paraId="75B854FF">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008" w:name="_Toc28461"/>
      <w:bookmarkStart w:id="1009" w:name="_Toc23092"/>
      <w:bookmarkStart w:id="1010" w:name="_Toc6794"/>
      <w:bookmarkStart w:id="1011" w:name="_Toc3740"/>
      <w:bookmarkStart w:id="1012" w:name="_Toc23726"/>
      <w:bookmarkStart w:id="1013" w:name="_Toc305331276"/>
      <w:bookmarkStart w:id="1014" w:name="_Toc13040"/>
      <w:bookmarkStart w:id="1015" w:name="_Toc10155"/>
      <w:bookmarkStart w:id="1016" w:name="_Toc27641"/>
      <w:bookmarkStart w:id="1017" w:name="_Toc149"/>
      <w:bookmarkStart w:id="1018" w:name="_Toc302635750"/>
      <w:r>
        <w:rPr>
          <w:rFonts w:hint="eastAsia" w:ascii="宋体" w:hAnsi="宋体" w:eastAsia="宋体" w:cs="Times New Roman"/>
          <w:b/>
          <w:bCs/>
          <w:color w:val="auto"/>
          <w:kern w:val="0"/>
          <w:sz w:val="24"/>
          <w:szCs w:val="24"/>
          <w:highlight w:val="none"/>
          <w:lang w:val="en-US" w:eastAsia="zh-CN" w:bidi="ar-SA"/>
        </w:rPr>
        <w:t>工人工资</w:t>
      </w:r>
      <w:bookmarkEnd w:id="1008"/>
      <w:bookmarkEnd w:id="1009"/>
      <w:bookmarkEnd w:id="1010"/>
      <w:bookmarkEnd w:id="1011"/>
      <w:bookmarkEnd w:id="1012"/>
      <w:bookmarkEnd w:id="1013"/>
      <w:bookmarkEnd w:id="1014"/>
      <w:bookmarkEnd w:id="1015"/>
      <w:bookmarkEnd w:id="1016"/>
      <w:bookmarkEnd w:id="1017"/>
      <w:bookmarkEnd w:id="1018"/>
    </w:p>
    <w:p w14:paraId="0969C83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⑴承包人应按照有关规定开设工人工资专用账户，专项用于发放本工程工人工资。开设、使用工人工资专用账户有关资料应由承包人妥善保存备查。</w:t>
      </w:r>
    </w:p>
    <w:p w14:paraId="72DB144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⑵发包人应及时足额地将合同约定的工人工资支付款项支付到工人工资专用账户，并加强对承包人按时足额发放工人工资的监督。</w:t>
      </w:r>
    </w:p>
    <w:p w14:paraId="33E3B23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必须严格按照国家、省、市等有关规定发放工资、劳务费。对发包人支付的工程款，承包人须优先保障工人工资和劳务分包企业的劳务费的发放。对发包人支付到工人工资专用账户的款项，承包人应及时足额发放，不得拖欠或克扣。</w:t>
      </w:r>
    </w:p>
    <w:p w14:paraId="313A0DA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⑷承包人拖欠工人工资或劳务分包企业劳务费用的，经被拖欠人催付，承包人仍不予支付的，被拖欠人可以向发包人请求代为支付，经发包人和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核查情况属实的，视为承包人违约，发包人有权</w:t>
      </w:r>
      <w:r>
        <w:rPr>
          <w:rFonts w:ascii="宋体" w:hAnsi="宋体" w:eastAsia="宋体" w:cs="Times New Roman"/>
          <w:color w:val="auto"/>
          <w:szCs w:val="24"/>
          <w:highlight w:val="none"/>
        </w:rPr>
        <w:t>从承包人的工程款</w:t>
      </w:r>
      <w:r>
        <w:rPr>
          <w:rFonts w:hint="eastAsia" w:ascii="宋体" w:hAnsi="宋体" w:eastAsia="宋体" w:cs="Times New Roman"/>
          <w:color w:val="auto"/>
          <w:szCs w:val="24"/>
          <w:highlight w:val="none"/>
        </w:rPr>
        <w:t>(</w:t>
      </w:r>
      <w:r>
        <w:rPr>
          <w:rFonts w:ascii="宋体" w:hAnsi="宋体" w:eastAsia="宋体" w:cs="Times New Roman"/>
          <w:color w:val="auto"/>
          <w:szCs w:val="24"/>
          <w:highlight w:val="none"/>
        </w:rPr>
        <w:t>或预付款、保证金等</w:t>
      </w:r>
      <w:r>
        <w:rPr>
          <w:rFonts w:hint="eastAsia" w:ascii="宋体" w:hAnsi="宋体" w:eastAsia="宋体" w:cs="Times New Roman"/>
          <w:color w:val="auto"/>
          <w:szCs w:val="24"/>
          <w:highlight w:val="none"/>
        </w:rPr>
        <w:t>)</w:t>
      </w:r>
      <w:r>
        <w:rPr>
          <w:rFonts w:ascii="宋体" w:hAnsi="宋体" w:eastAsia="宋体" w:cs="Times New Roman"/>
          <w:color w:val="auto"/>
          <w:szCs w:val="24"/>
          <w:highlight w:val="none"/>
        </w:rPr>
        <w:t>中扣付</w:t>
      </w:r>
      <w:r>
        <w:rPr>
          <w:rFonts w:hint="eastAsia" w:ascii="宋体" w:hAnsi="宋体" w:eastAsia="宋体" w:cs="Times New Roman"/>
          <w:color w:val="auto"/>
          <w:szCs w:val="24"/>
          <w:highlight w:val="none"/>
        </w:rPr>
        <w:t>拖欠的</w:t>
      </w:r>
      <w:r>
        <w:rPr>
          <w:rFonts w:ascii="宋体" w:hAnsi="宋体" w:eastAsia="宋体" w:cs="Times New Roman"/>
          <w:color w:val="auto"/>
          <w:szCs w:val="24"/>
          <w:highlight w:val="none"/>
        </w:rPr>
        <w:t>工人工资</w:t>
      </w:r>
      <w:r>
        <w:rPr>
          <w:rFonts w:hint="eastAsia" w:ascii="宋体" w:hAnsi="宋体" w:eastAsia="宋体" w:cs="Times New Roman"/>
          <w:color w:val="auto"/>
          <w:szCs w:val="24"/>
          <w:highlight w:val="none"/>
        </w:rPr>
        <w:t>或劳务费</w:t>
      </w:r>
      <w:r>
        <w:rPr>
          <w:rFonts w:hint="eastAsia" w:ascii="宋体" w:hAnsi="宋体" w:eastAsia="宋体" w:cs="Times New Roman"/>
          <w:color w:val="auto"/>
          <w:kern w:val="0"/>
          <w:szCs w:val="24"/>
          <w:highlight w:val="none"/>
        </w:rPr>
        <w:t>。</w:t>
      </w:r>
    </w:p>
    <w:p w14:paraId="5483B9E0">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19" w:name="_Toc2253"/>
      <w:bookmarkStart w:id="1020" w:name="_Toc30350"/>
      <w:bookmarkStart w:id="1021" w:name="_Toc24228"/>
      <w:bookmarkStart w:id="1022" w:name="_Toc19698"/>
      <w:bookmarkStart w:id="1023" w:name="_Toc302635818"/>
      <w:bookmarkStart w:id="1024" w:name="_Toc8852"/>
      <w:bookmarkStart w:id="1025" w:name="_Toc14759"/>
      <w:bookmarkStart w:id="1026" w:name="_Toc25062"/>
      <w:bookmarkStart w:id="1027" w:name="_Toc11888"/>
      <w:bookmarkStart w:id="1028" w:name="_Toc3865"/>
      <w:r>
        <w:rPr>
          <w:rFonts w:hint="eastAsia" w:ascii="宋体" w:hAnsi="宋体" w:eastAsia="宋体" w:cs="Times New Roman"/>
          <w:b/>
          <w:bCs/>
          <w:color w:val="auto"/>
          <w:kern w:val="0"/>
          <w:sz w:val="24"/>
          <w:szCs w:val="24"/>
          <w:highlight w:val="none"/>
          <w:lang w:val="en-US" w:eastAsia="zh-CN" w:bidi="ar-SA"/>
        </w:rPr>
        <w:t>职业健康</w:t>
      </w:r>
      <w:bookmarkEnd w:id="1019"/>
      <w:bookmarkEnd w:id="1020"/>
      <w:bookmarkEnd w:id="1021"/>
      <w:bookmarkEnd w:id="1022"/>
      <w:bookmarkEnd w:id="1023"/>
      <w:bookmarkEnd w:id="1024"/>
      <w:bookmarkEnd w:id="1025"/>
      <w:bookmarkEnd w:id="1026"/>
      <w:bookmarkEnd w:id="1027"/>
      <w:bookmarkEnd w:id="1028"/>
    </w:p>
    <w:p w14:paraId="040B12F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应按照法律规定安排现场施工人员的劳动和休息时间，保障工人的休息时间，并支付合理的报酬和费用。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4B867B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14:paraId="4D36C9F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29" w:name="_Toc19746"/>
      <w:bookmarkStart w:id="1030" w:name="_Toc21674"/>
      <w:bookmarkStart w:id="1031" w:name="_Toc12891"/>
      <w:bookmarkStart w:id="1032" w:name="_Toc9304"/>
      <w:bookmarkStart w:id="1033" w:name="_Toc29283"/>
      <w:bookmarkStart w:id="1034" w:name="_Toc15994"/>
      <w:bookmarkStart w:id="1035" w:name="_Toc3108"/>
      <w:bookmarkStart w:id="1036" w:name="_Toc7504"/>
      <w:bookmarkStart w:id="1037" w:name="_Toc28642"/>
      <w:r>
        <w:rPr>
          <w:rFonts w:hint="eastAsia" w:ascii="宋体" w:hAnsi="宋体" w:eastAsia="宋体" w:cs="Times New Roman"/>
          <w:b/>
          <w:bCs/>
          <w:color w:val="auto"/>
          <w:kern w:val="0"/>
          <w:sz w:val="24"/>
          <w:szCs w:val="24"/>
          <w:highlight w:val="none"/>
          <w:lang w:val="en-US" w:eastAsia="zh-CN" w:bidi="ar-SA"/>
        </w:rPr>
        <w:t>用工培训</w:t>
      </w:r>
      <w:bookmarkEnd w:id="1029"/>
      <w:bookmarkEnd w:id="1030"/>
      <w:bookmarkEnd w:id="1031"/>
      <w:bookmarkEnd w:id="1032"/>
      <w:bookmarkEnd w:id="1033"/>
      <w:bookmarkEnd w:id="1034"/>
      <w:bookmarkEnd w:id="1035"/>
      <w:bookmarkEnd w:id="1036"/>
      <w:bookmarkEnd w:id="1037"/>
    </w:p>
    <w:p w14:paraId="1A33FFB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切实履行用工主体责任，按照《深圳市工程建设行业产业工人职业训练管理办法》等有关规定计取和使用产业工人职业训练专项经费及开展产业工人职业训练。承包人应对产业工人职业训练专项经费实行专款专用，并妥善保存经费使用情况相关资料。承包人依法将建设工程分包的，应与分包人就经费使用在分包合同中约定。发包人应对经费使用进行监督。</w:t>
      </w:r>
    </w:p>
    <w:p w14:paraId="7CE19DD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⑵承包人应按照《深圳市工程建设行业产业工人职业训练管理办法》制定产业工人训练计划，组织工人参加质量安全基础训练，妥善保存产业工人年度训练计划、职业训练管理和实施情况相关资料。</w:t>
      </w:r>
    </w:p>
    <w:p w14:paraId="525B0105">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038" w:name="_Toc305331278"/>
      <w:bookmarkStart w:id="1039" w:name="_Toc10004"/>
      <w:bookmarkStart w:id="1040" w:name="_Toc34908991"/>
      <w:bookmarkStart w:id="1041" w:name="_Toc6934"/>
      <w:bookmarkStart w:id="1042" w:name="_Toc23432"/>
      <w:bookmarkStart w:id="1043" w:name="_Toc35656474"/>
      <w:bookmarkStart w:id="1044" w:name="_Toc302635752"/>
      <w:bookmarkStart w:id="1045" w:name="_Toc35656976"/>
      <w:bookmarkStart w:id="1046" w:name="_Toc5489"/>
      <w:bookmarkStart w:id="1047" w:name="_Toc20410"/>
      <w:bookmarkStart w:id="1048" w:name="_Toc19532"/>
      <w:bookmarkStart w:id="1049" w:name="_Toc14908"/>
      <w:bookmarkStart w:id="1050" w:name="_Toc4094"/>
      <w:bookmarkStart w:id="1051" w:name="_Toc21519"/>
      <w:r>
        <w:rPr>
          <w:rFonts w:hint="eastAsia" w:ascii="华文细黑" w:hAnsi="宋体" w:eastAsia="宋体" w:cs="Times New Roman"/>
          <w:b/>
          <w:bCs/>
          <w:snapToGrid w:val="0"/>
          <w:color w:val="auto"/>
          <w:kern w:val="0"/>
          <w:sz w:val="28"/>
          <w:szCs w:val="44"/>
          <w:highlight w:val="none"/>
          <w:lang w:val="en-US" w:eastAsia="zh-CN" w:bidi="ar-SA"/>
        </w:rPr>
        <w:t>施工组织设计和进度计划</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14:paraId="25A8CBB6">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052" w:name="_Toc302635753"/>
      <w:bookmarkStart w:id="1053" w:name="_Toc18105"/>
      <w:bookmarkStart w:id="1054" w:name="_Toc1185"/>
      <w:bookmarkStart w:id="1055" w:name="_Toc27414"/>
      <w:bookmarkStart w:id="1056" w:name="_Toc14226"/>
      <w:bookmarkStart w:id="1057" w:name="_Toc305331279"/>
      <w:bookmarkStart w:id="1058" w:name="_Toc531"/>
      <w:bookmarkStart w:id="1059" w:name="_Toc20199"/>
      <w:bookmarkStart w:id="1060" w:name="_Toc26330"/>
      <w:bookmarkStart w:id="1061" w:name="_Toc29174"/>
      <w:bookmarkStart w:id="1062" w:name="_Toc9382"/>
      <w:bookmarkStart w:id="1063" w:name="_Toc34908992"/>
      <w:r>
        <w:rPr>
          <w:rFonts w:hint="eastAsia" w:ascii="宋体" w:hAnsi="宋体" w:eastAsia="宋体" w:cs="Times New Roman"/>
          <w:b/>
          <w:bCs/>
          <w:color w:val="auto"/>
          <w:kern w:val="0"/>
          <w:sz w:val="24"/>
          <w:szCs w:val="24"/>
          <w:highlight w:val="none"/>
          <w:lang w:val="en-US" w:eastAsia="zh-CN" w:bidi="ar-SA"/>
        </w:rPr>
        <w:t>施工组织设计和进度计划的编制与提交</w:t>
      </w:r>
      <w:bookmarkEnd w:id="1052"/>
      <w:bookmarkEnd w:id="1053"/>
      <w:bookmarkEnd w:id="1054"/>
      <w:bookmarkEnd w:id="1055"/>
      <w:bookmarkEnd w:id="1056"/>
      <w:bookmarkEnd w:id="1057"/>
      <w:bookmarkEnd w:id="1058"/>
      <w:bookmarkEnd w:id="1059"/>
      <w:bookmarkEnd w:id="1060"/>
      <w:bookmarkEnd w:id="1061"/>
      <w:bookmarkEnd w:id="1062"/>
    </w:p>
    <w:p w14:paraId="5E73D2C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⑴承包人应编制本工程和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约定的单项工程的施工组织设计和进度计划</w:t>
      </w:r>
      <w:bookmarkEnd w:id="1063"/>
      <w:bookmarkStart w:id="1064" w:name="_Toc34908993"/>
      <w:r>
        <w:rPr>
          <w:rFonts w:hint="eastAsia" w:ascii="宋体" w:hAnsi="宋体" w:eastAsia="宋体" w:cs="Times New Roman"/>
          <w:color w:val="auto"/>
          <w:kern w:val="0"/>
          <w:szCs w:val="24"/>
          <w:highlight w:val="none"/>
        </w:rPr>
        <w:t>，对合同工程的全部施工作业提出总体上的施工方法、施工安排、作业顺序和时间表。施工组织设计应包含以下内容：</w:t>
      </w:r>
    </w:p>
    <w:p w14:paraId="1645BA3C">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施工方案</w:t>
      </w:r>
      <w:r>
        <w:rPr>
          <w:rFonts w:hint="eastAsia" w:ascii="宋体" w:hAnsi="宋体" w:eastAsia="宋体" w:cs="Times New Roman"/>
          <w:color w:val="auto"/>
          <w:kern w:val="0"/>
          <w:szCs w:val="24"/>
          <w:highlight w:val="none"/>
        </w:rPr>
        <w:t>；</w:t>
      </w:r>
    </w:p>
    <w:p w14:paraId="0354A4C6">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施工现场平面布置图；</w:t>
      </w:r>
    </w:p>
    <w:p w14:paraId="6CA640A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施工进度计划和保证措施；</w:t>
      </w:r>
    </w:p>
    <w:p w14:paraId="7527ECD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劳动力及材料供应计划；</w:t>
      </w:r>
    </w:p>
    <w:p w14:paraId="1D012AE9">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施工机械设备的选用；</w:t>
      </w:r>
    </w:p>
    <w:p w14:paraId="6086A26E">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w:t>
      </w:r>
      <w:r>
        <w:rPr>
          <w:rFonts w:ascii="宋体" w:hAnsi="宋体" w:eastAsia="宋体" w:cs="Times New Roman"/>
          <w:color w:val="auto"/>
          <w:kern w:val="0"/>
          <w:szCs w:val="24"/>
          <w:highlight w:val="none"/>
        </w:rPr>
        <w:t>质量保证体系及措施；</w:t>
      </w:r>
    </w:p>
    <w:p w14:paraId="3D42DC1D">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w:t>
      </w:r>
      <w:r>
        <w:rPr>
          <w:rFonts w:ascii="宋体" w:hAnsi="宋体" w:eastAsia="宋体" w:cs="Times New Roman"/>
          <w:color w:val="auto"/>
          <w:kern w:val="0"/>
          <w:szCs w:val="24"/>
          <w:highlight w:val="none"/>
        </w:rPr>
        <w:t>安全生产、文明施工措施；</w:t>
      </w:r>
    </w:p>
    <w:p w14:paraId="57BFD5C3">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w:t>
      </w:r>
      <w:r>
        <w:rPr>
          <w:rFonts w:ascii="宋体" w:hAnsi="宋体" w:eastAsia="宋体" w:cs="Times New Roman"/>
          <w:color w:val="auto"/>
          <w:kern w:val="0"/>
          <w:szCs w:val="24"/>
          <w:highlight w:val="none"/>
        </w:rPr>
        <w:t>环境保护、成本控制措施</w:t>
      </w:r>
      <w:r>
        <w:rPr>
          <w:rFonts w:hint="eastAsia" w:ascii="宋体" w:hAnsi="宋体" w:eastAsia="宋体" w:cs="Times New Roman"/>
          <w:color w:val="auto"/>
          <w:kern w:val="0"/>
          <w:szCs w:val="24"/>
          <w:highlight w:val="none"/>
        </w:rPr>
        <w:t>；</w:t>
      </w:r>
    </w:p>
    <w:p w14:paraId="14E20FD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⑨承发包双方约定的其他内容</w:t>
      </w:r>
      <w:r>
        <w:rPr>
          <w:rFonts w:ascii="宋体" w:hAnsi="宋体" w:eastAsia="宋体" w:cs="Times New Roman"/>
          <w:color w:val="auto"/>
          <w:kern w:val="0"/>
          <w:szCs w:val="24"/>
          <w:highlight w:val="none"/>
        </w:rPr>
        <w:t>。</w:t>
      </w:r>
    </w:p>
    <w:p w14:paraId="3A8F5DD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中约定的时间和要求向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提交施工组织设计和工程进度计划。</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中约定的时间予以确认或提出修改意见，逾期不确认也不提出修改意见的，应视为同意。</w:t>
      </w:r>
      <w:bookmarkEnd w:id="1064"/>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如期提出合理修改意见的，承包人应根据该意见按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约定的时间或要求提交修改后的施工组织设计和工程进度计划，待</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确认后执行。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对上述计划的同意，不能因此而解除承包人根据本合同约定应负的任何责任或义务。</w:t>
      </w:r>
    </w:p>
    <w:p w14:paraId="69CB6B85">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65" w:name="_Toc11760"/>
      <w:bookmarkStart w:id="1066" w:name="_Toc305331280"/>
      <w:bookmarkStart w:id="1067" w:name="_Toc302635754"/>
      <w:bookmarkStart w:id="1068" w:name="_Toc10264"/>
      <w:bookmarkStart w:id="1069" w:name="_Toc6041"/>
      <w:bookmarkStart w:id="1070" w:name="_Toc16394"/>
      <w:bookmarkStart w:id="1071" w:name="_Toc12829"/>
      <w:bookmarkStart w:id="1072" w:name="_Toc17314"/>
      <w:bookmarkStart w:id="1073" w:name="_Toc13046"/>
      <w:bookmarkStart w:id="1074" w:name="_Toc12362"/>
      <w:bookmarkStart w:id="1075" w:name="_Toc23966"/>
      <w:r>
        <w:rPr>
          <w:rFonts w:ascii="宋体" w:hAnsi="宋体" w:eastAsia="宋体" w:cs="Times New Roman"/>
          <w:b/>
          <w:bCs/>
          <w:color w:val="auto"/>
          <w:kern w:val="0"/>
          <w:sz w:val="24"/>
          <w:szCs w:val="24"/>
          <w:highlight w:val="none"/>
          <w:lang w:val="en-US" w:eastAsia="zh-CN" w:bidi="ar-SA"/>
        </w:rPr>
        <w:t>临时设施的图纸和文件</w:t>
      </w:r>
      <w:bookmarkEnd w:id="1065"/>
      <w:bookmarkEnd w:id="1066"/>
      <w:bookmarkEnd w:id="1067"/>
      <w:bookmarkEnd w:id="1068"/>
      <w:bookmarkEnd w:id="1069"/>
      <w:bookmarkEnd w:id="1070"/>
      <w:bookmarkEnd w:id="1071"/>
      <w:bookmarkEnd w:id="1072"/>
      <w:bookmarkEnd w:id="1073"/>
      <w:bookmarkEnd w:id="1074"/>
      <w:bookmarkEnd w:id="1075"/>
    </w:p>
    <w:p w14:paraId="553C4E2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承包人应</w:t>
      </w:r>
      <w:r>
        <w:rPr>
          <w:rFonts w:hint="eastAsia" w:ascii="宋体" w:hAnsi="宋体" w:eastAsia="宋体" w:cs="Times New Roman"/>
          <w:color w:val="auto"/>
          <w:kern w:val="0"/>
          <w:szCs w:val="24"/>
          <w:highlight w:val="none"/>
        </w:rPr>
        <w:t>在施工组织设计提交的同时，</w:t>
      </w:r>
      <w:r>
        <w:rPr>
          <w:rFonts w:ascii="宋体" w:hAnsi="宋体" w:eastAsia="宋体" w:cs="Times New Roman"/>
          <w:color w:val="auto"/>
          <w:kern w:val="0"/>
          <w:szCs w:val="24"/>
          <w:highlight w:val="none"/>
        </w:rPr>
        <w:t>向监理人报送本工程临时设施的图纸和资料文件。其内容包括(但不限于)临时设施总平面布置图及必要的文字说明，如生产、生活设施、</w:t>
      </w:r>
      <w:r>
        <w:rPr>
          <w:rFonts w:hint="eastAsia" w:ascii="宋体" w:hAnsi="宋体" w:eastAsia="宋体" w:cs="Times New Roman"/>
          <w:color w:val="auto"/>
          <w:kern w:val="0"/>
          <w:szCs w:val="24"/>
          <w:highlight w:val="none"/>
        </w:rPr>
        <w:t>水电供应、</w:t>
      </w:r>
      <w:r>
        <w:rPr>
          <w:rFonts w:ascii="宋体" w:hAnsi="宋体" w:eastAsia="宋体" w:cs="Times New Roman"/>
          <w:color w:val="auto"/>
          <w:kern w:val="0"/>
          <w:szCs w:val="24"/>
          <w:highlight w:val="none"/>
        </w:rPr>
        <w:t>道路、排水系统、环保环卫、安全防护措施，相关管理制度(办法)等必要的文字说明和图表资料，经批准后实施。</w:t>
      </w:r>
    </w:p>
    <w:p w14:paraId="3032D024">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76" w:name="_Toc17563"/>
      <w:bookmarkStart w:id="1077" w:name="_Toc27566"/>
      <w:bookmarkStart w:id="1078" w:name="_Toc16799"/>
      <w:bookmarkStart w:id="1079" w:name="_Toc4939"/>
      <w:bookmarkStart w:id="1080" w:name="_Toc302635755"/>
      <w:bookmarkStart w:id="1081" w:name="_Toc9143"/>
      <w:bookmarkStart w:id="1082" w:name="_Toc30753"/>
      <w:bookmarkStart w:id="1083" w:name="_Toc28518"/>
      <w:bookmarkStart w:id="1084" w:name="_Toc18622"/>
      <w:bookmarkStart w:id="1085" w:name="_Toc305331281"/>
      <w:bookmarkStart w:id="1086" w:name="_Toc23866"/>
      <w:r>
        <w:rPr>
          <w:rFonts w:hint="eastAsia" w:ascii="宋体" w:hAnsi="宋体" w:eastAsia="宋体" w:cs="Times New Roman"/>
          <w:b/>
          <w:bCs/>
          <w:color w:val="auto"/>
          <w:kern w:val="0"/>
          <w:sz w:val="24"/>
          <w:szCs w:val="24"/>
          <w:highlight w:val="none"/>
          <w:lang w:val="en-US" w:eastAsia="zh-CN" w:bidi="ar-SA"/>
        </w:rPr>
        <w:t>工程进度计划</w:t>
      </w:r>
      <w:bookmarkEnd w:id="1076"/>
      <w:bookmarkEnd w:id="1077"/>
      <w:bookmarkEnd w:id="1078"/>
      <w:bookmarkEnd w:id="1079"/>
      <w:bookmarkEnd w:id="1080"/>
      <w:bookmarkEnd w:id="1081"/>
      <w:bookmarkEnd w:id="1082"/>
      <w:bookmarkEnd w:id="1083"/>
      <w:bookmarkEnd w:id="1084"/>
      <w:bookmarkEnd w:id="1085"/>
      <w:bookmarkEnd w:id="1086"/>
    </w:p>
    <w:p w14:paraId="29F974F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工程进度计划应按照关键线路网络图和主要工作横道图两种形式分别编绘，并应包括每月预计完成的工作量和形象进度，在需要时每个月修正一次。承包人必须按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确认的进度计划组织施工，接受</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对进度的检查、监督。工程实际进度对于在竣工时间内完工过于迟缓或与经确认的进度计划不符时，承包人应按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的要求和建议进行整改并提交修订的进度计划，经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确认后执行。因承包人的原因导致实际进度与进度计划不符，承包人无权就改进措施提出追加合同价款。</w:t>
      </w:r>
    </w:p>
    <w:p w14:paraId="1FA07DC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87" w:name="_Toc302635756"/>
      <w:bookmarkStart w:id="1088" w:name="_Toc16478"/>
      <w:bookmarkStart w:id="1089" w:name="_Toc8398"/>
      <w:bookmarkStart w:id="1090" w:name="_Toc10732"/>
      <w:bookmarkStart w:id="1091" w:name="_Toc305331282"/>
      <w:bookmarkStart w:id="1092" w:name="_Toc31359"/>
      <w:bookmarkStart w:id="1093" w:name="_Toc22944"/>
      <w:bookmarkStart w:id="1094" w:name="_Toc878"/>
      <w:bookmarkStart w:id="1095" w:name="_Toc22554"/>
      <w:bookmarkStart w:id="1096" w:name="_Toc9529"/>
      <w:bookmarkStart w:id="1097" w:name="_Toc10083"/>
      <w:bookmarkStart w:id="1098" w:name="_Toc34908997"/>
      <w:r>
        <w:rPr>
          <w:rFonts w:hint="eastAsia" w:ascii="宋体" w:hAnsi="宋体" w:eastAsia="宋体" w:cs="Times New Roman"/>
          <w:b/>
          <w:bCs/>
          <w:color w:val="auto"/>
          <w:kern w:val="0"/>
          <w:sz w:val="24"/>
          <w:szCs w:val="24"/>
          <w:highlight w:val="none"/>
          <w:lang w:val="en-US" w:eastAsia="zh-CN" w:bidi="ar-SA"/>
        </w:rPr>
        <w:t>工程用款计划</w:t>
      </w:r>
      <w:bookmarkEnd w:id="1087"/>
      <w:bookmarkEnd w:id="1088"/>
      <w:bookmarkEnd w:id="1089"/>
      <w:bookmarkEnd w:id="1090"/>
      <w:bookmarkEnd w:id="1091"/>
      <w:bookmarkEnd w:id="1092"/>
      <w:bookmarkEnd w:id="1093"/>
      <w:bookmarkEnd w:id="1094"/>
      <w:bookmarkEnd w:id="1095"/>
      <w:bookmarkEnd w:id="1096"/>
      <w:bookmarkEnd w:id="1097"/>
    </w:p>
    <w:p w14:paraId="4E2540A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的约定按工程进度计划向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提交按合同约定承包人有权得到支付的工程用款计划，以备</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查阅。如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提出要求，承包人还应按要求提交修改的工程用款计划。</w:t>
      </w:r>
      <w:bookmarkEnd w:id="1098"/>
    </w:p>
    <w:p w14:paraId="5A138258">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099" w:name="_Toc28468"/>
      <w:bookmarkStart w:id="1100" w:name="_Toc26319"/>
      <w:bookmarkStart w:id="1101" w:name="_Toc34908999"/>
      <w:bookmarkStart w:id="1102" w:name="_Toc18021"/>
      <w:bookmarkStart w:id="1103" w:name="_Toc9923"/>
      <w:bookmarkStart w:id="1104" w:name="_Toc35656475"/>
      <w:bookmarkStart w:id="1105" w:name="_Toc302635757"/>
      <w:bookmarkStart w:id="1106" w:name="_Toc305331283"/>
      <w:bookmarkStart w:id="1107" w:name="_Toc31504"/>
      <w:bookmarkStart w:id="1108" w:name="_Toc21199"/>
      <w:bookmarkStart w:id="1109" w:name="_Toc31566"/>
      <w:bookmarkStart w:id="1110" w:name="_Toc2030"/>
      <w:bookmarkStart w:id="1111" w:name="_Toc35656977"/>
      <w:bookmarkStart w:id="1112" w:name="_Toc20128"/>
      <w:r>
        <w:rPr>
          <w:rFonts w:hint="eastAsia" w:ascii="华文细黑" w:hAnsi="宋体" w:eastAsia="宋体" w:cs="Times New Roman"/>
          <w:b/>
          <w:bCs/>
          <w:snapToGrid w:val="0"/>
          <w:color w:val="auto"/>
          <w:kern w:val="0"/>
          <w:sz w:val="28"/>
          <w:szCs w:val="44"/>
          <w:highlight w:val="none"/>
          <w:lang w:val="en-US" w:eastAsia="zh-CN" w:bidi="ar-SA"/>
        </w:rPr>
        <w:t>施工准备</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1901AF8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113" w:name="_Toc7516"/>
      <w:bookmarkStart w:id="1114" w:name="_Toc305331284"/>
      <w:bookmarkStart w:id="1115" w:name="_Toc24210"/>
      <w:bookmarkStart w:id="1116" w:name="_Toc10040"/>
      <w:bookmarkStart w:id="1117" w:name="_Toc21544"/>
      <w:bookmarkStart w:id="1118" w:name="_Toc27532"/>
      <w:bookmarkStart w:id="1119" w:name="_Toc302635758"/>
      <w:bookmarkStart w:id="1120" w:name="_Toc13260"/>
      <w:bookmarkStart w:id="1121" w:name="_Toc9883"/>
      <w:bookmarkStart w:id="1122" w:name="_Toc28517"/>
      <w:bookmarkStart w:id="1123" w:name="_Toc4674"/>
      <w:bookmarkStart w:id="1124" w:name="_Toc34909002"/>
      <w:bookmarkStart w:id="1125" w:name="_Toc34909000"/>
      <w:r>
        <w:rPr>
          <w:rFonts w:hint="eastAsia" w:ascii="宋体" w:hAnsi="宋体" w:eastAsia="宋体" w:cs="Times New Roman"/>
          <w:b/>
          <w:bCs/>
          <w:color w:val="auto"/>
          <w:kern w:val="0"/>
          <w:sz w:val="24"/>
          <w:szCs w:val="24"/>
          <w:highlight w:val="none"/>
          <w:lang w:val="en-US" w:eastAsia="zh-CN" w:bidi="ar-SA"/>
        </w:rPr>
        <w:t>现场考察与勘察资料分析</w:t>
      </w:r>
      <w:bookmarkEnd w:id="1113"/>
      <w:bookmarkEnd w:id="1114"/>
      <w:bookmarkEnd w:id="1115"/>
      <w:bookmarkEnd w:id="1116"/>
      <w:bookmarkEnd w:id="1117"/>
      <w:bookmarkEnd w:id="1118"/>
      <w:bookmarkEnd w:id="1119"/>
      <w:bookmarkEnd w:id="1120"/>
      <w:bookmarkEnd w:id="1121"/>
      <w:bookmarkEnd w:id="1122"/>
      <w:bookmarkEnd w:id="1123"/>
    </w:p>
    <w:p w14:paraId="4791F02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在签订合同之前，应研究和分析发包人提供的水文、地质、气象等资料，并在勘察设计文件和发包人提供的相关资料的基础上，对现场存在的管线等地下构筑物作进一步调查和了解，以取得其对施工影响的全部信息，并在施工组织设计和进度计划中作出充分的考虑。</w:t>
      </w:r>
      <w:bookmarkEnd w:id="1124"/>
      <w:r>
        <w:rPr>
          <w:rFonts w:hint="eastAsia" w:ascii="Times New Roman" w:hAnsi="Times New Roman" w:eastAsia="宋体" w:cs="Times New Roman"/>
          <w:color w:val="auto"/>
          <w:szCs w:val="24"/>
          <w:highlight w:val="none"/>
        </w:rPr>
        <w:t>发包人应对其所提供资料的准确性负责，</w:t>
      </w:r>
      <w:r>
        <w:rPr>
          <w:rFonts w:hint="eastAsia" w:ascii="宋体" w:hAnsi="宋体" w:eastAsia="宋体" w:cs="Times New Roman"/>
          <w:color w:val="auto"/>
          <w:kern w:val="0"/>
          <w:szCs w:val="24"/>
          <w:highlight w:val="none"/>
        </w:rPr>
        <w:t>承包人应对其对该资料的理解、判断和应用负责。</w:t>
      </w:r>
    </w:p>
    <w:p w14:paraId="702359A6">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126" w:name="_Toc34909003"/>
      <w:r>
        <w:rPr>
          <w:rFonts w:hint="eastAsia" w:ascii="宋体" w:hAnsi="宋体" w:eastAsia="宋体" w:cs="Times New Roman"/>
          <w:color w:val="auto"/>
          <w:kern w:val="0"/>
          <w:szCs w:val="24"/>
          <w:highlight w:val="none"/>
        </w:rPr>
        <w:t>⑵承包人在签订合同之前，应视为已研究和察看了工地及其四周环境；已清楚知道关于通往工地的现有道路或其他交通条件、土地及工地的外形和性质、损毁物业的危险、挖掘对象的性质、进行本工程所需的工程及材料的性质、生活与施工条件；已取得影响其签订合同及进行本工程施工的资料。</w:t>
      </w:r>
      <w:bookmarkEnd w:id="1126"/>
      <w:bookmarkStart w:id="1127" w:name="_Toc34909004"/>
      <w:r>
        <w:rPr>
          <w:rFonts w:hint="eastAsia" w:ascii="宋体" w:hAnsi="宋体" w:eastAsia="宋体" w:cs="Times New Roman"/>
          <w:color w:val="auto"/>
          <w:kern w:val="0"/>
          <w:szCs w:val="24"/>
          <w:highlight w:val="none"/>
        </w:rPr>
        <w:t>承包人不得以对上述事项了解不够充分而向发包人索赔，也不得免除根据合同约定须承担的责任。</w:t>
      </w:r>
      <w:bookmarkEnd w:id="1127"/>
    </w:p>
    <w:p w14:paraId="319704BF">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128" w:name="_Toc302635759"/>
      <w:bookmarkStart w:id="1129" w:name="_Toc7346"/>
      <w:bookmarkStart w:id="1130" w:name="_Toc6634"/>
      <w:bookmarkStart w:id="1131" w:name="_Toc5931"/>
      <w:bookmarkStart w:id="1132" w:name="_Toc25879"/>
      <w:bookmarkStart w:id="1133" w:name="_Toc31810"/>
      <w:bookmarkStart w:id="1134" w:name="_Toc7519"/>
      <w:bookmarkStart w:id="1135" w:name="_Toc305331285"/>
      <w:bookmarkStart w:id="1136" w:name="_Toc25857"/>
      <w:bookmarkStart w:id="1137" w:name="_Toc8041"/>
      <w:bookmarkStart w:id="1138" w:name="_Toc28253"/>
      <w:bookmarkStart w:id="1139" w:name="_Toc34909008"/>
      <w:r>
        <w:rPr>
          <w:rFonts w:hint="eastAsia" w:ascii="宋体" w:hAnsi="宋体" w:eastAsia="宋体" w:cs="Times New Roman"/>
          <w:b/>
          <w:bCs/>
          <w:color w:val="auto"/>
          <w:kern w:val="0"/>
          <w:sz w:val="24"/>
          <w:szCs w:val="24"/>
          <w:highlight w:val="none"/>
          <w:lang w:val="en-US" w:eastAsia="zh-CN" w:bidi="ar-SA"/>
        </w:rPr>
        <w:t>施工场地提供</w:t>
      </w:r>
      <w:bookmarkEnd w:id="1128"/>
      <w:bookmarkEnd w:id="1129"/>
      <w:bookmarkEnd w:id="1130"/>
      <w:bookmarkEnd w:id="1131"/>
      <w:bookmarkEnd w:id="1132"/>
      <w:bookmarkEnd w:id="1133"/>
      <w:bookmarkEnd w:id="1134"/>
      <w:bookmarkEnd w:id="1135"/>
      <w:bookmarkEnd w:id="1136"/>
      <w:bookmarkEnd w:id="1137"/>
      <w:bookmarkEnd w:id="1138"/>
    </w:p>
    <w:p w14:paraId="5D8DE8A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向承包人提供施工所需的场地，以满足承包人进行本工程施工。发包人未按约定提供施工所需的场地，致使本工程或其他任何部分的进展受到影响，给承包人造成损失和(或)导致工期延误的，发包人应赔偿承包人损失，顺延延误的工期。</w:t>
      </w:r>
      <w:bookmarkEnd w:id="1139"/>
      <w:bookmarkStart w:id="1140" w:name="_Toc34909009"/>
    </w:p>
    <w:p w14:paraId="1ACF2B2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⑵发包人未能按期办妥土地征用和搬迁手续，承包人在接到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通知后，应按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示及时调整工程组织设计和进度计划中的各项工作的施工方案和顺序，以便能够继续施工或者对施工人员和施工机械及时进行调整，以避免停工损失的发生。发包人未能按期办妥土地征用和搬迁手续，给承包人造成损失和(或)导致工期延误的，发包人应赔偿承包人损失，顺延延误的工期。</w:t>
      </w:r>
      <w:bookmarkEnd w:id="1140"/>
      <w:bookmarkStart w:id="1141" w:name="_Toc34909010"/>
    </w:p>
    <w:p w14:paraId="0488CBE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征地红线内的工程用地，在不影响施工的前提下，经发包人批准，可免费提供给承包人作施工临时用地。红线范围外的临时占地的租用，由发包人根据开工需要和施工先后顺序，分期办理租用手续，提供给承包人作施工临时用地。红线外的临时占地租用费用由发包人支付(</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另有约定除外)。临时用地使用完毕后，承包人应自费将临时用地恢复原状。</w:t>
      </w:r>
      <w:bookmarkEnd w:id="1141"/>
    </w:p>
    <w:p w14:paraId="3045A8B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142" w:name="_Toc18147"/>
      <w:bookmarkStart w:id="1143" w:name="_Toc30094"/>
      <w:bookmarkStart w:id="1144" w:name="_Toc5560"/>
      <w:bookmarkStart w:id="1145" w:name="_Toc8742"/>
      <w:bookmarkStart w:id="1146" w:name="_Toc305331286"/>
      <w:bookmarkStart w:id="1147" w:name="_Toc32265"/>
      <w:bookmarkStart w:id="1148" w:name="_Toc12845"/>
      <w:bookmarkStart w:id="1149" w:name="_Toc12434"/>
      <w:bookmarkStart w:id="1150" w:name="_Toc19569"/>
      <w:bookmarkStart w:id="1151" w:name="_Toc12715"/>
      <w:bookmarkStart w:id="1152" w:name="_Toc302635760"/>
      <w:bookmarkStart w:id="1153" w:name="_Toc34909007"/>
      <w:r>
        <w:rPr>
          <w:rFonts w:hint="eastAsia" w:ascii="宋体" w:hAnsi="宋体" w:eastAsia="宋体" w:cs="Times New Roman"/>
          <w:b/>
          <w:bCs/>
          <w:color w:val="auto"/>
          <w:kern w:val="0"/>
          <w:sz w:val="24"/>
          <w:szCs w:val="24"/>
          <w:highlight w:val="none"/>
          <w:lang w:val="en-US" w:eastAsia="zh-CN" w:bidi="ar-SA"/>
        </w:rPr>
        <w:t>施工放线</w:t>
      </w:r>
      <w:bookmarkEnd w:id="1142"/>
      <w:bookmarkEnd w:id="1143"/>
      <w:bookmarkEnd w:id="1144"/>
      <w:bookmarkEnd w:id="1145"/>
      <w:bookmarkEnd w:id="1146"/>
      <w:bookmarkEnd w:id="1147"/>
      <w:bookmarkEnd w:id="1148"/>
      <w:bookmarkEnd w:id="1149"/>
      <w:bookmarkEnd w:id="1150"/>
      <w:bookmarkEnd w:id="1151"/>
      <w:bookmarkEnd w:id="1152"/>
    </w:p>
    <w:p w14:paraId="230ADA47">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w:t>
      </w:r>
      <w:r>
        <w:rPr>
          <w:rFonts w:ascii="宋体" w:hAnsi="宋体" w:eastAsia="宋体" w:cs="Times New Roman"/>
          <w:color w:val="auto"/>
          <w:kern w:val="0"/>
          <w:szCs w:val="24"/>
          <w:highlight w:val="none"/>
        </w:rPr>
        <w:t>在至迟不得晚于第</w:t>
      </w:r>
      <w:r>
        <w:rPr>
          <w:rFonts w:hint="eastAsia" w:ascii="宋体" w:hAnsi="宋体" w:eastAsia="宋体" w:cs="Times New Roman"/>
          <w:color w:val="auto"/>
          <w:kern w:val="0"/>
          <w:szCs w:val="24"/>
          <w:highlight w:val="none"/>
        </w:rPr>
        <w:t>11.1款〔</w:t>
      </w:r>
      <w:r>
        <w:rPr>
          <w:rFonts w:ascii="宋体" w:hAnsi="宋体" w:eastAsia="宋体" w:cs="Times New Roman"/>
          <w:color w:val="auto"/>
          <w:kern w:val="0"/>
          <w:szCs w:val="24"/>
          <w:highlight w:val="none"/>
        </w:rPr>
        <w:t>开工</w:t>
      </w:r>
      <w:r>
        <w:rPr>
          <w:rFonts w:hint="eastAsia" w:ascii="宋体" w:hAnsi="宋体" w:eastAsia="宋体" w:cs="Times New Roman"/>
          <w:color w:val="auto"/>
          <w:kern w:val="0"/>
          <w:szCs w:val="24"/>
          <w:highlight w:val="none"/>
        </w:rPr>
        <w:t>〕中开工通知书</w:t>
      </w:r>
      <w:r>
        <w:rPr>
          <w:rFonts w:ascii="宋体" w:hAnsi="宋体" w:eastAsia="宋体" w:cs="Times New Roman"/>
          <w:color w:val="auto"/>
          <w:kern w:val="0"/>
          <w:szCs w:val="24"/>
          <w:highlight w:val="none"/>
        </w:rPr>
        <w:t>载明的开工日期前7天通过监理人</w:t>
      </w:r>
      <w:r>
        <w:rPr>
          <w:rFonts w:hint="eastAsia" w:ascii="宋体" w:hAnsi="宋体" w:eastAsia="宋体" w:cs="Times New Roman"/>
          <w:color w:val="auto"/>
          <w:kern w:val="0"/>
          <w:szCs w:val="24"/>
          <w:highlight w:val="none"/>
        </w:rPr>
        <w:t>向承包人提供工程施工所需的原始基准点、基准线和基准标高，以及</w:t>
      </w:r>
      <w:r>
        <w:rPr>
          <w:rFonts w:hint="eastAsia" w:ascii="Times New Roman" w:hAnsi="Times New Roman" w:eastAsia="宋体" w:cs="Times New Roman"/>
          <w:color w:val="auto"/>
          <w:szCs w:val="24"/>
          <w:highlight w:val="none"/>
        </w:rPr>
        <w:t>工程项目范围内城市轨道交通隧道、给水管道、燃气管道分布情况，</w:t>
      </w:r>
      <w:r>
        <w:rPr>
          <w:rFonts w:hint="eastAsia" w:ascii="宋体" w:hAnsi="宋体" w:eastAsia="宋体" w:cs="Times New Roman"/>
          <w:color w:val="auto"/>
          <w:kern w:val="0"/>
          <w:szCs w:val="24"/>
          <w:highlight w:val="none"/>
        </w:rPr>
        <w:t>并对其真实准确性负责，同时承担由于其错误而引起的承包人的费用损失和工期延误的补偿责任。</w:t>
      </w:r>
    </w:p>
    <w:p w14:paraId="5F5B3D9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⑵承包人按上述基准负责对工程的所有部位正确定位，纠正在工程的位置、标高、尺寸或定线中的任何错误。</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对放样、准线或标高的核查，均不应解除承包人对其准确性所负的责任。</w:t>
      </w:r>
      <w:bookmarkEnd w:id="1153"/>
    </w:p>
    <w:p w14:paraId="1FAE316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施工过程中对施工现场内水准点等测量标志物的保护工作由承包人负责。</w:t>
      </w:r>
    </w:p>
    <w:p w14:paraId="2FB8D648">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hint="eastAsia" w:ascii="宋体" w:hAnsi="宋体" w:eastAsia="宋体" w:cs="Times New Roman"/>
          <w:color w:val="auto"/>
          <w:kern w:val="0"/>
          <w:szCs w:val="24"/>
          <w:highlight w:val="none"/>
        </w:rPr>
        <w:t>承包人应落实</w:t>
      </w:r>
      <w:r>
        <w:rPr>
          <w:rFonts w:hint="eastAsia" w:ascii="Times New Roman" w:hAnsi="Times New Roman" w:eastAsia="宋体" w:cs="Times New Roman"/>
          <w:color w:val="auto"/>
          <w:szCs w:val="24"/>
          <w:highlight w:val="none"/>
        </w:rPr>
        <w:t>工程项目范围内城市轨道交通隧道、给水管道、燃气管道的安全保护措施。</w:t>
      </w:r>
    </w:p>
    <w:bookmarkEnd w:id="1125"/>
    <w:p w14:paraId="23385A9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154" w:name="_Toc4817"/>
      <w:bookmarkStart w:id="1155" w:name="_Toc11098"/>
      <w:bookmarkStart w:id="1156" w:name="_Toc20883"/>
      <w:bookmarkStart w:id="1157" w:name="_Toc14286"/>
      <w:bookmarkStart w:id="1158" w:name="_Toc1730"/>
      <w:bookmarkStart w:id="1159" w:name="_Toc26461"/>
      <w:bookmarkStart w:id="1160" w:name="_Toc26967"/>
      <w:bookmarkStart w:id="1161" w:name="_Toc302635763"/>
      <w:bookmarkStart w:id="1162" w:name="_Toc305331289"/>
      <w:bookmarkStart w:id="1163" w:name="_Toc31973"/>
      <w:bookmarkStart w:id="1164" w:name="_Toc13498"/>
      <w:r>
        <w:rPr>
          <w:rFonts w:hint="eastAsia" w:ascii="宋体" w:hAnsi="宋体" w:eastAsia="宋体" w:cs="Times New Roman"/>
          <w:b/>
          <w:bCs/>
          <w:color w:val="auto"/>
          <w:kern w:val="0"/>
          <w:sz w:val="24"/>
          <w:szCs w:val="24"/>
          <w:highlight w:val="none"/>
          <w:lang w:val="en-US" w:eastAsia="zh-CN" w:bidi="ar-SA"/>
        </w:rPr>
        <w:t>施工组织准备工作</w:t>
      </w:r>
      <w:bookmarkEnd w:id="1154"/>
      <w:bookmarkEnd w:id="1155"/>
      <w:bookmarkEnd w:id="1156"/>
      <w:bookmarkEnd w:id="1157"/>
      <w:bookmarkEnd w:id="1158"/>
      <w:bookmarkEnd w:id="1159"/>
      <w:bookmarkEnd w:id="1160"/>
      <w:bookmarkEnd w:id="1161"/>
      <w:bookmarkEnd w:id="1162"/>
      <w:bookmarkEnd w:id="1163"/>
      <w:bookmarkEnd w:id="1164"/>
    </w:p>
    <w:p w14:paraId="044813B1">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工程开工前，承包人应及时做好</w:t>
      </w:r>
      <w:r>
        <w:rPr>
          <w:rFonts w:hint="eastAsia" w:ascii="宋体" w:hAnsi="宋体" w:eastAsia="宋体" w:cs="Times New Roman"/>
          <w:color w:val="auto"/>
          <w:kern w:val="0"/>
          <w:szCs w:val="24"/>
          <w:highlight w:val="none"/>
        </w:rPr>
        <w:t>如下</w:t>
      </w:r>
      <w:r>
        <w:rPr>
          <w:rFonts w:ascii="宋体" w:hAnsi="宋体" w:eastAsia="宋体" w:cs="Times New Roman"/>
          <w:color w:val="auto"/>
          <w:kern w:val="0"/>
          <w:szCs w:val="24"/>
          <w:highlight w:val="none"/>
        </w:rPr>
        <w:t>施工</w:t>
      </w:r>
      <w:r>
        <w:rPr>
          <w:rFonts w:hint="eastAsia" w:ascii="宋体" w:hAnsi="宋体" w:eastAsia="宋体" w:cs="Times New Roman"/>
          <w:color w:val="auto"/>
          <w:kern w:val="0"/>
          <w:szCs w:val="24"/>
          <w:highlight w:val="none"/>
        </w:rPr>
        <w:t>组织</w:t>
      </w:r>
      <w:r>
        <w:rPr>
          <w:rFonts w:ascii="宋体" w:hAnsi="宋体" w:eastAsia="宋体" w:cs="Times New Roman"/>
          <w:color w:val="auto"/>
          <w:kern w:val="0"/>
          <w:szCs w:val="24"/>
          <w:highlight w:val="none"/>
        </w:rPr>
        <w:t>准备工作</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包括但不限于</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w:t>
      </w:r>
    </w:p>
    <w:p w14:paraId="49FEA966">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1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组建施工管理机构和专业作业队伍，并进行进场前的施工教育培训</w:t>
      </w:r>
      <w:r>
        <w:rPr>
          <w:rFonts w:hint="eastAsia" w:ascii="宋体" w:hAnsi="宋体" w:eastAsia="宋体" w:cs="Times New Roman"/>
          <w:color w:val="auto"/>
          <w:kern w:val="0"/>
          <w:szCs w:val="24"/>
          <w:highlight w:val="none"/>
        </w:rPr>
        <w:t>；</w:t>
      </w:r>
    </w:p>
    <w:p w14:paraId="70C2F4DA">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2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编制材料和设备供应计划并做好供应</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安排好预制构件和非标准件加工以及施工机具设备的维修保养工作</w:t>
      </w:r>
      <w:r>
        <w:rPr>
          <w:rFonts w:hint="eastAsia" w:ascii="宋体" w:hAnsi="宋体" w:eastAsia="宋体" w:cs="Times New Roman"/>
          <w:color w:val="auto"/>
          <w:kern w:val="0"/>
          <w:szCs w:val="24"/>
          <w:highlight w:val="none"/>
        </w:rPr>
        <w:t>；</w:t>
      </w:r>
    </w:p>
    <w:p w14:paraId="2F03E1B6">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3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核实场内搬迁项目情况，并报监理人交由发包人与有关部门处理</w:t>
      </w:r>
      <w:r>
        <w:rPr>
          <w:rFonts w:hint="eastAsia" w:ascii="宋体" w:hAnsi="宋体" w:eastAsia="宋体" w:cs="Times New Roman"/>
          <w:color w:val="auto"/>
          <w:kern w:val="0"/>
          <w:szCs w:val="24"/>
          <w:highlight w:val="none"/>
        </w:rPr>
        <w:t>；</w:t>
      </w:r>
    </w:p>
    <w:p w14:paraId="5BFB1FCB">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架设供电线路，接通施工用水管路，确定材料、设备等运输线路</w:t>
      </w:r>
      <w:r>
        <w:rPr>
          <w:rFonts w:hint="eastAsia" w:ascii="宋体" w:hAnsi="宋体" w:eastAsia="宋体" w:cs="Times New Roman"/>
          <w:color w:val="auto"/>
          <w:kern w:val="0"/>
          <w:szCs w:val="24"/>
          <w:highlight w:val="none"/>
        </w:rPr>
        <w:t>；</w:t>
      </w:r>
    </w:p>
    <w:p w14:paraId="72E22C5B">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hint="eastAsia" w:ascii="宋体" w:hAnsi="宋体" w:eastAsia="宋体" w:cs="Times New Roman"/>
          <w:color w:val="auto"/>
          <w:kern w:val="0"/>
          <w:szCs w:val="24"/>
          <w:highlight w:val="none"/>
        </w:rPr>
        <w:t>做好场区的临时排水、</w:t>
      </w:r>
      <w:r>
        <w:rPr>
          <w:rFonts w:ascii="宋体" w:hAnsi="宋体" w:eastAsia="宋体" w:cs="Times New Roman"/>
          <w:color w:val="auto"/>
          <w:kern w:val="0"/>
          <w:szCs w:val="24"/>
          <w:highlight w:val="none"/>
        </w:rPr>
        <w:t>泄水口</w:t>
      </w:r>
      <w:r>
        <w:rPr>
          <w:rFonts w:hint="eastAsia" w:ascii="宋体" w:hAnsi="宋体" w:eastAsia="宋体" w:cs="Times New Roman"/>
          <w:color w:val="auto"/>
          <w:kern w:val="0"/>
          <w:szCs w:val="24"/>
          <w:highlight w:val="none"/>
        </w:rPr>
        <w:t>、车辆、车轮冲洗沟槽设施及场地、道路硬化等及其他全部临时工程；</w:t>
      </w:r>
    </w:p>
    <w:p w14:paraId="7EF8D8DA">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6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组织施工机械设备和材料进场</w:t>
      </w:r>
      <w:r>
        <w:rPr>
          <w:rFonts w:hint="eastAsia" w:ascii="宋体" w:hAnsi="宋体" w:eastAsia="宋体" w:cs="Times New Roman"/>
          <w:color w:val="auto"/>
          <w:kern w:val="0"/>
          <w:szCs w:val="24"/>
          <w:highlight w:val="none"/>
        </w:rPr>
        <w:t>；</w:t>
      </w:r>
    </w:p>
    <w:p w14:paraId="676BE2CC">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7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落实季节性施工措施</w:t>
      </w:r>
      <w:r>
        <w:rPr>
          <w:rFonts w:hint="eastAsia" w:ascii="宋体" w:hAnsi="宋体" w:eastAsia="宋体" w:cs="Times New Roman"/>
          <w:color w:val="auto"/>
          <w:kern w:val="0"/>
          <w:szCs w:val="24"/>
          <w:highlight w:val="none"/>
        </w:rPr>
        <w:t>；</w:t>
      </w:r>
    </w:p>
    <w:p w14:paraId="771653AB">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8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⑻</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向</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提交安全生产</w:t>
      </w:r>
      <w:r>
        <w:rPr>
          <w:rFonts w:hint="eastAsia" w:ascii="宋体" w:hAnsi="宋体" w:eastAsia="宋体" w:cs="Times New Roman"/>
          <w:color w:val="auto"/>
          <w:kern w:val="0"/>
          <w:szCs w:val="24"/>
          <w:highlight w:val="none"/>
        </w:rPr>
        <w:t>(含消防安全)</w:t>
      </w:r>
      <w:r>
        <w:rPr>
          <w:rFonts w:ascii="宋体" w:hAnsi="宋体" w:eastAsia="宋体" w:cs="Times New Roman"/>
          <w:color w:val="auto"/>
          <w:kern w:val="0"/>
          <w:szCs w:val="24"/>
          <w:highlight w:val="none"/>
        </w:rPr>
        <w:t>计划；落实安全、</w:t>
      </w:r>
      <w:r>
        <w:rPr>
          <w:rFonts w:hint="eastAsia" w:ascii="宋体" w:hAnsi="宋体" w:eastAsia="宋体" w:cs="Times New Roman"/>
          <w:color w:val="auto"/>
          <w:kern w:val="0"/>
          <w:szCs w:val="24"/>
          <w:highlight w:val="none"/>
        </w:rPr>
        <w:t>消防和保安措施，以及</w:t>
      </w:r>
      <w:r>
        <w:rPr>
          <w:rFonts w:ascii="宋体" w:hAnsi="宋体" w:eastAsia="宋体" w:cs="Times New Roman"/>
          <w:color w:val="auto"/>
          <w:kern w:val="0"/>
          <w:szCs w:val="24"/>
          <w:highlight w:val="none"/>
        </w:rPr>
        <w:t>文明施工管理措施。</w:t>
      </w:r>
    </w:p>
    <w:p w14:paraId="64016C92">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165" w:name="_Toc20058"/>
      <w:bookmarkStart w:id="1166" w:name="_Toc18232"/>
      <w:bookmarkStart w:id="1167" w:name="_Toc7168"/>
      <w:bookmarkStart w:id="1168" w:name="_Toc22068"/>
      <w:bookmarkStart w:id="1169" w:name="_Toc7763"/>
      <w:bookmarkStart w:id="1170" w:name="_Toc28373"/>
      <w:bookmarkStart w:id="1171" w:name="_Toc305331290"/>
      <w:bookmarkStart w:id="1172" w:name="_Toc19076"/>
      <w:bookmarkStart w:id="1173" w:name="_Toc18584"/>
      <w:bookmarkStart w:id="1174" w:name="_Toc302635764"/>
      <w:bookmarkStart w:id="1175" w:name="_Toc2860"/>
      <w:r>
        <w:rPr>
          <w:rFonts w:hint="eastAsia" w:ascii="宋体" w:hAnsi="宋体" w:eastAsia="宋体" w:cs="Times New Roman"/>
          <w:b/>
          <w:bCs/>
          <w:color w:val="auto"/>
          <w:kern w:val="0"/>
          <w:sz w:val="24"/>
          <w:szCs w:val="24"/>
          <w:highlight w:val="none"/>
          <w:lang w:val="en-US" w:eastAsia="zh-CN" w:bidi="ar-SA"/>
        </w:rPr>
        <w:t>施工技术准备工作</w:t>
      </w:r>
      <w:bookmarkEnd w:id="1165"/>
      <w:bookmarkEnd w:id="1166"/>
      <w:bookmarkEnd w:id="1167"/>
      <w:bookmarkEnd w:id="1168"/>
      <w:bookmarkEnd w:id="1169"/>
      <w:bookmarkEnd w:id="1170"/>
      <w:bookmarkEnd w:id="1171"/>
      <w:bookmarkEnd w:id="1172"/>
      <w:bookmarkEnd w:id="1173"/>
      <w:bookmarkEnd w:id="1174"/>
      <w:bookmarkEnd w:id="1175"/>
    </w:p>
    <w:p w14:paraId="2DF8B45A">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工程开工前，承包人应及时做好</w:t>
      </w:r>
      <w:r>
        <w:rPr>
          <w:rFonts w:hint="eastAsia" w:ascii="宋体" w:hAnsi="宋体" w:eastAsia="宋体" w:cs="Times New Roman"/>
          <w:color w:val="auto"/>
          <w:kern w:val="0"/>
          <w:szCs w:val="24"/>
          <w:highlight w:val="none"/>
        </w:rPr>
        <w:t>如下</w:t>
      </w:r>
      <w:r>
        <w:rPr>
          <w:rFonts w:ascii="宋体" w:hAnsi="宋体" w:eastAsia="宋体" w:cs="Times New Roman"/>
          <w:color w:val="auto"/>
          <w:kern w:val="0"/>
          <w:szCs w:val="24"/>
          <w:highlight w:val="none"/>
        </w:rPr>
        <w:t>施工</w:t>
      </w:r>
      <w:r>
        <w:rPr>
          <w:rFonts w:hint="eastAsia" w:ascii="宋体" w:hAnsi="宋体" w:eastAsia="宋体" w:cs="Times New Roman"/>
          <w:color w:val="auto"/>
          <w:kern w:val="0"/>
          <w:szCs w:val="24"/>
          <w:highlight w:val="none"/>
        </w:rPr>
        <w:t>技术</w:t>
      </w:r>
      <w:r>
        <w:rPr>
          <w:rFonts w:ascii="宋体" w:hAnsi="宋体" w:eastAsia="宋体" w:cs="Times New Roman"/>
          <w:color w:val="auto"/>
          <w:kern w:val="0"/>
          <w:szCs w:val="24"/>
          <w:highlight w:val="none"/>
        </w:rPr>
        <w:t>准备工作</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包括但不限于</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w:t>
      </w:r>
    </w:p>
    <w:p w14:paraId="0F6349A5">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熟悉、审核设计图，参加监理人</w:t>
      </w:r>
      <w:r>
        <w:rPr>
          <w:rFonts w:hint="eastAsia" w:ascii="宋体" w:hAnsi="宋体" w:eastAsia="宋体" w:cs="Times New Roman"/>
          <w:color w:val="auto"/>
          <w:kern w:val="0"/>
          <w:szCs w:val="24"/>
          <w:highlight w:val="none"/>
        </w:rPr>
        <w:t>组织的</w:t>
      </w:r>
      <w:r>
        <w:rPr>
          <w:rFonts w:ascii="宋体" w:hAnsi="宋体" w:eastAsia="宋体" w:cs="Times New Roman"/>
          <w:color w:val="auto"/>
          <w:kern w:val="0"/>
          <w:szCs w:val="24"/>
          <w:highlight w:val="none"/>
        </w:rPr>
        <w:t>设计交底和图纸会审</w:t>
      </w:r>
      <w:r>
        <w:rPr>
          <w:rFonts w:hint="eastAsia" w:ascii="宋体" w:hAnsi="宋体" w:eastAsia="宋体" w:cs="Times New Roman"/>
          <w:color w:val="auto"/>
          <w:kern w:val="0"/>
          <w:szCs w:val="24"/>
          <w:highlight w:val="none"/>
        </w:rPr>
        <w:t>；</w:t>
      </w:r>
    </w:p>
    <w:p w14:paraId="030428F8">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⑵参与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组织的</w:t>
      </w:r>
      <w:r>
        <w:rPr>
          <w:rFonts w:ascii="宋体" w:hAnsi="宋体" w:eastAsia="宋体" w:cs="Times New Roman"/>
          <w:color w:val="auto"/>
          <w:kern w:val="0"/>
          <w:szCs w:val="24"/>
          <w:highlight w:val="none"/>
        </w:rPr>
        <w:t>测量交桩</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复测控制桩和水准点，并制定测量方案和监控量测方案</w:t>
      </w:r>
      <w:r>
        <w:rPr>
          <w:rFonts w:hint="eastAsia" w:ascii="宋体" w:hAnsi="宋体" w:eastAsia="宋体" w:cs="Times New Roman"/>
          <w:color w:val="auto"/>
          <w:kern w:val="0"/>
          <w:szCs w:val="24"/>
          <w:highlight w:val="none"/>
        </w:rPr>
        <w:t>；</w:t>
      </w:r>
    </w:p>
    <w:p w14:paraId="11874950">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按监理人要求，优化施工组织设计</w:t>
      </w:r>
      <w:r>
        <w:rPr>
          <w:rFonts w:hint="eastAsia" w:ascii="宋体" w:hAnsi="宋体" w:eastAsia="宋体" w:cs="Times New Roman"/>
          <w:color w:val="auto"/>
          <w:kern w:val="0"/>
          <w:szCs w:val="24"/>
          <w:highlight w:val="none"/>
        </w:rPr>
        <w:t>；</w:t>
      </w:r>
    </w:p>
    <w:p w14:paraId="31522B66">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做好技术交底和培训，安排好检验试验工作</w:t>
      </w:r>
      <w:r>
        <w:rPr>
          <w:rFonts w:hint="eastAsia" w:ascii="宋体" w:hAnsi="宋体" w:eastAsia="宋体" w:cs="Times New Roman"/>
          <w:color w:val="auto"/>
          <w:kern w:val="0"/>
          <w:szCs w:val="24"/>
          <w:highlight w:val="none"/>
        </w:rPr>
        <w:t>。</w:t>
      </w:r>
    </w:p>
    <w:p w14:paraId="48E808B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176" w:name="_Toc302635765"/>
      <w:bookmarkStart w:id="1177" w:name="_Toc27650"/>
      <w:bookmarkStart w:id="1178" w:name="_Toc25117"/>
      <w:bookmarkStart w:id="1179" w:name="_Toc26554"/>
      <w:bookmarkStart w:id="1180" w:name="_Toc25822"/>
      <w:bookmarkStart w:id="1181" w:name="_Toc305331291"/>
      <w:bookmarkStart w:id="1182" w:name="_Toc26979"/>
      <w:bookmarkStart w:id="1183" w:name="_Toc2714"/>
      <w:bookmarkStart w:id="1184" w:name="_Toc27114"/>
      <w:bookmarkStart w:id="1185" w:name="_Toc21014"/>
      <w:bookmarkStart w:id="1186" w:name="_Toc17821"/>
      <w:bookmarkStart w:id="1187" w:name="_Toc34909005"/>
      <w:r>
        <w:rPr>
          <w:rFonts w:hint="eastAsia" w:ascii="宋体" w:hAnsi="宋体" w:eastAsia="宋体" w:cs="Times New Roman"/>
          <w:b/>
          <w:bCs/>
          <w:color w:val="auto"/>
          <w:kern w:val="0"/>
          <w:sz w:val="24"/>
          <w:szCs w:val="24"/>
          <w:highlight w:val="none"/>
          <w:lang w:val="en-US" w:eastAsia="zh-CN" w:bidi="ar-SA"/>
        </w:rPr>
        <w:t>不利的外界障碍或条件</w:t>
      </w:r>
      <w:bookmarkEnd w:id="1176"/>
      <w:bookmarkEnd w:id="1177"/>
      <w:bookmarkEnd w:id="1178"/>
      <w:bookmarkEnd w:id="1179"/>
      <w:bookmarkEnd w:id="1180"/>
      <w:bookmarkEnd w:id="1181"/>
      <w:bookmarkEnd w:id="1182"/>
      <w:bookmarkEnd w:id="1183"/>
      <w:bookmarkEnd w:id="1184"/>
      <w:bookmarkEnd w:id="1185"/>
      <w:bookmarkEnd w:id="1186"/>
    </w:p>
    <w:p w14:paraId="5562C25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⑴在施工期间，如遇到承包人无法预见的外界障碍或条件，给承包人造成损失和(或)导致工期延误的，发包人应顺延延误的工期，费用的承担在专用条款中另行约定。</w:t>
      </w:r>
    </w:p>
    <w:p w14:paraId="58997F7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⑵在确定损失和(或)延误的工期时，应该考虑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已经发给承包人与此有关的指令，以及在没有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具体指令情况下，承包人所采取的合理措施。</w:t>
      </w:r>
    </w:p>
    <w:p w14:paraId="4A02B34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⑶对于</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已经明确指出的不利的外界障碍或条件，均视为承包人在接受合同时已预见其影响因素并已在投标报价中计入由于其影响而可能发生的一切费用。</w:t>
      </w:r>
      <w:bookmarkEnd w:id="1187"/>
    </w:p>
    <w:p w14:paraId="1BB93795">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188" w:name="_Toc14913"/>
      <w:bookmarkStart w:id="1189" w:name="_Toc302635766"/>
      <w:bookmarkStart w:id="1190" w:name="_Toc305331292"/>
      <w:bookmarkStart w:id="1191" w:name="_Toc6539"/>
      <w:bookmarkStart w:id="1192" w:name="_Toc32024"/>
      <w:bookmarkStart w:id="1193" w:name="_Toc35656477"/>
      <w:bookmarkStart w:id="1194" w:name="_Toc11092"/>
      <w:bookmarkStart w:id="1195" w:name="_Toc34909012"/>
      <w:bookmarkStart w:id="1196" w:name="_Toc22680"/>
      <w:bookmarkStart w:id="1197" w:name="_Toc18261"/>
      <w:bookmarkStart w:id="1198" w:name="_Toc6832"/>
      <w:bookmarkStart w:id="1199" w:name="_Toc30048"/>
      <w:bookmarkStart w:id="1200" w:name="_Toc23016"/>
      <w:bookmarkStart w:id="1201" w:name="_Toc35656979"/>
      <w:r>
        <w:rPr>
          <w:rFonts w:hint="eastAsia" w:ascii="华文细黑" w:hAnsi="宋体" w:eastAsia="宋体" w:cs="Times New Roman"/>
          <w:b/>
          <w:bCs/>
          <w:snapToGrid w:val="0"/>
          <w:color w:val="auto"/>
          <w:kern w:val="0"/>
          <w:sz w:val="28"/>
          <w:szCs w:val="44"/>
          <w:highlight w:val="none"/>
          <w:lang w:val="en-US" w:eastAsia="zh-CN" w:bidi="ar-SA"/>
        </w:rPr>
        <w:t>开工及延期</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7C87723A">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202" w:name="_Toc16521"/>
      <w:bookmarkStart w:id="1203" w:name="_Toc5124"/>
      <w:bookmarkStart w:id="1204" w:name="_Toc20068"/>
      <w:bookmarkStart w:id="1205" w:name="_Toc32389"/>
      <w:bookmarkStart w:id="1206" w:name="_Toc19292"/>
      <w:bookmarkStart w:id="1207" w:name="_Toc305331293"/>
      <w:bookmarkStart w:id="1208" w:name="_Toc12842"/>
      <w:bookmarkStart w:id="1209" w:name="_Toc302635767"/>
      <w:bookmarkStart w:id="1210" w:name="_Toc21215"/>
      <w:bookmarkStart w:id="1211" w:name="_Toc23062"/>
      <w:bookmarkStart w:id="1212" w:name="_Toc14304"/>
      <w:r>
        <w:rPr>
          <w:rFonts w:hint="eastAsia" w:ascii="宋体" w:hAnsi="宋体" w:eastAsia="宋体" w:cs="Times New Roman"/>
          <w:b/>
          <w:bCs/>
          <w:color w:val="auto"/>
          <w:kern w:val="0"/>
          <w:sz w:val="24"/>
          <w:szCs w:val="24"/>
          <w:highlight w:val="none"/>
          <w:lang w:val="en-US" w:eastAsia="zh-CN" w:bidi="ar-SA"/>
        </w:rPr>
        <w:t>开工</w:t>
      </w:r>
      <w:bookmarkEnd w:id="1202"/>
      <w:bookmarkEnd w:id="1203"/>
      <w:bookmarkEnd w:id="1204"/>
      <w:bookmarkEnd w:id="1205"/>
      <w:bookmarkEnd w:id="1206"/>
      <w:bookmarkEnd w:id="1207"/>
      <w:bookmarkEnd w:id="1208"/>
      <w:bookmarkEnd w:id="1209"/>
      <w:bookmarkEnd w:id="1210"/>
      <w:bookmarkEnd w:id="1211"/>
      <w:bookmarkEnd w:id="1212"/>
    </w:p>
    <w:p w14:paraId="601152EA">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应按合同约定的开工日期在不少于7天前向承包人发出开工通知书，承包人应按合同约定的开工日期开始本工程或按专用条款13.1款约定的单项工程开工日期开始本工程中某单项工程的施工。</w:t>
      </w:r>
    </w:p>
    <w:p w14:paraId="70FE015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213" w:name="_Toc23652"/>
      <w:bookmarkStart w:id="1214" w:name="_Toc302635768"/>
      <w:bookmarkStart w:id="1215" w:name="_Toc6413"/>
      <w:bookmarkStart w:id="1216" w:name="_Toc9868"/>
      <w:bookmarkStart w:id="1217" w:name="_Toc32011"/>
      <w:bookmarkStart w:id="1218" w:name="_Toc12285"/>
      <w:bookmarkStart w:id="1219" w:name="_Toc1899"/>
      <w:bookmarkStart w:id="1220" w:name="_Toc305331294"/>
      <w:bookmarkStart w:id="1221" w:name="_Toc13531"/>
      <w:bookmarkStart w:id="1222" w:name="_Toc29096"/>
      <w:bookmarkStart w:id="1223" w:name="_Toc10260"/>
      <w:bookmarkStart w:id="1224" w:name="_Toc34909014"/>
      <w:r>
        <w:rPr>
          <w:rFonts w:hint="eastAsia" w:ascii="宋体" w:hAnsi="宋体" w:eastAsia="宋体" w:cs="Times New Roman"/>
          <w:b/>
          <w:bCs/>
          <w:color w:val="auto"/>
          <w:kern w:val="0"/>
          <w:sz w:val="24"/>
          <w:szCs w:val="24"/>
          <w:highlight w:val="none"/>
          <w:lang w:val="en-US" w:eastAsia="zh-CN" w:bidi="ar-SA"/>
        </w:rPr>
        <w:t>开工延期</w:t>
      </w:r>
      <w:bookmarkEnd w:id="1213"/>
      <w:bookmarkEnd w:id="1214"/>
      <w:bookmarkEnd w:id="1215"/>
      <w:bookmarkEnd w:id="1216"/>
      <w:bookmarkEnd w:id="1217"/>
      <w:bookmarkEnd w:id="1218"/>
      <w:bookmarkEnd w:id="1219"/>
      <w:bookmarkEnd w:id="1220"/>
      <w:bookmarkEnd w:id="1221"/>
      <w:bookmarkEnd w:id="1222"/>
      <w:bookmarkEnd w:id="1223"/>
    </w:p>
    <w:p w14:paraId="722F189C">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⑴承包人因自身的原因不能按本合同约定的开工日期开工，应在不少于本合同约定的开工日期前7天，以书面形式向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提出开工延期的要求和理由。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接到开工延期申请后48小时内予以审核，并报发包人审批后答复承包人。发包人同意开工延期或逾期未予答复的，开工延期并相应顺延工期；发包人不同意开工延期或承包人未在约定时限内提出开工延期申请的，开工不予延期并工期不予顺延</w:t>
      </w:r>
      <w:bookmarkEnd w:id="1224"/>
      <w:r>
        <w:rPr>
          <w:rFonts w:hint="eastAsia" w:ascii="宋体" w:hAnsi="宋体" w:eastAsia="宋体" w:cs="Times New Roman"/>
          <w:color w:val="auto"/>
          <w:kern w:val="0"/>
          <w:szCs w:val="24"/>
          <w:highlight w:val="none"/>
        </w:rPr>
        <w:t>。</w:t>
      </w:r>
    </w:p>
    <w:p w14:paraId="464CB65F">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225" w:name="_Toc34909015"/>
      <w:r>
        <w:rPr>
          <w:rFonts w:hint="eastAsia" w:ascii="宋体" w:hAnsi="宋体" w:eastAsia="宋体" w:cs="Times New Roman"/>
          <w:color w:val="auto"/>
          <w:kern w:val="0"/>
          <w:szCs w:val="24"/>
          <w:highlight w:val="none"/>
        </w:rPr>
        <w:t>⑵因发包人的原因造成承包人不能在本合同约定的开工日期开工，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应在不少于本合同约定的开工日期前7天，以书面形式通知承包人，延期开工并相应顺延工期。因发包人的原因延期开工给承包人造成损失的，发包人应赔偿承包人损失。</w:t>
      </w:r>
      <w:bookmarkEnd w:id="1225"/>
    </w:p>
    <w:p w14:paraId="68A3662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⑶按照11.2⑴、⑵款情形确定延期开工后，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应在具备开工条件后至少提前7天向承包人发出开工通知书。</w:t>
      </w:r>
    </w:p>
    <w:p w14:paraId="7CEA4050">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226" w:name="_Toc35656980"/>
      <w:bookmarkStart w:id="1227" w:name="_Toc34909016"/>
      <w:bookmarkStart w:id="1228" w:name="_Toc35656478"/>
      <w:bookmarkStart w:id="1229" w:name="_Toc305331295"/>
      <w:bookmarkStart w:id="1230" w:name="_Toc28258"/>
      <w:bookmarkStart w:id="1231" w:name="_Toc302635769"/>
      <w:bookmarkStart w:id="1232" w:name="_Toc22920"/>
      <w:bookmarkStart w:id="1233" w:name="_Toc8515"/>
      <w:bookmarkStart w:id="1234" w:name="_Toc30864"/>
      <w:bookmarkStart w:id="1235" w:name="_Toc9059"/>
      <w:bookmarkStart w:id="1236" w:name="_Toc10600"/>
      <w:bookmarkStart w:id="1237" w:name="_Toc17397"/>
      <w:bookmarkStart w:id="1238" w:name="_Toc18118"/>
      <w:bookmarkStart w:id="1239" w:name="_Toc24383"/>
      <w:r>
        <w:rPr>
          <w:rFonts w:hint="eastAsia" w:ascii="华文细黑" w:hAnsi="宋体" w:eastAsia="宋体" w:cs="Times New Roman"/>
          <w:b/>
          <w:bCs/>
          <w:snapToGrid w:val="0"/>
          <w:color w:val="auto"/>
          <w:kern w:val="0"/>
          <w:sz w:val="28"/>
          <w:szCs w:val="44"/>
          <w:highlight w:val="none"/>
          <w:lang w:val="en-US" w:eastAsia="zh-CN" w:bidi="ar-SA"/>
        </w:rPr>
        <w:t>暂停施工和</w:t>
      </w:r>
      <w:bookmarkEnd w:id="1226"/>
      <w:bookmarkEnd w:id="1227"/>
      <w:bookmarkEnd w:id="1228"/>
      <w:r>
        <w:rPr>
          <w:rFonts w:hint="eastAsia" w:ascii="华文细黑" w:hAnsi="宋体" w:eastAsia="宋体" w:cs="Times New Roman"/>
          <w:b/>
          <w:bCs/>
          <w:snapToGrid w:val="0"/>
          <w:color w:val="auto"/>
          <w:kern w:val="0"/>
          <w:sz w:val="28"/>
          <w:szCs w:val="44"/>
          <w:highlight w:val="none"/>
          <w:lang w:val="en-US" w:eastAsia="zh-CN" w:bidi="ar-SA"/>
        </w:rPr>
        <w:t>恢复施工</w:t>
      </w:r>
      <w:bookmarkEnd w:id="1229"/>
      <w:bookmarkEnd w:id="1230"/>
      <w:bookmarkEnd w:id="1231"/>
      <w:bookmarkEnd w:id="1232"/>
      <w:bookmarkEnd w:id="1233"/>
      <w:bookmarkEnd w:id="1234"/>
      <w:bookmarkEnd w:id="1235"/>
      <w:bookmarkEnd w:id="1236"/>
      <w:bookmarkEnd w:id="1237"/>
      <w:bookmarkEnd w:id="1238"/>
      <w:bookmarkEnd w:id="1239"/>
    </w:p>
    <w:p w14:paraId="22F46752">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40" w:name="_Toc302635770"/>
      <w:bookmarkStart w:id="1241" w:name="_Toc27491"/>
      <w:bookmarkStart w:id="1242" w:name="_Toc24549"/>
      <w:bookmarkStart w:id="1243" w:name="_Toc28523"/>
      <w:bookmarkStart w:id="1244" w:name="_Toc20752"/>
      <w:bookmarkStart w:id="1245" w:name="_Toc30824"/>
      <w:bookmarkStart w:id="1246" w:name="_Toc1602"/>
      <w:bookmarkStart w:id="1247" w:name="_Toc20158"/>
      <w:bookmarkStart w:id="1248" w:name="_Toc9904"/>
      <w:bookmarkStart w:id="1249" w:name="_Toc8552"/>
      <w:bookmarkStart w:id="1250" w:name="_Toc305331296"/>
      <w:bookmarkStart w:id="1251" w:name="_Toc34909017"/>
      <w:r>
        <w:rPr>
          <w:rFonts w:ascii="宋体" w:hAnsi="宋体" w:eastAsia="宋体" w:cs="Times New Roman"/>
          <w:b/>
          <w:bCs/>
          <w:color w:val="auto"/>
          <w:kern w:val="0"/>
          <w:sz w:val="24"/>
          <w:szCs w:val="24"/>
          <w:highlight w:val="none"/>
          <w:lang w:val="en-US" w:eastAsia="zh-CN" w:bidi="ar-SA"/>
        </w:rPr>
        <w:t>发包人原因引起的暂停施工</w:t>
      </w:r>
      <w:bookmarkEnd w:id="1240"/>
      <w:bookmarkEnd w:id="1241"/>
      <w:bookmarkEnd w:id="1242"/>
      <w:bookmarkEnd w:id="1243"/>
      <w:bookmarkEnd w:id="1244"/>
      <w:bookmarkEnd w:id="1245"/>
      <w:bookmarkEnd w:id="1246"/>
      <w:bookmarkEnd w:id="1247"/>
      <w:bookmarkEnd w:id="1248"/>
      <w:bookmarkEnd w:id="1249"/>
    </w:p>
    <w:p w14:paraId="1DF055AC">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因发包人原因引起暂停施工的，监理人经发包人同意后，应及时下达暂停施工指示。情况紧急且监理人未及时下达暂停施工指示的，按照第</w:t>
      </w:r>
      <w:r>
        <w:rPr>
          <w:rFonts w:hint="eastAsia" w:ascii="宋体" w:hAnsi="宋体" w:eastAsia="宋体" w:cs="Times New Roman"/>
          <w:color w:val="auto"/>
          <w:kern w:val="0"/>
          <w:szCs w:val="24"/>
          <w:highlight w:val="none"/>
        </w:rPr>
        <w:t>12</w:t>
      </w:r>
      <w:r>
        <w:rPr>
          <w:rFonts w:ascii="宋体" w:hAnsi="宋体" w:eastAsia="宋体" w:cs="Times New Roman"/>
          <w:color w:val="auto"/>
          <w:kern w:val="0"/>
          <w:szCs w:val="24"/>
          <w:highlight w:val="none"/>
        </w:rPr>
        <w:t>.4</w:t>
      </w:r>
      <w:r>
        <w:rPr>
          <w:rFonts w:hint="eastAsia" w:ascii="宋体" w:hAnsi="宋体" w:eastAsia="宋体" w:cs="Times New Roman"/>
          <w:color w:val="auto"/>
          <w:kern w:val="0"/>
          <w:szCs w:val="24"/>
          <w:highlight w:val="none"/>
        </w:rPr>
        <w:t>款〔</w:t>
      </w:r>
      <w:r>
        <w:rPr>
          <w:rFonts w:ascii="宋体" w:hAnsi="宋体" w:eastAsia="宋体" w:cs="Times New Roman"/>
          <w:color w:val="auto"/>
          <w:kern w:val="0"/>
          <w:szCs w:val="24"/>
          <w:highlight w:val="none"/>
        </w:rPr>
        <w:t>紧急情况下的暂停施工</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执行。</w:t>
      </w:r>
    </w:p>
    <w:p w14:paraId="3B753977">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因发包人原因引起的暂停施工，发包人应承担由此增加的费用和（或）延误的工期，并支付承包人合理的利润。</w:t>
      </w:r>
    </w:p>
    <w:p w14:paraId="4051B72E">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52" w:name="_Toc30869"/>
      <w:bookmarkStart w:id="1253" w:name="_Toc31448"/>
      <w:bookmarkStart w:id="1254" w:name="_Toc302635771"/>
      <w:bookmarkStart w:id="1255" w:name="_Toc20420"/>
      <w:bookmarkStart w:id="1256" w:name="_Toc8789"/>
      <w:bookmarkStart w:id="1257" w:name="_Toc24326"/>
      <w:bookmarkStart w:id="1258" w:name="_Toc30809"/>
      <w:bookmarkStart w:id="1259" w:name="_Toc21352"/>
      <w:bookmarkStart w:id="1260" w:name="_Toc31081"/>
      <w:bookmarkStart w:id="1261" w:name="_Toc2296"/>
      <w:r>
        <w:rPr>
          <w:rFonts w:ascii="宋体" w:hAnsi="宋体" w:eastAsia="宋体" w:cs="Times New Roman"/>
          <w:b/>
          <w:bCs/>
          <w:color w:val="auto"/>
          <w:kern w:val="0"/>
          <w:sz w:val="24"/>
          <w:szCs w:val="24"/>
          <w:highlight w:val="none"/>
          <w:lang w:val="en-US" w:eastAsia="zh-CN" w:bidi="ar-SA"/>
        </w:rPr>
        <w:t>承包人原因引起的暂停施工</w:t>
      </w:r>
      <w:bookmarkEnd w:id="1252"/>
      <w:bookmarkEnd w:id="1253"/>
      <w:bookmarkEnd w:id="1254"/>
      <w:bookmarkEnd w:id="1255"/>
      <w:bookmarkEnd w:id="1256"/>
      <w:bookmarkEnd w:id="1257"/>
      <w:bookmarkEnd w:id="1258"/>
      <w:bookmarkEnd w:id="1259"/>
      <w:bookmarkEnd w:id="1260"/>
      <w:bookmarkEnd w:id="1261"/>
    </w:p>
    <w:p w14:paraId="2BCF784F">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因承包人原因引起的暂停施工，承包人应承担由此增加的费用和（或）延误的工期，且承包人在收到监理人复工指示后</w:t>
      </w:r>
      <w:r>
        <w:rPr>
          <w:rFonts w:hint="eastAsia" w:ascii="宋体" w:hAnsi="宋体" w:eastAsia="宋体" w:cs="Times New Roman"/>
          <w:color w:val="auto"/>
          <w:kern w:val="0"/>
          <w:szCs w:val="24"/>
          <w:highlight w:val="none"/>
        </w:rPr>
        <w:t>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约定的期限</w:t>
      </w:r>
      <w:r>
        <w:rPr>
          <w:rFonts w:ascii="宋体" w:hAnsi="宋体" w:eastAsia="宋体" w:cs="Times New Roman"/>
          <w:color w:val="auto"/>
          <w:kern w:val="0"/>
          <w:szCs w:val="24"/>
          <w:highlight w:val="none"/>
        </w:rPr>
        <w:t>内仍未复工的，视为第</w:t>
      </w:r>
      <w:r>
        <w:rPr>
          <w:rFonts w:hint="eastAsia" w:ascii="宋体" w:hAnsi="宋体" w:eastAsia="宋体" w:cs="Times New Roman"/>
          <w:color w:val="auto"/>
          <w:kern w:val="0"/>
          <w:szCs w:val="24"/>
          <w:highlight w:val="none"/>
          <w:lang w:val="en-US" w:eastAsia="zh-CN"/>
        </w:rPr>
        <w:t>29</w:t>
      </w:r>
      <w:r>
        <w:rPr>
          <w:rFonts w:hint="eastAsia" w:ascii="宋体" w:hAnsi="宋体" w:eastAsia="宋体" w:cs="Times New Roman"/>
          <w:color w:val="auto"/>
          <w:kern w:val="0"/>
          <w:szCs w:val="24"/>
          <w:highlight w:val="none"/>
        </w:rPr>
        <w:t>.2款〔</w:t>
      </w:r>
      <w:r>
        <w:rPr>
          <w:rFonts w:ascii="宋体" w:hAnsi="宋体" w:eastAsia="宋体" w:cs="Times New Roman"/>
          <w:color w:val="auto"/>
          <w:kern w:val="0"/>
          <w:szCs w:val="24"/>
          <w:highlight w:val="none"/>
        </w:rPr>
        <w:t>承包人违约</w:t>
      </w:r>
      <w:r>
        <w:rPr>
          <w:rFonts w:hint="eastAsia" w:ascii="宋体" w:hAnsi="宋体" w:eastAsia="宋体" w:cs="Times New Roman"/>
          <w:color w:val="auto"/>
          <w:kern w:val="0"/>
          <w:szCs w:val="24"/>
          <w:highlight w:val="none"/>
        </w:rPr>
        <w:t>〕第⑺</w:t>
      </w:r>
      <w:r>
        <w:rPr>
          <w:rFonts w:ascii="宋体" w:hAnsi="宋体" w:eastAsia="宋体" w:cs="Times New Roman"/>
          <w:color w:val="auto"/>
          <w:kern w:val="0"/>
          <w:szCs w:val="24"/>
          <w:highlight w:val="none"/>
        </w:rPr>
        <w:t>项约定的承包人无法继续履行合同的情形。</w:t>
      </w:r>
    </w:p>
    <w:p w14:paraId="5E18ED23">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62" w:name="_Toc12995"/>
      <w:bookmarkStart w:id="1263" w:name="_Toc21628"/>
      <w:bookmarkStart w:id="1264" w:name="_Toc14728"/>
      <w:bookmarkStart w:id="1265" w:name="_Toc19352"/>
      <w:bookmarkStart w:id="1266" w:name="_Toc12267"/>
      <w:bookmarkStart w:id="1267" w:name="_Toc302635772"/>
      <w:bookmarkStart w:id="1268" w:name="_Toc18747"/>
      <w:bookmarkStart w:id="1269" w:name="_Toc5855"/>
      <w:bookmarkStart w:id="1270" w:name="_Toc3428"/>
      <w:bookmarkStart w:id="1271" w:name="_Toc5745"/>
      <w:r>
        <w:rPr>
          <w:rFonts w:ascii="宋体" w:hAnsi="宋体" w:eastAsia="宋体" w:cs="Times New Roman"/>
          <w:b/>
          <w:bCs/>
          <w:color w:val="auto"/>
          <w:kern w:val="0"/>
          <w:sz w:val="24"/>
          <w:szCs w:val="24"/>
          <w:highlight w:val="none"/>
          <w:lang w:val="en-US" w:eastAsia="zh-CN" w:bidi="ar-SA"/>
        </w:rPr>
        <w:t>指示暂停施工</w:t>
      </w:r>
      <w:bookmarkEnd w:id="1262"/>
      <w:bookmarkEnd w:id="1263"/>
      <w:bookmarkEnd w:id="1264"/>
      <w:bookmarkEnd w:id="1265"/>
      <w:bookmarkEnd w:id="1266"/>
      <w:bookmarkEnd w:id="1267"/>
      <w:bookmarkEnd w:id="1268"/>
      <w:bookmarkEnd w:id="1269"/>
      <w:bookmarkEnd w:id="1270"/>
      <w:bookmarkEnd w:id="1271"/>
    </w:p>
    <w:p w14:paraId="0E36F6E9">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监理人认为有必要时，并经发包人批准后，可向承包人作出暂停施工的指示，承包人应按监理人指示暂停施工。</w:t>
      </w:r>
    </w:p>
    <w:p w14:paraId="5EB2EFF3">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72" w:name="_Toc5162"/>
      <w:bookmarkStart w:id="1273" w:name="_Toc19338"/>
      <w:bookmarkStart w:id="1274" w:name="_Toc28391"/>
      <w:bookmarkStart w:id="1275" w:name="_Toc25582"/>
      <w:bookmarkStart w:id="1276" w:name="_Toc32173"/>
      <w:bookmarkStart w:id="1277" w:name="_Toc9346"/>
      <w:bookmarkStart w:id="1278" w:name="_Toc10406"/>
      <w:bookmarkStart w:id="1279" w:name="_Toc302635773"/>
      <w:bookmarkStart w:id="1280" w:name="_Toc29340"/>
      <w:bookmarkStart w:id="1281" w:name="_Toc4504"/>
      <w:r>
        <w:rPr>
          <w:rFonts w:ascii="宋体" w:hAnsi="宋体" w:eastAsia="宋体" w:cs="Times New Roman"/>
          <w:b/>
          <w:bCs/>
          <w:color w:val="auto"/>
          <w:kern w:val="0"/>
          <w:sz w:val="24"/>
          <w:szCs w:val="24"/>
          <w:highlight w:val="none"/>
          <w:lang w:val="en-US" w:eastAsia="zh-CN" w:bidi="ar-SA"/>
        </w:rPr>
        <w:t>紧急情况下的暂停施工</w:t>
      </w:r>
      <w:bookmarkEnd w:id="1272"/>
      <w:bookmarkEnd w:id="1273"/>
      <w:bookmarkEnd w:id="1274"/>
      <w:bookmarkEnd w:id="1275"/>
      <w:bookmarkEnd w:id="1276"/>
      <w:bookmarkEnd w:id="1277"/>
      <w:bookmarkEnd w:id="1278"/>
      <w:bookmarkEnd w:id="1279"/>
      <w:bookmarkEnd w:id="1280"/>
      <w:bookmarkEnd w:id="1281"/>
    </w:p>
    <w:p w14:paraId="1264A54D">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约定处理。</w:t>
      </w:r>
    </w:p>
    <w:p w14:paraId="70FBD2F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82" w:name="_Toc3570"/>
      <w:bookmarkStart w:id="1283" w:name="_Toc25721"/>
      <w:bookmarkStart w:id="1284" w:name="_Toc1268"/>
      <w:bookmarkStart w:id="1285" w:name="_Toc24096"/>
      <w:bookmarkStart w:id="1286" w:name="_Toc13502"/>
      <w:bookmarkStart w:id="1287" w:name="_Toc32447"/>
      <w:bookmarkStart w:id="1288" w:name="_Toc23717"/>
      <w:bookmarkStart w:id="1289" w:name="_Toc11758"/>
      <w:bookmarkStart w:id="1290" w:name="_Toc302635774"/>
      <w:bookmarkStart w:id="1291" w:name="_Toc7658"/>
      <w:r>
        <w:rPr>
          <w:rFonts w:ascii="宋体" w:hAnsi="宋体" w:eastAsia="宋体" w:cs="Times New Roman"/>
          <w:b/>
          <w:bCs/>
          <w:color w:val="auto"/>
          <w:kern w:val="0"/>
          <w:sz w:val="24"/>
          <w:szCs w:val="24"/>
          <w:highlight w:val="none"/>
          <w:lang w:val="en-US" w:eastAsia="zh-CN" w:bidi="ar-SA"/>
        </w:rPr>
        <w:t>暂停施工后的复工</w:t>
      </w:r>
      <w:bookmarkEnd w:id="1282"/>
      <w:bookmarkEnd w:id="1283"/>
      <w:bookmarkEnd w:id="1284"/>
      <w:bookmarkEnd w:id="1285"/>
      <w:bookmarkEnd w:id="1286"/>
      <w:bookmarkEnd w:id="1287"/>
      <w:bookmarkEnd w:id="1288"/>
      <w:bookmarkEnd w:id="1289"/>
      <w:bookmarkEnd w:id="1290"/>
      <w:bookmarkEnd w:id="1291"/>
    </w:p>
    <w:p w14:paraId="4283C506">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BD2DB10">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承包人无故拖延和拒绝复工的，承包人承担由此增加的费用和（或）延误的工期；因发包人原因无法按时复工的，按照第</w:t>
      </w:r>
      <w:r>
        <w:rPr>
          <w:rFonts w:hint="eastAsia" w:ascii="宋体" w:hAnsi="宋体" w:eastAsia="宋体" w:cs="Times New Roman"/>
          <w:color w:val="auto"/>
          <w:kern w:val="0"/>
          <w:szCs w:val="24"/>
          <w:highlight w:val="none"/>
        </w:rPr>
        <w:t>13.2款〔</w:t>
      </w:r>
      <w:r>
        <w:rPr>
          <w:rFonts w:ascii="宋体" w:hAnsi="宋体" w:eastAsia="宋体" w:cs="Times New Roman"/>
          <w:color w:val="auto"/>
          <w:kern w:val="0"/>
          <w:szCs w:val="24"/>
          <w:highlight w:val="none"/>
        </w:rPr>
        <w:t>因发包人原因导致工期延误</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约定办理。</w:t>
      </w:r>
    </w:p>
    <w:p w14:paraId="0CF9F66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92" w:name="_Toc5610"/>
      <w:bookmarkStart w:id="1293" w:name="_Toc302635775"/>
      <w:bookmarkStart w:id="1294" w:name="_Toc16929"/>
      <w:bookmarkStart w:id="1295" w:name="_Toc26531"/>
      <w:bookmarkStart w:id="1296" w:name="_Toc2986"/>
      <w:bookmarkStart w:id="1297" w:name="_Toc31049"/>
      <w:bookmarkStart w:id="1298" w:name="_Toc8696"/>
      <w:bookmarkStart w:id="1299" w:name="_Toc22734"/>
      <w:bookmarkStart w:id="1300" w:name="_Toc19782"/>
      <w:bookmarkStart w:id="1301" w:name="_Toc18185"/>
      <w:r>
        <w:rPr>
          <w:rFonts w:ascii="宋体" w:hAnsi="宋体" w:eastAsia="宋体" w:cs="Times New Roman"/>
          <w:b/>
          <w:bCs/>
          <w:color w:val="auto"/>
          <w:kern w:val="0"/>
          <w:sz w:val="24"/>
          <w:szCs w:val="24"/>
          <w:highlight w:val="none"/>
          <w:lang w:val="en-US" w:eastAsia="zh-CN" w:bidi="ar-SA"/>
        </w:rPr>
        <w:t>暂停施工期间的工程照管</w:t>
      </w:r>
      <w:bookmarkEnd w:id="1292"/>
      <w:bookmarkEnd w:id="1293"/>
      <w:bookmarkEnd w:id="1294"/>
      <w:bookmarkEnd w:id="1295"/>
      <w:bookmarkEnd w:id="1296"/>
      <w:bookmarkEnd w:id="1297"/>
      <w:bookmarkEnd w:id="1298"/>
      <w:bookmarkEnd w:id="1299"/>
      <w:bookmarkEnd w:id="1300"/>
      <w:bookmarkEnd w:id="1301"/>
    </w:p>
    <w:p w14:paraId="5C8E4E84">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暂停施工期间，承包人应负责妥善照管工程并提供安全保障，由此增加的费用由责任方承担。</w:t>
      </w:r>
    </w:p>
    <w:bookmarkEnd w:id="1250"/>
    <w:bookmarkEnd w:id="1251"/>
    <w:p w14:paraId="0384A70B">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302" w:name="_Toc24563"/>
      <w:bookmarkStart w:id="1303" w:name="_Toc29750"/>
      <w:bookmarkStart w:id="1304" w:name="_Toc35656479"/>
      <w:bookmarkStart w:id="1305" w:name="_Toc34909021"/>
      <w:bookmarkStart w:id="1306" w:name="_Toc15335"/>
      <w:bookmarkStart w:id="1307" w:name="_Toc28482"/>
      <w:bookmarkStart w:id="1308" w:name="_Toc31915"/>
      <w:bookmarkStart w:id="1309" w:name="_Toc305331299"/>
      <w:bookmarkStart w:id="1310" w:name="_Toc2049"/>
      <w:bookmarkStart w:id="1311" w:name="_Toc1086"/>
      <w:bookmarkStart w:id="1312" w:name="_Toc35656981"/>
      <w:bookmarkStart w:id="1313" w:name="_Toc302635776"/>
      <w:bookmarkStart w:id="1314" w:name="_Toc17308"/>
      <w:bookmarkStart w:id="1315" w:name="_Toc14659"/>
      <w:r>
        <w:rPr>
          <w:rFonts w:hint="eastAsia" w:ascii="华文细黑" w:hAnsi="宋体" w:eastAsia="宋体" w:cs="Times New Roman"/>
          <w:b/>
          <w:bCs/>
          <w:snapToGrid w:val="0"/>
          <w:color w:val="auto"/>
          <w:kern w:val="0"/>
          <w:sz w:val="28"/>
          <w:szCs w:val="44"/>
          <w:highlight w:val="none"/>
          <w:lang w:val="en-US" w:eastAsia="zh-CN" w:bidi="ar-SA"/>
        </w:rPr>
        <w:t>工期及延误</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7949EE9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316" w:name="_Toc19496"/>
      <w:bookmarkStart w:id="1317" w:name="_Toc11683"/>
      <w:bookmarkStart w:id="1318" w:name="_Toc4711"/>
      <w:bookmarkStart w:id="1319" w:name="_Toc6891"/>
      <w:bookmarkStart w:id="1320" w:name="_Toc305331300"/>
      <w:bookmarkStart w:id="1321" w:name="_Toc17827"/>
      <w:bookmarkStart w:id="1322" w:name="_Toc15679"/>
      <w:bookmarkStart w:id="1323" w:name="_Toc22490"/>
      <w:bookmarkStart w:id="1324" w:name="_Toc20714"/>
      <w:bookmarkStart w:id="1325" w:name="_Toc3082"/>
      <w:bookmarkStart w:id="1326" w:name="_Toc302635777"/>
      <w:bookmarkStart w:id="1327" w:name="_Toc34909022"/>
      <w:r>
        <w:rPr>
          <w:rFonts w:hint="eastAsia" w:ascii="宋体" w:hAnsi="宋体" w:eastAsia="宋体" w:cs="Times New Roman"/>
          <w:b/>
          <w:bCs/>
          <w:color w:val="auto"/>
          <w:kern w:val="0"/>
          <w:sz w:val="24"/>
          <w:szCs w:val="24"/>
          <w:highlight w:val="none"/>
          <w:lang w:val="en-US" w:eastAsia="zh-CN" w:bidi="ar-SA"/>
        </w:rPr>
        <w:t>工期</w:t>
      </w:r>
      <w:bookmarkEnd w:id="1316"/>
      <w:bookmarkEnd w:id="1317"/>
      <w:bookmarkEnd w:id="1318"/>
      <w:bookmarkEnd w:id="1319"/>
      <w:bookmarkEnd w:id="1320"/>
      <w:bookmarkEnd w:id="1321"/>
      <w:bookmarkEnd w:id="1322"/>
      <w:bookmarkEnd w:id="1323"/>
      <w:bookmarkEnd w:id="1324"/>
      <w:bookmarkEnd w:id="1325"/>
      <w:bookmarkEnd w:id="1326"/>
    </w:p>
    <w:p w14:paraId="5D014E9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本工程须在本合同协议书中约定的时间内完成，或在根据第13.2款〔因发包人原因导致工期延误〕约定的延长期限内完成。本工程的任何单项工程须在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约定的各段时间内完成，或在根据第13.2款〔因发包人原因导致工期延误〕约定的延长期限内完成。</w:t>
      </w:r>
      <w:bookmarkEnd w:id="1327"/>
      <w:bookmarkStart w:id="1328" w:name="_Toc34909023"/>
    </w:p>
    <w:p w14:paraId="2539D3C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29" w:name="_Toc26717"/>
      <w:bookmarkStart w:id="1330" w:name="_Toc302635778"/>
      <w:bookmarkStart w:id="1331" w:name="_Toc32558"/>
      <w:bookmarkStart w:id="1332" w:name="_Toc26591"/>
      <w:bookmarkStart w:id="1333" w:name="_Toc21209"/>
      <w:bookmarkStart w:id="1334" w:name="_Toc28407"/>
      <w:bookmarkStart w:id="1335" w:name="_Toc25679"/>
      <w:bookmarkStart w:id="1336" w:name="_Toc12238"/>
      <w:bookmarkStart w:id="1337" w:name="_Toc26607"/>
      <w:bookmarkStart w:id="1338" w:name="_Toc6186"/>
      <w:bookmarkStart w:id="1339" w:name="_Toc305331301"/>
      <w:r>
        <w:rPr>
          <w:rFonts w:ascii="宋体" w:hAnsi="宋体" w:eastAsia="宋体" w:cs="Times New Roman"/>
          <w:b/>
          <w:bCs/>
          <w:color w:val="auto"/>
          <w:kern w:val="0"/>
          <w:sz w:val="24"/>
          <w:szCs w:val="24"/>
          <w:highlight w:val="none"/>
          <w:lang w:val="en-US" w:eastAsia="zh-CN" w:bidi="ar-SA"/>
        </w:rPr>
        <w:t>因发包人原因导致工期延误</w:t>
      </w:r>
      <w:bookmarkEnd w:id="1329"/>
      <w:bookmarkEnd w:id="1330"/>
      <w:bookmarkEnd w:id="1331"/>
      <w:bookmarkEnd w:id="1332"/>
      <w:bookmarkEnd w:id="1333"/>
      <w:bookmarkEnd w:id="1334"/>
      <w:bookmarkEnd w:id="1335"/>
      <w:bookmarkEnd w:id="1336"/>
      <w:bookmarkEnd w:id="1337"/>
      <w:bookmarkEnd w:id="1338"/>
    </w:p>
    <w:p w14:paraId="0AAAEACB">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 xml:space="preserve">在合同履行过程中，因下列情况导致工期延误和（或）费用增加的，由发包人承担由此延误的工期和（或）增加的费用，且发包人应支付承包人合理的利润： </w:t>
      </w:r>
    </w:p>
    <w:p w14:paraId="3CB82372">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1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发包人未能按合同约定提供图纸或所提供图纸不符合合同约定的；</w:t>
      </w:r>
    </w:p>
    <w:p w14:paraId="590763D1">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2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发包人未能按合同约定提供施工现场、施工条件、基础资料、许可、批准等开工条件的；</w:t>
      </w:r>
    </w:p>
    <w:p w14:paraId="71B1E005">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3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发包人提供的测量基准点、基准线和水准点及其书面资料存在错误或疏漏的；</w:t>
      </w:r>
    </w:p>
    <w:p w14:paraId="3DFE0BB9">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发包人未能在计划开工日期之日起7天内同意下达开工通知的；</w:t>
      </w:r>
    </w:p>
    <w:p w14:paraId="77272BC1">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发包人未能按合同约定日期支付工程预付款、进度款</w:t>
      </w:r>
      <w:r>
        <w:rPr>
          <w:rFonts w:hint="eastAsia" w:ascii="宋体" w:hAnsi="宋体" w:eastAsia="宋体" w:cs="Times New Roman"/>
          <w:color w:val="auto"/>
          <w:kern w:val="0"/>
          <w:szCs w:val="24"/>
          <w:highlight w:val="none"/>
          <w:lang w:eastAsia="zh-CN"/>
        </w:rPr>
        <w:t>、过程结算款</w:t>
      </w:r>
      <w:r>
        <w:rPr>
          <w:rFonts w:ascii="宋体" w:hAnsi="宋体" w:eastAsia="宋体" w:cs="Times New Roman"/>
          <w:color w:val="auto"/>
          <w:kern w:val="0"/>
          <w:szCs w:val="24"/>
          <w:highlight w:val="none"/>
        </w:rPr>
        <w:t>或竣工结算款的；</w:t>
      </w:r>
    </w:p>
    <w:p w14:paraId="3F0CFE67">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6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监理人未按合同约定发出指示、批准等文件的；</w:t>
      </w:r>
    </w:p>
    <w:p w14:paraId="1D2251B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7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fldChar w:fldCharType="end"/>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中约定的其他情形。</w:t>
      </w:r>
    </w:p>
    <w:p w14:paraId="1C9B786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因发包人原因未按计划开工日期开工的，发包人应按实际开工日期顺延竣工日期，确保实际工期不低于合同约定的工期总日历天数。因发包人原因导致工期延误需要修订施工进度计划的，按照第9.3</w:t>
      </w:r>
      <w:r>
        <w:rPr>
          <w:rFonts w:hint="eastAsia" w:ascii="宋体" w:hAnsi="宋体" w:eastAsia="宋体" w:cs="Times New Roman"/>
          <w:color w:val="auto"/>
          <w:kern w:val="0"/>
          <w:szCs w:val="24"/>
          <w:highlight w:val="none"/>
        </w:rPr>
        <w:t>条〔工程</w:t>
      </w:r>
      <w:r>
        <w:rPr>
          <w:rFonts w:ascii="宋体" w:hAnsi="宋体" w:eastAsia="宋体" w:cs="Times New Roman"/>
          <w:color w:val="auto"/>
          <w:kern w:val="0"/>
          <w:szCs w:val="24"/>
          <w:highlight w:val="none"/>
        </w:rPr>
        <w:t>进度计划</w:t>
      </w:r>
      <w:r>
        <w:rPr>
          <w:rFonts w:hint="eastAsia" w:ascii="宋体" w:hAnsi="宋体" w:eastAsia="宋体" w:cs="Times New Roman"/>
          <w:color w:val="auto"/>
          <w:kern w:val="0"/>
          <w:szCs w:val="24"/>
          <w:highlight w:val="none"/>
        </w:rPr>
        <w:t>〕对进度计划进行修订</w:t>
      </w:r>
      <w:r>
        <w:rPr>
          <w:rFonts w:ascii="宋体" w:hAnsi="宋体" w:eastAsia="宋体" w:cs="Times New Roman"/>
          <w:color w:val="auto"/>
          <w:kern w:val="0"/>
          <w:szCs w:val="24"/>
          <w:highlight w:val="none"/>
        </w:rPr>
        <w:t>。</w:t>
      </w:r>
    </w:p>
    <w:p w14:paraId="7737850C">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40" w:name="_Toc2602"/>
      <w:bookmarkStart w:id="1341" w:name="_Toc23495"/>
      <w:bookmarkStart w:id="1342" w:name="_Toc4625"/>
      <w:bookmarkStart w:id="1343" w:name="_Toc7631"/>
      <w:bookmarkStart w:id="1344" w:name="_Toc12640"/>
      <w:bookmarkStart w:id="1345" w:name="_Toc3579"/>
      <w:bookmarkStart w:id="1346" w:name="_Toc302635779"/>
      <w:bookmarkStart w:id="1347" w:name="_Toc28938"/>
      <w:bookmarkStart w:id="1348" w:name="_Toc27314"/>
      <w:bookmarkStart w:id="1349" w:name="_Toc3375"/>
      <w:r>
        <w:rPr>
          <w:rFonts w:ascii="宋体" w:hAnsi="宋体" w:eastAsia="宋体" w:cs="Times New Roman"/>
          <w:b/>
          <w:bCs/>
          <w:color w:val="auto"/>
          <w:kern w:val="0"/>
          <w:sz w:val="24"/>
          <w:szCs w:val="24"/>
          <w:highlight w:val="none"/>
          <w:lang w:val="en-US" w:eastAsia="zh-CN" w:bidi="ar-SA"/>
        </w:rPr>
        <w:t>因承包人原因导致工期延误</w:t>
      </w:r>
      <w:bookmarkEnd w:id="1340"/>
      <w:bookmarkEnd w:id="1341"/>
      <w:bookmarkEnd w:id="1342"/>
      <w:bookmarkEnd w:id="1343"/>
      <w:bookmarkEnd w:id="1344"/>
      <w:bookmarkEnd w:id="1345"/>
      <w:bookmarkEnd w:id="1346"/>
      <w:bookmarkEnd w:id="1347"/>
      <w:bookmarkEnd w:id="1348"/>
      <w:bookmarkEnd w:id="1349"/>
    </w:p>
    <w:p w14:paraId="3FCFD4E6">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350" w:name="_Toc296503076"/>
      <w:bookmarkStart w:id="1351" w:name="_Toc296346577"/>
      <w:r>
        <w:rPr>
          <w:rFonts w:ascii="宋体" w:hAnsi="宋体" w:eastAsia="宋体" w:cs="Times New Roman"/>
          <w:color w:val="auto"/>
          <w:kern w:val="0"/>
          <w:szCs w:val="24"/>
          <w:highlight w:val="none"/>
        </w:rPr>
        <w:t>因</w:t>
      </w:r>
      <w:bookmarkEnd w:id="1350"/>
      <w:bookmarkEnd w:id="1351"/>
      <w:r>
        <w:rPr>
          <w:rFonts w:ascii="宋体" w:hAnsi="宋体" w:eastAsia="宋体" w:cs="Times New Roman"/>
          <w:color w:val="auto"/>
          <w:kern w:val="0"/>
          <w:szCs w:val="24"/>
          <w:highlight w:val="none"/>
        </w:rPr>
        <w:t>承包人原因造成工期延误的，可在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中约定逾期竣工违约金的计算方法和逾期竣工违约金的上限。承包人支付逾期竣工违约金后，不免除承包人继续完成工程及修补缺陷的义务。</w:t>
      </w:r>
      <w:bookmarkEnd w:id="1328"/>
      <w:bookmarkEnd w:id="1339"/>
    </w:p>
    <w:p w14:paraId="16837CE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352" w:name="_Toc16387"/>
      <w:bookmarkStart w:id="1353" w:name="_Toc27253"/>
      <w:bookmarkStart w:id="1354" w:name="_Toc302635781"/>
      <w:bookmarkStart w:id="1355" w:name="_Toc12870"/>
      <w:bookmarkStart w:id="1356" w:name="_Toc21295"/>
      <w:bookmarkStart w:id="1357" w:name="_Toc29020"/>
      <w:bookmarkStart w:id="1358" w:name="_Toc28418"/>
      <w:bookmarkStart w:id="1359" w:name="_Toc22435"/>
      <w:bookmarkStart w:id="1360" w:name="_Toc8948"/>
      <w:bookmarkStart w:id="1361" w:name="_Toc305331302"/>
      <w:bookmarkStart w:id="1362" w:name="_Toc11402"/>
      <w:r>
        <w:rPr>
          <w:rFonts w:hint="eastAsia" w:ascii="宋体" w:hAnsi="宋体" w:eastAsia="宋体" w:cs="Times New Roman"/>
          <w:b/>
          <w:bCs/>
          <w:color w:val="auto"/>
          <w:kern w:val="0"/>
          <w:sz w:val="24"/>
          <w:szCs w:val="24"/>
          <w:highlight w:val="none"/>
          <w:lang w:val="en-US" w:eastAsia="zh-CN" w:bidi="ar-SA"/>
        </w:rPr>
        <w:t>提前竣工</w:t>
      </w:r>
      <w:bookmarkEnd w:id="1352"/>
      <w:bookmarkEnd w:id="1353"/>
      <w:bookmarkEnd w:id="1354"/>
      <w:bookmarkEnd w:id="1355"/>
      <w:bookmarkEnd w:id="1356"/>
      <w:bookmarkEnd w:id="1357"/>
      <w:bookmarkEnd w:id="1358"/>
      <w:bookmarkEnd w:id="1359"/>
      <w:bookmarkEnd w:id="1360"/>
      <w:bookmarkEnd w:id="1361"/>
      <w:bookmarkEnd w:id="1362"/>
    </w:p>
    <w:p w14:paraId="7C6615E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eastAsia="宋体" w:cs="Times New Roman"/>
          <w:color w:val="auto"/>
          <w:kern w:val="0"/>
          <w:szCs w:val="24"/>
          <w:highlight w:val="none"/>
        </w:rPr>
        <w:t>承包人认为提前竣工指示无法执行的，应向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和发包人提出书面异议，发包人和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应在收到异议后7天内予以答复。任何情况下，发包人不得压缩合理工期。</w:t>
      </w:r>
    </w:p>
    <w:p w14:paraId="2B52608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⑵承包人提出提前竣工的，应</w:t>
      </w:r>
      <w:r>
        <w:rPr>
          <w:rFonts w:ascii="宋体" w:hAnsi="宋体" w:eastAsia="宋体" w:cs="Times New Roman"/>
          <w:color w:val="auto"/>
          <w:kern w:val="0"/>
          <w:szCs w:val="24"/>
          <w:highlight w:val="none"/>
        </w:rPr>
        <w:t>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w:t>
      </w:r>
      <w:r>
        <w:rPr>
          <w:rFonts w:hint="eastAsia" w:ascii="宋体" w:hAnsi="宋体" w:eastAsia="宋体" w:cs="Times New Roman"/>
          <w:color w:val="auto"/>
          <w:kern w:val="0"/>
          <w:szCs w:val="24"/>
          <w:highlight w:val="none"/>
        </w:rPr>
        <w:t>和承包人协商</w:t>
      </w:r>
      <w:r>
        <w:rPr>
          <w:rFonts w:ascii="宋体" w:hAnsi="宋体" w:eastAsia="宋体" w:cs="Times New Roman"/>
          <w:color w:val="auto"/>
          <w:kern w:val="0"/>
          <w:szCs w:val="24"/>
          <w:highlight w:val="none"/>
        </w:rPr>
        <w:t>承担。</w:t>
      </w:r>
    </w:p>
    <w:p w14:paraId="673ADDD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发包人要求承包人提前竣工，或承包人提出提前竣工的建议能够给发包人带来效益的，承发包双方可以在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中约定提前竣工的奖励。</w:t>
      </w:r>
    </w:p>
    <w:p w14:paraId="6B862F6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要求承包人提前竣工的，若工期压缩超过按《深圳市建设工程施工工期定额》计算所得本工程定额工期20%的，应按现行《深圳市建设工程计价费率标准》规定的方法和推荐系数计算赶工措施费和夜间施工费，并扣除本工程招标控制价中已列明的赶工措施费和夜间施工费后向承包人支付补偿费用，补偿费用支付后，发包人不再按照13.4.（3）项的约定向承包人支付提前竣工奖励费。《深圳市建设工程施工工期定额》缺项的专业工程，或需采取特殊措施以缩短工期的，由发包人、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中约定压缩工期补偿费用计算方法。</w:t>
      </w:r>
    </w:p>
    <w:p w14:paraId="2A9BEBBC">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63" w:name="_Toc305331304"/>
      <w:bookmarkStart w:id="1364" w:name="_Toc265849470"/>
      <w:bookmarkStart w:id="1365" w:name="_Toc2586"/>
      <w:bookmarkStart w:id="1366" w:name="_Toc302635783"/>
      <w:bookmarkStart w:id="1367" w:name="_Toc13663"/>
      <w:bookmarkStart w:id="1368" w:name="_Toc269720080"/>
      <w:bookmarkStart w:id="1369" w:name="_Toc2801"/>
      <w:bookmarkStart w:id="1370" w:name="_Toc24226"/>
      <w:bookmarkStart w:id="1371" w:name="_Toc94"/>
      <w:bookmarkStart w:id="1372" w:name="_Toc22783"/>
      <w:bookmarkStart w:id="1373" w:name="_Toc24529"/>
      <w:bookmarkStart w:id="1374" w:name="_Toc23181"/>
      <w:bookmarkStart w:id="1375" w:name="_Toc21274"/>
      <w:r>
        <w:rPr>
          <w:rFonts w:hint="eastAsia" w:ascii="宋体" w:hAnsi="宋体" w:eastAsia="宋体" w:cs="Times New Roman"/>
          <w:b/>
          <w:bCs/>
          <w:color w:val="auto"/>
          <w:kern w:val="0"/>
          <w:sz w:val="24"/>
          <w:szCs w:val="24"/>
          <w:highlight w:val="none"/>
          <w:lang w:val="en-US" w:eastAsia="zh-CN" w:bidi="ar-SA"/>
        </w:rPr>
        <w:t>工作时间的限制</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14:paraId="10657F4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承包人在夜间或国家规定的节假日进行永久工程的施工应经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的认可，并应遵守当地政府的有关规定或取得有关部门的批准，但是为了抢救生命或保护财产，或为了工程的安全、质量而不可避免的或绝对必要的作业，则不必事先经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的许可，但应在事后立即向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报告。</w:t>
      </w:r>
    </w:p>
    <w:p w14:paraId="523FC18C">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1376" w:name="_Toc20388"/>
      <w:bookmarkStart w:id="1377" w:name="_Toc302635785"/>
      <w:bookmarkStart w:id="1378" w:name="_Toc305331305"/>
      <w:bookmarkStart w:id="1379" w:name="_Toc30026"/>
      <w:bookmarkStart w:id="1380" w:name="_Toc9937"/>
      <w:bookmarkStart w:id="1381" w:name="_Toc32229"/>
      <w:bookmarkStart w:id="1382" w:name="_Toc13314"/>
      <w:bookmarkStart w:id="1383" w:name="_Toc23759"/>
      <w:bookmarkStart w:id="1384" w:name="_Toc14408"/>
      <w:bookmarkStart w:id="1385" w:name="_Toc14632"/>
      <w:bookmarkStart w:id="1386" w:name="_Toc20506"/>
      <w:bookmarkStart w:id="1387" w:name="_Toc35656984"/>
      <w:bookmarkStart w:id="1388" w:name="_Toc35656482"/>
      <w:bookmarkStart w:id="1389" w:name="_Toc34909044"/>
      <w:r>
        <w:rPr>
          <w:rFonts w:hint="eastAsia" w:ascii="华文细黑" w:hAnsi="宋体" w:eastAsia="宋体" w:cs="Times New Roman"/>
          <w:b/>
          <w:bCs/>
          <w:snapToGrid w:val="0"/>
          <w:color w:val="auto"/>
          <w:kern w:val="0"/>
          <w:sz w:val="28"/>
          <w:szCs w:val="44"/>
          <w:highlight w:val="none"/>
          <w:lang w:val="en-US" w:eastAsia="zh-CN" w:bidi="ar-SA"/>
        </w:rPr>
        <w:t>材料设备的供应和检验</w:t>
      </w:r>
      <w:bookmarkEnd w:id="1376"/>
      <w:bookmarkEnd w:id="1377"/>
      <w:bookmarkEnd w:id="1378"/>
      <w:bookmarkEnd w:id="1379"/>
      <w:bookmarkEnd w:id="1380"/>
      <w:bookmarkEnd w:id="1381"/>
      <w:bookmarkEnd w:id="1382"/>
      <w:bookmarkEnd w:id="1383"/>
      <w:bookmarkEnd w:id="1384"/>
      <w:bookmarkEnd w:id="1385"/>
      <w:bookmarkEnd w:id="1386"/>
    </w:p>
    <w:p w14:paraId="1DE4A0A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90" w:name="_Toc18750"/>
      <w:bookmarkStart w:id="1391" w:name="_Toc27490"/>
      <w:bookmarkStart w:id="1392" w:name="_Toc11354"/>
      <w:bookmarkStart w:id="1393" w:name="_Toc4699"/>
      <w:bookmarkStart w:id="1394" w:name="_Toc25752"/>
      <w:bookmarkStart w:id="1395" w:name="_Toc305331306"/>
      <w:bookmarkStart w:id="1396" w:name="_Toc4053"/>
      <w:bookmarkStart w:id="1397" w:name="_Toc302635786"/>
      <w:bookmarkStart w:id="1398" w:name="_Toc12525"/>
      <w:bookmarkStart w:id="1399" w:name="_Toc9543"/>
      <w:bookmarkStart w:id="1400" w:name="_Toc24734"/>
      <w:r>
        <w:rPr>
          <w:rFonts w:hint="eastAsia" w:ascii="宋体" w:hAnsi="宋体" w:eastAsia="宋体" w:cs="Times New Roman"/>
          <w:b/>
          <w:bCs/>
          <w:color w:val="auto"/>
          <w:kern w:val="0"/>
          <w:sz w:val="24"/>
          <w:szCs w:val="24"/>
          <w:highlight w:val="none"/>
          <w:lang w:val="en-US" w:eastAsia="zh-CN" w:bidi="ar-SA"/>
        </w:rPr>
        <w:t>发包人供应材料设备</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14:paraId="77637ADF">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401" w:name="_Toc34909045"/>
      <w:r>
        <w:rPr>
          <w:rFonts w:hint="eastAsia" w:ascii="宋体" w:hAnsi="宋体" w:eastAsia="宋体" w:cs="Times New Roman"/>
          <w:color w:val="auto"/>
          <w:kern w:val="0"/>
          <w:szCs w:val="24"/>
          <w:highlight w:val="none"/>
        </w:rPr>
        <w:t>⑴发包人供应材料设备的，应在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列出相应材料设备清单。材料设备清单中应约定发包人供应材料设备的品种、规格、型号、数量、单价、质量等级、提供时间和地点。发包人应按材料设备清单中的约定向承包人提供材料设备，并提供产品质量合格证明，对材料设备质量负责。</w:t>
      </w:r>
      <w:r>
        <w:rPr>
          <w:rFonts w:ascii="宋体" w:hAnsi="宋体" w:eastAsia="宋体" w:cs="Times New Roman"/>
          <w:color w:val="auto"/>
          <w:kern w:val="0"/>
          <w:szCs w:val="24"/>
          <w:highlight w:val="none"/>
        </w:rPr>
        <w:t>承包人按照第</w:t>
      </w:r>
      <w:r>
        <w:rPr>
          <w:rFonts w:hint="eastAsia" w:ascii="宋体" w:hAnsi="宋体" w:eastAsia="宋体" w:cs="Times New Roman"/>
          <w:color w:val="auto"/>
          <w:kern w:val="0"/>
          <w:szCs w:val="24"/>
          <w:highlight w:val="none"/>
        </w:rPr>
        <w:t>9.3条〔工程</w:t>
      </w:r>
      <w:r>
        <w:rPr>
          <w:rFonts w:ascii="宋体" w:hAnsi="宋体" w:eastAsia="宋体" w:cs="Times New Roman"/>
          <w:color w:val="auto"/>
          <w:kern w:val="0"/>
          <w:szCs w:val="24"/>
          <w:highlight w:val="none"/>
        </w:rPr>
        <w:t>进度计划</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约定修订施工进度计划时，需同时提交经修订后的发包人供应材料与工程设备的进场计划。</w:t>
      </w:r>
    </w:p>
    <w:p w14:paraId="21CF647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承包人应提前30天通过监理人以书面形式通知发包人供应材料与工程设备进场。</w:t>
      </w:r>
      <w:r>
        <w:rPr>
          <w:rFonts w:hint="eastAsia" w:ascii="宋体" w:hAnsi="宋体" w:eastAsia="宋体" w:cs="Times New Roman"/>
          <w:color w:val="auto"/>
          <w:kern w:val="0"/>
          <w:szCs w:val="24"/>
          <w:highlight w:val="none"/>
        </w:rPr>
        <w:t>发包人在所供材料设备到货前24小时通知承包人，</w:t>
      </w:r>
      <w:r>
        <w:rPr>
          <w:rFonts w:ascii="Times New Roman" w:hAnsi="宋体" w:eastAsia="宋体" w:cs="Times New Roman"/>
          <w:color w:val="auto"/>
          <w:szCs w:val="24"/>
          <w:highlight w:val="none"/>
        </w:rPr>
        <w:t>货物运到施工场地后，</w:t>
      </w:r>
      <w:r>
        <w:rPr>
          <w:rFonts w:hint="eastAsia" w:ascii="Times New Roman" w:hAnsi="宋体" w:eastAsia="宋体" w:cs="Times New Roman"/>
          <w:color w:val="auto"/>
          <w:szCs w:val="24"/>
          <w:highlight w:val="none"/>
        </w:rPr>
        <w:t>发包人和</w:t>
      </w:r>
      <w:r>
        <w:rPr>
          <w:rFonts w:ascii="Times New Roman" w:hAnsi="宋体" w:eastAsia="宋体" w:cs="Times New Roman"/>
          <w:color w:val="auto"/>
          <w:szCs w:val="24"/>
          <w:highlight w:val="none"/>
        </w:rPr>
        <w:t>承包人</w:t>
      </w:r>
      <w:r>
        <w:rPr>
          <w:rFonts w:hint="eastAsia" w:ascii="宋体" w:hAnsi="宋体" w:eastAsia="宋体" w:cs="Times New Roman"/>
          <w:color w:val="auto"/>
          <w:kern w:val="0"/>
          <w:szCs w:val="24"/>
          <w:highlight w:val="none"/>
        </w:rPr>
        <w:t>双方在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的见证下进行验收交接，并按承包人指定的地点和方式堆放。</w:t>
      </w:r>
      <w:bookmarkEnd w:id="1401"/>
      <w:r>
        <w:rPr>
          <w:rFonts w:hint="eastAsia" w:ascii="宋体" w:hAnsi="宋体" w:eastAsia="宋体" w:cs="Times New Roman"/>
          <w:color w:val="auto"/>
          <w:kern w:val="0"/>
          <w:szCs w:val="24"/>
          <w:highlight w:val="none"/>
        </w:rPr>
        <w:t>承发包双方完成交验后，发包人仍应对由其提供的材料设备承担有关质量责任。</w:t>
      </w:r>
    </w:p>
    <w:p w14:paraId="46777A4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⑶发包人对其供应的材料设备履行完毕14.1⑵款约定验交程序，且承包人接收后，由承包人负责保管，因承包人原因发生的丢失、盗失、毁损等由承包人负责赔偿。发包人按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向承包人支付发包人供应材料设备保管费。发包人供应材料设备保管费是指承包人对发包人自行采购的材料设备进行保管服务及现场管理所需的费用。发包人供应材料设备保管费的计算基数为发包人供应材料设备结算价款。</w:t>
      </w:r>
    </w:p>
    <w:p w14:paraId="7E4FA94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⑷如发包人未履行14.1⑵款约定的验交程序，则承包人不负责保管，发生的丢失、盗失、毁损等由发包人负责，但承包人没有提出异议，且已收取发包人支付的相应保管费用的除外。承包人</w:t>
      </w:r>
      <w:r>
        <w:rPr>
          <w:rFonts w:ascii="Times New Roman" w:hAnsi="宋体" w:eastAsia="宋体" w:cs="Times New Roman"/>
          <w:color w:val="auto"/>
          <w:szCs w:val="24"/>
          <w:highlight w:val="none"/>
        </w:rPr>
        <w:t>未</w:t>
      </w:r>
      <w:r>
        <w:rPr>
          <w:rFonts w:hint="eastAsia" w:ascii="Times New Roman" w:hAnsi="宋体" w:eastAsia="宋体" w:cs="Times New Roman"/>
          <w:color w:val="auto"/>
          <w:szCs w:val="24"/>
          <w:highlight w:val="none"/>
        </w:rPr>
        <w:t>按发包人通知要求参加</w:t>
      </w:r>
      <w:r>
        <w:rPr>
          <w:rFonts w:ascii="Times New Roman" w:hAnsi="宋体" w:eastAsia="宋体" w:cs="Times New Roman"/>
          <w:color w:val="auto"/>
          <w:szCs w:val="24"/>
          <w:highlight w:val="none"/>
        </w:rPr>
        <w:t>验收的，视为承包人已验收合格，相应的保管责任由承包人承担。</w:t>
      </w:r>
    </w:p>
    <w:p w14:paraId="4876CDA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402" w:name="_Toc28102"/>
      <w:bookmarkStart w:id="1403" w:name="_Toc26882"/>
      <w:bookmarkStart w:id="1404" w:name="_Toc26106"/>
      <w:bookmarkStart w:id="1405" w:name="_Toc22446"/>
      <w:bookmarkStart w:id="1406" w:name="_Toc9639"/>
      <w:bookmarkStart w:id="1407" w:name="_Toc22096"/>
      <w:bookmarkStart w:id="1408" w:name="_Toc1080"/>
      <w:bookmarkStart w:id="1409" w:name="_Toc1447"/>
      <w:bookmarkStart w:id="1410" w:name="_Toc302635787"/>
      <w:bookmarkStart w:id="1411" w:name="_Toc305331307"/>
      <w:bookmarkStart w:id="1412" w:name="_Toc25992"/>
      <w:bookmarkStart w:id="1413" w:name="_Toc34909049"/>
      <w:r>
        <w:rPr>
          <w:rFonts w:hint="eastAsia" w:ascii="宋体" w:hAnsi="宋体" w:eastAsia="宋体" w:cs="Times New Roman"/>
          <w:b/>
          <w:bCs/>
          <w:color w:val="auto"/>
          <w:kern w:val="0"/>
          <w:sz w:val="24"/>
          <w:szCs w:val="24"/>
          <w:highlight w:val="none"/>
          <w:lang w:val="en-US" w:eastAsia="zh-CN" w:bidi="ar-SA"/>
        </w:rPr>
        <w:t>发包人供应材料设备的结算</w:t>
      </w:r>
      <w:bookmarkEnd w:id="1402"/>
      <w:bookmarkEnd w:id="1403"/>
      <w:bookmarkEnd w:id="1404"/>
      <w:bookmarkEnd w:id="1405"/>
      <w:bookmarkEnd w:id="1406"/>
      <w:bookmarkEnd w:id="1407"/>
      <w:bookmarkEnd w:id="1408"/>
      <w:bookmarkEnd w:id="1409"/>
      <w:bookmarkEnd w:id="1410"/>
      <w:bookmarkEnd w:id="1411"/>
      <w:bookmarkEnd w:id="1412"/>
    </w:p>
    <w:bookmarkEnd w:id="1413"/>
    <w:p w14:paraId="4EF5C53A">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除非</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中另有约定，</w:t>
      </w:r>
      <w:r>
        <w:rPr>
          <w:rFonts w:ascii="宋体" w:hAnsi="宋体" w:eastAsia="宋体" w:cs="Times New Roman"/>
          <w:color w:val="auto"/>
          <w:kern w:val="0"/>
          <w:szCs w:val="24"/>
          <w:highlight w:val="none"/>
        </w:rPr>
        <w:t>本工程发包</w:t>
      </w:r>
      <w:r>
        <w:rPr>
          <w:rFonts w:hint="eastAsia" w:ascii="宋体" w:hAnsi="宋体" w:eastAsia="宋体" w:cs="Times New Roman"/>
          <w:color w:val="auto"/>
          <w:kern w:val="0"/>
          <w:szCs w:val="24"/>
          <w:highlight w:val="none"/>
        </w:rPr>
        <w:t>人供应材料设备</w:t>
      </w:r>
      <w:r>
        <w:rPr>
          <w:rFonts w:ascii="宋体" w:hAnsi="宋体" w:eastAsia="宋体" w:cs="Times New Roman"/>
          <w:color w:val="auto"/>
          <w:kern w:val="0"/>
          <w:szCs w:val="24"/>
          <w:highlight w:val="none"/>
        </w:rPr>
        <w:t>按如下方式结算：</w:t>
      </w:r>
    </w:p>
    <w:p w14:paraId="09E5EEFA">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w:t>
      </w:r>
      <w:r>
        <w:rPr>
          <w:rFonts w:ascii="宋体" w:hAnsi="宋体" w:eastAsia="宋体" w:cs="Times New Roman"/>
          <w:color w:val="auto"/>
          <w:kern w:val="0"/>
          <w:szCs w:val="24"/>
          <w:highlight w:val="none"/>
        </w:rPr>
        <w:t>按发包人要求、竣工图纸和工程造价管理机构发布的相关</w:t>
      </w:r>
      <w:r>
        <w:rPr>
          <w:rFonts w:hint="eastAsia" w:ascii="宋体" w:hAnsi="宋体" w:eastAsia="宋体" w:cs="Times New Roman"/>
          <w:color w:val="auto"/>
          <w:kern w:val="0"/>
          <w:szCs w:val="24"/>
          <w:highlight w:val="none"/>
        </w:rPr>
        <w:t>消耗量</w:t>
      </w:r>
      <w:r>
        <w:rPr>
          <w:rFonts w:ascii="宋体" w:hAnsi="宋体" w:eastAsia="宋体" w:cs="Times New Roman"/>
          <w:color w:val="auto"/>
          <w:kern w:val="0"/>
          <w:szCs w:val="24"/>
          <w:highlight w:val="none"/>
        </w:rPr>
        <w:t>定额计算本工程需用的发包</w:t>
      </w:r>
      <w:r>
        <w:rPr>
          <w:rFonts w:hint="eastAsia" w:ascii="宋体" w:hAnsi="宋体" w:eastAsia="宋体" w:cs="Times New Roman"/>
          <w:color w:val="auto"/>
          <w:kern w:val="0"/>
          <w:szCs w:val="24"/>
          <w:highlight w:val="none"/>
        </w:rPr>
        <w:t>人供应材料设备的</w:t>
      </w:r>
      <w:r>
        <w:rPr>
          <w:rFonts w:ascii="宋体" w:hAnsi="宋体" w:eastAsia="宋体" w:cs="Times New Roman"/>
          <w:color w:val="auto"/>
          <w:kern w:val="0"/>
          <w:szCs w:val="24"/>
          <w:highlight w:val="none"/>
        </w:rPr>
        <w:t>合理数量</w:t>
      </w:r>
      <w:r>
        <w:rPr>
          <w:rFonts w:hint="eastAsia" w:ascii="宋体" w:hAnsi="宋体" w:eastAsia="宋体" w:cs="Times New Roman"/>
          <w:color w:val="auto"/>
          <w:kern w:val="0"/>
          <w:szCs w:val="24"/>
          <w:highlight w:val="none"/>
        </w:rPr>
        <w:t>，经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审核后报发包人确认</w:t>
      </w:r>
      <w:r>
        <w:rPr>
          <w:rFonts w:ascii="宋体" w:hAnsi="宋体" w:eastAsia="宋体" w:cs="Times New Roman"/>
          <w:color w:val="auto"/>
          <w:kern w:val="0"/>
          <w:szCs w:val="24"/>
          <w:highlight w:val="none"/>
        </w:rPr>
        <w:t>；</w:t>
      </w:r>
    </w:p>
    <w:p w14:paraId="7033AA5F">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w:t>
      </w:r>
      <w:r>
        <w:rPr>
          <w:rFonts w:hint="eastAsia" w:ascii="宋体" w:hAnsi="宋体" w:eastAsia="宋体" w:cs="Times New Roman"/>
          <w:color w:val="auto"/>
          <w:kern w:val="0"/>
          <w:szCs w:val="24"/>
          <w:highlight w:val="none"/>
        </w:rPr>
        <w:t>人供应材料设备</w:t>
      </w:r>
      <w:r>
        <w:rPr>
          <w:rFonts w:ascii="宋体" w:hAnsi="宋体" w:eastAsia="宋体" w:cs="Times New Roman"/>
          <w:color w:val="auto"/>
          <w:kern w:val="0"/>
          <w:szCs w:val="24"/>
          <w:highlight w:val="none"/>
        </w:rPr>
        <w:t>的结算单价按照发包人通过招标</w:t>
      </w:r>
      <w:r>
        <w:rPr>
          <w:rFonts w:hint="eastAsia" w:ascii="宋体" w:hAnsi="宋体" w:eastAsia="宋体" w:cs="Times New Roman"/>
          <w:color w:val="auto"/>
          <w:kern w:val="0"/>
          <w:szCs w:val="24"/>
          <w:highlight w:val="none"/>
        </w:rPr>
        <w:t>或询价采购等</w:t>
      </w:r>
      <w:r>
        <w:rPr>
          <w:rFonts w:ascii="宋体" w:hAnsi="宋体" w:eastAsia="宋体" w:cs="Times New Roman"/>
          <w:color w:val="auto"/>
          <w:kern w:val="0"/>
          <w:szCs w:val="24"/>
          <w:highlight w:val="none"/>
        </w:rPr>
        <w:t>方式确定的</w:t>
      </w:r>
      <w:r>
        <w:rPr>
          <w:rFonts w:hint="eastAsia" w:ascii="宋体" w:hAnsi="宋体" w:eastAsia="宋体" w:cs="Times New Roman"/>
          <w:color w:val="auto"/>
          <w:kern w:val="0"/>
          <w:szCs w:val="24"/>
          <w:highlight w:val="none"/>
        </w:rPr>
        <w:t>材料设备</w:t>
      </w:r>
      <w:r>
        <w:rPr>
          <w:rFonts w:ascii="宋体" w:hAnsi="宋体" w:eastAsia="宋体" w:cs="Times New Roman"/>
          <w:color w:val="auto"/>
          <w:kern w:val="0"/>
          <w:szCs w:val="24"/>
          <w:highlight w:val="none"/>
        </w:rPr>
        <w:t>单价计算</w:t>
      </w:r>
      <w:r>
        <w:rPr>
          <w:rFonts w:hint="eastAsia" w:ascii="宋体" w:hAnsi="宋体" w:eastAsia="宋体" w:cs="Times New Roman"/>
          <w:color w:val="auto"/>
          <w:kern w:val="0"/>
          <w:szCs w:val="24"/>
          <w:highlight w:val="none"/>
        </w:rPr>
        <w:t xml:space="preserve">； </w:t>
      </w:r>
    </w:p>
    <w:p w14:paraId="6C6CB263">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承包人实际</w:t>
      </w:r>
      <w:r>
        <w:rPr>
          <w:rFonts w:hint="eastAsia" w:ascii="宋体" w:hAnsi="宋体" w:eastAsia="宋体" w:cs="Times New Roman"/>
          <w:color w:val="auto"/>
          <w:kern w:val="0"/>
          <w:szCs w:val="24"/>
          <w:highlight w:val="none"/>
        </w:rPr>
        <w:t>使用</w:t>
      </w:r>
      <w:r>
        <w:rPr>
          <w:rFonts w:ascii="宋体" w:hAnsi="宋体" w:eastAsia="宋体" w:cs="Times New Roman"/>
          <w:color w:val="auto"/>
          <w:kern w:val="0"/>
          <w:szCs w:val="24"/>
          <w:highlight w:val="none"/>
        </w:rPr>
        <w:t>发包</w:t>
      </w:r>
      <w:r>
        <w:rPr>
          <w:rFonts w:hint="eastAsia" w:ascii="宋体" w:hAnsi="宋体" w:eastAsia="宋体" w:cs="Times New Roman"/>
          <w:color w:val="auto"/>
          <w:kern w:val="0"/>
          <w:szCs w:val="24"/>
          <w:highlight w:val="none"/>
        </w:rPr>
        <w:t>人供应材料设备的</w:t>
      </w:r>
      <w:r>
        <w:rPr>
          <w:rFonts w:ascii="宋体" w:hAnsi="宋体" w:eastAsia="宋体" w:cs="Times New Roman"/>
          <w:color w:val="auto"/>
          <w:kern w:val="0"/>
          <w:szCs w:val="24"/>
          <w:highlight w:val="none"/>
        </w:rPr>
        <w:t>数量</w:t>
      </w:r>
      <w:r>
        <w:rPr>
          <w:rFonts w:hint="eastAsia" w:ascii="宋体" w:hAnsi="宋体" w:eastAsia="宋体" w:cs="Times New Roman"/>
          <w:color w:val="auto"/>
          <w:kern w:val="0"/>
          <w:szCs w:val="24"/>
          <w:highlight w:val="none"/>
        </w:rPr>
        <w:t>超过14.2⑴款确认的</w:t>
      </w:r>
      <w:r>
        <w:rPr>
          <w:rFonts w:ascii="宋体" w:hAnsi="宋体" w:eastAsia="宋体" w:cs="Times New Roman"/>
          <w:color w:val="auto"/>
          <w:kern w:val="0"/>
          <w:szCs w:val="24"/>
          <w:highlight w:val="none"/>
        </w:rPr>
        <w:t>合理数量</w:t>
      </w:r>
      <w:r>
        <w:rPr>
          <w:rFonts w:hint="eastAsia" w:ascii="宋体" w:hAnsi="宋体" w:eastAsia="宋体" w:cs="Times New Roman"/>
          <w:color w:val="auto"/>
          <w:kern w:val="0"/>
          <w:szCs w:val="24"/>
          <w:highlight w:val="none"/>
        </w:rPr>
        <w:t>，超出部分的费用由承包人承担；承包人实际使用</w:t>
      </w:r>
      <w:r>
        <w:rPr>
          <w:rFonts w:ascii="宋体" w:hAnsi="宋体" w:eastAsia="宋体" w:cs="Times New Roman"/>
          <w:color w:val="auto"/>
          <w:kern w:val="0"/>
          <w:szCs w:val="24"/>
          <w:highlight w:val="none"/>
        </w:rPr>
        <w:t>发包</w:t>
      </w:r>
      <w:r>
        <w:rPr>
          <w:rFonts w:hint="eastAsia" w:ascii="宋体" w:hAnsi="宋体" w:eastAsia="宋体" w:cs="Times New Roman"/>
          <w:color w:val="auto"/>
          <w:kern w:val="0"/>
          <w:szCs w:val="24"/>
          <w:highlight w:val="none"/>
        </w:rPr>
        <w:t>人供应材料设备的数量小于14.2⑴款确认的</w:t>
      </w:r>
      <w:r>
        <w:rPr>
          <w:rFonts w:ascii="宋体" w:hAnsi="宋体" w:eastAsia="宋体" w:cs="Times New Roman"/>
          <w:color w:val="auto"/>
          <w:kern w:val="0"/>
          <w:szCs w:val="24"/>
          <w:highlight w:val="none"/>
        </w:rPr>
        <w:t>合理数量</w:t>
      </w:r>
      <w:r>
        <w:rPr>
          <w:rFonts w:hint="eastAsia" w:ascii="宋体" w:hAnsi="宋体" w:eastAsia="宋体" w:cs="Times New Roman"/>
          <w:color w:val="auto"/>
          <w:kern w:val="0"/>
          <w:szCs w:val="24"/>
          <w:highlight w:val="none"/>
        </w:rPr>
        <w:t>，节约的费用按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约定进行分配；</w:t>
      </w:r>
    </w:p>
    <w:p w14:paraId="76F38E2B">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的投标报价中已包括</w:t>
      </w:r>
      <w:r>
        <w:rPr>
          <w:rFonts w:ascii="宋体" w:hAnsi="宋体" w:eastAsia="宋体" w:cs="Times New Roman"/>
          <w:color w:val="auto"/>
          <w:kern w:val="0"/>
          <w:szCs w:val="24"/>
          <w:highlight w:val="none"/>
        </w:rPr>
        <w:t>发包人供应材料设备</w:t>
      </w:r>
      <w:r>
        <w:rPr>
          <w:rFonts w:hint="eastAsia" w:ascii="宋体" w:hAnsi="宋体" w:eastAsia="宋体" w:cs="Times New Roman"/>
          <w:color w:val="auto"/>
          <w:kern w:val="0"/>
          <w:szCs w:val="24"/>
          <w:highlight w:val="none"/>
        </w:rPr>
        <w:t>的场内运输费、</w:t>
      </w:r>
      <w:r>
        <w:rPr>
          <w:rFonts w:ascii="宋体" w:hAnsi="宋体" w:eastAsia="宋体" w:cs="Times New Roman"/>
          <w:color w:val="auto"/>
          <w:kern w:val="0"/>
          <w:szCs w:val="24"/>
          <w:highlight w:val="none"/>
        </w:rPr>
        <w:t>安装</w:t>
      </w:r>
      <w:r>
        <w:rPr>
          <w:rFonts w:hint="eastAsia" w:ascii="宋体" w:hAnsi="宋体" w:eastAsia="宋体" w:cs="Times New Roman"/>
          <w:color w:val="auto"/>
          <w:kern w:val="0"/>
          <w:szCs w:val="24"/>
          <w:highlight w:val="none"/>
        </w:rPr>
        <w:t>费，</w:t>
      </w:r>
      <w:r>
        <w:rPr>
          <w:rFonts w:ascii="宋体" w:hAnsi="宋体" w:eastAsia="宋体" w:cs="Times New Roman"/>
          <w:color w:val="auto"/>
          <w:kern w:val="0"/>
          <w:szCs w:val="24"/>
          <w:highlight w:val="none"/>
        </w:rPr>
        <w:t>结算时不因发包人供应材料设备</w:t>
      </w:r>
      <w:r>
        <w:rPr>
          <w:rFonts w:hint="eastAsia" w:ascii="宋体" w:hAnsi="宋体" w:eastAsia="宋体" w:cs="Times New Roman"/>
          <w:color w:val="auto"/>
          <w:kern w:val="0"/>
          <w:szCs w:val="24"/>
          <w:highlight w:val="none"/>
        </w:rPr>
        <w:t>单价的</w:t>
      </w:r>
      <w:r>
        <w:rPr>
          <w:rFonts w:ascii="宋体" w:hAnsi="宋体" w:eastAsia="宋体" w:cs="Times New Roman"/>
          <w:color w:val="auto"/>
          <w:kern w:val="0"/>
          <w:szCs w:val="24"/>
          <w:highlight w:val="none"/>
        </w:rPr>
        <w:t>变化而调整。</w:t>
      </w:r>
    </w:p>
    <w:p w14:paraId="37AA43B4">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14" w:name="_Toc302635788"/>
      <w:bookmarkStart w:id="1415" w:name="_Toc305331308"/>
      <w:bookmarkStart w:id="1416" w:name="_Toc24583"/>
      <w:bookmarkStart w:id="1417" w:name="_Toc32197"/>
      <w:bookmarkStart w:id="1418" w:name="_Toc31539"/>
      <w:bookmarkStart w:id="1419" w:name="_Toc5609"/>
      <w:bookmarkStart w:id="1420" w:name="_Toc25617"/>
      <w:bookmarkStart w:id="1421" w:name="_Toc30875"/>
      <w:bookmarkStart w:id="1422" w:name="_Toc2967"/>
      <w:bookmarkStart w:id="1423" w:name="_Toc13434"/>
      <w:bookmarkStart w:id="1424" w:name="_Toc7747"/>
      <w:bookmarkStart w:id="1425" w:name="_Toc34909047"/>
      <w:r>
        <w:rPr>
          <w:rFonts w:hint="eastAsia" w:ascii="宋体" w:hAnsi="宋体" w:eastAsia="宋体" w:cs="Times New Roman"/>
          <w:b/>
          <w:bCs/>
          <w:color w:val="auto"/>
          <w:kern w:val="0"/>
          <w:sz w:val="24"/>
          <w:szCs w:val="24"/>
          <w:highlight w:val="none"/>
          <w:lang w:val="en-US" w:eastAsia="zh-CN" w:bidi="ar-SA"/>
        </w:rPr>
        <w:t>发包人供应材料设备承担的责任</w:t>
      </w:r>
      <w:bookmarkEnd w:id="1414"/>
      <w:bookmarkEnd w:id="1415"/>
      <w:bookmarkEnd w:id="1416"/>
      <w:bookmarkEnd w:id="1417"/>
      <w:bookmarkEnd w:id="1418"/>
      <w:bookmarkEnd w:id="1419"/>
      <w:bookmarkEnd w:id="1420"/>
      <w:bookmarkEnd w:id="1421"/>
      <w:bookmarkEnd w:id="1422"/>
      <w:bookmarkEnd w:id="1423"/>
      <w:bookmarkEnd w:id="1424"/>
    </w:p>
    <w:p w14:paraId="0542BEA0">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发包人供应的材料设备与专用条款14.1（1）发包人供应材料设备清单中的约定不符时，发包人承担相关责任，具体如下：</w:t>
      </w:r>
      <w:bookmarkEnd w:id="1425"/>
    </w:p>
    <w:p w14:paraId="7BBA452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⑴材料设备单价不符合约定，由发包人承担所有价差；</w:t>
      </w:r>
    </w:p>
    <w:p w14:paraId="6CAACAB7">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⑵材料设备的品种、规格、型号、质量等级不符合约定，承包人可拒绝接收、保管，由发包人负责运出施工场地并重新采购；</w:t>
      </w:r>
    </w:p>
    <w:p w14:paraId="58883DE6">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⑶材料设备的到货地点不符合约定，由发包人负责运至材料设备清单约定的地点；</w:t>
      </w:r>
    </w:p>
    <w:p w14:paraId="6F180A69">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⑷材料设备供应数量不符合约定，多于清单中约定的数量时由发包人负责运出施工场地，少于清单中约定数量时由发包人负责补齐；</w:t>
      </w:r>
    </w:p>
    <w:p w14:paraId="57C385EB">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⑸材料设备到货交接时间不符合约定，早于约定时间的由发包人承担因此产生的保管费用，迟于约定时间给承包人造成损失和(或)导致工期延误的，发包人应赔偿承包人损失，顺延延误的工期。</w:t>
      </w:r>
    </w:p>
    <w:p w14:paraId="283AE630">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26" w:name="_Toc25464"/>
      <w:bookmarkStart w:id="1427" w:name="_Toc302635789"/>
      <w:bookmarkStart w:id="1428" w:name="_Toc17119"/>
      <w:bookmarkStart w:id="1429" w:name="_Toc297"/>
      <w:bookmarkStart w:id="1430" w:name="_Toc22434"/>
      <w:bookmarkStart w:id="1431" w:name="_Toc20769"/>
      <w:bookmarkStart w:id="1432" w:name="_Toc10641"/>
      <w:bookmarkStart w:id="1433" w:name="_Toc34909050"/>
      <w:bookmarkStart w:id="1434" w:name="_Toc29533"/>
      <w:bookmarkStart w:id="1435" w:name="_Toc307"/>
      <w:bookmarkStart w:id="1436" w:name="_Toc35656985"/>
      <w:bookmarkStart w:id="1437" w:name="_Toc305331309"/>
      <w:bookmarkStart w:id="1438" w:name="_Toc15574"/>
      <w:bookmarkStart w:id="1439" w:name="_Toc35656483"/>
      <w:r>
        <w:rPr>
          <w:rFonts w:hint="eastAsia" w:ascii="宋体" w:hAnsi="宋体" w:eastAsia="宋体" w:cs="Times New Roman"/>
          <w:b/>
          <w:bCs/>
          <w:color w:val="auto"/>
          <w:kern w:val="0"/>
          <w:sz w:val="24"/>
          <w:szCs w:val="24"/>
          <w:highlight w:val="none"/>
          <w:lang w:val="en-US" w:eastAsia="zh-CN" w:bidi="ar-SA"/>
        </w:rPr>
        <w:t>承包人采购材料设备</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14:paraId="5F55E14B">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440" w:name="_Toc34909051"/>
      <w:r>
        <w:rPr>
          <w:rFonts w:hint="eastAsia" w:ascii="宋体" w:hAnsi="宋体" w:eastAsia="宋体" w:cs="Times New Roman"/>
          <w:color w:val="auto"/>
          <w:kern w:val="0"/>
          <w:szCs w:val="24"/>
          <w:highlight w:val="none"/>
        </w:rPr>
        <w:t>承包人负责采购的材料设备，应符合设计、标准、规范、招标文件、</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约定的要求以及投标文件的承诺，并提供产品质量合格证明，承包人对材料设备质量负责。</w:t>
      </w:r>
      <w:r>
        <w:rPr>
          <w:rFonts w:ascii="宋体" w:hAnsi="宋体" w:eastAsia="宋体" w:cs="Times New Roman"/>
          <w:color w:val="auto"/>
          <w:kern w:val="0"/>
          <w:szCs w:val="24"/>
          <w:highlight w:val="none"/>
        </w:rPr>
        <w:t>合同约定由承包人采购的材料、工程设备，发包人不得指定生产厂家或供应商，发包人违反本款约定指定生产厂家或供应商的，承包人有权拒绝。</w:t>
      </w:r>
    </w:p>
    <w:p w14:paraId="1156036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承包人应负责其采购的所有材料设备的包装、运输、接收、装卸、存储和保护，并承担因货物运输引起的民事和(或)刑事责任。承包人应在材料设备到货前24小时通知发包人，双方在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的见证下进行联合验收。</w:t>
      </w:r>
      <w:bookmarkEnd w:id="1440"/>
      <w:bookmarkStart w:id="1441" w:name="_Toc34909054"/>
    </w:p>
    <w:bookmarkEnd w:id="1441"/>
    <w:p w14:paraId="4C8390C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42" w:name="_Toc302635790"/>
      <w:bookmarkStart w:id="1443" w:name="_Toc9215"/>
      <w:bookmarkStart w:id="1444" w:name="_Toc16216"/>
      <w:bookmarkStart w:id="1445" w:name="_Toc26985"/>
      <w:bookmarkStart w:id="1446" w:name="_Toc15273"/>
      <w:bookmarkStart w:id="1447" w:name="_Toc5094"/>
      <w:bookmarkStart w:id="1448" w:name="_Toc305331310"/>
      <w:bookmarkStart w:id="1449" w:name="_Toc19402"/>
      <w:bookmarkStart w:id="1450" w:name="_Toc5239"/>
      <w:bookmarkStart w:id="1451" w:name="_Toc18338"/>
      <w:bookmarkStart w:id="1452" w:name="_Toc26978"/>
      <w:bookmarkStart w:id="1453" w:name="_Toc34909052"/>
      <w:r>
        <w:rPr>
          <w:rFonts w:hint="eastAsia" w:ascii="宋体" w:hAnsi="宋体" w:eastAsia="宋体" w:cs="Times New Roman"/>
          <w:b/>
          <w:bCs/>
          <w:color w:val="auto"/>
          <w:kern w:val="0"/>
          <w:sz w:val="24"/>
          <w:szCs w:val="24"/>
          <w:highlight w:val="none"/>
          <w:lang w:val="en-US" w:eastAsia="zh-CN" w:bidi="ar-SA"/>
        </w:rPr>
        <w:t>承包人采购材料设备承担的责任</w:t>
      </w:r>
      <w:bookmarkEnd w:id="1442"/>
      <w:bookmarkEnd w:id="1443"/>
      <w:bookmarkEnd w:id="1444"/>
      <w:bookmarkEnd w:id="1445"/>
      <w:bookmarkEnd w:id="1446"/>
      <w:bookmarkEnd w:id="1447"/>
      <w:bookmarkEnd w:id="1448"/>
      <w:bookmarkEnd w:id="1449"/>
      <w:bookmarkEnd w:id="1450"/>
      <w:bookmarkEnd w:id="1451"/>
      <w:bookmarkEnd w:id="1452"/>
    </w:p>
    <w:p w14:paraId="43F22D9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⑴承包人采购的材料设备与14.4款约定的要求不符时，承包人应按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要求的时间运出施工场地，重新采购符合要求的材料设备，承担因此产生的费用，由此延误的工期不予顺延。</w:t>
      </w:r>
    </w:p>
    <w:p w14:paraId="128B003E">
      <w:pPr>
        <w:tabs>
          <w:tab w:val="left" w:pos="1620"/>
          <w:tab w:val="left" w:pos="2340"/>
        </w:tabs>
        <w:spacing w:after="156"/>
        <w:ind w:left="899"/>
        <w:jc w:val="left"/>
        <w:rPr>
          <w:rFonts w:hint="eastAsia" w:ascii="Times New Roman" w:hAnsi="Times New Roman" w:eastAsia="宋体" w:cs="Times New Roman"/>
          <w:color w:val="auto"/>
          <w:kern w:val="0"/>
          <w:szCs w:val="24"/>
          <w:highlight w:val="none"/>
        </w:rPr>
      </w:pPr>
      <w:r>
        <w:rPr>
          <w:rFonts w:hint="eastAsia" w:ascii="Times New Roman" w:hAnsi="Times New Roman" w:eastAsia="宋体" w:cs="Times New Roman"/>
          <w:color w:val="auto"/>
          <w:kern w:val="0"/>
          <w:szCs w:val="24"/>
          <w:highlight w:val="none"/>
        </w:rPr>
        <w:t>⑵承包人使用了不符合14.4款约定要求的材料设备，则应按</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的指令负责修复、拆除或重新采购，并承担因此产生的费用，由此延误的工期不予顺延。</w:t>
      </w:r>
    </w:p>
    <w:p w14:paraId="1A75FC8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454" w:name="_Toc17135"/>
      <w:bookmarkStart w:id="1455" w:name="_Toc18353"/>
      <w:bookmarkStart w:id="1456" w:name="_Toc302635791"/>
      <w:bookmarkStart w:id="1457" w:name="_Toc8514"/>
      <w:bookmarkStart w:id="1458" w:name="_Toc1175"/>
      <w:bookmarkStart w:id="1459" w:name="_Toc24251"/>
      <w:bookmarkStart w:id="1460" w:name="_Toc11228"/>
      <w:bookmarkStart w:id="1461" w:name="_Toc4940"/>
      <w:bookmarkStart w:id="1462" w:name="_Toc26104"/>
      <w:bookmarkStart w:id="1463" w:name="_Toc4020"/>
      <w:r>
        <w:rPr>
          <w:rFonts w:hint="eastAsia" w:ascii="宋体" w:hAnsi="宋体" w:eastAsia="宋体" w:cs="Times New Roman"/>
          <w:b/>
          <w:bCs/>
          <w:color w:val="auto"/>
          <w:kern w:val="0"/>
          <w:sz w:val="24"/>
          <w:szCs w:val="24"/>
          <w:highlight w:val="none"/>
          <w:lang w:val="en-US" w:eastAsia="zh-CN" w:bidi="ar-SA"/>
        </w:rPr>
        <w:t>材料和工程设备的替代</w:t>
      </w:r>
      <w:bookmarkEnd w:id="1454"/>
      <w:bookmarkEnd w:id="1455"/>
      <w:bookmarkEnd w:id="1456"/>
      <w:bookmarkEnd w:id="1457"/>
      <w:bookmarkEnd w:id="1458"/>
      <w:bookmarkEnd w:id="1459"/>
      <w:bookmarkEnd w:id="1460"/>
      <w:bookmarkEnd w:id="1461"/>
      <w:bookmarkEnd w:id="1462"/>
      <w:bookmarkEnd w:id="1463"/>
    </w:p>
    <w:p w14:paraId="2FB1810B">
      <w:pPr>
        <w:tabs>
          <w:tab w:val="left" w:pos="1620"/>
          <w:tab w:val="left" w:pos="2340"/>
        </w:tabs>
        <w:spacing w:after="156"/>
        <w:ind w:left="850" w:leftChars="405" w:firstLine="92" w:firstLineChars="44"/>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Times New Roman" w:hAnsi="Times New Roman" w:eastAsia="宋体" w:cs="Times New Roman"/>
          <w:color w:val="auto"/>
          <w:kern w:val="0"/>
          <w:szCs w:val="24"/>
          <w:highlight w:val="none"/>
        </w:rPr>
        <w:t>出现下列情况需要使用替代材料和工程设备的，承包人应按照第</w:t>
      </w:r>
      <w:r>
        <w:rPr>
          <w:rFonts w:hint="eastAsia" w:ascii="Times New Roman" w:hAnsi="Times New Roman" w:eastAsia="宋体" w:cs="Times New Roman"/>
          <w:color w:val="auto"/>
          <w:kern w:val="0"/>
          <w:szCs w:val="24"/>
          <w:highlight w:val="none"/>
        </w:rPr>
        <w:t>14</w:t>
      </w:r>
      <w:r>
        <w:rPr>
          <w:rFonts w:ascii="Times New Roman" w:hAnsi="Times New Roman" w:eastAsia="宋体" w:cs="Times New Roman"/>
          <w:color w:val="auto"/>
          <w:kern w:val="0"/>
          <w:szCs w:val="24"/>
          <w:highlight w:val="none"/>
        </w:rPr>
        <w:t>.</w:t>
      </w:r>
      <w:r>
        <w:rPr>
          <w:rFonts w:hint="eastAsia" w:ascii="Times New Roman" w:hAnsi="Times New Roman" w:eastAsia="宋体" w:cs="Times New Roman"/>
          <w:color w:val="auto"/>
          <w:kern w:val="0"/>
          <w:szCs w:val="24"/>
          <w:highlight w:val="none"/>
        </w:rPr>
        <w:t>6</w:t>
      </w:r>
      <w:r>
        <w:rPr>
          <w:rFonts w:ascii="Times New Roman" w:hAnsi="Times New Roman" w:eastAsia="宋体" w:cs="Times New Roman"/>
          <w:color w:val="auto"/>
          <w:kern w:val="0"/>
          <w:szCs w:val="24"/>
          <w:highlight w:val="none"/>
        </w:rPr>
        <w:t>.</w:t>
      </w:r>
      <w:r>
        <w:rPr>
          <w:rFonts w:hint="eastAsia" w:ascii="Times New Roman" w:hAnsi="Times New Roman" w:eastAsia="宋体" w:cs="Times New Roman"/>
          <w:color w:val="auto"/>
          <w:kern w:val="0"/>
          <w:szCs w:val="24"/>
          <w:highlight w:val="none"/>
        </w:rPr>
        <w:t>（2）</w:t>
      </w:r>
      <w:r>
        <w:rPr>
          <w:rFonts w:ascii="Times New Roman" w:hAnsi="Times New Roman" w:eastAsia="宋体" w:cs="Times New Roman"/>
          <w:color w:val="auto"/>
          <w:kern w:val="0"/>
          <w:szCs w:val="24"/>
          <w:highlight w:val="none"/>
        </w:rPr>
        <w:t>项约定的程序执行：</w:t>
      </w:r>
    </w:p>
    <w:p w14:paraId="649EB19E">
      <w:pPr>
        <w:tabs>
          <w:tab w:val="left" w:pos="1620"/>
          <w:tab w:val="left" w:pos="2340"/>
        </w:tabs>
        <w:spacing w:after="156"/>
        <w:ind w:left="1109" w:leftChars="528"/>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Times New Roman" w:hAnsi="Times New Roman" w:eastAsia="宋体" w:cs="Times New Roman"/>
          <w:color w:val="auto"/>
          <w:kern w:val="0"/>
          <w:szCs w:val="24"/>
          <w:highlight w:val="none"/>
        </w:rPr>
        <w:t>基准日</w:t>
      </w:r>
      <w:r>
        <w:rPr>
          <w:rFonts w:hint="eastAsia" w:ascii="Times New Roman" w:hAnsi="Times New Roman" w:eastAsia="宋体" w:cs="Times New Roman"/>
          <w:color w:val="auto"/>
          <w:kern w:val="0"/>
          <w:szCs w:val="24"/>
          <w:highlight w:val="none"/>
        </w:rPr>
        <w:t>期</w:t>
      </w:r>
      <w:r>
        <w:rPr>
          <w:rFonts w:ascii="Times New Roman" w:hAnsi="Times New Roman" w:eastAsia="宋体" w:cs="Times New Roman"/>
          <w:color w:val="auto"/>
          <w:kern w:val="0"/>
          <w:szCs w:val="24"/>
          <w:highlight w:val="none"/>
        </w:rPr>
        <w:t>后生效的法律规定禁止使用的；</w:t>
      </w:r>
    </w:p>
    <w:p w14:paraId="6716EE0D">
      <w:pPr>
        <w:tabs>
          <w:tab w:val="left" w:pos="1620"/>
          <w:tab w:val="left" w:pos="2340"/>
        </w:tabs>
        <w:spacing w:after="156"/>
        <w:ind w:left="1109" w:leftChars="528"/>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Times New Roman" w:hAnsi="Times New Roman" w:eastAsia="宋体" w:cs="Times New Roman"/>
          <w:color w:val="auto"/>
          <w:kern w:val="0"/>
          <w:szCs w:val="24"/>
          <w:highlight w:val="none"/>
        </w:rPr>
        <w:t>发包人要求使用替代品的；</w:t>
      </w:r>
    </w:p>
    <w:p w14:paraId="3E4F5D7F">
      <w:pPr>
        <w:tabs>
          <w:tab w:val="left" w:pos="1620"/>
          <w:tab w:val="left" w:pos="2340"/>
        </w:tabs>
        <w:spacing w:after="156"/>
        <w:ind w:left="1109" w:leftChars="528"/>
        <w:jc w:val="left"/>
        <w:rPr>
          <w:rFonts w:hint="eastAsia"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Times New Roman" w:hAnsi="Times New Roman" w:eastAsia="宋体" w:cs="Times New Roman"/>
          <w:color w:val="auto"/>
          <w:kern w:val="0"/>
          <w:szCs w:val="24"/>
          <w:highlight w:val="none"/>
        </w:rPr>
        <w:t>因其他原因必须使用替代品的。</w:t>
      </w:r>
    </w:p>
    <w:p w14:paraId="36376C74">
      <w:pPr>
        <w:tabs>
          <w:tab w:val="left" w:pos="1620"/>
          <w:tab w:val="left" w:pos="2340"/>
        </w:tabs>
        <w:spacing w:after="156"/>
        <w:ind w:left="899"/>
        <w:jc w:val="left"/>
        <w:rPr>
          <w:rFonts w:ascii="Times New Roman" w:hAnsi="Times New Roman" w:eastAsia="宋体" w:cs="Times New Roman"/>
          <w:color w:val="auto"/>
          <w:kern w:val="0"/>
          <w:szCs w:val="24"/>
          <w:highlight w:val="none"/>
        </w:rPr>
      </w:pPr>
      <w:r>
        <w:rPr>
          <w:rFonts w:hint="eastAsia" w:ascii="Times New Roman" w:hAnsi="Times New Roman" w:eastAsia="宋体" w:cs="Times New Roman"/>
          <w:color w:val="auto"/>
          <w:kern w:val="0"/>
          <w:szCs w:val="24"/>
          <w:highlight w:val="none"/>
        </w:rPr>
        <w:t>⑵承包人需要使用替代材料设备应在</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约定的时限前向</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提出申请，</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应在</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约定的时限内发书面指示报发包人</w:t>
      </w:r>
      <w:bookmarkEnd w:id="1453"/>
      <w:r>
        <w:rPr>
          <w:rFonts w:hint="eastAsia" w:ascii="Times New Roman" w:hAnsi="Times New Roman" w:eastAsia="宋体" w:cs="Times New Roman"/>
          <w:color w:val="auto"/>
          <w:kern w:val="0"/>
          <w:szCs w:val="24"/>
          <w:highlight w:val="none"/>
        </w:rPr>
        <w:t>，</w:t>
      </w:r>
      <w:r>
        <w:rPr>
          <w:rFonts w:ascii="Times New Roman" w:hAnsi="Times New Roman" w:eastAsia="宋体" w:cs="Times New Roman"/>
          <w:color w:val="auto"/>
          <w:kern w:val="0"/>
          <w:szCs w:val="24"/>
          <w:highlight w:val="none"/>
        </w:rPr>
        <w:t>监理人逾期发出书面指示的，视为发包人和监理人同意使用替代品。</w:t>
      </w:r>
      <w:r>
        <w:rPr>
          <w:rFonts w:hint="eastAsia" w:ascii="Times New Roman" w:hAnsi="Times New Roman" w:eastAsia="宋体" w:cs="Times New Roman"/>
          <w:color w:val="auto"/>
          <w:kern w:val="0"/>
          <w:szCs w:val="24"/>
          <w:highlight w:val="none"/>
        </w:rPr>
        <w:t>替代</w:t>
      </w:r>
      <w:r>
        <w:rPr>
          <w:rFonts w:ascii="Times New Roman" w:hAnsi="Times New Roman" w:eastAsia="宋体" w:cs="Times New Roman"/>
          <w:color w:val="auto"/>
          <w:kern w:val="0"/>
          <w:szCs w:val="24"/>
          <w:highlight w:val="none"/>
        </w:rPr>
        <w:t>材料</w:t>
      </w:r>
      <w:r>
        <w:rPr>
          <w:rFonts w:hint="eastAsia" w:ascii="Times New Roman" w:hAnsi="Times New Roman" w:eastAsia="宋体" w:cs="Times New Roman"/>
          <w:color w:val="auto"/>
          <w:kern w:val="0"/>
          <w:szCs w:val="24"/>
          <w:highlight w:val="none"/>
        </w:rPr>
        <w:t>设备的</w:t>
      </w:r>
      <w:r>
        <w:rPr>
          <w:rFonts w:ascii="Times New Roman" w:hAnsi="Times New Roman" w:eastAsia="宋体" w:cs="Times New Roman"/>
          <w:color w:val="auto"/>
          <w:kern w:val="0"/>
          <w:szCs w:val="24"/>
          <w:highlight w:val="none"/>
        </w:rPr>
        <w:t>品质</w:t>
      </w:r>
      <w:r>
        <w:rPr>
          <w:rFonts w:hint="eastAsia" w:ascii="Times New Roman" w:hAnsi="Times New Roman" w:eastAsia="宋体" w:cs="Times New Roman"/>
          <w:color w:val="auto"/>
          <w:kern w:val="0"/>
          <w:szCs w:val="24"/>
          <w:highlight w:val="none"/>
        </w:rPr>
        <w:t>、</w:t>
      </w:r>
      <w:r>
        <w:rPr>
          <w:rFonts w:ascii="Times New Roman" w:hAnsi="Times New Roman" w:eastAsia="宋体" w:cs="Times New Roman"/>
          <w:color w:val="auto"/>
          <w:kern w:val="0"/>
          <w:szCs w:val="24"/>
          <w:highlight w:val="none"/>
        </w:rPr>
        <w:t>标准、性能不能低于被</w:t>
      </w:r>
      <w:r>
        <w:rPr>
          <w:rFonts w:hint="eastAsia" w:ascii="Times New Roman" w:hAnsi="Times New Roman" w:eastAsia="宋体" w:cs="Times New Roman"/>
          <w:color w:val="auto"/>
          <w:kern w:val="0"/>
          <w:szCs w:val="24"/>
          <w:highlight w:val="none"/>
        </w:rPr>
        <w:t>替代</w:t>
      </w:r>
      <w:r>
        <w:rPr>
          <w:rFonts w:ascii="Times New Roman" w:hAnsi="Times New Roman" w:eastAsia="宋体" w:cs="Times New Roman"/>
          <w:color w:val="auto"/>
          <w:kern w:val="0"/>
          <w:szCs w:val="24"/>
          <w:highlight w:val="none"/>
        </w:rPr>
        <w:t>材料，</w:t>
      </w:r>
      <w:r>
        <w:rPr>
          <w:rFonts w:hint="eastAsia" w:ascii="Times New Roman" w:hAnsi="Times New Roman" w:eastAsia="宋体" w:cs="Times New Roman"/>
          <w:color w:val="auto"/>
          <w:kern w:val="0"/>
          <w:szCs w:val="24"/>
          <w:highlight w:val="none"/>
        </w:rPr>
        <w:t>因此增减的合同价格和产生的费用的承担，承发包双方在</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中约定。</w:t>
      </w:r>
    </w:p>
    <w:p w14:paraId="480F49C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64" w:name="_Toc35656481"/>
      <w:bookmarkStart w:id="1465" w:name="_Toc34909031"/>
      <w:bookmarkStart w:id="1466" w:name="_Toc35656983"/>
      <w:bookmarkStart w:id="1467" w:name="_Toc13610"/>
      <w:bookmarkStart w:id="1468" w:name="_Toc302635792"/>
      <w:bookmarkStart w:id="1469" w:name="_Toc305331312"/>
      <w:bookmarkStart w:id="1470" w:name="_Toc32153"/>
      <w:bookmarkStart w:id="1471" w:name="_Toc13022"/>
      <w:bookmarkStart w:id="1472" w:name="_Toc15686"/>
      <w:bookmarkStart w:id="1473" w:name="_Toc13275"/>
      <w:bookmarkStart w:id="1474" w:name="_Toc24940"/>
      <w:bookmarkStart w:id="1475" w:name="_Toc29377"/>
      <w:bookmarkStart w:id="1476" w:name="_Toc20442"/>
      <w:bookmarkStart w:id="1477" w:name="_Toc23577"/>
      <w:r>
        <w:rPr>
          <w:rFonts w:hint="eastAsia" w:ascii="宋体" w:hAnsi="宋体" w:eastAsia="宋体" w:cs="Times New Roman"/>
          <w:b/>
          <w:bCs/>
          <w:color w:val="auto"/>
          <w:kern w:val="0"/>
          <w:sz w:val="24"/>
          <w:szCs w:val="24"/>
          <w:highlight w:val="none"/>
          <w:lang w:val="en-US" w:eastAsia="zh-CN" w:bidi="ar-SA"/>
        </w:rPr>
        <w:t>材料设备</w:t>
      </w:r>
      <w:bookmarkEnd w:id="1464"/>
      <w:bookmarkEnd w:id="1465"/>
      <w:bookmarkEnd w:id="1466"/>
      <w:r>
        <w:rPr>
          <w:rFonts w:hint="eastAsia" w:ascii="宋体" w:hAnsi="宋体" w:eastAsia="宋体" w:cs="Times New Roman"/>
          <w:b/>
          <w:bCs/>
          <w:color w:val="auto"/>
          <w:kern w:val="0"/>
          <w:sz w:val="24"/>
          <w:szCs w:val="24"/>
          <w:highlight w:val="none"/>
          <w:lang w:val="en-US" w:eastAsia="zh-CN" w:bidi="ar-SA"/>
        </w:rPr>
        <w:t>的检验</w:t>
      </w:r>
      <w:bookmarkEnd w:id="1467"/>
      <w:bookmarkEnd w:id="1468"/>
      <w:bookmarkEnd w:id="1469"/>
      <w:bookmarkEnd w:id="1470"/>
      <w:bookmarkEnd w:id="1471"/>
      <w:bookmarkEnd w:id="1472"/>
      <w:bookmarkEnd w:id="1473"/>
      <w:bookmarkEnd w:id="1474"/>
      <w:bookmarkEnd w:id="1475"/>
      <w:bookmarkEnd w:id="1476"/>
      <w:bookmarkEnd w:id="1477"/>
    </w:p>
    <w:p w14:paraId="02AC88C9">
      <w:pPr>
        <w:tabs>
          <w:tab w:val="left" w:pos="1620"/>
          <w:tab w:val="left" w:pos="2340"/>
        </w:tabs>
        <w:spacing w:after="156"/>
        <w:ind w:left="899"/>
        <w:jc w:val="left"/>
        <w:rPr>
          <w:rFonts w:ascii="Times New Roman" w:hAnsi="Times New Roman" w:eastAsia="宋体" w:cs="Times New Roman"/>
          <w:color w:val="auto"/>
          <w:kern w:val="0"/>
          <w:szCs w:val="24"/>
          <w:highlight w:val="none"/>
        </w:rPr>
      </w:pPr>
      <w:bookmarkStart w:id="1478" w:name="_Toc34909032"/>
      <w:r>
        <w:rPr>
          <w:rFonts w:hint="eastAsia" w:ascii="宋体" w:hAnsi="宋体" w:eastAsia="宋体" w:cs="Times New Roman"/>
          <w:color w:val="auto"/>
          <w:kern w:val="0"/>
          <w:szCs w:val="24"/>
          <w:highlight w:val="none"/>
        </w:rPr>
        <w:t>⑴</w:t>
      </w:r>
      <w:r>
        <w:rPr>
          <w:rFonts w:hint="eastAsia" w:ascii="Times New Roman" w:hAnsi="Times New Roman" w:eastAsia="宋体" w:cs="Times New Roman"/>
          <w:color w:val="auto"/>
          <w:kern w:val="0"/>
          <w:szCs w:val="24"/>
          <w:highlight w:val="none"/>
        </w:rPr>
        <w:t>本工程一切材料设备在</w:t>
      </w:r>
      <w:bookmarkEnd w:id="1478"/>
      <w:bookmarkStart w:id="1479" w:name="_Toc34909033"/>
      <w:r>
        <w:rPr>
          <w:rFonts w:hint="eastAsia" w:ascii="Times New Roman" w:hAnsi="Times New Roman" w:eastAsia="宋体" w:cs="Times New Roman"/>
          <w:color w:val="auto"/>
          <w:kern w:val="0"/>
          <w:szCs w:val="24"/>
          <w:highlight w:val="none"/>
        </w:rPr>
        <w:t>用于本工程之前，均应按照法律、法规、规章和有关标准、规范的规定以及</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约定的检验时间和地点、取样办法、检验频次和内容等要求，在</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的监督、见证下，由承包人负责取样并送</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指定的检验机构进行检验，不合格的不得使用。</w:t>
      </w:r>
      <w:bookmarkEnd w:id="1479"/>
    </w:p>
    <w:p w14:paraId="50E86851">
      <w:pPr>
        <w:tabs>
          <w:tab w:val="left" w:pos="1620"/>
          <w:tab w:val="left" w:pos="2340"/>
        </w:tabs>
        <w:spacing w:after="156"/>
        <w:ind w:left="899"/>
        <w:jc w:val="left"/>
        <w:rPr>
          <w:rFonts w:hint="eastAsia"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⑵</w:t>
      </w:r>
      <w:bookmarkStart w:id="1480" w:name="_Toc34909035"/>
      <w:r>
        <w:rPr>
          <w:rFonts w:hint="eastAsia" w:ascii="Times New Roman" w:hAnsi="Times New Roman" w:eastAsia="宋体" w:cs="Times New Roman"/>
          <w:color w:val="auto"/>
          <w:kern w:val="0"/>
          <w:szCs w:val="24"/>
          <w:highlight w:val="none"/>
        </w:rPr>
        <w:t>拟用于本工程的材料设备应当经检验合格后使用。发包人供应的材料设备的检验费用由发包人承担；承包人采购的材料设备检验费用由承包人承担。</w:t>
      </w:r>
    </w:p>
    <w:p w14:paraId="438F80D6">
      <w:pPr>
        <w:tabs>
          <w:tab w:val="left" w:pos="1620"/>
          <w:tab w:val="left" w:pos="2340"/>
        </w:tabs>
        <w:spacing w:after="156"/>
        <w:ind w:left="899"/>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hint="eastAsia" w:ascii="Times New Roman" w:hAnsi="Times New Roman" w:eastAsia="宋体" w:cs="Times New Roman"/>
          <w:color w:val="auto"/>
          <w:kern w:val="0"/>
          <w:szCs w:val="24"/>
          <w:highlight w:val="none"/>
        </w:rPr>
        <w:t>发包人对具有出厂合格证明材料设备的检验，构件的破坏性检验、其他特殊要求的检验及发包人委托检测机构进行的检测，如经检验合格的，检验费用由发包人承担</w:t>
      </w:r>
      <w:bookmarkEnd w:id="1480"/>
      <w:r>
        <w:rPr>
          <w:rFonts w:hint="eastAsia" w:ascii="Times New Roman" w:hAnsi="Times New Roman" w:eastAsia="宋体" w:cs="Times New Roman"/>
          <w:color w:val="auto"/>
          <w:kern w:val="0"/>
          <w:szCs w:val="24"/>
          <w:highlight w:val="none"/>
        </w:rPr>
        <w:t>；</w:t>
      </w:r>
      <w:bookmarkStart w:id="1481" w:name="_Toc34909036"/>
      <w:r>
        <w:rPr>
          <w:rFonts w:hint="eastAsia" w:ascii="Times New Roman" w:hAnsi="Times New Roman" w:eastAsia="宋体" w:cs="Times New Roman"/>
          <w:color w:val="auto"/>
          <w:kern w:val="0"/>
          <w:szCs w:val="24"/>
          <w:highlight w:val="none"/>
        </w:rPr>
        <w:t>若检验不合格且为承包人采购的材料设备，检验费用由承包人承担。</w:t>
      </w:r>
    </w:p>
    <w:p w14:paraId="6FDE4DA2">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82" w:name="_Toc6695"/>
      <w:bookmarkStart w:id="1483" w:name="_Toc30839"/>
      <w:bookmarkStart w:id="1484" w:name="_Toc24816"/>
      <w:bookmarkStart w:id="1485" w:name="_Toc10597"/>
      <w:bookmarkStart w:id="1486" w:name="_Toc305331313"/>
      <w:bookmarkStart w:id="1487" w:name="_Toc257"/>
      <w:bookmarkStart w:id="1488" w:name="_Toc5265"/>
      <w:bookmarkStart w:id="1489" w:name="_Toc302635793"/>
      <w:bookmarkStart w:id="1490" w:name="_Toc7131"/>
      <w:bookmarkStart w:id="1491" w:name="_Toc20575"/>
      <w:bookmarkStart w:id="1492" w:name="_Toc3324"/>
      <w:r>
        <w:rPr>
          <w:rFonts w:hint="eastAsia" w:ascii="宋体" w:hAnsi="宋体" w:eastAsia="宋体" w:cs="Times New Roman"/>
          <w:b/>
          <w:bCs/>
          <w:color w:val="auto"/>
          <w:kern w:val="0"/>
          <w:sz w:val="24"/>
          <w:szCs w:val="24"/>
          <w:highlight w:val="none"/>
          <w:lang w:val="en-US" w:eastAsia="zh-CN" w:bidi="ar-SA"/>
        </w:rPr>
        <w:t>材料设备的再次检验和随时检查</w:t>
      </w:r>
      <w:bookmarkEnd w:id="1482"/>
      <w:bookmarkEnd w:id="1483"/>
      <w:bookmarkEnd w:id="1484"/>
      <w:bookmarkEnd w:id="1485"/>
      <w:bookmarkEnd w:id="1486"/>
      <w:bookmarkEnd w:id="1487"/>
      <w:bookmarkEnd w:id="1488"/>
      <w:bookmarkEnd w:id="1489"/>
      <w:bookmarkEnd w:id="1490"/>
      <w:bookmarkEnd w:id="1491"/>
      <w:bookmarkEnd w:id="1492"/>
    </w:p>
    <w:p w14:paraId="50AAC500">
      <w:pPr>
        <w:tabs>
          <w:tab w:val="left" w:pos="1620"/>
          <w:tab w:val="left" w:pos="2340"/>
        </w:tabs>
        <w:spacing w:after="156"/>
        <w:ind w:left="899"/>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hint="eastAsia" w:ascii="Times New Roman" w:hAnsi="Times New Roman" w:eastAsia="宋体" w:cs="Times New Roman"/>
          <w:color w:val="auto"/>
          <w:kern w:val="0"/>
          <w:szCs w:val="24"/>
          <w:highlight w:val="none"/>
        </w:rPr>
        <w:t>如</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认为需要，可要求对材料设备进行再次检验。发包人供应的材料设备，再次检验费用由发包人承担。承包人采购的材料设备，如再次检验结果表明该材料设备不符合有关标准、规范的规定或本合同的约定，检验费用由承包人承担，否则由发包人承担。</w:t>
      </w:r>
      <w:bookmarkEnd w:id="1481"/>
    </w:p>
    <w:p w14:paraId="13BF8AAD">
      <w:pPr>
        <w:tabs>
          <w:tab w:val="left" w:pos="1620"/>
          <w:tab w:val="left" w:pos="2340"/>
        </w:tabs>
        <w:spacing w:after="156"/>
        <w:ind w:left="899"/>
        <w:jc w:val="left"/>
        <w:rPr>
          <w:rFonts w:ascii="Times New Roman" w:hAnsi="Times New Roman" w:eastAsia="宋体" w:cs="Times New Roman"/>
          <w:color w:val="auto"/>
          <w:kern w:val="0"/>
          <w:szCs w:val="24"/>
          <w:highlight w:val="none"/>
        </w:rPr>
      </w:pPr>
      <w:bookmarkStart w:id="1493" w:name="_Toc34909037"/>
      <w:r>
        <w:rPr>
          <w:rFonts w:hint="eastAsia" w:ascii="宋体" w:hAnsi="宋体" w:eastAsia="宋体" w:cs="Times New Roman"/>
          <w:color w:val="auto"/>
          <w:kern w:val="0"/>
          <w:szCs w:val="24"/>
          <w:highlight w:val="none"/>
        </w:rPr>
        <w:t>⑵</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在一切合理的时间内均应能进入施工现场以及半成品的制造、加工或制配的所有车间和场所，承包人应为其进入上述场所提供一切便利和协助。</w:t>
      </w:r>
      <w:bookmarkEnd w:id="1493"/>
    </w:p>
    <w:p w14:paraId="3E82B5F2">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494" w:name="_Toc21803"/>
      <w:bookmarkStart w:id="1495" w:name="_Toc8485"/>
      <w:bookmarkStart w:id="1496" w:name="_Toc35656987"/>
      <w:bookmarkStart w:id="1497" w:name="_Toc25243"/>
      <w:bookmarkStart w:id="1498" w:name="_Toc34909056"/>
      <w:bookmarkStart w:id="1499" w:name="_Toc305331314"/>
      <w:bookmarkStart w:id="1500" w:name="_Toc302635794"/>
      <w:bookmarkStart w:id="1501" w:name="_Toc28745"/>
      <w:bookmarkStart w:id="1502" w:name="_Toc35656485"/>
      <w:bookmarkStart w:id="1503" w:name="_Toc2436"/>
      <w:bookmarkStart w:id="1504" w:name="_Toc10865"/>
      <w:bookmarkStart w:id="1505" w:name="_Toc7663"/>
      <w:bookmarkStart w:id="1506" w:name="_Toc28438"/>
      <w:bookmarkStart w:id="1507" w:name="_Toc12232"/>
      <w:r>
        <w:rPr>
          <w:rFonts w:hint="eastAsia" w:ascii="华文细黑" w:hAnsi="宋体" w:eastAsia="宋体" w:cs="Times New Roman"/>
          <w:b/>
          <w:bCs/>
          <w:snapToGrid w:val="0"/>
          <w:color w:val="auto"/>
          <w:kern w:val="0"/>
          <w:sz w:val="28"/>
          <w:szCs w:val="44"/>
          <w:highlight w:val="none"/>
          <w:lang w:val="en-US" w:eastAsia="zh-CN" w:bidi="ar-SA"/>
        </w:rPr>
        <w:t>工程质量和检测</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20F267E9">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08" w:name="_Toc302635795"/>
      <w:bookmarkStart w:id="1509" w:name="_Toc15182"/>
      <w:bookmarkStart w:id="1510" w:name="_Toc305331315"/>
      <w:bookmarkStart w:id="1511" w:name="_Toc13014"/>
      <w:bookmarkStart w:id="1512" w:name="_Toc26964"/>
      <w:bookmarkStart w:id="1513" w:name="_Toc22515"/>
      <w:bookmarkStart w:id="1514" w:name="_Toc30990"/>
      <w:bookmarkStart w:id="1515" w:name="_Toc8367"/>
      <w:bookmarkStart w:id="1516" w:name="_Toc29863"/>
      <w:bookmarkStart w:id="1517" w:name="_Toc1434"/>
      <w:bookmarkStart w:id="1518" w:name="_Toc1243"/>
      <w:bookmarkStart w:id="1519" w:name="_Toc34909057"/>
      <w:r>
        <w:rPr>
          <w:rFonts w:hint="eastAsia" w:ascii="宋体" w:hAnsi="宋体" w:eastAsia="宋体" w:cs="Times New Roman"/>
          <w:b/>
          <w:bCs/>
          <w:color w:val="auto"/>
          <w:kern w:val="0"/>
          <w:sz w:val="24"/>
          <w:szCs w:val="24"/>
          <w:highlight w:val="none"/>
          <w:lang w:val="en-US" w:eastAsia="zh-CN" w:bidi="ar-SA"/>
        </w:rPr>
        <w:t>工程质量</w:t>
      </w:r>
      <w:bookmarkEnd w:id="1508"/>
      <w:bookmarkEnd w:id="1509"/>
      <w:bookmarkEnd w:id="1510"/>
      <w:bookmarkEnd w:id="1511"/>
      <w:bookmarkEnd w:id="1512"/>
      <w:bookmarkEnd w:id="1513"/>
      <w:bookmarkEnd w:id="1514"/>
      <w:bookmarkEnd w:id="1515"/>
      <w:bookmarkEnd w:id="1516"/>
      <w:bookmarkEnd w:id="1517"/>
      <w:bookmarkEnd w:id="1518"/>
    </w:p>
    <w:p w14:paraId="398FC38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⑴工程质量应达到本合同协议书中约定的质量标准，工程质量标准的评定应以本合同约定的标准、规范为依据</w:t>
      </w:r>
      <w:bookmarkEnd w:id="1519"/>
      <w:r>
        <w:rPr>
          <w:rFonts w:hint="eastAsia" w:ascii="宋体" w:hAnsi="宋体" w:eastAsia="宋体" w:cs="Times New Roman"/>
          <w:color w:val="auto"/>
          <w:kern w:val="0"/>
          <w:szCs w:val="24"/>
          <w:highlight w:val="none"/>
        </w:rPr>
        <w:t>，</w:t>
      </w:r>
      <w:r>
        <w:rPr>
          <w:rFonts w:hint="eastAsia" w:ascii="宋体" w:hAnsi="宋体" w:eastAsia="宋体" w:cs="Times New Roman"/>
          <w:caps/>
          <w:color w:val="auto"/>
          <w:szCs w:val="21"/>
          <w:highlight w:val="none"/>
        </w:rPr>
        <w:t>合同没有约定的，以国家或行业的质量检验评定标准为依据。</w:t>
      </w:r>
    </w:p>
    <w:p w14:paraId="6B49DBF0">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520" w:name="_Toc34909058"/>
      <w:r>
        <w:rPr>
          <w:rFonts w:hint="eastAsia" w:ascii="宋体" w:hAnsi="宋体" w:eastAsia="宋体" w:cs="Times New Roman"/>
          <w:color w:val="auto"/>
          <w:kern w:val="0"/>
          <w:szCs w:val="24"/>
          <w:highlight w:val="none"/>
        </w:rPr>
        <w:t>⑵承包人应建立质量保证体系，</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有权对体系的任何方面进行审查。遵守质量保证体系不应解除合同约定的承包人的任何义务和职责。</w:t>
      </w:r>
      <w:bookmarkEnd w:id="1520"/>
    </w:p>
    <w:p w14:paraId="29EB2058">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因发包人原因造成工程质量未达到合同约定标准的，由发包人承担由此增加的费用和（或）延误的工期。</w:t>
      </w:r>
    </w:p>
    <w:p w14:paraId="01A5E24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因承包人原因造成工程质量未达到合同约定标准的，发包人有权要求承包人返工直至工程质量达到合同约定的标准为止，并由承包人承担由此增加的费用和（或）延误的工期。</w:t>
      </w:r>
    </w:p>
    <w:p w14:paraId="3C2C1518">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21" w:name="_Toc31373"/>
      <w:bookmarkStart w:id="1522" w:name="_Toc17892"/>
      <w:bookmarkStart w:id="1523" w:name="_Toc20379"/>
      <w:bookmarkStart w:id="1524" w:name="_Toc2987"/>
      <w:bookmarkStart w:id="1525" w:name="_Toc24072"/>
      <w:bookmarkStart w:id="1526" w:name="_Toc15050"/>
      <w:bookmarkStart w:id="1527" w:name="_Toc24021"/>
      <w:bookmarkStart w:id="1528" w:name="_Toc9216"/>
      <w:bookmarkStart w:id="1529" w:name="_Toc302635796"/>
      <w:bookmarkStart w:id="1530" w:name="_Toc1829"/>
      <w:bookmarkStart w:id="1531" w:name="_Toc305331316"/>
      <w:bookmarkStart w:id="1532" w:name="_Toc34909059"/>
      <w:r>
        <w:rPr>
          <w:rFonts w:hint="eastAsia" w:ascii="宋体" w:hAnsi="宋体" w:eastAsia="宋体" w:cs="Times New Roman"/>
          <w:b/>
          <w:bCs/>
          <w:color w:val="auto"/>
          <w:kern w:val="0"/>
          <w:sz w:val="24"/>
          <w:szCs w:val="24"/>
          <w:highlight w:val="none"/>
          <w:lang w:val="en-US" w:eastAsia="zh-CN" w:bidi="ar-SA"/>
        </w:rPr>
        <w:t>发包人质量控制责任</w:t>
      </w:r>
      <w:bookmarkEnd w:id="1521"/>
      <w:bookmarkEnd w:id="1522"/>
      <w:bookmarkEnd w:id="1523"/>
      <w:bookmarkEnd w:id="1524"/>
      <w:bookmarkEnd w:id="1525"/>
      <w:bookmarkEnd w:id="1526"/>
      <w:bookmarkEnd w:id="1527"/>
      <w:bookmarkEnd w:id="1528"/>
      <w:bookmarkEnd w:id="1529"/>
      <w:bookmarkEnd w:id="1530"/>
    </w:p>
    <w:p w14:paraId="1032D77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发包人应按照法律规定及合同约定完成与工程质量有关的各项工作</w:t>
      </w:r>
      <w:r>
        <w:rPr>
          <w:rFonts w:hint="eastAsia" w:ascii="宋体" w:hAnsi="宋体" w:eastAsia="宋体" w:cs="Times New Roman"/>
          <w:color w:val="auto"/>
          <w:kern w:val="0"/>
          <w:szCs w:val="24"/>
          <w:highlight w:val="none"/>
        </w:rPr>
        <w:t>，其职责包括但不限于下列内容：</w:t>
      </w:r>
    </w:p>
    <w:p w14:paraId="0305D5A4">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⑴向有关的勘察、设计、施工、工程监理等单位提供与建设工程有关的原始资料。原始资料必须真实、准确、齐全。</w:t>
      </w:r>
    </w:p>
    <w:p w14:paraId="628AE54D">
      <w:pPr>
        <w:tabs>
          <w:tab w:val="left" w:pos="1620"/>
          <w:tab w:val="left" w:pos="2340"/>
        </w:tabs>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⑵不得迫使承包方以低于成本的价格竞标，不得任意压缩合理工期。</w:t>
      </w:r>
    </w:p>
    <w:p w14:paraId="2E7E73B7">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⑶将施工图设计文件报建设行政主管部门或者其他有关部门审查。施工图设计文件未经审查批准的，不得使用。</w:t>
      </w:r>
    </w:p>
    <w:p w14:paraId="45343EC1">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⑷按照合同约定，由发包人采购材料、设备的，应保证其符合设计文件和合同要求。</w:t>
      </w:r>
    </w:p>
    <w:p w14:paraId="6571EE15">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⑸收到建设工程竣工报告后，组织设计、施工、工程监理等有关单位进行竣工验收。经验收合格的，方可交付使用。</w:t>
      </w:r>
    </w:p>
    <w:p w14:paraId="20D88021">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⑹应严格按照国家有关档案管理的规定，及时收集、整理建设项目各环节的文件资料，建立、健全建设项目档案，并在建设工程竣工验收后，及时向建设行政主管部门或者其他有关部门移交建设项目档案。</w:t>
      </w:r>
    </w:p>
    <w:p w14:paraId="09DD7B5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533" w:name="_Toc302635797"/>
      <w:bookmarkStart w:id="1534" w:name="_Toc25593"/>
      <w:bookmarkStart w:id="1535" w:name="_Toc18814"/>
      <w:bookmarkStart w:id="1536" w:name="_Toc11883"/>
      <w:bookmarkStart w:id="1537" w:name="_Toc2333"/>
      <w:bookmarkStart w:id="1538" w:name="_Toc30287"/>
      <w:bookmarkStart w:id="1539" w:name="_Toc22223"/>
      <w:bookmarkStart w:id="1540" w:name="_Toc32210"/>
      <w:bookmarkStart w:id="1541" w:name="_Toc16621"/>
      <w:bookmarkStart w:id="1542" w:name="_Toc21135"/>
      <w:r>
        <w:rPr>
          <w:rFonts w:hint="eastAsia" w:ascii="宋体" w:hAnsi="宋体" w:eastAsia="宋体" w:cs="Times New Roman"/>
          <w:b/>
          <w:bCs/>
          <w:color w:val="auto"/>
          <w:kern w:val="0"/>
          <w:sz w:val="24"/>
          <w:szCs w:val="24"/>
          <w:highlight w:val="none"/>
          <w:lang w:val="en-US" w:eastAsia="zh-CN" w:bidi="ar-SA"/>
        </w:rPr>
        <w:t>承包人质量控制责任</w:t>
      </w:r>
      <w:bookmarkEnd w:id="1531"/>
      <w:bookmarkEnd w:id="1533"/>
      <w:bookmarkEnd w:id="1534"/>
      <w:bookmarkEnd w:id="1535"/>
      <w:bookmarkEnd w:id="1536"/>
      <w:bookmarkEnd w:id="1537"/>
      <w:bookmarkEnd w:id="1538"/>
      <w:bookmarkEnd w:id="1539"/>
      <w:bookmarkEnd w:id="1540"/>
      <w:bookmarkEnd w:id="1541"/>
      <w:bookmarkEnd w:id="1542"/>
    </w:p>
    <w:p w14:paraId="27DA0BE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承包人就本工程的工程质量向发包人负责，其职责包括但不限于下列内容：</w:t>
      </w:r>
      <w:bookmarkEnd w:id="1532"/>
    </w:p>
    <w:p w14:paraId="1C4AE486">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⑴编制和审查施工技术方案，确定特殊工程的施工技术措施，制定工程质量保证体系；</w:t>
      </w:r>
    </w:p>
    <w:p w14:paraId="12DEDA3A">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⑵提供和组织足够的工程质量控制和检测人员，检查和控制工程施工质量；</w:t>
      </w:r>
    </w:p>
    <w:p w14:paraId="2711925C">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⑶控制施工所用的材料、设备，包括承包人、分包人采购的材料、设备，使其不低于标准、规范、设计文件和合同约定的标准；</w:t>
      </w:r>
    </w:p>
    <w:p w14:paraId="5370FCAC">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⑷参加所有工程的验收工作，包括隐蔽验收、中间验收和竣工验收，并组织分包人参加工程竣工验收；</w:t>
      </w:r>
    </w:p>
    <w:p w14:paraId="4177F51B">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⑸按照有关信息化管理的要求，在深圳市质量安全监管职能平台及时上传、报送有关质量检查、监测和整改情况；</w:t>
      </w:r>
    </w:p>
    <w:p w14:paraId="7F6502FF">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⑹负责组织分包人共同承担缺陷责任期的工程保修责任。</w:t>
      </w:r>
    </w:p>
    <w:p w14:paraId="4FDEC52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43" w:name="_Toc26704"/>
      <w:bookmarkStart w:id="1544" w:name="_Toc13766"/>
      <w:bookmarkStart w:id="1545" w:name="_Toc7833"/>
      <w:bookmarkStart w:id="1546" w:name="_Toc26267"/>
      <w:bookmarkStart w:id="1547" w:name="_Toc3787"/>
      <w:bookmarkStart w:id="1548" w:name="_Toc10997"/>
      <w:bookmarkStart w:id="1549" w:name="_Toc24896"/>
      <w:bookmarkStart w:id="1550" w:name="_Toc30543"/>
      <w:bookmarkStart w:id="1551" w:name="_Toc26714"/>
      <w:bookmarkStart w:id="1552" w:name="_Toc302635798"/>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质量控制责任</w:t>
      </w:r>
      <w:bookmarkEnd w:id="1543"/>
      <w:bookmarkEnd w:id="1544"/>
      <w:bookmarkEnd w:id="1545"/>
      <w:bookmarkEnd w:id="1546"/>
      <w:bookmarkEnd w:id="1547"/>
      <w:bookmarkEnd w:id="1548"/>
      <w:bookmarkEnd w:id="1549"/>
      <w:bookmarkEnd w:id="1550"/>
      <w:bookmarkEnd w:id="1551"/>
      <w:bookmarkEnd w:id="1552"/>
    </w:p>
    <w:p w14:paraId="756B3E1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监理</w:t>
      </w:r>
      <w:r>
        <w:rPr>
          <w:rFonts w:ascii="宋体" w:hAnsi="宋体" w:eastAsia="宋体" w:cs="Times New Roman"/>
          <w:color w:val="auto"/>
          <w:kern w:val="0"/>
          <w:szCs w:val="24"/>
          <w:highlight w:val="none"/>
        </w:rPr>
        <w:t>人应按照法律规定及合同约定完成与工程质量有关的各项工作</w:t>
      </w:r>
      <w:r>
        <w:rPr>
          <w:rFonts w:hint="eastAsia" w:ascii="宋体" w:hAnsi="宋体" w:eastAsia="宋体" w:cs="Times New Roman"/>
          <w:color w:val="auto"/>
          <w:kern w:val="0"/>
          <w:szCs w:val="24"/>
          <w:highlight w:val="none"/>
        </w:rPr>
        <w:t>，其职责包括但不限于下列内容：</w:t>
      </w:r>
    </w:p>
    <w:p w14:paraId="4D3EAFE4">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监理人为此进行的检查和检验，不免除或减轻承包人按照合同约定应当承担的责任。</w:t>
      </w:r>
    </w:p>
    <w:p w14:paraId="7CEC1DE8">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监理人的检查和检验影响施工正常进行的，且经检查检验不合格的，影响正常施工的费用由承包人承担，工期不予顺延；经检查检验合格的，由此增加的费用和（或）延误的工期由发包人承担。</w:t>
      </w:r>
    </w:p>
    <w:p w14:paraId="31DFA5E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553" w:name="_Toc305331318"/>
      <w:bookmarkStart w:id="1554" w:name="_Toc13847"/>
      <w:bookmarkStart w:id="1555" w:name="_Toc29290"/>
      <w:bookmarkStart w:id="1556" w:name="_Toc21884"/>
      <w:bookmarkStart w:id="1557" w:name="_Toc13834"/>
      <w:bookmarkStart w:id="1558" w:name="_Toc8136"/>
      <w:bookmarkStart w:id="1559" w:name="_Toc302635800"/>
      <w:bookmarkStart w:id="1560" w:name="_Toc5936"/>
      <w:bookmarkStart w:id="1561" w:name="_Toc8282"/>
      <w:bookmarkStart w:id="1562" w:name="_Toc18132"/>
      <w:bookmarkStart w:id="1563" w:name="_Toc24543"/>
      <w:bookmarkStart w:id="1564" w:name="_Toc34909061"/>
      <w:r>
        <w:rPr>
          <w:rFonts w:hint="eastAsia" w:ascii="宋体" w:hAnsi="宋体" w:eastAsia="宋体" w:cs="Times New Roman"/>
          <w:b/>
          <w:bCs/>
          <w:color w:val="auto"/>
          <w:kern w:val="0"/>
          <w:sz w:val="24"/>
          <w:szCs w:val="24"/>
          <w:highlight w:val="none"/>
          <w:lang w:val="en-US" w:eastAsia="zh-CN" w:bidi="ar-SA"/>
        </w:rPr>
        <w:t>工程隐蔽前的检测</w:t>
      </w:r>
      <w:bookmarkEnd w:id="1553"/>
      <w:bookmarkEnd w:id="1554"/>
      <w:bookmarkEnd w:id="1555"/>
      <w:bookmarkEnd w:id="1556"/>
      <w:bookmarkEnd w:id="1557"/>
      <w:bookmarkEnd w:id="1558"/>
      <w:bookmarkEnd w:id="1559"/>
      <w:bookmarkEnd w:id="1560"/>
      <w:bookmarkEnd w:id="1561"/>
      <w:bookmarkEnd w:id="1562"/>
      <w:bookmarkEnd w:id="1563"/>
    </w:p>
    <w:p w14:paraId="5CAA57B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承包人应当对工程隐蔽部位进行自检，并经自检确认是否具备覆盖条件。</w:t>
      </w:r>
    </w:p>
    <w:p w14:paraId="1054B1D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⑵没有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的批准，任何工程均不得隐蔽。当本工程任何部分具备隐蔽条件时，承包人应提前24小时通知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，告知检测的时间、内容和地点，保证</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有充分的时间对隐蔽工程进行检测，并为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提供一切必要的资料和协助。</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应按时参加隐蔽工程的检测，不得无故拖延，除非认为没有必要检测，并就此通知承包人。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在组织隐蔽工程验收时，应通知发包人及政府有关部门派人参加。</w:t>
      </w:r>
      <w:bookmarkEnd w:id="1564"/>
    </w:p>
    <w:p w14:paraId="1CE82864">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565" w:name="_Toc34909062"/>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无论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是否进行验收，当其要求对已经隐蔽的工程重新检测时，承包人应按要求进行剥离或开孔，并在检测后重新隐蔽。如检测合格，则发包人承担因此发生的全部增加费用，赔偿承包人损失和(或)相应顺延工期；如检测不合格，则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的指令重新施工，直到检测合格，并承担由此发生的全部费用，工期不予顺延。</w:t>
      </w:r>
      <w:bookmarkEnd w:id="1565"/>
    </w:p>
    <w:p w14:paraId="311856A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w:t>
      </w:r>
    </w:p>
    <w:p w14:paraId="26D6F5D9">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66" w:name="_Toc6204"/>
      <w:bookmarkStart w:id="1567" w:name="_Toc7645"/>
      <w:bookmarkStart w:id="1568" w:name="_Toc20669"/>
      <w:bookmarkStart w:id="1569" w:name="_Toc28744"/>
      <w:bookmarkStart w:id="1570" w:name="_Toc13399"/>
      <w:bookmarkStart w:id="1571" w:name="_Toc305331319"/>
      <w:bookmarkStart w:id="1572" w:name="_Toc4083"/>
      <w:bookmarkStart w:id="1573" w:name="_Toc25121"/>
      <w:bookmarkStart w:id="1574" w:name="_Toc302635801"/>
      <w:bookmarkStart w:id="1575" w:name="_Toc29568"/>
      <w:bookmarkStart w:id="1576" w:name="_Toc4389"/>
      <w:r>
        <w:rPr>
          <w:rFonts w:hint="eastAsia" w:ascii="宋体" w:hAnsi="宋体" w:eastAsia="宋体" w:cs="Times New Roman"/>
          <w:b/>
          <w:bCs/>
          <w:color w:val="auto"/>
          <w:kern w:val="0"/>
          <w:sz w:val="24"/>
          <w:szCs w:val="24"/>
          <w:highlight w:val="none"/>
          <w:lang w:val="en-US" w:eastAsia="zh-CN" w:bidi="ar-SA"/>
        </w:rPr>
        <w:t>防水检测</w:t>
      </w:r>
      <w:bookmarkEnd w:id="1566"/>
      <w:bookmarkEnd w:id="1567"/>
      <w:bookmarkEnd w:id="1568"/>
      <w:bookmarkEnd w:id="1569"/>
      <w:bookmarkEnd w:id="1570"/>
      <w:bookmarkEnd w:id="1571"/>
      <w:bookmarkEnd w:id="1572"/>
      <w:bookmarkEnd w:id="1573"/>
      <w:bookmarkEnd w:id="1574"/>
      <w:bookmarkEnd w:id="1575"/>
      <w:bookmarkEnd w:id="1576"/>
    </w:p>
    <w:p w14:paraId="1C131BB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有防水要求的部位，在下道工序施工进行前，需按要求进行闭水试验，费用已含在相应分部分项工程的综合单价中，由承包人承担。未发现渗漏水的才可进行下道工序施工，如发现渗漏水，承包人应限期自费进行整改直到符合防水要求，由此延误的工期不予顺延。</w:t>
      </w:r>
    </w:p>
    <w:p w14:paraId="222F4D7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77" w:name="_Toc6130"/>
      <w:bookmarkStart w:id="1578" w:name="_Toc32207"/>
      <w:bookmarkStart w:id="1579" w:name="_Toc12619"/>
      <w:bookmarkStart w:id="1580" w:name="_Toc305331321"/>
      <w:bookmarkStart w:id="1581" w:name="_Toc22643"/>
      <w:bookmarkStart w:id="1582" w:name="_Toc15166"/>
      <w:bookmarkStart w:id="1583" w:name="_Toc302635804"/>
      <w:bookmarkStart w:id="1584" w:name="_Toc25647"/>
      <w:bookmarkStart w:id="1585" w:name="_Toc30146"/>
      <w:bookmarkStart w:id="1586" w:name="_Toc29716"/>
      <w:bookmarkStart w:id="1587" w:name="_Toc16950"/>
      <w:r>
        <w:rPr>
          <w:rFonts w:hint="eastAsia" w:ascii="宋体" w:hAnsi="宋体" w:eastAsia="宋体" w:cs="Times New Roman"/>
          <w:b/>
          <w:bCs/>
          <w:color w:val="auto"/>
          <w:kern w:val="0"/>
          <w:sz w:val="24"/>
          <w:szCs w:val="24"/>
          <w:highlight w:val="none"/>
          <w:lang w:val="en-US" w:eastAsia="zh-CN" w:bidi="ar-SA"/>
        </w:rPr>
        <w:t>工程质量检测费用</w:t>
      </w:r>
      <w:bookmarkEnd w:id="1577"/>
      <w:bookmarkEnd w:id="1578"/>
      <w:bookmarkEnd w:id="1579"/>
      <w:bookmarkEnd w:id="1580"/>
      <w:bookmarkEnd w:id="1581"/>
      <w:bookmarkEnd w:id="1582"/>
      <w:bookmarkEnd w:id="1583"/>
      <w:bookmarkEnd w:id="1584"/>
      <w:bookmarkEnd w:id="1585"/>
      <w:bookmarkEnd w:id="1586"/>
      <w:bookmarkEnd w:id="1587"/>
    </w:p>
    <w:p w14:paraId="0280EA4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工程质量检验检测项目在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中约定，检测费用由发包人承担。因承包人原因导致检测结果不合格的，承包人承担本次检测的所有检测费用，并无偿返工、负责修复。</w:t>
      </w:r>
    </w:p>
    <w:p w14:paraId="0073D9F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88" w:name="_Toc12310"/>
      <w:bookmarkStart w:id="1589" w:name="_Toc32736"/>
      <w:bookmarkStart w:id="1590" w:name="_Toc18081"/>
      <w:bookmarkStart w:id="1591" w:name="_Toc21316"/>
      <w:bookmarkStart w:id="1592" w:name="_Toc24575"/>
      <w:bookmarkStart w:id="1593" w:name="_Toc302635805"/>
      <w:bookmarkStart w:id="1594" w:name="_Toc3845"/>
      <w:bookmarkStart w:id="1595" w:name="_Toc29598"/>
      <w:bookmarkStart w:id="1596" w:name="_Toc14937"/>
      <w:bookmarkStart w:id="1597" w:name="_Toc3645"/>
      <w:r>
        <w:rPr>
          <w:rFonts w:hint="eastAsia" w:ascii="宋体" w:hAnsi="宋体" w:eastAsia="宋体" w:cs="Times New Roman"/>
          <w:b/>
          <w:bCs/>
          <w:color w:val="auto"/>
          <w:kern w:val="0"/>
          <w:sz w:val="24"/>
          <w:szCs w:val="24"/>
          <w:highlight w:val="none"/>
          <w:lang w:val="en-US" w:eastAsia="zh-CN" w:bidi="ar-SA"/>
        </w:rPr>
        <w:t>质量争议检测</w:t>
      </w:r>
      <w:bookmarkEnd w:id="1588"/>
      <w:bookmarkEnd w:id="1589"/>
      <w:bookmarkEnd w:id="1590"/>
      <w:bookmarkEnd w:id="1591"/>
      <w:bookmarkEnd w:id="1592"/>
      <w:bookmarkEnd w:id="1593"/>
      <w:bookmarkEnd w:id="1594"/>
      <w:bookmarkEnd w:id="1595"/>
      <w:bookmarkEnd w:id="1596"/>
      <w:bookmarkEnd w:id="1597"/>
    </w:p>
    <w:p w14:paraId="5CF3044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承发包双方对工程质量有争议的，由双方协商确定的工程质量检测机构鉴定，由此产生的费用及因此造成的损失，由责任方承担。承发包双方均有责任的，由双方根据其责任分别承担。</w:t>
      </w:r>
    </w:p>
    <w:p w14:paraId="4897CAA2">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598" w:name="_Toc9673"/>
      <w:bookmarkStart w:id="1599" w:name="_Toc31702"/>
      <w:bookmarkStart w:id="1600" w:name="_Toc10194"/>
      <w:bookmarkStart w:id="1601" w:name="_Toc20576"/>
      <w:bookmarkStart w:id="1602" w:name="_Toc302635806"/>
      <w:bookmarkStart w:id="1603" w:name="_Toc31707"/>
      <w:bookmarkStart w:id="1604" w:name="_Toc4420"/>
      <w:bookmarkStart w:id="1605" w:name="_Toc21635"/>
      <w:bookmarkStart w:id="1606" w:name="_Toc16461"/>
      <w:bookmarkStart w:id="1607" w:name="_Toc1224"/>
      <w:bookmarkStart w:id="1608" w:name="_Toc305331322"/>
      <w:r>
        <w:rPr>
          <w:rFonts w:hint="eastAsia" w:ascii="华文细黑" w:hAnsi="宋体" w:eastAsia="宋体" w:cs="Times New Roman"/>
          <w:b/>
          <w:bCs/>
          <w:snapToGrid w:val="0"/>
          <w:color w:val="auto"/>
          <w:kern w:val="0"/>
          <w:sz w:val="28"/>
          <w:szCs w:val="44"/>
          <w:highlight w:val="none"/>
          <w:lang w:val="en-US" w:eastAsia="zh-CN" w:bidi="ar-SA"/>
        </w:rPr>
        <w:t>工程试运行</w:t>
      </w:r>
      <w:bookmarkEnd w:id="1598"/>
      <w:bookmarkEnd w:id="1599"/>
      <w:bookmarkEnd w:id="1600"/>
      <w:bookmarkEnd w:id="1601"/>
      <w:bookmarkEnd w:id="1602"/>
      <w:bookmarkEnd w:id="1603"/>
      <w:bookmarkEnd w:id="1604"/>
      <w:bookmarkEnd w:id="1605"/>
      <w:bookmarkEnd w:id="1606"/>
      <w:bookmarkEnd w:id="1607"/>
      <w:bookmarkEnd w:id="1608"/>
    </w:p>
    <w:p w14:paraId="66AE1D8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09" w:name="_Toc30927"/>
      <w:bookmarkStart w:id="1610" w:name="_Toc305331323"/>
      <w:bookmarkStart w:id="1611" w:name="_Toc3596"/>
      <w:bookmarkStart w:id="1612" w:name="_Toc302635807"/>
      <w:bookmarkStart w:id="1613" w:name="_Toc1091"/>
      <w:bookmarkStart w:id="1614" w:name="_Toc23677"/>
      <w:bookmarkStart w:id="1615" w:name="_Toc12890"/>
      <w:bookmarkStart w:id="1616" w:name="_Toc25505"/>
      <w:bookmarkStart w:id="1617" w:name="_Toc29776"/>
      <w:bookmarkStart w:id="1618" w:name="_Toc9727"/>
      <w:bookmarkStart w:id="1619" w:name="_Toc17351"/>
      <w:r>
        <w:rPr>
          <w:rFonts w:hint="eastAsia" w:ascii="宋体" w:hAnsi="宋体" w:eastAsia="宋体" w:cs="Times New Roman"/>
          <w:b/>
          <w:bCs/>
          <w:color w:val="auto"/>
          <w:kern w:val="0"/>
          <w:sz w:val="24"/>
          <w:szCs w:val="24"/>
          <w:highlight w:val="none"/>
          <w:lang w:val="en-US" w:eastAsia="zh-CN" w:bidi="ar-SA"/>
        </w:rPr>
        <w:t>工程试运行内容和程序</w:t>
      </w:r>
      <w:bookmarkEnd w:id="1609"/>
      <w:bookmarkEnd w:id="1610"/>
      <w:bookmarkEnd w:id="1611"/>
      <w:bookmarkEnd w:id="1612"/>
      <w:bookmarkEnd w:id="1613"/>
      <w:bookmarkEnd w:id="1614"/>
      <w:bookmarkEnd w:id="1615"/>
      <w:bookmarkEnd w:id="1616"/>
      <w:bookmarkEnd w:id="1617"/>
      <w:bookmarkEnd w:id="1618"/>
      <w:bookmarkEnd w:id="1619"/>
    </w:p>
    <w:p w14:paraId="5B65FB1E">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如发包人和承包人约定本工程需要试运行的，双方在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中约定试运行的内容和费用承担。本工程试运行应按如下程序进行：</w:t>
      </w:r>
    </w:p>
    <w:p w14:paraId="037FACF6">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设备安装工程具备单机无负荷试运行条件，承包人组织试运行，并在试运行前48小时通知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，告知试运行的时间、内容和地点。承包人准备试运行记录，发包人应为试运行提供必要条件。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应按时参加试运行，试运行合格，</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在试运行记录上签字。如在上述约定时间后12小时内，</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未能到场参加试运行，承包人可自行试运行，事后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应认可承包人所作的试运行记录。</w:t>
      </w:r>
    </w:p>
    <w:p w14:paraId="6DCEFBD9">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设备安装工程具备无负荷联动试运行条件，发包人组织试运行，并在试运行前48小时通知承包人，告知试运行的时间、内容、地点和对承包人的要求，承包人按要求做好准备工作。试运行合格，双方在试运行记录上签字。</w:t>
      </w:r>
    </w:p>
    <w:p w14:paraId="61B88B2B">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投料试运行应在工程竣工验收后由发包人负责，如发包人要求在工程竣工验收前进行或需要承包人配合时，应征得承包人同意，并另行签订补充协议。</w:t>
      </w:r>
    </w:p>
    <w:p w14:paraId="3F70864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20" w:name="_Toc30993"/>
      <w:bookmarkStart w:id="1621" w:name="_Toc23819"/>
      <w:bookmarkStart w:id="1622" w:name="_Toc32168"/>
      <w:bookmarkStart w:id="1623" w:name="_Toc305331324"/>
      <w:bookmarkStart w:id="1624" w:name="_Toc16168"/>
      <w:bookmarkStart w:id="1625" w:name="_Toc29016"/>
      <w:bookmarkStart w:id="1626" w:name="_Toc26274"/>
      <w:bookmarkStart w:id="1627" w:name="_Toc30471"/>
      <w:bookmarkStart w:id="1628" w:name="_Toc1527"/>
      <w:bookmarkStart w:id="1629" w:name="_Toc11450"/>
      <w:bookmarkStart w:id="1630" w:name="_Toc302635808"/>
      <w:r>
        <w:rPr>
          <w:rFonts w:hint="eastAsia" w:ascii="宋体" w:hAnsi="宋体" w:eastAsia="宋体" w:cs="Times New Roman"/>
          <w:b/>
          <w:bCs/>
          <w:color w:val="auto"/>
          <w:kern w:val="0"/>
          <w:sz w:val="24"/>
          <w:szCs w:val="24"/>
          <w:highlight w:val="none"/>
          <w:lang w:val="en-US" w:eastAsia="zh-CN" w:bidi="ar-SA"/>
        </w:rPr>
        <w:t>工程试运行中双方的责任</w:t>
      </w:r>
      <w:bookmarkEnd w:id="1620"/>
      <w:bookmarkEnd w:id="1621"/>
      <w:bookmarkEnd w:id="1622"/>
      <w:bookmarkEnd w:id="1623"/>
      <w:bookmarkEnd w:id="1624"/>
      <w:bookmarkEnd w:id="1625"/>
      <w:bookmarkEnd w:id="1626"/>
      <w:bookmarkEnd w:id="1627"/>
      <w:bookmarkEnd w:id="1628"/>
      <w:bookmarkEnd w:id="1629"/>
      <w:bookmarkEnd w:id="1630"/>
    </w:p>
    <w:p w14:paraId="65FE9546">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由于设计原因试运行达不到验收要求，发包人应要求</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修改设计，承包人按修改后的设计重新安装。发包人承担修改、拆除及重新安装的费用，工期相应顺延。</w:t>
      </w:r>
    </w:p>
    <w:p w14:paraId="77C544C2">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由于设备制造原因试运行达不到验收要求，如该设备由承包人采购的，则承包人负责修理或重新购置、拆除和重新安装并承担有关费用，工期不予顺延；如该设备由发包人采购的，则发包人负责修理或重新购置，并由承包人进行拆除和重新安装，发包人承担有关费用，工期相应顺延。</w:t>
      </w:r>
    </w:p>
    <w:p w14:paraId="0CE927DB">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由于承包人施工原因试运行达不到验收要求，承包人应按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要求重新安装和试运行，并承担有关费用，工期不予顺延。</w:t>
      </w:r>
    </w:p>
    <w:p w14:paraId="5677DD2E">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⑷监理人</w:t>
      </w:r>
      <w:r>
        <w:rPr>
          <w:rFonts w:hint="eastAsia" w:ascii="宋体" w:hAnsi="宋体" w:eastAsia="宋体" w:cs="Times New Roman"/>
          <w:color w:val="auto"/>
          <w:kern w:val="0"/>
          <w:szCs w:val="24"/>
          <w:highlight w:val="none"/>
        </w:rPr>
        <w:t>在试运行合格后不在试运行记录上签字，试运行结束24小时后，视为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已认可试运行记录，承包人可继续施工或办理竣工手续。</w:t>
      </w:r>
    </w:p>
    <w:p w14:paraId="5C27FD27">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试运行费用除已包括在签约合同价之内的或专用条款另有约定的，均由发包人承担。</w:t>
      </w:r>
    </w:p>
    <w:p w14:paraId="4F212457">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631" w:name="_Toc305331325"/>
      <w:bookmarkStart w:id="1632" w:name="_Toc35656486"/>
      <w:bookmarkStart w:id="1633" w:name="_Toc34909063"/>
      <w:bookmarkStart w:id="1634" w:name="_Toc35656988"/>
      <w:bookmarkStart w:id="1635" w:name="_Toc10519"/>
      <w:bookmarkStart w:id="1636" w:name="_Toc30138"/>
      <w:bookmarkStart w:id="1637" w:name="_Toc9668"/>
      <w:bookmarkStart w:id="1638" w:name="_Toc10122"/>
      <w:bookmarkStart w:id="1639" w:name="_Toc20030"/>
      <w:bookmarkStart w:id="1640" w:name="_Toc22219"/>
      <w:bookmarkStart w:id="1641" w:name="_Toc21926"/>
      <w:bookmarkStart w:id="1642" w:name="_Toc302635809"/>
      <w:bookmarkStart w:id="1643" w:name="_Toc8104"/>
      <w:bookmarkStart w:id="1644" w:name="_Toc17485"/>
      <w:r>
        <w:rPr>
          <w:rFonts w:hint="eastAsia" w:ascii="华文细黑" w:hAnsi="宋体" w:eastAsia="宋体" w:cs="Times New Roman"/>
          <w:b/>
          <w:bCs/>
          <w:snapToGrid w:val="0"/>
          <w:color w:val="auto"/>
          <w:kern w:val="0"/>
          <w:sz w:val="28"/>
          <w:szCs w:val="44"/>
          <w:highlight w:val="none"/>
          <w:lang w:val="en-US" w:eastAsia="zh-CN" w:bidi="ar-SA"/>
        </w:rPr>
        <w:t>安全文明施工</w:t>
      </w:r>
      <w:bookmarkEnd w:id="1631"/>
      <w:bookmarkEnd w:id="1632"/>
      <w:bookmarkEnd w:id="1633"/>
      <w:bookmarkEnd w:id="1634"/>
      <w:r>
        <w:rPr>
          <w:rFonts w:hint="eastAsia" w:ascii="华文细黑" w:hAnsi="宋体" w:eastAsia="宋体" w:cs="Times New Roman"/>
          <w:b/>
          <w:bCs/>
          <w:snapToGrid w:val="0"/>
          <w:color w:val="auto"/>
          <w:kern w:val="0"/>
          <w:sz w:val="28"/>
          <w:szCs w:val="44"/>
          <w:highlight w:val="none"/>
          <w:lang w:val="en-US" w:eastAsia="zh-CN" w:bidi="ar-SA"/>
        </w:rPr>
        <w:t>与环境保护</w:t>
      </w:r>
      <w:bookmarkEnd w:id="1635"/>
      <w:bookmarkEnd w:id="1636"/>
      <w:bookmarkEnd w:id="1637"/>
      <w:bookmarkEnd w:id="1638"/>
      <w:bookmarkEnd w:id="1639"/>
      <w:bookmarkEnd w:id="1640"/>
      <w:bookmarkEnd w:id="1641"/>
      <w:bookmarkEnd w:id="1642"/>
      <w:bookmarkEnd w:id="1643"/>
      <w:bookmarkEnd w:id="1644"/>
    </w:p>
    <w:p w14:paraId="74A57FC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45" w:name="_Toc305331326"/>
      <w:bookmarkStart w:id="1646" w:name="_Toc550"/>
      <w:bookmarkStart w:id="1647" w:name="_Toc302635810"/>
      <w:bookmarkStart w:id="1648" w:name="_Toc27126"/>
      <w:bookmarkStart w:id="1649" w:name="_Toc10475"/>
      <w:bookmarkStart w:id="1650" w:name="_Toc13858"/>
      <w:bookmarkStart w:id="1651" w:name="_Toc12400"/>
      <w:bookmarkStart w:id="1652" w:name="_Toc29275"/>
      <w:bookmarkStart w:id="1653" w:name="_Toc16036"/>
      <w:bookmarkStart w:id="1654" w:name="_Toc18180"/>
      <w:bookmarkStart w:id="1655" w:name="_Toc29991"/>
      <w:bookmarkStart w:id="1656" w:name="_Toc34909065"/>
      <w:bookmarkStart w:id="1657" w:name="_Toc34909064"/>
      <w:r>
        <w:rPr>
          <w:rFonts w:hint="eastAsia" w:ascii="宋体" w:hAnsi="宋体" w:eastAsia="宋体" w:cs="Times New Roman"/>
          <w:b/>
          <w:bCs/>
          <w:color w:val="auto"/>
          <w:kern w:val="0"/>
          <w:sz w:val="24"/>
          <w:szCs w:val="24"/>
          <w:highlight w:val="none"/>
          <w:lang w:val="en-US" w:eastAsia="zh-CN" w:bidi="ar-SA"/>
        </w:rPr>
        <w:t>发包人的安全文明施工责任</w:t>
      </w:r>
      <w:bookmarkEnd w:id="1645"/>
      <w:bookmarkEnd w:id="1646"/>
      <w:bookmarkEnd w:id="1647"/>
      <w:bookmarkEnd w:id="1648"/>
      <w:bookmarkEnd w:id="1649"/>
      <w:bookmarkEnd w:id="1650"/>
      <w:bookmarkEnd w:id="1651"/>
      <w:bookmarkEnd w:id="1652"/>
      <w:bookmarkEnd w:id="1653"/>
      <w:bookmarkEnd w:id="1654"/>
      <w:bookmarkEnd w:id="1655"/>
    </w:p>
    <w:p w14:paraId="3BC75AA6">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发包人应按照深圳市建设行政主管部门发布的施工安全文明施工措施费清单管理与支付办法，编制安全文明施工措施费清单并向承包人按时足额支付安全文明措施费。</w:t>
      </w:r>
    </w:p>
    <w:p w14:paraId="46ED672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发包人应督促承包人落实安全文明施工标准化管理的相关措施和要求，对安全文明施工措施费的专款专用进行核查。</w:t>
      </w:r>
    </w:p>
    <w:p w14:paraId="725AE6CF">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发包人应对其在施工现场的工作人员进行安全教育，并对他们的安全负责。</w:t>
      </w:r>
    </w:p>
    <w:p w14:paraId="5C99EE2E">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w:t>
      </w:r>
      <w:r>
        <w:rPr>
          <w:rFonts w:hint="eastAsia" w:ascii="宋体" w:hAnsi="宋体" w:eastAsia="宋体" w:cs="Times New Roman"/>
          <w:color w:val="auto"/>
          <w:kern w:val="0"/>
          <w:szCs w:val="24"/>
          <w:highlight w:val="none"/>
        </w:rPr>
        <w:t>发包人不得要求承包人违反安全文明施工的规定进行施工。</w:t>
      </w:r>
    </w:p>
    <w:p w14:paraId="417F1E9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⑸由于发包人原因造成的安全事故，由发包人承担相应责任及发生的费用</w:t>
      </w:r>
      <w:bookmarkEnd w:id="1656"/>
      <w:r>
        <w:rPr>
          <w:rFonts w:hint="eastAsia" w:ascii="宋体" w:hAnsi="宋体" w:eastAsia="宋体" w:cs="Times New Roman"/>
          <w:color w:val="auto"/>
          <w:kern w:val="0"/>
          <w:szCs w:val="24"/>
          <w:highlight w:val="none"/>
        </w:rPr>
        <w:t>，并顺延延误的工期。</w:t>
      </w:r>
    </w:p>
    <w:p w14:paraId="53E7DD5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约定的安全文明施工责任。</w:t>
      </w:r>
    </w:p>
    <w:p w14:paraId="721F092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58" w:name="_Toc21177"/>
      <w:bookmarkStart w:id="1659" w:name="_Toc21203"/>
      <w:bookmarkStart w:id="1660" w:name="_Toc14124"/>
      <w:bookmarkStart w:id="1661" w:name="_Toc7718"/>
      <w:bookmarkStart w:id="1662" w:name="_Toc305331327"/>
      <w:bookmarkStart w:id="1663" w:name="_Toc28574"/>
      <w:bookmarkStart w:id="1664" w:name="_Toc13283"/>
      <w:bookmarkStart w:id="1665" w:name="_Toc27773"/>
      <w:bookmarkStart w:id="1666" w:name="_Toc302635811"/>
      <w:bookmarkStart w:id="1667" w:name="_Toc8148"/>
      <w:bookmarkStart w:id="1668" w:name="_Toc32587"/>
      <w:r>
        <w:rPr>
          <w:rFonts w:hint="eastAsia" w:ascii="宋体" w:hAnsi="宋体" w:eastAsia="宋体" w:cs="Times New Roman"/>
          <w:b/>
          <w:bCs/>
          <w:color w:val="auto"/>
          <w:kern w:val="0"/>
          <w:sz w:val="24"/>
          <w:szCs w:val="24"/>
          <w:highlight w:val="none"/>
          <w:lang w:val="en-US" w:eastAsia="zh-CN" w:bidi="ar-SA"/>
        </w:rPr>
        <w:t>承包人的安全文明施工责任</w:t>
      </w:r>
      <w:bookmarkEnd w:id="1658"/>
      <w:bookmarkEnd w:id="1659"/>
      <w:bookmarkEnd w:id="1660"/>
      <w:bookmarkEnd w:id="1661"/>
      <w:bookmarkEnd w:id="1662"/>
      <w:bookmarkEnd w:id="1663"/>
      <w:bookmarkEnd w:id="1664"/>
      <w:bookmarkEnd w:id="1665"/>
      <w:bookmarkEnd w:id="1666"/>
      <w:bookmarkEnd w:id="1667"/>
      <w:bookmarkEnd w:id="1668"/>
    </w:p>
    <w:p w14:paraId="4F2858AC">
      <w:pPr>
        <w:tabs>
          <w:tab w:val="left" w:pos="1620"/>
          <w:tab w:val="left" w:pos="2340"/>
        </w:tabs>
        <w:spacing w:after="156"/>
        <w:ind w:left="899"/>
        <w:jc w:val="left"/>
        <w:rPr>
          <w:rFonts w:ascii="宋体" w:hAnsi="宋体"/>
          <w:kern w:val="0"/>
          <w:highlight w:val="none"/>
        </w:rPr>
      </w:pPr>
      <w:r>
        <w:rPr>
          <w:rFonts w:ascii="宋体" w:hAnsi="宋体"/>
          <w:kern w:val="0"/>
          <w:highlight w:val="none"/>
        </w:rPr>
        <w:t>⑴</w:t>
      </w:r>
      <w:r>
        <w:rPr>
          <w:rFonts w:hint="eastAsia" w:ascii="宋体" w:hAnsi="宋体"/>
          <w:kern w:val="0"/>
          <w:highlight w:val="none"/>
        </w:rPr>
        <w:t>承包人应按照《深圳市建设工程安全文明施工标准》等行业现行的规范、标准，以及发包人提供的安全文明施工措施费清单，编制安全施工专项方案及文明施工专项方案，落实安全防护用品和设施配备、施工风险源管控、安全教育培训、应急管理等方面的安全生产标准化以及文明形象、环境保护、现场卫生、职业健康、信息化管理等方面的文明施工标准化。安全施工专项方案及文明施工专项方案应以书面形式提交给监理人。对监理人要求需采取特殊安全防护措施的分项工程施工前，应编制专项安全施工组织设计，并采取安全技术措施；报请监理人和发包人批准后，方可施工。</w:t>
      </w:r>
    </w:p>
    <w:p w14:paraId="5FAA1A42">
      <w:pPr>
        <w:tabs>
          <w:tab w:val="left" w:pos="1620"/>
          <w:tab w:val="left" w:pos="2340"/>
        </w:tabs>
        <w:spacing w:after="156"/>
        <w:ind w:left="899"/>
        <w:jc w:val="left"/>
        <w:rPr>
          <w:rFonts w:hint="eastAsia" w:ascii="宋体" w:hAnsi="宋体"/>
          <w:kern w:val="0"/>
          <w:highlight w:val="none"/>
        </w:rPr>
      </w:pPr>
      <w:r>
        <w:rPr>
          <w:rFonts w:ascii="宋体" w:hAnsi="宋体"/>
          <w:kern w:val="0"/>
          <w:highlight w:val="none"/>
        </w:rPr>
        <w:t>⑵</w:t>
      </w:r>
      <w:r>
        <w:rPr>
          <w:rFonts w:hint="eastAsia" w:ascii="宋体" w:hAnsi="宋体"/>
          <w:kern w:val="0"/>
          <w:highlight w:val="none"/>
        </w:rPr>
        <w:t>承包人应按照安全施工专项方案及文明施工专项方案组织施工，采取必要的安全防护措施，消除事故隐患，并随时接受行业安全检查人员依法实施的监督检查。承包人安全生产管理机构和专职安全生产管理人员负责对施工企业现场安全文明措施的组织实施进行现场监督检查，并及时向</w:t>
      </w:r>
      <w:r>
        <w:rPr>
          <w:rFonts w:ascii="宋体" w:hAnsi="宋体"/>
          <w:kern w:val="0"/>
          <w:highlight w:val="none"/>
        </w:rPr>
        <w:t>监理人</w:t>
      </w:r>
      <w:r>
        <w:rPr>
          <w:rFonts w:hint="eastAsia" w:ascii="宋体" w:hAnsi="宋体"/>
          <w:kern w:val="0"/>
          <w:highlight w:val="none"/>
        </w:rPr>
        <w:t>、发包人和建设行政主管部门反映情况。</w:t>
      </w:r>
    </w:p>
    <w:p w14:paraId="6C9DFAF5">
      <w:pPr>
        <w:tabs>
          <w:tab w:val="left" w:pos="1620"/>
          <w:tab w:val="left" w:pos="2340"/>
        </w:tabs>
        <w:spacing w:after="156"/>
        <w:ind w:left="899"/>
        <w:jc w:val="left"/>
        <w:rPr>
          <w:rFonts w:ascii="宋体" w:hAnsi="宋体"/>
          <w:kern w:val="0"/>
          <w:highlight w:val="none"/>
        </w:rPr>
      </w:pPr>
      <w:r>
        <w:rPr>
          <w:rFonts w:ascii="宋体" w:hAnsi="宋体"/>
          <w:kern w:val="0"/>
          <w:highlight w:val="none"/>
        </w:rPr>
        <w:t>⑶</w:t>
      </w:r>
      <w:r>
        <w:rPr>
          <w:rFonts w:ascii="宋体" w:hAnsi="宋体"/>
          <w:highlight w:val="none"/>
        </w:rPr>
        <w:t>承包人</w:t>
      </w:r>
      <w:r>
        <w:rPr>
          <w:rFonts w:hint="eastAsia" w:ascii="宋体" w:hAnsi="宋体"/>
          <w:highlight w:val="none"/>
        </w:rPr>
        <w:t>施工现场应</w:t>
      </w:r>
      <w:r>
        <w:rPr>
          <w:rFonts w:ascii="宋体" w:hAnsi="宋体"/>
          <w:highlight w:val="none"/>
        </w:rPr>
        <w:t>配置必要的安全、文明施工设施与保护器材，设立安全警告标志牌，并为</w:t>
      </w:r>
      <w:r>
        <w:rPr>
          <w:rFonts w:hint="eastAsia" w:ascii="宋体" w:hAnsi="宋体"/>
          <w:highlight w:val="none"/>
        </w:rPr>
        <w:t>施工</w:t>
      </w:r>
      <w:r>
        <w:rPr>
          <w:rFonts w:ascii="宋体" w:hAnsi="宋体"/>
          <w:highlight w:val="none"/>
        </w:rPr>
        <w:t>现场</w:t>
      </w:r>
      <w:r>
        <w:rPr>
          <w:rFonts w:hint="eastAsia" w:ascii="宋体" w:hAnsi="宋体"/>
          <w:highlight w:val="none"/>
        </w:rPr>
        <w:t>人员</w:t>
      </w:r>
      <w:r>
        <w:rPr>
          <w:rFonts w:ascii="宋体" w:hAnsi="宋体"/>
          <w:highlight w:val="none"/>
        </w:rPr>
        <w:t>(包括发包人代表、监理人人员)提供必要的安全防护和劳动保护用品</w:t>
      </w:r>
      <w:r>
        <w:rPr>
          <w:rFonts w:hint="eastAsia" w:ascii="宋体" w:hAnsi="宋体"/>
          <w:b/>
          <w:bCs/>
          <w:highlight w:val="none"/>
        </w:rPr>
        <w:t>。</w:t>
      </w:r>
      <w:r>
        <w:rPr>
          <w:rFonts w:ascii="宋体" w:hAnsi="宋体"/>
          <w:highlight w:val="none"/>
        </w:rPr>
        <w:t>施工作业人员未经安全生产教育培训，不得上岗作业。承包人有责任管制无关人员进入施工现场。</w:t>
      </w:r>
    </w:p>
    <w:p w14:paraId="7F9C53FE">
      <w:pPr>
        <w:tabs>
          <w:tab w:val="left" w:pos="1620"/>
          <w:tab w:val="left" w:pos="2340"/>
        </w:tabs>
        <w:spacing w:after="156"/>
        <w:ind w:left="899"/>
        <w:jc w:val="left"/>
        <w:rPr>
          <w:rFonts w:ascii="宋体" w:hAnsi="宋体"/>
          <w:kern w:val="0"/>
          <w:highlight w:val="none"/>
        </w:rPr>
      </w:pPr>
      <w:r>
        <w:rPr>
          <w:rFonts w:ascii="宋体" w:hAnsi="宋体"/>
          <w:kern w:val="0"/>
          <w:highlight w:val="none"/>
        </w:rPr>
        <w:t>⑷</w:t>
      </w:r>
      <w:r>
        <w:rPr>
          <w:rFonts w:hint="eastAsia" w:ascii="宋体" w:hAnsi="宋体"/>
          <w:kern w:val="0"/>
          <w:highlight w:val="none"/>
          <w:lang w:eastAsia="zh-CN"/>
        </w:rPr>
        <w:t>政府投资和国有企事业单位投资项目，承包人应建立本工程</w:t>
      </w:r>
      <w:r>
        <w:rPr>
          <w:rFonts w:hint="eastAsia" w:ascii="宋体" w:hAnsi="宋体"/>
          <w:kern w:val="0"/>
          <w:highlight w:val="none"/>
        </w:rPr>
        <w:t>安全生产情况与项目经理、</w:t>
      </w:r>
      <w:r>
        <w:rPr>
          <w:rFonts w:hint="eastAsia" w:ascii="宋体" w:hAnsi="宋体"/>
          <w:kern w:val="0"/>
          <w:highlight w:val="none"/>
          <w:lang w:eastAsia="zh-CN"/>
        </w:rPr>
        <w:t>安全负责人、</w:t>
      </w:r>
      <w:r>
        <w:rPr>
          <w:rFonts w:hint="eastAsia" w:ascii="宋体" w:hAnsi="宋体"/>
          <w:kern w:val="0"/>
          <w:highlight w:val="none"/>
        </w:rPr>
        <w:t>安全员薪酬</w:t>
      </w:r>
      <w:r>
        <w:rPr>
          <w:rFonts w:hint="eastAsia" w:ascii="宋体" w:hAnsi="宋体"/>
          <w:kern w:val="0"/>
          <w:highlight w:val="none"/>
          <w:lang w:eastAsia="zh-CN"/>
        </w:rPr>
        <w:t>相关联的制度，并将该制度报发包人确认。承包人未建立相关制度或未按制度履行的，应承担</w:t>
      </w:r>
      <w:r>
        <w:rPr>
          <w:rFonts w:hint="eastAsia" w:ascii="宋体" w:hAnsi="宋体"/>
          <w:b/>
          <w:bCs/>
          <w:i/>
          <w:iCs/>
          <w:kern w:val="0"/>
          <w:highlight w:val="none"/>
          <w:lang w:eastAsia="zh-CN"/>
        </w:rPr>
        <w:t>专用条款</w:t>
      </w:r>
      <w:r>
        <w:rPr>
          <w:rFonts w:hint="eastAsia" w:ascii="宋体" w:hAnsi="宋体"/>
          <w:kern w:val="0"/>
          <w:highlight w:val="none"/>
          <w:lang w:eastAsia="zh-CN"/>
        </w:rPr>
        <w:t>约定的违约责任。发包人应将承包人履行该制度情况纳入第</w:t>
      </w:r>
      <w:r>
        <w:rPr>
          <w:rFonts w:hint="eastAsia" w:ascii="宋体" w:hAnsi="宋体"/>
          <w:kern w:val="0"/>
          <w:highlight w:val="none"/>
          <w:lang w:val="en-US" w:eastAsia="zh-CN"/>
        </w:rPr>
        <w:t>27.7款约定的履约评价内容中。</w:t>
      </w:r>
    </w:p>
    <w:p w14:paraId="1A6B2867">
      <w:pPr>
        <w:tabs>
          <w:tab w:val="left" w:pos="1620"/>
          <w:tab w:val="left" w:pos="2340"/>
        </w:tabs>
        <w:spacing w:after="156"/>
        <w:ind w:left="899"/>
        <w:jc w:val="left"/>
        <w:rPr>
          <w:rFonts w:ascii="宋体" w:hAnsi="宋体"/>
          <w:kern w:val="0"/>
          <w:highlight w:val="none"/>
        </w:rPr>
      </w:pPr>
      <w:r>
        <w:rPr>
          <w:rFonts w:hint="eastAsia" w:ascii="宋体" w:hAnsi="宋体"/>
          <w:kern w:val="0"/>
          <w:highlight w:val="none"/>
        </w:rPr>
        <w:t>⑸承包人与分包人应当在分包合同中明确施工现场安全文明措施费由承包人统一管理，并对其使用负责。施工现场安全文明措施由分包人实施的，由分包人提出专项安全文明措施和方案，经承包人批准后及时支付所需费用。</w:t>
      </w:r>
    </w:p>
    <w:p w14:paraId="1B524920">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⑹发生重大伤亡及其他安全事故，承包人应通知</w:t>
      </w:r>
      <w:r>
        <w:rPr>
          <w:rFonts w:ascii="宋体" w:hAnsi="宋体"/>
          <w:kern w:val="0"/>
          <w:highlight w:val="none"/>
        </w:rPr>
        <w:t>监理人</w:t>
      </w:r>
      <w:r>
        <w:rPr>
          <w:rFonts w:hint="eastAsia" w:ascii="宋体" w:hAnsi="宋体"/>
          <w:kern w:val="0"/>
          <w:highlight w:val="none"/>
        </w:rPr>
        <w:t>并按相关规定立即上报政府有关部门，同时按政府有关部门要求处理。发包人和承包人对事故责任有争议时，由政府有关部门认定。由于承包人原因造成的安全事故，由承包人承担相应责任及发生的费用，工期不予顺延。</w:t>
      </w:r>
    </w:p>
    <w:p w14:paraId="47FAA4D8">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⑺</w:t>
      </w:r>
      <w:r>
        <w:rPr>
          <w:rFonts w:ascii="宋体" w:hAnsi="宋体"/>
          <w:kern w:val="0"/>
          <w:highlight w:val="none"/>
        </w:rPr>
        <w:t>承包人有责任维护发包人</w:t>
      </w:r>
      <w:r>
        <w:rPr>
          <w:rFonts w:hint="eastAsia" w:ascii="宋体" w:hAnsi="宋体"/>
          <w:kern w:val="0"/>
          <w:highlight w:val="none"/>
        </w:rPr>
        <w:t>的社会</w:t>
      </w:r>
      <w:r>
        <w:rPr>
          <w:rFonts w:ascii="宋体" w:hAnsi="宋体"/>
          <w:kern w:val="0"/>
          <w:highlight w:val="none"/>
        </w:rPr>
        <w:t>形象，避免由于施工引起安全、文明施工和环境保护</w:t>
      </w:r>
      <w:r>
        <w:rPr>
          <w:rFonts w:hint="eastAsia" w:ascii="宋体" w:hAnsi="宋体"/>
          <w:kern w:val="0"/>
          <w:highlight w:val="none"/>
        </w:rPr>
        <w:t>(</w:t>
      </w:r>
      <w:r>
        <w:rPr>
          <w:rFonts w:ascii="宋体" w:hAnsi="宋体"/>
          <w:kern w:val="0"/>
          <w:highlight w:val="none"/>
        </w:rPr>
        <w:t>如噪音、粉尘、排污等</w:t>
      </w:r>
      <w:r>
        <w:rPr>
          <w:rFonts w:hint="eastAsia" w:ascii="宋体" w:hAnsi="宋体"/>
          <w:kern w:val="0"/>
          <w:highlight w:val="none"/>
        </w:rPr>
        <w:t>)</w:t>
      </w:r>
      <w:r>
        <w:rPr>
          <w:rFonts w:ascii="宋体" w:hAnsi="宋体"/>
          <w:kern w:val="0"/>
          <w:highlight w:val="none"/>
        </w:rPr>
        <w:t>问题而造成对发包人的索赔。由于上述问题造成的索赔由承包人承担全部责任</w:t>
      </w:r>
      <w:r>
        <w:rPr>
          <w:rFonts w:hint="eastAsia" w:ascii="宋体" w:hAnsi="宋体"/>
          <w:kern w:val="0"/>
          <w:highlight w:val="none"/>
        </w:rPr>
        <w:t>。</w:t>
      </w:r>
    </w:p>
    <w:p w14:paraId="45A81407">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⑻</w:t>
      </w:r>
      <w:r>
        <w:rPr>
          <w:rFonts w:ascii="宋体" w:hAnsi="宋体"/>
          <w:kern w:val="0"/>
          <w:highlight w:val="none"/>
        </w:rPr>
        <w:t>在施工过程中，如遇到突发的地质变动、事先未知的地下施工障碍等影响施工安全的紧急情况，</w:t>
      </w:r>
      <w:r>
        <w:rPr>
          <w:rFonts w:hint="eastAsia" w:ascii="宋体" w:hAnsi="宋体"/>
          <w:kern w:val="0"/>
          <w:highlight w:val="none"/>
        </w:rPr>
        <w:t>承包人应及时报告</w:t>
      </w:r>
      <w:r>
        <w:rPr>
          <w:rFonts w:ascii="宋体" w:hAnsi="宋体"/>
          <w:kern w:val="0"/>
          <w:highlight w:val="none"/>
        </w:rPr>
        <w:t>监理人</w:t>
      </w:r>
      <w:r>
        <w:rPr>
          <w:rFonts w:hint="eastAsia" w:ascii="宋体" w:hAnsi="宋体"/>
          <w:kern w:val="0"/>
          <w:highlight w:val="none"/>
        </w:rPr>
        <w:t>和发包人，按相关</w:t>
      </w:r>
      <w:r>
        <w:rPr>
          <w:rFonts w:ascii="宋体" w:hAnsi="宋体"/>
          <w:kern w:val="0"/>
          <w:highlight w:val="none"/>
        </w:rPr>
        <w:t>部门</w:t>
      </w:r>
      <w:r>
        <w:rPr>
          <w:rFonts w:hint="eastAsia" w:ascii="宋体" w:hAnsi="宋体"/>
          <w:kern w:val="0"/>
          <w:highlight w:val="none"/>
        </w:rPr>
        <w:t>要求</w:t>
      </w:r>
      <w:r>
        <w:rPr>
          <w:rFonts w:ascii="宋体" w:hAnsi="宋体"/>
          <w:kern w:val="0"/>
          <w:highlight w:val="none"/>
        </w:rPr>
        <w:t>采取应急措施。</w:t>
      </w:r>
    </w:p>
    <w:p w14:paraId="6332CC63">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⑼承包人应按照有关信息化管理的要求，在深圳市质量安全监管职能平台及时上传、报送有关安全隐患检查和安全隐患整改情况。</w:t>
      </w:r>
    </w:p>
    <w:p w14:paraId="01E31502">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⑽</w:t>
      </w:r>
      <w:r>
        <w:rPr>
          <w:rFonts w:hint="eastAsia" w:ascii="宋体" w:hAnsi="宋体"/>
          <w:b/>
          <w:i/>
          <w:kern w:val="0"/>
          <w:highlight w:val="none"/>
        </w:rPr>
        <w:t>专用条款</w:t>
      </w:r>
      <w:r>
        <w:rPr>
          <w:rFonts w:hint="eastAsia" w:ascii="宋体" w:hAnsi="宋体"/>
          <w:kern w:val="0"/>
          <w:highlight w:val="none"/>
        </w:rPr>
        <w:t>约定的安全文明施工责任。</w:t>
      </w:r>
    </w:p>
    <w:bookmarkEnd w:id="1657"/>
    <w:p w14:paraId="0EE6F61E">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69" w:name="_Toc14081"/>
      <w:bookmarkStart w:id="1670" w:name="_Toc13069"/>
      <w:bookmarkStart w:id="1671" w:name="_Toc30635"/>
      <w:bookmarkStart w:id="1672" w:name="_Toc21924"/>
      <w:bookmarkStart w:id="1673" w:name="_Toc20212"/>
      <w:bookmarkStart w:id="1674" w:name="_Toc5358"/>
      <w:bookmarkStart w:id="1675" w:name="_Toc302635812"/>
      <w:bookmarkStart w:id="1676" w:name="_Toc15309"/>
      <w:bookmarkStart w:id="1677" w:name="_Toc22176"/>
      <w:bookmarkStart w:id="1678" w:name="_Toc305331328"/>
      <w:bookmarkStart w:id="1679" w:name="_Toc8310"/>
      <w:bookmarkStart w:id="1680" w:name="_Toc34909067"/>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对安全文明的监督</w:t>
      </w:r>
      <w:bookmarkEnd w:id="1669"/>
      <w:bookmarkEnd w:id="1670"/>
      <w:bookmarkEnd w:id="1671"/>
      <w:bookmarkEnd w:id="1672"/>
      <w:bookmarkEnd w:id="1673"/>
      <w:bookmarkEnd w:id="1674"/>
      <w:bookmarkEnd w:id="1675"/>
      <w:bookmarkEnd w:id="1676"/>
      <w:bookmarkEnd w:id="1677"/>
      <w:bookmarkEnd w:id="1678"/>
      <w:bookmarkEnd w:id="1679"/>
    </w:p>
    <w:p w14:paraId="25FE2BB5">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应当对承包人落实施工现场安全文明措施情况进行现场监督。对承包人已经落实的安全文明措施，</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应当及时审查确认。</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发现承包人未落实施工组织设计及专项施工方案中安全防护和文明施工措施的，有权责令其立即整改，承包人拒不整改或未按期限要求完成整改的，</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应当及时向发包人和建设行政主管部门报告，必要时责令其暂停施工。</w:t>
      </w:r>
    </w:p>
    <w:p w14:paraId="334DFE03">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81" w:name="_Toc24030"/>
      <w:bookmarkStart w:id="1682" w:name="_Toc21805"/>
      <w:bookmarkStart w:id="1683" w:name="_Toc305331329"/>
      <w:bookmarkStart w:id="1684" w:name="_Toc9230"/>
      <w:bookmarkStart w:id="1685" w:name="_Toc26325"/>
      <w:bookmarkStart w:id="1686" w:name="_Toc302635813"/>
      <w:bookmarkStart w:id="1687" w:name="_Toc25223"/>
      <w:bookmarkStart w:id="1688" w:name="_Toc1825"/>
      <w:bookmarkStart w:id="1689" w:name="_Toc3484"/>
      <w:bookmarkStart w:id="1690" w:name="_Toc1620"/>
      <w:bookmarkStart w:id="1691" w:name="_Toc13897"/>
      <w:r>
        <w:rPr>
          <w:rFonts w:hint="eastAsia" w:ascii="宋体" w:hAnsi="宋体" w:eastAsia="宋体" w:cs="Times New Roman"/>
          <w:b/>
          <w:bCs/>
          <w:color w:val="auto"/>
          <w:kern w:val="0"/>
          <w:sz w:val="24"/>
          <w:szCs w:val="24"/>
          <w:highlight w:val="none"/>
          <w:lang w:val="en-US" w:eastAsia="zh-CN" w:bidi="ar-SA"/>
        </w:rPr>
        <w:t>安全文明措施费的专款专用</w:t>
      </w:r>
      <w:bookmarkEnd w:id="1681"/>
      <w:bookmarkEnd w:id="1682"/>
      <w:bookmarkEnd w:id="1683"/>
      <w:bookmarkEnd w:id="1684"/>
      <w:bookmarkEnd w:id="1685"/>
      <w:bookmarkEnd w:id="1686"/>
      <w:bookmarkEnd w:id="1687"/>
      <w:bookmarkEnd w:id="1688"/>
      <w:bookmarkEnd w:id="1689"/>
      <w:bookmarkEnd w:id="1690"/>
      <w:bookmarkEnd w:id="1691"/>
    </w:p>
    <w:p w14:paraId="54BA5FB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⑴承包人应确保施工现场安全文明措施费专款专用，在财务管理中单独列出安全文明措施项目费用清单及金额备查，并设立单独的安全文明措施费银行账户，接受发包人的监管。</w:t>
      </w:r>
    </w:p>
    <w:p w14:paraId="758B2C1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⑵承包人应当按照分包合同约定及时向分包人支付施工现场安全文明措施费。承包人不按约定支付费用，造成分包人不能及时落实安全防护措施导致发生事故的，由承包人负主要责任。</w:t>
      </w:r>
    </w:p>
    <w:p w14:paraId="6EDBB9B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92" w:name="_Toc13233"/>
      <w:bookmarkStart w:id="1693" w:name="_Toc305331330"/>
      <w:bookmarkStart w:id="1694" w:name="_Toc3597"/>
      <w:bookmarkStart w:id="1695" w:name="_Toc3251"/>
      <w:bookmarkStart w:id="1696" w:name="_Toc28240"/>
      <w:bookmarkStart w:id="1697" w:name="_Toc29315"/>
      <w:bookmarkStart w:id="1698" w:name="_Toc10204"/>
      <w:bookmarkStart w:id="1699" w:name="_Toc302635814"/>
      <w:bookmarkStart w:id="1700" w:name="_Toc1069"/>
      <w:bookmarkStart w:id="1701" w:name="_Toc26887"/>
      <w:bookmarkStart w:id="1702" w:name="_Toc13058"/>
      <w:r>
        <w:rPr>
          <w:rFonts w:hint="eastAsia" w:ascii="宋体" w:hAnsi="宋体" w:eastAsia="宋体" w:cs="Times New Roman"/>
          <w:b/>
          <w:bCs/>
          <w:color w:val="auto"/>
          <w:kern w:val="0"/>
          <w:sz w:val="24"/>
          <w:szCs w:val="24"/>
          <w:highlight w:val="none"/>
          <w:lang w:val="en-US" w:eastAsia="zh-CN" w:bidi="ar-SA"/>
        </w:rPr>
        <w:t>承包人的安全防护和现场作业</w:t>
      </w:r>
      <w:bookmarkEnd w:id="1692"/>
      <w:bookmarkEnd w:id="1693"/>
      <w:bookmarkEnd w:id="1694"/>
      <w:bookmarkEnd w:id="1695"/>
      <w:bookmarkEnd w:id="1696"/>
      <w:bookmarkEnd w:id="1697"/>
      <w:bookmarkEnd w:id="1698"/>
      <w:bookmarkEnd w:id="1699"/>
      <w:bookmarkEnd w:id="1700"/>
      <w:bookmarkEnd w:id="1701"/>
      <w:bookmarkEnd w:id="1702"/>
    </w:p>
    <w:p w14:paraId="77EB790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84F75EC">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⑵承包人在动力设备、输电线路、地下管道、密封防震车间、易燃易爆地段、临街交通要道附近、放射毒害性环境中施工以及实施爆破作业、使用毒害性腐蚀性物品施工时，施工前应向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提出安全防护措施，经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认可后实施，由发包人承担相应安全防护措施费用。</w:t>
      </w:r>
    </w:p>
    <w:p w14:paraId="57063C5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⑶承包人应将其作业限制在现场内。在施工期间，承包人应保持现场没有障碍物，妥善存放和处理材料设备和承包人装备，及时从现场清除并运走任何残物、垃圾和不再需要的临时工程。</w:t>
      </w:r>
      <w:bookmarkEnd w:id="1680"/>
    </w:p>
    <w:p w14:paraId="57FF4EB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应按照本市相关要求和根据工程性质规模，建立现场视频采集系统，开展实时监控。承包人应当按照建筑从业人员实名制管理的相关要求，利用人脸、虹膜等生物活体信息技术，在工地出入口设立实名闸机通道，实行联网运行。</w:t>
      </w:r>
    </w:p>
    <w:p w14:paraId="75E1E8F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703" w:name="_Toc8631"/>
      <w:bookmarkStart w:id="1704" w:name="_Toc4461"/>
      <w:bookmarkStart w:id="1705" w:name="_Toc7072"/>
      <w:bookmarkStart w:id="1706" w:name="_Toc17341"/>
      <w:bookmarkStart w:id="1707" w:name="_Toc4214"/>
      <w:bookmarkStart w:id="1708" w:name="_Toc1743"/>
      <w:bookmarkStart w:id="1709" w:name="_Toc11094"/>
      <w:bookmarkStart w:id="1710" w:name="_Toc302635815"/>
      <w:bookmarkStart w:id="1711" w:name="_Toc23115"/>
      <w:bookmarkStart w:id="1712" w:name="_Toc213"/>
      <w:r>
        <w:rPr>
          <w:rFonts w:ascii="宋体" w:hAnsi="宋体" w:eastAsia="宋体" w:cs="Times New Roman"/>
          <w:b/>
          <w:bCs/>
          <w:color w:val="auto"/>
          <w:kern w:val="0"/>
          <w:sz w:val="24"/>
          <w:szCs w:val="24"/>
          <w:highlight w:val="none"/>
          <w:lang w:val="en-US" w:eastAsia="zh-CN" w:bidi="ar-SA"/>
        </w:rPr>
        <w:t>紧急情况</w:t>
      </w:r>
      <w:r>
        <w:rPr>
          <w:rFonts w:hint="eastAsia" w:ascii="宋体" w:hAnsi="宋体" w:eastAsia="宋体" w:cs="Times New Roman"/>
          <w:b/>
          <w:bCs/>
          <w:color w:val="auto"/>
          <w:kern w:val="0"/>
          <w:sz w:val="24"/>
          <w:szCs w:val="24"/>
          <w:highlight w:val="none"/>
          <w:lang w:val="en-US" w:eastAsia="zh-CN" w:bidi="ar-SA"/>
        </w:rPr>
        <w:t>处理</w:t>
      </w:r>
      <w:bookmarkEnd w:id="1703"/>
      <w:bookmarkEnd w:id="1704"/>
      <w:bookmarkEnd w:id="1705"/>
      <w:bookmarkEnd w:id="1706"/>
      <w:bookmarkEnd w:id="1707"/>
      <w:bookmarkEnd w:id="1708"/>
      <w:bookmarkEnd w:id="1709"/>
      <w:bookmarkEnd w:id="1710"/>
      <w:bookmarkEnd w:id="1711"/>
      <w:bookmarkEnd w:id="1712"/>
    </w:p>
    <w:p w14:paraId="60D2B5B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3F8D3C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13" w:name="_Toc9681"/>
      <w:bookmarkStart w:id="1714" w:name="_Toc28800"/>
      <w:bookmarkStart w:id="1715" w:name="_Toc24093"/>
      <w:bookmarkStart w:id="1716" w:name="_Toc3244"/>
      <w:bookmarkStart w:id="1717" w:name="_Toc17749"/>
      <w:bookmarkStart w:id="1718" w:name="_Toc12677"/>
      <w:bookmarkStart w:id="1719" w:name="_Toc27544"/>
      <w:bookmarkStart w:id="1720" w:name="_Toc18755"/>
      <w:bookmarkStart w:id="1721" w:name="_Toc10967"/>
      <w:bookmarkStart w:id="1722" w:name="_Toc302635816"/>
      <w:r>
        <w:rPr>
          <w:rFonts w:hint="eastAsia" w:ascii="宋体" w:hAnsi="宋体" w:eastAsia="宋体" w:cs="Times New Roman"/>
          <w:b/>
          <w:bCs/>
          <w:color w:val="auto"/>
          <w:kern w:val="0"/>
          <w:sz w:val="24"/>
          <w:szCs w:val="24"/>
          <w:highlight w:val="none"/>
          <w:lang w:val="en-US" w:eastAsia="zh-CN" w:bidi="ar-SA"/>
        </w:rPr>
        <w:t>事故处理</w:t>
      </w:r>
      <w:bookmarkEnd w:id="1713"/>
      <w:bookmarkEnd w:id="1714"/>
      <w:bookmarkEnd w:id="1715"/>
      <w:bookmarkEnd w:id="1716"/>
      <w:bookmarkEnd w:id="1717"/>
      <w:bookmarkEnd w:id="1718"/>
      <w:bookmarkEnd w:id="1719"/>
      <w:bookmarkEnd w:id="1720"/>
      <w:bookmarkEnd w:id="1721"/>
      <w:bookmarkEnd w:id="1722"/>
    </w:p>
    <w:p w14:paraId="53FAAF3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4925C28">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23" w:name="_Toc31644"/>
      <w:bookmarkStart w:id="1724" w:name="_Toc6070"/>
      <w:bookmarkStart w:id="1725" w:name="_Toc18719"/>
      <w:bookmarkStart w:id="1726" w:name="_Toc9201"/>
      <w:bookmarkStart w:id="1727" w:name="_Toc305331331"/>
      <w:bookmarkStart w:id="1728" w:name="_Toc22938"/>
      <w:bookmarkStart w:id="1729" w:name="_Toc13325"/>
      <w:bookmarkStart w:id="1730" w:name="_Toc15396"/>
      <w:bookmarkStart w:id="1731" w:name="_Toc24211"/>
      <w:bookmarkStart w:id="1732" w:name="_Toc302635817"/>
      <w:bookmarkStart w:id="1733" w:name="_Toc4266"/>
      <w:r>
        <w:rPr>
          <w:rFonts w:hint="eastAsia" w:ascii="宋体" w:hAnsi="宋体" w:eastAsia="宋体" w:cs="Times New Roman"/>
          <w:b/>
          <w:bCs/>
          <w:color w:val="auto"/>
          <w:kern w:val="0"/>
          <w:sz w:val="24"/>
          <w:szCs w:val="24"/>
          <w:highlight w:val="none"/>
          <w:lang w:val="en-US" w:eastAsia="zh-CN" w:bidi="ar-SA"/>
        </w:rPr>
        <w:t>承包人的环境保护责任</w:t>
      </w:r>
      <w:bookmarkEnd w:id="1723"/>
      <w:bookmarkEnd w:id="1724"/>
      <w:bookmarkEnd w:id="1725"/>
      <w:bookmarkEnd w:id="1726"/>
      <w:bookmarkEnd w:id="1727"/>
      <w:bookmarkEnd w:id="1728"/>
      <w:bookmarkEnd w:id="1729"/>
      <w:bookmarkEnd w:id="1730"/>
      <w:bookmarkEnd w:id="1731"/>
      <w:bookmarkEnd w:id="1732"/>
      <w:bookmarkEnd w:id="1733"/>
    </w:p>
    <w:p w14:paraId="63DC1430">
      <w:pPr>
        <w:tabs>
          <w:tab w:val="left" w:pos="1620"/>
          <w:tab w:val="left" w:pos="2340"/>
        </w:tabs>
        <w:spacing w:after="156"/>
        <w:ind w:left="899"/>
        <w:jc w:val="left"/>
        <w:rPr>
          <w:rFonts w:hint="eastAsia" w:ascii="宋体" w:hAnsi="宋体" w:eastAsia="宋体" w:cs="Times New Roman"/>
          <w:color w:val="auto"/>
          <w:kern w:val="0"/>
          <w:szCs w:val="24"/>
          <w:highlight w:val="none"/>
          <w:lang w:eastAsia="zh-CN"/>
        </w:rPr>
      </w:pPr>
      <w:r>
        <w:rPr>
          <w:rFonts w:hint="eastAsia" w:ascii="宋体" w:hAnsi="宋体" w:eastAsia="宋体" w:cs="Times New Roman"/>
          <w:color w:val="auto"/>
          <w:kern w:val="0"/>
          <w:szCs w:val="24"/>
          <w:highlight w:val="none"/>
        </w:rPr>
        <w:t>⑴发包人和承包人应按照《广东省建筑垃圾管理条例》《深圳市建筑废弃物管理办法》</w:t>
      </w:r>
      <w:r>
        <w:rPr>
          <w:rFonts w:hint="eastAsia" w:ascii="宋体" w:hAnsi="宋体" w:eastAsia="宋体" w:cs="Times New Roman"/>
          <w:color w:val="auto"/>
          <w:kern w:val="0"/>
          <w:szCs w:val="24"/>
          <w:highlight w:val="none"/>
          <w:lang w:eastAsia="zh-CN"/>
        </w:rPr>
        <w:t>等有关</w:t>
      </w:r>
      <w:r>
        <w:rPr>
          <w:rFonts w:hint="eastAsia" w:ascii="宋体" w:hAnsi="宋体" w:eastAsia="宋体" w:cs="Times New Roman"/>
          <w:color w:val="auto"/>
          <w:kern w:val="0"/>
          <w:szCs w:val="24"/>
          <w:highlight w:val="none"/>
        </w:rPr>
        <w:t>规定，在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施工现场建筑废弃物减量化目标、要求和措施，明确承包人在施工现场建筑废弃物规范排放、分类处理、禁止混合排放等方面的要求和措施，以及建筑废弃物综合利用产品的相关使用要求，并约定相应违约责任。承包人向施工场地外排放建筑废弃物的，应按规定在排放前向建设、交通运输或水务部门申请建筑废弃物排放核准</w:t>
      </w:r>
      <w:r>
        <w:rPr>
          <w:rFonts w:hint="eastAsia" w:ascii="宋体" w:hAnsi="宋体" w:eastAsia="宋体" w:cs="Times New Roman"/>
          <w:color w:val="auto"/>
          <w:kern w:val="0"/>
          <w:szCs w:val="24"/>
          <w:highlight w:val="none"/>
          <w:lang w:eastAsia="zh-CN"/>
        </w:rPr>
        <w:t>，并执行电子联单管理制度。</w:t>
      </w:r>
    </w:p>
    <w:p w14:paraId="77636A1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采取一切适当措施，保护施工现场内外环境，防治扬尘、噪音、废气、废水、废渣等污染，限制由其施工作业引起的污染对公众和财产造成的损害和妨害。承包人应确保因其活动产生的扬尘、气体排放、地面排水及排污等，不超过政府部门规范要求。</w:t>
      </w:r>
    </w:p>
    <w:p w14:paraId="441A662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承包人在施工期间，应</w:t>
      </w:r>
      <w:r>
        <w:rPr>
          <w:rFonts w:hint="eastAsia" w:ascii="宋体" w:hAnsi="宋体" w:eastAsia="宋体" w:cs="Times New Roman"/>
          <w:color w:val="auto"/>
          <w:kern w:val="0"/>
          <w:szCs w:val="24"/>
          <w:highlight w:val="none"/>
        </w:rPr>
        <w:t>严格</w:t>
      </w:r>
      <w:r>
        <w:rPr>
          <w:rFonts w:ascii="宋体" w:hAnsi="宋体" w:eastAsia="宋体" w:cs="Times New Roman"/>
          <w:color w:val="auto"/>
          <w:kern w:val="0"/>
          <w:szCs w:val="24"/>
          <w:highlight w:val="none"/>
        </w:rPr>
        <w:t>执行《广东省建设项目环境管理条例》《深圳经济特区环境保护条例》和《深圳经济特区环境噪声污染防治条例》等有关法规的规定，依法文明施工，尽可能减少施工对居民生活的影响。</w:t>
      </w:r>
    </w:p>
    <w:p w14:paraId="6E80AD3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承包人在开工前应向</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环保部门申报施工期的环保方案。如需夜间连续施工，必须提前到</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环保部门申请核准手续。</w:t>
      </w:r>
    </w:p>
    <w:p w14:paraId="087390BE">
      <w:pPr>
        <w:tabs>
          <w:tab w:val="left" w:pos="1620"/>
          <w:tab w:val="left" w:pos="2340"/>
        </w:tabs>
        <w:spacing w:after="156"/>
        <w:ind w:left="899"/>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⑸承包人应使用符合《在用非道路移动机械用柴油机排气烟度排放限值及测量方法》（SZJG49-2015）特区技术规范要求的非道路移动机械。</w:t>
      </w:r>
    </w:p>
    <w:p w14:paraId="3E386FF8">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734" w:name="_Toc302635820"/>
      <w:bookmarkStart w:id="1735" w:name="_Toc3407"/>
      <w:bookmarkStart w:id="1736" w:name="_Toc4800"/>
      <w:bookmarkStart w:id="1737" w:name="_Toc17339"/>
      <w:bookmarkStart w:id="1738" w:name="_Toc305331333"/>
      <w:bookmarkStart w:id="1739" w:name="_Toc19585"/>
      <w:bookmarkStart w:id="1740" w:name="_Toc5891"/>
      <w:bookmarkStart w:id="1741" w:name="_Toc8842"/>
      <w:bookmarkStart w:id="1742" w:name="_Toc9693"/>
      <w:bookmarkStart w:id="1743" w:name="_Toc26872"/>
      <w:bookmarkStart w:id="1744" w:name="_Toc6990"/>
      <w:bookmarkStart w:id="1745" w:name="_Toc305331341"/>
      <w:bookmarkStart w:id="1746" w:name="_Toc35656989"/>
      <w:bookmarkStart w:id="1747" w:name="_Toc34909070"/>
      <w:bookmarkStart w:id="1748" w:name="_Toc35656487"/>
      <w:r>
        <w:rPr>
          <w:rFonts w:hint="eastAsia" w:ascii="华文细黑" w:hAnsi="宋体" w:eastAsia="宋体" w:cs="Times New Roman"/>
          <w:b/>
          <w:bCs/>
          <w:snapToGrid w:val="0"/>
          <w:color w:val="auto"/>
          <w:kern w:val="0"/>
          <w:sz w:val="28"/>
          <w:szCs w:val="44"/>
          <w:highlight w:val="none"/>
          <w:lang w:val="en-US" w:eastAsia="zh-CN" w:bidi="ar-SA"/>
        </w:rPr>
        <w:t>余泥渣土运输车辆要求</w:t>
      </w:r>
      <w:bookmarkEnd w:id="1734"/>
      <w:bookmarkEnd w:id="1735"/>
      <w:bookmarkEnd w:id="1736"/>
      <w:bookmarkEnd w:id="1737"/>
      <w:bookmarkEnd w:id="1738"/>
      <w:bookmarkEnd w:id="1739"/>
      <w:bookmarkEnd w:id="1740"/>
      <w:bookmarkEnd w:id="1741"/>
      <w:bookmarkEnd w:id="1742"/>
      <w:bookmarkEnd w:id="1743"/>
      <w:bookmarkEnd w:id="1744"/>
    </w:p>
    <w:p w14:paraId="21F0601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49" w:name="_Toc30802"/>
      <w:bookmarkStart w:id="1750" w:name="_Toc4663"/>
      <w:bookmarkStart w:id="1751" w:name="_Toc305331334"/>
      <w:bookmarkStart w:id="1752" w:name="_Toc5448"/>
      <w:bookmarkStart w:id="1753" w:name="_Toc31943"/>
      <w:bookmarkStart w:id="1754" w:name="_Toc22864"/>
      <w:bookmarkStart w:id="1755" w:name="_Toc31004"/>
      <w:bookmarkStart w:id="1756" w:name="_Toc25863"/>
      <w:bookmarkStart w:id="1757" w:name="_Toc12162"/>
      <w:bookmarkStart w:id="1758" w:name="_Toc302635821"/>
      <w:bookmarkStart w:id="1759" w:name="_Toc7657"/>
      <w:r>
        <w:rPr>
          <w:rFonts w:ascii="宋体" w:hAnsi="宋体" w:eastAsia="宋体" w:cs="Times New Roman"/>
          <w:b/>
          <w:bCs/>
          <w:color w:val="auto"/>
          <w:kern w:val="0"/>
          <w:sz w:val="24"/>
          <w:szCs w:val="24"/>
          <w:highlight w:val="none"/>
          <w:lang w:val="en-US" w:eastAsia="zh-CN" w:bidi="ar-SA"/>
        </w:rPr>
        <w:t>余泥渣土运输车辆</w:t>
      </w:r>
      <w:r>
        <w:rPr>
          <w:rFonts w:hint="eastAsia" w:ascii="宋体" w:hAnsi="宋体" w:eastAsia="宋体" w:cs="Times New Roman"/>
          <w:b/>
          <w:bCs/>
          <w:color w:val="auto"/>
          <w:kern w:val="0"/>
          <w:sz w:val="24"/>
          <w:szCs w:val="24"/>
          <w:highlight w:val="none"/>
          <w:lang w:val="en-US" w:eastAsia="zh-CN" w:bidi="ar-SA"/>
        </w:rPr>
        <w:t>证件要求</w:t>
      </w:r>
      <w:bookmarkEnd w:id="1749"/>
      <w:bookmarkEnd w:id="1750"/>
      <w:bookmarkEnd w:id="1751"/>
      <w:bookmarkEnd w:id="1752"/>
      <w:bookmarkEnd w:id="1753"/>
      <w:bookmarkEnd w:id="1754"/>
      <w:bookmarkEnd w:id="1755"/>
      <w:bookmarkEnd w:id="1756"/>
      <w:bookmarkEnd w:id="1757"/>
      <w:bookmarkEnd w:id="1758"/>
      <w:bookmarkEnd w:id="1759"/>
    </w:p>
    <w:p w14:paraId="69165219">
      <w:pPr>
        <w:tabs>
          <w:tab w:val="left" w:pos="1620"/>
          <w:tab w:val="left" w:pos="2340"/>
        </w:tabs>
        <w:spacing w:after="156"/>
        <w:ind w:left="899"/>
        <w:jc w:val="left"/>
        <w:rPr>
          <w:rFonts w:hint="default" w:ascii="宋体" w:hAnsi="宋体" w:eastAsia="宋体" w:cs="Times New Roman"/>
          <w:color w:val="auto"/>
          <w:kern w:val="0"/>
          <w:szCs w:val="24"/>
          <w:highlight w:val="none"/>
        </w:rPr>
      </w:pPr>
      <w:r>
        <w:rPr>
          <w:rFonts w:hint="default" w:ascii="宋体" w:hAnsi="宋体" w:eastAsia="宋体" w:cs="Times New Roman"/>
          <w:color w:val="auto"/>
          <w:kern w:val="0"/>
          <w:szCs w:val="24"/>
          <w:highlight w:val="none"/>
        </w:rPr>
        <w:t>承担本工程余泥渣土运输任务的运输单位及车辆应当持有相关职能部门核发的有效证件，符合《深圳市建筑废弃物管理办法》</w:t>
      </w:r>
      <w:r>
        <w:rPr>
          <w:rFonts w:hint="eastAsia" w:ascii="宋体" w:hAnsi="宋体" w:eastAsia="宋体" w:cs="Times New Roman"/>
          <w:color w:val="auto"/>
          <w:kern w:val="0"/>
          <w:szCs w:val="24"/>
          <w:highlight w:val="none"/>
          <w:lang w:eastAsia="zh-CN"/>
        </w:rPr>
        <w:t>等有关</w:t>
      </w:r>
      <w:r>
        <w:rPr>
          <w:rFonts w:hint="eastAsia" w:ascii="宋体" w:hAnsi="宋体" w:eastAsia="宋体" w:cs="Times New Roman"/>
          <w:color w:val="auto"/>
          <w:kern w:val="0"/>
          <w:szCs w:val="24"/>
          <w:highlight w:val="none"/>
        </w:rPr>
        <w:t>规定</w:t>
      </w:r>
      <w:r>
        <w:rPr>
          <w:rFonts w:hint="default" w:ascii="宋体" w:hAnsi="宋体" w:eastAsia="宋体" w:cs="Times New Roman"/>
          <w:color w:val="auto"/>
          <w:kern w:val="0"/>
          <w:szCs w:val="24"/>
          <w:highlight w:val="none"/>
        </w:rPr>
        <w:t>。</w:t>
      </w:r>
    </w:p>
    <w:p w14:paraId="777C55AC">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60" w:name="_Toc20717"/>
      <w:bookmarkStart w:id="1761" w:name="_Toc6430"/>
      <w:bookmarkStart w:id="1762" w:name="_Toc2940"/>
      <w:bookmarkStart w:id="1763" w:name="_Toc17842"/>
      <w:bookmarkStart w:id="1764" w:name="_Toc11495"/>
      <w:bookmarkStart w:id="1765" w:name="_Toc20858"/>
      <w:bookmarkStart w:id="1766" w:name="_Toc15941"/>
      <w:bookmarkStart w:id="1767" w:name="_Toc8522"/>
      <w:bookmarkStart w:id="1768" w:name="_Toc302635822"/>
      <w:bookmarkStart w:id="1769" w:name="_Toc21861"/>
      <w:bookmarkStart w:id="1770" w:name="_Toc305331335"/>
      <w:r>
        <w:rPr>
          <w:rFonts w:hint="eastAsia" w:ascii="宋体" w:hAnsi="宋体" w:eastAsia="宋体" w:cs="Times New Roman"/>
          <w:b/>
          <w:bCs/>
          <w:color w:val="auto"/>
          <w:kern w:val="0"/>
          <w:sz w:val="24"/>
          <w:szCs w:val="24"/>
          <w:highlight w:val="none"/>
          <w:lang w:val="en-US" w:eastAsia="zh-CN" w:bidi="ar-SA"/>
        </w:rPr>
        <w:t>承包人自行运输</w:t>
      </w:r>
      <w:bookmarkEnd w:id="1760"/>
      <w:bookmarkEnd w:id="1761"/>
      <w:bookmarkEnd w:id="1762"/>
      <w:bookmarkEnd w:id="1763"/>
      <w:bookmarkEnd w:id="1764"/>
      <w:bookmarkEnd w:id="1765"/>
      <w:bookmarkEnd w:id="1766"/>
      <w:bookmarkEnd w:id="1767"/>
      <w:bookmarkEnd w:id="1768"/>
      <w:bookmarkEnd w:id="1769"/>
    </w:p>
    <w:p w14:paraId="6F8C7A8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持有</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w:t>
      </w:r>
      <w:r>
        <w:rPr>
          <w:rFonts w:hint="eastAsia" w:ascii="宋体" w:hAnsi="宋体" w:eastAsia="宋体" w:cs="Times New Roman"/>
          <w:color w:val="auto"/>
          <w:kern w:val="0"/>
          <w:szCs w:val="24"/>
          <w:highlight w:val="none"/>
        </w:rPr>
        <w:t>具备</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能力的，</w:t>
      </w:r>
      <w:r>
        <w:rPr>
          <w:rFonts w:ascii="宋体" w:hAnsi="宋体" w:eastAsia="宋体" w:cs="Times New Roman"/>
          <w:color w:val="auto"/>
          <w:kern w:val="0"/>
          <w:szCs w:val="24"/>
          <w:highlight w:val="none"/>
        </w:rPr>
        <w:t>可自行组织完成本合同约定的余泥渣土运输任务。</w:t>
      </w:r>
    </w:p>
    <w:p w14:paraId="565870E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承包人不</w:t>
      </w:r>
      <w:r>
        <w:rPr>
          <w:rFonts w:hint="eastAsia" w:ascii="宋体" w:hAnsi="宋体" w:eastAsia="宋体" w:cs="Times New Roman"/>
          <w:color w:val="auto"/>
          <w:kern w:val="0"/>
          <w:szCs w:val="24"/>
          <w:highlight w:val="none"/>
        </w:rPr>
        <w:t>持有</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w:t>
      </w:r>
      <w:r>
        <w:rPr>
          <w:rFonts w:hint="eastAsia" w:ascii="宋体" w:hAnsi="宋体" w:eastAsia="宋体" w:cs="Times New Roman"/>
          <w:color w:val="auto"/>
          <w:kern w:val="0"/>
          <w:szCs w:val="24"/>
          <w:highlight w:val="none"/>
        </w:rPr>
        <w:t>，不具备</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能力</w:t>
      </w:r>
      <w:r>
        <w:rPr>
          <w:rFonts w:ascii="宋体" w:hAnsi="宋体" w:eastAsia="宋体" w:cs="Times New Roman"/>
          <w:color w:val="auto"/>
          <w:kern w:val="0"/>
          <w:szCs w:val="24"/>
          <w:highlight w:val="none"/>
        </w:rPr>
        <w:t>而自行承担余泥渣土运输任务，应按照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的约定承担违约责任。同时，</w:t>
      </w:r>
      <w:r>
        <w:rPr>
          <w:rFonts w:hint="eastAsia" w:ascii="宋体" w:hAnsi="宋体" w:eastAsia="宋体" w:cs="Times New Roman"/>
          <w:color w:val="auto"/>
          <w:kern w:val="0"/>
          <w:szCs w:val="24"/>
          <w:highlight w:val="none"/>
        </w:rPr>
        <w:t>上述</w:t>
      </w:r>
      <w:r>
        <w:rPr>
          <w:rFonts w:ascii="宋体" w:hAnsi="宋体" w:eastAsia="宋体" w:cs="Times New Roman"/>
          <w:color w:val="auto"/>
          <w:kern w:val="0"/>
          <w:szCs w:val="24"/>
          <w:highlight w:val="none"/>
        </w:rPr>
        <w:t>违约行为导致的工期延误和</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或</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费用增加，</w:t>
      </w:r>
      <w:r>
        <w:rPr>
          <w:rFonts w:hint="eastAsia" w:ascii="宋体" w:hAnsi="宋体" w:eastAsia="宋体" w:cs="Times New Roman"/>
          <w:color w:val="auto"/>
          <w:kern w:val="0"/>
          <w:szCs w:val="24"/>
          <w:highlight w:val="none"/>
        </w:rPr>
        <w:t>由</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承担</w:t>
      </w:r>
      <w:r>
        <w:rPr>
          <w:rFonts w:ascii="宋体" w:hAnsi="宋体" w:eastAsia="宋体" w:cs="Times New Roman"/>
          <w:color w:val="auto"/>
          <w:kern w:val="0"/>
          <w:szCs w:val="24"/>
          <w:highlight w:val="none"/>
        </w:rPr>
        <w:t>责任。</w:t>
      </w:r>
    </w:p>
    <w:p w14:paraId="4616BC9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771" w:name="_Toc3044"/>
      <w:bookmarkStart w:id="1772" w:name="_Toc7948"/>
      <w:bookmarkStart w:id="1773" w:name="_Toc302635823"/>
      <w:bookmarkStart w:id="1774" w:name="_Toc1018"/>
      <w:bookmarkStart w:id="1775" w:name="_Toc26765"/>
      <w:bookmarkStart w:id="1776" w:name="_Toc25402"/>
      <w:bookmarkStart w:id="1777" w:name="_Toc1845"/>
      <w:bookmarkStart w:id="1778" w:name="_Toc10722"/>
      <w:bookmarkStart w:id="1779" w:name="_Toc27036"/>
      <w:bookmarkStart w:id="1780" w:name="_Toc21437"/>
      <w:r>
        <w:rPr>
          <w:rFonts w:ascii="宋体" w:hAnsi="宋体" w:eastAsia="宋体" w:cs="Times New Roman"/>
          <w:b/>
          <w:bCs/>
          <w:color w:val="auto"/>
          <w:kern w:val="0"/>
          <w:sz w:val="24"/>
          <w:szCs w:val="24"/>
          <w:highlight w:val="none"/>
          <w:lang w:val="en-US" w:eastAsia="zh-CN" w:bidi="ar-SA"/>
        </w:rPr>
        <w:t>余泥渣土运输</w:t>
      </w:r>
      <w:r>
        <w:rPr>
          <w:rFonts w:hint="eastAsia" w:ascii="宋体" w:hAnsi="宋体" w:eastAsia="宋体" w:cs="Times New Roman"/>
          <w:b/>
          <w:bCs/>
          <w:color w:val="auto"/>
          <w:kern w:val="0"/>
          <w:sz w:val="24"/>
          <w:szCs w:val="24"/>
          <w:highlight w:val="none"/>
          <w:lang w:val="en-US" w:eastAsia="zh-CN" w:bidi="ar-SA"/>
        </w:rPr>
        <w:t>分包</w:t>
      </w:r>
      <w:bookmarkEnd w:id="1770"/>
      <w:bookmarkEnd w:id="1771"/>
      <w:bookmarkEnd w:id="1772"/>
      <w:bookmarkEnd w:id="1773"/>
      <w:bookmarkEnd w:id="1774"/>
      <w:bookmarkEnd w:id="1775"/>
      <w:bookmarkEnd w:id="1776"/>
      <w:bookmarkEnd w:id="1777"/>
      <w:bookmarkEnd w:id="1778"/>
      <w:bookmarkEnd w:id="1779"/>
      <w:bookmarkEnd w:id="1780"/>
    </w:p>
    <w:p w14:paraId="1045AA0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承包人不</w:t>
      </w:r>
      <w:r>
        <w:rPr>
          <w:rFonts w:hint="eastAsia" w:ascii="宋体" w:hAnsi="宋体" w:eastAsia="宋体" w:cs="Times New Roman"/>
          <w:color w:val="auto"/>
          <w:kern w:val="0"/>
          <w:szCs w:val="24"/>
          <w:highlight w:val="none"/>
        </w:rPr>
        <w:t>持有</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w:t>
      </w:r>
      <w:r>
        <w:rPr>
          <w:rFonts w:hint="eastAsia" w:ascii="宋体" w:hAnsi="宋体" w:eastAsia="宋体" w:cs="Times New Roman"/>
          <w:color w:val="auto"/>
          <w:kern w:val="0"/>
          <w:szCs w:val="24"/>
          <w:highlight w:val="none"/>
        </w:rPr>
        <w:t>不具备</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能力的，</w:t>
      </w:r>
      <w:r>
        <w:rPr>
          <w:rFonts w:ascii="宋体" w:hAnsi="宋体" w:eastAsia="宋体" w:cs="Times New Roman"/>
          <w:color w:val="auto"/>
          <w:kern w:val="0"/>
          <w:szCs w:val="24"/>
          <w:highlight w:val="none"/>
        </w:rPr>
        <w:t>经发包人同意，承包人应将余泥渣土运输任务分包给符合第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证件要求的专业运输单位</w:t>
      </w:r>
      <w:r>
        <w:rPr>
          <w:rFonts w:hint="eastAsia" w:ascii="宋体" w:hAnsi="宋体" w:eastAsia="宋体" w:cs="Times New Roman"/>
          <w:color w:val="auto"/>
          <w:kern w:val="0"/>
          <w:szCs w:val="24"/>
          <w:highlight w:val="none"/>
        </w:rPr>
        <w:t>，并报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审核和</w:t>
      </w:r>
      <w:r>
        <w:rPr>
          <w:rFonts w:ascii="宋体" w:hAnsi="宋体" w:eastAsia="宋体" w:cs="Times New Roman"/>
          <w:color w:val="auto"/>
          <w:kern w:val="0"/>
          <w:szCs w:val="24"/>
          <w:highlight w:val="none"/>
        </w:rPr>
        <w:t>发包人</w:t>
      </w:r>
      <w:r>
        <w:rPr>
          <w:rFonts w:hint="eastAsia" w:ascii="宋体" w:hAnsi="宋体" w:eastAsia="宋体" w:cs="Times New Roman"/>
          <w:color w:val="auto"/>
          <w:kern w:val="0"/>
          <w:szCs w:val="24"/>
          <w:highlight w:val="none"/>
        </w:rPr>
        <w:t>批准</w:t>
      </w:r>
      <w:r>
        <w:rPr>
          <w:rFonts w:ascii="宋体" w:hAnsi="宋体" w:eastAsia="宋体" w:cs="Times New Roman"/>
          <w:color w:val="auto"/>
          <w:kern w:val="0"/>
          <w:szCs w:val="24"/>
          <w:highlight w:val="none"/>
        </w:rPr>
        <w:t>。</w:t>
      </w:r>
    </w:p>
    <w:p w14:paraId="3D707AAC">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承包人应将余泥渣土运输分包合同</w:t>
      </w:r>
      <w:r>
        <w:rPr>
          <w:rFonts w:hint="eastAsia" w:ascii="宋体" w:hAnsi="宋体" w:eastAsia="宋体" w:cs="Times New Roman"/>
          <w:color w:val="auto"/>
          <w:kern w:val="0"/>
          <w:szCs w:val="24"/>
          <w:highlight w:val="none"/>
        </w:rPr>
        <w:t>、专业运输单位和</w:t>
      </w:r>
      <w:r>
        <w:rPr>
          <w:rFonts w:ascii="宋体" w:hAnsi="宋体" w:eastAsia="宋体" w:cs="Times New Roman"/>
          <w:color w:val="auto"/>
          <w:kern w:val="0"/>
          <w:szCs w:val="24"/>
          <w:highlight w:val="none"/>
        </w:rPr>
        <w:t>余泥渣土运输</w:t>
      </w:r>
      <w:r>
        <w:rPr>
          <w:rFonts w:hint="eastAsia" w:ascii="宋体" w:hAnsi="宋体" w:eastAsia="宋体" w:cs="Times New Roman"/>
          <w:color w:val="auto"/>
          <w:kern w:val="0"/>
          <w:szCs w:val="24"/>
          <w:highlight w:val="none"/>
        </w:rPr>
        <w:t>车辆的</w:t>
      </w:r>
      <w:r>
        <w:rPr>
          <w:rFonts w:ascii="宋体" w:hAnsi="宋体" w:eastAsia="宋体" w:cs="Times New Roman"/>
          <w:color w:val="auto"/>
          <w:kern w:val="0"/>
          <w:szCs w:val="24"/>
          <w:highlight w:val="none"/>
        </w:rPr>
        <w:t>相关资料送发包人和监理人</w:t>
      </w:r>
      <w:r>
        <w:rPr>
          <w:rFonts w:hint="eastAsia" w:ascii="宋体" w:hAnsi="宋体" w:eastAsia="宋体" w:cs="Times New Roman"/>
          <w:color w:val="auto"/>
          <w:kern w:val="0"/>
          <w:szCs w:val="24"/>
          <w:highlight w:val="none"/>
        </w:rPr>
        <w:t>备案</w:t>
      </w:r>
      <w:r>
        <w:rPr>
          <w:rFonts w:ascii="宋体" w:hAnsi="宋体" w:eastAsia="宋体" w:cs="Times New Roman"/>
          <w:color w:val="auto"/>
          <w:kern w:val="0"/>
          <w:szCs w:val="24"/>
          <w:highlight w:val="none"/>
        </w:rPr>
        <w:t>。此审核并不免除承包人应承担的本合同</w:t>
      </w:r>
      <w:r>
        <w:rPr>
          <w:rFonts w:hint="eastAsia" w:ascii="宋体" w:hAnsi="宋体" w:eastAsia="宋体" w:cs="Times New Roman"/>
          <w:color w:val="auto"/>
          <w:kern w:val="0"/>
          <w:szCs w:val="24"/>
          <w:highlight w:val="none"/>
        </w:rPr>
        <w:t>约定</w:t>
      </w:r>
      <w:r>
        <w:rPr>
          <w:rFonts w:ascii="宋体" w:hAnsi="宋体" w:eastAsia="宋体" w:cs="Times New Roman"/>
          <w:color w:val="auto"/>
          <w:kern w:val="0"/>
          <w:szCs w:val="24"/>
          <w:highlight w:val="none"/>
        </w:rPr>
        <w:t>义务。</w:t>
      </w:r>
    </w:p>
    <w:p w14:paraId="43886E3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承包人将余泥渣土运输任务分包给不符合第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证件要求的专业运输单位，应按照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的约定承担违约责任。同时，上述违约行为导致的工期延误和</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或</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费用增加，</w:t>
      </w:r>
      <w:r>
        <w:rPr>
          <w:rFonts w:hint="eastAsia" w:ascii="宋体" w:hAnsi="宋体" w:eastAsia="宋体" w:cs="Times New Roman"/>
          <w:color w:val="auto"/>
          <w:kern w:val="0"/>
          <w:szCs w:val="24"/>
          <w:highlight w:val="none"/>
        </w:rPr>
        <w:t>由</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承担</w:t>
      </w:r>
      <w:r>
        <w:rPr>
          <w:rFonts w:ascii="宋体" w:hAnsi="宋体" w:eastAsia="宋体" w:cs="Times New Roman"/>
          <w:color w:val="auto"/>
          <w:kern w:val="0"/>
          <w:szCs w:val="24"/>
          <w:highlight w:val="none"/>
        </w:rPr>
        <w:t>责任。</w:t>
      </w:r>
    </w:p>
    <w:p w14:paraId="40D6F5D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81" w:name="_Toc6475"/>
      <w:bookmarkStart w:id="1782" w:name="_Toc29781"/>
      <w:bookmarkStart w:id="1783" w:name="_Toc14033"/>
      <w:bookmarkStart w:id="1784" w:name="_Toc305331336"/>
      <w:bookmarkStart w:id="1785" w:name="_Toc302635824"/>
      <w:bookmarkStart w:id="1786" w:name="_Toc31807"/>
      <w:bookmarkStart w:id="1787" w:name="_Toc11250"/>
      <w:bookmarkStart w:id="1788" w:name="_Toc23878"/>
      <w:bookmarkStart w:id="1789" w:name="_Toc21467"/>
      <w:bookmarkStart w:id="1790" w:name="_Toc6718"/>
      <w:bookmarkStart w:id="1791" w:name="_Toc23458"/>
      <w:r>
        <w:rPr>
          <w:rFonts w:ascii="宋体" w:hAnsi="宋体" w:eastAsia="宋体" w:cs="Times New Roman"/>
          <w:b/>
          <w:bCs/>
          <w:color w:val="auto"/>
          <w:kern w:val="0"/>
          <w:sz w:val="24"/>
          <w:szCs w:val="24"/>
          <w:highlight w:val="none"/>
          <w:lang w:val="en-US" w:eastAsia="zh-CN" w:bidi="ar-SA"/>
        </w:rPr>
        <w:t>余泥渣土运输</w:t>
      </w:r>
      <w:r>
        <w:rPr>
          <w:rFonts w:hint="eastAsia" w:ascii="宋体" w:hAnsi="宋体" w:eastAsia="宋体" w:cs="Times New Roman"/>
          <w:b/>
          <w:bCs/>
          <w:color w:val="auto"/>
          <w:kern w:val="0"/>
          <w:sz w:val="24"/>
          <w:szCs w:val="24"/>
          <w:highlight w:val="none"/>
          <w:lang w:val="en-US" w:eastAsia="zh-CN" w:bidi="ar-SA"/>
        </w:rPr>
        <w:t>车辆保险</w:t>
      </w:r>
      <w:bookmarkEnd w:id="1781"/>
      <w:bookmarkEnd w:id="1782"/>
      <w:bookmarkEnd w:id="1783"/>
      <w:bookmarkEnd w:id="1784"/>
      <w:bookmarkEnd w:id="1785"/>
      <w:bookmarkEnd w:id="1786"/>
      <w:bookmarkEnd w:id="1787"/>
      <w:bookmarkEnd w:id="1788"/>
      <w:bookmarkEnd w:id="1789"/>
      <w:bookmarkEnd w:id="1790"/>
      <w:bookmarkEnd w:id="1791"/>
    </w:p>
    <w:p w14:paraId="79771FF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⑴承担本工程</w:t>
      </w:r>
      <w:r>
        <w:rPr>
          <w:rFonts w:ascii="宋体" w:hAnsi="宋体" w:eastAsia="宋体" w:cs="Times New Roman"/>
          <w:color w:val="auto"/>
          <w:kern w:val="0"/>
          <w:szCs w:val="24"/>
          <w:highlight w:val="none"/>
        </w:rPr>
        <w:t>余泥渣土运输</w:t>
      </w:r>
      <w:r>
        <w:rPr>
          <w:rFonts w:hint="eastAsia" w:ascii="宋体" w:hAnsi="宋体" w:eastAsia="宋体" w:cs="Times New Roman"/>
          <w:color w:val="auto"/>
          <w:kern w:val="0"/>
          <w:szCs w:val="24"/>
          <w:highlight w:val="none"/>
        </w:rPr>
        <w:t>任务的</w:t>
      </w:r>
      <w:r>
        <w:rPr>
          <w:rFonts w:ascii="宋体" w:hAnsi="宋体" w:eastAsia="宋体" w:cs="Times New Roman"/>
          <w:color w:val="auto"/>
          <w:kern w:val="0"/>
          <w:szCs w:val="24"/>
          <w:highlight w:val="none"/>
        </w:rPr>
        <w:t>车辆</w:t>
      </w:r>
      <w:r>
        <w:rPr>
          <w:rFonts w:hint="eastAsia" w:ascii="宋体" w:hAnsi="宋体" w:eastAsia="宋体" w:cs="Times New Roman"/>
          <w:color w:val="auto"/>
          <w:kern w:val="0"/>
          <w:szCs w:val="24"/>
          <w:highlight w:val="none"/>
        </w:rPr>
        <w:t>应当向有关保险公司投保，并取得车辆保险单。如因未投保的</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造成第三人财产损失和(或)人身伤亡，</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所属专业运输单位应承担连带责任。</w:t>
      </w:r>
    </w:p>
    <w:p w14:paraId="028843D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w:t>
      </w:r>
      <w:r>
        <w:rPr>
          <w:rFonts w:ascii="宋体" w:hAnsi="宋体" w:eastAsia="宋体" w:cs="Times New Roman"/>
          <w:color w:val="auto"/>
          <w:kern w:val="0"/>
          <w:szCs w:val="24"/>
          <w:highlight w:val="none"/>
        </w:rPr>
        <w:t>将余泥渣土运输任务分包</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，承包人和车辆运输分包人应在余泥渣土运输分包合同中明确</w:t>
      </w:r>
      <w:r>
        <w:rPr>
          <w:rFonts w:hint="eastAsia" w:ascii="宋体" w:hAnsi="宋体" w:eastAsia="宋体" w:cs="Times New Roman"/>
          <w:color w:val="auto"/>
          <w:kern w:val="0"/>
          <w:szCs w:val="24"/>
          <w:highlight w:val="none"/>
        </w:rPr>
        <w:t>本款所述的连带责任</w:t>
      </w:r>
      <w:r>
        <w:rPr>
          <w:rFonts w:ascii="宋体" w:hAnsi="宋体" w:eastAsia="宋体" w:cs="Times New Roman"/>
          <w:color w:val="auto"/>
          <w:kern w:val="0"/>
          <w:szCs w:val="24"/>
          <w:highlight w:val="none"/>
        </w:rPr>
        <w:t>。</w:t>
      </w:r>
    </w:p>
    <w:p w14:paraId="221C3D40">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92" w:name="_Toc305331337"/>
      <w:bookmarkStart w:id="1793" w:name="_Toc11558"/>
      <w:bookmarkStart w:id="1794" w:name="_Toc15660"/>
      <w:bookmarkStart w:id="1795" w:name="_Toc2772"/>
      <w:bookmarkStart w:id="1796" w:name="_Toc21910"/>
      <w:bookmarkStart w:id="1797" w:name="_Toc302635825"/>
      <w:bookmarkStart w:id="1798" w:name="_Toc28976"/>
      <w:bookmarkStart w:id="1799" w:name="_Toc17464"/>
      <w:bookmarkStart w:id="1800" w:name="_Toc5283"/>
      <w:bookmarkStart w:id="1801" w:name="_Toc16628"/>
      <w:bookmarkStart w:id="1802" w:name="_Toc21208"/>
      <w:r>
        <w:rPr>
          <w:rFonts w:ascii="宋体" w:hAnsi="宋体" w:eastAsia="宋体" w:cs="Times New Roman"/>
          <w:b/>
          <w:bCs/>
          <w:color w:val="auto"/>
          <w:kern w:val="0"/>
          <w:sz w:val="24"/>
          <w:szCs w:val="24"/>
          <w:highlight w:val="none"/>
          <w:lang w:val="en-US" w:eastAsia="zh-CN" w:bidi="ar-SA"/>
        </w:rPr>
        <w:t>余泥渣土运输车辆和</w:t>
      </w:r>
      <w:bookmarkEnd w:id="1792"/>
      <w:r>
        <w:rPr>
          <w:rFonts w:hint="eastAsia" w:ascii="宋体" w:hAnsi="宋体" w:eastAsia="宋体" w:cs="Times New Roman"/>
          <w:b/>
          <w:bCs/>
          <w:color w:val="auto"/>
          <w:kern w:val="0"/>
          <w:sz w:val="24"/>
          <w:szCs w:val="24"/>
          <w:highlight w:val="none"/>
          <w:lang w:val="en-US" w:eastAsia="zh-CN" w:bidi="ar-SA"/>
        </w:rPr>
        <w:t>驾驶员</w:t>
      </w:r>
      <w:bookmarkEnd w:id="1793"/>
      <w:bookmarkEnd w:id="1794"/>
      <w:bookmarkEnd w:id="1795"/>
      <w:bookmarkEnd w:id="1796"/>
      <w:bookmarkEnd w:id="1797"/>
      <w:bookmarkEnd w:id="1798"/>
      <w:bookmarkEnd w:id="1799"/>
      <w:bookmarkEnd w:id="1800"/>
      <w:bookmarkEnd w:id="1801"/>
      <w:bookmarkEnd w:id="1802"/>
    </w:p>
    <w:p w14:paraId="13111F5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承担本工程余泥渣土运输任务的车辆</w:t>
      </w:r>
      <w:r>
        <w:rPr>
          <w:rFonts w:hint="eastAsia" w:ascii="宋体" w:hAnsi="宋体" w:eastAsia="宋体" w:cs="Times New Roman"/>
          <w:color w:val="auto"/>
          <w:kern w:val="0"/>
          <w:szCs w:val="24"/>
          <w:highlight w:val="none"/>
        </w:rPr>
        <w:t>和驾驶员</w:t>
      </w:r>
      <w:r>
        <w:rPr>
          <w:rFonts w:ascii="宋体" w:hAnsi="宋体" w:eastAsia="宋体" w:cs="Times New Roman"/>
          <w:color w:val="auto"/>
          <w:kern w:val="0"/>
          <w:szCs w:val="24"/>
          <w:highlight w:val="none"/>
        </w:rPr>
        <w:t>应当符合第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证件要求</w:t>
      </w:r>
      <w:r>
        <w:rPr>
          <w:rFonts w:hint="eastAsia" w:ascii="宋体" w:hAnsi="宋体" w:eastAsia="宋体" w:cs="Times New Roman"/>
          <w:color w:val="auto"/>
          <w:kern w:val="0"/>
          <w:szCs w:val="24"/>
          <w:highlight w:val="none"/>
        </w:rPr>
        <w:t>，同时车辆还应具有第18.4⑴款所要求的车辆保险单。</w:t>
      </w:r>
    </w:p>
    <w:p w14:paraId="0547F87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⑵承包人按18.2款自行完成</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，发包人和承包人应在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w:t>
      </w:r>
      <w:r>
        <w:rPr>
          <w:rFonts w:hint="eastAsia" w:ascii="宋体" w:hAnsi="宋体" w:eastAsia="宋体" w:cs="Times New Roman"/>
          <w:color w:val="auto"/>
          <w:kern w:val="0"/>
          <w:szCs w:val="24"/>
          <w:highlight w:val="none"/>
        </w:rPr>
        <w:t>载明所有参加本工程</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的数量、证件、车牌号码、驾驶员姓名、驾驶证件等信息</w:t>
      </w:r>
      <w:r>
        <w:rPr>
          <w:rFonts w:ascii="宋体" w:hAnsi="宋体" w:eastAsia="宋体" w:cs="Times New Roman"/>
          <w:color w:val="auto"/>
          <w:kern w:val="0"/>
          <w:szCs w:val="24"/>
          <w:highlight w:val="none"/>
        </w:rPr>
        <w:t>。</w:t>
      </w:r>
    </w:p>
    <w:p w14:paraId="36FD7E8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⑶承包人按18.3款</w:t>
      </w:r>
      <w:r>
        <w:rPr>
          <w:rFonts w:ascii="宋体" w:hAnsi="宋体" w:eastAsia="宋体" w:cs="Times New Roman"/>
          <w:color w:val="auto"/>
          <w:kern w:val="0"/>
          <w:szCs w:val="24"/>
          <w:highlight w:val="none"/>
        </w:rPr>
        <w:t>将余泥渣土运输任务分包</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，承包人和运输分包人应在余泥渣土运输分包合同中</w:t>
      </w:r>
      <w:r>
        <w:rPr>
          <w:rFonts w:hint="eastAsia" w:ascii="宋体" w:hAnsi="宋体" w:eastAsia="宋体" w:cs="Times New Roman"/>
          <w:color w:val="auto"/>
          <w:kern w:val="0"/>
          <w:szCs w:val="24"/>
          <w:highlight w:val="none"/>
        </w:rPr>
        <w:t>载明所有参加本工程</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的数量、证件、车牌号码、驾驶员姓名、驾驶证件等信息，并将名单报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备案。</w:t>
      </w:r>
    </w:p>
    <w:p w14:paraId="62142B5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对上述情形，如需改变已提交的车辆和驾驶员名单，承包人或运输分包人应在确定改变前7</w:t>
      </w:r>
      <w:r>
        <w:rPr>
          <w:rFonts w:hint="eastAsia" w:ascii="宋体" w:hAnsi="宋体" w:eastAsia="宋体" w:cs="Times New Roman"/>
          <w:color w:val="auto"/>
          <w:kern w:val="0"/>
          <w:szCs w:val="24"/>
          <w:highlight w:val="none"/>
        </w:rPr>
        <w:t>天</w:t>
      </w:r>
      <w:r>
        <w:rPr>
          <w:rFonts w:ascii="宋体" w:hAnsi="宋体" w:eastAsia="宋体" w:cs="Times New Roman"/>
          <w:color w:val="auto"/>
          <w:kern w:val="0"/>
          <w:szCs w:val="24"/>
          <w:highlight w:val="none"/>
        </w:rPr>
        <w:t>将拟改变的名单提交监理人审核确认。</w:t>
      </w:r>
    </w:p>
    <w:p w14:paraId="32F1BD3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t>若承包人违反</w:t>
      </w:r>
      <w:r>
        <w:rPr>
          <w:rFonts w:hint="eastAsia" w:ascii="宋体" w:hAnsi="宋体" w:eastAsia="宋体" w:cs="Times New Roman"/>
          <w:color w:val="auto"/>
          <w:kern w:val="0"/>
          <w:szCs w:val="24"/>
          <w:highlight w:val="none"/>
        </w:rPr>
        <w:t>本款</w:t>
      </w:r>
      <w:r>
        <w:rPr>
          <w:rFonts w:ascii="宋体" w:hAnsi="宋体" w:eastAsia="宋体" w:cs="Times New Roman"/>
          <w:color w:val="auto"/>
          <w:kern w:val="0"/>
          <w:szCs w:val="24"/>
          <w:highlight w:val="none"/>
        </w:rPr>
        <w:t>规定，应承担</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中约定的违约责任；对于车辆运输分包人违反上述规定，承包人亦应在运输分包合同中约定此违约责任</w:t>
      </w:r>
      <w:r>
        <w:rPr>
          <w:rFonts w:hint="eastAsia" w:ascii="宋体" w:hAnsi="宋体" w:eastAsia="宋体" w:cs="Times New Roman"/>
          <w:color w:val="auto"/>
          <w:kern w:val="0"/>
          <w:szCs w:val="24"/>
          <w:highlight w:val="none"/>
        </w:rPr>
        <w:t>，并承担连带责任</w:t>
      </w:r>
      <w:r>
        <w:rPr>
          <w:rFonts w:ascii="宋体" w:hAnsi="宋体" w:eastAsia="宋体" w:cs="Times New Roman"/>
          <w:color w:val="auto"/>
          <w:kern w:val="0"/>
          <w:szCs w:val="24"/>
          <w:highlight w:val="none"/>
        </w:rPr>
        <w:t>。</w:t>
      </w:r>
    </w:p>
    <w:p w14:paraId="22196D8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03" w:name="_Toc305331338"/>
      <w:bookmarkStart w:id="1804" w:name="_Toc4496"/>
      <w:bookmarkStart w:id="1805" w:name="_Toc302635826"/>
      <w:bookmarkStart w:id="1806" w:name="_Toc21730"/>
      <w:bookmarkStart w:id="1807" w:name="_Toc17045"/>
      <w:bookmarkStart w:id="1808" w:name="_Toc8299"/>
      <w:bookmarkStart w:id="1809" w:name="_Toc6864"/>
      <w:bookmarkStart w:id="1810" w:name="_Toc12928"/>
      <w:bookmarkStart w:id="1811" w:name="_Toc19888"/>
      <w:bookmarkStart w:id="1812" w:name="_Toc10780"/>
      <w:bookmarkStart w:id="1813" w:name="_Toc13391"/>
      <w:r>
        <w:rPr>
          <w:rFonts w:hint="eastAsia" w:ascii="宋体" w:hAnsi="宋体" w:eastAsia="宋体" w:cs="Times New Roman"/>
          <w:b/>
          <w:bCs/>
          <w:color w:val="auto"/>
          <w:kern w:val="0"/>
          <w:sz w:val="24"/>
          <w:szCs w:val="24"/>
          <w:highlight w:val="none"/>
          <w:lang w:val="en-US" w:eastAsia="zh-CN" w:bidi="ar-SA"/>
        </w:rPr>
        <w:t>专职检查人员</w:t>
      </w:r>
      <w:bookmarkEnd w:id="1803"/>
      <w:bookmarkEnd w:id="1804"/>
      <w:bookmarkEnd w:id="1805"/>
      <w:bookmarkEnd w:id="1806"/>
      <w:bookmarkEnd w:id="1807"/>
      <w:bookmarkEnd w:id="1808"/>
      <w:bookmarkEnd w:id="1809"/>
      <w:bookmarkEnd w:id="1810"/>
      <w:bookmarkEnd w:id="1811"/>
      <w:bookmarkEnd w:id="1812"/>
      <w:bookmarkEnd w:id="1813"/>
    </w:p>
    <w:p w14:paraId="531154DA">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承包人应安排专职检查人员对余泥渣土运输车辆和专职驾驶员依</w:t>
      </w: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合同约定的内容进行检查。对违反合同约定的检查结果，承包人应责令相关方限期整改。整改期间，整改所涉余泥渣土运输车辆不得承担本工程约定的运输任务。承包人安排的专职检查人员和检查内容在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中明确。</w:t>
      </w:r>
    </w:p>
    <w:p w14:paraId="286AE41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14" w:name="_Toc10610"/>
      <w:bookmarkStart w:id="1815" w:name="_Toc8525"/>
      <w:bookmarkStart w:id="1816" w:name="_Toc22352"/>
      <w:bookmarkStart w:id="1817" w:name="_Toc27034"/>
      <w:bookmarkStart w:id="1818" w:name="_Toc28616"/>
      <w:bookmarkStart w:id="1819" w:name="_Toc3459"/>
      <w:bookmarkStart w:id="1820" w:name="_Toc305331339"/>
      <w:bookmarkStart w:id="1821" w:name="_Toc302635827"/>
      <w:bookmarkStart w:id="1822" w:name="_Toc27952"/>
      <w:bookmarkStart w:id="1823" w:name="_Toc28380"/>
      <w:bookmarkStart w:id="1824" w:name="_Toc28786"/>
      <w:r>
        <w:rPr>
          <w:rFonts w:ascii="宋体" w:hAnsi="宋体" w:eastAsia="宋体" w:cs="Times New Roman"/>
          <w:b/>
          <w:bCs/>
          <w:color w:val="auto"/>
          <w:kern w:val="0"/>
          <w:sz w:val="24"/>
          <w:szCs w:val="24"/>
          <w:highlight w:val="none"/>
          <w:lang w:val="en-US" w:eastAsia="zh-CN" w:bidi="ar-SA"/>
        </w:rPr>
        <w:t>余泥渣土</w:t>
      </w:r>
      <w:r>
        <w:rPr>
          <w:rFonts w:hint="eastAsia" w:ascii="宋体" w:hAnsi="宋体" w:eastAsia="宋体" w:cs="Times New Roman"/>
          <w:b/>
          <w:bCs/>
          <w:color w:val="auto"/>
          <w:kern w:val="0"/>
          <w:sz w:val="24"/>
          <w:szCs w:val="24"/>
          <w:highlight w:val="none"/>
          <w:lang w:val="en-US" w:eastAsia="zh-CN" w:bidi="ar-SA"/>
        </w:rPr>
        <w:t>安全文明运输</w:t>
      </w:r>
      <w:bookmarkEnd w:id="1814"/>
      <w:bookmarkEnd w:id="1815"/>
      <w:bookmarkEnd w:id="1816"/>
      <w:bookmarkEnd w:id="1817"/>
      <w:bookmarkEnd w:id="1818"/>
      <w:bookmarkEnd w:id="1819"/>
      <w:bookmarkEnd w:id="1820"/>
      <w:bookmarkEnd w:id="1821"/>
      <w:bookmarkEnd w:id="1822"/>
      <w:bookmarkEnd w:id="1823"/>
      <w:bookmarkEnd w:id="1824"/>
    </w:p>
    <w:p w14:paraId="374A94FB">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对余泥渣土运输车辆在离开施工现场前核查是否存在超载、车盖密封不严等违反城市道路管理、环境保护等相关规定及安全隐患的问题。如发现上述问题，承包人应指派专职检查人员责令相关方采取纠正措施至符合相关规定和(或)合同约定。对存在问题拒不纠正或纠正仍不符合相关规定和(或)合同约定的，该专职检查人员不得放行其离开施工现场，并立即通知项目经理和余泥渣土运输分包人(如有)。若承包人对本款发现的问题拒不履行合同义务，将承担</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约定的违约责任</w:t>
      </w:r>
      <w:r>
        <w:rPr>
          <w:rFonts w:hint="eastAsia" w:ascii="宋体" w:hAnsi="宋体" w:eastAsia="宋体" w:cs="Times New Roman"/>
          <w:color w:val="auto"/>
          <w:kern w:val="0"/>
          <w:szCs w:val="24"/>
          <w:highlight w:val="none"/>
        </w:rPr>
        <w:t>。</w:t>
      </w:r>
    </w:p>
    <w:p w14:paraId="17775E1B">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825" w:name="_Toc3206"/>
      <w:bookmarkStart w:id="1826" w:name="_Toc302635828"/>
      <w:bookmarkStart w:id="1827" w:name="_Toc11072"/>
      <w:bookmarkStart w:id="1828" w:name="_Toc20817"/>
      <w:bookmarkStart w:id="1829" w:name="_Toc305331340"/>
      <w:bookmarkStart w:id="1830" w:name="_Toc7293"/>
      <w:bookmarkStart w:id="1831" w:name="_Toc9116"/>
      <w:bookmarkStart w:id="1832" w:name="_Toc3718"/>
      <w:bookmarkStart w:id="1833" w:name="_Toc26434"/>
      <w:bookmarkStart w:id="1834" w:name="_Toc29240"/>
      <w:bookmarkStart w:id="1835" w:name="_Toc25831"/>
      <w:r>
        <w:rPr>
          <w:rFonts w:hint="eastAsia" w:ascii="宋体" w:hAnsi="宋体" w:eastAsia="宋体" w:cs="Times New Roman"/>
          <w:b/>
          <w:bCs/>
          <w:color w:val="auto"/>
          <w:kern w:val="0"/>
          <w:sz w:val="24"/>
          <w:szCs w:val="24"/>
          <w:highlight w:val="none"/>
          <w:lang w:val="en-US" w:eastAsia="zh-CN" w:bidi="ar-SA"/>
        </w:rPr>
        <w:t>检查纠正责任</w:t>
      </w:r>
      <w:bookmarkEnd w:id="1825"/>
      <w:bookmarkEnd w:id="1826"/>
      <w:bookmarkEnd w:id="1827"/>
      <w:bookmarkEnd w:id="1828"/>
      <w:bookmarkEnd w:id="1829"/>
      <w:bookmarkEnd w:id="1830"/>
      <w:bookmarkEnd w:id="1831"/>
      <w:bookmarkEnd w:id="1832"/>
      <w:bookmarkEnd w:id="1833"/>
      <w:bookmarkEnd w:id="1834"/>
      <w:bookmarkEnd w:id="1835"/>
    </w:p>
    <w:p w14:paraId="682BEEF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承包人应对</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6</w:t>
      </w:r>
      <w:r>
        <w:rPr>
          <w:rFonts w:ascii="宋体" w:hAnsi="宋体" w:eastAsia="宋体" w:cs="Times New Roman"/>
          <w:color w:val="auto"/>
          <w:kern w:val="0"/>
          <w:szCs w:val="24"/>
          <w:highlight w:val="none"/>
        </w:rPr>
        <w:t>款和</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7</w:t>
      </w:r>
      <w:r>
        <w:rPr>
          <w:rFonts w:ascii="宋体" w:hAnsi="宋体" w:eastAsia="宋体" w:cs="Times New Roman"/>
          <w:color w:val="auto"/>
          <w:kern w:val="0"/>
          <w:szCs w:val="24"/>
          <w:highlight w:val="none"/>
        </w:rPr>
        <w:t>款约定的检查纠正工作制定专项工作程序，并监督和督促专职检查人员认真履行合同约定的职责。此项监督和督促并不免除承包人应承担的本合同义务。若承包人指定的专职检查人员</w:t>
      </w:r>
      <w:r>
        <w:rPr>
          <w:rFonts w:hint="eastAsia" w:ascii="宋体" w:hAnsi="宋体" w:eastAsia="宋体" w:cs="Times New Roman"/>
          <w:color w:val="auto"/>
          <w:kern w:val="0"/>
          <w:szCs w:val="24"/>
          <w:highlight w:val="none"/>
        </w:rPr>
        <w:t>未履行</w:t>
      </w:r>
      <w:r>
        <w:rPr>
          <w:rFonts w:ascii="宋体" w:hAnsi="宋体" w:eastAsia="宋体" w:cs="Times New Roman"/>
          <w:color w:val="auto"/>
          <w:kern w:val="0"/>
          <w:szCs w:val="24"/>
          <w:highlight w:val="none"/>
        </w:rPr>
        <w:t>合同约定的检查纠正职责，承包人应承担</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约定的违约责任。</w:t>
      </w:r>
    </w:p>
    <w:p w14:paraId="38DFCB04">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836" w:name="_Toc302635829"/>
      <w:bookmarkStart w:id="1837" w:name="_Toc12881"/>
      <w:bookmarkStart w:id="1838" w:name="_Toc11290"/>
      <w:bookmarkStart w:id="1839" w:name="_Toc16093"/>
      <w:bookmarkStart w:id="1840" w:name="_Toc2189"/>
      <w:bookmarkStart w:id="1841" w:name="_Toc9400"/>
      <w:bookmarkStart w:id="1842" w:name="_Toc23567"/>
      <w:bookmarkStart w:id="1843" w:name="_Toc30144"/>
      <w:bookmarkStart w:id="1844" w:name="_Toc19341"/>
      <w:bookmarkStart w:id="1845" w:name="_Toc9650"/>
      <w:r>
        <w:rPr>
          <w:rFonts w:hint="eastAsia" w:ascii="华文细黑" w:hAnsi="宋体" w:eastAsia="宋体" w:cs="Times New Roman"/>
          <w:b/>
          <w:bCs/>
          <w:snapToGrid w:val="0"/>
          <w:color w:val="auto"/>
          <w:kern w:val="0"/>
          <w:sz w:val="28"/>
          <w:szCs w:val="44"/>
          <w:highlight w:val="none"/>
          <w:lang w:val="en-US" w:eastAsia="zh-CN" w:bidi="ar-SA"/>
        </w:rPr>
        <w:t>工程的保护</w:t>
      </w:r>
      <w:bookmarkEnd w:id="1745"/>
      <w:bookmarkEnd w:id="1746"/>
      <w:bookmarkEnd w:id="1747"/>
      <w:bookmarkEnd w:id="1748"/>
      <w:bookmarkEnd w:id="1836"/>
      <w:bookmarkEnd w:id="1837"/>
      <w:bookmarkEnd w:id="1838"/>
      <w:bookmarkEnd w:id="1839"/>
      <w:bookmarkEnd w:id="1840"/>
      <w:bookmarkEnd w:id="1841"/>
      <w:bookmarkEnd w:id="1842"/>
      <w:bookmarkEnd w:id="1843"/>
      <w:bookmarkEnd w:id="1844"/>
      <w:bookmarkEnd w:id="1845"/>
    </w:p>
    <w:p w14:paraId="778C9D9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846" w:name="_Toc8839"/>
      <w:bookmarkStart w:id="1847" w:name="_Toc29981"/>
      <w:bookmarkStart w:id="1848" w:name="_Toc12816"/>
      <w:bookmarkStart w:id="1849" w:name="_Toc9445"/>
      <w:bookmarkStart w:id="1850" w:name="_Toc24838"/>
      <w:bookmarkStart w:id="1851" w:name="_Toc12187"/>
      <w:bookmarkStart w:id="1852" w:name="_Toc6031"/>
      <w:bookmarkStart w:id="1853" w:name="_Toc21707"/>
      <w:bookmarkStart w:id="1854" w:name="_Toc25288"/>
      <w:bookmarkStart w:id="1855" w:name="_Toc302635830"/>
      <w:bookmarkStart w:id="1856" w:name="_Toc305331342"/>
      <w:bookmarkStart w:id="1857" w:name="_Toc34909071"/>
      <w:r>
        <w:rPr>
          <w:rFonts w:hint="eastAsia" w:ascii="宋体" w:hAnsi="宋体" w:eastAsia="宋体" w:cs="Times New Roman"/>
          <w:b/>
          <w:bCs/>
          <w:color w:val="auto"/>
          <w:kern w:val="0"/>
          <w:sz w:val="24"/>
          <w:szCs w:val="24"/>
          <w:highlight w:val="none"/>
          <w:lang w:val="en-US" w:eastAsia="zh-CN" w:bidi="ar-SA"/>
        </w:rPr>
        <w:t>工程的保护</w:t>
      </w:r>
      <w:bookmarkEnd w:id="1846"/>
      <w:bookmarkEnd w:id="1847"/>
      <w:bookmarkEnd w:id="1848"/>
      <w:bookmarkEnd w:id="1849"/>
      <w:bookmarkEnd w:id="1850"/>
      <w:bookmarkEnd w:id="1851"/>
      <w:bookmarkEnd w:id="1852"/>
      <w:bookmarkEnd w:id="1853"/>
      <w:bookmarkEnd w:id="1854"/>
      <w:bookmarkEnd w:id="1855"/>
      <w:bookmarkEnd w:id="1856"/>
    </w:p>
    <w:p w14:paraId="08E134B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从开工之日起，承包人应全面负责照管本工程及将用于和安装在本工程中的材料、设备，直到本工程交接证书签发之日止。此后，上述照管责任即交给发包人。如在整个工程交接证书颁发前，已就其中任何单项工程颁发了交接证书，则从交接证书签发之日起承包人无须对该单项工程负责保护，而转由发包人负责。但是，承包人对其在缺陷责任期内承担的尚未完成的工程和将用于和安装在工程中的材料、设备的照管负责，直到该工程完工为止。</w:t>
      </w:r>
    </w:p>
    <w:p w14:paraId="0B1176C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⑵本款所述照管责任是指照管责任人应对因丢失、盗失、毁损等行为引起的材料、设备使用状态和存在状态不符合合同约定承担修复、赔偿、损失自担等责任。</w:t>
      </w:r>
      <w:bookmarkEnd w:id="1857"/>
    </w:p>
    <w:p w14:paraId="7A7FF72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58" w:name="_Toc25523"/>
      <w:bookmarkStart w:id="1859" w:name="_Toc6904"/>
      <w:bookmarkStart w:id="1860" w:name="_Toc1759"/>
      <w:bookmarkStart w:id="1861" w:name="_Toc6943"/>
      <w:bookmarkStart w:id="1862" w:name="_Toc302635831"/>
      <w:bookmarkStart w:id="1863" w:name="_Toc17761"/>
      <w:bookmarkStart w:id="1864" w:name="_Toc720"/>
      <w:bookmarkStart w:id="1865" w:name="_Toc20052"/>
      <w:bookmarkStart w:id="1866" w:name="_Toc2257"/>
      <w:bookmarkStart w:id="1867" w:name="_Toc24740"/>
      <w:bookmarkStart w:id="1868" w:name="_Toc305331343"/>
      <w:bookmarkStart w:id="1869" w:name="_Toc34909073"/>
      <w:bookmarkStart w:id="1870" w:name="_Toc34909072"/>
      <w:r>
        <w:rPr>
          <w:rFonts w:hint="eastAsia" w:ascii="宋体" w:hAnsi="宋体" w:eastAsia="宋体" w:cs="Times New Roman"/>
          <w:b/>
          <w:bCs/>
          <w:color w:val="auto"/>
          <w:kern w:val="0"/>
          <w:sz w:val="24"/>
          <w:szCs w:val="24"/>
          <w:highlight w:val="none"/>
          <w:lang w:val="en-US" w:eastAsia="zh-CN" w:bidi="ar-SA"/>
        </w:rPr>
        <w:t>成品、半成品保护</w:t>
      </w:r>
      <w:bookmarkEnd w:id="1858"/>
      <w:bookmarkEnd w:id="1859"/>
      <w:bookmarkEnd w:id="1860"/>
      <w:bookmarkEnd w:id="1861"/>
      <w:bookmarkEnd w:id="1862"/>
      <w:bookmarkEnd w:id="1863"/>
      <w:bookmarkEnd w:id="1864"/>
      <w:bookmarkEnd w:id="1865"/>
      <w:bookmarkEnd w:id="1866"/>
      <w:bookmarkEnd w:id="1867"/>
      <w:bookmarkEnd w:id="1868"/>
    </w:p>
    <w:p w14:paraId="1F7539C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对工程中分期完成的成品、半成品，在工程竣工移交前，承包人负保护责任，任何其他分包人对其使用或在其基础上施工，必须得到承包人的许可。对</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确认因承包人保护措施不当造成的损坏，由承包人负责修复；对分包人在施工过程中造成的损坏由责任人负责修复。</w:t>
      </w:r>
      <w:bookmarkEnd w:id="1869"/>
    </w:p>
    <w:p w14:paraId="524E0CC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71" w:name="_Toc1888"/>
      <w:bookmarkStart w:id="1872" w:name="_Toc9590"/>
      <w:bookmarkStart w:id="1873" w:name="_Toc10593"/>
      <w:bookmarkStart w:id="1874" w:name="_Toc305331344"/>
      <w:bookmarkStart w:id="1875" w:name="_Toc24139"/>
      <w:bookmarkStart w:id="1876" w:name="_Toc12370"/>
      <w:bookmarkStart w:id="1877" w:name="_Toc19172"/>
      <w:bookmarkStart w:id="1878" w:name="_Toc13174"/>
      <w:bookmarkStart w:id="1879" w:name="_Toc9242"/>
      <w:bookmarkStart w:id="1880" w:name="_Toc29876"/>
      <w:bookmarkStart w:id="1881" w:name="_Toc302635832"/>
      <w:r>
        <w:rPr>
          <w:rFonts w:hint="eastAsia" w:ascii="宋体" w:hAnsi="宋体" w:eastAsia="宋体" w:cs="Times New Roman"/>
          <w:b/>
          <w:bCs/>
          <w:color w:val="auto"/>
          <w:kern w:val="0"/>
          <w:sz w:val="24"/>
          <w:szCs w:val="24"/>
          <w:highlight w:val="none"/>
          <w:lang w:val="en-US" w:eastAsia="zh-CN" w:bidi="ar-SA"/>
        </w:rPr>
        <w:t>工程的修复</w:t>
      </w:r>
      <w:bookmarkEnd w:id="1871"/>
      <w:bookmarkEnd w:id="1872"/>
      <w:bookmarkEnd w:id="1873"/>
      <w:bookmarkEnd w:id="1874"/>
      <w:bookmarkEnd w:id="1875"/>
      <w:bookmarkEnd w:id="1876"/>
      <w:bookmarkEnd w:id="1877"/>
      <w:bookmarkEnd w:id="1878"/>
      <w:bookmarkEnd w:id="1879"/>
      <w:bookmarkEnd w:id="1880"/>
      <w:bookmarkEnd w:id="1881"/>
    </w:p>
    <w:p w14:paraId="483B912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在负责照管期间，如因承包人自身或(和)第三方原因造成本工程或其任何部分，以及材料、设备、装备、临时工程的毁损，承包人均应自费弥补上述损坏、损失或损伤，以使工程在各方面都符合合同约定的标准。</w:t>
      </w:r>
      <w:bookmarkEnd w:id="1870"/>
    </w:p>
    <w:p w14:paraId="0C3BC926">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882" w:name="_Toc35656991"/>
      <w:bookmarkStart w:id="1883" w:name="_Toc35656489"/>
      <w:bookmarkStart w:id="1884" w:name="_Toc34909075"/>
      <w:bookmarkStart w:id="1885" w:name="_Toc2455"/>
      <w:bookmarkStart w:id="1886" w:name="_Toc25874"/>
      <w:bookmarkStart w:id="1887" w:name="_Toc302635833"/>
      <w:bookmarkStart w:id="1888" w:name="_Toc16402"/>
      <w:bookmarkStart w:id="1889" w:name="_Toc20130"/>
      <w:bookmarkStart w:id="1890" w:name="_Toc305331345"/>
      <w:bookmarkStart w:id="1891" w:name="_Toc2638"/>
      <w:bookmarkStart w:id="1892" w:name="_Toc31970"/>
      <w:bookmarkStart w:id="1893" w:name="_Toc19678"/>
      <w:bookmarkStart w:id="1894" w:name="_Toc27625"/>
      <w:bookmarkStart w:id="1895" w:name="_Toc24092"/>
      <w:r>
        <w:rPr>
          <w:rFonts w:hint="eastAsia" w:ascii="华文细黑" w:hAnsi="宋体" w:eastAsia="宋体" w:cs="Times New Roman"/>
          <w:b/>
          <w:bCs/>
          <w:snapToGrid w:val="0"/>
          <w:color w:val="auto"/>
          <w:kern w:val="0"/>
          <w:sz w:val="28"/>
          <w:szCs w:val="44"/>
          <w:highlight w:val="none"/>
          <w:lang w:val="en-US" w:eastAsia="zh-CN" w:bidi="ar-SA"/>
        </w:rPr>
        <w:t>合同</w:t>
      </w:r>
      <w:bookmarkEnd w:id="1882"/>
      <w:bookmarkEnd w:id="1883"/>
      <w:bookmarkEnd w:id="1884"/>
      <w:r>
        <w:rPr>
          <w:rFonts w:hint="eastAsia" w:ascii="华文细黑" w:hAnsi="宋体" w:eastAsia="宋体" w:cs="Times New Roman"/>
          <w:b/>
          <w:bCs/>
          <w:snapToGrid w:val="0"/>
          <w:color w:val="auto"/>
          <w:kern w:val="0"/>
          <w:sz w:val="28"/>
          <w:szCs w:val="44"/>
          <w:highlight w:val="none"/>
          <w:lang w:val="en-US" w:eastAsia="zh-CN" w:bidi="ar-SA"/>
        </w:rPr>
        <w:t>价格的确定和调整</w:t>
      </w:r>
      <w:bookmarkEnd w:id="1885"/>
      <w:bookmarkEnd w:id="1886"/>
      <w:bookmarkEnd w:id="1887"/>
      <w:bookmarkEnd w:id="1888"/>
      <w:bookmarkEnd w:id="1889"/>
      <w:bookmarkEnd w:id="1890"/>
      <w:bookmarkEnd w:id="1891"/>
      <w:bookmarkEnd w:id="1892"/>
      <w:bookmarkEnd w:id="1893"/>
      <w:bookmarkEnd w:id="1894"/>
      <w:bookmarkEnd w:id="1895"/>
    </w:p>
    <w:p w14:paraId="2BFA9AD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896" w:name="_Toc6310"/>
      <w:bookmarkStart w:id="1897" w:name="_Toc8693"/>
      <w:bookmarkStart w:id="1898" w:name="_Toc19337"/>
      <w:bookmarkStart w:id="1899" w:name="_Toc302635834"/>
      <w:bookmarkStart w:id="1900" w:name="_Toc1979"/>
      <w:bookmarkStart w:id="1901" w:name="_Toc9807"/>
      <w:bookmarkStart w:id="1902" w:name="_Toc6350"/>
      <w:bookmarkStart w:id="1903" w:name="_Toc305331346"/>
      <w:bookmarkStart w:id="1904" w:name="_Toc14423"/>
      <w:bookmarkStart w:id="1905" w:name="_Toc24313"/>
      <w:bookmarkStart w:id="1906" w:name="_Toc30899"/>
      <w:bookmarkStart w:id="1907" w:name="_Toc34909076"/>
      <w:r>
        <w:rPr>
          <w:rFonts w:hint="eastAsia" w:ascii="宋体" w:hAnsi="宋体" w:eastAsia="宋体" w:cs="Times New Roman"/>
          <w:b/>
          <w:bCs/>
          <w:color w:val="auto"/>
          <w:kern w:val="0"/>
          <w:sz w:val="24"/>
          <w:szCs w:val="24"/>
          <w:highlight w:val="none"/>
          <w:lang w:val="en-US" w:eastAsia="zh-CN" w:bidi="ar-SA"/>
        </w:rPr>
        <w:t>签约合同价的确定</w:t>
      </w:r>
      <w:bookmarkEnd w:id="1896"/>
      <w:bookmarkEnd w:id="1897"/>
      <w:bookmarkEnd w:id="1898"/>
      <w:bookmarkEnd w:id="1899"/>
      <w:bookmarkEnd w:id="1900"/>
      <w:bookmarkEnd w:id="1901"/>
      <w:bookmarkEnd w:id="1902"/>
      <w:bookmarkEnd w:id="1903"/>
      <w:bookmarkEnd w:id="1904"/>
      <w:bookmarkEnd w:id="1905"/>
      <w:bookmarkEnd w:id="1906"/>
    </w:p>
    <w:p w14:paraId="02495FF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⑴本工程签约合同价由发包人和承包人依据中标通知书中的中标价(即承包人的投标报价)在本合同协议书中约定。签约合同价在本合同协议书中约定后，任何一方不得擅自改变。</w:t>
      </w:r>
    </w:p>
    <w:p w14:paraId="2C7E87D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⑵本合同采用</w:t>
      </w:r>
      <w:r>
        <w:rPr>
          <w:rFonts w:hint="eastAsia" w:ascii="宋体" w:hAnsi="宋体" w:eastAsia="宋体" w:cs="Times New Roman"/>
          <w:b/>
          <w:color w:val="auto"/>
          <w:kern w:val="0"/>
          <w:szCs w:val="24"/>
          <w:highlight w:val="none"/>
        </w:rPr>
        <w:t>固定单价</w:t>
      </w:r>
      <w:r>
        <w:rPr>
          <w:rFonts w:hint="eastAsia" w:ascii="宋体" w:hAnsi="宋体" w:eastAsia="宋体" w:cs="Times New Roman"/>
          <w:color w:val="auto"/>
          <w:kern w:val="0"/>
          <w:szCs w:val="24"/>
          <w:highlight w:val="none"/>
        </w:rPr>
        <w:t>的合同形式。承包人投标报价中的</w:t>
      </w:r>
      <w:r>
        <w:rPr>
          <w:rFonts w:hint="eastAsia" w:ascii="Times New Roman" w:hAnsi="Times New Roman" w:eastAsia="宋体" w:cs="Times New Roman"/>
          <w:color w:val="auto"/>
          <w:szCs w:val="21"/>
          <w:highlight w:val="none"/>
        </w:rPr>
        <w:t>工程量清单项目单价</w:t>
      </w:r>
      <w:r>
        <w:rPr>
          <w:rFonts w:hint="eastAsia" w:ascii="宋体" w:hAnsi="宋体" w:eastAsia="宋体" w:cs="Times New Roman"/>
          <w:color w:val="auto"/>
          <w:kern w:val="0"/>
          <w:szCs w:val="24"/>
          <w:highlight w:val="none"/>
        </w:rPr>
        <w:t>即为构成签约合同价的项目单价。除本合同另有约定，构成签约合同价的项目单价一经发包人和承包人签订合同确定后不作调整。</w:t>
      </w:r>
    </w:p>
    <w:p w14:paraId="54894B1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承发包双方应在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中约定综合单价包含的风险范围</w:t>
      </w:r>
      <w:r>
        <w:rPr>
          <w:rFonts w:hint="eastAsia" w:ascii="宋体" w:hAnsi="宋体" w:eastAsia="宋体" w:cs="Times New Roman"/>
          <w:color w:val="auto"/>
          <w:kern w:val="0"/>
          <w:szCs w:val="24"/>
          <w:highlight w:val="none"/>
        </w:rPr>
        <w:t>。</w:t>
      </w:r>
    </w:p>
    <w:p w14:paraId="42AE1EF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⑷除合同另有约定以外，按照国家现行税法和有关部门现行规定，承包人或其分包人需缴纳的一切税金和费用，均应由承包人或其分包人承担并支付。</w:t>
      </w:r>
      <w:bookmarkEnd w:id="1907"/>
    </w:p>
    <w:p w14:paraId="52B91B7A">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08" w:name="_Toc21013"/>
      <w:bookmarkStart w:id="1909" w:name="_Toc18103"/>
      <w:bookmarkStart w:id="1910" w:name="_Toc16239"/>
      <w:bookmarkStart w:id="1911" w:name="_Toc302635835"/>
      <w:bookmarkStart w:id="1912" w:name="_Toc305331347"/>
      <w:bookmarkStart w:id="1913" w:name="_Toc30773"/>
      <w:bookmarkStart w:id="1914" w:name="_Toc1373"/>
      <w:bookmarkStart w:id="1915" w:name="_Toc12392"/>
      <w:bookmarkStart w:id="1916" w:name="_Toc13570"/>
      <w:bookmarkStart w:id="1917" w:name="_Toc13714"/>
      <w:bookmarkStart w:id="1918" w:name="_Toc27262"/>
      <w:r>
        <w:rPr>
          <w:rFonts w:hint="eastAsia" w:ascii="宋体" w:hAnsi="宋体" w:eastAsia="宋体" w:cs="Times New Roman"/>
          <w:b/>
          <w:bCs/>
          <w:color w:val="auto"/>
          <w:kern w:val="0"/>
          <w:sz w:val="24"/>
          <w:szCs w:val="24"/>
          <w:highlight w:val="none"/>
          <w:lang w:val="en-US" w:eastAsia="zh-CN" w:bidi="ar-SA"/>
        </w:rPr>
        <w:t>合同价格的调整</w:t>
      </w:r>
      <w:bookmarkEnd w:id="1908"/>
      <w:bookmarkEnd w:id="1909"/>
      <w:bookmarkEnd w:id="1910"/>
      <w:bookmarkEnd w:id="1911"/>
      <w:bookmarkEnd w:id="1912"/>
      <w:bookmarkEnd w:id="1913"/>
      <w:bookmarkEnd w:id="1914"/>
      <w:bookmarkEnd w:id="1915"/>
      <w:bookmarkEnd w:id="1916"/>
      <w:bookmarkEnd w:id="1917"/>
      <w:bookmarkEnd w:id="1918"/>
    </w:p>
    <w:p w14:paraId="6F68EFC2">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 xml:space="preserve">发生以下情形，合同价格可作调整： </w:t>
      </w:r>
    </w:p>
    <w:p w14:paraId="48C1D4B4">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⑴按照第13条确定的提前竣工、延期竣工及赶工补偿；</w:t>
      </w:r>
    </w:p>
    <w:p w14:paraId="25823630">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 xml:space="preserve">⑵按照第20.3款确定的法律、法规的变化； </w:t>
      </w:r>
    </w:p>
    <w:p w14:paraId="42D83308">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⑶按照第20.4款确定工料机调差；</w:t>
      </w:r>
    </w:p>
    <w:p w14:paraId="15B921C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⑷按照第21条确定的暂估价、暂列金额；</w:t>
      </w:r>
    </w:p>
    <w:p w14:paraId="35133061">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⑸按照第22条确定的工程量清单缺项、项目特征不符；</w:t>
      </w:r>
    </w:p>
    <w:p w14:paraId="4377926A">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⑹按照第24、25条确定的工程变更、签证、工程量偏差以及价值工程费用或收益；</w:t>
      </w:r>
    </w:p>
    <w:p w14:paraId="58ED14C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⑺按照第2</w:t>
      </w:r>
      <w:r>
        <w:rPr>
          <w:rFonts w:hint="eastAsia" w:ascii="宋体" w:hAnsi="宋体" w:eastAsia="宋体" w:cs="Times New Roman"/>
          <w:color w:val="auto"/>
          <w:kern w:val="0"/>
          <w:szCs w:val="24"/>
          <w:highlight w:val="none"/>
          <w:lang w:val="en-US" w:eastAsia="zh-CN"/>
        </w:rPr>
        <w:t>9</w:t>
      </w:r>
      <w:r>
        <w:rPr>
          <w:rFonts w:hint="eastAsia" w:ascii="宋体" w:hAnsi="宋体" w:eastAsia="宋体" w:cs="Times New Roman"/>
          <w:color w:val="auto"/>
          <w:kern w:val="0"/>
          <w:szCs w:val="24"/>
          <w:highlight w:val="none"/>
        </w:rPr>
        <w:t>条及本合同其它条款中确定的违约责任；</w:t>
      </w:r>
    </w:p>
    <w:p w14:paraId="590E1171">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⑻按照第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条确定的费用索赔事件；</w:t>
      </w:r>
    </w:p>
    <w:p w14:paraId="3C61FD60">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⑼按照第3</w:t>
      </w:r>
      <w:r>
        <w:rPr>
          <w:rFonts w:hint="eastAsia" w:ascii="宋体" w:hAnsi="宋体" w:eastAsia="宋体" w:cs="Times New Roman"/>
          <w:color w:val="auto"/>
          <w:kern w:val="0"/>
          <w:szCs w:val="24"/>
          <w:highlight w:val="none"/>
          <w:lang w:val="en-US" w:eastAsia="zh-CN"/>
        </w:rPr>
        <w:t>3</w:t>
      </w:r>
      <w:r>
        <w:rPr>
          <w:rFonts w:hint="eastAsia" w:ascii="宋体" w:hAnsi="宋体" w:eastAsia="宋体" w:cs="Times New Roman"/>
          <w:color w:val="auto"/>
          <w:kern w:val="0"/>
          <w:szCs w:val="24"/>
          <w:highlight w:val="none"/>
        </w:rPr>
        <w:t>条确定的应由发包人承担的不可抗力损失费用；</w:t>
      </w:r>
    </w:p>
    <w:p w14:paraId="7B037F3A">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⑽市</w:t>
      </w:r>
      <w:r>
        <w:rPr>
          <w:rFonts w:ascii="宋体" w:hAnsi="宋体" w:eastAsia="宋体" w:cs="Times New Roman"/>
          <w:color w:val="auto"/>
          <w:kern w:val="0"/>
          <w:szCs w:val="24"/>
          <w:highlight w:val="none"/>
        </w:rPr>
        <w:t>工程造价管理机构</w:t>
      </w:r>
      <w:r>
        <w:rPr>
          <w:rFonts w:hint="eastAsia" w:ascii="宋体" w:hAnsi="宋体" w:eastAsia="宋体" w:cs="Times New Roman"/>
          <w:color w:val="auto"/>
          <w:kern w:val="0"/>
          <w:szCs w:val="24"/>
          <w:highlight w:val="none"/>
        </w:rPr>
        <w:t>发布</w:t>
      </w:r>
      <w:r>
        <w:rPr>
          <w:rFonts w:ascii="宋体" w:hAnsi="宋体" w:eastAsia="宋体" w:cs="Times New Roman"/>
          <w:color w:val="auto"/>
          <w:kern w:val="0"/>
          <w:szCs w:val="24"/>
          <w:highlight w:val="none"/>
        </w:rPr>
        <w:t>的</w:t>
      </w:r>
      <w:r>
        <w:rPr>
          <w:rFonts w:hint="eastAsia" w:ascii="宋体" w:hAnsi="宋体" w:eastAsia="宋体" w:cs="Times New Roman"/>
          <w:color w:val="auto"/>
          <w:kern w:val="0"/>
          <w:szCs w:val="24"/>
          <w:highlight w:val="none"/>
        </w:rPr>
        <w:t>工程造价</w:t>
      </w:r>
      <w:r>
        <w:rPr>
          <w:rFonts w:ascii="宋体" w:hAnsi="宋体" w:eastAsia="宋体" w:cs="Times New Roman"/>
          <w:color w:val="auto"/>
          <w:kern w:val="0"/>
          <w:szCs w:val="24"/>
          <w:highlight w:val="none"/>
        </w:rPr>
        <w:t>调整</w:t>
      </w:r>
      <w:r>
        <w:rPr>
          <w:rFonts w:hint="eastAsia" w:ascii="宋体" w:hAnsi="宋体" w:eastAsia="宋体" w:cs="Times New Roman"/>
          <w:color w:val="auto"/>
          <w:kern w:val="0"/>
          <w:szCs w:val="24"/>
          <w:highlight w:val="none"/>
        </w:rPr>
        <w:t>政策；</w:t>
      </w:r>
    </w:p>
    <w:p w14:paraId="7B90DEF9">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⑾本合同条款以及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约定的其他调整因素。</w:t>
      </w:r>
    </w:p>
    <w:p w14:paraId="6B84948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19" w:name="_Toc26130"/>
      <w:bookmarkStart w:id="1920" w:name="_Toc794"/>
      <w:bookmarkStart w:id="1921" w:name="_Toc3823"/>
      <w:bookmarkStart w:id="1922" w:name="_Toc12617"/>
      <w:bookmarkStart w:id="1923" w:name="_Toc27663"/>
      <w:bookmarkStart w:id="1924" w:name="_Toc26406"/>
      <w:bookmarkStart w:id="1925" w:name="_Toc302635836"/>
      <w:bookmarkStart w:id="1926" w:name="_Toc21879"/>
      <w:bookmarkStart w:id="1927" w:name="_Toc20309"/>
      <w:bookmarkStart w:id="1928" w:name="_Toc19997"/>
      <w:bookmarkStart w:id="1929" w:name="_Toc305331348"/>
      <w:r>
        <w:rPr>
          <w:rFonts w:hint="eastAsia" w:ascii="宋体" w:hAnsi="宋体" w:eastAsia="宋体" w:cs="Times New Roman"/>
          <w:b/>
          <w:bCs/>
          <w:color w:val="auto"/>
          <w:kern w:val="0"/>
          <w:sz w:val="24"/>
          <w:szCs w:val="24"/>
          <w:highlight w:val="none"/>
          <w:lang w:val="en-US" w:eastAsia="zh-CN" w:bidi="ar-SA"/>
        </w:rPr>
        <w:t>法律法规的改变</w:t>
      </w:r>
      <w:bookmarkEnd w:id="1919"/>
      <w:bookmarkEnd w:id="1920"/>
      <w:bookmarkEnd w:id="1921"/>
      <w:bookmarkEnd w:id="1922"/>
      <w:bookmarkEnd w:id="1923"/>
      <w:bookmarkEnd w:id="1924"/>
      <w:bookmarkEnd w:id="1925"/>
      <w:bookmarkEnd w:id="1926"/>
      <w:bookmarkEnd w:id="1927"/>
      <w:bookmarkEnd w:id="1928"/>
      <w:bookmarkEnd w:id="1929"/>
    </w:p>
    <w:p w14:paraId="15E96D3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⑴基准日期后,因国家法律、法规、规章和政策的改变对合同价格产生影响的,合同价格应作调整。发包人和承包人应根据法律法规改变造成的实际影响，按照市工程造价管理机构发布的相应办法进行调整。</w:t>
      </w:r>
    </w:p>
    <w:p w14:paraId="6C2F54B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⑵按前款情形对合同价格进行调整时，因承包人原因导致工期延误的，在本合同约定竣工日期之后，合同价格调增的不予调整，合同价格调减的予以调整。</w:t>
      </w:r>
      <w:r>
        <w:rPr>
          <w:rFonts w:ascii="宋体" w:hAnsi="宋体" w:eastAsia="宋体" w:cs="Times New Roman"/>
          <w:color w:val="auto"/>
          <w:kern w:val="0"/>
          <w:szCs w:val="24"/>
          <w:highlight w:val="none"/>
        </w:rPr>
        <w:t xml:space="preserve"> </w:t>
      </w:r>
    </w:p>
    <w:p w14:paraId="1D788E1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因承包人原因造成工期延误，在工期延误期间出现法律变化的，由此增加的费用和（或）延误的工期由承包人承担。</w:t>
      </w:r>
    </w:p>
    <w:p w14:paraId="6DBF7A1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⑷因法律变化引起的合同价格和工期调整，承发包双方无法达成一致的，按第3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条〔争议解决〕处理。</w:t>
      </w:r>
    </w:p>
    <w:p w14:paraId="4797769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930" w:name="_Toc305331349"/>
      <w:bookmarkStart w:id="1931" w:name="_Toc2133"/>
      <w:bookmarkStart w:id="1932" w:name="_Toc302635837"/>
      <w:bookmarkStart w:id="1933" w:name="_Toc2583"/>
      <w:bookmarkStart w:id="1934" w:name="_Toc18958"/>
      <w:bookmarkStart w:id="1935" w:name="_Toc12012"/>
      <w:bookmarkStart w:id="1936" w:name="_Toc3296"/>
      <w:bookmarkStart w:id="1937" w:name="_Toc32634"/>
      <w:bookmarkStart w:id="1938" w:name="_Toc19288"/>
      <w:bookmarkStart w:id="1939" w:name="_Toc32120"/>
      <w:bookmarkStart w:id="1940" w:name="_Toc17482"/>
      <w:r>
        <w:rPr>
          <w:rFonts w:hint="eastAsia" w:ascii="宋体" w:hAnsi="宋体" w:eastAsia="宋体" w:cs="Times New Roman"/>
          <w:b/>
          <w:bCs/>
          <w:color w:val="auto"/>
          <w:kern w:val="0"/>
          <w:sz w:val="24"/>
          <w:szCs w:val="24"/>
          <w:highlight w:val="none"/>
          <w:lang w:val="en-US" w:eastAsia="zh-CN" w:bidi="ar-SA"/>
        </w:rPr>
        <w:t>工料机调差</w:t>
      </w:r>
      <w:bookmarkEnd w:id="1930"/>
      <w:bookmarkEnd w:id="1931"/>
      <w:bookmarkEnd w:id="1932"/>
      <w:bookmarkEnd w:id="1933"/>
      <w:bookmarkEnd w:id="1934"/>
      <w:bookmarkEnd w:id="1935"/>
      <w:bookmarkEnd w:id="1936"/>
      <w:bookmarkEnd w:id="1937"/>
      <w:bookmarkEnd w:id="1938"/>
      <w:bookmarkEnd w:id="1939"/>
      <w:bookmarkEnd w:id="1940"/>
    </w:p>
    <w:p w14:paraId="1B5B132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⑴承包人应充分考虑本工程施工期间因材料或劳务市场价格波动等任何有可能引起施工成本增加的风险(本合同约定可调差情形除外)，并不得据此提出索赔。</w:t>
      </w:r>
    </w:p>
    <w:p w14:paraId="0510967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另有约定外，由于非承包人原因引起的用于本工程的人工、主要材料及机械使用的价格波动超过</w:t>
      </w:r>
      <w:r>
        <w:rPr>
          <w:rFonts w:hint="eastAsia" w:ascii="宋体" w:hAnsi="宋体" w:eastAsia="宋体" w:cs="Times New Roman"/>
          <w:b/>
          <w:color w:val="auto"/>
          <w:kern w:val="0"/>
          <w:szCs w:val="24"/>
          <w:highlight w:val="none"/>
        </w:rPr>
        <w:t>±5%</w:t>
      </w:r>
      <w:r>
        <w:rPr>
          <w:rFonts w:hint="eastAsia" w:ascii="宋体" w:hAnsi="宋体" w:eastAsia="宋体" w:cs="Times New Roman"/>
          <w:color w:val="auto"/>
          <w:kern w:val="0"/>
          <w:szCs w:val="24"/>
          <w:highlight w:val="none"/>
        </w:rPr>
        <w:t>时，其超过部分的合同价格应按20.5款、20.6款方法在与其相关的工程完工后一次性进行调整。</w:t>
      </w:r>
    </w:p>
    <w:p w14:paraId="02A6ED9D">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941" w:name="_Toc34909079"/>
      <w:r>
        <w:rPr>
          <w:rFonts w:hint="eastAsia" w:ascii="宋体" w:hAnsi="宋体" w:eastAsia="宋体" w:cs="Times New Roman"/>
          <w:color w:val="auto"/>
          <w:kern w:val="0"/>
          <w:szCs w:val="24"/>
          <w:highlight w:val="none"/>
        </w:rPr>
        <w:t>⑶主要材料是指用于本工程的某种材料价格总额达到签约合同价</w:t>
      </w:r>
      <w:r>
        <w:rPr>
          <w:rFonts w:hint="eastAsia" w:ascii="宋体" w:hAnsi="宋体" w:eastAsia="宋体" w:cs="Times New Roman"/>
          <w:b/>
          <w:color w:val="auto"/>
          <w:kern w:val="0"/>
          <w:szCs w:val="24"/>
          <w:highlight w:val="none"/>
        </w:rPr>
        <w:t>5%</w:t>
      </w:r>
      <w:r>
        <w:rPr>
          <w:rFonts w:hint="eastAsia" w:ascii="宋体" w:hAnsi="宋体" w:eastAsia="宋体" w:cs="Times New Roman"/>
          <w:color w:val="auto"/>
          <w:kern w:val="0"/>
          <w:szCs w:val="24"/>
          <w:highlight w:val="none"/>
        </w:rPr>
        <w:t>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约定比例及以上的材料。</w:t>
      </w:r>
    </w:p>
    <w:p w14:paraId="7457F4F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⑷发包人和承包人可根据本工程的具体实际，在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w:t>
      </w:r>
      <w:r>
        <w:rPr>
          <w:rFonts w:hint="eastAsia" w:ascii="宋体" w:hAnsi="宋体" w:eastAsia="宋体" w:cs="Times New Roman"/>
          <w:color w:val="auto"/>
          <w:szCs w:val="24"/>
          <w:highlight w:val="none"/>
        </w:rPr>
        <w:t>用于本工程的未达到20.4</w:t>
      </w:r>
      <w:r>
        <w:rPr>
          <w:rFonts w:hint="eastAsia" w:ascii="宋体" w:hAnsi="宋体" w:eastAsia="宋体" w:cs="Times New Roman"/>
          <w:color w:val="auto"/>
          <w:kern w:val="0"/>
          <w:szCs w:val="24"/>
          <w:highlight w:val="none"/>
        </w:rPr>
        <w:t>⑶</w:t>
      </w:r>
      <w:r>
        <w:rPr>
          <w:rFonts w:hint="eastAsia" w:ascii="宋体" w:hAnsi="宋体" w:eastAsia="宋体" w:cs="Times New Roman"/>
          <w:color w:val="auto"/>
          <w:szCs w:val="24"/>
          <w:highlight w:val="none"/>
        </w:rPr>
        <w:t>款约定比例的其它材料中</w:t>
      </w:r>
      <w:r>
        <w:rPr>
          <w:rFonts w:hint="eastAsia" w:ascii="宋体" w:hAnsi="宋体" w:eastAsia="宋体" w:cs="Times New Roman"/>
          <w:color w:val="auto"/>
          <w:kern w:val="0"/>
          <w:szCs w:val="24"/>
          <w:highlight w:val="none"/>
        </w:rPr>
        <w:t>可调差的材料种类。</w:t>
      </w:r>
    </w:p>
    <w:p w14:paraId="6434CCFD">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⑸工料机调差费用部分应按《深圳市建设工程计价规程》计取规费和税金，不计企业管理费和利润。工料机调差费用应按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的约定进行计算和支付。</w:t>
      </w:r>
    </w:p>
    <w:p w14:paraId="40903FE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42" w:name="_Toc302635838"/>
      <w:bookmarkStart w:id="1943" w:name="_Toc30599"/>
      <w:bookmarkStart w:id="1944" w:name="_Toc22870"/>
      <w:bookmarkStart w:id="1945" w:name="_Toc30343"/>
      <w:bookmarkStart w:id="1946" w:name="_Toc5398"/>
      <w:bookmarkStart w:id="1947" w:name="_Toc11209"/>
      <w:bookmarkStart w:id="1948" w:name="_Toc12667"/>
      <w:bookmarkStart w:id="1949" w:name="_Toc7024"/>
      <w:bookmarkStart w:id="1950" w:name="_Toc7511"/>
      <w:bookmarkStart w:id="1951" w:name="_Toc27119"/>
      <w:r>
        <w:rPr>
          <w:rFonts w:hint="eastAsia" w:ascii="宋体" w:hAnsi="宋体" w:eastAsia="宋体" w:cs="Times New Roman"/>
          <w:b/>
          <w:bCs/>
          <w:color w:val="auto"/>
          <w:kern w:val="0"/>
          <w:sz w:val="24"/>
          <w:szCs w:val="24"/>
          <w:highlight w:val="none"/>
          <w:lang w:val="en-US" w:eastAsia="zh-CN" w:bidi="ar-SA"/>
        </w:rPr>
        <w:t>材料调差</w:t>
      </w:r>
      <w:bookmarkEnd w:id="1942"/>
      <w:r>
        <w:rPr>
          <w:rFonts w:hint="eastAsia" w:ascii="宋体" w:hAnsi="宋体" w:eastAsia="宋体" w:cs="Times New Roman"/>
          <w:b/>
          <w:bCs/>
          <w:color w:val="auto"/>
          <w:kern w:val="0"/>
          <w:sz w:val="24"/>
          <w:szCs w:val="24"/>
          <w:highlight w:val="none"/>
          <w:lang w:val="en-US" w:eastAsia="zh-CN" w:bidi="ar-SA"/>
        </w:rPr>
        <w:t>方法</w:t>
      </w:r>
      <w:bookmarkEnd w:id="1943"/>
      <w:bookmarkEnd w:id="1944"/>
      <w:bookmarkEnd w:id="1945"/>
      <w:bookmarkEnd w:id="1946"/>
      <w:bookmarkEnd w:id="1947"/>
      <w:bookmarkEnd w:id="1948"/>
      <w:bookmarkEnd w:id="1949"/>
      <w:bookmarkEnd w:id="1950"/>
      <w:bookmarkEnd w:id="1951"/>
    </w:p>
    <w:p w14:paraId="1945FF2E">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按照20.4⑶、⑷款确定的可调差材料发生价格波动时，可在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中约定一种调差方式：</w:t>
      </w:r>
    </w:p>
    <w:p w14:paraId="43138ED5">
      <w:pPr>
        <w:tabs>
          <w:tab w:val="left" w:pos="1620"/>
          <w:tab w:val="left" w:pos="2340"/>
        </w:tabs>
        <w:snapToGrid w:val="0"/>
        <w:ind w:firstLine="1050" w:firstLineChars="500"/>
        <w:rPr>
          <w:rFonts w:ascii="宋体" w:hAnsi="宋体" w:eastAsia="宋体" w:cs="Times New Roman"/>
          <w:color w:val="auto"/>
          <w:szCs w:val="24"/>
          <w:highlight w:val="none"/>
        </w:rPr>
      </w:pPr>
      <w:r>
        <w:rPr>
          <w:rFonts w:hint="eastAsia" w:ascii="宋体" w:hAnsi="宋体" w:eastAsia="宋体" w:cs="Times New Roman"/>
          <w:color w:val="auto"/>
          <w:szCs w:val="24"/>
          <w:highlight w:val="none"/>
        </w:rPr>
        <w:t>当</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时：</w:t>
      </w:r>
    </w:p>
    <w:p w14:paraId="67BBBF41">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①</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Cambria" w:hAnsi="Cambria" w:eastAsia="宋体" w:cs="Times New Roman"/>
          <w:i/>
          <w:color w:val="auto"/>
          <w:sz w:val="24"/>
          <w:szCs w:val="24"/>
          <w:highlight w:val="none"/>
        </w:rPr>
        <w:t>，</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 w:val="24"/>
          <w:szCs w:val="24"/>
          <w:highlight w:val="none"/>
        </w:rPr>
        <w:t>＞1.05</w:t>
      </w:r>
      <w:r>
        <w:rPr>
          <w:rFonts w:hint="eastAsia" w:ascii="宋体" w:hAnsi="宋体" w:eastAsia="宋体" w:cs="Times New Roman"/>
          <w:color w:val="auto"/>
          <w:szCs w:val="24"/>
          <w:highlight w:val="none"/>
        </w:rPr>
        <w:t>，则：</w:t>
      </w:r>
    </w:p>
    <w:p w14:paraId="646BA0D8">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增</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 w:val="24"/>
          <w:szCs w:val="24"/>
          <w:highlight w:val="none"/>
        </w:rPr>
        <w:t>－1.05)</w:t>
      </w:r>
    </w:p>
    <w:p w14:paraId="7D749162">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②</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＞1.05</w:t>
      </w:r>
      <w:r>
        <w:rPr>
          <w:rFonts w:hint="eastAsia" w:ascii="宋体" w:hAnsi="宋体" w:eastAsia="宋体" w:cs="Times New Roman"/>
          <w:color w:val="auto"/>
          <w:szCs w:val="24"/>
          <w:highlight w:val="none"/>
        </w:rPr>
        <w:t>，则：</w:t>
      </w:r>
    </w:p>
    <w:p w14:paraId="48BD1865">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增</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－1.05)</w:t>
      </w:r>
    </w:p>
    <w:p w14:paraId="3D485996">
      <w:pPr>
        <w:tabs>
          <w:tab w:val="left" w:pos="1620"/>
          <w:tab w:val="left" w:pos="2340"/>
        </w:tabs>
        <w:snapToGrid w:val="0"/>
        <w:spacing w:before="156"/>
        <w:ind w:firstLine="1050" w:firstLineChars="500"/>
        <w:rPr>
          <w:rFonts w:ascii="宋体" w:hAnsi="宋体" w:eastAsia="宋体" w:cs="Times New Roman"/>
          <w:color w:val="auto"/>
          <w:szCs w:val="24"/>
          <w:highlight w:val="none"/>
        </w:rPr>
      </w:pPr>
      <w:r>
        <w:rPr>
          <w:rFonts w:hint="eastAsia" w:ascii="宋体" w:hAnsi="宋体" w:eastAsia="宋体" w:cs="Times New Roman"/>
          <w:color w:val="auto"/>
          <w:szCs w:val="24"/>
          <w:highlight w:val="none"/>
        </w:rPr>
        <w:t>当</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时：</w:t>
      </w:r>
    </w:p>
    <w:p w14:paraId="7C7F4DFB">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①</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color w:val="auto"/>
          <w:sz w:val="24"/>
          <w:szCs w:val="24"/>
          <w:highlight w:val="none"/>
        </w:rPr>
        <w:t>＜</w:t>
      </w:r>
      <w:r>
        <w:rPr>
          <w:rFonts w:hint="eastAsia" w:ascii="宋体" w:hAnsi="宋体" w:eastAsia="宋体" w:cs="Times New Roman"/>
          <w:color w:val="auto"/>
          <w:sz w:val="24"/>
          <w:szCs w:val="24"/>
          <w:highlight w:val="none"/>
        </w:rPr>
        <w:t>0.95</w:t>
      </w:r>
      <w:r>
        <w:rPr>
          <w:rFonts w:hint="eastAsia" w:ascii="宋体" w:hAnsi="宋体" w:eastAsia="宋体" w:cs="Times New Roman"/>
          <w:color w:val="auto"/>
          <w:szCs w:val="24"/>
          <w:highlight w:val="none"/>
        </w:rPr>
        <w:t>，则：</w:t>
      </w:r>
    </w:p>
    <w:p w14:paraId="35CA8FA9">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减</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×(0.95－</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p>
    <w:p w14:paraId="5AB3EEBD">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②</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ascii="Times New Roman" w:hAnsi="Times New Roman" w:eastAsia="宋体" w:cs="Times New Roman"/>
          <w:color w:val="auto"/>
          <w:szCs w:val="24"/>
          <w:highlight w:val="none"/>
        </w:rPr>
        <w:t xml:space="preserve">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Cambria" w:hAnsi="Cambria" w:eastAsia="宋体" w:cs="Times New Roman"/>
          <w:color w:val="auto"/>
          <w:sz w:val="24"/>
          <w:szCs w:val="24"/>
          <w:highlight w:val="none"/>
        </w:rPr>
        <w:t>＜</w:t>
      </w:r>
      <w:r>
        <w:rPr>
          <w:rFonts w:ascii="宋体" w:hAnsi="宋体" w:eastAsia="宋体" w:cs="Times New Roman"/>
          <w:color w:val="auto"/>
          <w:sz w:val="24"/>
          <w:szCs w:val="24"/>
          <w:highlight w:val="none"/>
        </w:rPr>
        <w:t>0.95</w:t>
      </w:r>
      <w:r>
        <w:rPr>
          <w:rFonts w:hint="eastAsia" w:ascii="宋体" w:hAnsi="宋体" w:eastAsia="宋体" w:cs="Times New Roman"/>
          <w:color w:val="auto"/>
          <w:szCs w:val="24"/>
          <w:highlight w:val="none"/>
        </w:rPr>
        <w:t>，则：</w:t>
      </w:r>
    </w:p>
    <w:p w14:paraId="28CA1491">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减</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×(0.95－</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 w:val="24"/>
          <w:szCs w:val="24"/>
          <w:highlight w:val="none"/>
        </w:rPr>
        <w:t>)</w:t>
      </w:r>
    </w:p>
    <w:p w14:paraId="6B828CCE">
      <w:pPr>
        <w:tabs>
          <w:tab w:val="left" w:pos="1620"/>
          <w:tab w:val="left" w:pos="2340"/>
        </w:tabs>
        <w:spacing w:before="156"/>
        <w:ind w:left="1260"/>
        <w:rPr>
          <w:rFonts w:hint="eastAsia" w:ascii="宋体" w:hAnsi="宋体" w:eastAsia="宋体" w:cs="Times New Roman"/>
          <w:color w:val="auto"/>
          <w:szCs w:val="24"/>
          <w:highlight w:val="none"/>
        </w:rPr>
      </w:pPr>
      <w:r>
        <w:rPr>
          <w:rFonts w:hint="eastAsia" w:ascii="宋体" w:hAnsi="宋体" w:eastAsia="宋体" w:cs="Times New Roman"/>
          <w:color w:val="auto"/>
          <w:szCs w:val="24"/>
          <w:highlight w:val="none"/>
        </w:rPr>
        <w:t>式中：</w:t>
      </w:r>
    </w:p>
    <w:p w14:paraId="46B1BD6C">
      <w:pPr>
        <w:tabs>
          <w:tab w:val="left" w:pos="1620"/>
          <w:tab w:val="left" w:pos="2340"/>
        </w:tabs>
        <w:snapToGrid w:val="0"/>
        <w:ind w:left="1440"/>
        <w:rPr>
          <w:rFonts w:hint="eastAsia" w:ascii="宋体" w:hAnsi="宋体" w:eastAsia="宋体" w:cs="Times New Roman"/>
          <w:color w:val="auto"/>
          <w:szCs w:val="24"/>
          <w:highlight w:val="none"/>
        </w:rPr>
      </w:pP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Cs w:val="24"/>
          <w:highlight w:val="none"/>
        </w:rPr>
        <w:t>－投标截止日期前35天的当月或</w:t>
      </w:r>
      <w:r>
        <w:rPr>
          <w:rFonts w:hint="eastAsia" w:ascii="宋体" w:hAnsi="宋体" w:eastAsia="宋体" w:cs="Times New Roman"/>
          <w:b/>
          <w:i/>
          <w:color w:val="auto"/>
          <w:szCs w:val="24"/>
          <w:highlight w:val="none"/>
        </w:rPr>
        <w:t>专用条款</w:t>
      </w:r>
      <w:r>
        <w:rPr>
          <w:rFonts w:hint="eastAsia" w:ascii="宋体" w:hAnsi="宋体" w:eastAsia="宋体" w:cs="Times New Roman"/>
          <w:color w:val="auto"/>
          <w:szCs w:val="24"/>
          <w:highlight w:val="none"/>
        </w:rPr>
        <w:t>约定月份《深圳建设工程价格信息》某材料价格。示例：投标截止日期如果是2018年5月5日，前35天为3月31日，则</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Cs w:val="24"/>
          <w:highlight w:val="none"/>
        </w:rPr>
        <w:t>对应的信息价是指2018年3月《深圳建设工程价格信息》。投标截止日期如果是2018年5月6日，前35天为4月1日，则</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Cs w:val="24"/>
          <w:highlight w:val="none"/>
        </w:rPr>
        <w:t>对应的信息价是指2018年4月《深圳建设工程价格信息》。</w:t>
      </w:r>
    </w:p>
    <w:p w14:paraId="35C3C9D2">
      <w:pPr>
        <w:tabs>
          <w:tab w:val="left" w:pos="1620"/>
          <w:tab w:val="left" w:pos="2340"/>
        </w:tabs>
        <w:snapToGrid w:val="0"/>
        <w:ind w:left="1440"/>
        <w:rPr>
          <w:rFonts w:ascii="宋体" w:hAnsi="宋体" w:eastAsia="宋体" w:cs="Times New Roman"/>
          <w:color w:val="auto"/>
          <w:szCs w:val="24"/>
          <w:highlight w:val="none"/>
        </w:rPr>
      </w:pP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t</w:t>
      </w:r>
      <w:r>
        <w:rPr>
          <w:rFonts w:hint="eastAsia" w:ascii="宋体" w:hAnsi="宋体" w:eastAsia="宋体" w:cs="Times New Roman"/>
          <w:color w:val="auto"/>
          <w:szCs w:val="24"/>
          <w:highlight w:val="none"/>
        </w:rPr>
        <w:t>－承包人投标文件商务标书中某材料的投标单价，如投标报价中无法确认某材料的单价时，则P</w:t>
      </w:r>
      <w:r>
        <w:rPr>
          <w:rFonts w:hint="eastAsia" w:ascii="宋体" w:hAnsi="宋体" w:eastAsia="宋体" w:cs="Times New Roman"/>
          <w:color w:val="auto"/>
          <w:szCs w:val="24"/>
          <w:highlight w:val="none"/>
          <w:vertAlign w:val="subscript"/>
        </w:rPr>
        <w:t>t</w:t>
      </w:r>
      <w:r>
        <w:rPr>
          <w:rFonts w:hint="eastAsia" w:ascii="宋体" w:hAnsi="宋体" w:eastAsia="宋体" w:cs="Times New Roman"/>
          <w:color w:val="auto"/>
          <w:szCs w:val="24"/>
          <w:highlight w:val="none"/>
        </w:rPr>
        <w:t>取值为P</w:t>
      </w:r>
      <w:r>
        <w:rPr>
          <w:rFonts w:hint="eastAsia" w:ascii="宋体" w:hAnsi="宋体" w:eastAsia="宋体" w:cs="Times New Roman"/>
          <w:color w:val="auto"/>
          <w:szCs w:val="24"/>
          <w:highlight w:val="none"/>
          <w:vertAlign w:val="subscript"/>
        </w:rPr>
        <w:t>0</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（1-中标净下浮率）；</w:t>
      </w:r>
    </w:p>
    <w:p w14:paraId="2B39741F">
      <w:pPr>
        <w:tabs>
          <w:tab w:val="left" w:pos="1620"/>
          <w:tab w:val="left" w:pos="2340"/>
        </w:tabs>
        <w:snapToGrid w:val="0"/>
        <w:ind w:left="1440"/>
        <w:rPr>
          <w:rFonts w:ascii="宋体" w:hAnsi="宋体" w:eastAsia="宋体" w:cs="Times New Roman"/>
          <w:color w:val="auto"/>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增</w:t>
      </w:r>
      <w:r>
        <w:rPr>
          <w:rFonts w:hint="eastAsia" w:ascii="宋体" w:hAnsi="宋体" w:eastAsia="宋体" w:cs="Times New Roman"/>
          <w:color w:val="auto"/>
          <w:szCs w:val="24"/>
          <w:highlight w:val="none"/>
        </w:rPr>
        <w:t>－调增合同价格；</w:t>
      </w:r>
    </w:p>
    <w:p w14:paraId="447AC918">
      <w:pPr>
        <w:tabs>
          <w:tab w:val="left" w:pos="1620"/>
          <w:tab w:val="left" w:pos="2340"/>
        </w:tabs>
        <w:snapToGrid w:val="0"/>
        <w:ind w:left="1440"/>
        <w:rPr>
          <w:rFonts w:ascii="宋体" w:hAnsi="宋体" w:eastAsia="宋体" w:cs="Times New Roman"/>
          <w:color w:val="auto"/>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减</w:t>
      </w:r>
      <w:r>
        <w:rPr>
          <w:rFonts w:hint="eastAsia" w:ascii="宋体" w:hAnsi="宋体" w:eastAsia="宋体" w:cs="Times New Roman"/>
          <w:color w:val="auto"/>
          <w:szCs w:val="24"/>
          <w:highlight w:val="none"/>
        </w:rPr>
        <w:t>－调减合同价格；</w:t>
      </w:r>
    </w:p>
    <w:p w14:paraId="34E61EDB">
      <w:pPr>
        <w:tabs>
          <w:tab w:val="left" w:pos="1620"/>
          <w:tab w:val="left" w:pos="2340"/>
        </w:tabs>
        <w:snapToGrid w:val="0"/>
        <w:ind w:left="1440"/>
        <w:rPr>
          <w:rFonts w:hint="eastAsia" w:ascii="宋体" w:hAnsi="宋体" w:eastAsia="宋体" w:cs="Times New Roman"/>
          <w:color w:val="auto"/>
          <w:szCs w:val="24"/>
          <w:highlight w:val="none"/>
        </w:rPr>
      </w:pP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Cs w:val="24"/>
          <w:highlight w:val="none"/>
        </w:rPr>
        <w:t>－本项目已完工程合格产品的某材料总用量（其中消耗量因素在</w:t>
      </w:r>
      <w:r>
        <w:rPr>
          <w:rFonts w:hint="eastAsia" w:ascii="宋体" w:hAnsi="宋体" w:eastAsia="宋体" w:cs="Times New Roman"/>
          <w:b/>
          <w:i/>
          <w:color w:val="auto"/>
          <w:szCs w:val="24"/>
          <w:highlight w:val="none"/>
        </w:rPr>
        <w:t>专用条款</w:t>
      </w:r>
      <w:r>
        <w:rPr>
          <w:rFonts w:hint="eastAsia" w:ascii="宋体" w:hAnsi="宋体" w:eastAsia="宋体" w:cs="Times New Roman"/>
          <w:color w:val="auto"/>
          <w:szCs w:val="24"/>
          <w:highlight w:val="none"/>
        </w:rPr>
        <w:t>约定）。</w:t>
      </w:r>
    </w:p>
    <w:p w14:paraId="57BC0455">
      <w:pPr>
        <w:tabs>
          <w:tab w:val="left" w:pos="1620"/>
          <w:tab w:val="left" w:pos="2340"/>
        </w:tabs>
        <w:snapToGrid w:val="0"/>
        <w:spacing w:before="156" w:beforeLines="50"/>
        <w:ind w:firstLine="1440" w:firstLineChars="600"/>
        <w:rPr>
          <w:rFonts w:hint="eastAsia" w:ascii="宋体" w:hAnsi="宋体" w:eastAsia="宋体" w:cs="Times New Roman"/>
          <w:color w:val="auto"/>
          <w:kern w:val="0"/>
          <w:szCs w:val="24"/>
          <w:highlight w:val="none"/>
        </w:rPr>
      </w:pP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hint="eastAsia" w:ascii="宋体" w:hAnsi="宋体" w:eastAsia="宋体" w:cs="Times New Roman"/>
          <w:color w:val="auto"/>
          <w:szCs w:val="24"/>
          <w:highlight w:val="none"/>
        </w:rPr>
        <w:t>－</w:t>
      </w:r>
      <w:r>
        <w:rPr>
          <w:rFonts w:ascii="Times New Roman" w:hAnsi="Times New Roman" w:eastAsia="宋体" w:cs="Times New Roman"/>
          <w:color w:val="auto"/>
          <w:szCs w:val="24"/>
          <w:highlight w:val="none"/>
        </w:rPr>
        <w:t>计算</w:t>
      </w:r>
      <w:r>
        <w:rPr>
          <w:rFonts w:hint="eastAsia" w:ascii="Times New Roman" w:hAnsi="Times New Roman" w:eastAsia="宋体" w:cs="Times New Roman"/>
          <w:color w:val="auto"/>
          <w:szCs w:val="24"/>
          <w:highlight w:val="none"/>
        </w:rPr>
        <w:t>方式如下（或按</w:t>
      </w:r>
      <w:r>
        <w:rPr>
          <w:rFonts w:ascii="宋体" w:hAnsi="宋体" w:eastAsia="宋体" w:cs="Times New Roman"/>
          <w:b/>
          <w:i/>
          <w:color w:val="auto"/>
          <w:szCs w:val="24"/>
          <w:highlight w:val="none"/>
        </w:rPr>
        <w:t>专用条款</w:t>
      </w:r>
      <w:r>
        <w:rPr>
          <w:rFonts w:ascii="Times New Roman" w:hAnsi="Times New Roman" w:eastAsia="宋体" w:cs="Times New Roman"/>
          <w:color w:val="auto"/>
          <w:szCs w:val="24"/>
          <w:highlight w:val="none"/>
        </w:rPr>
        <w:t>中约定</w:t>
      </w:r>
      <w:r>
        <w:rPr>
          <w:rFonts w:hint="eastAsia" w:ascii="Times New Roman" w:hAnsi="Times New Roman" w:eastAsia="宋体" w:cs="Times New Roman"/>
          <w:color w:val="auto"/>
          <w:szCs w:val="24"/>
          <w:highlight w:val="none"/>
        </w:rPr>
        <w:t>的</w:t>
      </w:r>
      <w:r>
        <w:rPr>
          <w:rFonts w:ascii="Times New Roman" w:hAnsi="Times New Roman" w:eastAsia="宋体" w:cs="Times New Roman"/>
          <w:color w:val="auto"/>
          <w:szCs w:val="24"/>
          <w:highlight w:val="none"/>
        </w:rPr>
        <w:t>方法</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w:t>
      </w:r>
    </w:p>
    <w:p w14:paraId="348E215C">
      <w:pPr>
        <w:tabs>
          <w:tab w:val="left" w:pos="1620"/>
          <w:tab w:val="left" w:pos="2340"/>
        </w:tabs>
        <w:snapToGrid w:val="0"/>
        <w:spacing w:before="156" w:beforeLines="50"/>
        <w:ind w:firstLine="1200" w:firstLineChars="500"/>
        <w:rPr>
          <w:rFonts w:ascii="宋体" w:hAnsi="宋体" w:eastAsia="宋体" w:cs="Times New Roman"/>
          <w:color w:val="auto"/>
          <w:kern w:val="0"/>
          <w:szCs w:val="24"/>
          <w:highlight w:val="none"/>
        </w:rPr>
      </w:pPr>
      <w:r>
        <w:rPr>
          <w:rFonts w:hint="eastAsia" w:ascii="Cambria" w:hAnsi="Cambria" w:eastAsia="宋体" w:cs="Times New Roman"/>
          <w:color w:val="auto"/>
          <w:sz w:val="24"/>
          <w:szCs w:val="24"/>
          <w:highlight w:val="none"/>
        </w:rPr>
        <w:t>①</w:t>
      </w:r>
      <w:r>
        <w:rPr>
          <w:rFonts w:hint="eastAsia" w:ascii="宋体" w:hAnsi="宋体" w:eastAsia="宋体" w:cs="Times New Roman"/>
          <w:color w:val="auto"/>
          <w:kern w:val="0"/>
          <w:szCs w:val="24"/>
          <w:highlight w:val="none"/>
        </w:rPr>
        <w:t>加权平均法：</w:t>
      </w:r>
    </w:p>
    <w:p w14:paraId="331D0E5F">
      <w:pPr>
        <w:snapToGrid w:val="0"/>
        <w:ind w:left="1440"/>
        <w:rPr>
          <w:rFonts w:ascii="宋体" w:hAnsi="宋体" w:eastAsia="宋体" w:cs="Times New Roman"/>
          <w:color w:val="auto"/>
          <w:kern w:val="0"/>
          <w:szCs w:val="24"/>
          <w:highlight w:val="none"/>
        </w:rPr>
      </w:pP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ascii="Times New Roman" w:hAnsi="Times New Roman" w:eastAsia="宋体" w:cs="Times New Roman"/>
          <w:color w:val="auto"/>
          <w:szCs w:val="24"/>
          <w:highlight w:val="none"/>
        </w:rPr>
        <w:t xml:space="preserve"> </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施工期加权平均价格，即</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，其中Q</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Cs w:val="24"/>
          <w:highlight w:val="none"/>
        </w:rPr>
        <w:t>为施工期第i个月某材料用量（消耗量因素在</w:t>
      </w:r>
      <w:r>
        <w:rPr>
          <w:rFonts w:hint="eastAsia" w:ascii="宋体" w:hAnsi="宋体" w:eastAsia="宋体" w:cs="Times New Roman"/>
          <w:b/>
          <w:i/>
          <w:color w:val="auto"/>
          <w:szCs w:val="24"/>
          <w:highlight w:val="none"/>
        </w:rPr>
        <w:t>专用条款</w:t>
      </w:r>
      <w:r>
        <w:rPr>
          <w:rFonts w:hint="eastAsia" w:ascii="宋体" w:hAnsi="宋体" w:eastAsia="宋体" w:cs="Times New Roman"/>
          <w:color w:val="auto"/>
          <w:szCs w:val="24"/>
          <w:highlight w:val="none"/>
        </w:rPr>
        <w:t>约定）；</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Cs w:val="24"/>
          <w:highlight w:val="none"/>
        </w:rPr>
        <w:t>为施工期第i个月当月《深圳建设工程价格信息》某材料价格。例如施工期第i个月是2018年6月，则对应2018年6月《深圳建设工程价格信息》。</w:t>
      </w:r>
    </w:p>
    <w:p w14:paraId="5FAAC6D4">
      <w:pPr>
        <w:tabs>
          <w:tab w:val="left" w:pos="1620"/>
          <w:tab w:val="left" w:pos="2340"/>
        </w:tabs>
        <w:snapToGrid w:val="0"/>
        <w:spacing w:before="156" w:beforeLines="5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或者②</w:t>
      </w:r>
      <w:r>
        <w:rPr>
          <w:rFonts w:hint="eastAsia" w:ascii="宋体" w:hAnsi="宋体" w:eastAsia="宋体" w:cs="Times New Roman"/>
          <w:color w:val="auto"/>
          <w:szCs w:val="24"/>
          <w:highlight w:val="none"/>
        </w:rPr>
        <w:t>算术平均法：</w:t>
      </w:r>
    </w:p>
    <w:p w14:paraId="5F0CC8C6">
      <w:pPr>
        <w:snapToGrid w:val="0"/>
        <w:ind w:left="1440"/>
        <w:rPr>
          <w:rFonts w:hint="eastAsia" w:ascii="宋体" w:hAnsi="宋体" w:eastAsia="宋体" w:cs="Times New Roman"/>
          <w:color w:val="auto"/>
          <w:szCs w:val="24"/>
          <w:highlight w:val="none"/>
        </w:rPr>
      </w:pP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ascii="Times New Roman" w:hAnsi="Times New Roman" w:eastAsia="宋体" w:cs="Times New Roman"/>
          <w:color w:val="auto"/>
          <w:szCs w:val="24"/>
          <w:highlight w:val="none"/>
        </w:rPr>
        <w:t xml:space="preserve"> </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本工程有某材料投入月份对应《深圳建设工程价格信息》某材料价格的算术平均值。例如有某材料投入月份是指2018年6月至8月，则对应2018年6月至8月《深圳建设工程价格信息》某材料价格之和除以3。</w:t>
      </w:r>
    </w:p>
    <w:p w14:paraId="5533E875">
      <w:pPr>
        <w:snapToGrid w:val="0"/>
        <w:ind w:left="1440"/>
        <w:rPr>
          <w:rFonts w:hint="eastAsia" w:ascii="宋体" w:hAnsi="宋体" w:eastAsia="宋体" w:cs="Times New Roman"/>
          <w:color w:val="auto"/>
          <w:szCs w:val="24"/>
          <w:highlight w:val="none"/>
          <w:lang w:eastAsia="zh-CN"/>
        </w:rPr>
      </w:pPr>
    </w:p>
    <w:p w14:paraId="47A520ED">
      <w:pPr>
        <w:snapToGrid w:val="0"/>
        <w:ind w:left="1440"/>
        <w:rPr>
          <w:rFonts w:hint="eastAsia" w:ascii="宋体" w:hAnsi="宋体" w:eastAsia="宋体" w:cs="Times New Roman"/>
          <w:color w:val="auto"/>
          <w:szCs w:val="24"/>
          <w:highlight w:val="none"/>
        </w:rPr>
      </w:pPr>
      <w:r>
        <w:rPr>
          <w:rFonts w:hint="eastAsia" w:ascii="宋体" w:hAnsi="宋体" w:eastAsia="宋体" w:cs="Times New Roman"/>
          <w:color w:val="auto"/>
          <w:szCs w:val="24"/>
          <w:highlight w:val="none"/>
        </w:rPr>
        <w:t>如按照本合同20.4⑶、⑷款确定的可调差材料价格在《深圳建设工程价格信息》未发布的，发包人和承包人应在</w:t>
      </w:r>
      <w:r>
        <w:rPr>
          <w:rFonts w:hint="eastAsia" w:ascii="宋体" w:hAnsi="宋体" w:eastAsia="宋体" w:cs="Times New Roman"/>
          <w:b/>
          <w:bCs/>
          <w:i/>
          <w:iCs/>
          <w:color w:val="auto"/>
          <w:szCs w:val="24"/>
          <w:highlight w:val="none"/>
        </w:rPr>
        <w:t>专用条款</w:t>
      </w:r>
      <w:r>
        <w:rPr>
          <w:rFonts w:hint="eastAsia" w:ascii="宋体" w:hAnsi="宋体" w:eastAsia="宋体" w:cs="Times New Roman"/>
          <w:color w:val="auto"/>
          <w:szCs w:val="24"/>
          <w:highlight w:val="none"/>
        </w:rPr>
        <w:t>明确调差方式。</w:t>
      </w:r>
    </w:p>
    <w:p w14:paraId="44C1010C">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952" w:name="_Toc302635839"/>
      <w:bookmarkStart w:id="1953" w:name="_Toc15008"/>
      <w:bookmarkStart w:id="1954" w:name="_Toc24464"/>
      <w:bookmarkStart w:id="1955" w:name="_Toc25061"/>
      <w:bookmarkStart w:id="1956" w:name="_Toc3934"/>
      <w:bookmarkStart w:id="1957" w:name="_Toc13298"/>
      <w:bookmarkStart w:id="1958" w:name="_Toc2973"/>
      <w:bookmarkStart w:id="1959" w:name="_Toc9843"/>
      <w:bookmarkStart w:id="1960" w:name="_Toc21767"/>
      <w:bookmarkStart w:id="1961" w:name="_Toc26309"/>
      <w:r>
        <w:rPr>
          <w:rFonts w:hint="eastAsia" w:ascii="宋体" w:hAnsi="宋体" w:eastAsia="宋体" w:cs="Times New Roman"/>
          <w:b/>
          <w:bCs/>
          <w:color w:val="auto"/>
          <w:kern w:val="0"/>
          <w:sz w:val="24"/>
          <w:szCs w:val="24"/>
          <w:highlight w:val="none"/>
          <w:lang w:val="en-US" w:eastAsia="zh-CN" w:bidi="ar-SA"/>
        </w:rPr>
        <w:t>人工、机械使用调差</w:t>
      </w:r>
      <w:bookmarkEnd w:id="1952"/>
      <w:r>
        <w:rPr>
          <w:rFonts w:hint="eastAsia" w:ascii="宋体" w:hAnsi="宋体" w:eastAsia="宋体" w:cs="Times New Roman"/>
          <w:b/>
          <w:bCs/>
          <w:color w:val="auto"/>
          <w:kern w:val="0"/>
          <w:sz w:val="24"/>
          <w:szCs w:val="24"/>
          <w:highlight w:val="none"/>
          <w:lang w:val="en-US" w:eastAsia="zh-CN" w:bidi="ar-SA"/>
        </w:rPr>
        <w:t>方法</w:t>
      </w:r>
      <w:bookmarkEnd w:id="1953"/>
      <w:bookmarkEnd w:id="1954"/>
      <w:bookmarkEnd w:id="1955"/>
      <w:bookmarkEnd w:id="1956"/>
      <w:bookmarkEnd w:id="1957"/>
      <w:bookmarkEnd w:id="1958"/>
      <w:bookmarkEnd w:id="1959"/>
      <w:bookmarkEnd w:id="1960"/>
      <w:bookmarkEnd w:id="1961"/>
    </w:p>
    <w:p w14:paraId="3F3EC715">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⑴用于本工程的机械使用发生价格波动时，按照20.5款调差公式，将公式中的材料价格替换为机械使用价格，调整合同价格。</w:t>
      </w:r>
    </w:p>
    <w:p w14:paraId="37CE61F7">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⑵用于本工程的人工发生价格波动时，可在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中约定一种调差方式：</w:t>
      </w:r>
    </w:p>
    <w:p w14:paraId="4E06B902">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①按照20.5款调差公式，将公式中的材料价格替换为人工价格，调整合同价格。其中，</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kern w:val="0"/>
          <w:szCs w:val="24"/>
          <w:highlight w:val="none"/>
        </w:rPr>
        <w:t>为投标截止日期前35天的当月或专用条款约定月份《深圳建设工程价格信息》某人工定额工日价格；</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kern w:val="0"/>
          <w:szCs w:val="24"/>
          <w:highlight w:val="none"/>
        </w:rPr>
        <w:t>为施工期第i个月《深圳建设工程价格信息》某人工定额工日价格。或；</w:t>
      </w:r>
    </w:p>
    <w:p w14:paraId="79EBC3F9">
      <w:pPr>
        <w:snapToGrid w:val="0"/>
        <w:ind w:firstLine="945" w:firstLineChars="450"/>
        <w:rPr>
          <w:rFonts w:ascii="Calibri" w:hAnsi="Calibri" w:eastAsia="宋体" w:cs="Times New Roman"/>
          <w:color w:val="auto"/>
          <w:szCs w:val="22"/>
          <w:highlight w:val="none"/>
        </w:rPr>
      </w:pPr>
      <w:r>
        <w:rPr>
          <w:rFonts w:hint="eastAsia" w:ascii="宋体" w:hAnsi="宋体" w:eastAsia="宋体" w:cs="Times New Roman"/>
          <w:color w:val="auto"/>
          <w:szCs w:val="21"/>
          <w:highlight w:val="none"/>
        </w:rPr>
        <w:t>②按照人工费指数调差：</w:t>
      </w:r>
    </w:p>
    <w:p w14:paraId="58847520">
      <w:pPr>
        <w:snapToGrid w:val="0"/>
        <w:ind w:firstLine="945" w:firstLineChars="450"/>
        <w:rPr>
          <w:rFonts w:ascii="宋体" w:hAnsi="宋体" w:eastAsia="宋体" w:cs="Times New Roman"/>
          <w:color w:val="auto"/>
          <w:szCs w:val="21"/>
          <w:highlight w:val="none"/>
        </w:rPr>
      </w:pPr>
      <w:r>
        <w:rPr>
          <w:rFonts w:ascii="宋体" w:hAnsi="宋体" w:eastAsia="宋体" w:cs="Times New Roman"/>
          <w:color w:val="auto"/>
          <w:szCs w:val="21"/>
          <w:highlight w:val="none"/>
        </w:rPr>
        <w:t>当</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ascii="宋体" w:hAnsi="宋体" w:eastAsia="宋体" w:cs="Times New Roman"/>
          <w:color w:val="auto"/>
          <w:szCs w:val="21"/>
          <w:highlight w:val="none"/>
        </w:rPr>
        <w:t>﹥1.05时，则：C</w:t>
      </w:r>
      <w:r>
        <w:rPr>
          <w:rFonts w:ascii="宋体" w:hAnsi="宋体" w:eastAsia="宋体" w:cs="Times New Roman"/>
          <w:color w:val="auto"/>
          <w:szCs w:val="21"/>
          <w:highlight w:val="none"/>
          <w:vertAlign w:val="subscript"/>
        </w:rPr>
        <w:t>增</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ascii="宋体" w:hAnsi="宋体" w:eastAsia="宋体" w:cs="Times New Roman"/>
          <w:color w:val="auto"/>
          <w:szCs w:val="21"/>
          <w:highlight w:val="none"/>
        </w:rPr>
        <w:t>-1.05</w:t>
      </w:r>
      <w:r>
        <w:rPr>
          <w:rFonts w:hint="eastAsia" w:ascii="宋体" w:hAnsi="宋体" w:eastAsia="宋体" w:cs="Times New Roman"/>
          <w:color w:val="auto"/>
          <w:szCs w:val="21"/>
          <w:highlight w:val="none"/>
        </w:rPr>
        <w:t>)；</w:t>
      </w:r>
    </w:p>
    <w:p w14:paraId="3AE28870">
      <w:pPr>
        <w:snapToGrid w:val="0"/>
        <w:ind w:firstLine="945" w:firstLineChars="450"/>
        <w:rPr>
          <w:rFonts w:ascii="宋体" w:hAnsi="宋体" w:eastAsia="宋体" w:cs="Times New Roman"/>
          <w:color w:val="auto"/>
          <w:szCs w:val="21"/>
          <w:highlight w:val="none"/>
        </w:rPr>
      </w:pPr>
      <w:r>
        <w:rPr>
          <w:rFonts w:ascii="宋体" w:hAnsi="宋体" w:eastAsia="宋体" w:cs="Times New Roman"/>
          <w:color w:val="auto"/>
          <w:szCs w:val="21"/>
          <w:highlight w:val="none"/>
        </w:rPr>
        <w:t>当</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ascii="宋体" w:hAnsi="宋体" w:eastAsia="宋体" w:cs="Times New Roman"/>
          <w:color w:val="auto"/>
          <w:szCs w:val="21"/>
          <w:highlight w:val="none"/>
        </w:rPr>
        <w:t>﹤0.95时，则：C</w:t>
      </w:r>
      <w:r>
        <w:rPr>
          <w:rFonts w:ascii="宋体" w:hAnsi="宋体" w:eastAsia="宋体" w:cs="Times New Roman"/>
          <w:color w:val="auto"/>
          <w:szCs w:val="21"/>
          <w:highlight w:val="none"/>
          <w:vertAlign w:val="subscript"/>
        </w:rPr>
        <w:t>减</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0.95-</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hint="eastAsia" w:ascii="宋体" w:hAnsi="宋体" w:eastAsia="宋体" w:cs="Times New Roman"/>
          <w:color w:val="auto"/>
          <w:szCs w:val="21"/>
          <w:highlight w:val="none"/>
        </w:rPr>
        <w:t>)</w:t>
      </w:r>
    </w:p>
    <w:p w14:paraId="5E4E9D5A">
      <w:pPr>
        <w:ind w:firstLine="945" w:firstLineChars="4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式中：</w:t>
      </w:r>
    </w:p>
    <w:p w14:paraId="03161825">
      <w:pPr>
        <w:snapToGrid w:val="0"/>
        <w:ind w:left="1050" w:leftChars="500"/>
        <w:rPr>
          <w:rFonts w:hint="eastAsia" w:ascii="宋体" w:hAnsi="宋体" w:eastAsia="宋体" w:cs="Times New Roman"/>
          <w:color w:val="auto"/>
          <w:szCs w:val="24"/>
          <w:highlight w:val="none"/>
        </w:rPr>
      </w:pP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 w:val="24"/>
          <w:szCs w:val="24"/>
          <w:highlight w:val="none"/>
        </w:rPr>
        <w:fldChar w:fldCharType="begin"/>
      </w:r>
      <w:r>
        <w:rPr>
          <w:rFonts w:ascii="宋体" w:hAnsi="宋体" w:eastAsia="宋体" w:cs="Times New Roman"/>
          <w:color w:val="auto"/>
          <w:sz w:val="24"/>
          <w:szCs w:val="24"/>
          <w:highlight w:val="none"/>
        </w:rPr>
        <w:instrText xml:space="preserve"> QUOTE </w:instrText>
      </w:r>
      <w:r>
        <w:rPr>
          <w:rFonts w:ascii="Times New Roman" w:hAnsi="Times New Roman" w:eastAsia="宋体" w:cs="Times New Roman"/>
          <w:color w:val="auto"/>
          <w:position w:val="-5"/>
          <w:szCs w:val="24"/>
          <w:highlight w:val="none"/>
        </w:rPr>
        <w:pict>
          <v:shape id="_x0000_i1025" o:spt="75" type="#_x0000_t75" style="height:15.6pt;width:7.8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bordersDontSurroundHeader/&gt;&lt;w:bordersDontSurroundFooter/&gt;&lt;w:hideSpellingErrors/&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593E13&quot;/&gt;&lt;wsp:rsid wsp:val=&quot;0000071D&quot;/&gt;&lt;wsp:rsid wsp:val=&quot;00000D02&quot;/&gt;&lt;wsp:rsid wsp:val=&quot;00004DE8&quot;/&gt;&lt;wsp:rsid wsp:val=&quot;000069D5&quot;/&gt;&lt;wsp:rsid wsp:val=&quot;00007D9C&quot;/&gt;&lt;wsp:rsid wsp:val=&quot;00012392&quot;/&gt;&lt;wsp:rsid wsp:val=&quot;00014F46&quot;/&gt;&lt;wsp:rsid wsp:val=&quot;000165EA&quot;/&gt;&lt;wsp:rsid wsp:val=&quot;00020489&quot;/&gt;&lt;wsp:rsid wsp:val=&quot;00021E33&quot;/&gt;&lt;wsp:rsid wsp:val=&quot;00023A8A&quot;/&gt;&lt;wsp:rsid wsp:val=&quot;00025806&quot;/&gt;&lt;wsp:rsid wsp:val=&quot;0002775D&quot;/&gt;&lt;wsp:rsid wsp:val=&quot;000308E2&quot;/&gt;&lt;wsp:rsid wsp:val=&quot;00030F80&quot;/&gt;&lt;wsp:rsid wsp:val=&quot;00033848&quot;/&gt;&lt;wsp:rsid wsp:val=&quot;00036E9F&quot;/&gt;&lt;wsp:rsid wsp:val=&quot;000411D7&quot;/&gt;&lt;wsp:rsid wsp:val=&quot;000414D2&quot;/&gt;&lt;wsp:rsid wsp:val=&quot;00043E77&quot;/&gt;&lt;wsp:rsid wsp:val=&quot;00045EF9&quot;/&gt;&lt;wsp:rsid wsp:val=&quot;000468A5&quot;/&gt;&lt;wsp:rsid wsp:val=&quot;00047C06&quot;/&gt;&lt;wsp:rsid wsp:val=&quot;00047EA6&quot;/&gt;&lt;wsp:rsid wsp:val=&quot;00052069&quot;/&gt;&lt;wsp:rsid wsp:val=&quot;00052BF2&quot;/&gt;&lt;wsp:rsid wsp:val=&quot;00052F30&quot;/&gt;&lt;wsp:rsid wsp:val=&quot;00053A03&quot;/&gt;&lt;wsp:rsid wsp:val=&quot;00054FA9&quot;/&gt;&lt;wsp:rsid wsp:val=&quot;0005580E&quot;/&gt;&lt;wsp:rsid wsp:val=&quot;00055AD7&quot;/&gt;&lt;wsp:rsid wsp:val=&quot;0005623B&quot;/&gt;&lt;wsp:rsid wsp:val=&quot;000572AD&quot;/&gt;&lt;wsp:rsid wsp:val=&quot;00057382&quot;/&gt;&lt;wsp:rsid wsp:val=&quot;00060488&quot;/&gt;&lt;wsp:rsid wsp:val=&quot;000648A9&quot;/&gt;&lt;wsp:rsid wsp:val=&quot;000719E7&quot;/&gt;&lt;wsp:rsid wsp:val=&quot;000729DF&quot;/&gt;&lt;wsp:rsid wsp:val=&quot;00077B8B&quot;/&gt;&lt;wsp:rsid wsp:val=&quot;00077EF2&quot;/&gt;&lt;wsp:rsid wsp:val=&quot;000810F0&quot;/&gt;&lt;wsp:rsid wsp:val=&quot;00082F84&quot;/&gt;&lt;wsp:rsid wsp:val=&quot;00083CBC&quot;/&gt;&lt;wsp:rsid wsp:val=&quot;00084451&quot;/&gt;&lt;wsp:rsid wsp:val=&quot;00084AE2&quot;/&gt;&lt;wsp:rsid wsp:val=&quot;0008657B&quot;/&gt;&lt;wsp:rsid wsp:val=&quot;00094468&quot;/&gt;&lt;wsp:rsid wsp:val=&quot;00095456&quot;/&gt;&lt;wsp:rsid wsp:val=&quot;00095A4E&quot;/&gt;&lt;wsp:rsid wsp:val=&quot;0009628F&quot;/&gt;&lt;wsp:rsid wsp:val=&quot;000A0065&quot;/&gt;&lt;wsp:rsid wsp:val=&quot;000A2F55&quot;/&gt;&lt;wsp:rsid wsp:val=&quot;000A3256&quot;/&gt;&lt;wsp:rsid wsp:val=&quot;000A3832&quot;/&gt;&lt;wsp:rsid wsp:val=&quot;000A4706&quot;/&gt;&lt;wsp:rsid wsp:val=&quot;000A6230&quot;/&gt;&lt;wsp:rsid wsp:val=&quot;000B434D&quot;/&gt;&lt;wsp:rsid wsp:val=&quot;000B57AC&quot;/&gt;&lt;wsp:rsid wsp:val=&quot;000B6047&quot;/&gt;&lt;wsp:rsid wsp:val=&quot;000B6DC8&quot;/&gt;&lt;wsp:rsid wsp:val=&quot;000C2234&quot;/&gt;&lt;wsp:rsid wsp:val=&quot;000C3125&quot;/&gt;&lt;wsp:rsid wsp:val=&quot;000C39FE&quot;/&gt;&lt;wsp:rsid wsp:val=&quot;000C3CE2&quot;/&gt;&lt;wsp:rsid wsp:val=&quot;000C72F2&quot;/&gt;&lt;wsp:rsid wsp:val=&quot;000D38E8&quot;/&gt;&lt;wsp:rsid wsp:val=&quot;000D4BF6&quot;/&gt;&lt;wsp:rsid wsp:val=&quot;000D5D1B&quot;/&gt;&lt;wsp:rsid wsp:val=&quot;000D6385&quot;/&gt;&lt;wsp:rsid wsp:val=&quot;000D7740&quot;/&gt;&lt;wsp:rsid wsp:val=&quot;000E203D&quot;/&gt;&lt;wsp:rsid wsp:val=&quot;000E2478&quot;/&gt;&lt;wsp:rsid wsp:val=&quot;000E6B7A&quot;/&gt;&lt;wsp:rsid wsp:val=&quot;000F0BDF&quot;/&gt;&lt;wsp:rsid wsp:val=&quot;000F1A51&quot;/&gt;&lt;wsp:rsid wsp:val=&quot;000F1DC5&quot;/&gt;&lt;wsp:rsid wsp:val=&quot;000F40EF&quot;/&gt;&lt;wsp:rsid wsp:val=&quot;000F4717&quot;/&gt;&lt;wsp:rsid wsp:val=&quot;000F50A3&quot;/&gt;&lt;wsp:rsid wsp:val=&quot;000F50D5&quot;/&gt;&lt;wsp:rsid wsp:val=&quot;000F61AA&quot;/&gt;&lt;wsp:rsid wsp:val=&quot;000F65AF&quot;/&gt;&lt;wsp:rsid wsp:val=&quot;000F6AB2&quot;/&gt;&lt;wsp:rsid wsp:val=&quot;000F6AF4&quot;/&gt;&lt;wsp:rsid wsp:val=&quot;000F70E6&quot;/&gt;&lt;wsp:rsid wsp:val=&quot;000F7C52&quot;/&gt;&lt;wsp:rsid wsp:val=&quot;0010049C&quot;/&gt;&lt;wsp:rsid wsp:val=&quot;00101569&quot;/&gt;&lt;wsp:rsid wsp:val=&quot;00101CBB&quot;/&gt;&lt;wsp:rsid wsp:val=&quot;0010421A&quot;/&gt;&lt;wsp:rsid wsp:val=&quot;00105A99&quot;/&gt;&lt;wsp:rsid wsp:val=&quot;00113015&quot;/&gt;&lt;wsp:rsid wsp:val=&quot;001138D5&quot;/&gt;&lt;wsp:rsid wsp:val=&quot;0011466B&quot;/&gt;&lt;wsp:rsid wsp:val=&quot;0011777B&quot;/&gt;&lt;wsp:rsid wsp:val=&quot;00123C84&quot;/&gt;&lt;wsp:rsid wsp:val=&quot;001303AA&quot;/&gt;&lt;wsp:rsid wsp:val=&quot;0013166E&quot;/&gt;&lt;wsp:rsid wsp:val=&quot;0013183C&quot;/&gt;&lt;wsp:rsid wsp:val=&quot;00131887&quot;/&gt;&lt;wsp:rsid wsp:val=&quot;001330BA&quot;/&gt;&lt;wsp:rsid wsp:val=&quot;00136D66&quot;/&gt;&lt;wsp:rsid wsp:val=&quot;00140432&quot;/&gt;&lt;wsp:rsid wsp:val=&quot;00140DF5&quot;/&gt;&lt;wsp:rsid wsp:val=&quot;001412E1&quot;/&gt;&lt;wsp:rsid wsp:val=&quot;00141897&quot;/&gt;&lt;wsp:rsid wsp:val=&quot;00141CD9&quot;/&gt;&lt;wsp:rsid wsp:val=&quot;00141EBE&quot;/&gt;&lt;wsp:rsid wsp:val=&quot;00142C0D&quot;/&gt;&lt;wsp:rsid wsp:val=&quot;0014595C&quot;/&gt;&lt;wsp:rsid wsp:val=&quot;00151120&quot;/&gt;&lt;wsp:rsid wsp:val=&quot;00151938&quot;/&gt;&lt;wsp:rsid wsp:val=&quot;001568E1&quot;/&gt;&lt;wsp:rsid wsp:val=&quot;00156CAC&quot;/&gt;&lt;wsp:rsid wsp:val=&quot;00156F83&quot;/&gt;&lt;wsp:rsid wsp:val=&quot;00157DF5&quot;/&gt;&lt;wsp:rsid wsp:val=&quot;00161306&quot;/&gt;&lt;wsp:rsid wsp:val=&quot;0016206C&quot;/&gt;&lt;wsp:rsid wsp:val=&quot;0016233B&quot;/&gt;&lt;wsp:rsid wsp:val=&quot;00162CA7&quot;/&gt;&lt;wsp:rsid wsp:val=&quot;00164E8A&quot;/&gt;&lt;wsp:rsid wsp:val=&quot;0016510C&quot;/&gt;&lt;wsp:rsid wsp:val=&quot;00166D5B&quot;/&gt;&lt;wsp:rsid wsp:val=&quot;00167392&quot;/&gt;&lt;wsp:rsid wsp:val=&quot;001723F6&quot;/&gt;&lt;wsp:rsid wsp:val=&quot;00174456&quot;/&gt;&lt;wsp:rsid wsp:val=&quot;00176D33&quot;/&gt;&lt;wsp:rsid wsp:val=&quot;00177C74&quot;/&gt;&lt;wsp:rsid wsp:val=&quot;00180156&quot;/&gt;&lt;wsp:rsid wsp:val=&quot;0018087C&quot;/&gt;&lt;wsp:rsid wsp:val=&quot;001814B1&quot;/&gt;&lt;wsp:rsid wsp:val=&quot;001823B5&quot;/&gt;&lt;wsp:rsid wsp:val=&quot;00187E16&quot;/&gt;&lt;wsp:rsid wsp:val=&quot;00190152&quot;/&gt;&lt;wsp:rsid wsp:val=&quot;00193A33&quot;/&gt;&lt;wsp:rsid wsp:val=&quot;00193EA0&quot;/&gt;&lt;wsp:rsid wsp:val=&quot;001A21CE&quot;/&gt;&lt;wsp:rsid wsp:val=&quot;001A26E2&quot;/&gt;&lt;wsp:rsid wsp:val=&quot;001A3C3E&quot;/&gt;&lt;wsp:rsid wsp:val=&quot;001A421C&quot;/&gt;&lt;wsp:rsid wsp:val=&quot;001A522C&quot;/&gt;&lt;wsp:rsid wsp:val=&quot;001A6EC2&quot;/&gt;&lt;wsp:rsid wsp:val=&quot;001A778A&quot;/&gt;&lt;wsp:rsid wsp:val=&quot;001B09C7&quot;/&gt;&lt;wsp:rsid wsp:val=&quot;001B0F1E&quot;/&gt;&lt;wsp:rsid wsp:val=&quot;001B1394&quot;/&gt;&lt;wsp:rsid wsp:val=&quot;001B1CAB&quot;/&gt;&lt;wsp:rsid wsp:val=&quot;001B4409&quot;/&gt;&lt;wsp:rsid wsp:val=&quot;001B4E0F&quot;/&gt;&lt;wsp:rsid wsp:val=&quot;001B5A60&quot;/&gt;&lt;wsp:rsid wsp:val=&quot;001C0559&quot;/&gt;&lt;wsp:rsid wsp:val=&quot;001C097A&quot;/&gt;&lt;wsp:rsid wsp:val=&quot;001C1523&quot;/&gt;&lt;wsp:rsid wsp:val=&quot;001C15BC&quot;/&gt;&lt;wsp:rsid wsp:val=&quot;001C1E0D&quot;/&gt;&lt;wsp:rsid wsp:val=&quot;001C3BC8&quot;/&gt;&lt;wsp:rsid wsp:val=&quot;001C42AC&quot;/&gt;&lt;wsp:rsid wsp:val=&quot;001C4611&quot;/&gt;&lt;wsp:rsid wsp:val=&quot;001C6B08&quot;/&gt;&lt;wsp:rsid wsp:val=&quot;001C6D30&quot;/&gt;&lt;wsp:rsid wsp:val=&quot;001C790E&quot;/&gt;&lt;wsp:rsid wsp:val=&quot;001D0638&quot;/&gt;&lt;wsp:rsid wsp:val=&quot;001D4BEA&quot;/&gt;&lt;wsp:rsid wsp:val=&quot;001D55D6&quot;/&gt;&lt;wsp:rsid wsp:val=&quot;001D5A11&quot;/&gt;&lt;wsp:rsid wsp:val=&quot;001D607E&quot;/&gt;&lt;wsp:rsid wsp:val=&quot;001D6748&quot;/&gt;&lt;wsp:rsid wsp:val=&quot;001D79A9&quot;/&gt;&lt;wsp:rsid wsp:val=&quot;001D7C3C&quot;/&gt;&lt;wsp:rsid wsp:val=&quot;001D7C67&quot;/&gt;&lt;wsp:rsid wsp:val=&quot;001E1222&quot;/&gt;&lt;wsp:rsid wsp:val=&quot;001E138E&quot;/&gt;&lt;wsp:rsid wsp:val=&quot;001E1BFD&quot;/&gt;&lt;wsp:rsid wsp:val=&quot;001E2077&quot;/&gt;&lt;wsp:rsid wsp:val=&quot;001E29E1&quot;/&gt;&lt;wsp:rsid wsp:val=&quot;001E448B&quot;/&gt;&lt;wsp:rsid wsp:val=&quot;001F08C3&quot;/&gt;&lt;wsp:rsid wsp:val=&quot;001F3571&quot;/&gt;&lt;wsp:rsid wsp:val=&quot;001F41F2&quot;/&gt;&lt;wsp:rsid wsp:val=&quot;001F4516&quot;/&gt;&lt;wsp:rsid wsp:val=&quot;001F4B0B&quot;/&gt;&lt;wsp:rsid wsp:val=&quot;001F59BC&quot;/&gt;&lt;wsp:rsid wsp:val=&quot;001F636A&quot;/&gt;&lt;wsp:rsid wsp:val=&quot;001F7017&quot;/&gt;&lt;wsp:rsid wsp:val=&quot;001F7537&quot;/&gt;&lt;wsp:rsid wsp:val=&quot;002011A7&quot;/&gt;&lt;wsp:rsid wsp:val=&quot;00202B1C&quot;/&gt;&lt;wsp:rsid wsp:val=&quot;00204063&quot;/&gt;&lt;wsp:rsid wsp:val=&quot;0020450D&quot;/&gt;&lt;wsp:rsid wsp:val=&quot;002046CA&quot;/&gt;&lt;wsp:rsid wsp:val=&quot;00206BCF&quot;/&gt;&lt;wsp:rsid wsp:val=&quot;0020720C&quot;/&gt;&lt;wsp:rsid wsp:val=&quot;00207244&quot;/&gt;&lt;wsp:rsid wsp:val=&quot;00210250&quot;/&gt;&lt;wsp:rsid wsp:val=&quot;00210589&quot;/&gt;&lt;wsp:rsid wsp:val=&quot;00211156&quot;/&gt;&lt;wsp:rsid wsp:val=&quot;002118E0&quot;/&gt;&lt;wsp:rsid wsp:val=&quot;00212B1F&quot;/&gt;&lt;wsp:rsid wsp:val=&quot;00213702&quot;/&gt;&lt;wsp:rsid wsp:val=&quot;002138E5&quot;/&gt;&lt;wsp:rsid wsp:val=&quot;0021456C&quot;/&gt;&lt;wsp:rsid wsp:val=&quot;00216B34&quot;/&gt;&lt;wsp:rsid wsp:val=&quot;00216DD0&quot;/&gt;&lt;wsp:rsid wsp:val=&quot;0022122A&quot;/&gt;&lt;wsp:rsid wsp:val=&quot;00224C95&quot;/&gt;&lt;wsp:rsid wsp:val=&quot;00227F9E&quot;/&gt;&lt;wsp:rsid wsp:val=&quot;00230E2F&quot;/&gt;&lt;wsp:rsid wsp:val=&quot;002310B8&quot;/&gt;&lt;wsp:rsid wsp:val=&quot;00231974&quot;/&gt;&lt;wsp:rsid wsp:val=&quot;00233A54&quot;/&gt;&lt;wsp:rsid wsp:val=&quot;00234896&quot;/&gt;&lt;wsp:rsid wsp:val=&quot;00234E9E&quot;/&gt;&lt;wsp:rsid wsp:val=&quot;0023756C&quot;/&gt;&lt;wsp:rsid wsp:val=&quot;0024278B&quot;/&gt;&lt;wsp:rsid wsp:val=&quot;0025035C&quot;/&gt;&lt;wsp:rsid wsp:val=&quot;0025092E&quot;/&gt;&lt;wsp:rsid wsp:val=&quot;00251259&quot;/&gt;&lt;wsp:rsid wsp:val=&quot;002518A3&quot;/&gt;&lt;wsp:rsid wsp:val=&quot;00253143&quot;/&gt;&lt;wsp:rsid wsp:val=&quot;0025559B&quot;/&gt;&lt;wsp:rsid wsp:val=&quot;002562E8&quot;/&gt;&lt;wsp:rsid wsp:val=&quot;00260257&quot;/&gt;&lt;wsp:rsid wsp:val=&quot;0026536B&quot;/&gt;&lt;wsp:rsid wsp:val=&quot;00265FA6&quot;/&gt;&lt;wsp:rsid wsp:val=&quot;00266441&quot;/&gt;&lt;wsp:rsid wsp:val=&quot;00267C86&quot;/&gt;&lt;wsp:rsid wsp:val=&quot;002704ED&quot;/&gt;&lt;wsp:rsid wsp:val=&quot;0027119E&quot;/&gt;&lt;wsp:rsid wsp:val=&quot;00272A6F&quot;/&gt;&lt;wsp:rsid wsp:val=&quot;00273251&quot;/&gt;&lt;wsp:rsid wsp:val=&quot;00273AF3&quot;/&gt;&lt;wsp:rsid wsp:val=&quot;002746DA&quot;/&gt;&lt;wsp:rsid wsp:val=&quot;00276024&quot;/&gt;&lt;wsp:rsid wsp:val=&quot;00284538&quot;/&gt;&lt;wsp:rsid wsp:val=&quot;00286388&quot;/&gt;&lt;wsp:rsid wsp:val=&quot;00291EFF&quot;/&gt;&lt;wsp:rsid wsp:val=&quot;002921D3&quot;/&gt;&lt;wsp:rsid wsp:val=&quot;0029393D&quot;/&gt;&lt;wsp:rsid wsp:val=&quot;002940E5&quot;/&gt;&lt;wsp:rsid wsp:val=&quot;00294650&quot;/&gt;&lt;wsp:rsid wsp:val=&quot;00295B5C&quot;/&gt;&lt;wsp:rsid wsp:val=&quot;002A0CDB&quot;/&gt;&lt;wsp:rsid wsp:val=&quot;002A239F&quot;/&gt;&lt;wsp:rsid wsp:val=&quot;002A261E&quot;/&gt;&lt;wsp:rsid wsp:val=&quot;002A4CD3&quot;/&gt;&lt;wsp:rsid wsp:val=&quot;002A55BA&quot;/&gt;&lt;wsp:rsid wsp:val=&quot;002A7455&quot;/&gt;&lt;wsp:rsid wsp:val=&quot;002B1443&quot;/&gt;&lt;wsp:rsid wsp:val=&quot;002B2C80&quot;/&gt;&lt;wsp:rsid wsp:val=&quot;002B39AC&quot;/&gt;&lt;wsp:rsid wsp:val=&quot;002B3FDA&quot;/&gt;&lt;wsp:rsid wsp:val=&quot;002B48E4&quot;/&gt;&lt;wsp:rsid wsp:val=&quot;002C2B0A&quot;/&gt;&lt;wsp:rsid wsp:val=&quot;002C2BC6&quot;/&gt;&lt;wsp:rsid wsp:val=&quot;002C3442&quot;/&gt;&lt;wsp:rsid wsp:val=&quot;002C4353&quot;/&gt;&lt;wsp:rsid wsp:val=&quot;002C43AD&quot;/&gt;&lt;wsp:rsid wsp:val=&quot;002C4DD7&quot;/&gt;&lt;wsp:rsid wsp:val=&quot;002C6C2D&quot;/&gt;&lt;wsp:rsid wsp:val=&quot;002D0251&quot;/&gt;&lt;wsp:rsid wsp:val=&quot;002D1CE2&quot;/&gt;&lt;wsp:rsid wsp:val=&quot;002D3C38&quot;/&gt;&lt;wsp:rsid wsp:val=&quot;002E1FF2&quot;/&gt;&lt;wsp:rsid wsp:val=&quot;002E2180&quot;/&gt;&lt;wsp:rsid wsp:val=&quot;002E46D4&quot;/&gt;&lt;wsp:rsid wsp:val=&quot;002E5487&quot;/&gt;&lt;wsp:rsid wsp:val=&quot;002E676C&quot;/&gt;&lt;wsp:rsid wsp:val=&quot;002E79EE&quot;/&gt;&lt;wsp:rsid wsp:val=&quot;002F111A&quot;/&gt;&lt;wsp:rsid wsp:val=&quot;002F142F&quot;/&gt;&lt;wsp:rsid wsp:val=&quot;002F39A9&quot;/&gt;&lt;wsp:rsid wsp:val=&quot;002F600E&quot;/&gt;&lt;wsp:rsid wsp:val=&quot;002F788F&quot;/&gt;&lt;wsp:rsid wsp:val=&quot;003008CB&quot;/&gt;&lt;wsp:rsid wsp:val=&quot;00303A15&quot;/&gt;&lt;wsp:rsid wsp:val=&quot;003057C6&quot;/&gt;&lt;wsp:rsid wsp:val=&quot;00313844&quot;/&gt;&lt;wsp:rsid wsp:val=&quot;00315625&quot;/&gt;&lt;wsp:rsid wsp:val=&quot;00315FA8&quot;/&gt;&lt;wsp:rsid wsp:val=&quot;00317FC0&quot;/&gt;&lt;wsp:rsid wsp:val=&quot;00320118&quot;/&gt;&lt;wsp:rsid wsp:val=&quot;003226EB&quot;/&gt;&lt;wsp:rsid wsp:val=&quot;00324F8B&quot;/&gt;&lt;wsp:rsid wsp:val=&quot;0032614A&quot;/&gt;&lt;wsp:rsid wsp:val=&quot;00327AC3&quot;/&gt;&lt;wsp:rsid wsp:val=&quot;00330607&quot;/&gt;&lt;wsp:rsid wsp:val=&quot;0033097D&quot;/&gt;&lt;wsp:rsid wsp:val=&quot;003340B9&quot;/&gt;&lt;wsp:rsid wsp:val=&quot;003350B6&quot;/&gt;&lt;wsp:rsid wsp:val=&quot;00336E28&quot;/&gt;&lt;wsp:rsid wsp:val=&quot;0033703B&quot;/&gt;&lt;wsp:rsid wsp:val=&quot;00337875&quot;/&gt;&lt;wsp:rsid wsp:val=&quot;00337F8F&quot;/&gt;&lt;wsp:rsid wsp:val=&quot;0034006B&quot;/&gt;&lt;wsp:rsid wsp:val=&quot;00340E02&quot;/&gt;&lt;wsp:rsid wsp:val=&quot;003411E3&quot;/&gt;&lt;wsp:rsid wsp:val=&quot;00341CC3&quot;/&gt;&lt;wsp:rsid wsp:val=&quot;003422B6&quot;/&gt;&lt;wsp:rsid wsp:val=&quot;00344952&quot;/&gt;&lt;wsp:rsid wsp:val=&quot;00346E8D&quot;/&gt;&lt;wsp:rsid wsp:val=&quot;0035047C&quot;/&gt;&lt;wsp:rsid wsp:val=&quot;003530C1&quot;/&gt;&lt;wsp:rsid wsp:val=&quot;00353347&quot;/&gt;&lt;wsp:rsid wsp:val=&quot;0035429A&quot;/&gt;&lt;wsp:rsid wsp:val=&quot;00354686&quot;/&gt;&lt;wsp:rsid wsp:val=&quot;0035608C&quot;/&gt;&lt;wsp:rsid wsp:val=&quot;003602A5&quot;/&gt;&lt;wsp:rsid wsp:val=&quot;00360899&quot;/&gt;&lt;wsp:rsid wsp:val=&quot;00361ACE&quot;/&gt;&lt;wsp:rsid wsp:val=&quot;00363541&quot;/&gt;&lt;wsp:rsid wsp:val=&quot;003638A7&quot;/&gt;&lt;wsp:rsid wsp:val=&quot;0037305C&quot;/&gt;&lt;wsp:rsid wsp:val=&quot;0037558E&quot;/&gt;&lt;wsp:rsid wsp:val=&quot;00376F6D&quot;/&gt;&lt;wsp:rsid wsp:val=&quot;00381472&quot;/&gt;&lt;wsp:rsid wsp:val=&quot;00383AE1&quot;/&gt;&lt;wsp:rsid wsp:val=&quot;00387083&quot;/&gt;&lt;wsp:rsid wsp:val=&quot;00391122&quot;/&gt;&lt;wsp:rsid wsp:val=&quot;00391A62&quot;/&gt;&lt;wsp:rsid wsp:val=&quot;00392356&quot;/&gt;&lt;wsp:rsid wsp:val=&quot;003929A1&quot;/&gt;&lt;wsp:rsid wsp:val=&quot;00393282&quot;/&gt;&lt;wsp:rsid wsp:val=&quot;003955BA&quot;/&gt;&lt;wsp:rsid wsp:val=&quot;0039561D&quot;/&gt;&lt;wsp:rsid wsp:val=&quot;0039756C&quot;/&gt;&lt;wsp:rsid wsp:val=&quot;00397986&quot;/&gt;&lt;wsp:rsid wsp:val=&quot;003A0E6A&quot;/&gt;&lt;wsp:rsid wsp:val=&quot;003A40EC&quot;/&gt;&lt;wsp:rsid wsp:val=&quot;003A579F&quot;/&gt;&lt;wsp:rsid wsp:val=&quot;003B056E&quot;/&gt;&lt;wsp:rsid wsp:val=&quot;003B0A2E&quot;/&gt;&lt;wsp:rsid wsp:val=&quot;003B1CA7&quot;/&gt;&lt;wsp:rsid wsp:val=&quot;003B3BD3&quot;/&gt;&lt;wsp:rsid wsp:val=&quot;003B4BD3&quot;/&gt;&lt;wsp:rsid wsp:val=&quot;003B5449&quot;/&gt;&lt;wsp:rsid wsp:val=&quot;003B63BC&quot;/&gt;&lt;wsp:rsid wsp:val=&quot;003C1591&quot;/&gt;&lt;wsp:rsid wsp:val=&quot;003C1D18&quot;/&gt;&lt;wsp:rsid wsp:val=&quot;003C22B0&quot;/&gt;&lt;wsp:rsid wsp:val=&quot;003C4E1D&quot;/&gt;&lt;wsp:rsid wsp:val=&quot;003C5758&quot;/&gt;&lt;wsp:rsid wsp:val=&quot;003C6226&quot;/&gt;&lt;wsp:rsid wsp:val=&quot;003C6E98&quot;/&gt;&lt;wsp:rsid wsp:val=&quot;003D03E7&quot;/&gt;&lt;wsp:rsid wsp:val=&quot;003D0965&quot;/&gt;&lt;wsp:rsid wsp:val=&quot;003D14C1&quot;/&gt;&lt;wsp:rsid wsp:val=&quot;003D2E1D&quot;/&gt;&lt;wsp:rsid wsp:val=&quot;003D5FA3&quot;/&gt;&lt;wsp:rsid wsp:val=&quot;003D6058&quot;/&gt;&lt;wsp:rsid wsp:val=&quot;003E20C5&quot;/&gt;&lt;wsp:rsid wsp:val=&quot;003E2432&quot;/&gt;&lt;wsp:rsid wsp:val=&quot;003E434F&quot;/&gt;&lt;wsp:rsid wsp:val=&quot;003E603A&quot;/&gt;&lt;wsp:rsid wsp:val=&quot;003F073B&quot;/&gt;&lt;wsp:rsid wsp:val=&quot;003F3F10&quot;/&gt;&lt;wsp:rsid wsp:val=&quot;003F5A41&quot;/&gt;&lt;wsp:rsid wsp:val=&quot;003F6211&quot;/&gt;&lt;wsp:rsid wsp:val=&quot;003F7B94&quot;/&gt;&lt;wsp:rsid wsp:val=&quot;00400050&quot;/&gt;&lt;wsp:rsid wsp:val=&quot;00403792&quot;/&gt;&lt;wsp:rsid wsp:val=&quot;00403F09&quot;/&gt;&lt;wsp:rsid wsp:val=&quot;00403F13&quot;/&gt;&lt;wsp:rsid wsp:val=&quot;00404FA1&quot;/&gt;&lt;wsp:rsid wsp:val=&quot;0040642E&quot;/&gt;&lt;wsp:rsid wsp:val=&quot;004076AE&quot;/&gt;&lt;wsp:rsid wsp:val=&quot;00411D7E&quot;/&gt;&lt;wsp:rsid wsp:val=&quot;00412338&quot;/&gt;&lt;wsp:rsid wsp:val=&quot;00413CB6&quot;/&gt;&lt;wsp:rsid wsp:val=&quot;00415D86&quot;/&gt;&lt;wsp:rsid wsp:val=&quot;004178E4&quot;/&gt;&lt;wsp:rsid wsp:val=&quot;00421235&quot;/&gt;&lt;wsp:rsid wsp:val=&quot;004219DD&quot;/&gt;&lt;wsp:rsid wsp:val=&quot;00424EC2&quot;/&gt;&lt;wsp:rsid wsp:val=&quot;004269C8&quot;/&gt;&lt;wsp:rsid wsp:val=&quot;00426A26&quot;/&gt;&lt;wsp:rsid wsp:val=&quot;00427BCD&quot;/&gt;&lt;wsp:rsid wsp:val=&quot;004364DD&quot;/&gt;&lt;wsp:rsid wsp:val=&quot;00440A33&quot;/&gt;&lt;wsp:rsid wsp:val=&quot;00442C0B&quot;/&gt;&lt;wsp:rsid wsp:val=&quot;00443680&quot;/&gt;&lt;wsp:rsid wsp:val=&quot;004445DC&quot;/&gt;&lt;wsp:rsid wsp:val=&quot;0044615D&quot;/&gt;&lt;wsp:rsid wsp:val=&quot;00447435&quot;/&gt;&lt;wsp:rsid wsp:val=&quot;00447B6C&quot;/&gt;&lt;wsp:rsid wsp:val=&quot;0045233C&quot;/&gt;&lt;wsp:rsid wsp:val=&quot;00452563&quot;/&gt;&lt;wsp:rsid wsp:val=&quot;0045469E&quot;/&gt;&lt;wsp:rsid wsp:val=&quot;00457124&quot;/&gt;&lt;wsp:rsid wsp:val=&quot;00457482&quot;/&gt;&lt;wsp:rsid wsp:val=&quot;00460DFC&quot;/&gt;&lt;wsp:rsid wsp:val=&quot;00462D80&quot;/&gt;&lt;wsp:rsid wsp:val=&quot;00467566&quot;/&gt;&lt;wsp:rsid wsp:val=&quot;004679BE&quot;/&gt;&lt;wsp:rsid wsp:val=&quot;00467EBA&quot;/&gt;&lt;wsp:rsid wsp:val=&quot;004706C7&quot;/&gt;&lt;wsp:rsid wsp:val=&quot;00470C44&quot;/&gt;&lt;wsp:rsid wsp:val=&quot;0047232D&quot;/&gt;&lt;wsp:rsid wsp:val=&quot;00472472&quot;/&gt;&lt;wsp:rsid wsp:val=&quot;00472E6E&quot;/&gt;&lt;wsp:rsid wsp:val=&quot;00472F98&quot;/&gt;&lt;wsp:rsid wsp:val=&quot;00473637&quot;/&gt;&lt;wsp:rsid wsp:val=&quot;0047401C&quot;/&gt;&lt;wsp:rsid wsp:val=&quot;00474CAB&quot;/&gt;&lt;wsp:rsid wsp:val=&quot;004758D5&quot;/&gt;&lt;wsp:rsid wsp:val=&quot;00475EB3&quot;/&gt;&lt;wsp:rsid wsp:val=&quot;00476223&quot;/&gt;&lt;wsp:rsid wsp:val=&quot;00477065&quot;/&gt;&lt;wsp:rsid wsp:val=&quot;00477790&quot;/&gt;&lt;wsp:rsid wsp:val=&quot;0048760D&quot;/&gt;&lt;wsp:rsid wsp:val=&quot;004904E6&quot;/&gt;&lt;wsp:rsid wsp:val=&quot;00490844&quot;/&gt;&lt;wsp:rsid wsp:val=&quot;00491F6F&quot;/&gt;&lt;wsp:rsid wsp:val=&quot;00493B09&quot;/&gt;&lt;wsp:rsid wsp:val=&quot;00493F5C&quot;/&gt;&lt;wsp:rsid wsp:val=&quot;00494506&quot;/&gt;&lt;wsp:rsid wsp:val=&quot;0049556E&quot;/&gt;&lt;wsp:rsid wsp:val=&quot;004969F4&quot;/&gt;&lt;wsp:rsid wsp:val=&quot;00497BA4&quot;/&gt;&lt;wsp:rsid wsp:val=&quot;004A1CF3&quot;/&gt;&lt;wsp:rsid wsp:val=&quot;004A2196&quot;/&gt;&lt;wsp:rsid wsp:val=&quot;004A22D2&quot;/&gt;&lt;wsp:rsid wsp:val=&quot;004A2E53&quot;/&gt;&lt;wsp:rsid wsp:val=&quot;004A4B46&quot;/&gt;&lt;wsp:rsid wsp:val=&quot;004A5C83&quot;/&gt;&lt;wsp:rsid wsp:val=&quot;004B0D13&quot;/&gt;&lt;wsp:rsid wsp:val=&quot;004B10C3&quot;/&gt;&lt;wsp:rsid wsp:val=&quot;004B2C17&quot;/&gt;&lt;wsp:rsid wsp:val=&quot;004B5A79&quot;/&gt;&lt;wsp:rsid wsp:val=&quot;004B6068&quot;/&gt;&lt;wsp:rsid wsp:val=&quot;004B7B40&quot;/&gt;&lt;wsp:rsid wsp:val=&quot;004C0347&quot;/&gt;&lt;wsp:rsid wsp:val=&quot;004C0352&quot;/&gt;&lt;wsp:rsid wsp:val=&quot;004C3350&quot;/&gt;&lt;wsp:rsid wsp:val=&quot;004C36F8&quot;/&gt;&lt;wsp:rsid wsp:val=&quot;004C4F3E&quot;/&gt;&lt;wsp:rsid wsp:val=&quot;004C5213&quot;/&gt;&lt;wsp:rsid wsp:val=&quot;004D509A&quot;/&gt;&lt;wsp:rsid wsp:val=&quot;004D7F2F&quot;/&gt;&lt;wsp:rsid wsp:val=&quot;004D7F48&quot;/&gt;&lt;wsp:rsid wsp:val=&quot;004E0F07&quot;/&gt;&lt;wsp:rsid wsp:val=&quot;004E4433&quot;/&gt;&lt;wsp:rsid wsp:val=&quot;004E5A0D&quot;/&gt;&lt;wsp:rsid wsp:val=&quot;004E610E&quot;/&gt;&lt;wsp:rsid wsp:val=&quot;004E6AA4&quot;/&gt;&lt;wsp:rsid wsp:val=&quot;004F012F&quot;/&gt;&lt;wsp:rsid wsp:val=&quot;004F1D55&quot;/&gt;&lt;wsp:rsid wsp:val=&quot;004F2925&quot;/&gt;&lt;wsp:rsid wsp:val=&quot;004F292D&quot;/&gt;&lt;wsp:rsid wsp:val=&quot;004F43F2&quot;/&gt;&lt;wsp:rsid wsp:val=&quot;004F51C9&quot;/&gt;&lt;wsp:rsid wsp:val=&quot;004F75C5&quot;/&gt;&lt;wsp:rsid wsp:val=&quot;004F7AA8&quot;/&gt;&lt;wsp:rsid wsp:val=&quot;004F7C92&quot;/&gt;&lt;wsp:rsid wsp:val=&quot;005016F5&quot;/&gt;&lt;wsp:rsid wsp:val=&quot;00501F31&quot;/&gt;&lt;wsp:rsid wsp:val=&quot;00502ED7&quot;/&gt;&lt;wsp:rsid wsp:val=&quot;00503949&quot;/&gt;&lt;wsp:rsid wsp:val=&quot;00503D98&quot;/&gt;&lt;wsp:rsid wsp:val=&quot;005049B3&quot;/&gt;&lt;wsp:rsid wsp:val=&quot;005061B1&quot;/&gt;&lt;wsp:rsid wsp:val=&quot;00506331&quot;/&gt;&lt;wsp:rsid wsp:val=&quot;005064FC&quot;/&gt;&lt;wsp:rsid wsp:val=&quot;005102A1&quot;/&gt;&lt;wsp:rsid wsp:val=&quot;00512F5E&quot;/&gt;&lt;wsp:rsid wsp:val=&quot;00514420&quot;/&gt;&lt;wsp:rsid wsp:val=&quot;005169C8&quot;/&gt;&lt;wsp:rsid wsp:val=&quot;00516F5A&quot;/&gt;&lt;wsp:rsid wsp:val=&quot;005227AB&quot;/&gt;&lt;wsp:rsid wsp:val=&quot;00525B25&quot;/&gt;&lt;wsp:rsid wsp:val=&quot;00525B88&quot;/&gt;&lt;wsp:rsid wsp:val=&quot;0052739B&quot;/&gt;&lt;wsp:rsid wsp:val=&quot;00527A0E&quot;/&gt;&lt;wsp:rsid wsp:val=&quot;00531D82&quot;/&gt;&lt;wsp:rsid wsp:val=&quot;005330A6&quot;/&gt;&lt;wsp:rsid wsp:val=&quot;005331EF&quot;/&gt;&lt;wsp:rsid wsp:val=&quot;005334D5&quot;/&gt;&lt;wsp:rsid wsp:val=&quot;00535F3E&quot;/&gt;&lt;wsp:rsid wsp:val=&quot;00536729&quot;/&gt;&lt;wsp:rsid wsp:val=&quot;00537808&quot;/&gt;&lt;wsp:rsid wsp:val=&quot;005407BE&quot;/&gt;&lt;wsp:rsid wsp:val=&quot;00540E0D&quot;/&gt;&lt;wsp:rsid wsp:val=&quot;0054184F&quot;/&gt;&lt;wsp:rsid wsp:val=&quot;00541DD8&quot;/&gt;&lt;wsp:rsid wsp:val=&quot;00551A6F&quot;/&gt;&lt;wsp:rsid wsp:val=&quot;0055203A&quot;/&gt;&lt;wsp:rsid wsp:val=&quot;005539F3&quot;/&gt;&lt;wsp:rsid wsp:val=&quot;00554A26&quot;/&gt;&lt;wsp:rsid wsp:val=&quot;00556B50&quot;/&gt;&lt;wsp:rsid wsp:val=&quot;005604AA&quot;/&gt;&lt;wsp:rsid wsp:val=&quot;00560E7A&quot;/&gt;&lt;wsp:rsid wsp:val=&quot;00561213&quot;/&gt;&lt;wsp:rsid wsp:val=&quot;005650E5&quot;/&gt;&lt;wsp:rsid wsp:val=&quot;00565BDE&quot;/&gt;&lt;wsp:rsid wsp:val=&quot;00565E2B&quot;/&gt;&lt;wsp:rsid wsp:val=&quot;0056666A&quot;/&gt;&lt;wsp:rsid wsp:val=&quot;00567BC7&quot;/&gt;&lt;wsp:rsid wsp:val=&quot;00571284&quot;/&gt;&lt;wsp:rsid wsp:val=&quot;005713E6&quot;/&gt;&lt;wsp:rsid wsp:val=&quot;00571E47&quot;/&gt;&lt;wsp:rsid wsp:val=&quot;00574060&quot;/&gt;&lt;wsp:rsid wsp:val=&quot;00574A68&quot;/&gt;&lt;wsp:rsid wsp:val=&quot;00581D08&quot;/&gt;&lt;wsp:rsid wsp:val=&quot;00585C31&quot;/&gt;&lt;wsp:rsid wsp:val=&quot;00586904&quot;/&gt;&lt;wsp:rsid wsp:val=&quot;00586B96&quot;/&gt;&lt;wsp:rsid wsp:val=&quot;00592F76&quot;/&gt;&lt;wsp:rsid wsp:val=&quot;00593829&quot;/&gt;&lt;wsp:rsid wsp:val=&quot;00593E13&quot;/&gt;&lt;wsp:rsid wsp:val=&quot;005944FC&quot;/&gt;&lt;wsp:rsid wsp:val=&quot;005A58E2&quot;/&gt;&lt;wsp:rsid wsp:val=&quot;005A69F2&quot;/&gt;&lt;wsp:rsid wsp:val=&quot;005B05D5&quot;/&gt;&lt;wsp:rsid wsp:val=&quot;005B0AEF&quot;/&gt;&lt;wsp:rsid wsp:val=&quot;005B0DEC&quot;/&gt;&lt;wsp:rsid wsp:val=&quot;005B0FFB&quot;/&gt;&lt;wsp:rsid wsp:val=&quot;005B4312&quot;/&gt;&lt;wsp:rsid wsp:val=&quot;005B5291&quot;/&gt;&lt;wsp:rsid wsp:val=&quot;005B6FB7&quot;/&gt;&lt;wsp:rsid wsp:val=&quot;005B7789&quot;/&gt;&lt;wsp:rsid wsp:val=&quot;005B7BD0&quot;/&gt;&lt;wsp:rsid wsp:val=&quot;005C0191&quot;/&gt;&lt;wsp:rsid wsp:val=&quot;005C040D&quot;/&gt;&lt;wsp:rsid wsp:val=&quot;005C1E2D&quot;/&gt;&lt;wsp:rsid wsp:val=&quot;005C4DAB&quot;/&gt;&lt;wsp:rsid wsp:val=&quot;005C5CE9&quot;/&gt;&lt;wsp:rsid wsp:val=&quot;005C7128&quot;/&gt;&lt;wsp:rsid wsp:val=&quot;005D3C6D&quot;/&gt;&lt;wsp:rsid wsp:val=&quot;005D6F98&quot;/&gt;&lt;wsp:rsid wsp:val=&quot;005D7418&quot;/&gt;&lt;wsp:rsid wsp:val=&quot;005D7918&quot;/&gt;&lt;wsp:rsid wsp:val=&quot;005E064F&quot;/&gt;&lt;wsp:rsid wsp:val=&quot;005E0C59&quot;/&gt;&lt;wsp:rsid wsp:val=&quot;005E2EBB&quot;/&gt;&lt;wsp:rsid wsp:val=&quot;005E360E&quot;/&gt;&lt;wsp:rsid wsp:val=&quot;005E4CB3&quot;/&gt;&lt;wsp:rsid wsp:val=&quot;005E5BB1&quot;/&gt;&lt;wsp:rsid wsp:val=&quot;005E7176&quot;/&gt;&lt;wsp:rsid wsp:val=&quot;005F089F&quot;/&gt;&lt;wsp:rsid wsp:val=&quot;005F0A70&quot;/&gt;&lt;wsp:rsid wsp:val=&quot;005F2367&quot;/&gt;&lt;wsp:rsid wsp:val=&quot;005F3CAF&quot;/&gt;&lt;wsp:rsid wsp:val=&quot;005F6683&quot;/&gt;&lt;wsp:rsid wsp:val=&quot;005F6CD7&quot;/&gt;&lt;wsp:rsid wsp:val=&quot;00600AD7&quot;/&gt;&lt;wsp:rsid wsp:val=&quot;006112EC&quot;/&gt;&lt;wsp:rsid wsp:val=&quot;00613C08&quot;/&gt;&lt;wsp:rsid wsp:val=&quot;006161A0&quot;/&gt;&lt;wsp:rsid wsp:val=&quot;006179BD&quot;/&gt;&lt;wsp:rsid wsp:val=&quot;00620803&quot;/&gt;&lt;wsp:rsid wsp:val=&quot;00620F09&quot;/&gt;&lt;wsp:rsid wsp:val=&quot;006223D0&quot;/&gt;&lt;wsp:rsid wsp:val=&quot;00633C61&quot;/&gt;&lt;wsp:rsid wsp:val=&quot;006345E1&quot;/&gt;&lt;wsp:rsid wsp:val=&quot;00634D3C&quot;/&gt;&lt;wsp:rsid wsp:val=&quot;00635DB1&quot;/&gt;&lt;wsp:rsid wsp:val=&quot;00636B08&quot;/&gt;&lt;wsp:rsid wsp:val=&quot;006379E5&quot;/&gt;&lt;wsp:rsid wsp:val=&quot;00640521&quot;/&gt;&lt;wsp:rsid wsp:val=&quot;00642432&quot;/&gt;&lt;wsp:rsid wsp:val=&quot;00642DF6&quot;/&gt;&lt;wsp:rsid wsp:val=&quot;00644C10&quot;/&gt;&lt;wsp:rsid wsp:val=&quot;0064755E&quot;/&gt;&lt;wsp:rsid wsp:val=&quot;00647C8E&quot;/&gt;&lt;wsp:rsid wsp:val=&quot;006504C2&quot;/&gt;&lt;wsp:rsid wsp:val=&quot;00652295&quot;/&gt;&lt;wsp:rsid wsp:val=&quot;00657C66&quot;/&gt;&lt;wsp:rsid wsp:val=&quot;0066065B&quot;/&gt;&lt;wsp:rsid wsp:val=&quot;006630CA&quot;/&gt;&lt;wsp:rsid wsp:val=&quot;006673D6&quot;/&gt;&lt;wsp:rsid wsp:val=&quot;0067150E&quot;/&gt;&lt;wsp:rsid wsp:val=&quot;006719C5&quot;/&gt;&lt;wsp:rsid wsp:val=&quot;00673AA1&quot;/&gt;&lt;wsp:rsid wsp:val=&quot;00673B3F&quot;/&gt;&lt;wsp:rsid wsp:val=&quot;00675283&quot;/&gt;&lt;wsp:rsid wsp:val=&quot;00676C18&quot;/&gt;&lt;wsp:rsid wsp:val=&quot;00677370&quot;/&gt;&lt;wsp:rsid wsp:val=&quot;00680C23&quot;/&gt;&lt;wsp:rsid wsp:val=&quot;00681AB4&quot;/&gt;&lt;wsp:rsid wsp:val=&quot;00681B65&quot;/&gt;&lt;wsp:rsid wsp:val=&quot;00683673&quot;/&gt;&lt;wsp:rsid wsp:val=&quot;00683963&quot;/&gt;&lt;wsp:rsid wsp:val=&quot;00683AEF&quot;/&gt;&lt;wsp:rsid wsp:val=&quot;00684B76&quot;/&gt;&lt;wsp:rsid wsp:val=&quot;006850B0&quot;/&gt;&lt;wsp:rsid wsp:val=&quot;006922AD&quot;/&gt;&lt;wsp:rsid wsp:val=&quot;0069363B&quot;/&gt;&lt;wsp:rsid wsp:val=&quot;00696469&quot;/&gt;&lt;wsp:rsid wsp:val=&quot;00697D92&quot;/&gt;&lt;wsp:rsid wsp:val=&quot;006A2B7A&quot;/&gt;&lt;wsp:rsid wsp:val=&quot;006A2E94&quot;/&gt;&lt;wsp:rsid wsp:val=&quot;006A737D&quot;/&gt;&lt;wsp:rsid wsp:val=&quot;006A7D08&quot;/&gt;&lt;wsp:rsid wsp:val=&quot;006B2642&quot;/&gt;&lt;wsp:rsid wsp:val=&quot;006B2696&quot;/&gt;&lt;wsp:rsid wsp:val=&quot;006B29AD&quot;/&gt;&lt;wsp:rsid wsp:val=&quot;006B5C33&quot;/&gt;&lt;wsp:rsid wsp:val=&quot;006C088D&quot;/&gt;&lt;wsp:rsid wsp:val=&quot;006C1A11&quot;/&gt;&lt;wsp:rsid wsp:val=&quot;006C1B77&quot;/&gt;&lt;wsp:rsid wsp:val=&quot;006C1C42&quot;/&gt;&lt;wsp:rsid wsp:val=&quot;006C1D5A&quot;/&gt;&lt;wsp:rsid wsp:val=&quot;006C560D&quot;/&gt;&lt;wsp:rsid wsp:val=&quot;006C6328&quot;/&gt;&lt;wsp:rsid wsp:val=&quot;006C6710&quot;/&gt;&lt;wsp:rsid wsp:val=&quot;006D059D&quot;/&gt;&lt;wsp:rsid wsp:val=&quot;006D0DC4&quot;/&gt;&lt;wsp:rsid wsp:val=&quot;006D13D1&quot;/&gt;&lt;wsp:rsid wsp:val=&quot;006D278F&quot;/&gt;&lt;wsp:rsid wsp:val=&quot;006D3151&quot;/&gt;&lt;wsp:rsid wsp:val=&quot;006D47F9&quot;/&gt;&lt;wsp:rsid wsp:val=&quot;006D5126&quot;/&gt;&lt;wsp:rsid wsp:val=&quot;006D674C&quot;/&gt;&lt;wsp:rsid wsp:val=&quot;006D6A89&quot;/&gt;&lt;wsp:rsid wsp:val=&quot;006E4240&quot;/&gt;&lt;wsp:rsid wsp:val=&quot;006E7AA5&quot;/&gt;&lt;wsp:rsid wsp:val=&quot;006F230B&quot;/&gt;&lt;wsp:rsid wsp:val=&quot;007025FC&quot;/&gt;&lt;wsp:rsid wsp:val=&quot;00703529&quot;/&gt;&lt;wsp:rsid wsp:val=&quot;00703F92&quot;/&gt;&lt;wsp:rsid wsp:val=&quot;007052CF&quot;/&gt;&lt;wsp:rsid wsp:val=&quot;00706B59&quot;/&gt;&lt;wsp:rsid wsp:val=&quot;0070757A&quot;/&gt;&lt;wsp:rsid wsp:val=&quot;00710293&quot;/&gt;&lt;wsp:rsid wsp:val=&quot;00710B1C&quot;/&gt;&lt;wsp:rsid wsp:val=&quot;00711D5E&quot;/&gt;&lt;wsp:rsid wsp:val=&quot;007153E2&quot;/&gt;&lt;wsp:rsid wsp:val=&quot;00715FB5&quot;/&gt;&lt;wsp:rsid wsp:val=&quot;00717C96&quot;/&gt;&lt;wsp:rsid wsp:val=&quot;00721D17&quot;/&gt;&lt;wsp:rsid wsp:val=&quot;0072583B&quot;/&gt;&lt;wsp:rsid wsp:val=&quot;0072642B&quot;/&gt;&lt;wsp:rsid wsp:val=&quot;00732560&quot;/&gt;&lt;wsp:rsid wsp:val=&quot;00732BC1&quot;/&gt;&lt;wsp:rsid wsp:val=&quot;00734EFA&quot;/&gt;&lt;wsp:rsid wsp:val=&quot;00737368&quot;/&gt;&lt;wsp:rsid wsp:val=&quot;00737BCF&quot;/&gt;&lt;wsp:rsid wsp:val=&quot;007425CB&quot;/&gt;&lt;wsp:rsid wsp:val=&quot;0074445A&quot;/&gt;&lt;wsp:rsid wsp:val=&quot;00745E6F&quot;/&gt;&lt;wsp:rsid wsp:val=&quot;0074788C&quot;/&gt;&lt;wsp:rsid wsp:val=&quot;0075102A&quot;/&gt;&lt;wsp:rsid wsp:val=&quot;0075138A&quot;/&gt;&lt;wsp:rsid wsp:val=&quot;00751AFF&quot;/&gt;&lt;wsp:rsid wsp:val=&quot;007527E7&quot;/&gt;&lt;wsp:rsid wsp:val=&quot;0075310A&quot;/&gt;&lt;wsp:rsid wsp:val=&quot;00756968&quot;/&gt;&lt;wsp:rsid wsp:val=&quot;007571A3&quot;/&gt;&lt;wsp:rsid wsp:val=&quot;007571B8&quot;/&gt;&lt;wsp:rsid wsp:val=&quot;00757C93&quot;/&gt;&lt;wsp:rsid wsp:val=&quot;00761E06&quot;/&gt;&lt;wsp:rsid wsp:val=&quot;00763D7E&quot;/&gt;&lt;wsp:rsid wsp:val=&quot;00764CEB&quot;/&gt;&lt;wsp:rsid wsp:val=&quot;00764F69&quot;/&gt;&lt;wsp:rsid wsp:val=&quot;00765016&quot;/&gt;&lt;wsp:rsid wsp:val=&quot;007661AB&quot;/&gt;&lt;wsp:rsid wsp:val=&quot;007710A7&quot;/&gt;&lt;wsp:rsid wsp:val=&quot;00771B13&quot;/&gt;&lt;wsp:rsid wsp:val=&quot;00771BB5&quot;/&gt;&lt;wsp:rsid wsp:val=&quot;00773485&quot;/&gt;&lt;wsp:rsid wsp:val=&quot;00775569&quot;/&gt;&lt;wsp:rsid wsp:val=&quot;00780D63&quot;/&gt;&lt;wsp:rsid wsp:val=&quot;00781914&quot;/&gt;&lt;wsp:rsid wsp:val=&quot;00782C7B&quot;/&gt;&lt;wsp:rsid wsp:val=&quot;00782FFA&quot;/&gt;&lt;wsp:rsid wsp:val=&quot;00783516&quot;/&gt;&lt;wsp:rsid wsp:val=&quot;00784524&quot;/&gt;&lt;wsp:rsid wsp:val=&quot;00784C0D&quot;/&gt;&lt;wsp:rsid wsp:val=&quot;0078669F&quot;/&gt;&lt;wsp:rsid wsp:val=&quot;00786810&quot;/&gt;&lt;wsp:rsid wsp:val=&quot;00786A33&quot;/&gt;&lt;wsp:rsid wsp:val=&quot;007874C6&quot;/&gt;&lt;wsp:rsid wsp:val=&quot;00787599&quot;/&gt;&lt;wsp:rsid wsp:val=&quot;00790BE5&quot;/&gt;&lt;wsp:rsid wsp:val=&quot;00794D8E&quot;/&gt;&lt;wsp:rsid wsp:val=&quot;007A075E&quot;/&gt;&lt;wsp:rsid wsp:val=&quot;007A37E5&quot;/&gt;&lt;wsp:rsid wsp:val=&quot;007A41C8&quot;/&gt;&lt;wsp:rsid wsp:val=&quot;007B04C2&quot;/&gt;&lt;wsp:rsid wsp:val=&quot;007B1EEC&quot;/&gt;&lt;wsp:rsid wsp:val=&quot;007B26C8&quot;/&gt;&lt;wsp:rsid wsp:val=&quot;007B3619&quot;/&gt;&lt;wsp:rsid wsp:val=&quot;007B571E&quot;/&gt;&lt;wsp:rsid wsp:val=&quot;007B66C8&quot;/&gt;&lt;wsp:rsid wsp:val=&quot;007C0646&quot;/&gt;&lt;wsp:rsid wsp:val=&quot;007C221A&quot;/&gt;&lt;wsp:rsid wsp:val=&quot;007C36EA&quot;/&gt;&lt;wsp:rsid wsp:val=&quot;007C4694&quot;/&gt;&lt;wsp:rsid wsp:val=&quot;007C5109&quot;/&gt;&lt;wsp:rsid wsp:val=&quot;007C5138&quot;/&gt;&lt;wsp:rsid wsp:val=&quot;007C6F99&quot;/&gt;&lt;wsp:rsid wsp:val=&quot;007C7FDA&quot;/&gt;&lt;wsp:rsid wsp:val=&quot;007D25B0&quot;/&gt;&lt;wsp:rsid wsp:val=&quot;007D32D7&quot;/&gt;&lt;wsp:rsid wsp:val=&quot;007D3637&quot;/&gt;&lt;wsp:rsid wsp:val=&quot;007D36B1&quot;/&gt;&lt;wsp:rsid wsp:val=&quot;007D5B2B&quot;/&gt;&lt;wsp:rsid wsp:val=&quot;007D63EC&quot;/&gt;&lt;wsp:rsid wsp:val=&quot;007D7AE5&quot;/&gt;&lt;wsp:rsid wsp:val=&quot;007D7B29&quot;/&gt;&lt;wsp:rsid wsp:val=&quot;007D7C52&quot;/&gt;&lt;wsp:rsid wsp:val=&quot;007E0982&quot;/&gt;&lt;wsp:rsid wsp:val=&quot;007E09B2&quot;/&gt;&lt;wsp:rsid wsp:val=&quot;007E0C88&quot;/&gt;&lt;wsp:rsid wsp:val=&quot;007E43E2&quot;/&gt;&lt;wsp:rsid wsp:val=&quot;007E6527&quot;/&gt;&lt;wsp:rsid wsp:val=&quot;007E7440&quot;/&gt;&lt;wsp:rsid wsp:val=&quot;007E7D52&quot;/&gt;&lt;wsp:rsid wsp:val=&quot;007E7D58&quot;/&gt;&lt;wsp:rsid wsp:val=&quot;007F0E87&quot;/&gt;&lt;wsp:rsid wsp:val=&quot;007F2B93&quot;/&gt;&lt;wsp:rsid wsp:val=&quot;007F6004&quot;/&gt;&lt;wsp:rsid wsp:val=&quot;00804EFD&quot;/&gt;&lt;wsp:rsid wsp:val=&quot;00805711&quot;/&gt;&lt;wsp:rsid wsp:val=&quot;00807B76&quot;/&gt;&lt;wsp:rsid wsp:val=&quot;00810255&quot;/&gt;&lt;wsp:rsid wsp:val=&quot;0081189E&quot;/&gt;&lt;wsp:rsid wsp:val=&quot;00812CA5&quot;/&gt;&lt;wsp:rsid wsp:val=&quot;0081447F&quot;/&gt;&lt;wsp:rsid wsp:val=&quot;00814B22&quot;/&gt;&lt;wsp:rsid wsp:val=&quot;008158DF&quot;/&gt;&lt;wsp:rsid wsp:val=&quot;00817C32&quot;/&gt;&lt;wsp:rsid wsp:val=&quot;0082096C&quot;/&gt;&lt;wsp:rsid wsp:val=&quot;00826344&quot;/&gt;&lt;wsp:rsid wsp:val=&quot;0082714B&quot;/&gt;&lt;wsp:rsid wsp:val=&quot;00827BA4&quot;/&gt;&lt;wsp:rsid wsp:val=&quot;00835C6A&quot;/&gt;&lt;wsp:rsid wsp:val=&quot;008363E5&quot;/&gt;&lt;wsp:rsid wsp:val=&quot;00840668&quot;/&gt;&lt;wsp:rsid wsp:val=&quot;00840C78&quot;/&gt;&lt;wsp:rsid wsp:val=&quot;0084278D&quot;/&gt;&lt;wsp:rsid wsp:val=&quot;00846EC4&quot;/&gt;&lt;wsp:rsid wsp:val=&quot;00847610&quot;/&gt;&lt;wsp:rsid wsp:val=&quot;0085056C&quot;/&gt;&lt;wsp:rsid wsp:val=&quot;00850855&quot;/&gt;&lt;wsp:rsid wsp:val=&quot;00850B4F&quot;/&gt;&lt;wsp:rsid wsp:val=&quot;00853B9C&quot;/&gt;&lt;wsp:rsid wsp:val=&quot;00853D69&quot;/&gt;&lt;wsp:rsid wsp:val=&quot;00855A8E&quot;/&gt;&lt;wsp:rsid wsp:val=&quot;008625F5&quot;/&gt;&lt;wsp:rsid wsp:val=&quot;008626FD&quot;/&gt;&lt;wsp:rsid wsp:val=&quot;00863DBA&quot;/&gt;&lt;wsp:rsid wsp:val=&quot;008645C2&quot;/&gt;&lt;wsp:rsid wsp:val=&quot;00865316&quot;/&gt;&lt;wsp:rsid wsp:val=&quot;00866E96&quot;/&gt;&lt;wsp:rsid wsp:val=&quot;00867916&quot;/&gt;&lt;wsp:rsid wsp:val=&quot;00871AFB&quot;/&gt;&lt;wsp:rsid wsp:val=&quot;00871F05&quot;/&gt;&lt;wsp:rsid wsp:val=&quot;008762B6&quot;/&gt;&lt;wsp:rsid wsp:val=&quot;00876845&quot;/&gt;&lt;wsp:rsid wsp:val=&quot;00876916&quot;/&gt;&lt;wsp:rsid wsp:val=&quot;00877D6D&quot;/&gt;&lt;wsp:rsid wsp:val=&quot;00880089&quot;/&gt;&lt;wsp:rsid wsp:val=&quot;008805D6&quot;/&gt;&lt;wsp:rsid wsp:val=&quot;0088328D&quot;/&gt;&lt;wsp:rsid wsp:val=&quot;00884216&quot;/&gt;&lt;wsp:rsid wsp:val=&quot;008857D7&quot;/&gt;&lt;wsp:rsid wsp:val=&quot;00885D11&quot;/&gt;&lt;wsp:rsid wsp:val=&quot;0088606B&quot;/&gt;&lt;wsp:rsid wsp:val=&quot;00890FFD&quot;/&gt;&lt;wsp:rsid wsp:val=&quot;00891D7E&quot;/&gt;&lt;wsp:rsid wsp:val=&quot;00892BC0&quot;/&gt;&lt;wsp:rsid wsp:val=&quot;0089344A&quot;/&gt;&lt;wsp:rsid wsp:val=&quot;00894F34&quot;/&gt;&lt;wsp:rsid wsp:val=&quot;008958A8&quot;/&gt;&lt;wsp:rsid wsp:val=&quot;0089607B&quot;/&gt;&lt;wsp:rsid wsp:val=&quot;00897308&quot;/&gt;&lt;wsp:rsid wsp:val=&quot;008A2DD3&quot;/&gt;&lt;wsp:rsid wsp:val=&quot;008A30FA&quot;/&gt;&lt;wsp:rsid wsp:val=&quot;008A4F76&quot;/&gt;&lt;wsp:rsid wsp:val=&quot;008A645B&quot;/&gt;&lt;wsp:rsid wsp:val=&quot;008A70F0&quot;/&gt;&lt;wsp:rsid wsp:val=&quot;008B0F84&quot;/&gt;&lt;wsp:rsid wsp:val=&quot;008B141C&quot;/&gt;&lt;wsp:rsid wsp:val=&quot;008B2B71&quot;/&gt;&lt;wsp:rsid wsp:val=&quot;008B4AAC&quot;/&gt;&lt;wsp:rsid wsp:val=&quot;008B514C&quot;/&gt;&lt;wsp:rsid wsp:val=&quot;008B7F68&quot;/&gt;&lt;wsp:rsid wsp:val=&quot;008C0AC2&quot;/&gt;&lt;wsp:rsid wsp:val=&quot;008C1E29&quot;/&gt;&lt;wsp:rsid wsp:val=&quot;008C1F59&quot;/&gt;&lt;wsp:rsid wsp:val=&quot;008C25C2&quot;/&gt;&lt;wsp:rsid wsp:val=&quot;008C4A83&quot;/&gt;&lt;wsp:rsid wsp:val=&quot;008D1A94&quot;/&gt;&lt;wsp:rsid wsp:val=&quot;008D3E93&quot;/&gt;&lt;wsp:rsid wsp:val=&quot;008D7BC6&quot;/&gt;&lt;wsp:rsid wsp:val=&quot;008E00A3&quot;/&gt;&lt;wsp:rsid wsp:val=&quot;008E3729&quot;/&gt;&lt;wsp:rsid wsp:val=&quot;008E3BBA&quot;/&gt;&lt;wsp:rsid wsp:val=&quot;008E5794&quot;/&gt;&lt;wsp:rsid wsp:val=&quot;008E5D14&quot;/&gt;&lt;wsp:rsid wsp:val=&quot;008F04EC&quot;/&gt;&lt;wsp:rsid wsp:val=&quot;008F1CD8&quot;/&gt;&lt;wsp:rsid wsp:val=&quot;008F4C92&quot;/&gt;&lt;wsp:rsid wsp:val=&quot;008F708A&quot;/&gt;&lt;wsp:rsid wsp:val=&quot;008F7B11&quot;/&gt;&lt;wsp:rsid wsp:val=&quot;009000D8&quot;/&gt;&lt;wsp:rsid wsp:val=&quot;00900760&quot;/&gt;&lt;wsp:rsid wsp:val=&quot;0090162C&quot;/&gt;&lt;wsp:rsid wsp:val=&quot;009044F1&quot;/&gt;&lt;wsp:rsid wsp:val=&quot;009055B2&quot;/&gt;&lt;wsp:rsid wsp:val=&quot;009073A7&quot;/&gt;&lt;wsp:rsid wsp:val=&quot;00910F85&quot;/&gt;&lt;wsp:rsid wsp:val=&quot;009117AE&quot;/&gt;&lt;wsp:rsid wsp:val=&quot;00912162&quot;/&gt;&lt;wsp:rsid wsp:val=&quot;00913573&quot;/&gt;&lt;wsp:rsid wsp:val=&quot;009160A1&quot;/&gt;&lt;wsp:rsid wsp:val=&quot;00916CA5&quot;/&gt;&lt;wsp:rsid wsp:val=&quot;0091799A&quot;/&gt;&lt;wsp:rsid wsp:val=&quot;00917CF3&quot;/&gt;&lt;wsp:rsid wsp:val=&quot;00921D51&quot;/&gt;&lt;wsp:rsid wsp:val=&quot;00923759&quot;/&gt;&lt;wsp:rsid wsp:val=&quot;009302A6&quot;/&gt;&lt;wsp:rsid wsp:val=&quot;009309EC&quot;/&gt;&lt;wsp:rsid wsp:val=&quot;00930F35&quot;/&gt;&lt;wsp:rsid wsp:val=&quot;00933149&quot;/&gt;&lt;wsp:rsid wsp:val=&quot;00933C17&quot;/&gt;&lt;wsp:rsid wsp:val=&quot;009341EC&quot;/&gt;&lt;wsp:rsid wsp:val=&quot;009351D5&quot;/&gt;&lt;wsp:rsid wsp:val=&quot;009400CC&quot;/&gt;&lt;wsp:rsid wsp:val=&quot;009401FB&quot;/&gt;&lt;wsp:rsid wsp:val=&quot;00941224&quot;/&gt;&lt;wsp:rsid wsp:val=&quot;009435D9&quot;/&gt;&lt;wsp:rsid wsp:val=&quot;0094397A&quot;/&gt;&lt;wsp:rsid wsp:val=&quot;009527AE&quot;/&gt;&lt;wsp:rsid wsp:val=&quot;00952FB9&quot;/&gt;&lt;wsp:rsid wsp:val=&quot;009537F1&quot;/&gt;&lt;wsp:rsid wsp:val=&quot;00955200&quot;/&gt;&lt;wsp:rsid wsp:val=&quot;00955582&quot;/&gt;&lt;wsp:rsid wsp:val=&quot;00955ABC&quot;/&gt;&lt;wsp:rsid wsp:val=&quot;00963CCD&quot;/&gt;&lt;wsp:rsid wsp:val=&quot;00964422&quot;/&gt;&lt;wsp:rsid wsp:val=&quot;00965F68&quot;/&gt;&lt;wsp:rsid wsp:val=&quot;009700BB&quot;/&gt;&lt;wsp:rsid wsp:val=&quot;00970162&quot;/&gt;&lt;wsp:rsid wsp:val=&quot;0097109E&quot;/&gt;&lt;wsp:rsid wsp:val=&quot;0097532A&quot;/&gt;&lt;wsp:rsid wsp:val=&quot;009801BB&quot;/&gt;&lt;wsp:rsid wsp:val=&quot;00980F4C&quot;/&gt;&lt;wsp:rsid wsp:val=&quot;00982662&quot;/&gt;&lt;wsp:rsid wsp:val=&quot;00983818&quot;/&gt;&lt;wsp:rsid wsp:val=&quot;009839C8&quot;/&gt;&lt;wsp:rsid wsp:val=&quot;00983ED0&quot;/&gt;&lt;wsp:rsid wsp:val=&quot;00985231&quot;/&gt;&lt;wsp:rsid wsp:val=&quot;009859D5&quot;/&gt;&lt;wsp:rsid wsp:val=&quot;00987B5E&quot;/&gt;&lt;wsp:rsid wsp:val=&quot;00991E9A&quot;/&gt;&lt;wsp:rsid wsp:val=&quot;00993AC5&quot;/&gt;&lt;wsp:rsid wsp:val=&quot;00993CBB&quot;/&gt;&lt;wsp:rsid wsp:val=&quot;0099563F&quot;/&gt;&lt;wsp:rsid wsp:val=&quot;00996DA1&quot;/&gt;&lt;wsp:rsid wsp:val=&quot;009974E3&quot;/&gt;&lt;wsp:rsid wsp:val=&quot;009A5CBD&quot;/&gt;&lt;wsp:rsid wsp:val=&quot;009A6744&quot;/&gt;&lt;wsp:rsid wsp:val=&quot;009B008F&quot;/&gt;&lt;wsp:rsid wsp:val=&quot;009B4EF9&quot;/&gt;&lt;wsp:rsid wsp:val=&quot;009B6159&quot;/&gt;&lt;wsp:rsid wsp:val=&quot;009B6971&quot;/&gt;&lt;wsp:rsid wsp:val=&quot;009C24DF&quot;/&gt;&lt;wsp:rsid wsp:val=&quot;009C3FD2&quot;/&gt;&lt;wsp:rsid wsp:val=&quot;009C633B&quot;/&gt;&lt;wsp:rsid wsp:val=&quot;009C6B12&quot;/&gt;&lt;wsp:rsid wsp:val=&quot;009D00CC&quot;/&gt;&lt;wsp:rsid wsp:val=&quot;009D1304&quot;/&gt;&lt;wsp:rsid wsp:val=&quot;009D1C15&quot;/&gt;&lt;wsp:rsid wsp:val=&quot;009D229A&quot;/&gt;&lt;wsp:rsid wsp:val=&quot;009D3942&quot;/&gt;&lt;wsp:rsid wsp:val=&quot;009D3C1E&quot;/&gt;&lt;wsp:rsid wsp:val=&quot;009D4DCF&quot;/&gt;&lt;wsp:rsid wsp:val=&quot;009D4FE2&quot;/&gt;&lt;wsp:rsid wsp:val=&quot;009D520A&quot;/&gt;&lt;wsp:rsid wsp:val=&quot;009D5510&quot;/&gt;&lt;wsp:rsid wsp:val=&quot;009D6449&quot;/&gt;&lt;wsp:rsid wsp:val=&quot;009D66E7&quot;/&gt;&lt;wsp:rsid wsp:val=&quot;009D7454&quot;/&gt;&lt;wsp:rsid wsp:val=&quot;009E2AF4&quot;/&gt;&lt;wsp:rsid wsp:val=&quot;009E3838&quot;/&gt;&lt;wsp:rsid wsp:val=&quot;009E5B23&quot;/&gt;&lt;wsp:rsid wsp:val=&quot;009E7BE6&quot;/&gt;&lt;wsp:rsid wsp:val=&quot;009F058A&quot;/&gt;&lt;wsp:rsid wsp:val=&quot;009F1EC6&quot;/&gt;&lt;wsp:rsid wsp:val=&quot;009F5F19&quot;/&gt;&lt;wsp:rsid wsp:val=&quot;009F68AF&quot;/&gt;&lt;wsp:rsid wsp:val=&quot;00A009A6&quot;/&gt;&lt;wsp:rsid wsp:val=&quot;00A01EF8&quot;/&gt;&lt;wsp:rsid wsp:val=&quot;00A03986&quot;/&gt;&lt;wsp:rsid wsp:val=&quot;00A03B3D&quot;/&gt;&lt;wsp:rsid wsp:val=&quot;00A05867&quot;/&gt;&lt;wsp:rsid wsp:val=&quot;00A07DB6&quot;/&gt;&lt;wsp:rsid wsp:val=&quot;00A10653&quot;/&gt;&lt;wsp:rsid wsp:val=&quot;00A12D83&quot;/&gt;&lt;wsp:rsid wsp:val=&quot;00A145CA&quot;/&gt;&lt;wsp:rsid wsp:val=&quot;00A161F5&quot;/&gt;&lt;wsp:rsid wsp:val=&quot;00A17621&quot;/&gt;&lt;wsp:rsid wsp:val=&quot;00A17DCB&quot;/&gt;&lt;wsp:rsid wsp:val=&quot;00A2015C&quot;/&gt;&lt;wsp:rsid wsp:val=&quot;00A20560&quot;/&gt;&lt;wsp:rsid wsp:val=&quot;00A21643&quot;/&gt;&lt;wsp:rsid wsp:val=&quot;00A22BDC&quot;/&gt;&lt;wsp:rsid wsp:val=&quot;00A32097&quot;/&gt;&lt;wsp:rsid wsp:val=&quot;00A3248D&quot;/&gt;&lt;wsp:rsid wsp:val=&quot;00A344CC&quot;/&gt;&lt;wsp:rsid wsp:val=&quot;00A34DFF&quot;/&gt;&lt;wsp:rsid wsp:val=&quot;00A35505&quot;/&gt;&lt;wsp:rsid wsp:val=&quot;00A363AC&quot;/&gt;&lt;wsp:rsid wsp:val=&quot;00A363F5&quot;/&gt;&lt;wsp:rsid wsp:val=&quot;00A365C1&quot;/&gt;&lt;wsp:rsid wsp:val=&quot;00A3761D&quot;/&gt;&lt;wsp:rsid wsp:val=&quot;00A4272D&quot;/&gt;&lt;wsp:rsid wsp:val=&quot;00A476F6&quot;/&gt;&lt;wsp:rsid wsp:val=&quot;00A47EEF&quot;/&gt;&lt;wsp:rsid wsp:val=&quot;00A51F8A&quot;/&gt;&lt;wsp:rsid wsp:val=&quot;00A53464&quot;/&gt;&lt;wsp:rsid wsp:val=&quot;00A53C56&quot;/&gt;&lt;wsp:rsid wsp:val=&quot;00A547AF&quot;/&gt;&lt;wsp:rsid wsp:val=&quot;00A54B03&quot;/&gt;&lt;wsp:rsid wsp:val=&quot;00A552DD&quot;/&gt;&lt;wsp:rsid wsp:val=&quot;00A573F9&quot;/&gt;&lt;wsp:rsid wsp:val=&quot;00A57615&quot;/&gt;&lt;wsp:rsid wsp:val=&quot;00A578EC&quot;/&gt;&lt;wsp:rsid wsp:val=&quot;00A57B36&quot;/&gt;&lt;wsp:rsid wsp:val=&quot;00A60DA7&quot;/&gt;&lt;wsp:rsid wsp:val=&quot;00A613D6&quot;/&gt;&lt;wsp:rsid wsp:val=&quot;00A65A44&quot;/&gt;&lt;wsp:rsid wsp:val=&quot;00A65F7A&quot;/&gt;&lt;wsp:rsid wsp:val=&quot;00A66BD4&quot;/&gt;&lt;wsp:rsid wsp:val=&quot;00A6717A&quot;/&gt;&lt;wsp:rsid wsp:val=&quot;00A72134&quot;/&gt;&lt;wsp:rsid wsp:val=&quot;00A76115&quot;/&gt;&lt;wsp:rsid wsp:val=&quot;00A77718&quot;/&gt;&lt;wsp:rsid wsp:val=&quot;00A77A33&quot;/&gt;&lt;wsp:rsid wsp:val=&quot;00A80497&quot;/&gt;&lt;wsp:rsid wsp:val=&quot;00A80FA3&quot;/&gt;&lt;wsp:rsid wsp:val=&quot;00A81243&quot;/&gt;&lt;wsp:rsid wsp:val=&quot;00A8238D&quot;/&gt;&lt;wsp:rsid wsp:val=&quot;00A82CF6&quot;/&gt;&lt;wsp:rsid wsp:val=&quot;00A832EB&quot;/&gt;&lt;wsp:rsid wsp:val=&quot;00A8339C&quot;/&gt;&lt;wsp:rsid wsp:val=&quot;00A868DF&quot;/&gt;&lt;wsp:rsid wsp:val=&quot;00A8792A&quot;/&gt;&lt;wsp:rsid wsp:val=&quot;00A906B3&quot;/&gt;&lt;wsp:rsid wsp:val=&quot;00A92FBD&quot;/&gt;&lt;wsp:rsid wsp:val=&quot;00A93480&quot;/&gt;&lt;wsp:rsid wsp:val=&quot;00A943FC&quot;/&gt;&lt;wsp:rsid wsp:val=&quot;00A94A2D&quot;/&gt;&lt;wsp:rsid wsp:val=&quot;00A96216&quot;/&gt;&lt;wsp:rsid wsp:val=&quot;00A9692D&quot;/&gt;&lt;wsp:rsid wsp:val=&quot;00A96B39&quot;/&gt;&lt;wsp:rsid wsp:val=&quot;00A97117&quot;/&gt;&lt;wsp:rsid wsp:val=&quot;00AA0878&quot;/&gt;&lt;wsp:rsid wsp:val=&quot;00AA10A4&quot;/&gt;&lt;wsp:rsid wsp:val=&quot;00AA2A99&quot;/&gt;&lt;wsp:rsid wsp:val=&quot;00AA3578&quot;/&gt;&lt;wsp:rsid wsp:val=&quot;00AA3E81&quot;/&gt;&lt;wsp:rsid wsp:val=&quot;00AA498E&quot;/&gt;&lt;wsp:rsid wsp:val=&quot;00AA5980&quot;/&gt;&lt;wsp:rsid wsp:val=&quot;00AB0AE0&quot;/&gt;&lt;wsp:rsid wsp:val=&quot;00AB1B55&quot;/&gt;&lt;wsp:rsid wsp:val=&quot;00AB1E72&quot;/&gt;&lt;wsp:rsid wsp:val=&quot;00AB3151&quot;/&gt;&lt;wsp:rsid wsp:val=&quot;00AB3E53&quot;/&gt;&lt;wsp:rsid wsp:val=&quot;00AB686F&quot;/&gt;&lt;wsp:rsid wsp:val=&quot;00AB6D13&quot;/&gt;&lt;wsp:rsid wsp:val=&quot;00AC186A&quot;/&gt;&lt;wsp:rsid wsp:val=&quot;00AC186F&quot;/&gt;&lt;wsp:rsid wsp:val=&quot;00AC3582&quot;/&gt;&lt;wsp:rsid wsp:val=&quot;00AC3DEA&quot;/&gt;&lt;wsp:rsid wsp:val=&quot;00AC4CC6&quot;/&gt;&lt;wsp:rsid wsp:val=&quot;00AD02D6&quot;/&gt;&lt;wsp:rsid wsp:val=&quot;00AD10F5&quot;/&gt;&lt;wsp:rsid wsp:val=&quot;00AD1A3E&quot;/&gt;&lt;wsp:rsid wsp:val=&quot;00AD3BBB&quot;/&gt;&lt;wsp:rsid wsp:val=&quot;00AD4387&quot;/&gt;&lt;wsp:rsid wsp:val=&quot;00AD4F81&quot;/&gt;&lt;wsp:rsid wsp:val=&quot;00AD7B75&quot;/&gt;&lt;wsp:rsid wsp:val=&quot;00AE0839&quot;/&gt;&lt;wsp:rsid wsp:val=&quot;00AE11F2&quot;/&gt;&lt;wsp:rsid wsp:val=&quot;00AE530C&quot;/&gt;&lt;wsp:rsid wsp:val=&quot;00AE553D&quot;/&gt;&lt;wsp:rsid wsp:val=&quot;00AF0388&quot;/&gt;&lt;wsp:rsid wsp:val=&quot;00AF0439&quot;/&gt;&lt;wsp:rsid wsp:val=&quot;00AF09FF&quot;/&gt;&lt;wsp:rsid wsp:val=&quot;00AF29B1&quot;/&gt;&lt;wsp:rsid wsp:val=&quot;00AF417C&quot;/&gt;&lt;wsp:rsid wsp:val=&quot;00AF42F3&quot;/&gt;&lt;wsp:rsid wsp:val=&quot;00AF6401&quot;/&gt;&lt;wsp:rsid wsp:val=&quot;00AF652D&quot;/&gt;&lt;wsp:rsid wsp:val=&quot;00B01824&quot;/&gt;&lt;wsp:rsid wsp:val=&quot;00B01A13&quot;/&gt;&lt;wsp:rsid wsp:val=&quot;00B02105&quot;/&gt;&lt;wsp:rsid wsp:val=&quot;00B02EAC&quot;/&gt;&lt;wsp:rsid wsp:val=&quot;00B0317D&quot;/&gt;&lt;wsp:rsid wsp:val=&quot;00B031D9&quot;/&gt;&lt;wsp:rsid wsp:val=&quot;00B05A31&quot;/&gt;&lt;wsp:rsid wsp:val=&quot;00B060CB&quot;/&gt;&lt;wsp:rsid wsp:val=&quot;00B07BDE&quot;/&gt;&lt;wsp:rsid wsp:val=&quot;00B11AD1&quot;/&gt;&lt;wsp:rsid wsp:val=&quot;00B120A8&quot;/&gt;&lt;wsp:rsid wsp:val=&quot;00B15663&quot;/&gt;&lt;wsp:rsid wsp:val=&quot;00B16543&quot;/&gt;&lt;wsp:rsid wsp:val=&quot;00B217F7&quot;/&gt;&lt;wsp:rsid wsp:val=&quot;00B241B7&quot;/&gt;&lt;wsp:rsid wsp:val=&quot;00B24A3A&quot;/&gt;&lt;wsp:rsid wsp:val=&quot;00B25148&quot;/&gt;&lt;wsp:rsid wsp:val=&quot;00B25A71&quot;/&gt;&lt;wsp:rsid wsp:val=&quot;00B2756A&quot;/&gt;&lt;wsp:rsid wsp:val=&quot;00B32647&quot;/&gt;&lt;wsp:rsid wsp:val=&quot;00B32CF5&quot;/&gt;&lt;wsp:rsid wsp:val=&quot;00B32E69&quot;/&gt;&lt;wsp:rsid wsp:val=&quot;00B33C6B&quot;/&gt;&lt;wsp:rsid wsp:val=&quot;00B33E13&quot;/&gt;&lt;wsp:rsid wsp:val=&quot;00B348A4&quot;/&gt;&lt;wsp:rsid wsp:val=&quot;00B36E15&quot;/&gt;&lt;wsp:rsid wsp:val=&quot;00B403B1&quot;/&gt;&lt;wsp:rsid wsp:val=&quot;00B4369C&quot;/&gt;&lt;wsp:rsid wsp:val=&quot;00B45DA3&quot;/&gt;&lt;wsp:rsid wsp:val=&quot;00B465CE&quot;/&gt;&lt;wsp:rsid wsp:val=&quot;00B4685A&quot;/&gt;&lt;wsp:rsid wsp:val=&quot;00B468D2&quot;/&gt;&lt;wsp:rsid wsp:val=&quot;00B46DD6&quot;/&gt;&lt;wsp:rsid wsp:val=&quot;00B521CA&quot;/&gt;&lt;wsp:rsid wsp:val=&quot;00B54AB1&quot;/&gt;&lt;wsp:rsid wsp:val=&quot;00B55B7C&quot;/&gt;&lt;wsp:rsid wsp:val=&quot;00B56CFC&quot;/&gt;&lt;wsp:rsid wsp:val=&quot;00B57F91&quot;/&gt;&lt;wsp:rsid wsp:val=&quot;00B60A16&quot;/&gt;&lt;wsp:rsid wsp:val=&quot;00B60B1A&quot;/&gt;&lt;wsp:rsid wsp:val=&quot;00B612E1&quot;/&gt;&lt;wsp:rsid wsp:val=&quot;00B62125&quot;/&gt;&lt;wsp:rsid wsp:val=&quot;00B6286B&quot;/&gt;&lt;wsp:rsid wsp:val=&quot;00B629BE&quot;/&gt;&lt;wsp:rsid wsp:val=&quot;00B6414F&quot;/&gt;&lt;wsp:rsid wsp:val=&quot;00B67B16&quot;/&gt;&lt;wsp:rsid wsp:val=&quot;00B702A3&quot;/&gt;&lt;wsp:rsid wsp:val=&quot;00B7380C&quot;/&gt;&lt;wsp:rsid wsp:val=&quot;00B770D3&quot;/&gt;&lt;wsp:rsid wsp:val=&quot;00B770F5&quot;/&gt;&lt;wsp:rsid wsp:val=&quot;00B779E0&quot;/&gt;&lt;wsp:rsid wsp:val=&quot;00B77A2E&quot;/&gt;&lt;wsp:rsid wsp:val=&quot;00B8700C&quot;/&gt;&lt;wsp:rsid wsp:val=&quot;00B90B33&quot;/&gt;&lt;wsp:rsid wsp:val=&quot;00B91008&quot;/&gt;&lt;wsp:rsid wsp:val=&quot;00B9170F&quot;/&gt;&lt;wsp:rsid wsp:val=&quot;00B92A58&quot;/&gt;&lt;wsp:rsid wsp:val=&quot;00B931AD&quot;/&gt;&lt;wsp:rsid wsp:val=&quot;00B93592&quot;/&gt;&lt;wsp:rsid wsp:val=&quot;00B952AC&quot;/&gt;&lt;wsp:rsid wsp:val=&quot;00B95847&quot;/&gt;&lt;wsp:rsid wsp:val=&quot;00BA13DC&quot;/&gt;&lt;wsp:rsid wsp:val=&quot;00BA35AD&quot;/&gt;&lt;wsp:rsid wsp:val=&quot;00BA4B97&quot;/&gt;&lt;wsp:rsid wsp:val=&quot;00BA72F5&quot;/&gt;&lt;wsp:rsid wsp:val=&quot;00BA7F86&quot;/&gt;&lt;wsp:rsid wsp:val=&quot;00BB03AA&quot;/&gt;&lt;wsp:rsid wsp:val=&quot;00BB0E82&quot;/&gt;&lt;wsp:rsid wsp:val=&quot;00BB1192&quot;/&gt;&lt;wsp:rsid wsp:val=&quot;00BB3CC8&quot;/&gt;&lt;wsp:rsid wsp:val=&quot;00BB4F16&quot;/&gt;&lt;wsp:rsid wsp:val=&quot;00BB556D&quot;/&gt;&lt;wsp:rsid wsp:val=&quot;00BB7288&quot;/&gt;&lt;wsp:rsid wsp:val=&quot;00BC074E&quot;/&gt;&lt;wsp:rsid wsp:val=&quot;00BC2357&quot;/&gt;&lt;wsp:rsid wsp:val=&quot;00BC452C&quot;/&gt;&lt;wsp:rsid wsp:val=&quot;00BC4DA5&quot;/&gt;&lt;wsp:rsid wsp:val=&quot;00BC5129&quot;/&gt;&lt;wsp:rsid wsp:val=&quot;00BC6434&quot;/&gt;&lt;wsp:rsid wsp:val=&quot;00BC6B37&quot;/&gt;&lt;wsp:rsid wsp:val=&quot;00BC771A&quot;/&gt;&lt;wsp:rsid wsp:val=&quot;00BD30BC&quot;/&gt;&lt;wsp:rsid wsp:val=&quot;00BD3F7B&quot;/&gt;&lt;wsp:rsid wsp:val=&quot;00BD46CB&quot;/&gt;&lt;wsp:rsid wsp:val=&quot;00BD5EB4&quot;/&gt;&lt;wsp:rsid wsp:val=&quot;00BE5993&quot;/&gt;&lt;wsp:rsid wsp:val=&quot;00BF2D88&quot;/&gt;&lt;wsp:rsid wsp:val=&quot;00BF360B&quot;/&gt;&lt;wsp:rsid wsp:val=&quot;00BF3FB9&quot;/&gt;&lt;wsp:rsid wsp:val=&quot;00BF41AC&quot;/&gt;&lt;wsp:rsid wsp:val=&quot;00BF4367&quot;/&gt;&lt;wsp:rsid wsp:val=&quot;00BF5D07&quot;/&gt;&lt;wsp:rsid wsp:val=&quot;00BF6C56&quot;/&gt;&lt;wsp:rsid wsp:val=&quot;00C0037E&quot;/&gt;&lt;wsp:rsid wsp:val=&quot;00C023FB&quot;/&gt;&lt;wsp:rsid wsp:val=&quot;00C036FE&quot;/&gt;&lt;wsp:rsid wsp:val=&quot;00C05008&quot;/&gt;&lt;wsp:rsid wsp:val=&quot;00C053A5&quot;/&gt;&lt;wsp:rsid wsp:val=&quot;00C0588C&quot;/&gt;&lt;wsp:rsid wsp:val=&quot;00C14CDF&quot;/&gt;&lt;wsp:rsid wsp:val=&quot;00C16280&quot;/&gt;&lt;wsp:rsid wsp:val=&quot;00C21794&quot;/&gt;&lt;wsp:rsid wsp:val=&quot;00C218D2&quot;/&gt;&lt;wsp:rsid wsp:val=&quot;00C2274F&quot;/&gt;&lt;wsp:rsid wsp:val=&quot;00C27792&quot;/&gt;&lt;wsp:rsid wsp:val=&quot;00C278D9&quot;/&gt;&lt;wsp:rsid wsp:val=&quot;00C309E3&quot;/&gt;&lt;wsp:rsid wsp:val=&quot;00C322FA&quot;/&gt;&lt;wsp:rsid wsp:val=&quot;00C335E2&quot;/&gt;&lt;wsp:rsid wsp:val=&quot;00C34497&quot;/&gt;&lt;wsp:rsid wsp:val=&quot;00C400A1&quot;/&gt;&lt;wsp:rsid wsp:val=&quot;00C40B8D&quot;/&gt;&lt;wsp:rsid wsp:val=&quot;00C4217F&quot;/&gt;&lt;wsp:rsid wsp:val=&quot;00C43DBB&quot;/&gt;&lt;wsp:rsid wsp:val=&quot;00C44794&quot;/&gt;&lt;wsp:rsid wsp:val=&quot;00C46961&quot;/&gt;&lt;wsp:rsid wsp:val=&quot;00C472C3&quot;/&gt;&lt;wsp:rsid wsp:val=&quot;00C52019&quot;/&gt;&lt;wsp:rsid wsp:val=&quot;00C565AF&quot;/&gt;&lt;wsp:rsid wsp:val=&quot;00C5741E&quot;/&gt;&lt;wsp:rsid wsp:val=&quot;00C606B7&quot;/&gt;&lt;wsp:rsid wsp:val=&quot;00C61086&quot;/&gt;&lt;wsp:rsid wsp:val=&quot;00C64FE1&quot;/&gt;&lt;wsp:rsid wsp:val=&quot;00C656CF&quot;/&gt;&lt;wsp:rsid wsp:val=&quot;00C656D9&quot;/&gt;&lt;wsp:rsid wsp:val=&quot;00C6623F&quot;/&gt;&lt;wsp:rsid wsp:val=&quot;00C66D36&quot;/&gt;&lt;wsp:rsid wsp:val=&quot;00C67173&quot;/&gt;&lt;wsp:rsid wsp:val=&quot;00C713D2&quot;/&gt;&lt;wsp:rsid wsp:val=&quot;00C72244&quot;/&gt;&lt;wsp:rsid wsp:val=&quot;00C72B2F&quot;/&gt;&lt;wsp:rsid wsp:val=&quot;00C7476C&quot;/&gt;&lt;wsp:rsid wsp:val=&quot;00C76566&quot;/&gt;&lt;wsp:rsid wsp:val=&quot;00C766C9&quot;/&gt;&lt;wsp:rsid wsp:val=&quot;00C777B8&quot;/&gt;&lt;wsp:rsid wsp:val=&quot;00C803BA&quot;/&gt;&lt;wsp:rsid wsp:val=&quot;00C83C45&quot;/&gt;&lt;wsp:rsid wsp:val=&quot;00C83D5C&quot;/&gt;&lt;wsp:rsid wsp:val=&quot;00C84DDB&quot;/&gt;&lt;wsp:rsid wsp:val=&quot;00C85E05&quot;/&gt;&lt;wsp:rsid wsp:val=&quot;00C86B80&quot;/&gt;&lt;wsp:rsid wsp:val=&quot;00C86C2A&quot;/&gt;&lt;wsp:rsid wsp:val=&quot;00C86D5C&quot;/&gt;&lt;wsp:rsid wsp:val=&quot;00C90ABC&quot;/&gt;&lt;wsp:rsid wsp:val=&quot;00C9211A&quot;/&gt;&lt;wsp:rsid wsp:val=&quot;00C92306&quot;/&gt;&lt;wsp:rsid wsp:val=&quot;00C92F92&quot;/&gt;&lt;wsp:rsid wsp:val=&quot;00C9537D&quot;/&gt;&lt;wsp:rsid wsp:val=&quot;00C97C7C&quot;/&gt;&lt;wsp:rsid wsp:val=&quot;00CA1C09&quot;/&gt;&lt;wsp:rsid wsp:val=&quot;00CA329D&quot;/&gt;&lt;wsp:rsid wsp:val=&quot;00CA7BBE&quot;/&gt;&lt;wsp:rsid wsp:val=&quot;00CB0D69&quot;/&gt;&lt;wsp:rsid wsp:val=&quot;00CB0F82&quot;/&gt;&lt;wsp:rsid wsp:val=&quot;00CB3374&quot;/&gt;&lt;wsp:rsid wsp:val=&quot;00CB604A&quot;/&gt;&lt;wsp:rsid wsp:val=&quot;00CC467A&quot;/&gt;&lt;wsp:rsid wsp:val=&quot;00CC4B82&quot;/&gt;&lt;wsp:rsid wsp:val=&quot;00CC5256&quot;/&gt;&lt;wsp:rsid wsp:val=&quot;00CC7273&quot;/&gt;&lt;wsp:rsid wsp:val=&quot;00CD2183&quot;/&gt;&lt;wsp:rsid wsp:val=&quot;00CD23B6&quot;/&gt;&lt;wsp:rsid wsp:val=&quot;00CD2640&quot;/&gt;&lt;wsp:rsid wsp:val=&quot;00CD458F&quot;/&gt;&lt;wsp:rsid wsp:val=&quot;00CD6BFC&quot;/&gt;&lt;wsp:rsid wsp:val=&quot;00CE6CBC&quot;/&gt;&lt;wsp:rsid wsp:val=&quot;00CE7343&quot;/&gt;&lt;wsp:rsid wsp:val=&quot;00CF02DF&quot;/&gt;&lt;wsp:rsid wsp:val=&quot;00CF0421&quot;/&gt;&lt;wsp:rsid wsp:val=&quot;00CF11B8&quot;/&gt;&lt;wsp:rsid wsp:val=&quot;00CF36C3&quot;/&gt;&lt;wsp:rsid wsp:val=&quot;00CF50F5&quot;/&gt;&lt;wsp:rsid wsp:val=&quot;00CF65E3&quot;/&gt;&lt;wsp:rsid wsp:val=&quot;00D009A3&quot;/&gt;&lt;wsp:rsid wsp:val=&quot;00D0235F&quot;/&gt;&lt;wsp:rsid wsp:val=&quot;00D02716&quot;/&gt;&lt;wsp:rsid wsp:val=&quot;00D02B6A&quot;/&gt;&lt;wsp:rsid wsp:val=&quot;00D02E4B&quot;/&gt;&lt;wsp:rsid wsp:val=&quot;00D03F58&quot;/&gt;&lt;wsp:rsid wsp:val=&quot;00D04507&quot;/&gt;&lt;wsp:rsid wsp:val=&quot;00D0723F&quot;/&gt;&lt;wsp:rsid wsp:val=&quot;00D073B0&quot;/&gt;&lt;wsp:rsid wsp:val=&quot;00D11EFE&quot;/&gt;&lt;wsp:rsid wsp:val=&quot;00D12292&quot;/&gt;&lt;wsp:rsid wsp:val=&quot;00D14F97&quot;/&gt;&lt;wsp:rsid wsp:val=&quot;00D1576A&quot;/&gt;&lt;wsp:rsid wsp:val=&quot;00D15798&quot;/&gt;&lt;wsp:rsid wsp:val=&quot;00D15B8A&quot;/&gt;&lt;wsp:rsid wsp:val=&quot;00D21FF1&quot;/&gt;&lt;wsp:rsid wsp:val=&quot;00D226FC&quot;/&gt;&lt;wsp:rsid wsp:val=&quot;00D22FD9&quot;/&gt;&lt;wsp:rsid wsp:val=&quot;00D237CB&quot;/&gt;&lt;wsp:rsid wsp:val=&quot;00D23922&quot;/&gt;&lt;wsp:rsid wsp:val=&quot;00D23FF4&quot;/&gt;&lt;wsp:rsid wsp:val=&quot;00D25222&quot;/&gt;&lt;wsp:rsid wsp:val=&quot;00D26531&quot;/&gt;&lt;wsp:rsid wsp:val=&quot;00D27324&quot;/&gt;&lt;wsp:rsid wsp:val=&quot;00D30E11&quot;/&gt;&lt;wsp:rsid wsp:val=&quot;00D31757&quot;/&gt;&lt;wsp:rsid wsp:val=&quot;00D31BEE&quot;/&gt;&lt;wsp:rsid wsp:val=&quot;00D36106&quot;/&gt;&lt;wsp:rsid wsp:val=&quot;00D37662&quot;/&gt;&lt;wsp:rsid wsp:val=&quot;00D423F6&quot;/&gt;&lt;wsp:rsid wsp:val=&quot;00D44E0E&quot;/&gt;&lt;wsp:rsid wsp:val=&quot;00D45623&quot;/&gt;&lt;wsp:rsid wsp:val=&quot;00D456B3&quot;/&gt;&lt;wsp:rsid wsp:val=&quot;00D4784A&quot;/&gt;&lt;wsp:rsid wsp:val=&quot;00D501DF&quot;/&gt;&lt;wsp:rsid wsp:val=&quot;00D506F4&quot;/&gt;&lt;wsp:rsid wsp:val=&quot;00D50AD1&quot;/&gt;&lt;wsp:rsid wsp:val=&quot;00D50E26&quot;/&gt;&lt;wsp:rsid wsp:val=&quot;00D52D5D&quot;/&gt;&lt;wsp:rsid wsp:val=&quot;00D53837&quot;/&gt;&lt;wsp:rsid wsp:val=&quot;00D54826&quot;/&gt;&lt;wsp:rsid wsp:val=&quot;00D55826&quot;/&gt;&lt;wsp:rsid wsp:val=&quot;00D60120&quot;/&gt;&lt;wsp:rsid wsp:val=&quot;00D625C2&quot;/&gt;&lt;wsp:rsid wsp:val=&quot;00D63429&quot;/&gt;&lt;wsp:rsid wsp:val=&quot;00D6445A&quot;/&gt;&lt;wsp:rsid wsp:val=&quot;00D656EB&quot;/&gt;&lt;wsp:rsid wsp:val=&quot;00D658FD&quot;/&gt;&lt;wsp:rsid wsp:val=&quot;00D660B1&quot;/&gt;&lt;wsp:rsid wsp:val=&quot;00D7210F&quot;/&gt;&lt;wsp:rsid wsp:val=&quot;00D76007&quot;/&gt;&lt;wsp:rsid wsp:val=&quot;00D76905&quot;/&gt;&lt;wsp:rsid wsp:val=&quot;00D82888&quot;/&gt;&lt;wsp:rsid wsp:val=&quot;00D83B29&quot;/&gt;&lt;wsp:rsid wsp:val=&quot;00D841E4&quot;/&gt;&lt;wsp:rsid wsp:val=&quot;00D8425C&quot;/&gt;&lt;wsp:rsid wsp:val=&quot;00D856A7&quot;/&gt;&lt;wsp:rsid wsp:val=&quot;00D86CB8&quot;/&gt;&lt;wsp:rsid wsp:val=&quot;00D8714D&quot;/&gt;&lt;wsp:rsid wsp:val=&quot;00D877FA&quot;/&gt;&lt;wsp:rsid wsp:val=&quot;00D901B1&quot;/&gt;&lt;wsp:rsid wsp:val=&quot;00D90DDC&quot;/&gt;&lt;wsp:rsid wsp:val=&quot;00D91A86&quot;/&gt;&lt;wsp:rsid wsp:val=&quot;00D93A1A&quot;/&gt;&lt;wsp:rsid wsp:val=&quot;00D960F1&quot;/&gt;&lt;wsp:rsid wsp:val=&quot;00DA02FC&quot;/&gt;&lt;wsp:rsid wsp:val=&quot;00DA082B&quot;/&gt;&lt;wsp:rsid wsp:val=&quot;00DA261F&quot;/&gt;&lt;wsp:rsid wsp:val=&quot;00DA298F&quot;/&gt;&lt;wsp:rsid wsp:val=&quot;00DA36ED&quot;/&gt;&lt;wsp:rsid wsp:val=&quot;00DA67F6&quot;/&gt;&lt;wsp:rsid wsp:val=&quot;00DA743E&quot;/&gt;&lt;wsp:rsid wsp:val=&quot;00DB00DB&quot;/&gt;&lt;wsp:rsid wsp:val=&quot;00DB0FC5&quot;/&gt;&lt;wsp:rsid wsp:val=&quot;00DB460E&quot;/&gt;&lt;wsp:rsid wsp:val=&quot;00DB5370&quot;/&gt;&lt;wsp:rsid wsp:val=&quot;00DB5484&quot;/&gt;&lt;wsp:rsid wsp:val=&quot;00DB6C5B&quot;/&gt;&lt;wsp:rsid wsp:val=&quot;00DC0D87&quot;/&gt;&lt;wsp:rsid wsp:val=&quot;00DC155C&quot;/&gt;&lt;wsp:rsid wsp:val=&quot;00DC19FC&quot;/&gt;&lt;wsp:rsid wsp:val=&quot;00DC23D8&quot;/&gt;&lt;wsp:rsid wsp:val=&quot;00DC2D4D&quot;/&gt;&lt;wsp:rsid wsp:val=&quot;00DC3CB1&quot;/&gt;&lt;wsp:rsid wsp:val=&quot;00DC3DC6&quot;/&gt;&lt;wsp:rsid wsp:val=&quot;00DC522B&quot;/&gt;&lt;wsp:rsid wsp:val=&quot;00DC6E14&quot;/&gt;&lt;wsp:rsid wsp:val=&quot;00DD0574&quot;/&gt;&lt;wsp:rsid wsp:val=&quot;00DD3A7C&quot;/&gt;&lt;wsp:rsid wsp:val=&quot;00DD4877&quot;/&gt;&lt;wsp:rsid wsp:val=&quot;00DE1496&quot;/&gt;&lt;wsp:rsid wsp:val=&quot;00DE454E&quot;/&gt;&lt;wsp:rsid wsp:val=&quot;00DE5CC3&quot;/&gt;&lt;wsp:rsid wsp:val=&quot;00DE7FC2&quot;/&gt;&lt;wsp:rsid wsp:val=&quot;00DF2B7E&quot;/&gt;&lt;wsp:rsid wsp:val=&quot;00DF2C8C&quot;/&gt;&lt;wsp:rsid wsp:val=&quot;00DF31FF&quot;/&gt;&lt;wsp:rsid wsp:val=&quot;00DF3B66&quot;/&gt;&lt;wsp:rsid wsp:val=&quot;00DF58E4&quot;/&gt;&lt;wsp:rsid wsp:val=&quot;00DF5D77&quot;/&gt;&lt;wsp:rsid wsp:val=&quot;00DF5FC2&quot;/&gt;&lt;wsp:rsid wsp:val=&quot;00DF62E0&quot;/&gt;&lt;wsp:rsid wsp:val=&quot;00DF7307&quot;/&gt;&lt;wsp:rsid wsp:val=&quot;00E00578&quot;/&gt;&lt;wsp:rsid wsp:val=&quot;00E017D0&quot;/&gt;&lt;wsp:rsid wsp:val=&quot;00E017F2&quot;/&gt;&lt;wsp:rsid wsp:val=&quot;00E0344F&quot;/&gt;&lt;wsp:rsid wsp:val=&quot;00E03B97&quot;/&gt;&lt;wsp:rsid wsp:val=&quot;00E0575F&quot;/&gt;&lt;wsp:rsid wsp:val=&quot;00E11E3B&quot;/&gt;&lt;wsp:rsid wsp:val=&quot;00E11F8E&quot;/&gt;&lt;wsp:rsid wsp:val=&quot;00E15B72&quot;/&gt;&lt;wsp:rsid wsp:val=&quot;00E163D8&quot;/&gt;&lt;wsp:rsid wsp:val=&quot;00E16885&quot;/&gt;&lt;wsp:rsid wsp:val=&quot;00E20135&quot;/&gt;&lt;wsp:rsid wsp:val=&quot;00E20D23&quot;/&gt;&lt;wsp:rsid wsp:val=&quot;00E2142F&quot;/&gt;&lt;wsp:rsid wsp:val=&quot;00E22E8F&quot;/&gt;&lt;wsp:rsid wsp:val=&quot;00E30E1A&quot;/&gt;&lt;wsp:rsid wsp:val=&quot;00E37014&quot;/&gt;&lt;wsp:rsid wsp:val=&quot;00E40E37&quot;/&gt;&lt;wsp:rsid wsp:val=&quot;00E43641&quot;/&gt;&lt;wsp:rsid wsp:val=&quot;00E44851&quot;/&gt;&lt;wsp:rsid wsp:val=&quot;00E451FC&quot;/&gt;&lt;wsp:rsid wsp:val=&quot;00E46B29&quot;/&gt;&lt;wsp:rsid wsp:val=&quot;00E47E6E&quot;/&gt;&lt;wsp:rsid wsp:val=&quot;00E50EAB&quot;/&gt;&lt;wsp:rsid wsp:val=&quot;00E522AC&quot;/&gt;&lt;wsp:rsid wsp:val=&quot;00E6021E&quot;/&gt;&lt;wsp:rsid wsp:val=&quot;00E61130&quot;/&gt;&lt;wsp:rsid wsp:val=&quot;00E62435&quot;/&gt;&lt;wsp:rsid wsp:val=&quot;00E63ABD&quot;/&gt;&lt;wsp:rsid wsp:val=&quot;00E65A93&quot;/&gt;&lt;wsp:rsid wsp:val=&quot;00E66293&quot;/&gt;&lt;wsp:rsid wsp:val=&quot;00E66CED&quot;/&gt;&lt;wsp:rsid wsp:val=&quot;00E670D3&quot;/&gt;&lt;wsp:rsid wsp:val=&quot;00E67A85&quot;/&gt;&lt;wsp:rsid wsp:val=&quot;00E70C0D&quot;/&gt;&lt;wsp:rsid wsp:val=&quot;00E71788&quot;/&gt;&lt;wsp:rsid wsp:val=&quot;00E753B5&quot;/&gt;&lt;wsp:rsid wsp:val=&quot;00E75D83&quot;/&gt;&lt;wsp:rsid wsp:val=&quot;00E76935&quot;/&gt;&lt;wsp:rsid wsp:val=&quot;00E77493&quot;/&gt;&lt;wsp:rsid wsp:val=&quot;00E80268&quot;/&gt;&lt;wsp:rsid wsp:val=&quot;00E828A7&quot;/&gt;&lt;wsp:rsid wsp:val=&quot;00E82FC8&quot;/&gt;&lt;wsp:rsid wsp:val=&quot;00E84915&quot;/&gt;&lt;wsp:rsid wsp:val=&quot;00E84F48&quot;/&gt;&lt;wsp:rsid wsp:val=&quot;00E869BA&quot;/&gt;&lt;wsp:rsid wsp:val=&quot;00E90ADF&quot;/&gt;&lt;wsp:rsid wsp:val=&quot;00E91A67&quot;/&gt;&lt;wsp:rsid wsp:val=&quot;00E938F2&quot;/&gt;&lt;wsp:rsid wsp:val=&quot;00E955F1&quot;/&gt;&lt;wsp:rsid wsp:val=&quot;00E9703B&quot;/&gt;&lt;wsp:rsid wsp:val=&quot;00EA0F57&quot;/&gt;&lt;wsp:rsid wsp:val=&quot;00EA10C1&quot;/&gt;&lt;wsp:rsid wsp:val=&quot;00EA267E&quot;/&gt;&lt;wsp:rsid wsp:val=&quot;00EA2F46&quot;/&gt;&lt;wsp:rsid wsp:val=&quot;00EA3188&quot;/&gt;&lt;wsp:rsid wsp:val=&quot;00EA4FE4&quot;/&gt;&lt;wsp:rsid wsp:val=&quot;00EA59D2&quot;/&gt;&lt;wsp:rsid wsp:val=&quot;00EA5FD2&quot;/&gt;&lt;wsp:rsid wsp:val=&quot;00EA6391&quot;/&gt;&lt;wsp:rsid wsp:val=&quot;00EA7A47&quot;/&gt;&lt;wsp:rsid wsp:val=&quot;00EA7D70&quot;/&gt;&lt;wsp:rsid wsp:val=&quot;00EB0413&quot;/&gt;&lt;wsp:rsid wsp:val=&quot;00EB18DA&quot;/&gt;&lt;wsp:rsid wsp:val=&quot;00EB2EC8&quot;/&gt;&lt;wsp:rsid wsp:val=&quot;00EB3D85&quot;/&gt;&lt;wsp:rsid wsp:val=&quot;00EB4ABA&quot;/&gt;&lt;wsp:rsid wsp:val=&quot;00EB6CD2&quot;/&gt;&lt;wsp:rsid wsp:val=&quot;00EC0E49&quot;/&gt;&lt;wsp:rsid wsp:val=&quot;00EC2549&quot;/&gt;&lt;wsp:rsid wsp:val=&quot;00EC2B62&quot;/&gt;&lt;wsp:rsid wsp:val=&quot;00EC5437&quot;/&gt;&lt;wsp:rsid wsp:val=&quot;00EC6F5F&quot;/&gt;&lt;wsp:rsid wsp:val=&quot;00EC6FD8&quot;/&gt;&lt;wsp:rsid wsp:val=&quot;00EC7A43&quot;/&gt;&lt;wsp:rsid wsp:val=&quot;00ED48C3&quot;/&gt;&lt;wsp:rsid wsp:val=&quot;00ED60C3&quot;/&gt;&lt;wsp:rsid wsp:val=&quot;00ED7FB5&quot;/&gt;&lt;wsp:rsid wsp:val=&quot;00EE11F6&quot;/&gt;&lt;wsp:rsid wsp:val=&quot;00EE1649&quot;/&gt;&lt;wsp:rsid wsp:val=&quot;00EE2BE5&quot;/&gt;&lt;wsp:rsid wsp:val=&quot;00EE2EC2&quot;/&gt;&lt;wsp:rsid wsp:val=&quot;00EE352E&quot;/&gt;&lt;wsp:rsid wsp:val=&quot;00EE43C0&quot;/&gt;&lt;wsp:rsid wsp:val=&quot;00EE51A1&quot;/&gt;&lt;wsp:rsid wsp:val=&quot;00EE5B4E&quot;/&gt;&lt;wsp:rsid wsp:val=&quot;00EE74E5&quot;/&gt;&lt;wsp:rsid wsp:val=&quot;00EF0ED4&quot;/&gt;&lt;wsp:rsid wsp:val=&quot;00EF1032&quot;/&gt;&lt;wsp:rsid wsp:val=&quot;00EF147F&quot;/&gt;&lt;wsp:rsid wsp:val=&quot;00EF23CC&quot;/&gt;&lt;wsp:rsid wsp:val=&quot;00EF38DE&quot;/&gt;&lt;wsp:rsid wsp:val=&quot;00EF51A1&quot;/&gt;&lt;wsp:rsid wsp:val=&quot;00EF6FAB&quot;/&gt;&lt;wsp:rsid wsp:val=&quot;00F00425&quot;/&gt;&lt;wsp:rsid wsp:val=&quot;00F0167F&quot;/&gt;&lt;wsp:rsid wsp:val=&quot;00F01BD6&quot;/&gt;&lt;wsp:rsid wsp:val=&quot;00F0514C&quot;/&gt;&lt;wsp:rsid wsp:val=&quot;00F06CE8&quot;/&gt;&lt;wsp:rsid wsp:val=&quot;00F14A8D&quot;/&gt;&lt;wsp:rsid wsp:val=&quot;00F15275&quot;/&gt;&lt;wsp:rsid wsp:val=&quot;00F171FD&quot;/&gt;&lt;wsp:rsid wsp:val=&quot;00F17A29&quot;/&gt;&lt;wsp:rsid wsp:val=&quot;00F20F39&quot;/&gt;&lt;wsp:rsid wsp:val=&quot;00F2213B&quot;/&gt;&lt;wsp:rsid wsp:val=&quot;00F25C8F&quot;/&gt;&lt;wsp:rsid wsp:val=&quot;00F27809&quot;/&gt;&lt;wsp:rsid wsp:val=&quot;00F312FB&quot;/&gt;&lt;wsp:rsid wsp:val=&quot;00F329E5&quot;/&gt;&lt;wsp:rsid wsp:val=&quot;00F340B6&quot;/&gt;&lt;wsp:rsid wsp:val=&quot;00F36BD6&quot;/&gt;&lt;wsp:rsid wsp:val=&quot;00F40E20&quot;/&gt;&lt;wsp:rsid wsp:val=&quot;00F42299&quot;/&gt;&lt;wsp:rsid wsp:val=&quot;00F43ACF&quot;/&gt;&lt;wsp:rsid wsp:val=&quot;00F43CA0&quot;/&gt;&lt;wsp:rsid wsp:val=&quot;00F4479D&quot;/&gt;&lt;wsp:rsid wsp:val=&quot;00F44B83&quot;/&gt;&lt;wsp:rsid wsp:val=&quot;00F51DCB&quot;/&gt;&lt;wsp:rsid wsp:val=&quot;00F51DD6&quot;/&gt;&lt;wsp:rsid wsp:val=&quot;00F51F67&quot;/&gt;&lt;wsp:rsid wsp:val=&quot;00F520E6&quot;/&gt;&lt;wsp:rsid wsp:val=&quot;00F52335&quot;/&gt;&lt;wsp:rsid wsp:val=&quot;00F5234A&quot;/&gt;&lt;wsp:rsid wsp:val=&quot;00F524E8&quot;/&gt;&lt;wsp:rsid wsp:val=&quot;00F5673B&quot;/&gt;&lt;wsp:rsid wsp:val=&quot;00F57380&quot;/&gt;&lt;wsp:rsid wsp:val=&quot;00F60143&quot;/&gt;&lt;wsp:rsid wsp:val=&quot;00F60F5F&quot;/&gt;&lt;wsp:rsid wsp:val=&quot;00F6149A&quot;/&gt;&lt;wsp:rsid wsp:val=&quot;00F61705&quot;/&gt;&lt;wsp:rsid wsp:val=&quot;00F628CA&quot;/&gt;&lt;wsp:rsid wsp:val=&quot;00F630E2&quot;/&gt;&lt;wsp:rsid wsp:val=&quot;00F6359B&quot;/&gt;&lt;wsp:rsid wsp:val=&quot;00F636FB&quot;/&gt;&lt;wsp:rsid wsp:val=&quot;00F65AE1&quot;/&gt;&lt;wsp:rsid wsp:val=&quot;00F65D8F&quot;/&gt;&lt;wsp:rsid wsp:val=&quot;00F661ED&quot;/&gt;&lt;wsp:rsid wsp:val=&quot;00F7025C&quot;/&gt;&lt;wsp:rsid wsp:val=&quot;00F708DD&quot;/&gt;&lt;wsp:rsid wsp:val=&quot;00F72351&quot;/&gt;&lt;wsp:rsid wsp:val=&quot;00F73AF4&quot;/&gt;&lt;wsp:rsid wsp:val=&quot;00F73E66&quot;/&gt;&lt;wsp:rsid wsp:val=&quot;00F742B4&quot;/&gt;&lt;wsp:rsid wsp:val=&quot;00F74E83&quot;/&gt;&lt;wsp:rsid wsp:val=&quot;00F815B9&quot;/&gt;&lt;wsp:rsid wsp:val=&quot;00F821A2&quot;/&gt;&lt;wsp:rsid wsp:val=&quot;00F825CA&quot;/&gt;&lt;wsp:rsid wsp:val=&quot;00F8426D&quot;/&gt;&lt;wsp:rsid wsp:val=&quot;00F85417&quot;/&gt;&lt;wsp:rsid wsp:val=&quot;00F86807&quot;/&gt;&lt;wsp:rsid wsp:val=&quot;00F86D78&quot;/&gt;&lt;wsp:rsid wsp:val=&quot;00F86F46&quot;/&gt;&lt;wsp:rsid wsp:val=&quot;00F874CF&quot;/&gt;&lt;wsp:rsid wsp:val=&quot;00F87727&quot;/&gt;&lt;wsp:rsid wsp:val=&quot;00F916D9&quot;/&gt;&lt;wsp:rsid wsp:val=&quot;00F92029&quot;/&gt;&lt;wsp:rsid wsp:val=&quot;00F928E9&quot;/&gt;&lt;wsp:rsid wsp:val=&quot;00F938CA&quot;/&gt;&lt;wsp:rsid wsp:val=&quot;00F95808&quot;/&gt;&lt;wsp:rsid wsp:val=&quot;00F95C3C&quot;/&gt;&lt;wsp:rsid wsp:val=&quot;00F95EED&quot;/&gt;&lt;wsp:rsid wsp:val=&quot;00F95FA7&quot;/&gt;&lt;wsp:rsid wsp:val=&quot;00F965AC&quot;/&gt;&lt;wsp:rsid wsp:val=&quot;00F9746A&quot;/&gt;&lt;wsp:rsid wsp:val=&quot;00FA16FF&quot;/&gt;&lt;wsp:rsid wsp:val=&quot;00FA2510&quot;/&gt;&lt;wsp:rsid wsp:val=&quot;00FA4339&quot;/&gt;&lt;wsp:rsid wsp:val=&quot;00FA764B&quot;/&gt;&lt;wsp:rsid wsp:val=&quot;00FB0812&quot;/&gt;&lt;wsp:rsid wsp:val=&quot;00FB0BE1&quot;/&gt;&lt;wsp:rsid wsp:val=&quot;00FB3B7A&quot;/&gt;&lt;wsp:rsid wsp:val=&quot;00FB5B44&quot;/&gt;&lt;wsp:rsid wsp:val=&quot;00FC08C0&quot;/&gt;&lt;wsp:rsid wsp:val=&quot;00FC142B&quot;/&gt;&lt;wsp:rsid wsp:val=&quot;00FC3070&quot;/&gt;&lt;wsp:rsid wsp:val=&quot;00FC394F&quot;/&gt;&lt;wsp:rsid wsp:val=&quot;00FC4616&quot;/&gt;&lt;wsp:rsid wsp:val=&quot;00FC4895&quot;/&gt;&lt;wsp:rsid wsp:val=&quot;00FC64A0&quot;/&gt;&lt;wsp:rsid wsp:val=&quot;00FC6724&quot;/&gt;&lt;wsp:rsid wsp:val=&quot;00FC67C5&quot;/&gt;&lt;wsp:rsid wsp:val=&quot;00FC736C&quot;/&gt;&lt;wsp:rsid wsp:val=&quot;00FC7F08&quot;/&gt;&lt;wsp:rsid wsp:val=&quot;00FD2571&quot;/&gt;&lt;wsp:rsid wsp:val=&quot;00FD6F91&quot;/&gt;&lt;wsp:rsid wsp:val=&quot;00FD72EB&quot;/&gt;&lt;wsp:rsid wsp:val=&quot;00FD7511&quot;/&gt;&lt;wsp:rsid wsp:val=&quot;00FE0173&quot;/&gt;&lt;wsp:rsid wsp:val=&quot;00FE479D&quot;/&gt;&lt;wsp:rsid wsp:val=&quot;00FE4B48&quot;/&gt;&lt;wsp:rsid wsp:val=&quot;00FF0E9F&quot;/&gt;&lt;wsp:rsid wsp:val=&quot;00FF3372&quot;/&gt;&lt;wsp:rsid wsp:val=&quot;00FF43D6&quot;/&gt;&lt;wsp:rsid wsp:val=&quot;00FF5E8D&quot;/&gt;&lt;wsp:rsid wsp:val=&quot;00FF6149&quot;/&gt;&lt;wsp:rsid wsp:val=&quot;00FF634E&quot;/&gt;&lt;wsp:rsid wsp:val=&quot;00FF6458&quot;/&gt;&lt;/wsp:rsids&gt;&lt;/w:docPr&gt;&lt;w:body&gt;&lt;wx:sect&gt;&lt;w:p wsp:rsidR=&quot;00000000&quot; wsp:rsidRDefault=&quot;001B5A60&quot; wsp:rsidP=&quot;001B5A60&quot;&gt;&lt;m:oMathPara&gt;&lt;m:oMath&gt;&lt;m:acc&gt;&lt;m:accPr&gt;&lt;m:chr m:val=&quot;̅&quot;/&gt;&lt;m:ctrlPr&gt;&lt;aml:annotation aml:id=&quot;0&quot; w:type=&quot;Word.Insertion&quot; aml:author=&quot;孔珍珍&quot; aml:createdate=&quot;2016-03-22T19:42:00Z&quot;&gt;&lt;aml:content&gt;&lt;w:rPr&gt;&lt;w:rFonts w:ascii=&quot;Cambria Math&quot; w:fareast=&quot;宋体&quot; w:h-ansi=&quot;Cambria Math&quot;/&gt;&lt;wx:font wx:val=&quot;Cambria Math&quot;/&gt;&lt;w:sz w:val=&quot;24&quot;/&gt;&lt;/w:rPr&gt;&lt;/aml:content&gt;&lt;/aml:annotation&gt;&lt;/m:ctrlPr&gt;&lt;/m:accPr&gt;&lt;m:e&gt;&lt;m:r&gt;&lt;aml:annotation aml:id=&quot;1&quot; w:type=&quot;Word.Insertion&quot; aml:author=&quot;孔珍珍&quot; aml:createdate=&quot;2016-03-22T19:42:00Z&quot;&gt;&lt;aml:content&gt;&lt;w:rPr&gt;&lt;w:rFonts w:ascii=&quot;Cambria Math&quot; w:fareast=&quot;宋体&quot; w:h-ansi=&quot;Cambria Math&quot;/&gt;&lt;wx:font wx:val=&quot;Cambria Math&quot;/&gt;&lt;w:i/&gt;&lt;w:sz w:val=&quot;24&quot;/&gt;&lt;/w:rPr&gt;&lt;m:t&gt;P&lt;/m:t&gt;&lt;/aml:content&gt;&lt;/aml:annotation&gt;&lt;/m:r&gt;&lt;/m:e&gt;&lt;/m:ac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2" chromakey="#FFFFFF" o:title=""/>
            <o:lock v:ext="edit" aspectratio="t"/>
            <w10:wrap type="none"/>
            <w10:anchorlock/>
          </v:shape>
        </w:pict>
      </w:r>
      <w:r>
        <w:rPr>
          <w:rFonts w:ascii="宋体" w:hAnsi="宋体" w:eastAsia="宋体" w:cs="Times New Roman"/>
          <w:color w:val="auto"/>
          <w:sz w:val="24"/>
          <w:szCs w:val="24"/>
          <w:highlight w:val="none"/>
        </w:rPr>
        <w:instrText xml:space="preserve"> </w:instrText>
      </w:r>
      <w:r>
        <w:rPr>
          <w:rFonts w:ascii="宋体" w:hAnsi="宋体" w:eastAsia="宋体" w:cs="Times New Roman"/>
          <w:color w:val="auto"/>
          <w:sz w:val="24"/>
          <w:szCs w:val="24"/>
          <w:highlight w:val="none"/>
        </w:rPr>
        <w:fldChar w:fldCharType="separate"/>
      </w:r>
      <w:r>
        <w:rPr>
          <w:rFonts w:ascii="宋体" w:hAnsi="宋体" w:eastAsia="宋体" w:cs="Times New Roman"/>
          <w:color w:val="auto"/>
          <w:sz w:val="24"/>
          <w:szCs w:val="24"/>
          <w:highlight w:val="none"/>
        </w:rPr>
        <w:fldChar w:fldCharType="end"/>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施工期平均定额人工费指数（即</w:t>
      </w:r>
      <w:r>
        <w:rPr>
          <w:rFonts w:hint="eastAsia" w:ascii="宋体" w:hAnsi="宋体" w:eastAsia="宋体" w:cs="Times New Roman"/>
          <w:color w:val="auto"/>
          <w:sz w:val="24"/>
          <w:szCs w:val="24"/>
          <w:highlight w:val="none"/>
        </w:rPr>
        <w:t>∑</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i</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i</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i</w:t>
      </w:r>
      <w:r>
        <w:rPr>
          <w:rFonts w:hint="eastAsia" w:ascii="宋体" w:hAnsi="宋体" w:eastAsia="宋体" w:cs="Times New Roman"/>
          <w:color w:val="auto"/>
          <w:szCs w:val="21"/>
          <w:highlight w:val="none"/>
        </w:rPr>
        <w:t>为施工期第</w:t>
      </w:r>
      <w:r>
        <w:rPr>
          <w:rFonts w:ascii="宋体" w:hAnsi="宋体" w:eastAsia="宋体" w:cs="Times New Roman"/>
          <w:color w:val="auto"/>
          <w:szCs w:val="21"/>
          <w:highlight w:val="none"/>
        </w:rPr>
        <w:t>i</w:t>
      </w:r>
      <w:r>
        <w:rPr>
          <w:rFonts w:hint="eastAsia" w:ascii="宋体" w:hAnsi="宋体" w:eastAsia="宋体" w:cs="Times New Roman"/>
          <w:color w:val="auto"/>
          <w:szCs w:val="21"/>
          <w:highlight w:val="none"/>
        </w:rPr>
        <w:t>个月某工种人工费</w:t>
      </w:r>
      <w:r>
        <w:rPr>
          <w:rFonts w:hint="eastAsia" w:ascii="宋体" w:hAnsi="宋体" w:eastAsia="宋体" w:cs="Times New Roman"/>
          <w:color w:val="auto"/>
          <w:sz w:val="24"/>
          <w:szCs w:val="24"/>
          <w:highlight w:val="none"/>
        </w:rPr>
        <w:t>，</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i</w:t>
      </w:r>
      <w:r>
        <w:rPr>
          <w:rFonts w:hint="eastAsia" w:ascii="宋体" w:hAnsi="宋体" w:eastAsia="宋体" w:cs="Times New Roman"/>
          <w:color w:val="auto"/>
          <w:szCs w:val="21"/>
          <w:highlight w:val="none"/>
        </w:rPr>
        <w:t>为施工期第i个月当月《深圳建设工程价格信息》某工种定额人工费指数</w:t>
      </w:r>
      <w:r>
        <w:rPr>
          <w:rFonts w:hint="eastAsia" w:ascii="宋体" w:hAnsi="宋体" w:eastAsia="宋体" w:cs="Times New Roman"/>
          <w:color w:val="auto"/>
          <w:szCs w:val="24"/>
          <w:highlight w:val="none"/>
        </w:rPr>
        <w:t>）；</w:t>
      </w:r>
    </w:p>
    <w:p w14:paraId="3F608BB1">
      <w:pPr>
        <w:ind w:left="1050" w:leftChars="500"/>
        <w:rPr>
          <w:rFonts w:ascii="宋体" w:hAnsi="宋体" w:eastAsia="宋体" w:cs="Times New Roman"/>
          <w:color w:val="auto"/>
          <w:szCs w:val="21"/>
          <w:highlight w:val="none"/>
        </w:rPr>
      </w:pP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hint="eastAsia" w:ascii="宋体" w:hAnsi="宋体" w:eastAsia="宋体" w:cs="Times New Roman"/>
          <w:color w:val="auto"/>
          <w:szCs w:val="21"/>
          <w:highlight w:val="none"/>
        </w:rPr>
        <w:t>─投标截止日期前35天的当月或</w:t>
      </w:r>
      <w:r>
        <w:rPr>
          <w:rFonts w:hint="eastAsia" w:ascii="宋体" w:hAnsi="宋体" w:eastAsia="宋体" w:cs="Times New Roman"/>
          <w:b/>
          <w:i/>
          <w:color w:val="auto"/>
          <w:szCs w:val="21"/>
          <w:highlight w:val="none"/>
        </w:rPr>
        <w:t>专用条款</w:t>
      </w:r>
      <w:r>
        <w:rPr>
          <w:rFonts w:hint="eastAsia" w:ascii="宋体" w:hAnsi="宋体" w:eastAsia="宋体" w:cs="Times New Roman"/>
          <w:color w:val="auto"/>
          <w:szCs w:val="21"/>
          <w:highlight w:val="none"/>
        </w:rPr>
        <w:t>约定月份《深圳建设工程价格信息》某工种定额人工费指数；</w:t>
      </w:r>
    </w:p>
    <w:p w14:paraId="056F118A">
      <w:pPr>
        <w:ind w:firstLine="1050" w:firstLineChars="500"/>
        <w:rPr>
          <w:rFonts w:ascii="宋体" w:hAnsi="宋体" w:eastAsia="宋体" w:cs="Times New Roman"/>
          <w:color w:val="auto"/>
          <w:szCs w:val="21"/>
          <w:highlight w:val="none"/>
        </w:rPr>
      </w:pPr>
      <w:r>
        <w:rPr>
          <w:rFonts w:ascii="宋体" w:hAnsi="宋体" w:eastAsia="宋体" w:cs="Times New Roman"/>
          <w:color w:val="auto"/>
          <w:szCs w:val="21"/>
          <w:highlight w:val="none"/>
        </w:rPr>
        <w:t>C</w:t>
      </w:r>
      <w:r>
        <w:rPr>
          <w:rFonts w:hint="eastAsia" w:ascii="宋体" w:hAnsi="宋体" w:eastAsia="宋体" w:cs="Times New Roman"/>
          <w:color w:val="auto"/>
          <w:szCs w:val="21"/>
          <w:highlight w:val="none"/>
          <w:vertAlign w:val="subscript"/>
        </w:rPr>
        <w:t>增</w:t>
      </w:r>
      <w:r>
        <w:rPr>
          <w:rFonts w:hint="eastAsia" w:ascii="宋体" w:hAnsi="宋体" w:eastAsia="宋体" w:cs="Times New Roman"/>
          <w:color w:val="auto"/>
          <w:szCs w:val="21"/>
          <w:highlight w:val="none"/>
        </w:rPr>
        <w:t>─调增合同价格；</w:t>
      </w:r>
    </w:p>
    <w:p w14:paraId="3E5BB819">
      <w:pPr>
        <w:ind w:firstLine="1050" w:firstLineChars="500"/>
        <w:rPr>
          <w:rFonts w:ascii="宋体" w:hAnsi="宋体" w:eastAsia="宋体" w:cs="Times New Roman"/>
          <w:color w:val="auto"/>
          <w:szCs w:val="21"/>
          <w:highlight w:val="none"/>
        </w:rPr>
      </w:pPr>
      <w:r>
        <w:rPr>
          <w:rFonts w:ascii="宋体" w:hAnsi="宋体" w:eastAsia="宋体" w:cs="Times New Roman"/>
          <w:color w:val="auto"/>
          <w:szCs w:val="21"/>
          <w:highlight w:val="none"/>
        </w:rPr>
        <w:t>C</w:t>
      </w:r>
      <w:r>
        <w:rPr>
          <w:rFonts w:hint="eastAsia" w:ascii="宋体" w:hAnsi="宋体" w:eastAsia="宋体" w:cs="Times New Roman"/>
          <w:color w:val="auto"/>
          <w:szCs w:val="21"/>
          <w:highlight w:val="none"/>
          <w:vertAlign w:val="subscript"/>
        </w:rPr>
        <w:t>减</w:t>
      </w:r>
      <w:r>
        <w:rPr>
          <w:rFonts w:hint="eastAsia" w:ascii="宋体" w:hAnsi="宋体" w:eastAsia="宋体" w:cs="Times New Roman"/>
          <w:color w:val="auto"/>
          <w:szCs w:val="21"/>
          <w:highlight w:val="none"/>
        </w:rPr>
        <w:t>─调减合同价格；</w:t>
      </w:r>
    </w:p>
    <w:p w14:paraId="1EBE57D8">
      <w:pPr>
        <w:tabs>
          <w:tab w:val="left" w:pos="1620"/>
          <w:tab w:val="left" w:pos="2340"/>
        </w:tabs>
        <w:spacing w:after="156"/>
        <w:ind w:firstLine="1050" w:firstLineChars="500"/>
        <w:jc w:val="left"/>
        <w:rPr>
          <w:rFonts w:hint="eastAsia" w:ascii="宋体" w:hAnsi="宋体" w:eastAsia="宋体" w:cs="Times New Roman"/>
          <w:color w:val="auto"/>
          <w:szCs w:val="21"/>
          <w:highlight w:val="none"/>
        </w:rPr>
      </w:pPr>
      <w:r>
        <w:rPr>
          <w:rFonts w:ascii="宋体" w:hAnsi="宋体" w:eastAsia="宋体" w:cs="Times New Roman"/>
          <w:color w:val="auto"/>
          <w:szCs w:val="21"/>
          <w:highlight w:val="none"/>
        </w:rPr>
        <w:t>L</w:t>
      </w:r>
      <w:r>
        <w:rPr>
          <w:rFonts w:hint="eastAsia"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─本工程某工种总人工费，具体在</w:t>
      </w:r>
      <w:r>
        <w:rPr>
          <w:rFonts w:hint="eastAsia" w:ascii="宋体" w:hAnsi="宋体" w:eastAsia="宋体" w:cs="Times New Roman"/>
          <w:b/>
          <w:i/>
          <w:color w:val="auto"/>
          <w:szCs w:val="21"/>
          <w:highlight w:val="none"/>
        </w:rPr>
        <w:t>专用条款</w:t>
      </w:r>
      <w:r>
        <w:rPr>
          <w:rFonts w:hint="eastAsia" w:ascii="宋体" w:hAnsi="宋体" w:eastAsia="宋体" w:cs="Times New Roman"/>
          <w:color w:val="auto"/>
          <w:szCs w:val="21"/>
          <w:highlight w:val="none"/>
        </w:rPr>
        <w:t>约定。</w:t>
      </w:r>
    </w:p>
    <w:p w14:paraId="71C54C6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32"/>
          <w:highlight w:val="none"/>
          <w:lang w:val="en-US" w:eastAsia="zh-CN" w:bidi="ar-SA"/>
        </w:rPr>
      </w:pPr>
      <w:bookmarkStart w:id="1962" w:name="_Toc30729"/>
      <w:bookmarkStart w:id="1963" w:name="_Toc24459"/>
      <w:bookmarkStart w:id="1964" w:name="_Toc2838"/>
      <w:bookmarkStart w:id="1965" w:name="_Toc305331350"/>
      <w:bookmarkStart w:id="1966" w:name="_Toc5462"/>
      <w:bookmarkStart w:id="1967" w:name="_Toc2308"/>
      <w:bookmarkStart w:id="1968" w:name="_Toc2713"/>
      <w:bookmarkStart w:id="1969" w:name="_Toc302635840"/>
      <w:bookmarkStart w:id="1970" w:name="_Toc15395"/>
      <w:bookmarkStart w:id="1971" w:name="_Toc28185"/>
      <w:bookmarkStart w:id="1972" w:name="_Toc10334"/>
      <w:r>
        <w:rPr>
          <w:rFonts w:hint="eastAsia" w:ascii="宋体" w:hAnsi="宋体" w:eastAsia="宋体" w:cs="Times New Roman"/>
          <w:b/>
          <w:bCs/>
          <w:color w:val="auto"/>
          <w:kern w:val="0"/>
          <w:sz w:val="24"/>
          <w:szCs w:val="32"/>
          <w:highlight w:val="none"/>
          <w:lang w:val="en-US" w:eastAsia="zh-CN" w:bidi="ar-SA"/>
        </w:rPr>
        <w:t>合同价格调整程序</w:t>
      </w:r>
      <w:bookmarkEnd w:id="1962"/>
      <w:bookmarkEnd w:id="1963"/>
      <w:bookmarkEnd w:id="1964"/>
      <w:bookmarkEnd w:id="1965"/>
      <w:bookmarkEnd w:id="1966"/>
      <w:bookmarkEnd w:id="1967"/>
      <w:bookmarkEnd w:id="1968"/>
      <w:bookmarkEnd w:id="1969"/>
      <w:bookmarkEnd w:id="1970"/>
      <w:bookmarkEnd w:id="1971"/>
      <w:bookmarkEnd w:id="1972"/>
    </w:p>
    <w:p w14:paraId="5EC6E98C">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⑴承包人应在20.2款约定的合同价格调整情况发生后14天内，将调整原因、金额书面提交给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审核调整金额，并报发包人确认后作为追加(减)合同价格，与工程进度款同期支付。发包人收到通知后14天内未确认也未提出异议的，视为已经同意该项合同价格调整。</w:t>
      </w:r>
      <w:bookmarkEnd w:id="1941"/>
    </w:p>
    <w:p w14:paraId="18634706">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⑵当20.2款约定的合同价格调整情况持续进行时，承包人应阶段性向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书面提交</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报告，并在该情况终了后28天内，向监理人提交最终的</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审核和发包人确认程序与20.7⑴款约定相同。</w:t>
      </w:r>
    </w:p>
    <w:p w14:paraId="6856EAFF">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⑶当承包人未按20.7⑴、⑵款约定的时间内提出</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报告的，发包人可自行决定是否</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。发包人应在约定的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情况发生后28天内将不</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的决定书面通知承包人；或将</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报告提交给承包人确认。承包人收到报告14天内未确认也未提出异议的，视为已经同意该项</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w:t>
      </w:r>
    </w:p>
    <w:p w14:paraId="0B19BDA2">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⑷当约定的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情况发生后，发包人和承包人均未在前款约定时间内提出</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意见，视为该调整情况的发生不涉及合同价格的调整。</w:t>
      </w:r>
    </w:p>
    <w:p w14:paraId="34B821C6">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上述</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有关文件的编制和审核均须经注册造价工程师签字盖章确认。经发包人和承包人确认调整的合同价格，作为追加(减)合同价款，应与工程进度款同期支付。</w:t>
      </w:r>
    </w:p>
    <w:p w14:paraId="62391FD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73" w:name="_Toc7357"/>
      <w:bookmarkStart w:id="1974" w:name="_Toc302635841"/>
      <w:bookmarkStart w:id="1975" w:name="_Toc4001"/>
      <w:bookmarkStart w:id="1976" w:name="_Toc3893"/>
      <w:bookmarkStart w:id="1977" w:name="_Toc2227"/>
      <w:bookmarkStart w:id="1978" w:name="_Toc25346"/>
      <w:bookmarkStart w:id="1979" w:name="_Toc9239"/>
      <w:bookmarkStart w:id="1980" w:name="_Toc7152"/>
      <w:bookmarkStart w:id="1981" w:name="_Toc16483"/>
      <w:bookmarkStart w:id="1982" w:name="_Toc23307"/>
      <w:r>
        <w:rPr>
          <w:rFonts w:hint="eastAsia" w:ascii="宋体" w:hAnsi="宋体" w:eastAsia="宋体" w:cs="Times New Roman"/>
          <w:b/>
          <w:bCs/>
          <w:color w:val="auto"/>
          <w:kern w:val="0"/>
          <w:sz w:val="24"/>
          <w:szCs w:val="24"/>
          <w:highlight w:val="none"/>
          <w:lang w:val="en-US" w:eastAsia="zh-CN" w:bidi="ar-SA"/>
        </w:rPr>
        <w:t>中标净下浮率</w:t>
      </w:r>
      <w:bookmarkEnd w:id="1973"/>
      <w:bookmarkEnd w:id="1974"/>
      <w:bookmarkEnd w:id="1975"/>
      <w:bookmarkEnd w:id="1976"/>
      <w:bookmarkEnd w:id="1977"/>
      <w:bookmarkEnd w:id="1978"/>
      <w:bookmarkEnd w:id="1979"/>
      <w:bookmarkEnd w:id="1980"/>
      <w:bookmarkEnd w:id="1981"/>
      <w:bookmarkEnd w:id="1982"/>
    </w:p>
    <w:p w14:paraId="45B0E7E0">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中标净下浮率是指中标价相对招标控制价的下浮比例，即：中标净下浮率=(招标控制价-中标价)/招标控制价，其中应扣除安全文明措施费、材料设备暂估价、专业工程暂估价、暂列金额等不可竞争性费用。本工程中标净下浮率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w:t>
      </w:r>
    </w:p>
    <w:p w14:paraId="0FB1C53F">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83" w:name="_Toc1284"/>
      <w:bookmarkStart w:id="1984" w:name="_Toc5471"/>
      <w:bookmarkStart w:id="1985" w:name="_Toc177"/>
      <w:bookmarkStart w:id="1986" w:name="_Toc4465"/>
      <w:bookmarkStart w:id="1987" w:name="_Toc14132"/>
      <w:bookmarkStart w:id="1988" w:name="_Toc19241"/>
      <w:bookmarkStart w:id="1989" w:name="_Toc5976"/>
      <w:bookmarkStart w:id="1990" w:name="_Toc15841"/>
      <w:bookmarkStart w:id="1991" w:name="_Toc18068"/>
      <w:r>
        <w:rPr>
          <w:rFonts w:hint="eastAsia" w:ascii="宋体" w:hAnsi="宋体" w:eastAsia="宋体" w:cs="Times New Roman"/>
          <w:b/>
          <w:bCs/>
          <w:color w:val="auto"/>
          <w:kern w:val="0"/>
          <w:sz w:val="24"/>
          <w:szCs w:val="24"/>
          <w:highlight w:val="none"/>
          <w:lang w:val="en-US" w:eastAsia="zh-CN" w:bidi="ar-SA"/>
        </w:rPr>
        <w:t>询价采购</w:t>
      </w:r>
      <w:bookmarkEnd w:id="1983"/>
      <w:bookmarkEnd w:id="1984"/>
      <w:bookmarkEnd w:id="1985"/>
      <w:bookmarkEnd w:id="1986"/>
      <w:bookmarkEnd w:id="1987"/>
      <w:bookmarkEnd w:id="1988"/>
      <w:bookmarkEnd w:id="1989"/>
      <w:bookmarkEnd w:id="1990"/>
      <w:bookmarkEnd w:id="1991"/>
    </w:p>
    <w:p w14:paraId="3F13B2E7">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⑴未经招标竞价的材料设备同时满足下列情形的，承包人应当进行询价采购：</w:t>
      </w:r>
    </w:p>
    <w:p w14:paraId="4823ADBA">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①因工程变更而增加的材料设备、暂估价中包含的材料设备等依法不需要另行招标的；</w:t>
      </w:r>
    </w:p>
    <w:p w14:paraId="49B6CBC8">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②采购期前一年内《深圳建设工程价格信息》上未刊登价格；</w:t>
      </w:r>
    </w:p>
    <w:p w14:paraId="69E8BA1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③采购估算价超过二十万元。</w:t>
      </w:r>
    </w:p>
    <w:p w14:paraId="3E8B6BFF">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⑵承包人担任上述材料设备的采购人，采购活动在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约定的询价采购网络服务平台进行。</w:t>
      </w:r>
    </w:p>
    <w:p w14:paraId="3537DA88">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⑶询价采购活动按以下程序进行，询价采购确定的成交价格可作为工程计价、造价审查及审计的依据。</w:t>
      </w:r>
    </w:p>
    <w:p w14:paraId="3C73C374">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①询价采购前，采购人按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约定成立询价采购小组，小组由五人以上单数组成，成员可从与询价采购活动相关的发包人、承包人、监理人、设计人、造价咨询单位中选取；</w:t>
      </w:r>
    </w:p>
    <w:p w14:paraId="2E7F6ECF">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②采购人按相关办法规定及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约定编制询价采购文件，并在询价采购网络服务平台发布；</w:t>
      </w:r>
    </w:p>
    <w:p w14:paraId="41E969CA">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③符合询价采购文件要求的供应商在报价截止日期前，通过询价采购网络服务平台一次性报出不得更改的价格；</w:t>
      </w:r>
    </w:p>
    <w:p w14:paraId="0AB9D9B6">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④询价采购小组在评审时间内统一评审报价文件，在满足询价采购文件各项要求的情况下，按照性价比最优原则推荐不少于三家供应商。评审完成后，询价采购小组向采购人提交评审报告；</w:t>
      </w:r>
    </w:p>
    <w:p w14:paraId="4ABE6463">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⑤采购人根据询价采购小组意见及相关规定，确定供应商及成交价格；</w:t>
      </w:r>
    </w:p>
    <w:p w14:paraId="2335152E">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⑥采购人按相关办法规定对询价采购结果在询价采购网络服务平台进行公示。</w:t>
      </w:r>
    </w:p>
    <w:p w14:paraId="4F71EA48">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1992" w:name="_Toc20414"/>
      <w:bookmarkStart w:id="1993" w:name="_Toc22984"/>
      <w:bookmarkStart w:id="1994" w:name="_Toc21108"/>
      <w:bookmarkStart w:id="1995" w:name="_Toc5803"/>
      <w:bookmarkStart w:id="1996" w:name="_Toc11566"/>
      <w:bookmarkStart w:id="1997" w:name="_Toc5155"/>
      <w:bookmarkStart w:id="1998" w:name="_Toc302635842"/>
      <w:bookmarkStart w:id="1999" w:name="_Toc7059"/>
      <w:bookmarkStart w:id="2000" w:name="_Toc20598"/>
      <w:bookmarkStart w:id="2001" w:name="_Toc27404"/>
      <w:r>
        <w:rPr>
          <w:rFonts w:hint="eastAsia" w:ascii="华文细黑" w:hAnsi="宋体" w:eastAsia="宋体" w:cs="Times New Roman"/>
          <w:b/>
          <w:bCs/>
          <w:snapToGrid w:val="0"/>
          <w:color w:val="auto"/>
          <w:kern w:val="0"/>
          <w:sz w:val="28"/>
          <w:szCs w:val="44"/>
          <w:highlight w:val="none"/>
          <w:lang w:val="en-US" w:eastAsia="zh-CN" w:bidi="ar-SA"/>
        </w:rPr>
        <w:t>暂估价和暂列金额</w:t>
      </w:r>
      <w:bookmarkEnd w:id="1992"/>
      <w:bookmarkEnd w:id="1993"/>
      <w:bookmarkEnd w:id="1994"/>
      <w:bookmarkEnd w:id="1995"/>
      <w:bookmarkEnd w:id="1996"/>
      <w:bookmarkEnd w:id="1997"/>
      <w:bookmarkEnd w:id="1998"/>
      <w:bookmarkEnd w:id="1999"/>
      <w:bookmarkEnd w:id="2000"/>
      <w:bookmarkEnd w:id="2001"/>
    </w:p>
    <w:p w14:paraId="76D6371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002" w:name="_Toc30586"/>
      <w:bookmarkStart w:id="2003" w:name="_Toc20219"/>
      <w:bookmarkStart w:id="2004" w:name="_Toc27048"/>
      <w:bookmarkStart w:id="2005" w:name="_Toc10250"/>
      <w:bookmarkStart w:id="2006" w:name="_Toc8491"/>
      <w:bookmarkStart w:id="2007" w:name="_Toc13426"/>
      <w:bookmarkStart w:id="2008" w:name="_Toc1538"/>
      <w:bookmarkStart w:id="2009" w:name="_Toc27366"/>
      <w:bookmarkStart w:id="2010" w:name="_Toc302635843"/>
      <w:bookmarkStart w:id="2011" w:name="_Toc28555"/>
      <w:bookmarkStart w:id="2012" w:name="_Toc305331351"/>
      <w:bookmarkStart w:id="2013" w:name="_Toc34909080"/>
      <w:r>
        <w:rPr>
          <w:rFonts w:hint="eastAsia" w:ascii="宋体" w:hAnsi="宋体" w:eastAsia="宋体" w:cs="Times New Roman"/>
          <w:b/>
          <w:bCs/>
          <w:color w:val="auto"/>
          <w:kern w:val="0"/>
          <w:sz w:val="24"/>
          <w:szCs w:val="24"/>
          <w:highlight w:val="none"/>
          <w:lang w:val="en-US" w:eastAsia="zh-CN" w:bidi="ar-SA"/>
        </w:rPr>
        <w:t>材料设备暂估价</w:t>
      </w:r>
      <w:bookmarkEnd w:id="2002"/>
      <w:bookmarkEnd w:id="2003"/>
      <w:bookmarkEnd w:id="2004"/>
      <w:bookmarkEnd w:id="2005"/>
      <w:bookmarkEnd w:id="2006"/>
      <w:bookmarkEnd w:id="2007"/>
      <w:bookmarkEnd w:id="2008"/>
      <w:bookmarkEnd w:id="2009"/>
      <w:bookmarkEnd w:id="2010"/>
      <w:bookmarkEnd w:id="2011"/>
    </w:p>
    <w:p w14:paraId="58576FC5">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⑴材料设备暂估价是发包人在工程量清单中提供的用于支付必然发生但暂时不能确定的材料设备的单价。发包人、承包人应在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中就上述材料设备的名称、规格、单位和暂估单价进行约定。该材料设备暂估价不作为竣工结算依据。</w:t>
      </w:r>
    </w:p>
    <w:p w14:paraId="2D08F389">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⑵如21.1⑴款所述暂估的材料设备属按规定必须招标的，应由发包人提出技术标准和最高限价，由承包人通过招标方式确定该材料设备单价。</w:t>
      </w:r>
    </w:p>
    <w:p w14:paraId="4D9B0BB2">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⑶如21.1⑴款所述暂估的材料设备不属于按规定必须招标的，由承发包双方按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中约定的方式确定该材料设备单价。</w:t>
      </w:r>
    </w:p>
    <w:p w14:paraId="5C58FC31">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⑷材料设备暂估价应按承发包双方最终确认的价格调整价差，价差调整部分不计利润。</w:t>
      </w:r>
    </w:p>
    <w:p w14:paraId="1BD503F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14" w:name="_Toc6825"/>
      <w:bookmarkStart w:id="2015" w:name="_Toc25945"/>
      <w:bookmarkStart w:id="2016" w:name="_Toc31631"/>
      <w:bookmarkStart w:id="2017" w:name="_Toc7775"/>
      <w:bookmarkStart w:id="2018" w:name="_Toc22746"/>
      <w:bookmarkStart w:id="2019" w:name="_Toc14161"/>
      <w:bookmarkStart w:id="2020" w:name="_Toc3450"/>
      <w:bookmarkStart w:id="2021" w:name="_Toc302635844"/>
      <w:bookmarkStart w:id="2022" w:name="_Toc8815"/>
      <w:bookmarkStart w:id="2023" w:name="_Toc564"/>
      <w:r>
        <w:rPr>
          <w:rFonts w:hint="eastAsia" w:ascii="宋体" w:hAnsi="宋体" w:eastAsia="宋体" w:cs="Times New Roman"/>
          <w:b/>
          <w:bCs/>
          <w:color w:val="auto"/>
          <w:kern w:val="0"/>
          <w:sz w:val="24"/>
          <w:szCs w:val="24"/>
          <w:highlight w:val="none"/>
          <w:lang w:val="en-US" w:eastAsia="zh-CN" w:bidi="ar-SA"/>
        </w:rPr>
        <w:t>专业工程暂估价</w:t>
      </w:r>
      <w:bookmarkEnd w:id="2012"/>
      <w:bookmarkEnd w:id="2014"/>
      <w:bookmarkEnd w:id="2015"/>
      <w:bookmarkEnd w:id="2016"/>
      <w:bookmarkEnd w:id="2017"/>
      <w:bookmarkEnd w:id="2018"/>
      <w:bookmarkEnd w:id="2019"/>
      <w:bookmarkEnd w:id="2020"/>
      <w:bookmarkEnd w:id="2021"/>
      <w:bookmarkEnd w:id="2022"/>
      <w:bookmarkEnd w:id="2023"/>
    </w:p>
    <w:p w14:paraId="5852B219">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⑴专业工程暂估价是发包人在工程量清单中提供的用于支付必然发生但暂时不能确定的专业工程金额。发包人、承包人应在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中就上述专业工程的名称和暂估价款进行约定。该专业工程暂估价不作为结算依据。</w:t>
      </w:r>
    </w:p>
    <w:bookmarkEnd w:id="2013"/>
    <w:p w14:paraId="120D549B">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2024" w:name="_Toc34909081"/>
      <w:r>
        <w:rPr>
          <w:rFonts w:hint="eastAsia" w:ascii="宋体" w:hAnsi="宋体" w:eastAsia="宋体" w:cs="Times New Roman"/>
          <w:color w:val="auto"/>
          <w:kern w:val="0"/>
          <w:szCs w:val="24"/>
          <w:highlight w:val="none"/>
        </w:rPr>
        <w:t>⑵如21.2⑴款所述暂估的专业工程属按规定必须招标的，应由发包人通过招标方式确定该专业工程结算价款。</w:t>
      </w:r>
    </w:p>
    <w:p w14:paraId="65BD133B">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⑶如21.2⑴款所述暂估的专业工程不属于按规定必须招标的，除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另有约定外，发包人和承包人应按照本工程招标控制价的编制方法，根据专业工程施工图等计算，并按本工程净下浮率进行下浮调整确定该专业工程结算价款。</w:t>
      </w:r>
    </w:p>
    <w:bookmarkEnd w:id="2024"/>
    <w:p w14:paraId="50532FE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25" w:name="_Toc305331352"/>
      <w:bookmarkStart w:id="2026" w:name="_Toc6157"/>
      <w:bookmarkStart w:id="2027" w:name="_Toc12698"/>
      <w:bookmarkStart w:id="2028" w:name="_Toc9324"/>
      <w:bookmarkStart w:id="2029" w:name="_Toc11269"/>
      <w:bookmarkStart w:id="2030" w:name="_Toc13257"/>
      <w:bookmarkStart w:id="2031" w:name="_Toc32220"/>
      <w:bookmarkStart w:id="2032" w:name="_Toc4750"/>
      <w:bookmarkStart w:id="2033" w:name="_Toc27789"/>
      <w:bookmarkStart w:id="2034" w:name="_Toc302635845"/>
      <w:bookmarkStart w:id="2035" w:name="_Toc568"/>
      <w:bookmarkStart w:id="2036" w:name="_Toc34909082"/>
      <w:r>
        <w:rPr>
          <w:rFonts w:hint="eastAsia" w:ascii="宋体" w:hAnsi="宋体" w:eastAsia="宋体" w:cs="Times New Roman"/>
          <w:b/>
          <w:bCs/>
          <w:color w:val="auto"/>
          <w:kern w:val="0"/>
          <w:sz w:val="24"/>
          <w:szCs w:val="24"/>
          <w:highlight w:val="none"/>
          <w:lang w:val="en-US" w:eastAsia="zh-CN" w:bidi="ar-SA"/>
        </w:rPr>
        <w:t>暂列金额</w:t>
      </w:r>
      <w:bookmarkEnd w:id="2025"/>
      <w:bookmarkEnd w:id="2026"/>
      <w:bookmarkEnd w:id="2027"/>
      <w:bookmarkEnd w:id="2028"/>
      <w:bookmarkEnd w:id="2029"/>
      <w:bookmarkEnd w:id="2030"/>
      <w:bookmarkEnd w:id="2031"/>
      <w:bookmarkEnd w:id="2032"/>
      <w:bookmarkEnd w:id="2033"/>
      <w:bookmarkEnd w:id="2034"/>
      <w:bookmarkEnd w:id="2035"/>
    </w:p>
    <w:bookmarkEnd w:id="2036"/>
    <w:p w14:paraId="482DCE58">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⑴暂列金额是发包人在工程量清单中暂定并包括在签约合同价中的一笔款项，用于下列事项的费用支出：</w:t>
      </w:r>
    </w:p>
    <w:p w14:paraId="7D7896CD">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①本合同签订时尚未确定或不可预见的所需材料、设备、服务的采购；</w:t>
      </w:r>
    </w:p>
    <w:p w14:paraId="16F486B7">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②施工中可能发生的工程变更；</w:t>
      </w:r>
    </w:p>
    <w:p w14:paraId="1FC65D66">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③合同约定调整因素出现时对合同价格所作的调整；</w:t>
      </w:r>
    </w:p>
    <w:p w14:paraId="55953F0C">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④索赔；</w:t>
      </w:r>
    </w:p>
    <w:p w14:paraId="585BBFD0">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⑤现场签证。</w:t>
      </w:r>
    </w:p>
    <w:p w14:paraId="3775E50D">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⑵暂列金额是发包人为可能发生的费用而预留的金额，并非支付给承包人的实际费用。</w:t>
      </w:r>
      <w:r>
        <w:rPr>
          <w:rFonts w:ascii="宋体" w:hAnsi="宋体" w:eastAsia="宋体" w:cs="Times New Roman"/>
          <w:color w:val="auto"/>
          <w:kern w:val="0"/>
          <w:szCs w:val="24"/>
          <w:highlight w:val="none"/>
        </w:rPr>
        <w:t>暂列金额应按照发包人的要求使用，发包人的要求应通过监理人发出。</w:t>
      </w:r>
      <w:r>
        <w:rPr>
          <w:rFonts w:hint="eastAsia" w:ascii="宋体" w:hAnsi="宋体" w:eastAsia="宋体" w:cs="Times New Roman"/>
          <w:color w:val="auto"/>
          <w:kern w:val="0"/>
          <w:szCs w:val="24"/>
          <w:highlight w:val="none"/>
        </w:rPr>
        <w:t>暂列金额不作为结算的依据。暂列金额的最终确定按本合同有关21.3⑴款有关事项的具体条款执行。</w:t>
      </w:r>
    </w:p>
    <w:p w14:paraId="27A58EAB">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037" w:name="_Toc35656992"/>
      <w:bookmarkStart w:id="2038" w:name="_Toc34909085"/>
      <w:bookmarkStart w:id="2039" w:name="_Toc35656490"/>
      <w:bookmarkStart w:id="2040" w:name="_Toc29597"/>
      <w:bookmarkStart w:id="2041" w:name="_Toc5042"/>
      <w:bookmarkStart w:id="2042" w:name="_Toc30333"/>
      <w:bookmarkStart w:id="2043" w:name="_Toc8260"/>
      <w:bookmarkStart w:id="2044" w:name="_Toc29873"/>
      <w:bookmarkStart w:id="2045" w:name="_Toc302635846"/>
      <w:bookmarkStart w:id="2046" w:name="_Toc19483"/>
      <w:bookmarkStart w:id="2047" w:name="_Toc25211"/>
      <w:bookmarkStart w:id="2048" w:name="_Toc305331353"/>
      <w:bookmarkStart w:id="2049" w:name="_Toc14465"/>
      <w:bookmarkStart w:id="2050" w:name="_Toc17914"/>
      <w:r>
        <w:rPr>
          <w:rFonts w:hint="eastAsia" w:ascii="华文细黑" w:hAnsi="宋体" w:eastAsia="宋体" w:cs="Times New Roman"/>
          <w:b/>
          <w:bCs/>
          <w:snapToGrid w:val="0"/>
          <w:color w:val="auto"/>
          <w:kern w:val="0"/>
          <w:sz w:val="28"/>
          <w:szCs w:val="44"/>
          <w:highlight w:val="none"/>
          <w:lang w:val="en-US" w:eastAsia="zh-CN" w:bidi="ar-SA"/>
        </w:rPr>
        <w:t>工程量</w:t>
      </w:r>
      <w:bookmarkEnd w:id="2037"/>
      <w:bookmarkEnd w:id="2038"/>
      <w:bookmarkEnd w:id="2039"/>
      <w:r>
        <w:rPr>
          <w:rFonts w:hint="eastAsia" w:ascii="华文细黑" w:hAnsi="宋体" w:eastAsia="宋体" w:cs="Times New Roman"/>
          <w:b/>
          <w:bCs/>
          <w:snapToGrid w:val="0"/>
          <w:color w:val="auto"/>
          <w:kern w:val="0"/>
          <w:sz w:val="28"/>
          <w:szCs w:val="44"/>
          <w:highlight w:val="none"/>
          <w:lang w:val="en-US" w:eastAsia="zh-CN" w:bidi="ar-SA"/>
        </w:rPr>
        <w:t>计量</w:t>
      </w:r>
      <w:bookmarkEnd w:id="2040"/>
      <w:bookmarkEnd w:id="2041"/>
      <w:bookmarkEnd w:id="2042"/>
      <w:bookmarkEnd w:id="2043"/>
      <w:bookmarkEnd w:id="2044"/>
      <w:bookmarkEnd w:id="2045"/>
      <w:bookmarkEnd w:id="2046"/>
      <w:bookmarkEnd w:id="2047"/>
      <w:bookmarkEnd w:id="2048"/>
      <w:bookmarkEnd w:id="2049"/>
      <w:bookmarkEnd w:id="2050"/>
    </w:p>
    <w:p w14:paraId="501F94F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051" w:name="_Toc9371"/>
      <w:bookmarkStart w:id="2052" w:name="_Toc305331354"/>
      <w:bookmarkStart w:id="2053" w:name="_Toc2616"/>
      <w:bookmarkStart w:id="2054" w:name="_Toc28119"/>
      <w:bookmarkStart w:id="2055" w:name="_Toc23614"/>
      <w:bookmarkStart w:id="2056" w:name="_Toc302635847"/>
      <w:bookmarkStart w:id="2057" w:name="_Toc2271"/>
      <w:bookmarkStart w:id="2058" w:name="_Toc3399"/>
      <w:bookmarkStart w:id="2059" w:name="_Toc6332"/>
      <w:bookmarkStart w:id="2060" w:name="_Toc6389"/>
      <w:bookmarkStart w:id="2061" w:name="_Toc5510"/>
      <w:bookmarkStart w:id="2062" w:name="_Toc34909091"/>
      <w:bookmarkStart w:id="2063" w:name="_Toc34909086"/>
      <w:r>
        <w:rPr>
          <w:rFonts w:hint="eastAsia" w:ascii="宋体" w:hAnsi="宋体" w:eastAsia="宋体" w:cs="Times New Roman"/>
          <w:b/>
          <w:bCs/>
          <w:color w:val="auto"/>
          <w:kern w:val="0"/>
          <w:sz w:val="24"/>
          <w:szCs w:val="24"/>
          <w:highlight w:val="none"/>
          <w:lang w:val="en-US" w:eastAsia="zh-CN" w:bidi="ar-SA"/>
        </w:rPr>
        <w:t>工程量清单</w:t>
      </w:r>
      <w:bookmarkEnd w:id="2051"/>
      <w:bookmarkEnd w:id="2052"/>
      <w:bookmarkEnd w:id="2053"/>
      <w:bookmarkEnd w:id="2054"/>
      <w:bookmarkEnd w:id="2055"/>
      <w:bookmarkEnd w:id="2056"/>
      <w:bookmarkEnd w:id="2057"/>
      <w:bookmarkEnd w:id="2058"/>
      <w:bookmarkEnd w:id="2059"/>
      <w:bookmarkEnd w:id="2060"/>
      <w:bookmarkEnd w:id="2061"/>
    </w:p>
    <w:p w14:paraId="50DE1160">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在本工程招标文件中提供的工程量清单所开列的工程量是根据本工程的设计图纸提供的预计工程量，不能作为承包人在履行合同义务过程中应予完成的实际和准确的工程量，不作为进度款支付、过程结算和竣工结算时确认工程量的依据。</w:t>
      </w:r>
    </w:p>
    <w:p w14:paraId="37683866">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⑵承包人实际应予完成的工程量以本工程图纸和技术规范为准。进度款支付、过程结算和竣工结算时的结算工程量按第22</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5款有关工程量计量的结果确认。</w:t>
      </w:r>
    </w:p>
    <w:p w14:paraId="122EABC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064" w:name="_Toc302635848"/>
      <w:bookmarkStart w:id="2065" w:name="_Toc21375"/>
      <w:bookmarkStart w:id="2066" w:name="_Toc7854"/>
      <w:bookmarkStart w:id="2067" w:name="_Toc13701"/>
      <w:bookmarkStart w:id="2068" w:name="_Toc1317"/>
      <w:bookmarkStart w:id="2069" w:name="_Toc24872"/>
      <w:bookmarkStart w:id="2070" w:name="_Toc21746"/>
      <w:bookmarkStart w:id="2071" w:name="_Toc25220"/>
      <w:bookmarkStart w:id="2072" w:name="_Toc21714"/>
      <w:bookmarkStart w:id="2073" w:name="_Toc4027"/>
      <w:bookmarkStart w:id="2074" w:name="_Toc305331355"/>
      <w:bookmarkStart w:id="2075" w:name="_Toc34909087"/>
      <w:r>
        <w:rPr>
          <w:rFonts w:hint="eastAsia" w:ascii="宋体" w:hAnsi="宋体" w:eastAsia="宋体" w:cs="Times New Roman"/>
          <w:b/>
          <w:bCs/>
          <w:color w:val="auto"/>
          <w:kern w:val="0"/>
          <w:sz w:val="24"/>
          <w:szCs w:val="24"/>
          <w:highlight w:val="none"/>
          <w:lang w:val="en-US" w:eastAsia="zh-CN" w:bidi="ar-SA"/>
        </w:rPr>
        <w:t>工程量清单缺项和项目特征不符</w:t>
      </w:r>
      <w:bookmarkEnd w:id="2064"/>
      <w:bookmarkEnd w:id="2065"/>
      <w:bookmarkEnd w:id="2066"/>
      <w:bookmarkEnd w:id="2067"/>
      <w:bookmarkEnd w:id="2068"/>
      <w:bookmarkEnd w:id="2069"/>
      <w:bookmarkEnd w:id="2070"/>
      <w:bookmarkEnd w:id="2071"/>
      <w:bookmarkEnd w:id="2072"/>
      <w:bookmarkEnd w:id="2073"/>
    </w:p>
    <w:bookmarkEnd w:id="2074"/>
    <w:bookmarkEnd w:id="2075"/>
    <w:p w14:paraId="301E2F8D">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076" w:name="_Toc305331356"/>
      <w:r>
        <w:rPr>
          <w:rFonts w:hint="eastAsia" w:ascii="宋体" w:hAnsi="宋体" w:eastAsia="宋体" w:cs="Times New Roman"/>
          <w:color w:val="auto"/>
          <w:kern w:val="0"/>
          <w:szCs w:val="24"/>
          <w:highlight w:val="none"/>
        </w:rPr>
        <w:t>⑴本合同签订后</w:t>
      </w:r>
      <w:r>
        <w:rPr>
          <w:rFonts w:hint="eastAsia" w:ascii="宋体" w:hAnsi="宋体" w:eastAsia="宋体" w:cs="Times New Roman"/>
          <w:b/>
          <w:color w:val="auto"/>
          <w:kern w:val="0"/>
          <w:szCs w:val="24"/>
          <w:highlight w:val="none"/>
        </w:rPr>
        <w:t>56天</w:t>
      </w:r>
      <w:r>
        <w:rPr>
          <w:rFonts w:hint="eastAsia" w:ascii="宋体" w:hAnsi="宋体" w:eastAsia="宋体" w:cs="Times New Roman"/>
          <w:color w:val="auto"/>
          <w:kern w:val="0"/>
          <w:szCs w:val="24"/>
          <w:highlight w:val="none"/>
        </w:rPr>
        <w:t>内，承包人应根据招标时发包人提供的图纸对发包人提供的工程量清单进行复核，复核结果报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核对、发包人确认。</w:t>
      </w:r>
    </w:p>
    <w:p w14:paraId="412FD10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⑵若发包人提供的工程量清单相比招标时发包人提供的图纸，出现缺项或项目特征描述与图纸不符时，发包人应对工程量清单进行补充或调整，补充或调整的工程量清单项目的综合单价按25.1款的约定确定。</w:t>
      </w:r>
    </w:p>
    <w:p w14:paraId="5AD1497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⑶出现工程量清单中措施项目缺项的，或按前款补充分部分项工程清单项目后引起措施项目发生变化的，应当按25.1款的约定，在承包人提交的实施方案被发包人批准后对合同价格进行调整。</w:t>
      </w:r>
    </w:p>
    <w:p w14:paraId="1535E68A">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77" w:name="_Toc302635849"/>
      <w:bookmarkStart w:id="2078" w:name="_Toc25826"/>
      <w:bookmarkStart w:id="2079" w:name="_Toc4219"/>
      <w:bookmarkStart w:id="2080" w:name="_Toc6184"/>
      <w:bookmarkStart w:id="2081" w:name="_Toc28276"/>
      <w:bookmarkStart w:id="2082" w:name="_Toc4989"/>
      <w:bookmarkStart w:id="2083" w:name="_Toc19866"/>
      <w:bookmarkStart w:id="2084" w:name="_Toc1261"/>
      <w:bookmarkStart w:id="2085" w:name="_Toc22109"/>
      <w:bookmarkStart w:id="2086" w:name="_Toc28762"/>
      <w:r>
        <w:rPr>
          <w:rFonts w:hint="eastAsia" w:ascii="宋体" w:hAnsi="宋体" w:eastAsia="宋体" w:cs="Times New Roman"/>
          <w:b/>
          <w:bCs/>
          <w:color w:val="auto"/>
          <w:kern w:val="0"/>
          <w:sz w:val="24"/>
          <w:szCs w:val="24"/>
          <w:highlight w:val="none"/>
          <w:lang w:val="en-US" w:eastAsia="zh-CN" w:bidi="ar-SA"/>
        </w:rPr>
        <w:t>工程量计算规则</w:t>
      </w:r>
      <w:bookmarkEnd w:id="2076"/>
      <w:bookmarkEnd w:id="2077"/>
      <w:bookmarkEnd w:id="2078"/>
      <w:bookmarkEnd w:id="2079"/>
      <w:bookmarkEnd w:id="2080"/>
      <w:bookmarkEnd w:id="2081"/>
      <w:bookmarkEnd w:id="2082"/>
      <w:bookmarkEnd w:id="2083"/>
      <w:bookmarkEnd w:id="2084"/>
      <w:bookmarkEnd w:id="2085"/>
      <w:bookmarkEnd w:id="2086"/>
    </w:p>
    <w:p w14:paraId="30DCCEDF">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发包人和承包人应以</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中约定的工程量计算规则</w:t>
      </w:r>
      <w:bookmarkEnd w:id="2062"/>
      <w:r>
        <w:rPr>
          <w:rFonts w:hint="eastAsia" w:ascii="宋体" w:hAnsi="宋体" w:eastAsia="宋体" w:cs="Times New Roman"/>
          <w:color w:val="auto"/>
          <w:kern w:val="0"/>
          <w:szCs w:val="24"/>
          <w:highlight w:val="none"/>
        </w:rPr>
        <w:t>，作为本工程进度款支付、过程结算和竣工结算以及20.2款约定的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情形发生时涉及工程量的计算规则。</w:t>
      </w:r>
    </w:p>
    <w:bookmarkEnd w:id="2063"/>
    <w:p w14:paraId="342B366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87" w:name="_Toc8932"/>
      <w:bookmarkStart w:id="2088" w:name="_Toc6042"/>
      <w:bookmarkStart w:id="2089" w:name="_Toc305331357"/>
      <w:bookmarkStart w:id="2090" w:name="_Toc3841"/>
      <w:bookmarkStart w:id="2091" w:name="_Toc30584"/>
      <w:bookmarkStart w:id="2092" w:name="_Toc28981"/>
      <w:bookmarkStart w:id="2093" w:name="_Toc10513"/>
      <w:bookmarkStart w:id="2094" w:name="_Toc302635850"/>
      <w:bookmarkStart w:id="2095" w:name="_Toc14118"/>
      <w:bookmarkStart w:id="2096" w:name="_Toc13013"/>
      <w:bookmarkStart w:id="2097" w:name="_Toc19482"/>
      <w:bookmarkStart w:id="2098" w:name="_Toc34909088"/>
      <w:r>
        <w:rPr>
          <w:rFonts w:hint="eastAsia" w:ascii="宋体" w:hAnsi="宋体" w:eastAsia="宋体" w:cs="Times New Roman"/>
          <w:b/>
          <w:bCs/>
          <w:color w:val="auto"/>
          <w:kern w:val="0"/>
          <w:sz w:val="24"/>
          <w:szCs w:val="24"/>
          <w:highlight w:val="none"/>
          <w:lang w:val="en-US" w:eastAsia="zh-CN" w:bidi="ar-SA"/>
        </w:rPr>
        <w:t>工程量计量的程序</w:t>
      </w:r>
      <w:bookmarkEnd w:id="2087"/>
      <w:bookmarkEnd w:id="2088"/>
      <w:bookmarkEnd w:id="2089"/>
      <w:bookmarkEnd w:id="2090"/>
      <w:bookmarkEnd w:id="2091"/>
      <w:bookmarkEnd w:id="2092"/>
      <w:bookmarkEnd w:id="2093"/>
      <w:bookmarkEnd w:id="2094"/>
      <w:bookmarkEnd w:id="2095"/>
      <w:bookmarkEnd w:id="2096"/>
      <w:bookmarkEnd w:id="2097"/>
    </w:p>
    <w:p w14:paraId="039DF8A1">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⑴承包人应按照23.2款约定的进度款支付时间间隔要求，根据本工程进展情况及时就已完工程量向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提交计量报告，</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应在收到计量报告后7天内对承包人提出的工程量报表审核并报送发包人。</w:t>
      </w:r>
      <w:bookmarkEnd w:id="2098"/>
    </w:p>
    <w:p w14:paraId="77185424">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⑵需要使用记录和图纸进行计量的工程，承包人应在工作过程中准备好该工程的记录和图纸，并提交给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应在收到计量报告后7天内对承包人提出的工程量报表及有关记录和图纸审核并报送发包人。</w:t>
      </w:r>
    </w:p>
    <w:p w14:paraId="47EA5630">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bookmarkStart w:id="2099" w:name="_Toc34909092"/>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监理人对工程量有异议的，有权要求承包人进行共同复核或抽样复测。承包人应协助监理人进行复核或抽样复测，并按监理人要求提供补充计量资料。</w:t>
      </w:r>
    </w:p>
    <w:p w14:paraId="2FBFF9D3">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⑷有关工程量计量的文件的编制和审核均须经注册造价工程师签字盖章确认。</w:t>
      </w:r>
      <w:bookmarkEnd w:id="2099"/>
    </w:p>
    <w:p w14:paraId="357490D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100" w:name="_Toc21421"/>
      <w:bookmarkStart w:id="2101" w:name="_Toc19384"/>
      <w:bookmarkStart w:id="2102" w:name="_Toc302635851"/>
      <w:bookmarkStart w:id="2103" w:name="_Toc1198"/>
      <w:bookmarkStart w:id="2104" w:name="_Toc27626"/>
      <w:bookmarkStart w:id="2105" w:name="_Toc11046"/>
      <w:bookmarkStart w:id="2106" w:name="_Toc305331358"/>
      <w:bookmarkStart w:id="2107" w:name="_Toc13602"/>
      <w:bookmarkStart w:id="2108" w:name="_Toc34909089"/>
      <w:bookmarkStart w:id="2109" w:name="_Toc21205"/>
      <w:bookmarkStart w:id="2110" w:name="_Toc8028"/>
      <w:bookmarkStart w:id="2111" w:name="_Toc20266"/>
      <w:r>
        <w:rPr>
          <w:rFonts w:hint="eastAsia" w:ascii="宋体" w:hAnsi="宋体" w:eastAsia="宋体" w:cs="Times New Roman"/>
          <w:b/>
          <w:bCs/>
          <w:color w:val="auto"/>
          <w:kern w:val="0"/>
          <w:sz w:val="24"/>
          <w:szCs w:val="24"/>
          <w:highlight w:val="none"/>
          <w:lang w:val="en-US" w:eastAsia="zh-CN" w:bidi="ar-SA"/>
        </w:rPr>
        <w:t>工程量计量的结果</w:t>
      </w:r>
      <w:bookmarkEnd w:id="2100"/>
      <w:bookmarkEnd w:id="2101"/>
      <w:bookmarkEnd w:id="2102"/>
      <w:bookmarkEnd w:id="2103"/>
      <w:bookmarkEnd w:id="2104"/>
      <w:bookmarkEnd w:id="2105"/>
      <w:bookmarkEnd w:id="2106"/>
      <w:bookmarkEnd w:id="2107"/>
      <w:bookmarkEnd w:id="2108"/>
      <w:bookmarkEnd w:id="2109"/>
      <w:bookmarkEnd w:id="2110"/>
      <w:bookmarkEnd w:id="2111"/>
    </w:p>
    <w:p w14:paraId="4FA7ABFE">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⑴如承包人未按22.4款的约定参加计量，则由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所作的或由他批准的计量应认为是对工程的正确计量。</w:t>
      </w:r>
    </w:p>
    <w:p w14:paraId="47C0EDF9">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未在22.4款约定的时间内进行计量，则承包人提交的计量报告中所列工程量即视为被确认。</w:t>
      </w:r>
    </w:p>
    <w:p w14:paraId="7DAB3056">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未按22.4款约定的时间内通知承包人，致使承包人未能参加计量，则由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所作的或由他批准的计量结果无效。</w:t>
      </w:r>
    </w:p>
    <w:p w14:paraId="2063EC8C">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⑷对于因承包人原因造成的超出本合同工程承包范围的增加工程量及返工工程量，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不予计量。</w:t>
      </w:r>
    </w:p>
    <w:p w14:paraId="2AA24EC4">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⑸如承包人不同意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计量的结果，应在收到上述结果后7天内向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提出书面意见，并附上其认为正确的计量结果和计算资料。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收到上述书面意见后，应在7天内对承包人的计量结果进行复核后通知承包人。承包人对复核计量结果仍有异议的，按照合同约定的争议解决办法处理。</w:t>
      </w:r>
    </w:p>
    <w:p w14:paraId="69B29781">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2112" w:name="_Toc26420"/>
      <w:bookmarkStart w:id="2113" w:name="_Toc12573"/>
      <w:bookmarkStart w:id="2114" w:name="_Toc23277"/>
      <w:bookmarkStart w:id="2115" w:name="_Toc5647"/>
      <w:bookmarkStart w:id="2116" w:name="_Toc24283"/>
      <w:bookmarkStart w:id="2117" w:name="_Toc9041"/>
      <w:bookmarkStart w:id="2118" w:name="_Toc32597"/>
      <w:bookmarkStart w:id="2119" w:name="_Toc8901"/>
      <w:bookmarkStart w:id="2120" w:name="_Toc18667"/>
      <w:r>
        <w:rPr>
          <w:rFonts w:hint="eastAsia" w:ascii="华文细黑" w:hAnsi="宋体" w:eastAsia="宋体" w:cs="Times New Roman"/>
          <w:b/>
          <w:bCs/>
          <w:snapToGrid w:val="0"/>
          <w:color w:val="auto"/>
          <w:kern w:val="0"/>
          <w:sz w:val="28"/>
          <w:szCs w:val="44"/>
          <w:highlight w:val="none"/>
          <w:lang w:val="en-US" w:eastAsia="zh-CN" w:bidi="ar-SA"/>
        </w:rPr>
        <w:t>工程款支付</w:t>
      </w:r>
      <w:bookmarkEnd w:id="2112"/>
      <w:bookmarkEnd w:id="2113"/>
      <w:bookmarkEnd w:id="2114"/>
      <w:bookmarkEnd w:id="2115"/>
      <w:bookmarkEnd w:id="2116"/>
      <w:bookmarkEnd w:id="2117"/>
      <w:bookmarkEnd w:id="2118"/>
      <w:bookmarkEnd w:id="2119"/>
      <w:bookmarkEnd w:id="2120"/>
    </w:p>
    <w:p w14:paraId="06681F89">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本项目无须承包人带资施工，工程款按以下方式支付。</w:t>
      </w:r>
    </w:p>
    <w:p w14:paraId="0BA8191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21" w:name="_Toc24893"/>
      <w:bookmarkStart w:id="2122" w:name="_Toc5691"/>
      <w:bookmarkStart w:id="2123" w:name="_Toc16180"/>
      <w:bookmarkStart w:id="2124" w:name="_Toc305331360"/>
      <w:bookmarkStart w:id="2125" w:name="_Toc302635853"/>
      <w:bookmarkStart w:id="2126" w:name="_Toc3020"/>
      <w:bookmarkStart w:id="2127" w:name="_Toc22940"/>
      <w:bookmarkStart w:id="2128" w:name="_Toc26911"/>
      <w:bookmarkStart w:id="2129" w:name="_Toc8332"/>
      <w:bookmarkStart w:id="2130" w:name="_Toc13457"/>
      <w:bookmarkStart w:id="2131" w:name="_Toc16618"/>
      <w:bookmarkStart w:id="2132" w:name="_Toc34909094"/>
      <w:r>
        <w:rPr>
          <w:rFonts w:hint="eastAsia" w:ascii="宋体" w:hAnsi="宋体" w:eastAsia="宋体" w:cs="Times New Roman"/>
          <w:b/>
          <w:bCs/>
          <w:color w:val="auto"/>
          <w:kern w:val="0"/>
          <w:sz w:val="24"/>
          <w:szCs w:val="24"/>
          <w:highlight w:val="none"/>
          <w:lang w:val="en-US" w:eastAsia="zh-CN" w:bidi="ar-SA"/>
        </w:rPr>
        <w:t>工程预付款</w:t>
      </w:r>
      <w:bookmarkEnd w:id="2121"/>
      <w:bookmarkEnd w:id="2122"/>
      <w:bookmarkEnd w:id="2123"/>
      <w:bookmarkEnd w:id="2124"/>
      <w:bookmarkEnd w:id="2125"/>
      <w:bookmarkEnd w:id="2126"/>
      <w:bookmarkEnd w:id="2127"/>
      <w:bookmarkEnd w:id="2128"/>
      <w:bookmarkEnd w:id="2129"/>
      <w:bookmarkEnd w:id="2130"/>
      <w:bookmarkEnd w:id="2131"/>
    </w:p>
    <w:p w14:paraId="4B23B150">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⑴发包人和承包人应在</w:t>
      </w:r>
      <w:r>
        <w:rPr>
          <w:rFonts w:hint="eastAsia" w:ascii="宋体" w:hAnsi="宋体"/>
          <w:b/>
          <w:i/>
          <w:kern w:val="0"/>
          <w:highlight w:val="none"/>
        </w:rPr>
        <w:t>专用条款</w:t>
      </w:r>
      <w:r>
        <w:rPr>
          <w:rFonts w:hint="eastAsia" w:ascii="宋体" w:hAnsi="宋体"/>
          <w:kern w:val="0"/>
          <w:highlight w:val="none"/>
        </w:rPr>
        <w:t>中约定一定比例的工程预付款，用于施工准备，金额一般为签约合同价的10</w:t>
      </w:r>
      <w:r>
        <w:rPr>
          <w:rFonts w:ascii="宋体" w:hAnsi="宋体"/>
          <w:kern w:val="0"/>
          <w:highlight w:val="none"/>
        </w:rPr>
        <w:t>～</w:t>
      </w:r>
      <w:r>
        <w:rPr>
          <w:rFonts w:hint="eastAsia" w:ascii="宋体" w:hAnsi="宋体"/>
          <w:kern w:val="0"/>
          <w:highlight w:val="none"/>
        </w:rPr>
        <w:t>30%。其中施工现场安全文明措施费预付款金额：合同工期在一年以内的，不得低于该费用总额的50%；合同工期在一年以上的(含一年)，不得低于该费用总额的30%。工人工资预付款金额：政府投资项目不得低于签约合同价的1%，并一次性拨付至工人工资专用账户</w:t>
      </w:r>
      <w:r>
        <w:rPr>
          <w:rFonts w:hint="eastAsia" w:ascii="宋体" w:hAnsi="宋体"/>
          <w:kern w:val="0"/>
          <w:highlight w:val="none"/>
          <w:lang w:val="en-US" w:eastAsia="zh-CN"/>
        </w:rPr>
        <w:t>，非政府投资项目可</w:t>
      </w:r>
      <w:r>
        <w:rPr>
          <w:rFonts w:hint="eastAsia" w:ascii="宋体" w:hAnsi="宋体"/>
          <w:kern w:val="0"/>
          <w:highlight w:val="none"/>
          <w:lang w:eastAsia="zh-CN"/>
        </w:rPr>
        <w:t>参照执行。</w:t>
      </w:r>
    </w:p>
    <w:p w14:paraId="65EB44E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约定的时间向承包人支付工程预付款，预付的时间应不迟于约定的开工日期前7天。但发包人支付预付款之前，还应具备</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条件。发包人不按约定预付的，承包人应在约定预付时间到期后7天内向发包人发出要求预付的通知，发包人收到通知后仍不能按要求预付，承包人可在发出通知14天后停止施工，发包人应从约定应付之日起向承包人支付应付款的贷款利息，并承担违约责任。</w:t>
      </w:r>
      <w:bookmarkEnd w:id="2132"/>
    </w:p>
    <w:p w14:paraId="258FA453">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133" w:name="_Toc34909095"/>
      <w:r>
        <w:rPr>
          <w:rFonts w:hint="eastAsia" w:ascii="宋体" w:hAnsi="宋体" w:eastAsia="宋体" w:cs="Times New Roman"/>
          <w:color w:val="auto"/>
          <w:kern w:val="0"/>
          <w:szCs w:val="24"/>
          <w:highlight w:val="none"/>
        </w:rPr>
        <w:t>⑶发包人和承包人应在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约定工程预付款扣回的起扣点和扣回比例。在未达到起扣点之前，预付款不予扣回；达到起扣点之后，预付款按约定比例根据工程进度分期从进度支付款和过程结算款中扣回。</w:t>
      </w:r>
      <w:bookmarkEnd w:id="2133"/>
    </w:p>
    <w:p w14:paraId="70140C0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34" w:name="_Toc27370"/>
      <w:bookmarkStart w:id="2135" w:name="_Toc11174"/>
      <w:bookmarkStart w:id="2136" w:name="_Toc27652"/>
      <w:bookmarkStart w:id="2137" w:name="_Toc2494"/>
      <w:bookmarkStart w:id="2138" w:name="_Toc13252"/>
      <w:bookmarkStart w:id="2139" w:name="_Toc15945"/>
      <w:bookmarkStart w:id="2140" w:name="_Toc17783"/>
      <w:bookmarkStart w:id="2141" w:name="_Toc10584"/>
      <w:bookmarkStart w:id="2142" w:name="_Toc34909096"/>
      <w:r>
        <w:rPr>
          <w:rFonts w:hint="eastAsia" w:ascii="宋体" w:hAnsi="宋体" w:eastAsia="宋体" w:cs="Times New Roman"/>
          <w:b/>
          <w:bCs/>
          <w:color w:val="auto"/>
          <w:kern w:val="0"/>
          <w:sz w:val="24"/>
          <w:szCs w:val="24"/>
          <w:highlight w:val="none"/>
          <w:lang w:val="en-US" w:eastAsia="zh-CN" w:bidi="ar-SA"/>
        </w:rPr>
        <w:t>进度款支付周期</w:t>
      </w:r>
      <w:bookmarkEnd w:id="2134"/>
      <w:bookmarkEnd w:id="2135"/>
      <w:bookmarkEnd w:id="2136"/>
      <w:bookmarkEnd w:id="2137"/>
      <w:bookmarkEnd w:id="2138"/>
      <w:bookmarkEnd w:id="2139"/>
      <w:bookmarkEnd w:id="2140"/>
      <w:bookmarkEnd w:id="2141"/>
    </w:p>
    <w:p w14:paraId="6935C34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另有约定外，发包人和承包人应按月办理进度款支付。其中，工人工资支付周期不得超过1个月，具体按23.5款约定执行。</w:t>
      </w:r>
    </w:p>
    <w:p w14:paraId="49ADA2A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⑵承包人应根据本期内工程实际完成情况，按照22条有关工程量计量的约定，计算本期完成工程量，结合合同价格构成中的工程量清单项目单价，编制进度款支付申请。</w:t>
      </w:r>
    </w:p>
    <w:bookmarkEnd w:id="2142"/>
    <w:p w14:paraId="1F651AB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43" w:name="_Toc20011"/>
      <w:bookmarkStart w:id="2144" w:name="_Toc12409"/>
      <w:bookmarkStart w:id="2145" w:name="_Toc14087"/>
      <w:bookmarkStart w:id="2146" w:name="_Toc5200"/>
      <w:bookmarkStart w:id="2147" w:name="_Toc302635855"/>
      <w:bookmarkStart w:id="2148" w:name="_Toc305331363"/>
      <w:bookmarkStart w:id="2149" w:name="_Toc4409"/>
      <w:bookmarkStart w:id="2150" w:name="_Toc1329"/>
      <w:bookmarkStart w:id="2151" w:name="_Toc1636"/>
      <w:bookmarkStart w:id="2152" w:name="_Toc2659"/>
      <w:bookmarkStart w:id="2153" w:name="_Toc23815"/>
      <w:bookmarkStart w:id="2154" w:name="_Toc34909097"/>
      <w:r>
        <w:rPr>
          <w:rFonts w:hint="eastAsia" w:ascii="宋体" w:hAnsi="宋体" w:eastAsia="宋体" w:cs="Times New Roman"/>
          <w:b/>
          <w:bCs/>
          <w:color w:val="auto"/>
          <w:kern w:val="0"/>
          <w:sz w:val="24"/>
          <w:szCs w:val="24"/>
          <w:highlight w:val="none"/>
          <w:lang w:val="en-US" w:eastAsia="zh-CN" w:bidi="ar-SA"/>
        </w:rPr>
        <w:t>进度款支付申请的提交</w:t>
      </w:r>
      <w:bookmarkEnd w:id="2143"/>
      <w:bookmarkEnd w:id="2144"/>
      <w:bookmarkEnd w:id="2145"/>
      <w:bookmarkEnd w:id="2146"/>
      <w:bookmarkEnd w:id="2147"/>
      <w:bookmarkEnd w:id="2148"/>
      <w:bookmarkEnd w:id="2149"/>
      <w:bookmarkEnd w:id="2150"/>
      <w:bookmarkEnd w:id="2151"/>
      <w:bookmarkEnd w:id="2152"/>
      <w:bookmarkEnd w:id="2153"/>
    </w:p>
    <w:p w14:paraId="45A8212B">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承包人应按时向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提交由其项目经理签署的进度款支付申请，进度款支付申请应包括以下内容：</w:t>
      </w:r>
      <w:bookmarkEnd w:id="2154"/>
    </w:p>
    <w:p w14:paraId="1173A23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⑴本期已完成工程的价款；</w:t>
      </w:r>
    </w:p>
    <w:p w14:paraId="18668BA4">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⑵自开工截止本期末累计已完成(已实际结算)工程价款；</w:t>
      </w:r>
    </w:p>
    <w:p w14:paraId="59C4568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⑶自开工截止上期末累计已支付的工程价款；</w:t>
      </w:r>
    </w:p>
    <w:p w14:paraId="06D85B3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⑷本期已完成的(按20.2款经确认的)</w:t>
      </w:r>
      <w:r>
        <w:rPr>
          <w:rFonts w:ascii="宋体" w:hAnsi="宋体" w:eastAsia="宋体" w:cs="Times New Roman"/>
          <w:color w:val="auto"/>
          <w:kern w:val="0"/>
          <w:szCs w:val="24"/>
          <w:highlight w:val="none"/>
        </w:rPr>
        <w:t>调整</w:t>
      </w:r>
      <w:r>
        <w:rPr>
          <w:rFonts w:hint="eastAsia" w:ascii="宋体" w:hAnsi="宋体" w:eastAsia="宋体" w:cs="Times New Roman"/>
          <w:color w:val="auto"/>
          <w:kern w:val="0"/>
          <w:szCs w:val="24"/>
          <w:highlight w:val="none"/>
        </w:rPr>
        <w:t>价款；</w:t>
      </w:r>
    </w:p>
    <w:p w14:paraId="2C06E04D">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⑸本期已完成的(按21.1、2款经确定的)材料设备、专业工程暂估价价款；</w:t>
      </w:r>
    </w:p>
    <w:p w14:paraId="6735201D">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⑹本期应抵扣的(按23.1款)工程预付款；</w:t>
      </w:r>
    </w:p>
    <w:p w14:paraId="2F03D175">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⑺本期应扣减的(按</w:t>
      </w:r>
      <w:r>
        <w:rPr>
          <w:rFonts w:hint="eastAsia" w:ascii="宋体" w:hAnsi="宋体" w:eastAsia="宋体" w:cs="Times New Roman"/>
          <w:color w:val="auto"/>
          <w:kern w:val="0"/>
          <w:szCs w:val="24"/>
          <w:highlight w:val="none"/>
          <w:lang w:val="en-US" w:eastAsia="zh-CN"/>
        </w:rPr>
        <w:t>32.3</w:t>
      </w:r>
      <w:r>
        <w:rPr>
          <w:rFonts w:hint="eastAsia" w:ascii="宋体" w:hAnsi="宋体" w:eastAsia="宋体" w:cs="Times New Roman"/>
          <w:color w:val="auto"/>
          <w:kern w:val="0"/>
          <w:szCs w:val="24"/>
          <w:highlight w:val="none"/>
        </w:rPr>
        <w:t>款)质量保证金；</w:t>
      </w:r>
    </w:p>
    <w:p w14:paraId="488CDCF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w:t>
      </w:r>
      <w:r>
        <w:rPr>
          <w:rFonts w:ascii="宋体" w:hAnsi="宋体" w:eastAsia="宋体" w:cs="Times New Roman"/>
          <w:color w:val="auto"/>
          <w:kern w:val="0"/>
          <w:szCs w:val="24"/>
          <w:highlight w:val="none"/>
        </w:rPr>
        <w:t>对已签发的进度款支付证书中出现错误的修正，应在本次进度付款中支付或扣除的金额；</w:t>
      </w:r>
    </w:p>
    <w:p w14:paraId="015682C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⑼本期根据合同应增加和扣减的其他金额；</w:t>
      </w:r>
    </w:p>
    <w:p w14:paraId="33A47C7F">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⑽</w:t>
      </w:r>
      <w:r>
        <w:rPr>
          <w:rFonts w:hint="eastAsia" w:ascii="宋体" w:hAnsi="宋体" w:eastAsia="宋体" w:cs="Times New Roman"/>
          <w:color w:val="auto"/>
          <w:kern w:val="0"/>
          <w:szCs w:val="24"/>
          <w:highlight w:val="none"/>
        </w:rPr>
        <w:t>本期应支付的工程价款。</w:t>
      </w:r>
    </w:p>
    <w:p w14:paraId="4F261AF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55" w:name="_Toc24051"/>
      <w:bookmarkStart w:id="2156" w:name="_Toc13905"/>
      <w:bookmarkStart w:id="2157" w:name="_Toc6374"/>
      <w:bookmarkStart w:id="2158" w:name="_Toc305331364"/>
      <w:bookmarkStart w:id="2159" w:name="_Toc25632"/>
      <w:bookmarkStart w:id="2160" w:name="_Toc302635856"/>
      <w:bookmarkStart w:id="2161" w:name="_Toc9999"/>
      <w:bookmarkStart w:id="2162" w:name="_Toc26010"/>
      <w:bookmarkStart w:id="2163" w:name="_Toc27545"/>
      <w:bookmarkStart w:id="2164" w:name="_Toc7233"/>
      <w:bookmarkStart w:id="2165" w:name="_Toc6741"/>
      <w:bookmarkStart w:id="2166" w:name="_Toc34909098"/>
      <w:r>
        <w:rPr>
          <w:rFonts w:hint="eastAsia" w:ascii="宋体" w:hAnsi="宋体" w:eastAsia="宋体" w:cs="Times New Roman"/>
          <w:b/>
          <w:bCs/>
          <w:color w:val="auto"/>
          <w:kern w:val="0"/>
          <w:sz w:val="24"/>
          <w:szCs w:val="24"/>
          <w:highlight w:val="none"/>
          <w:lang w:val="en-US" w:eastAsia="zh-CN" w:bidi="ar-SA"/>
        </w:rPr>
        <w:t>进度款支付</w:t>
      </w:r>
      <w:bookmarkEnd w:id="2155"/>
      <w:bookmarkEnd w:id="2156"/>
      <w:bookmarkEnd w:id="2157"/>
      <w:bookmarkEnd w:id="2158"/>
      <w:bookmarkEnd w:id="2159"/>
      <w:bookmarkEnd w:id="2160"/>
      <w:bookmarkEnd w:id="2161"/>
      <w:bookmarkEnd w:id="2162"/>
      <w:bookmarkEnd w:id="2163"/>
      <w:bookmarkEnd w:id="2164"/>
      <w:bookmarkEnd w:id="2165"/>
    </w:p>
    <w:p w14:paraId="1D4E653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应在收到进度款支付申请后14天内签发进度款支付证书，签发时应写明到期应结算的价款及需要扣留和扣回的价款并报发包人批准。如该期应结算的价款经扣留和扣回后的价款少于</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约定的进度款支付的最低金额，则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可不签发支付证书，该期工程价款将按期结转，直到累计应支付的价款达到</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约定的进度款支付的最低金额为止。累计进度款支付价款达到合同价格总额的90%或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约定的支付比例时暂停支付。</w:t>
      </w:r>
      <w:bookmarkEnd w:id="2166"/>
    </w:p>
    <w:p w14:paraId="79D89B1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⑵若承包人未按照23.2⑴款约定的时间提交进度款支付申请，</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可自行按照工程实际进度情况编制进度款支付申请，报发包人批准后签发进度款支付证书，承包人对此应予以认可。</w:t>
      </w:r>
    </w:p>
    <w:p w14:paraId="7372F37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发包人和监理人对承包人的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有异议的，有权要求承包人修正和提供补充资料，承包人应提交修正后的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。监理人应在收到承包人修正后的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及相关资料后7天内完成审查并报送发包人，发包人应在收到监理人报送的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及相关资料后7天内，向承包人签发无异议部分的支付证书。存在争议的部分，按照第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的约定处理。</w:t>
      </w:r>
    </w:p>
    <w:p w14:paraId="2DFDA8C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应在进度款支付证书签发之日起7天内将进度款支付证书上列明的应付工程进度款支付给承包人。发包人超过约定的时间不支付，承包人可向发包人发出要求付款的通知。发包人收到通知后7天内仍不能付款，可与承包人协商签订延期付款协议，经承包人同意后可延期支付，发包人应从约定应付之日起按同期银行贷款利率向承包人支付拖欠工程进度款的贷款利息。</w:t>
      </w:r>
    </w:p>
    <w:p w14:paraId="68588B68">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发包人不按约定时间足额支付工程进度款，双方又未达成延期付款协议，导致施工无法进行，承包人可停止施工，发包人应从约定应付之日起按同期银行贷款利率向承包人支付拖欠工程进度款的贷款利息以外，还应按第2</w:t>
      </w:r>
      <w:r>
        <w:rPr>
          <w:rFonts w:hint="eastAsia" w:ascii="宋体" w:hAnsi="宋体" w:eastAsia="宋体" w:cs="Times New Roman"/>
          <w:color w:val="auto"/>
          <w:kern w:val="0"/>
          <w:szCs w:val="24"/>
          <w:highlight w:val="none"/>
          <w:lang w:val="en-US" w:eastAsia="zh-CN"/>
        </w:rPr>
        <w:t>9</w:t>
      </w:r>
      <w:r>
        <w:rPr>
          <w:rFonts w:hint="eastAsia" w:ascii="宋体" w:hAnsi="宋体" w:eastAsia="宋体" w:cs="Times New Roman"/>
          <w:color w:val="auto"/>
          <w:kern w:val="0"/>
          <w:szCs w:val="24"/>
          <w:highlight w:val="none"/>
        </w:rPr>
        <w:t>.1款〔发包人违约〕承担违约责任。</w:t>
      </w:r>
    </w:p>
    <w:p w14:paraId="199796C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在对已签发的</w:t>
      </w:r>
      <w:r>
        <w:rPr>
          <w:rFonts w:hint="eastAsia" w:ascii="宋体" w:hAnsi="宋体" w:eastAsia="宋体" w:cs="Times New Roman"/>
          <w:color w:val="auto"/>
          <w:kern w:val="0"/>
          <w:szCs w:val="24"/>
          <w:highlight w:val="none"/>
        </w:rPr>
        <w:t>进度款</w:t>
      </w:r>
      <w:r>
        <w:rPr>
          <w:rFonts w:ascii="宋体" w:hAnsi="宋体" w:eastAsia="宋体" w:cs="Times New Roman"/>
          <w:color w:val="auto"/>
          <w:kern w:val="0"/>
          <w:szCs w:val="24"/>
          <w:highlight w:val="none"/>
        </w:rPr>
        <w:t>支付证书进行阶段汇总和复核中发现错误、遗漏或重复的，发包人和承包人均有权提出修正申请。经发包人和承包人同意的修正，应在下期进度付款中支付或扣除。</w:t>
      </w:r>
    </w:p>
    <w:p w14:paraId="0E4033A5">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167" w:name="_Toc34909102"/>
      <w:r>
        <w:rPr>
          <w:rFonts w:hint="eastAsia" w:ascii="宋体" w:hAnsi="宋体" w:eastAsia="宋体" w:cs="Times New Roman"/>
          <w:color w:val="auto"/>
          <w:kern w:val="0"/>
          <w:szCs w:val="24"/>
          <w:highlight w:val="none"/>
        </w:rPr>
        <w:t>⑺上述有关工程款支付的文件的编制和审核均须经注册造价工程师签字盖章确认。</w:t>
      </w:r>
      <w:bookmarkEnd w:id="2167"/>
    </w:p>
    <w:p w14:paraId="02BDA82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68" w:name="_Toc15986"/>
      <w:bookmarkStart w:id="2169" w:name="_Toc24350"/>
      <w:bookmarkStart w:id="2170" w:name="_Toc6368"/>
      <w:bookmarkStart w:id="2171" w:name="_Toc16656"/>
      <w:bookmarkStart w:id="2172" w:name="_Toc21011"/>
      <w:bookmarkStart w:id="2173" w:name="_Toc5953"/>
      <w:bookmarkStart w:id="2174" w:name="_Toc19101"/>
      <w:bookmarkStart w:id="2175" w:name="_Toc3400"/>
      <w:bookmarkStart w:id="2176" w:name="_Toc10747"/>
      <w:r>
        <w:rPr>
          <w:rFonts w:hint="eastAsia" w:ascii="宋体" w:hAnsi="宋体" w:eastAsia="宋体" w:cs="Times New Roman"/>
          <w:b/>
          <w:bCs/>
          <w:color w:val="auto"/>
          <w:kern w:val="0"/>
          <w:sz w:val="24"/>
          <w:szCs w:val="24"/>
          <w:highlight w:val="none"/>
          <w:lang w:val="en-US" w:eastAsia="zh-CN" w:bidi="ar-SA"/>
        </w:rPr>
        <w:t>工人工资支付</w:t>
      </w:r>
      <w:bookmarkEnd w:id="2168"/>
      <w:bookmarkEnd w:id="2169"/>
      <w:bookmarkEnd w:id="2170"/>
      <w:bookmarkEnd w:id="2171"/>
      <w:bookmarkEnd w:id="2172"/>
      <w:bookmarkEnd w:id="2173"/>
      <w:bookmarkEnd w:id="2174"/>
      <w:bookmarkEnd w:id="2175"/>
      <w:bookmarkEnd w:id="2176"/>
    </w:p>
    <w:p w14:paraId="1C559E1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和承包人应按照《保障农民工工资支付条例》《国务院关于解决农民工若干问题的意见》《建设领域农民工工资支付管理暂行办法》和深圳市建设行政主管部门的相关规定，实施用工实名制和分账制管理，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中约定工人工资支付方式，保障工人工资及时支付和足额发放。</w:t>
      </w:r>
    </w:p>
    <w:p w14:paraId="30C049D9">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77" w:name="_Toc305331365"/>
      <w:bookmarkStart w:id="2178" w:name="_Toc15634"/>
      <w:bookmarkStart w:id="2179" w:name="_Toc302635857"/>
      <w:bookmarkStart w:id="2180" w:name="_Toc4227"/>
      <w:bookmarkStart w:id="2181" w:name="_Toc29562"/>
      <w:bookmarkStart w:id="2182" w:name="_Toc25821"/>
      <w:bookmarkStart w:id="2183" w:name="_Toc22860"/>
      <w:bookmarkStart w:id="2184" w:name="_Toc31456"/>
      <w:bookmarkStart w:id="2185" w:name="_Toc17065"/>
      <w:bookmarkStart w:id="2186" w:name="_Toc22542"/>
      <w:bookmarkStart w:id="2187" w:name="_Toc105"/>
      <w:r>
        <w:rPr>
          <w:rFonts w:hint="eastAsia" w:ascii="宋体" w:hAnsi="宋体" w:eastAsia="宋体" w:cs="Times New Roman"/>
          <w:b/>
          <w:bCs/>
          <w:color w:val="auto"/>
          <w:kern w:val="0"/>
          <w:sz w:val="24"/>
          <w:szCs w:val="24"/>
          <w:highlight w:val="none"/>
          <w:lang w:val="en-US" w:eastAsia="zh-CN" w:bidi="ar-SA"/>
        </w:rPr>
        <w:t>工程款专款专用</w:t>
      </w:r>
      <w:bookmarkEnd w:id="2177"/>
      <w:bookmarkEnd w:id="2178"/>
      <w:bookmarkEnd w:id="2179"/>
      <w:bookmarkEnd w:id="2180"/>
      <w:bookmarkEnd w:id="2181"/>
      <w:bookmarkEnd w:id="2182"/>
      <w:bookmarkEnd w:id="2183"/>
      <w:bookmarkEnd w:id="2184"/>
      <w:bookmarkEnd w:id="2185"/>
      <w:bookmarkEnd w:id="2186"/>
      <w:bookmarkEnd w:id="2187"/>
    </w:p>
    <w:p w14:paraId="72C55EE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发包人支付给承包人的工程款都应当专款专用，承包人不得擅自改变任何款项的使用性质。发包人有权检查承包人工程款的使用情况(包括但不限于工程预付款、材料款、分包工程款、劳务分包价款（工人工资）、安全文明措施费等款项)，发包人还可以采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约定的措施对承包人的工程款使用情况进行监管。</w:t>
      </w:r>
    </w:p>
    <w:p w14:paraId="7F671B97">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188" w:name="_Toc35656493"/>
      <w:bookmarkStart w:id="2189" w:name="_Toc17558"/>
      <w:bookmarkStart w:id="2190" w:name="_Toc24368"/>
      <w:bookmarkStart w:id="2191" w:name="_Toc24657"/>
      <w:bookmarkStart w:id="2192" w:name="_Toc26061"/>
      <w:bookmarkStart w:id="2193" w:name="_Toc305331366"/>
      <w:bookmarkStart w:id="2194" w:name="_Toc34909104"/>
      <w:bookmarkStart w:id="2195" w:name="_Toc35656995"/>
      <w:bookmarkStart w:id="2196" w:name="_Toc1512"/>
      <w:bookmarkStart w:id="2197" w:name="_Toc19088"/>
      <w:bookmarkStart w:id="2198" w:name="_Toc28332"/>
      <w:bookmarkStart w:id="2199" w:name="_Toc4669"/>
      <w:bookmarkStart w:id="2200" w:name="_Toc1164"/>
      <w:bookmarkStart w:id="2201" w:name="_Toc302635858"/>
      <w:r>
        <w:rPr>
          <w:rFonts w:hint="eastAsia" w:ascii="华文细黑" w:hAnsi="宋体" w:eastAsia="宋体" w:cs="Times New Roman"/>
          <w:b/>
          <w:bCs/>
          <w:snapToGrid w:val="0"/>
          <w:color w:val="auto"/>
          <w:kern w:val="0"/>
          <w:sz w:val="28"/>
          <w:szCs w:val="44"/>
          <w:highlight w:val="none"/>
          <w:lang w:val="en-US" w:eastAsia="zh-CN" w:bidi="ar-SA"/>
        </w:rPr>
        <w:t>工程变更</w:t>
      </w:r>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14:paraId="4F574680">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202" w:name="_Toc14035"/>
      <w:bookmarkStart w:id="2203" w:name="_Toc28613"/>
      <w:bookmarkStart w:id="2204" w:name="_Toc14977"/>
      <w:bookmarkStart w:id="2205" w:name="_Toc7001"/>
      <w:bookmarkStart w:id="2206" w:name="_Toc6535"/>
      <w:bookmarkStart w:id="2207" w:name="_Toc19875"/>
      <w:bookmarkStart w:id="2208" w:name="_Toc302635859"/>
      <w:bookmarkStart w:id="2209" w:name="_Toc8761"/>
      <w:bookmarkStart w:id="2210" w:name="_Toc305331367"/>
      <w:bookmarkStart w:id="2211" w:name="_Toc10969"/>
      <w:bookmarkStart w:id="2212" w:name="_Toc21365"/>
      <w:bookmarkStart w:id="2213" w:name="_Toc34909105"/>
      <w:r>
        <w:rPr>
          <w:rFonts w:hint="eastAsia" w:ascii="宋体" w:hAnsi="宋体" w:eastAsia="宋体" w:cs="Times New Roman"/>
          <w:b/>
          <w:bCs/>
          <w:color w:val="auto"/>
          <w:kern w:val="0"/>
          <w:sz w:val="24"/>
          <w:szCs w:val="24"/>
          <w:highlight w:val="none"/>
          <w:lang w:val="en-US" w:eastAsia="zh-CN" w:bidi="ar-SA"/>
        </w:rPr>
        <w:t>工程变更的范围</w:t>
      </w:r>
      <w:bookmarkEnd w:id="2202"/>
      <w:bookmarkEnd w:id="2203"/>
      <w:bookmarkEnd w:id="2204"/>
      <w:bookmarkEnd w:id="2205"/>
      <w:bookmarkEnd w:id="2206"/>
      <w:bookmarkEnd w:id="2207"/>
      <w:bookmarkEnd w:id="2208"/>
      <w:bookmarkEnd w:id="2209"/>
      <w:bookmarkEnd w:id="2210"/>
      <w:bookmarkEnd w:id="2211"/>
      <w:bookmarkEnd w:id="2212"/>
    </w:p>
    <w:p w14:paraId="60E8D347">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在施工过程中，出现以下情况，视为工程变更：</w:t>
      </w:r>
    </w:p>
    <w:p w14:paraId="557BCF65">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⑴本工程图纸包括的任何工作内容的数量、质量或其他特征的改变；</w:t>
      </w:r>
    </w:p>
    <w:p w14:paraId="5352ED94">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⑵本工程技术规范内容或要求的改变；</w:t>
      </w:r>
    </w:p>
    <w:p w14:paraId="4E9443AF">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⑶本工程任何部分的标高、线形、位置和尺寸的改变；</w:t>
      </w:r>
    </w:p>
    <w:p w14:paraId="1AA49B7E">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⑷本工程任何部分施工的约定顺序或时间安排的改变；</w:t>
      </w:r>
    </w:p>
    <w:p w14:paraId="7446A042">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⑸为进行工程变更需要的任何附加工作、材料或设备。</w:t>
      </w:r>
    </w:p>
    <w:p w14:paraId="47ECEA6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214" w:name="_Toc14389"/>
      <w:bookmarkStart w:id="2215" w:name="_Toc23342"/>
      <w:bookmarkStart w:id="2216" w:name="_Toc148"/>
      <w:bookmarkStart w:id="2217" w:name="_Toc16226"/>
      <w:bookmarkStart w:id="2218" w:name="_Toc17710"/>
      <w:bookmarkStart w:id="2219" w:name="_Toc1658"/>
      <w:bookmarkStart w:id="2220" w:name="_Toc2468"/>
      <w:bookmarkStart w:id="2221" w:name="_Toc20981"/>
      <w:bookmarkStart w:id="2222" w:name="_Toc14557"/>
      <w:bookmarkStart w:id="2223" w:name="_Toc305331368"/>
      <w:bookmarkStart w:id="2224" w:name="_Toc302635860"/>
      <w:r>
        <w:rPr>
          <w:rFonts w:hint="eastAsia" w:ascii="宋体" w:hAnsi="宋体" w:eastAsia="宋体" w:cs="Times New Roman"/>
          <w:b/>
          <w:bCs/>
          <w:color w:val="auto"/>
          <w:kern w:val="0"/>
          <w:sz w:val="24"/>
          <w:szCs w:val="24"/>
          <w:highlight w:val="none"/>
          <w:lang w:val="en-US" w:eastAsia="zh-CN" w:bidi="ar-SA"/>
        </w:rPr>
        <w:t>变更权</w:t>
      </w:r>
      <w:bookmarkEnd w:id="2214"/>
      <w:bookmarkEnd w:id="2215"/>
      <w:bookmarkEnd w:id="2216"/>
      <w:bookmarkEnd w:id="2217"/>
      <w:bookmarkEnd w:id="2218"/>
      <w:bookmarkEnd w:id="2219"/>
      <w:bookmarkEnd w:id="2220"/>
      <w:bookmarkEnd w:id="2221"/>
      <w:bookmarkEnd w:id="2222"/>
    </w:p>
    <w:p w14:paraId="293C9452">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监理人均可提出变更。变更指令均通过监理人发出，监理人发出变更指令前应征得发包人同意。承包人收到经发包人签认的变更指令后，方可实施变更。未经许可，承包人不得擅自对工程的任何部分进行变更。</w:t>
      </w:r>
    </w:p>
    <w:p w14:paraId="3CFB5E4D">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⑵涉及设计变更的，应由设计人提供变更后的图纸和说明。</w:t>
      </w:r>
    </w:p>
    <w:p w14:paraId="40E67B6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225" w:name="_Toc2388"/>
      <w:bookmarkStart w:id="2226" w:name="_Toc21475"/>
      <w:bookmarkStart w:id="2227" w:name="_Toc11752"/>
      <w:bookmarkStart w:id="2228" w:name="_Toc458"/>
      <w:bookmarkStart w:id="2229" w:name="_Toc19914"/>
      <w:bookmarkStart w:id="2230" w:name="_Toc14525"/>
      <w:bookmarkStart w:id="2231" w:name="_Toc11647"/>
      <w:bookmarkStart w:id="2232" w:name="_Toc19650"/>
      <w:bookmarkStart w:id="2233" w:name="_Toc25097"/>
      <w:r>
        <w:rPr>
          <w:rFonts w:hint="eastAsia" w:ascii="宋体" w:hAnsi="宋体" w:eastAsia="宋体" w:cs="Times New Roman"/>
          <w:b/>
          <w:bCs/>
          <w:color w:val="auto"/>
          <w:kern w:val="0"/>
          <w:sz w:val="24"/>
          <w:szCs w:val="24"/>
          <w:highlight w:val="none"/>
          <w:lang w:val="en-US" w:eastAsia="zh-CN" w:bidi="ar-SA"/>
        </w:rPr>
        <w:t>工程变更程序</w:t>
      </w:r>
      <w:bookmarkEnd w:id="2223"/>
      <w:bookmarkEnd w:id="2224"/>
      <w:bookmarkEnd w:id="2225"/>
      <w:bookmarkEnd w:id="2226"/>
      <w:bookmarkEnd w:id="2227"/>
      <w:bookmarkEnd w:id="2228"/>
      <w:bookmarkEnd w:id="2229"/>
      <w:bookmarkEnd w:id="2230"/>
      <w:bookmarkEnd w:id="2231"/>
      <w:bookmarkEnd w:id="2232"/>
      <w:bookmarkEnd w:id="2233"/>
    </w:p>
    <w:bookmarkEnd w:id="2213"/>
    <w:p w14:paraId="3141505B">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工程变更应按以下程序及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的约定办理，并由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提前14天向承包人发出变更指令。</w:t>
      </w:r>
    </w:p>
    <w:p w14:paraId="5887BE4E">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⑴发包人提出变更建议，经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审核，涉及施工图调整时应经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w:t>
      </w:r>
    </w:p>
    <w:p w14:paraId="6EE3A12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提出变更建议，涉及施工图调整时应提交相应变更设计，经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审核并报发包人同意；</w:t>
      </w:r>
    </w:p>
    <w:p w14:paraId="35FA8FB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提出变更建议，涉及施工图调整时应经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同意并提交相应变更设计，报发包人同意；</w:t>
      </w:r>
    </w:p>
    <w:p w14:paraId="1B0FF369">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⑷承包人提出变更建议，涉及施工图调整时应经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审核并报发包人同意；</w:t>
      </w:r>
    </w:p>
    <w:p w14:paraId="00A9D88A">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⑸以上变更建议涉及到结构、外墙等影响本工程及公众安全的，必须经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w:t>
      </w:r>
    </w:p>
    <w:p w14:paraId="61DEDCAE">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⑹以上变更超过原设计标准或批准的建设规模需要有关部门审批时，发包人应在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约定期限内报规划管理部门和其他有关部门重新审查批准，并提供由</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出具的相应变更设计。</w:t>
      </w:r>
    </w:p>
    <w:p w14:paraId="70861FE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34" w:name="_Toc305331369"/>
      <w:bookmarkStart w:id="2235" w:name="_Toc934"/>
      <w:bookmarkStart w:id="2236" w:name="_Toc5911"/>
      <w:bookmarkStart w:id="2237" w:name="_Toc14117"/>
      <w:bookmarkStart w:id="2238" w:name="_Toc11590"/>
      <w:bookmarkStart w:id="2239" w:name="_Toc6379"/>
      <w:bookmarkStart w:id="2240" w:name="_Toc24436"/>
      <w:bookmarkStart w:id="2241" w:name="_Toc30434"/>
      <w:bookmarkStart w:id="2242" w:name="_Toc32015"/>
      <w:bookmarkStart w:id="2243" w:name="_Toc302635862"/>
      <w:bookmarkStart w:id="2244" w:name="_Toc26098"/>
      <w:bookmarkStart w:id="2245" w:name="_Toc34909108"/>
      <w:r>
        <w:rPr>
          <w:rFonts w:hint="eastAsia" w:ascii="宋体" w:hAnsi="宋体" w:eastAsia="宋体" w:cs="Times New Roman"/>
          <w:b/>
          <w:bCs/>
          <w:color w:val="auto"/>
          <w:kern w:val="0"/>
          <w:sz w:val="24"/>
          <w:szCs w:val="24"/>
          <w:highlight w:val="none"/>
          <w:lang w:val="en-US" w:eastAsia="zh-CN" w:bidi="ar-SA"/>
        </w:rPr>
        <w:t>其他变更</w:t>
      </w:r>
      <w:bookmarkEnd w:id="2234"/>
      <w:bookmarkEnd w:id="2235"/>
      <w:bookmarkEnd w:id="2236"/>
      <w:bookmarkEnd w:id="2237"/>
      <w:bookmarkEnd w:id="2238"/>
      <w:bookmarkEnd w:id="2239"/>
      <w:bookmarkEnd w:id="2240"/>
      <w:bookmarkEnd w:id="2241"/>
      <w:bookmarkEnd w:id="2242"/>
      <w:bookmarkEnd w:id="2243"/>
      <w:bookmarkEnd w:id="2244"/>
    </w:p>
    <w:p w14:paraId="61AAC51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⑴如发出本工程变更指令是因为承包人过错、承包人违反本合同等造成的，则由此引起的任何额外费用由承包人承担。</w:t>
      </w:r>
    </w:p>
    <w:p w14:paraId="5769AB5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⑵如承包人为了便于组织施工，或为了施工安全、避免干扰等原因需采取相应的技术措施而提出的局部变更设计，除须得到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的批准外，由此而增加的费用由承包人自行负担。因承包人擅自变更设计发生的费用和由此导致发包人的直接损失，由承包人承担，延误的工期不予顺延。</w:t>
      </w:r>
    </w:p>
    <w:bookmarkEnd w:id="2245"/>
    <w:p w14:paraId="774E936C">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46" w:name="_Toc23549"/>
      <w:bookmarkStart w:id="2247" w:name="_Toc25286"/>
      <w:bookmarkStart w:id="2248" w:name="_Toc1792"/>
      <w:bookmarkStart w:id="2249" w:name="_Toc29884"/>
      <w:bookmarkStart w:id="2250" w:name="_Toc14457"/>
      <w:bookmarkStart w:id="2251" w:name="_Toc305331370"/>
      <w:bookmarkStart w:id="2252" w:name="_Toc2209"/>
      <w:bookmarkStart w:id="2253" w:name="_Toc12732"/>
      <w:bookmarkStart w:id="2254" w:name="_Toc1182"/>
      <w:bookmarkStart w:id="2255" w:name="_Toc2804"/>
      <w:bookmarkStart w:id="2256" w:name="_Toc302635863"/>
      <w:bookmarkStart w:id="2257" w:name="_Toc34909084"/>
      <w:bookmarkStart w:id="2258" w:name="_Toc34909109"/>
      <w:r>
        <w:rPr>
          <w:rFonts w:hint="eastAsia" w:ascii="宋体" w:hAnsi="宋体" w:eastAsia="宋体" w:cs="Times New Roman"/>
          <w:b/>
          <w:bCs/>
          <w:color w:val="auto"/>
          <w:kern w:val="0"/>
          <w:sz w:val="24"/>
          <w:szCs w:val="24"/>
          <w:highlight w:val="none"/>
          <w:lang w:val="en-US" w:eastAsia="zh-CN" w:bidi="ar-SA"/>
        </w:rPr>
        <w:t>计日工现场签证</w:t>
      </w:r>
      <w:bookmarkEnd w:id="2246"/>
      <w:bookmarkEnd w:id="2247"/>
      <w:bookmarkEnd w:id="2248"/>
      <w:bookmarkEnd w:id="2249"/>
      <w:bookmarkEnd w:id="2250"/>
      <w:bookmarkEnd w:id="2251"/>
      <w:bookmarkEnd w:id="2252"/>
      <w:bookmarkEnd w:id="2253"/>
      <w:bookmarkEnd w:id="2254"/>
      <w:bookmarkEnd w:id="2255"/>
      <w:bookmarkEnd w:id="2256"/>
    </w:p>
    <w:p w14:paraId="5E41B5D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⑴在本工程施工过程中，承包人完成发包人或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提出的施工图以外的零星项目或工作，</w:t>
      </w:r>
      <w:r>
        <w:rPr>
          <w:rFonts w:ascii="宋体" w:hAnsi="宋体" w:eastAsia="宋体" w:cs="Times New Roman"/>
          <w:color w:val="auto"/>
          <w:kern w:val="0"/>
          <w:szCs w:val="24"/>
          <w:highlight w:val="none"/>
        </w:rPr>
        <w:t>其价款按列入已标价工程量清单或预算书中的计日工计价项目及其单价进行计算；已标价工程量清单或预算书中无相应的计日工单价的，按照合理的成本与利润构成的原则，由承发包双方</w:t>
      </w:r>
      <w:r>
        <w:rPr>
          <w:rFonts w:hint="eastAsia" w:ascii="宋体" w:hAnsi="宋体" w:eastAsia="宋体" w:cs="Times New Roman"/>
          <w:color w:val="auto"/>
          <w:kern w:val="0"/>
          <w:szCs w:val="24"/>
          <w:highlight w:val="none"/>
        </w:rPr>
        <w:t>协商</w:t>
      </w:r>
      <w:r>
        <w:rPr>
          <w:rFonts w:ascii="宋体" w:hAnsi="宋体" w:eastAsia="宋体" w:cs="Times New Roman"/>
          <w:color w:val="auto"/>
          <w:kern w:val="0"/>
          <w:szCs w:val="24"/>
          <w:highlight w:val="none"/>
        </w:rPr>
        <w:t>确定变更工作的单价</w:t>
      </w:r>
      <w:r>
        <w:rPr>
          <w:rFonts w:hint="eastAsia" w:ascii="宋体" w:hAnsi="宋体" w:eastAsia="宋体" w:cs="Times New Roman"/>
          <w:color w:val="auto"/>
          <w:kern w:val="0"/>
          <w:szCs w:val="24"/>
          <w:highlight w:val="none"/>
        </w:rPr>
        <w:t>，协商不成的，按第3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条〔争议解决〕的约定处理。</w:t>
      </w:r>
    </w:p>
    <w:p w14:paraId="3D6135C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如认为必要时，可以指令承包人按计日工完成工作。对所有按计日工方式施工的工程，承包人应在该工程持续进行过程中，每天向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提交以下报表及有关凭证一式两份，经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确认签字后，退还其中一份给承包人。</w:t>
      </w:r>
    </w:p>
    <w:p w14:paraId="40A543A3">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工作名称、内容和数量；</w:t>
      </w:r>
    </w:p>
    <w:p w14:paraId="78EA7B9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投入该工作的所有人员的姓名、专业、工种、级别和耗用工时；</w:t>
      </w:r>
    </w:p>
    <w:p w14:paraId="424F6173">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投入该工作的材料类别和数量；</w:t>
      </w:r>
    </w:p>
    <w:p w14:paraId="65074042">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投入该工作的施工设备型号和耗用</w:t>
      </w:r>
      <w:r>
        <w:rPr>
          <w:rFonts w:hint="eastAsia" w:ascii="宋体" w:hAnsi="宋体" w:eastAsia="宋体" w:cs="Times New Roman"/>
          <w:color w:val="auto"/>
          <w:kern w:val="0"/>
          <w:szCs w:val="24"/>
          <w:highlight w:val="none"/>
        </w:rPr>
        <w:t>台班</w:t>
      </w:r>
      <w:r>
        <w:rPr>
          <w:rFonts w:ascii="宋体" w:hAnsi="宋体" w:eastAsia="宋体" w:cs="Times New Roman"/>
          <w:color w:val="auto"/>
          <w:kern w:val="0"/>
          <w:szCs w:val="24"/>
          <w:highlight w:val="none"/>
        </w:rPr>
        <w:t>；</w:t>
      </w:r>
    </w:p>
    <w:p w14:paraId="50C3A8F7">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其他有关资料和凭证。</w:t>
      </w:r>
    </w:p>
    <w:p w14:paraId="2814060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⑶在进度款支付的同时，承包人应按照</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确认的本期累计所用劳务、材料和承包人装备的数量，向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申报本期所用计日工费用，经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审核并报发包人确认后，与进度款支付同期支付。</w:t>
      </w:r>
    </w:p>
    <w:bookmarkEnd w:id="2257"/>
    <w:p w14:paraId="6F0CE78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59" w:name="_Toc302635864"/>
      <w:bookmarkStart w:id="2260" w:name="_Toc7112"/>
      <w:bookmarkStart w:id="2261" w:name="_Toc21842"/>
      <w:bookmarkStart w:id="2262" w:name="_Toc305331371"/>
      <w:bookmarkStart w:id="2263" w:name="_Toc17372"/>
      <w:bookmarkStart w:id="2264" w:name="_Toc6190"/>
      <w:bookmarkStart w:id="2265" w:name="_Toc22622"/>
      <w:bookmarkStart w:id="2266" w:name="_Toc2163"/>
      <w:bookmarkStart w:id="2267" w:name="_Toc23749"/>
      <w:bookmarkStart w:id="2268" w:name="_Toc6650"/>
      <w:bookmarkStart w:id="2269" w:name="_Toc1864"/>
      <w:r>
        <w:rPr>
          <w:rFonts w:hint="eastAsia" w:ascii="宋体" w:hAnsi="宋体" w:eastAsia="宋体" w:cs="Times New Roman"/>
          <w:b/>
          <w:bCs/>
          <w:color w:val="auto"/>
          <w:kern w:val="0"/>
          <w:sz w:val="24"/>
          <w:szCs w:val="24"/>
          <w:highlight w:val="none"/>
          <w:lang w:val="en-US" w:eastAsia="zh-CN" w:bidi="ar-SA"/>
        </w:rPr>
        <w:t>价值工程</w:t>
      </w:r>
      <w:bookmarkEnd w:id="2259"/>
      <w:bookmarkEnd w:id="2260"/>
      <w:bookmarkEnd w:id="2261"/>
      <w:bookmarkEnd w:id="2262"/>
      <w:bookmarkEnd w:id="2263"/>
      <w:bookmarkEnd w:id="2264"/>
      <w:bookmarkEnd w:id="2265"/>
      <w:bookmarkEnd w:id="2266"/>
      <w:bookmarkEnd w:id="2267"/>
      <w:bookmarkEnd w:id="2268"/>
      <w:bookmarkEnd w:id="2269"/>
    </w:p>
    <w:p w14:paraId="2AC65FC9">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⑴施工过程中承包人可随时提出其认为可满足下列要求的合理化建议：</w:t>
      </w:r>
    </w:p>
    <w:p w14:paraId="29A37C0A">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①使本工程提前竣工；</w:t>
      </w:r>
    </w:p>
    <w:p w14:paraId="426B652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②降低发包人的工程施工、维护或运营的费用；</w:t>
      </w:r>
    </w:p>
    <w:p w14:paraId="64EEB816">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③提高本工程的价值；</w:t>
      </w:r>
    </w:p>
    <w:p w14:paraId="2A8737AB">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④为发包人带来其它利益。</w:t>
      </w:r>
    </w:p>
    <w:p w14:paraId="29AAF7DB">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收到此类建议后，应尽快提出针对性的回复，在此期间，承包人应继续按照本合同约定进行相应工作。若该合理化建议涉及到对设计图纸或施工组织设计的更改及对材料、设备的换用，须经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审查并报经发包人批准。未经批准擅自更改或换用时，承包人承担由此发生的费用，并赔偿发包人的有关损失，延误的工期不予顺延。</w:t>
      </w:r>
    </w:p>
    <w:p w14:paraId="0A28C474">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⑶若发包人同意采用承包人合理化建议，所发生的费用和获得的收益，发包人和承包人按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的约定分担或分享。</w:t>
      </w:r>
      <w:bookmarkEnd w:id="2258"/>
    </w:p>
    <w:p w14:paraId="5464C5B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70" w:name="_Toc302635865"/>
      <w:bookmarkStart w:id="2271" w:name="_Toc19199"/>
      <w:bookmarkStart w:id="2272" w:name="_Toc23191"/>
      <w:bookmarkStart w:id="2273" w:name="_Toc14088"/>
      <w:bookmarkStart w:id="2274" w:name="_Toc16638"/>
      <w:bookmarkStart w:id="2275" w:name="_Toc11606"/>
      <w:bookmarkStart w:id="2276" w:name="_Toc351203573"/>
      <w:bookmarkStart w:id="2277" w:name="_Toc13263"/>
      <w:bookmarkStart w:id="2278" w:name="_Toc16119"/>
      <w:bookmarkStart w:id="2279" w:name="_Toc27902"/>
      <w:bookmarkStart w:id="2280" w:name="_Toc28926"/>
      <w:bookmarkStart w:id="2281" w:name="_Toc337558793"/>
      <w:r>
        <w:rPr>
          <w:rFonts w:ascii="宋体" w:hAnsi="宋体" w:eastAsia="宋体" w:cs="Times New Roman"/>
          <w:b/>
          <w:bCs/>
          <w:color w:val="auto"/>
          <w:kern w:val="0"/>
          <w:sz w:val="24"/>
          <w:szCs w:val="24"/>
          <w:highlight w:val="none"/>
          <w:lang w:val="en-US" w:eastAsia="zh-CN" w:bidi="ar-SA"/>
        </w:rPr>
        <w:t>变更引起的工期调整</w:t>
      </w:r>
      <w:bookmarkEnd w:id="2270"/>
      <w:bookmarkEnd w:id="2271"/>
      <w:bookmarkEnd w:id="2272"/>
      <w:bookmarkEnd w:id="2273"/>
      <w:bookmarkEnd w:id="2274"/>
      <w:bookmarkEnd w:id="2275"/>
      <w:bookmarkEnd w:id="2276"/>
      <w:bookmarkEnd w:id="2277"/>
      <w:bookmarkEnd w:id="2278"/>
      <w:bookmarkEnd w:id="2279"/>
      <w:bookmarkEnd w:id="2280"/>
      <w:r>
        <w:rPr>
          <w:rFonts w:ascii="宋体" w:hAnsi="宋体" w:eastAsia="宋体" w:cs="Times New Roman"/>
          <w:b/>
          <w:bCs/>
          <w:color w:val="auto"/>
          <w:kern w:val="0"/>
          <w:sz w:val="24"/>
          <w:szCs w:val="24"/>
          <w:highlight w:val="none"/>
          <w:lang w:val="en-US" w:eastAsia="zh-CN" w:bidi="ar-SA"/>
        </w:rPr>
        <w:t xml:space="preserve"> </w:t>
      </w:r>
      <w:bookmarkEnd w:id="2281"/>
      <w:r>
        <w:rPr>
          <w:rFonts w:ascii="宋体" w:hAnsi="宋体" w:eastAsia="宋体" w:cs="Times New Roman"/>
          <w:b/>
          <w:bCs/>
          <w:color w:val="auto"/>
          <w:kern w:val="0"/>
          <w:sz w:val="24"/>
          <w:szCs w:val="24"/>
          <w:highlight w:val="none"/>
          <w:lang w:val="en-US" w:eastAsia="zh-CN" w:bidi="ar-SA"/>
        </w:rPr>
        <w:t xml:space="preserve">  </w:t>
      </w:r>
    </w:p>
    <w:p w14:paraId="65945750">
      <w:pPr>
        <w:tabs>
          <w:tab w:val="left" w:pos="1620"/>
          <w:tab w:val="left" w:pos="2340"/>
        </w:tabs>
        <w:spacing w:before="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因变更引起工期变化的，承发包双方均可要求调整合同工期，由承发包双方参考工期定额标准</w:t>
      </w:r>
      <w:r>
        <w:rPr>
          <w:rFonts w:hint="eastAsia" w:ascii="宋体" w:hAnsi="宋体" w:eastAsia="宋体" w:cs="Times New Roman"/>
          <w:color w:val="auto"/>
          <w:kern w:val="0"/>
          <w:szCs w:val="24"/>
          <w:highlight w:val="none"/>
        </w:rPr>
        <w:t>协商</w:t>
      </w:r>
      <w:r>
        <w:rPr>
          <w:rFonts w:ascii="宋体" w:hAnsi="宋体" w:eastAsia="宋体" w:cs="Times New Roman"/>
          <w:color w:val="auto"/>
          <w:kern w:val="0"/>
          <w:szCs w:val="24"/>
          <w:highlight w:val="none"/>
        </w:rPr>
        <w:t>确定增减工期天数。</w:t>
      </w:r>
    </w:p>
    <w:p w14:paraId="5BEF4439">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282" w:name="_Toc35656996"/>
      <w:bookmarkStart w:id="2283" w:name="_Toc30638"/>
      <w:bookmarkStart w:id="2284" w:name="_Toc34909110"/>
      <w:bookmarkStart w:id="2285" w:name="_Toc23131"/>
      <w:bookmarkStart w:id="2286" w:name="_Toc1240"/>
      <w:bookmarkStart w:id="2287" w:name="_Toc35656494"/>
      <w:bookmarkStart w:id="2288" w:name="_Toc17617"/>
      <w:bookmarkStart w:id="2289" w:name="_Toc10332"/>
      <w:bookmarkStart w:id="2290" w:name="_Toc302635866"/>
      <w:bookmarkStart w:id="2291" w:name="_Toc6824"/>
      <w:bookmarkStart w:id="2292" w:name="_Toc305331372"/>
      <w:bookmarkStart w:id="2293" w:name="_Toc9635"/>
      <w:bookmarkStart w:id="2294" w:name="_Toc28764"/>
      <w:bookmarkStart w:id="2295" w:name="_Toc12461"/>
      <w:r>
        <w:rPr>
          <w:rFonts w:hint="eastAsia" w:ascii="华文细黑" w:hAnsi="宋体" w:eastAsia="宋体" w:cs="Times New Roman"/>
          <w:b/>
          <w:bCs/>
          <w:snapToGrid w:val="0"/>
          <w:color w:val="auto"/>
          <w:kern w:val="0"/>
          <w:sz w:val="28"/>
          <w:szCs w:val="44"/>
          <w:highlight w:val="none"/>
          <w:lang w:val="en-US" w:eastAsia="zh-CN" w:bidi="ar-SA"/>
        </w:rPr>
        <w:t>工程变更价款</w:t>
      </w:r>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p>
    <w:p w14:paraId="58BBD358">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96" w:name="_Toc27619"/>
      <w:bookmarkStart w:id="2297" w:name="_Toc21786"/>
      <w:bookmarkStart w:id="2298" w:name="_Toc305331373"/>
      <w:bookmarkStart w:id="2299" w:name="_Toc302635867"/>
      <w:bookmarkStart w:id="2300" w:name="_Toc21846"/>
      <w:bookmarkStart w:id="2301" w:name="_Toc696"/>
      <w:bookmarkStart w:id="2302" w:name="_Toc13643"/>
      <w:bookmarkStart w:id="2303" w:name="_Toc28746"/>
      <w:bookmarkStart w:id="2304" w:name="_Toc3536"/>
      <w:bookmarkStart w:id="2305" w:name="_Toc12196"/>
      <w:bookmarkStart w:id="2306" w:name="_Toc10397"/>
      <w:bookmarkStart w:id="2307" w:name="_Toc34909112"/>
      <w:bookmarkStart w:id="2308" w:name="_Toc34909111"/>
      <w:r>
        <w:rPr>
          <w:rFonts w:hint="eastAsia" w:ascii="宋体" w:hAnsi="宋体" w:eastAsia="宋体" w:cs="Times New Roman"/>
          <w:b/>
          <w:bCs/>
          <w:color w:val="auto"/>
          <w:kern w:val="0"/>
          <w:sz w:val="24"/>
          <w:szCs w:val="24"/>
          <w:highlight w:val="none"/>
          <w:lang w:val="en-US" w:eastAsia="zh-CN" w:bidi="ar-SA"/>
        </w:rPr>
        <w:t>工程变更价款的确定方法</w:t>
      </w:r>
      <w:bookmarkEnd w:id="2296"/>
      <w:bookmarkEnd w:id="2297"/>
      <w:bookmarkEnd w:id="2298"/>
      <w:bookmarkEnd w:id="2299"/>
      <w:bookmarkEnd w:id="2300"/>
      <w:bookmarkEnd w:id="2301"/>
      <w:bookmarkEnd w:id="2302"/>
      <w:bookmarkEnd w:id="2303"/>
      <w:bookmarkEnd w:id="2304"/>
      <w:bookmarkEnd w:id="2305"/>
      <w:bookmarkEnd w:id="2306"/>
    </w:p>
    <w:bookmarkEnd w:id="2307"/>
    <w:p w14:paraId="6C2D27E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⑴合同价格构成中的工程量清单项目单价中已有适用于变更工程的工程量清单项目单价，按已有的工程量清单项目单价确定变更价款。</w:t>
      </w:r>
    </w:p>
    <w:p w14:paraId="1CB3705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合同价格构成中的工程量清单项目单价中只有类似于变更工程的工程量清单项目单价，可以参照类似项目工程量清单项目单价确定变更价款，类似项目是指采用的材料、施工工艺和方法基本相似，不增加关键线路上工程的施工时间的项目。</w:t>
      </w:r>
    </w:p>
    <w:p w14:paraId="333F347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⑶合同价格构成中的工程量清单项目单价中没有适用或类似于变更工程的工程量清单项目单价，除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另有约定外，发包人和承包人应按照本工程招标控制价的编制方法，根据工程变更资料计算，并按本工程净下浮率进行下浮调整确定该工程变更价款。</w:t>
      </w:r>
    </w:p>
    <w:p w14:paraId="7E2D6D1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如工程变更造成工程量清单中某项目的工程量增减超过</w:t>
      </w:r>
      <w:r>
        <w:rPr>
          <w:rFonts w:hint="eastAsia" w:ascii="宋体" w:hAnsi="宋体" w:eastAsia="宋体" w:cs="Times New Roman"/>
          <w:color w:val="auto"/>
          <w:kern w:val="0"/>
          <w:szCs w:val="24"/>
          <w:highlight w:val="none"/>
        </w:rPr>
        <w:t>15</w:t>
      </w:r>
      <w:r>
        <w:rPr>
          <w:rFonts w:ascii="宋体" w:hAnsi="宋体" w:eastAsia="宋体" w:cs="Times New Roman"/>
          <w:color w:val="auto"/>
          <w:kern w:val="0"/>
          <w:szCs w:val="24"/>
          <w:highlight w:val="none"/>
        </w:rPr>
        <w:t>%或</w:t>
      </w:r>
      <w:r>
        <w:rPr>
          <w:rFonts w:hint="eastAsia" w:ascii="宋体" w:hAnsi="宋体" w:eastAsia="宋体" w:cs="Times New Roman"/>
          <w:color w:val="auto"/>
          <w:kern w:val="0"/>
          <w:szCs w:val="24"/>
          <w:highlight w:val="none"/>
        </w:rPr>
        <w:t>承发包双方</w:t>
      </w:r>
      <w:r>
        <w:rPr>
          <w:rFonts w:ascii="宋体" w:hAnsi="宋体" w:eastAsia="宋体" w:cs="Times New Roman"/>
          <w:color w:val="auto"/>
          <w:kern w:val="0"/>
          <w:szCs w:val="24"/>
          <w:highlight w:val="none"/>
        </w:rPr>
        <w:t>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中约定的幅度</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其工程量清单</w:t>
      </w:r>
      <w:r>
        <w:rPr>
          <w:rFonts w:ascii="宋体" w:hAnsi="宋体" w:eastAsia="宋体" w:cs="Times New Roman"/>
          <w:color w:val="auto"/>
          <w:kern w:val="0"/>
          <w:szCs w:val="24"/>
          <w:highlight w:val="none"/>
        </w:rPr>
        <w:t>项目</w:t>
      </w:r>
      <w:r>
        <w:rPr>
          <w:rFonts w:hint="eastAsia" w:ascii="宋体" w:hAnsi="宋体" w:eastAsia="宋体" w:cs="Times New Roman"/>
          <w:color w:val="auto"/>
          <w:kern w:val="0"/>
          <w:szCs w:val="24"/>
          <w:highlight w:val="none"/>
        </w:rPr>
        <w:t>单价按第25.4款执行</w:t>
      </w:r>
      <w:r>
        <w:rPr>
          <w:rFonts w:ascii="宋体" w:hAnsi="宋体" w:eastAsia="宋体" w:cs="Times New Roman"/>
          <w:color w:val="auto"/>
          <w:kern w:val="0"/>
          <w:szCs w:val="24"/>
          <w:highlight w:val="none"/>
        </w:rPr>
        <w:t>。</w:t>
      </w:r>
    </w:p>
    <w:p w14:paraId="144A32DF">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309" w:name="_Toc10649"/>
      <w:bookmarkStart w:id="2310" w:name="_Toc302635868"/>
      <w:bookmarkStart w:id="2311" w:name="_Toc6075"/>
      <w:bookmarkStart w:id="2312" w:name="_Toc305331375"/>
      <w:bookmarkStart w:id="2313" w:name="_Toc13622"/>
      <w:bookmarkStart w:id="2314" w:name="_Toc18502"/>
      <w:bookmarkStart w:id="2315" w:name="_Toc4611"/>
      <w:bookmarkStart w:id="2316" w:name="_Toc1320"/>
      <w:bookmarkStart w:id="2317" w:name="_Toc29024"/>
      <w:bookmarkStart w:id="2318" w:name="_Toc9455"/>
      <w:bookmarkStart w:id="2319" w:name="_Toc15943"/>
      <w:bookmarkStart w:id="2320" w:name="_Toc305331374"/>
      <w:r>
        <w:rPr>
          <w:rFonts w:hint="eastAsia" w:ascii="宋体" w:hAnsi="宋体" w:eastAsia="宋体" w:cs="Times New Roman"/>
          <w:b/>
          <w:bCs/>
          <w:color w:val="auto"/>
          <w:kern w:val="0"/>
          <w:sz w:val="24"/>
          <w:szCs w:val="24"/>
          <w:highlight w:val="none"/>
          <w:lang w:val="en-US" w:eastAsia="zh-CN" w:bidi="ar-SA"/>
        </w:rPr>
        <w:t>工程变更引起措施项目的调整</w:t>
      </w:r>
      <w:bookmarkEnd w:id="2309"/>
      <w:bookmarkEnd w:id="2310"/>
      <w:bookmarkEnd w:id="2311"/>
      <w:bookmarkEnd w:id="2312"/>
      <w:bookmarkEnd w:id="2313"/>
      <w:bookmarkEnd w:id="2314"/>
      <w:bookmarkEnd w:id="2315"/>
      <w:bookmarkEnd w:id="2316"/>
      <w:bookmarkEnd w:id="2317"/>
      <w:bookmarkEnd w:id="2318"/>
      <w:bookmarkEnd w:id="2319"/>
    </w:p>
    <w:p w14:paraId="577F153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⑴当工程变更引起措施项目发生变化，造成施工组织设计或施工方案变更时，承包人有权提出调整措施项目费。</w:t>
      </w:r>
    </w:p>
    <w:p w14:paraId="32F558E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⑵承包人提出调整措施项目费的，应事先将拟实施的方案提交</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确认，并详细说明与原方案措施项目的变化情况。拟实施的方案经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认可，并报发包人批准后执行。</w:t>
      </w:r>
    </w:p>
    <w:p w14:paraId="058DCF9F">
      <w:pPr>
        <w:tabs>
          <w:tab w:val="left" w:pos="1620"/>
          <w:tab w:val="left" w:pos="2340"/>
        </w:tabs>
        <w:ind w:left="899"/>
        <w:jc w:val="left"/>
        <w:rPr>
          <w:rFonts w:ascii="宋体" w:hAnsi="宋体" w:eastAsia="宋体" w:cs="Times New Roman"/>
          <w:color w:val="auto"/>
          <w:kern w:val="0"/>
          <w:szCs w:val="24"/>
          <w:highlight w:val="none"/>
        </w:rPr>
      </w:pPr>
      <w:bookmarkStart w:id="2321" w:name="_Toc302635869"/>
      <w:r>
        <w:rPr>
          <w:rFonts w:hint="eastAsia" w:ascii="宋体" w:hAnsi="宋体" w:eastAsia="宋体" w:cs="Times New Roman"/>
          <w:color w:val="auto"/>
          <w:kern w:val="0"/>
          <w:szCs w:val="24"/>
          <w:highlight w:val="none"/>
        </w:rPr>
        <w:t>⑶除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另有约定外，工程变更引起的措施项目费调整的计算方法为：</w:t>
      </w:r>
    </w:p>
    <w:p w14:paraId="11C93493">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①采用单价计算的措施项目费，按照实际发生变化的措施项目，按第25.1款〔工程变更价款的确定方法〕约定的方法确定单价；</w:t>
      </w:r>
    </w:p>
    <w:p w14:paraId="3254E5D7">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②除安全文明施工措施费外，采用以“项”计量计价的措施项目费，按照实际发生变化的措施项目以原措施费的组价方法调整；</w:t>
      </w:r>
    </w:p>
    <w:p w14:paraId="3BB9B118">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③安全文明施工措施费计算基数发生</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bCs/>
          <w:iCs/>
          <w:color w:val="auto"/>
          <w:kern w:val="0"/>
          <w:szCs w:val="24"/>
          <w:highlight w:val="none"/>
        </w:rPr>
        <w:t>约定</w:t>
      </w:r>
      <w:r>
        <w:rPr>
          <w:rFonts w:hint="eastAsia" w:ascii="宋体" w:hAnsi="宋体" w:eastAsia="宋体" w:cs="Times New Roman"/>
          <w:color w:val="auto"/>
          <w:kern w:val="0"/>
          <w:szCs w:val="24"/>
          <w:highlight w:val="none"/>
        </w:rPr>
        <w:t>变化</w:t>
      </w:r>
      <w:r>
        <w:rPr>
          <w:rFonts w:hint="eastAsia" w:ascii="宋体" w:hAnsi="宋体" w:eastAsia="宋体" w:cs="Times New Roman"/>
          <w:bCs/>
          <w:iCs/>
          <w:color w:val="auto"/>
          <w:kern w:val="0"/>
          <w:szCs w:val="24"/>
          <w:highlight w:val="none"/>
        </w:rPr>
        <w:t>幅度</w:t>
      </w:r>
      <w:r>
        <w:rPr>
          <w:rFonts w:hint="eastAsia" w:ascii="宋体" w:hAnsi="宋体" w:eastAsia="宋体" w:cs="Times New Roman"/>
          <w:color w:val="auto"/>
          <w:kern w:val="0"/>
          <w:szCs w:val="24"/>
          <w:highlight w:val="none"/>
        </w:rPr>
        <w:t>的，按照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bCs/>
          <w:iCs/>
          <w:color w:val="auto"/>
          <w:kern w:val="0"/>
          <w:szCs w:val="24"/>
          <w:highlight w:val="none"/>
        </w:rPr>
        <w:t>约定</w:t>
      </w:r>
      <w:r>
        <w:rPr>
          <w:rFonts w:hint="eastAsia" w:ascii="宋体" w:hAnsi="宋体" w:eastAsia="宋体" w:cs="Times New Roman"/>
          <w:color w:val="auto"/>
          <w:kern w:val="0"/>
          <w:szCs w:val="24"/>
          <w:highlight w:val="none"/>
        </w:rPr>
        <w:t>的计算方法进行调整。</w:t>
      </w:r>
    </w:p>
    <w:p w14:paraId="331096AE">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22" w:name="_Toc17063"/>
      <w:bookmarkStart w:id="2323" w:name="_Toc30943"/>
      <w:bookmarkStart w:id="2324" w:name="_Toc5502"/>
      <w:bookmarkStart w:id="2325" w:name="_Toc8541"/>
      <w:bookmarkStart w:id="2326" w:name="_Toc14237"/>
      <w:bookmarkStart w:id="2327" w:name="_Toc10147"/>
      <w:bookmarkStart w:id="2328" w:name="_Toc27859"/>
      <w:bookmarkStart w:id="2329" w:name="_Toc27297"/>
      <w:bookmarkStart w:id="2330" w:name="_Toc10229"/>
      <w:r>
        <w:rPr>
          <w:rFonts w:hint="eastAsia" w:ascii="宋体" w:hAnsi="宋体" w:eastAsia="宋体" w:cs="Times New Roman"/>
          <w:b/>
          <w:bCs/>
          <w:color w:val="auto"/>
          <w:kern w:val="0"/>
          <w:sz w:val="24"/>
          <w:szCs w:val="24"/>
          <w:highlight w:val="none"/>
          <w:lang w:val="en-US" w:eastAsia="zh-CN" w:bidi="ar-SA"/>
        </w:rPr>
        <w:t>工程变更价款的确定程序</w:t>
      </w:r>
      <w:bookmarkEnd w:id="2320"/>
      <w:bookmarkEnd w:id="2321"/>
      <w:bookmarkEnd w:id="2322"/>
      <w:bookmarkEnd w:id="2323"/>
      <w:bookmarkEnd w:id="2324"/>
      <w:bookmarkEnd w:id="2325"/>
      <w:bookmarkEnd w:id="2326"/>
      <w:bookmarkEnd w:id="2327"/>
      <w:bookmarkEnd w:id="2328"/>
      <w:bookmarkEnd w:id="2329"/>
      <w:bookmarkEnd w:id="2330"/>
    </w:p>
    <w:p w14:paraId="7BEDFA54">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另有约定外，发包人和承包人应按以下程序确认工程变更价款：</w:t>
      </w:r>
    </w:p>
    <w:p w14:paraId="3E74075D">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⑴承包人应在收到工程变更指令后14天内将变更工程价款和(或)调整工期报告提交给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应及时予以确认，并报发包人批准。</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收到报告后14天内未确认也未提出异议的，视为该报告已被确认。</w:t>
      </w:r>
    </w:p>
    <w:p w14:paraId="381BC1BB">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⑵承包人在收到工程变更指令后14天内不向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报告的，发包人可自行决定是否变更工程价款和(或)顺延工期。发包人应在发出变更指令28天内将不变更工程价款和(或)调整工期的决定书面通知承包人；或将变更工程价款和(或)调整工期报告提交给承包人确认。承包人收到报告14天内未确认也未提出异议的，视为该报告已被确认。</w:t>
      </w:r>
    </w:p>
    <w:p w14:paraId="0DF1C11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⑶工程变更指令发出后，发包人与承包人均未在约定时间内提出变更工程价款和(或)顺延工期报告的，视为该项工程变更不涉及合同价格和(或)工期的调整。</w:t>
      </w:r>
    </w:p>
    <w:bookmarkEnd w:id="2308"/>
    <w:p w14:paraId="38AF9A8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331" w:name="_Toc12206"/>
      <w:bookmarkStart w:id="2332" w:name="_Toc18977"/>
      <w:bookmarkStart w:id="2333" w:name="_Toc3609"/>
      <w:bookmarkStart w:id="2334" w:name="_Toc14228"/>
      <w:bookmarkStart w:id="2335" w:name="_Toc22924"/>
      <w:bookmarkStart w:id="2336" w:name="_Toc19375"/>
      <w:bookmarkStart w:id="2337" w:name="_Toc302635870"/>
      <w:bookmarkStart w:id="2338" w:name="_Toc30197"/>
      <w:bookmarkStart w:id="2339" w:name="_Toc30551"/>
      <w:bookmarkStart w:id="2340" w:name="_Toc22585"/>
      <w:bookmarkStart w:id="2341" w:name="_Toc305331376"/>
      <w:r>
        <w:rPr>
          <w:rFonts w:hint="eastAsia" w:ascii="宋体" w:hAnsi="宋体" w:eastAsia="宋体" w:cs="Times New Roman"/>
          <w:b/>
          <w:bCs/>
          <w:color w:val="auto"/>
          <w:kern w:val="0"/>
          <w:sz w:val="24"/>
          <w:szCs w:val="24"/>
          <w:highlight w:val="none"/>
          <w:lang w:val="en-US" w:eastAsia="zh-CN" w:bidi="ar-SA"/>
        </w:rPr>
        <w:t>工程量变化调整项目单价</w:t>
      </w:r>
      <w:bookmarkEnd w:id="2331"/>
      <w:bookmarkEnd w:id="2332"/>
      <w:bookmarkEnd w:id="2333"/>
      <w:bookmarkEnd w:id="2334"/>
      <w:bookmarkEnd w:id="2335"/>
      <w:bookmarkEnd w:id="2336"/>
      <w:bookmarkEnd w:id="2337"/>
      <w:bookmarkEnd w:id="2338"/>
      <w:bookmarkEnd w:id="2339"/>
      <w:bookmarkEnd w:id="2340"/>
    </w:p>
    <w:p w14:paraId="6DC0B35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由于工程变更或按第22条工程量计量结果造成工程量清单中某项目的工程量增减超过15%或发、承包人在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中约定的幅度时，除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另有约定外，发包人和承包人应按照本工程招标控制价的编制方法，并按本工程中标净下浮率进行下浮调整确定该清单项目增加部分或减少后剩余部分工程量的项目单价。</w:t>
      </w:r>
    </w:p>
    <w:p w14:paraId="3FD7560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42" w:name="_Toc4331"/>
      <w:bookmarkStart w:id="2343" w:name="_Toc19524"/>
      <w:bookmarkStart w:id="2344" w:name="_Toc113"/>
      <w:bookmarkStart w:id="2345" w:name="_Toc5630"/>
      <w:bookmarkStart w:id="2346" w:name="_Toc28896"/>
      <w:bookmarkStart w:id="2347" w:name="_Toc15111"/>
      <w:bookmarkStart w:id="2348" w:name="_Toc30616"/>
      <w:bookmarkStart w:id="2349" w:name="_Toc302635871"/>
      <w:bookmarkStart w:id="2350" w:name="_Toc22199"/>
      <w:bookmarkStart w:id="2351" w:name="_Toc11429"/>
      <w:r>
        <w:rPr>
          <w:rFonts w:hint="eastAsia" w:ascii="宋体" w:hAnsi="宋体" w:eastAsia="宋体" w:cs="Times New Roman"/>
          <w:b/>
          <w:bCs/>
          <w:color w:val="auto"/>
          <w:kern w:val="0"/>
          <w:sz w:val="24"/>
          <w:szCs w:val="24"/>
          <w:highlight w:val="none"/>
          <w:lang w:val="en-US" w:eastAsia="zh-CN" w:bidi="ar-SA"/>
        </w:rPr>
        <w:t>工程变更价款支付</w:t>
      </w:r>
      <w:bookmarkEnd w:id="2341"/>
      <w:bookmarkEnd w:id="2342"/>
      <w:bookmarkEnd w:id="2343"/>
      <w:bookmarkEnd w:id="2344"/>
      <w:bookmarkEnd w:id="2345"/>
      <w:bookmarkEnd w:id="2346"/>
      <w:bookmarkEnd w:id="2347"/>
      <w:bookmarkEnd w:id="2348"/>
      <w:bookmarkEnd w:id="2349"/>
      <w:bookmarkEnd w:id="2350"/>
      <w:bookmarkEnd w:id="2351"/>
    </w:p>
    <w:p w14:paraId="502EFA9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⑴按第25.1、25.2款确认的增(减)工程变更价款作为追加(减)合同价款，与工程进度款同期同比例支付，达到追加</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减</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合同价款的一定比例时暂停支付，该比例在合同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w:t>
      </w:r>
    </w:p>
    <w:p w14:paraId="5E29A76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⑵有关工程变更价款的文件的编制和审核均须经注册造价工程师签字盖章确认。</w:t>
      </w:r>
    </w:p>
    <w:p w14:paraId="11282DEE">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352" w:name="_Toc27056"/>
      <w:bookmarkStart w:id="2353" w:name="_Toc19574"/>
      <w:bookmarkStart w:id="2354" w:name="_Toc24082"/>
      <w:bookmarkStart w:id="2355" w:name="_Toc9276"/>
      <w:bookmarkStart w:id="2356" w:name="_Toc305331377"/>
      <w:bookmarkStart w:id="2357" w:name="_Toc302635872"/>
      <w:bookmarkStart w:id="2358" w:name="_Toc6676"/>
      <w:bookmarkStart w:id="2359" w:name="_Toc11448"/>
      <w:bookmarkStart w:id="2360" w:name="_Toc4292"/>
      <w:bookmarkStart w:id="2361" w:name="_Toc23479"/>
      <w:bookmarkStart w:id="2362" w:name="_Toc30813"/>
      <w:r>
        <w:rPr>
          <w:rFonts w:hint="eastAsia" w:ascii="宋体" w:hAnsi="宋体" w:eastAsia="宋体" w:cs="Times New Roman"/>
          <w:b/>
          <w:bCs/>
          <w:color w:val="auto"/>
          <w:kern w:val="0"/>
          <w:sz w:val="24"/>
          <w:szCs w:val="24"/>
          <w:highlight w:val="none"/>
          <w:lang w:val="en-US" w:eastAsia="zh-CN" w:bidi="ar-SA"/>
        </w:rPr>
        <w:t>删减工作或工程的补偿</w:t>
      </w:r>
      <w:bookmarkEnd w:id="2352"/>
      <w:bookmarkEnd w:id="2353"/>
      <w:bookmarkEnd w:id="2354"/>
      <w:bookmarkEnd w:id="2355"/>
      <w:bookmarkEnd w:id="2356"/>
      <w:bookmarkEnd w:id="2357"/>
      <w:bookmarkEnd w:id="2358"/>
      <w:bookmarkEnd w:id="2359"/>
      <w:bookmarkEnd w:id="2360"/>
      <w:bookmarkEnd w:id="2361"/>
      <w:bookmarkEnd w:id="2362"/>
      <w:r>
        <w:rPr>
          <w:rFonts w:hint="eastAsia" w:ascii="宋体" w:hAnsi="宋体" w:eastAsia="宋体" w:cs="Times New Roman"/>
          <w:b/>
          <w:bCs/>
          <w:color w:val="auto"/>
          <w:kern w:val="0"/>
          <w:sz w:val="24"/>
          <w:szCs w:val="24"/>
          <w:highlight w:val="none"/>
          <w:lang w:val="en-US" w:eastAsia="zh-CN" w:bidi="ar-SA"/>
        </w:rPr>
        <w:t xml:space="preserve">                                                                                      </w:t>
      </w:r>
    </w:p>
    <w:p w14:paraId="17ED437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由于非承包人原因删减了本合同中的某项原定工作或工程，致使承包人发生的费用或(和)预期收益不能被包括在其他已支付或应支付的项目中，也未包含在任何替代的工作或工程中，发包人应按照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约定的方法给予承包人补偿。</w:t>
      </w:r>
    </w:p>
    <w:p w14:paraId="25C647B7">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2363" w:name="_Toc16539"/>
      <w:bookmarkStart w:id="2364" w:name="_Toc9043"/>
      <w:bookmarkStart w:id="2365" w:name="_Toc20907"/>
      <w:bookmarkStart w:id="2366" w:name="_Toc23283"/>
      <w:bookmarkStart w:id="2367" w:name="_Toc15042"/>
      <w:bookmarkStart w:id="2368" w:name="_Toc9729"/>
      <w:bookmarkStart w:id="2369" w:name="_Toc20260"/>
      <w:bookmarkStart w:id="2370" w:name="_Toc2555"/>
      <w:bookmarkStart w:id="2371" w:name="_Toc2753"/>
      <w:bookmarkStart w:id="2372" w:name="_Toc17673"/>
      <w:bookmarkStart w:id="2373" w:name="_Toc151"/>
      <w:bookmarkStart w:id="2374" w:name="_Toc22504"/>
      <w:bookmarkStart w:id="2375" w:name="_Toc27706"/>
      <w:bookmarkStart w:id="2376" w:name="_Toc26"/>
      <w:bookmarkStart w:id="2377" w:name="_Toc11241"/>
      <w:bookmarkStart w:id="2378" w:name="_Toc302635873"/>
      <w:bookmarkStart w:id="2379" w:name="_Toc305331378"/>
      <w:bookmarkStart w:id="2380" w:name="_Toc35656496"/>
      <w:bookmarkStart w:id="2381" w:name="_Toc35656998"/>
      <w:bookmarkStart w:id="2382" w:name="_Toc34909117"/>
      <w:r>
        <w:rPr>
          <w:rFonts w:hint="eastAsia" w:ascii="华文细黑" w:hAnsi="宋体" w:eastAsia="宋体" w:cs="Times New Roman"/>
          <w:b/>
          <w:bCs/>
          <w:snapToGrid w:val="0"/>
          <w:color w:val="auto"/>
          <w:kern w:val="0"/>
          <w:sz w:val="28"/>
          <w:szCs w:val="44"/>
          <w:highlight w:val="none"/>
          <w:lang w:val="en-US" w:eastAsia="zh-CN" w:bidi="ar-SA"/>
        </w:rPr>
        <w:t>过程结算</w:t>
      </w:r>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14:paraId="60D05E4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83" w:name="_Toc21704"/>
      <w:bookmarkStart w:id="2384" w:name="_Toc4092"/>
      <w:bookmarkStart w:id="2385" w:name="_Toc21771"/>
      <w:bookmarkStart w:id="2386" w:name="_Toc21770"/>
      <w:bookmarkStart w:id="2387" w:name="_Toc11740"/>
      <w:bookmarkStart w:id="2388" w:name="_Toc27156"/>
      <w:bookmarkStart w:id="2389" w:name="_Toc8503"/>
      <w:bookmarkStart w:id="2390" w:name="_Toc7153"/>
      <w:bookmarkStart w:id="2391" w:name="_Toc9791"/>
      <w:bookmarkStart w:id="2392" w:name="_Toc7734"/>
      <w:bookmarkStart w:id="2393" w:name="_Toc391"/>
      <w:bookmarkStart w:id="2394" w:name="_Toc14095"/>
      <w:bookmarkStart w:id="2395" w:name="_Toc28150"/>
      <w:bookmarkStart w:id="2396" w:name="_Toc21576"/>
      <w:r>
        <w:rPr>
          <w:rFonts w:hint="eastAsia" w:ascii="宋体" w:hAnsi="宋体" w:eastAsia="宋体" w:cs="Times New Roman"/>
          <w:b/>
          <w:bCs/>
          <w:color w:val="auto"/>
          <w:kern w:val="0"/>
          <w:sz w:val="24"/>
          <w:szCs w:val="24"/>
          <w:highlight w:val="none"/>
          <w:lang w:val="en-US" w:eastAsia="zh-CN" w:bidi="ar-SA"/>
        </w:rPr>
        <w:t>过程结算周期及验收要求</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p>
    <w:p w14:paraId="29B8EA93">
      <w:pPr>
        <w:tabs>
          <w:tab w:val="left" w:pos="1620"/>
          <w:tab w:val="left" w:pos="2340"/>
        </w:tabs>
        <w:ind w:left="899"/>
        <w:rPr>
          <w:rFonts w:ascii="宋体" w:hAnsi="宋体" w:eastAsia="宋体" w:cs="Times New Roman"/>
          <w:color w:val="auto"/>
          <w:kern w:val="0"/>
          <w:szCs w:val="24"/>
          <w:highlight w:val="none"/>
        </w:rPr>
      </w:pPr>
      <w:r>
        <w:rPr>
          <w:rFonts w:hint="default" w:ascii="宋体" w:hAnsi="宋体" w:eastAsia="宋体" w:cs="Times New Roman"/>
          <w:color w:val="auto"/>
          <w:kern w:val="0"/>
          <w:szCs w:val="24"/>
          <w:highlight w:val="none"/>
        </w:rPr>
        <w:t>发承包双方开展过程结算的，应根据工程特点、工期长短及分部（工程）验收需要等，在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中按时间节点或工程进度节点</w:t>
      </w:r>
      <w:r>
        <w:rPr>
          <w:rFonts w:hint="eastAsia" w:ascii="宋体" w:hAnsi="宋体" w:eastAsia="宋体" w:cs="Times New Roman"/>
          <w:color w:val="auto"/>
          <w:kern w:val="0"/>
          <w:szCs w:val="24"/>
          <w:highlight w:val="none"/>
        </w:rPr>
        <w:t>约定</w:t>
      </w:r>
      <w:r>
        <w:rPr>
          <w:rFonts w:ascii="宋体" w:hAnsi="宋体" w:eastAsia="宋体" w:cs="Times New Roman"/>
          <w:color w:val="auto"/>
          <w:kern w:val="0"/>
          <w:szCs w:val="24"/>
          <w:highlight w:val="none"/>
        </w:rPr>
        <w:t>过程结算周期，并在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中明确过程结算的验收要求。</w:t>
      </w:r>
    </w:p>
    <w:p w14:paraId="0934E3C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97" w:name="_Toc2932"/>
      <w:bookmarkStart w:id="2398" w:name="_Toc2406"/>
      <w:bookmarkStart w:id="2399" w:name="_Toc23091"/>
      <w:bookmarkStart w:id="2400" w:name="_Toc9285"/>
      <w:bookmarkStart w:id="2401" w:name="_Toc12007"/>
      <w:bookmarkStart w:id="2402" w:name="_Toc6445"/>
      <w:bookmarkStart w:id="2403" w:name="_Toc15558"/>
      <w:bookmarkStart w:id="2404" w:name="_Toc25359"/>
      <w:bookmarkStart w:id="2405" w:name="_Toc3017"/>
      <w:bookmarkStart w:id="2406" w:name="_Toc30174"/>
      <w:bookmarkStart w:id="2407" w:name="_Toc24707"/>
      <w:bookmarkStart w:id="2408" w:name="_Toc25696"/>
      <w:bookmarkStart w:id="2409" w:name="_Toc13308"/>
      <w:bookmarkStart w:id="2410" w:name="_Toc14265"/>
      <w:r>
        <w:rPr>
          <w:rFonts w:hint="eastAsia" w:ascii="宋体" w:hAnsi="宋体" w:eastAsia="宋体" w:cs="Times New Roman"/>
          <w:b/>
          <w:bCs/>
          <w:color w:val="auto"/>
          <w:kern w:val="0"/>
          <w:sz w:val="24"/>
          <w:szCs w:val="24"/>
          <w:highlight w:val="none"/>
          <w:lang w:val="en-US" w:eastAsia="zh-CN" w:bidi="ar-SA"/>
        </w:rPr>
        <w:t>过程结算报告的编制和提交</w:t>
      </w:r>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1F5E72D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⑴发承包双方应在线签订施工合同及其补充协议</w:t>
      </w:r>
      <w:r>
        <w:rPr>
          <w:rFonts w:hint="eastAsia" w:ascii="宋体" w:hAnsi="宋体" w:eastAsia="宋体" w:cs="Times New Roman"/>
          <w:color w:val="auto"/>
          <w:kern w:val="0"/>
          <w:szCs w:val="24"/>
          <w:highlight w:val="none"/>
          <w:lang w:eastAsia="zh-CN"/>
        </w:rPr>
        <w:t>的</w:t>
      </w:r>
      <w:r>
        <w:rPr>
          <w:rFonts w:hint="eastAsia"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lang w:eastAsia="zh-CN"/>
        </w:rPr>
        <w:t>应</w:t>
      </w:r>
      <w:r>
        <w:rPr>
          <w:rFonts w:hint="eastAsia" w:ascii="宋体" w:hAnsi="宋体" w:eastAsia="宋体" w:cs="Times New Roman"/>
          <w:color w:val="auto"/>
          <w:kern w:val="0"/>
          <w:szCs w:val="24"/>
          <w:highlight w:val="none"/>
        </w:rPr>
        <w:t>将过程结算所需资料即时上传至在线签订合同平台，作为过程结算的依据。过程结算的资料一般包括施工合同、工程竣工图纸及资料、双方确认的工程量、双方确认追加(减)的合同价格、双方确认的索赔和现场签证事项及价款、招标文件、投标文件、工程量清单报价单或施工图预算书等与过程结算有关的资料。</w:t>
      </w:r>
    </w:p>
    <w:p w14:paraId="51215E47">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⑵承包人应按本合同第20条〔合同价格的确定和调整〕、第22条〔工程量计量〕及第26.1款过程结算周期的约定计算过程结算价款，编制过程结算报告，并在</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约定的时间内向发包人提交过程结算报告。</w:t>
      </w:r>
    </w:p>
    <w:p w14:paraId="4C40BEA9">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⑶经发承包双方确认的过程结算文件将作为竣工结算资料的组成部分。</w:t>
      </w:r>
    </w:p>
    <w:p w14:paraId="51CA770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11" w:name="_Toc20272"/>
      <w:bookmarkStart w:id="2412" w:name="_Toc28601"/>
      <w:bookmarkStart w:id="2413" w:name="_Toc11726"/>
      <w:bookmarkStart w:id="2414" w:name="_Toc9377"/>
      <w:bookmarkStart w:id="2415" w:name="_Toc16546"/>
      <w:bookmarkStart w:id="2416" w:name="_Toc16814"/>
      <w:bookmarkStart w:id="2417" w:name="_Toc12348"/>
      <w:bookmarkStart w:id="2418" w:name="_Toc20498"/>
      <w:bookmarkStart w:id="2419" w:name="_Toc16536"/>
      <w:bookmarkStart w:id="2420" w:name="_Toc24281"/>
      <w:bookmarkStart w:id="2421" w:name="_Toc25716"/>
      <w:bookmarkStart w:id="2422" w:name="_Toc10526"/>
      <w:bookmarkStart w:id="2423" w:name="_Toc1559"/>
      <w:bookmarkStart w:id="2424" w:name="_Toc12389"/>
      <w:r>
        <w:rPr>
          <w:rFonts w:hint="eastAsia" w:ascii="宋体" w:hAnsi="宋体" w:eastAsia="宋体" w:cs="Times New Roman"/>
          <w:b/>
          <w:bCs/>
          <w:color w:val="auto"/>
          <w:kern w:val="0"/>
          <w:sz w:val="24"/>
          <w:szCs w:val="24"/>
          <w:highlight w:val="none"/>
          <w:lang w:val="en-US" w:eastAsia="zh-CN" w:bidi="ar-SA"/>
        </w:rPr>
        <w:t>过程结算报告的核对和修改</w:t>
      </w:r>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p>
    <w:p w14:paraId="594318B3">
      <w:pPr>
        <w:tabs>
          <w:tab w:val="left" w:pos="1620"/>
          <w:tab w:val="left" w:pos="2340"/>
        </w:tabs>
        <w:ind w:left="90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⑴发包人应在收到承包人提交的过程结算报告后28天或</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约定的时间内，对承包人提交的过程结算报告进行核对。</w:t>
      </w:r>
    </w:p>
    <w:p w14:paraId="6692557C">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①发包人认可承包人提交的过程结算报告的，应据此确认过程结算价款。</w:t>
      </w:r>
    </w:p>
    <w:p w14:paraId="7A43B954">
      <w:pPr>
        <w:tabs>
          <w:tab w:val="left" w:pos="1620"/>
          <w:tab w:val="left" w:pos="2340"/>
        </w:tabs>
        <w:spacing w:after="156"/>
        <w:ind w:left="90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②发包人提出核对意见或要求补充结算资料的，则承包人应在收到发包人相关书面通知后14天或</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约定的时间内，向发包人提交经修改的过程结算报告或按要求补充结算资料，发包人应在收到承包人相关书面资料后14天或</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约定的时间内进行核对，经与承包人协商达成一致意见后确认过程结算价款。</w:t>
      </w:r>
    </w:p>
    <w:p w14:paraId="6298D815">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⑵承包人在收到发包人提出的核对意见后，在合同约定的时间内，未提出异议或没有明确答复的，视为承包人认可且接受发包人的核对意见，应据此确认过程结算价款。</w:t>
      </w:r>
    </w:p>
    <w:p w14:paraId="6A97D334">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25" w:name="_Toc6972"/>
      <w:bookmarkStart w:id="2426" w:name="_Toc6320"/>
      <w:bookmarkStart w:id="2427" w:name="_Toc30261"/>
      <w:bookmarkStart w:id="2428" w:name="_Toc2757"/>
      <w:bookmarkStart w:id="2429" w:name="_Toc11995"/>
      <w:bookmarkStart w:id="2430" w:name="_Toc21213"/>
      <w:bookmarkStart w:id="2431" w:name="_Toc31961"/>
      <w:bookmarkStart w:id="2432" w:name="_Toc28145"/>
      <w:bookmarkStart w:id="2433" w:name="_Toc14761"/>
      <w:bookmarkStart w:id="2434" w:name="_Toc3991"/>
      <w:bookmarkStart w:id="2435" w:name="_Toc13790"/>
      <w:bookmarkStart w:id="2436" w:name="_Toc31285"/>
      <w:bookmarkStart w:id="2437" w:name="_Toc31259"/>
      <w:bookmarkStart w:id="2438" w:name="_Toc15290"/>
      <w:r>
        <w:rPr>
          <w:rFonts w:hint="eastAsia" w:ascii="宋体" w:hAnsi="宋体" w:eastAsia="宋体" w:cs="Times New Roman"/>
          <w:b/>
          <w:bCs/>
          <w:color w:val="auto"/>
          <w:kern w:val="0"/>
          <w:sz w:val="24"/>
          <w:szCs w:val="24"/>
          <w:highlight w:val="none"/>
          <w:lang w:val="en-US" w:eastAsia="zh-CN" w:bidi="ar-SA"/>
        </w:rPr>
        <w:t>承包人不提交过程结算报告</w:t>
      </w:r>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p>
    <w:p w14:paraId="2C34AB0F">
      <w:pPr>
        <w:tabs>
          <w:tab w:val="left" w:pos="1620"/>
          <w:tab w:val="left" w:pos="2340"/>
        </w:tabs>
        <w:ind w:left="899"/>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承包人未按</w:t>
      </w:r>
      <w:r>
        <w:rPr>
          <w:rFonts w:hint="eastAsia" w:ascii="宋体" w:hAnsi="宋体" w:eastAsia="宋体" w:cs="Times New Roman"/>
          <w:color w:val="auto"/>
          <w:kern w:val="0"/>
          <w:szCs w:val="24"/>
          <w:highlight w:val="none"/>
        </w:rPr>
        <w:t>本合同第26.2⑵项</w:t>
      </w:r>
      <w:r>
        <w:rPr>
          <w:rFonts w:ascii="宋体" w:hAnsi="宋体" w:eastAsia="宋体" w:cs="Times New Roman"/>
          <w:color w:val="auto"/>
          <w:kern w:val="0"/>
          <w:szCs w:val="24"/>
          <w:highlight w:val="none"/>
        </w:rPr>
        <w:t>约定时间提交过程结算报告的，</w:t>
      </w:r>
      <w:r>
        <w:rPr>
          <w:rFonts w:hint="eastAsia" w:ascii="宋体" w:hAnsi="宋体" w:eastAsia="宋体" w:cs="Times New Roman"/>
          <w:color w:val="auto"/>
          <w:kern w:val="0"/>
          <w:szCs w:val="24"/>
          <w:highlight w:val="none"/>
        </w:rPr>
        <w:t>发包人</w:t>
      </w:r>
      <w:r>
        <w:rPr>
          <w:rFonts w:ascii="宋体" w:hAnsi="宋体" w:eastAsia="宋体" w:cs="Times New Roman"/>
          <w:color w:val="auto"/>
          <w:kern w:val="0"/>
          <w:szCs w:val="24"/>
          <w:highlight w:val="none"/>
        </w:rPr>
        <w:t>应通知其提交，通知后14天内仍不提交的或没有明确答复的，发包人可以依据已有资料自行开展施工过程结算活动。</w:t>
      </w:r>
    </w:p>
    <w:p w14:paraId="096D98E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39" w:name="_Toc21530"/>
      <w:bookmarkStart w:id="2440" w:name="_Toc19922"/>
      <w:bookmarkStart w:id="2441" w:name="_Toc20402"/>
      <w:bookmarkStart w:id="2442" w:name="_Toc13803"/>
      <w:bookmarkStart w:id="2443" w:name="_Toc21557"/>
      <w:bookmarkStart w:id="2444" w:name="_Toc369"/>
      <w:bookmarkStart w:id="2445" w:name="_Toc19403"/>
      <w:bookmarkStart w:id="2446" w:name="_Toc8044"/>
      <w:bookmarkStart w:id="2447" w:name="_Toc12836"/>
      <w:bookmarkStart w:id="2448" w:name="_Toc25747"/>
      <w:bookmarkStart w:id="2449" w:name="_Toc1076"/>
      <w:bookmarkStart w:id="2450" w:name="_Toc10386"/>
      <w:bookmarkStart w:id="2451" w:name="_Toc0"/>
      <w:bookmarkStart w:id="2452" w:name="_Toc23179"/>
      <w:r>
        <w:rPr>
          <w:rFonts w:hint="eastAsia" w:ascii="宋体" w:hAnsi="宋体" w:eastAsia="宋体" w:cs="Times New Roman"/>
          <w:b/>
          <w:bCs/>
          <w:color w:val="auto"/>
          <w:kern w:val="0"/>
          <w:sz w:val="24"/>
          <w:szCs w:val="24"/>
          <w:highlight w:val="none"/>
          <w:lang w:val="en-US" w:eastAsia="zh-CN" w:bidi="ar-SA"/>
        </w:rPr>
        <w:t>发包人逾期不过程结算</w:t>
      </w:r>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p>
    <w:p w14:paraId="19AA5A17">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发包人收到过程结算报告后，或在收到经修改的过程结算报告或补充结算资料后</w:t>
      </w:r>
      <w:r>
        <w:rPr>
          <w:rFonts w:hint="eastAsia" w:ascii="宋体" w:hAnsi="宋体" w:eastAsia="宋体" w:cs="Times New Roman"/>
          <w:color w:val="auto"/>
          <w:kern w:val="0"/>
          <w:szCs w:val="24"/>
          <w:highlight w:val="none"/>
        </w:rPr>
        <w:t>，在合同</w:t>
      </w:r>
      <w:r>
        <w:rPr>
          <w:rFonts w:ascii="宋体" w:hAnsi="宋体" w:eastAsia="宋体" w:cs="Times New Roman"/>
          <w:color w:val="auto"/>
          <w:kern w:val="0"/>
          <w:szCs w:val="24"/>
          <w:highlight w:val="none"/>
        </w:rPr>
        <w:t>约定的时间内，既不认可承包人提交的过程结算报告</w:t>
      </w:r>
      <w:r>
        <w:rPr>
          <w:rFonts w:hint="eastAsia" w:ascii="宋体" w:hAnsi="宋体" w:eastAsia="宋体" w:cs="Times New Roman"/>
          <w:color w:val="auto"/>
          <w:kern w:val="0"/>
          <w:szCs w:val="24"/>
          <w:highlight w:val="none"/>
        </w:rPr>
        <w:t>（包括经修改的</w:t>
      </w:r>
      <w:r>
        <w:rPr>
          <w:rFonts w:ascii="宋体" w:hAnsi="宋体" w:eastAsia="宋体" w:cs="Times New Roman"/>
          <w:color w:val="auto"/>
          <w:kern w:val="0"/>
          <w:szCs w:val="24"/>
          <w:highlight w:val="none"/>
        </w:rPr>
        <w:t>过程结算报告</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，又不提出异议的，视</w:t>
      </w:r>
      <w:r>
        <w:rPr>
          <w:rFonts w:hint="eastAsia" w:ascii="宋体" w:hAnsi="宋体" w:eastAsia="宋体" w:cs="Times New Roman"/>
          <w:color w:val="auto"/>
          <w:kern w:val="0"/>
          <w:szCs w:val="24"/>
          <w:highlight w:val="none"/>
        </w:rPr>
        <w:t>为发包人</w:t>
      </w:r>
      <w:r>
        <w:rPr>
          <w:rFonts w:ascii="宋体" w:hAnsi="宋体" w:eastAsia="宋体" w:cs="Times New Roman"/>
          <w:color w:val="auto"/>
          <w:kern w:val="0"/>
          <w:szCs w:val="24"/>
          <w:highlight w:val="none"/>
        </w:rPr>
        <w:t>认可</w:t>
      </w:r>
      <w:r>
        <w:rPr>
          <w:rFonts w:hint="eastAsia" w:ascii="宋体" w:hAnsi="宋体" w:eastAsia="宋体" w:cs="Times New Roman"/>
          <w:color w:val="auto"/>
          <w:kern w:val="0"/>
          <w:szCs w:val="24"/>
          <w:highlight w:val="none"/>
        </w:rPr>
        <w:t>且接受</w:t>
      </w:r>
      <w:r>
        <w:rPr>
          <w:rFonts w:ascii="宋体" w:hAnsi="宋体" w:eastAsia="宋体" w:cs="Times New Roman"/>
          <w:color w:val="auto"/>
          <w:kern w:val="0"/>
          <w:szCs w:val="24"/>
          <w:highlight w:val="none"/>
        </w:rPr>
        <w:t>承包人提交的过程结算报告</w:t>
      </w:r>
      <w:r>
        <w:rPr>
          <w:rFonts w:hint="eastAsia" w:ascii="宋体" w:hAnsi="宋体" w:eastAsia="宋体" w:cs="Times New Roman"/>
          <w:color w:val="auto"/>
          <w:kern w:val="0"/>
          <w:szCs w:val="24"/>
          <w:highlight w:val="none"/>
        </w:rPr>
        <w:t>（包括经修改的</w:t>
      </w:r>
      <w:r>
        <w:rPr>
          <w:rFonts w:ascii="宋体" w:hAnsi="宋体" w:eastAsia="宋体" w:cs="Times New Roman"/>
          <w:color w:val="auto"/>
          <w:kern w:val="0"/>
          <w:szCs w:val="24"/>
          <w:highlight w:val="none"/>
        </w:rPr>
        <w:t>过程结算报告</w:t>
      </w:r>
      <w:r>
        <w:rPr>
          <w:rFonts w:hint="eastAsia" w:ascii="宋体" w:hAnsi="宋体" w:eastAsia="宋体" w:cs="Times New Roman"/>
          <w:color w:val="auto"/>
          <w:kern w:val="0"/>
          <w:szCs w:val="24"/>
          <w:highlight w:val="none"/>
        </w:rPr>
        <w:t>），应据此确认过程结算价款</w:t>
      </w:r>
      <w:r>
        <w:rPr>
          <w:rFonts w:ascii="宋体" w:hAnsi="宋体" w:eastAsia="宋体" w:cs="Times New Roman"/>
          <w:color w:val="auto"/>
          <w:kern w:val="0"/>
          <w:szCs w:val="24"/>
          <w:highlight w:val="none"/>
        </w:rPr>
        <w:t>。</w:t>
      </w:r>
    </w:p>
    <w:p w14:paraId="2198C9C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53" w:name="_Toc25855"/>
      <w:bookmarkStart w:id="2454" w:name="_Toc15954"/>
      <w:bookmarkStart w:id="2455" w:name="_Toc22419"/>
      <w:bookmarkStart w:id="2456" w:name="_Toc11671"/>
      <w:bookmarkStart w:id="2457" w:name="_Toc15950"/>
      <w:bookmarkStart w:id="2458" w:name="_Toc25812"/>
      <w:bookmarkStart w:id="2459" w:name="_Toc26290"/>
      <w:bookmarkStart w:id="2460" w:name="_Toc16363"/>
      <w:bookmarkStart w:id="2461" w:name="_Toc28526"/>
      <w:bookmarkStart w:id="2462" w:name="_Toc10062"/>
      <w:bookmarkStart w:id="2463" w:name="_Toc15556"/>
      <w:bookmarkStart w:id="2464" w:name="_Toc22662"/>
      <w:bookmarkStart w:id="2465" w:name="_Toc12000"/>
      <w:bookmarkStart w:id="2466" w:name="_Toc17043"/>
      <w:r>
        <w:rPr>
          <w:rFonts w:hint="eastAsia" w:ascii="宋体" w:hAnsi="宋体" w:eastAsia="宋体" w:cs="Times New Roman"/>
          <w:b/>
          <w:bCs/>
          <w:color w:val="auto"/>
          <w:kern w:val="0"/>
          <w:sz w:val="24"/>
          <w:szCs w:val="24"/>
          <w:highlight w:val="none"/>
          <w:lang w:val="en-US" w:eastAsia="zh-CN" w:bidi="ar-SA"/>
        </w:rPr>
        <w:t>过程结算支付</w:t>
      </w:r>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p>
    <w:p w14:paraId="625483F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发承包双方确认过程结算价款后7天内，监理人应签发过程结算支付证书，报发包人批准后送交承包人。</w:t>
      </w:r>
    </w:p>
    <w:p w14:paraId="3390A64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发包人应在确认过程结算支付证书后14天内向承包人支付过程结算价款。发包人在确认过程结算价款后14天内无正当理由不</w:t>
      </w:r>
      <w:r>
        <w:rPr>
          <w:rFonts w:hint="eastAsia" w:ascii="宋体" w:hAnsi="宋体" w:eastAsia="宋体" w:cs="Times New Roman"/>
          <w:color w:val="auto"/>
          <w:kern w:val="0"/>
          <w:szCs w:val="24"/>
          <w:highlight w:val="none"/>
        </w:rPr>
        <w:t>予</w:t>
      </w:r>
      <w:r>
        <w:rPr>
          <w:rFonts w:ascii="宋体" w:hAnsi="宋体" w:eastAsia="宋体" w:cs="Times New Roman"/>
          <w:color w:val="auto"/>
          <w:kern w:val="0"/>
          <w:szCs w:val="24"/>
          <w:highlight w:val="none"/>
        </w:rPr>
        <w:t>支付</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，从第15天起按同期银行贷款利率支付拖欠过程结算价款的贷款利息，并承担第2</w:t>
      </w:r>
      <w:r>
        <w:rPr>
          <w:rFonts w:hint="eastAsia" w:ascii="宋体" w:hAnsi="宋体" w:eastAsia="宋体" w:cs="Times New Roman"/>
          <w:color w:val="auto"/>
          <w:kern w:val="0"/>
          <w:szCs w:val="24"/>
          <w:highlight w:val="none"/>
        </w:rPr>
        <w:t>9</w:t>
      </w:r>
      <w:r>
        <w:rPr>
          <w:rFonts w:ascii="宋体" w:hAnsi="宋体" w:eastAsia="宋体" w:cs="Times New Roman"/>
          <w:color w:val="auto"/>
          <w:kern w:val="0"/>
          <w:szCs w:val="24"/>
          <w:highlight w:val="none"/>
        </w:rPr>
        <w:t>.1</w:t>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项约定的违约责任。</w:t>
      </w:r>
    </w:p>
    <w:p w14:paraId="487C456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已签发的过程结算支付证书有错漏或重复的，发承包双方应</w:t>
      </w:r>
      <w:r>
        <w:rPr>
          <w:rFonts w:hint="eastAsia" w:ascii="宋体" w:hAnsi="宋体" w:eastAsia="宋体" w:cs="Times New Roman"/>
          <w:color w:val="auto"/>
          <w:kern w:val="0"/>
          <w:szCs w:val="24"/>
          <w:highlight w:val="none"/>
        </w:rPr>
        <w:t>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约定的时间内配合予以修正；经发承包双方复核并同意修正的，应在当期的过程结算中补充修正内容。</w:t>
      </w:r>
    </w:p>
    <w:p w14:paraId="1886EADF">
      <w:pPr>
        <w:tabs>
          <w:tab w:val="left" w:pos="1620"/>
          <w:tab w:val="left" w:pos="2340"/>
        </w:tabs>
        <w:spacing w:after="156"/>
        <w:ind w:left="899"/>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过程结算价款累计</w:t>
      </w:r>
      <w:r>
        <w:rPr>
          <w:rFonts w:hint="eastAsia" w:ascii="宋体" w:hAnsi="宋体" w:eastAsia="宋体" w:cs="Times New Roman"/>
          <w:color w:val="auto"/>
          <w:kern w:val="0"/>
          <w:szCs w:val="24"/>
          <w:highlight w:val="none"/>
        </w:rPr>
        <w:t>支付</w:t>
      </w:r>
      <w:r>
        <w:rPr>
          <w:rFonts w:ascii="宋体" w:hAnsi="宋体" w:eastAsia="宋体" w:cs="Times New Roman"/>
          <w:color w:val="auto"/>
          <w:kern w:val="0"/>
          <w:szCs w:val="24"/>
          <w:highlight w:val="none"/>
        </w:rPr>
        <w:t>总额达到合同价格的一定比例时，暂停支付。发承包双方应在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中约定具体比例。</w:t>
      </w:r>
    </w:p>
    <w:p w14:paraId="43D8D702">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⑸有关过程结算文件的编制和审核均须经注册造价工程师签字盖章确认。</w:t>
      </w:r>
    </w:p>
    <w:p w14:paraId="4DB7EC83">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67" w:name="_Toc2999"/>
      <w:bookmarkStart w:id="2468" w:name="_Toc9888"/>
      <w:bookmarkStart w:id="2469" w:name="_Toc12512"/>
      <w:bookmarkStart w:id="2470" w:name="_Toc16434"/>
      <w:bookmarkStart w:id="2471" w:name="_Toc27785"/>
      <w:bookmarkStart w:id="2472" w:name="_Toc28454"/>
      <w:bookmarkStart w:id="2473" w:name="_Toc7827"/>
      <w:bookmarkStart w:id="2474" w:name="_Toc25659"/>
      <w:bookmarkStart w:id="2475" w:name="_Toc14249"/>
      <w:bookmarkStart w:id="2476" w:name="_Toc16681"/>
      <w:bookmarkStart w:id="2477" w:name="_Toc22075"/>
      <w:bookmarkStart w:id="2478" w:name="_Toc15824"/>
      <w:bookmarkStart w:id="2479" w:name="_Toc8939"/>
      <w:bookmarkStart w:id="2480" w:name="_Toc24727"/>
      <w:r>
        <w:rPr>
          <w:rFonts w:hint="eastAsia" w:ascii="宋体" w:hAnsi="宋体" w:eastAsia="宋体" w:cs="Times New Roman"/>
          <w:b/>
          <w:bCs/>
          <w:color w:val="auto"/>
          <w:kern w:val="0"/>
          <w:sz w:val="24"/>
          <w:szCs w:val="24"/>
          <w:highlight w:val="none"/>
          <w:lang w:val="en-US" w:eastAsia="zh-CN" w:bidi="ar-SA"/>
        </w:rPr>
        <w:t>过程结算暂定意见</w:t>
      </w:r>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p>
    <w:p w14:paraId="70ECD770">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发承包双方对过程结算不能达成一致意见的，双方可委托</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约定的第三方提出暂定结算意见。发承包双方在收到第三方暂定结算意见后，</w:t>
      </w:r>
      <w:r>
        <w:rPr>
          <w:rFonts w:hint="eastAsia" w:ascii="宋体" w:hAnsi="宋体" w:eastAsia="宋体" w:cs="Times New Roman"/>
          <w:color w:val="auto"/>
          <w:kern w:val="0"/>
          <w:szCs w:val="24"/>
          <w:highlight w:val="none"/>
        </w:rPr>
        <w:t>应</w:t>
      </w:r>
      <w:r>
        <w:rPr>
          <w:rFonts w:ascii="宋体" w:hAnsi="宋体" w:eastAsia="宋体" w:cs="Times New Roman"/>
          <w:color w:val="auto"/>
          <w:kern w:val="0"/>
          <w:szCs w:val="24"/>
          <w:highlight w:val="none"/>
        </w:rPr>
        <w:t>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约定时间内，对暂定结算意见予以确认或提出异议。发承包双方同意暂定结算意见的，应以书面形式确认。</w:t>
      </w:r>
      <w:r>
        <w:rPr>
          <w:rFonts w:hint="eastAsia" w:ascii="宋体" w:hAnsi="宋体" w:eastAsia="宋体" w:cs="Times New Roman"/>
          <w:color w:val="auto"/>
          <w:kern w:val="0"/>
          <w:szCs w:val="24"/>
          <w:highlight w:val="none"/>
        </w:rPr>
        <w:t>经</w:t>
      </w:r>
      <w:r>
        <w:rPr>
          <w:rFonts w:ascii="宋体" w:hAnsi="宋体" w:eastAsia="宋体" w:cs="Times New Roman"/>
          <w:color w:val="auto"/>
          <w:kern w:val="0"/>
          <w:szCs w:val="24"/>
          <w:highlight w:val="none"/>
        </w:rPr>
        <w:t>发承包双方同意的暂定结算意见</w:t>
      </w:r>
      <w:r>
        <w:rPr>
          <w:rFonts w:hint="eastAsia" w:ascii="宋体" w:hAnsi="宋体" w:eastAsia="宋体" w:cs="Times New Roman"/>
          <w:color w:val="auto"/>
          <w:kern w:val="0"/>
          <w:szCs w:val="24"/>
          <w:highlight w:val="none"/>
        </w:rPr>
        <w:t>将</w:t>
      </w:r>
      <w:r>
        <w:rPr>
          <w:rFonts w:ascii="宋体" w:hAnsi="宋体" w:eastAsia="宋体" w:cs="Times New Roman"/>
          <w:color w:val="auto"/>
          <w:kern w:val="0"/>
          <w:szCs w:val="24"/>
          <w:highlight w:val="none"/>
        </w:rPr>
        <w:t>作为过程结算依据，对发承包双方都有约束力，直到其被改变为止。如发承包双方或一方不同意暂定结算意见的，应以书面形式向合同约定的第三方提出，同时抄送另一方。暂定结算意见应在竣工结算前被最终确认或修改，并在被确认或修改的当期调整</w:t>
      </w:r>
      <w:r>
        <w:rPr>
          <w:rFonts w:hint="eastAsia" w:ascii="宋体" w:hAnsi="宋体" w:eastAsia="宋体" w:cs="Times New Roman"/>
          <w:color w:val="auto"/>
          <w:kern w:val="0"/>
          <w:szCs w:val="24"/>
          <w:highlight w:val="none"/>
        </w:rPr>
        <w:t>过程</w:t>
      </w:r>
      <w:r>
        <w:rPr>
          <w:rFonts w:ascii="宋体" w:hAnsi="宋体" w:eastAsia="宋体" w:cs="Times New Roman"/>
          <w:color w:val="auto"/>
          <w:kern w:val="0"/>
          <w:szCs w:val="24"/>
          <w:highlight w:val="none"/>
        </w:rPr>
        <w:t>结算价款。</w:t>
      </w:r>
    </w:p>
    <w:p w14:paraId="572275FB">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481" w:name="_Toc21341"/>
      <w:bookmarkStart w:id="2482" w:name="_Toc9989"/>
      <w:bookmarkStart w:id="2483" w:name="_Toc21632"/>
      <w:bookmarkStart w:id="2484" w:name="_Toc1843"/>
      <w:bookmarkStart w:id="2485" w:name="_Toc14623"/>
      <w:bookmarkStart w:id="2486" w:name="_Toc7194"/>
      <w:bookmarkStart w:id="2487" w:name="_Toc3464"/>
      <w:bookmarkStart w:id="2488" w:name="_Toc31181"/>
      <w:r>
        <w:rPr>
          <w:rFonts w:hint="eastAsia" w:ascii="华文细黑" w:hAnsi="宋体" w:eastAsia="宋体" w:cs="Times New Roman"/>
          <w:b/>
          <w:bCs/>
          <w:snapToGrid w:val="0"/>
          <w:color w:val="auto"/>
          <w:kern w:val="0"/>
          <w:sz w:val="28"/>
          <w:szCs w:val="44"/>
          <w:highlight w:val="none"/>
          <w:lang w:val="en-US" w:eastAsia="zh-CN" w:bidi="ar-SA"/>
        </w:rPr>
        <w:t>竣工验收</w:t>
      </w:r>
      <w:bookmarkEnd w:id="2377"/>
      <w:bookmarkEnd w:id="2378"/>
      <w:bookmarkEnd w:id="2379"/>
      <w:bookmarkEnd w:id="2380"/>
      <w:bookmarkEnd w:id="2381"/>
      <w:bookmarkEnd w:id="2382"/>
      <w:bookmarkEnd w:id="2481"/>
      <w:bookmarkEnd w:id="2482"/>
      <w:bookmarkEnd w:id="2483"/>
      <w:bookmarkEnd w:id="2484"/>
      <w:bookmarkEnd w:id="2485"/>
      <w:bookmarkEnd w:id="2486"/>
      <w:bookmarkEnd w:id="2487"/>
      <w:bookmarkEnd w:id="2488"/>
    </w:p>
    <w:p w14:paraId="380CE4A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89" w:name="_Toc26071"/>
      <w:bookmarkStart w:id="2490" w:name="_Toc4703"/>
      <w:bookmarkStart w:id="2491" w:name="_Toc302635874"/>
      <w:bookmarkStart w:id="2492" w:name="_Toc31338"/>
      <w:bookmarkStart w:id="2493" w:name="_Toc10908"/>
      <w:bookmarkStart w:id="2494" w:name="_Toc305331379"/>
      <w:bookmarkStart w:id="2495" w:name="_Toc15695"/>
      <w:bookmarkStart w:id="2496" w:name="_Toc32310"/>
      <w:bookmarkStart w:id="2497" w:name="_Toc16922"/>
      <w:bookmarkStart w:id="2498" w:name="_Toc20966"/>
      <w:bookmarkStart w:id="2499" w:name="_Toc14111"/>
      <w:bookmarkStart w:id="2500" w:name="_Toc34909068"/>
      <w:r>
        <w:rPr>
          <w:rFonts w:hint="eastAsia" w:ascii="宋体" w:hAnsi="宋体" w:eastAsia="宋体" w:cs="Times New Roman"/>
          <w:b/>
          <w:bCs/>
          <w:color w:val="auto"/>
          <w:kern w:val="0"/>
          <w:sz w:val="24"/>
          <w:szCs w:val="24"/>
          <w:highlight w:val="none"/>
          <w:lang w:val="en-US" w:eastAsia="zh-CN" w:bidi="ar-SA"/>
        </w:rPr>
        <w:t>竣工验收</w:t>
      </w:r>
      <w:bookmarkEnd w:id="2489"/>
      <w:bookmarkEnd w:id="2490"/>
      <w:bookmarkEnd w:id="2491"/>
      <w:bookmarkEnd w:id="2492"/>
      <w:bookmarkEnd w:id="2493"/>
      <w:bookmarkEnd w:id="2494"/>
      <w:bookmarkEnd w:id="2495"/>
      <w:bookmarkEnd w:id="2496"/>
      <w:bookmarkEnd w:id="2497"/>
      <w:bookmarkEnd w:id="2498"/>
      <w:bookmarkEnd w:id="2499"/>
    </w:p>
    <w:p w14:paraId="2E0ED6A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工程具备以下条件的，承包人可以申请竣工验收：</w:t>
      </w:r>
    </w:p>
    <w:p w14:paraId="06B4AFF7">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除发包人同意的甩项</w:t>
      </w:r>
      <w:r>
        <w:rPr>
          <w:rFonts w:hint="eastAsia" w:ascii="宋体" w:hAnsi="宋体" w:eastAsia="宋体" w:cs="Times New Roman"/>
          <w:color w:val="auto"/>
          <w:kern w:val="0"/>
          <w:szCs w:val="24"/>
          <w:highlight w:val="none"/>
        </w:rPr>
        <w:t>工作</w:t>
      </w:r>
      <w:r>
        <w:rPr>
          <w:rFonts w:ascii="宋体" w:hAnsi="宋体" w:eastAsia="宋体" w:cs="Times New Roman"/>
          <w:color w:val="auto"/>
          <w:kern w:val="0"/>
          <w:szCs w:val="24"/>
          <w:highlight w:val="none"/>
        </w:rPr>
        <w:t>和缺陷修补工作外，合同范围内的全部工程以及有关工作，包括合同要求的试验、试运行以及检验均已完成，并符合合同要求；</w:t>
      </w:r>
    </w:p>
    <w:p w14:paraId="43D7CA24">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已按合同约定编制了甩项</w:t>
      </w:r>
      <w:r>
        <w:rPr>
          <w:rFonts w:hint="eastAsia" w:ascii="宋体" w:hAnsi="宋体" w:eastAsia="宋体" w:cs="Times New Roman"/>
          <w:color w:val="auto"/>
          <w:kern w:val="0"/>
          <w:szCs w:val="24"/>
          <w:highlight w:val="none"/>
        </w:rPr>
        <w:t>工作</w:t>
      </w:r>
      <w:r>
        <w:rPr>
          <w:rFonts w:ascii="宋体" w:hAnsi="宋体" w:eastAsia="宋体" w:cs="Times New Roman"/>
          <w:color w:val="auto"/>
          <w:kern w:val="0"/>
          <w:szCs w:val="24"/>
          <w:highlight w:val="none"/>
        </w:rPr>
        <w:t>和缺陷修补工作清单以及相应的施工计划；</w:t>
      </w:r>
    </w:p>
    <w:p w14:paraId="34EA3E60">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已按合同约定的内容和份数备齐竣工资料。</w:t>
      </w:r>
    </w:p>
    <w:p w14:paraId="6F4AD0A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⑵工程具备竣工验收条件后21天内，承包人应按工程竣工验收的有关规定和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申请竣工验收并提供竣工资料(如项目经理任命通知书、施工组织设计方案、施工质量技术交底、施工日志、各种验收记录表和检测报告、工程变更资料、工程质量事故处理报告、竣工图纸等)。</w:t>
      </w:r>
    </w:p>
    <w:p w14:paraId="1AF8B40E">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监理人审查后认为尚不具备验收条件的，应通知承包人在竣工验收前承包人还需完成的工作内容，承包人应在完成监理人通知的全部工作内容后，再次提交竣工验收申请报告。</w:t>
      </w:r>
    </w:p>
    <w:p w14:paraId="44C920A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监理人审查后认为已具备竣工验收条件的，应将竣工验收申请报告提交发包人，发包人应在收到</w:t>
      </w:r>
      <w:r>
        <w:rPr>
          <w:rFonts w:hint="eastAsia" w:ascii="宋体" w:hAnsi="宋体" w:eastAsia="宋体" w:cs="Times New Roman"/>
          <w:color w:val="auto"/>
          <w:kern w:val="0"/>
          <w:szCs w:val="24"/>
          <w:highlight w:val="none"/>
        </w:rPr>
        <w:t>经</w:t>
      </w:r>
      <w:r>
        <w:rPr>
          <w:rFonts w:ascii="宋体" w:hAnsi="宋体" w:eastAsia="宋体" w:cs="Times New Roman"/>
          <w:color w:val="auto"/>
          <w:kern w:val="0"/>
          <w:szCs w:val="24"/>
          <w:highlight w:val="none"/>
        </w:rPr>
        <w:t>监理人审核的竣工验收申请报告后28天内</w:t>
      </w:r>
      <w:r>
        <w:rPr>
          <w:rFonts w:hint="eastAsia" w:ascii="宋体" w:hAnsi="宋体" w:eastAsia="宋体" w:cs="Times New Roman"/>
          <w:color w:val="auto"/>
          <w:kern w:val="0"/>
          <w:szCs w:val="24"/>
          <w:highlight w:val="none"/>
        </w:rPr>
        <w:t>审批</w:t>
      </w:r>
      <w:r>
        <w:rPr>
          <w:rFonts w:ascii="宋体" w:hAnsi="宋体" w:eastAsia="宋体" w:cs="Times New Roman"/>
          <w:color w:val="auto"/>
          <w:kern w:val="0"/>
          <w:szCs w:val="24"/>
          <w:highlight w:val="none"/>
        </w:rPr>
        <w:t>完毕并组织监理人、承包人、设计人等相关单位完成竣工验收。</w:t>
      </w:r>
    </w:p>
    <w:p w14:paraId="3F964783">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⑸发包人收到承包人提交的竣工验收申请后21天内不组织竣工验收，或竣工验收工作完毕后7天内不提出修改意见，均视为本工程通过竣工验收。发包人应承担此后本工程的一切保管责任。</w:t>
      </w:r>
    </w:p>
    <w:p w14:paraId="754667F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⑹本工程未经竣工验收或竣工验收未通过的，发包人不得使用。如发包人擅自使用，由此发生的质量问题及其他问题，由发包人承担责任，并承担此后本工程的一切保管责任。</w:t>
      </w:r>
    </w:p>
    <w:p w14:paraId="60D71709">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的约定，本工程中某单项工程须单独进行竣工验收的，按本条有关竣工验收规定办理。</w:t>
      </w:r>
    </w:p>
    <w:bookmarkEnd w:id="2500"/>
    <w:p w14:paraId="4C7E0EED">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01" w:name="_Toc305331380"/>
      <w:bookmarkStart w:id="2502" w:name="_Toc19942"/>
      <w:bookmarkStart w:id="2503" w:name="_Toc302635875"/>
      <w:bookmarkStart w:id="2504" w:name="_Toc28437"/>
      <w:bookmarkStart w:id="2505" w:name="_Toc2285"/>
      <w:bookmarkStart w:id="2506" w:name="_Toc24328"/>
      <w:bookmarkStart w:id="2507" w:name="_Toc27693"/>
      <w:bookmarkStart w:id="2508" w:name="_Toc27266"/>
      <w:bookmarkStart w:id="2509" w:name="_Toc660"/>
      <w:bookmarkStart w:id="2510" w:name="_Toc2135"/>
      <w:bookmarkStart w:id="2511" w:name="_Toc12104"/>
      <w:bookmarkStart w:id="2512" w:name="_Toc34909119"/>
      <w:r>
        <w:rPr>
          <w:rFonts w:hint="eastAsia" w:ascii="宋体" w:hAnsi="宋体" w:eastAsia="宋体" w:cs="Times New Roman"/>
          <w:b/>
          <w:bCs/>
          <w:color w:val="auto"/>
          <w:kern w:val="0"/>
          <w:sz w:val="24"/>
          <w:szCs w:val="24"/>
          <w:highlight w:val="none"/>
          <w:lang w:val="en-US" w:eastAsia="zh-CN" w:bidi="ar-SA"/>
        </w:rPr>
        <w:t>竣工验收合格后的移交和清理</w:t>
      </w:r>
      <w:bookmarkEnd w:id="2501"/>
      <w:bookmarkEnd w:id="2502"/>
      <w:bookmarkEnd w:id="2503"/>
      <w:bookmarkEnd w:id="2504"/>
      <w:bookmarkEnd w:id="2505"/>
      <w:bookmarkEnd w:id="2506"/>
      <w:bookmarkEnd w:id="2507"/>
      <w:bookmarkEnd w:id="2508"/>
      <w:bookmarkEnd w:id="2509"/>
      <w:bookmarkEnd w:id="2510"/>
      <w:bookmarkEnd w:id="2511"/>
    </w:p>
    <w:p w14:paraId="1C965AF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工程竣工验收通过，发包人应在验收工作完毕后7天内向承包人签发交接证书，同时办理工程的移交工作。交接证书上应写明本工程的实际竣工日期(即竣工验收合格之日)。交接证书签发后，承包人应将工程交付给发包人，承包人不再承担对工程的照管责任。</w:t>
      </w:r>
      <w:bookmarkEnd w:id="2512"/>
      <w:r>
        <w:rPr>
          <w:rFonts w:ascii="宋体" w:hAnsi="宋体" w:eastAsia="宋体" w:cs="Times New Roman"/>
          <w:color w:val="auto"/>
          <w:kern w:val="0"/>
          <w:szCs w:val="24"/>
          <w:highlight w:val="none"/>
        </w:rPr>
        <w:t>承包人无正当理由不移交工程的，</w:t>
      </w:r>
      <w:r>
        <w:rPr>
          <w:rFonts w:hint="eastAsia" w:ascii="宋体" w:hAnsi="宋体" w:eastAsia="宋体" w:cs="Times New Roman"/>
          <w:color w:val="auto"/>
          <w:kern w:val="0"/>
          <w:szCs w:val="24"/>
          <w:highlight w:val="none"/>
        </w:rPr>
        <w:t>承包人应承担</w:t>
      </w:r>
      <w:r>
        <w:rPr>
          <w:rFonts w:ascii="宋体" w:hAnsi="宋体" w:eastAsia="宋体" w:cs="Times New Roman"/>
          <w:color w:val="auto"/>
          <w:kern w:val="0"/>
          <w:szCs w:val="24"/>
          <w:highlight w:val="none"/>
        </w:rPr>
        <w:t>工程照管、成品保护、保管等与工程有关的各项费用</w:t>
      </w:r>
      <w:r>
        <w:rPr>
          <w:rFonts w:hint="eastAsia" w:ascii="宋体" w:hAnsi="宋体" w:eastAsia="宋体" w:cs="Times New Roman"/>
          <w:color w:val="auto"/>
          <w:kern w:val="0"/>
          <w:szCs w:val="24"/>
          <w:highlight w:val="none"/>
        </w:rPr>
        <w:t>，承发包双方可以在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中另行约定承包人无正当理由不移交工程的违约责任</w:t>
      </w:r>
      <w:r>
        <w:rPr>
          <w:rFonts w:ascii="宋体" w:hAnsi="宋体" w:eastAsia="宋体" w:cs="Times New Roman"/>
          <w:color w:val="auto"/>
          <w:kern w:val="0"/>
          <w:szCs w:val="24"/>
          <w:highlight w:val="none"/>
        </w:rPr>
        <w:t>。</w:t>
      </w:r>
    </w:p>
    <w:p w14:paraId="26F2FE1A">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⑵在签发交接证书后，承包人应从施工现场清理并运出承包人装备、剩余材料设备、垃圾和各种临时工程，保持整个现场及工程整洁，达到竣工使用状态。如承包人未在发包人或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允许的合理时间内把所有的承包人装备、剩余材料设备、垃圾及各种临时工程运走，则发包人可以：</w:t>
      </w:r>
    </w:p>
    <w:p w14:paraId="4F6961DD">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①委托他人将承包人装备、剩余材料及承包人的其他财产觅地存放；</w:t>
      </w:r>
    </w:p>
    <w:p w14:paraId="59D2D7F4">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②委托他人清除并运走垃圾、废料。</w:t>
      </w:r>
    </w:p>
    <w:p w14:paraId="6DECBBA1">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因上述工作而发生的费用由承包人承担，发包人可从应付承包人的任何款项内扣除。</w:t>
      </w:r>
    </w:p>
    <w:p w14:paraId="420AC6D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发包人无正当理由不接收工程的，发包人自</w:t>
      </w:r>
      <w:r>
        <w:rPr>
          <w:rFonts w:hint="eastAsia" w:ascii="宋体" w:hAnsi="宋体" w:eastAsia="宋体" w:cs="Times New Roman"/>
          <w:color w:val="auto"/>
          <w:kern w:val="0"/>
          <w:szCs w:val="24"/>
          <w:highlight w:val="none"/>
        </w:rPr>
        <w:t>应当接收工程</w:t>
      </w:r>
      <w:r>
        <w:rPr>
          <w:rFonts w:ascii="宋体" w:hAnsi="宋体" w:eastAsia="宋体" w:cs="Times New Roman"/>
          <w:color w:val="auto"/>
          <w:kern w:val="0"/>
          <w:szCs w:val="24"/>
          <w:highlight w:val="none"/>
        </w:rPr>
        <w:t>之日起，承担工程照管、成品保护、保管等与工程有关的各项费用</w:t>
      </w:r>
      <w:r>
        <w:rPr>
          <w:rFonts w:hint="eastAsia" w:ascii="宋体" w:hAnsi="宋体" w:eastAsia="宋体" w:cs="Times New Roman"/>
          <w:color w:val="auto"/>
          <w:kern w:val="0"/>
          <w:szCs w:val="24"/>
          <w:highlight w:val="none"/>
        </w:rPr>
        <w:t>，承发包双方可以在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中另行约定发包人逾期接收工程的违约责任</w:t>
      </w:r>
      <w:r>
        <w:rPr>
          <w:rFonts w:ascii="宋体" w:hAnsi="宋体" w:eastAsia="宋体" w:cs="Times New Roman"/>
          <w:color w:val="auto"/>
          <w:kern w:val="0"/>
          <w:szCs w:val="24"/>
          <w:highlight w:val="none"/>
        </w:rPr>
        <w:t>。</w:t>
      </w:r>
    </w:p>
    <w:p w14:paraId="7CA9903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13" w:name="_Toc8454"/>
      <w:bookmarkStart w:id="2514" w:name="_Toc302635876"/>
      <w:bookmarkStart w:id="2515" w:name="_Toc23313"/>
      <w:bookmarkStart w:id="2516" w:name="_Toc17192"/>
      <w:bookmarkStart w:id="2517" w:name="_Toc27758"/>
      <w:bookmarkStart w:id="2518" w:name="_Toc13350"/>
      <w:bookmarkStart w:id="2519" w:name="_Toc19391"/>
      <w:bookmarkStart w:id="2520" w:name="_Toc21459"/>
      <w:bookmarkStart w:id="2521" w:name="_Toc11981"/>
      <w:bookmarkStart w:id="2522" w:name="_Toc17589"/>
      <w:bookmarkStart w:id="2523" w:name="_Toc305331381"/>
      <w:bookmarkStart w:id="2524" w:name="_Toc34909121"/>
      <w:r>
        <w:rPr>
          <w:rFonts w:hint="eastAsia" w:ascii="宋体" w:hAnsi="宋体" w:eastAsia="宋体" w:cs="Times New Roman"/>
          <w:b/>
          <w:bCs/>
          <w:color w:val="auto"/>
          <w:kern w:val="0"/>
          <w:sz w:val="24"/>
          <w:szCs w:val="24"/>
          <w:highlight w:val="none"/>
          <w:lang w:val="en-US" w:eastAsia="zh-CN" w:bidi="ar-SA"/>
        </w:rPr>
        <w:t>竣工验收质量不合格和重新验收</w:t>
      </w:r>
      <w:bookmarkEnd w:id="2513"/>
      <w:bookmarkEnd w:id="2514"/>
      <w:bookmarkEnd w:id="2515"/>
      <w:bookmarkEnd w:id="2516"/>
      <w:bookmarkEnd w:id="2517"/>
      <w:bookmarkEnd w:id="2518"/>
      <w:bookmarkEnd w:id="2519"/>
      <w:bookmarkEnd w:id="2520"/>
      <w:bookmarkEnd w:id="2521"/>
      <w:bookmarkEnd w:id="2522"/>
      <w:bookmarkEnd w:id="2523"/>
    </w:p>
    <w:p w14:paraId="3FA21B6A">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⑴如本工程竣工验收质量未达到合同约定的标准，承包人应按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14:paraId="67AE9FF7">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⑵如本工程竣工验收质量未达到合同约定的标准，</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应在验收工作完毕后7天内向承包人发出不予验收的指令，要求承包人对达不到合同约定标准的工程返工或修复。承包人在完成上述工作后，应重新提出竣工验收申请。发包人应按照第</w:t>
      </w:r>
      <w:r>
        <w:rPr>
          <w:rFonts w:hint="eastAsia" w:ascii="宋体" w:hAnsi="宋体" w:eastAsia="宋体" w:cs="Times New Roman"/>
          <w:color w:val="auto"/>
          <w:kern w:val="0"/>
          <w:szCs w:val="24"/>
          <w:highlight w:val="none"/>
          <w:lang w:val="en-US" w:eastAsia="zh-CN"/>
        </w:rPr>
        <w:t>27</w:t>
      </w:r>
      <w:r>
        <w:rPr>
          <w:rFonts w:hint="eastAsia" w:ascii="宋体" w:hAnsi="宋体" w:eastAsia="宋体" w:cs="Times New Roman"/>
          <w:color w:val="auto"/>
          <w:kern w:val="0"/>
          <w:szCs w:val="24"/>
          <w:highlight w:val="none"/>
        </w:rPr>
        <w:t>.1款的约定重新组织竣工验收。竣工验收通过，发包人应按第</w:t>
      </w:r>
      <w:r>
        <w:rPr>
          <w:rFonts w:hint="eastAsia" w:ascii="宋体" w:hAnsi="宋体" w:eastAsia="宋体" w:cs="Times New Roman"/>
          <w:color w:val="auto"/>
          <w:kern w:val="0"/>
          <w:szCs w:val="24"/>
          <w:highlight w:val="none"/>
          <w:lang w:val="en-US" w:eastAsia="zh-CN"/>
        </w:rPr>
        <w:t>27</w:t>
      </w:r>
      <w:r>
        <w:rPr>
          <w:rFonts w:hint="eastAsia" w:ascii="宋体" w:hAnsi="宋体" w:eastAsia="宋体" w:cs="Times New Roman"/>
          <w:color w:val="auto"/>
          <w:kern w:val="0"/>
          <w:szCs w:val="24"/>
          <w:highlight w:val="none"/>
        </w:rPr>
        <w:t>.2款的约定签发交接证书。交接证书中写明的实际竣工日期应为重新验收合格之日。</w:t>
      </w:r>
      <w:bookmarkEnd w:id="2524"/>
    </w:p>
    <w:p w14:paraId="22DBB1F1">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25" w:name="_Toc20339"/>
      <w:bookmarkStart w:id="2526" w:name="_Toc953"/>
      <w:bookmarkStart w:id="2527" w:name="_Toc2681"/>
      <w:bookmarkStart w:id="2528" w:name="_Toc6626"/>
      <w:bookmarkStart w:id="2529" w:name="_Toc302635880"/>
      <w:bookmarkStart w:id="2530" w:name="_Toc10213"/>
      <w:bookmarkStart w:id="2531" w:name="_Toc622"/>
      <w:bookmarkStart w:id="2532" w:name="_Toc34"/>
      <w:bookmarkStart w:id="2533" w:name="_Toc4730"/>
      <w:bookmarkStart w:id="2534" w:name="_Toc9329"/>
      <w:bookmarkStart w:id="2535" w:name="_Toc305331386"/>
      <w:bookmarkStart w:id="2536" w:name="_Toc305331385"/>
      <w:r>
        <w:rPr>
          <w:rFonts w:hint="eastAsia" w:ascii="宋体" w:hAnsi="宋体" w:eastAsia="宋体" w:cs="Times New Roman"/>
          <w:b/>
          <w:bCs/>
          <w:color w:val="auto"/>
          <w:kern w:val="0"/>
          <w:sz w:val="24"/>
          <w:szCs w:val="24"/>
          <w:highlight w:val="none"/>
          <w:lang w:val="en-US" w:eastAsia="zh-CN" w:bidi="ar-SA"/>
        </w:rPr>
        <w:t>竣工日期</w:t>
      </w:r>
      <w:bookmarkEnd w:id="2525"/>
      <w:bookmarkEnd w:id="2526"/>
      <w:bookmarkEnd w:id="2527"/>
      <w:bookmarkEnd w:id="2528"/>
      <w:bookmarkEnd w:id="2529"/>
      <w:bookmarkEnd w:id="2530"/>
      <w:bookmarkEnd w:id="2531"/>
      <w:bookmarkEnd w:id="2532"/>
      <w:bookmarkEnd w:id="2533"/>
      <w:bookmarkEnd w:id="2534"/>
    </w:p>
    <w:p w14:paraId="704D9CA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工程经竣工验收合格的，以</w:t>
      </w:r>
      <w:r>
        <w:rPr>
          <w:rFonts w:hint="eastAsia" w:ascii="宋体" w:hAnsi="宋体" w:eastAsia="宋体" w:cs="Times New Roman"/>
          <w:color w:val="auto"/>
          <w:kern w:val="0"/>
          <w:szCs w:val="24"/>
          <w:highlight w:val="none"/>
        </w:rPr>
        <w:t>竣工验收合格</w:t>
      </w:r>
      <w:r>
        <w:rPr>
          <w:rFonts w:ascii="宋体" w:hAnsi="宋体" w:eastAsia="宋体" w:cs="Times New Roman"/>
          <w:color w:val="auto"/>
          <w:kern w:val="0"/>
          <w:szCs w:val="24"/>
          <w:highlight w:val="none"/>
        </w:rPr>
        <w:t>之日为实际竣工日期，并在工程接收证书中载明；因发包人原因，未在监理人收到承包人提交的竣工验收申请报告42天内完成</w:t>
      </w:r>
      <w:r>
        <w:rPr>
          <w:rFonts w:hint="eastAsia" w:ascii="宋体" w:hAnsi="宋体" w:eastAsia="宋体" w:cs="Times New Roman"/>
          <w:color w:val="auto"/>
          <w:kern w:val="0"/>
          <w:szCs w:val="24"/>
          <w:highlight w:val="none"/>
        </w:rPr>
        <w:t>竣工</w:t>
      </w:r>
      <w:r>
        <w:rPr>
          <w:rFonts w:ascii="宋体" w:hAnsi="宋体" w:eastAsia="宋体" w:cs="Times New Roman"/>
          <w:color w:val="auto"/>
          <w:kern w:val="0"/>
          <w:szCs w:val="24"/>
          <w:highlight w:val="none"/>
        </w:rPr>
        <w:t>验收</w:t>
      </w:r>
      <w:r>
        <w:rPr>
          <w:rFonts w:hint="eastAsia" w:ascii="宋体" w:hAnsi="宋体" w:eastAsia="宋体" w:cs="Times New Roman"/>
          <w:color w:val="auto"/>
          <w:kern w:val="0"/>
          <w:szCs w:val="24"/>
          <w:highlight w:val="none"/>
        </w:rPr>
        <w:t>，或完成竣工验收不予签发工程接收证书</w:t>
      </w:r>
      <w:r>
        <w:rPr>
          <w:rFonts w:ascii="宋体" w:hAnsi="宋体" w:eastAsia="宋体" w:cs="Times New Roman"/>
          <w:color w:val="auto"/>
          <w:kern w:val="0"/>
          <w:szCs w:val="24"/>
          <w:highlight w:val="none"/>
        </w:rPr>
        <w:t>的，以提交竣工验</w:t>
      </w:r>
      <w:bookmarkStart w:id="2537" w:name="#go14"/>
      <w:bookmarkEnd w:id="2537"/>
      <w:r>
        <w:rPr>
          <w:rFonts w:ascii="宋体" w:hAnsi="宋体" w:eastAsia="宋体" w:cs="Times New Roman"/>
          <w:color w:val="auto"/>
          <w:kern w:val="0"/>
          <w:szCs w:val="24"/>
          <w:highlight w:val="none"/>
        </w:rPr>
        <w:t>收申请报告的日期为实际竣工日期；工程未经竣工验收，发包人擅自使用的，以转移占有工程之日为实际竣工日期。</w:t>
      </w:r>
    </w:p>
    <w:p w14:paraId="76A50E8B">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38" w:name="_Toc26564"/>
      <w:bookmarkStart w:id="2539" w:name="_Toc8059"/>
      <w:bookmarkStart w:id="2540" w:name="_Toc22426"/>
      <w:bookmarkStart w:id="2541" w:name="_Toc25578"/>
      <w:bookmarkStart w:id="2542" w:name="_Toc9253"/>
      <w:bookmarkStart w:id="2543" w:name="_Toc25037"/>
      <w:bookmarkStart w:id="2544" w:name="_Toc12516"/>
      <w:bookmarkStart w:id="2545" w:name="_Toc29802"/>
      <w:bookmarkStart w:id="2546" w:name="_Toc16205"/>
      <w:bookmarkStart w:id="2547" w:name="_Toc302635881"/>
      <w:r>
        <w:rPr>
          <w:rFonts w:ascii="宋体" w:hAnsi="宋体" w:eastAsia="宋体" w:cs="Times New Roman"/>
          <w:b/>
          <w:bCs/>
          <w:color w:val="auto"/>
          <w:kern w:val="0"/>
          <w:sz w:val="24"/>
          <w:szCs w:val="24"/>
          <w:highlight w:val="none"/>
          <w:lang w:val="en-US" w:eastAsia="zh-CN" w:bidi="ar-SA"/>
        </w:rPr>
        <w:t>拒绝接收全部或部分工程</w:t>
      </w:r>
      <w:bookmarkEnd w:id="2538"/>
      <w:bookmarkEnd w:id="2539"/>
      <w:bookmarkEnd w:id="2540"/>
      <w:bookmarkEnd w:id="2541"/>
      <w:bookmarkEnd w:id="2542"/>
      <w:bookmarkEnd w:id="2543"/>
      <w:bookmarkEnd w:id="2544"/>
      <w:bookmarkEnd w:id="2545"/>
      <w:bookmarkEnd w:id="2546"/>
      <w:bookmarkEnd w:id="2547"/>
    </w:p>
    <w:p w14:paraId="6711E455">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对于竣工验收不合格的工程，承包人完成整改后，</w:t>
      </w:r>
      <w:r>
        <w:rPr>
          <w:rFonts w:hint="eastAsia" w:ascii="宋体" w:hAnsi="宋体" w:eastAsia="宋体" w:cs="Times New Roman"/>
          <w:color w:val="auto"/>
          <w:kern w:val="0"/>
          <w:szCs w:val="24"/>
          <w:highlight w:val="none"/>
        </w:rPr>
        <w:t>应当</w:t>
      </w:r>
      <w:r>
        <w:rPr>
          <w:rFonts w:ascii="宋体" w:hAnsi="宋体" w:eastAsia="宋体" w:cs="Times New Roman"/>
          <w:color w:val="auto"/>
          <w:kern w:val="0"/>
          <w:szCs w:val="24"/>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2CD6E4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48" w:name="_Toc26766"/>
      <w:bookmarkStart w:id="2549" w:name="_Toc24999"/>
      <w:bookmarkStart w:id="2550" w:name="_Toc4369"/>
      <w:bookmarkStart w:id="2551" w:name="_Toc7728"/>
      <w:bookmarkStart w:id="2552" w:name="_Toc24614"/>
      <w:bookmarkStart w:id="2553" w:name="_Toc32463"/>
      <w:bookmarkStart w:id="2554" w:name="_Toc302635882"/>
      <w:bookmarkStart w:id="2555" w:name="_Toc25581"/>
      <w:bookmarkStart w:id="2556" w:name="_Toc7742"/>
      <w:bookmarkStart w:id="2557" w:name="_Toc4889"/>
      <w:r>
        <w:rPr>
          <w:rFonts w:hint="eastAsia" w:ascii="宋体" w:hAnsi="宋体" w:eastAsia="宋体" w:cs="Times New Roman"/>
          <w:b/>
          <w:bCs/>
          <w:color w:val="auto"/>
          <w:kern w:val="0"/>
          <w:sz w:val="24"/>
          <w:szCs w:val="24"/>
          <w:highlight w:val="none"/>
          <w:lang w:val="en-US" w:eastAsia="zh-CN" w:bidi="ar-SA"/>
        </w:rPr>
        <w:t>竣工验收工程质量争议处理</w:t>
      </w:r>
      <w:bookmarkEnd w:id="2535"/>
      <w:bookmarkEnd w:id="2548"/>
      <w:bookmarkEnd w:id="2549"/>
      <w:bookmarkEnd w:id="2550"/>
      <w:bookmarkEnd w:id="2551"/>
      <w:bookmarkEnd w:id="2552"/>
      <w:bookmarkEnd w:id="2553"/>
      <w:bookmarkEnd w:id="2554"/>
      <w:bookmarkEnd w:id="2555"/>
      <w:bookmarkEnd w:id="2556"/>
      <w:bookmarkEnd w:id="2557"/>
    </w:p>
    <w:p w14:paraId="6070DE4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除发包人同意降低合同约定的质量标准接收工程(但不得低于国家强制性质量标准)外，发包人对工程质量有异议，拒不签发工程交接证书的，发包人与承包人应将此质量争议共同委托</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约定的有资质的质量检测鉴定机构进行检测。若质量检测合格，检测费用由发包人承担；若质量检测不合格，检测费用由承包人承担，并同时负责无偿修复此质量缺陷。</w:t>
      </w:r>
    </w:p>
    <w:p w14:paraId="544FFFE5">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58" w:name="_Toc8858"/>
      <w:bookmarkStart w:id="2559" w:name="_Toc16052"/>
      <w:bookmarkStart w:id="2560" w:name="_Toc17146"/>
      <w:bookmarkStart w:id="2561" w:name="_Toc302635883"/>
      <w:bookmarkStart w:id="2562" w:name="_Toc31623"/>
      <w:bookmarkStart w:id="2563" w:name="_Toc29505"/>
      <w:bookmarkStart w:id="2564" w:name="_Toc5567"/>
      <w:bookmarkStart w:id="2565" w:name="_Toc13441"/>
      <w:bookmarkStart w:id="2566" w:name="_Toc11800"/>
      <w:bookmarkStart w:id="2567" w:name="_Toc28181"/>
      <w:r>
        <w:rPr>
          <w:rFonts w:hint="eastAsia" w:ascii="宋体" w:hAnsi="宋体" w:eastAsia="宋体" w:cs="Times New Roman"/>
          <w:b/>
          <w:bCs/>
          <w:color w:val="auto"/>
          <w:kern w:val="0"/>
          <w:sz w:val="24"/>
          <w:szCs w:val="24"/>
          <w:highlight w:val="none"/>
          <w:lang w:val="en-US" w:eastAsia="zh-CN" w:bidi="ar-SA"/>
        </w:rPr>
        <w:t>履约评价与优质优价</w:t>
      </w:r>
      <w:bookmarkEnd w:id="2536"/>
      <w:bookmarkEnd w:id="2558"/>
      <w:bookmarkEnd w:id="2559"/>
      <w:bookmarkEnd w:id="2560"/>
      <w:bookmarkEnd w:id="2561"/>
      <w:bookmarkEnd w:id="2562"/>
      <w:bookmarkEnd w:id="2563"/>
      <w:bookmarkEnd w:id="2564"/>
      <w:bookmarkEnd w:id="2565"/>
      <w:bookmarkEnd w:id="2566"/>
      <w:bookmarkEnd w:id="2567"/>
    </w:p>
    <w:p w14:paraId="4B390451">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中的约定对承包人进行履约评价。</w:t>
      </w:r>
    </w:p>
    <w:p w14:paraId="2347834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⑵本工程实行优质优价，发包人与承包人应在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中约定履约评价奖励及工程创优的奖励办法。</w:t>
      </w:r>
    </w:p>
    <w:p w14:paraId="1CF8ECA2">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568" w:name="_Toc34909125"/>
      <w:bookmarkStart w:id="2569" w:name="_Toc24166"/>
      <w:bookmarkStart w:id="2570" w:name="_Toc22119"/>
      <w:bookmarkStart w:id="2571" w:name="_Toc305331387"/>
      <w:bookmarkStart w:id="2572" w:name="_Toc7605"/>
      <w:bookmarkStart w:id="2573" w:name="_Toc35656999"/>
      <w:bookmarkStart w:id="2574" w:name="_Toc19887"/>
      <w:bookmarkStart w:id="2575" w:name="_Toc35656497"/>
      <w:bookmarkStart w:id="2576" w:name="_Toc302635884"/>
      <w:bookmarkStart w:id="2577" w:name="_Toc13528"/>
      <w:bookmarkStart w:id="2578" w:name="_Toc12009"/>
      <w:bookmarkStart w:id="2579" w:name="_Toc2027"/>
      <w:bookmarkStart w:id="2580" w:name="_Toc18912"/>
      <w:bookmarkStart w:id="2581" w:name="_Toc3816"/>
      <w:r>
        <w:rPr>
          <w:rFonts w:hint="eastAsia" w:ascii="华文细黑" w:hAnsi="宋体" w:eastAsia="宋体" w:cs="Times New Roman"/>
          <w:b/>
          <w:bCs/>
          <w:snapToGrid w:val="0"/>
          <w:color w:val="auto"/>
          <w:kern w:val="0"/>
          <w:sz w:val="28"/>
          <w:szCs w:val="44"/>
          <w:highlight w:val="none"/>
          <w:lang w:val="en-US" w:eastAsia="zh-CN" w:bidi="ar-SA"/>
        </w:rPr>
        <w:t>竣工结算</w:t>
      </w:r>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p>
    <w:p w14:paraId="02B903EA">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82" w:name="_Toc302635885"/>
      <w:bookmarkStart w:id="2583" w:name="_Toc19201"/>
      <w:bookmarkStart w:id="2584" w:name="_Toc27376"/>
      <w:bookmarkStart w:id="2585" w:name="_Toc24651"/>
      <w:bookmarkStart w:id="2586" w:name="_Toc24680"/>
      <w:bookmarkStart w:id="2587" w:name="_Toc14898"/>
      <w:bookmarkStart w:id="2588" w:name="_Toc305331388"/>
      <w:bookmarkStart w:id="2589" w:name="_Toc25370"/>
      <w:bookmarkStart w:id="2590" w:name="_Toc4270"/>
      <w:bookmarkStart w:id="2591" w:name="_Toc5066"/>
      <w:bookmarkStart w:id="2592" w:name="_Toc6528"/>
      <w:bookmarkStart w:id="2593" w:name="_Toc34909126"/>
      <w:r>
        <w:rPr>
          <w:rFonts w:hint="eastAsia" w:ascii="宋体" w:hAnsi="宋体" w:eastAsia="宋体" w:cs="Times New Roman"/>
          <w:b/>
          <w:bCs/>
          <w:color w:val="auto"/>
          <w:kern w:val="0"/>
          <w:sz w:val="24"/>
          <w:szCs w:val="24"/>
          <w:highlight w:val="none"/>
          <w:lang w:val="en-US" w:eastAsia="zh-CN" w:bidi="ar-SA"/>
        </w:rPr>
        <w:t>竣工结算书的编制和提交</w:t>
      </w:r>
      <w:bookmarkEnd w:id="2582"/>
      <w:bookmarkEnd w:id="2583"/>
      <w:bookmarkEnd w:id="2584"/>
      <w:bookmarkEnd w:id="2585"/>
      <w:bookmarkEnd w:id="2586"/>
      <w:bookmarkEnd w:id="2587"/>
      <w:bookmarkEnd w:id="2588"/>
      <w:bookmarkEnd w:id="2589"/>
      <w:bookmarkEnd w:id="2590"/>
      <w:bookmarkEnd w:id="2591"/>
      <w:bookmarkEnd w:id="2592"/>
    </w:p>
    <w:p w14:paraId="459C6FFE">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⑴承包人应按照第20.1款约定的签约合同价和第20.2款约定的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内容计算竣工结算价款，编制竣工结算书，并汇总竣工结算资料。竣工结算资料一般包括施工合同、工程竣工图纸及资料、双方确认的工程量、双方确认追加(减)的合同价格、双方确认的索赔和现场签证事项及价款、招标文件、投标文件、工程量清单报价单或施工图预算书等与竣工结算有关的资料。</w:t>
      </w:r>
    </w:p>
    <w:p w14:paraId="28BAC62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⑵工程竣工验收合格后，在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约定的时间内，承包人应向发包人提交竣工结算书及完整的结算资料</w:t>
      </w:r>
      <w:bookmarkEnd w:id="2593"/>
      <w:r>
        <w:rPr>
          <w:rFonts w:hint="eastAsia" w:ascii="宋体" w:hAnsi="宋体" w:eastAsia="宋体" w:cs="Times New Roman"/>
          <w:color w:val="auto"/>
          <w:kern w:val="0"/>
          <w:szCs w:val="24"/>
          <w:highlight w:val="none"/>
        </w:rPr>
        <w:t>。政府投资项目应按《深圳经济特区政府投资项目管理条例》等相关规定执行。</w:t>
      </w:r>
    </w:p>
    <w:p w14:paraId="673033C9">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94" w:name="_Toc2373"/>
      <w:bookmarkStart w:id="2595" w:name="_Toc18388"/>
      <w:bookmarkStart w:id="2596" w:name="_Toc26022"/>
      <w:bookmarkStart w:id="2597" w:name="_Toc19181"/>
      <w:bookmarkStart w:id="2598" w:name="_Toc4642"/>
      <w:bookmarkStart w:id="2599" w:name="_Toc27161"/>
      <w:bookmarkStart w:id="2600" w:name="_Toc15922"/>
      <w:bookmarkStart w:id="2601" w:name="_Toc302635886"/>
      <w:bookmarkStart w:id="2602" w:name="_Toc305331389"/>
      <w:bookmarkStart w:id="2603" w:name="_Toc10108"/>
      <w:bookmarkStart w:id="2604" w:name="_Toc16953"/>
      <w:bookmarkStart w:id="2605" w:name="_Toc34909127"/>
      <w:r>
        <w:rPr>
          <w:rFonts w:hint="eastAsia" w:ascii="宋体" w:hAnsi="宋体" w:eastAsia="宋体" w:cs="Times New Roman"/>
          <w:b/>
          <w:bCs/>
          <w:color w:val="auto"/>
          <w:kern w:val="0"/>
          <w:sz w:val="24"/>
          <w:szCs w:val="24"/>
          <w:highlight w:val="none"/>
          <w:lang w:val="en-US" w:eastAsia="zh-CN" w:bidi="ar-SA"/>
        </w:rPr>
        <w:t>竣工结算书的核对和修改</w:t>
      </w:r>
      <w:bookmarkEnd w:id="2594"/>
      <w:bookmarkEnd w:id="2595"/>
      <w:bookmarkEnd w:id="2596"/>
      <w:bookmarkEnd w:id="2597"/>
      <w:bookmarkEnd w:id="2598"/>
      <w:bookmarkEnd w:id="2599"/>
      <w:bookmarkEnd w:id="2600"/>
      <w:bookmarkEnd w:id="2601"/>
      <w:bookmarkEnd w:id="2602"/>
      <w:bookmarkEnd w:id="2603"/>
      <w:bookmarkEnd w:id="2604"/>
    </w:p>
    <w:p w14:paraId="62473271">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发包人在收到承包人提交的竣工结算书及结算资料后28天或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约定的时间内，应按合同的有关约定，依据结算资料，在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的协助下，对承包人提交的竣工结算书进行核对：</w:t>
      </w:r>
    </w:p>
    <w:p w14:paraId="5E80DD6F">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①认可承包人提交的竣工结算书，并确认工程竣工结算价款；或</w:t>
      </w:r>
    </w:p>
    <w:p w14:paraId="2A213834">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②提出核对意见或要求补充结算资料。</w:t>
      </w:r>
    </w:p>
    <w:p w14:paraId="64A3F139">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⑵承包人应在收到发包人提出的核对意见后14天或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约定的时间内，向发包人提交经修改的竣工结算书或补充结算资料。发包人应在收到后14天或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约定的时间内，进行核对，经与承包人协商达成一致意见后确认工程竣工结算价款。</w:t>
      </w:r>
      <w:bookmarkEnd w:id="2605"/>
    </w:p>
    <w:p w14:paraId="76629884">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⑶承包人在收到发包人提出的核对意见后，在合同约定的时间内，未提出异议或没有明确答复的，视为发包人的核对意见被承包人认可且接受，竣工结算至此办理完毕。</w:t>
      </w:r>
    </w:p>
    <w:p w14:paraId="7CE0063B">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06" w:name="_Toc305331390"/>
      <w:bookmarkStart w:id="2607" w:name="_Toc16499"/>
      <w:bookmarkStart w:id="2608" w:name="_Toc10905"/>
      <w:bookmarkStart w:id="2609" w:name="_Toc18188"/>
      <w:bookmarkStart w:id="2610" w:name="_Toc31584"/>
      <w:bookmarkStart w:id="2611" w:name="_Toc26171"/>
      <w:bookmarkStart w:id="2612" w:name="_Toc28166"/>
      <w:bookmarkStart w:id="2613" w:name="_Toc28749"/>
      <w:bookmarkStart w:id="2614" w:name="_Toc2816"/>
      <w:bookmarkStart w:id="2615" w:name="_Toc302635887"/>
      <w:bookmarkStart w:id="2616" w:name="_Toc7328"/>
      <w:r>
        <w:rPr>
          <w:rFonts w:hint="eastAsia" w:ascii="宋体" w:hAnsi="宋体" w:eastAsia="宋体" w:cs="Times New Roman"/>
          <w:b/>
          <w:bCs/>
          <w:color w:val="auto"/>
          <w:kern w:val="0"/>
          <w:sz w:val="24"/>
          <w:szCs w:val="24"/>
          <w:highlight w:val="none"/>
          <w:lang w:val="en-US" w:eastAsia="zh-CN" w:bidi="ar-SA"/>
        </w:rPr>
        <w:t>竣工结算书核对次数</w:t>
      </w:r>
      <w:bookmarkEnd w:id="2606"/>
      <w:bookmarkEnd w:id="2607"/>
      <w:bookmarkEnd w:id="2608"/>
      <w:bookmarkEnd w:id="2609"/>
      <w:bookmarkEnd w:id="2610"/>
      <w:bookmarkEnd w:id="2611"/>
      <w:bookmarkEnd w:id="2612"/>
      <w:bookmarkEnd w:id="2613"/>
      <w:bookmarkEnd w:id="2614"/>
      <w:bookmarkEnd w:id="2615"/>
      <w:bookmarkEnd w:id="2616"/>
    </w:p>
    <w:p w14:paraId="6B7F0D0C">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明确约定核对人及核对次数，发包人、承包人双方对竣工结算仅需核对一次，但承包人依据发包人提出的核对意见后修改重新提交核对的除外。本工程竣工结算核对完成，发包人、承包人双方签字确认后，发包人不应要求承包人与另一个或多个工程造价咨询机构重复核对发包人和承包人已确认的竣工结算。</w:t>
      </w:r>
    </w:p>
    <w:p w14:paraId="10724DF0">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⑵依据相关法律、法规、规章，要求使用国有资金和集体所有资金等投资建设工程的竣工结算需向政府指定机构提交审计或审核的，该审计或审核行为不视为第</w:t>
      </w:r>
      <w:r>
        <w:rPr>
          <w:rFonts w:hint="eastAsia" w:ascii="宋体" w:hAnsi="宋体" w:eastAsia="宋体" w:cs="Times New Roman"/>
          <w:color w:val="auto"/>
          <w:kern w:val="0"/>
          <w:szCs w:val="24"/>
          <w:highlight w:val="none"/>
          <w:lang w:val="en-US" w:eastAsia="zh-CN"/>
        </w:rPr>
        <w:t>28</w:t>
      </w:r>
      <w:r>
        <w:rPr>
          <w:rFonts w:hint="eastAsia" w:ascii="宋体" w:hAnsi="宋体" w:eastAsia="宋体" w:cs="Times New Roman"/>
          <w:color w:val="auto"/>
          <w:kern w:val="0"/>
          <w:szCs w:val="24"/>
          <w:highlight w:val="none"/>
        </w:rPr>
        <w:t>.3</w:t>
      </w: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款所述核对。</w:t>
      </w:r>
    </w:p>
    <w:p w14:paraId="74B8831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17" w:name="_Toc1737"/>
      <w:bookmarkStart w:id="2618" w:name="_Toc15348"/>
      <w:bookmarkStart w:id="2619" w:name="_Toc305331391"/>
      <w:bookmarkStart w:id="2620" w:name="_Toc31281"/>
      <w:bookmarkStart w:id="2621" w:name="_Toc28575"/>
      <w:bookmarkStart w:id="2622" w:name="_Toc13819"/>
      <w:bookmarkStart w:id="2623" w:name="_Toc24075"/>
      <w:bookmarkStart w:id="2624" w:name="_Toc302635888"/>
      <w:bookmarkStart w:id="2625" w:name="_Toc4708"/>
      <w:bookmarkStart w:id="2626" w:name="_Toc22546"/>
      <w:bookmarkStart w:id="2627" w:name="_Toc2972"/>
      <w:r>
        <w:rPr>
          <w:rFonts w:hint="eastAsia" w:ascii="宋体" w:hAnsi="宋体" w:eastAsia="宋体" w:cs="Times New Roman"/>
          <w:b/>
          <w:bCs/>
          <w:color w:val="auto"/>
          <w:kern w:val="0"/>
          <w:sz w:val="24"/>
          <w:szCs w:val="24"/>
          <w:highlight w:val="none"/>
          <w:lang w:val="en-US" w:eastAsia="zh-CN" w:bidi="ar-SA"/>
        </w:rPr>
        <w:t>承包人不提交竣工结算书</w:t>
      </w:r>
      <w:bookmarkEnd w:id="2617"/>
      <w:bookmarkEnd w:id="2618"/>
      <w:bookmarkEnd w:id="2619"/>
      <w:bookmarkEnd w:id="2620"/>
      <w:bookmarkEnd w:id="2621"/>
      <w:bookmarkEnd w:id="2622"/>
      <w:bookmarkEnd w:id="2623"/>
      <w:bookmarkEnd w:id="2624"/>
      <w:bookmarkEnd w:id="2625"/>
      <w:bookmarkEnd w:id="2626"/>
      <w:bookmarkEnd w:id="2627"/>
    </w:p>
    <w:p w14:paraId="686CD501">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在本合同约定期限内，承包人未提交竣工结算书及结算资料(包括经修改的竣工结算书或补充结算资料)，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应通知其要求提交，通知后14天内仍不提交的</w:t>
      </w:r>
      <w:r>
        <w:rPr>
          <w:rFonts w:ascii="宋体" w:hAnsi="宋体" w:eastAsia="宋体" w:cs="Times New Roman"/>
          <w:color w:val="auto"/>
          <w:kern w:val="0"/>
          <w:szCs w:val="24"/>
          <w:highlight w:val="none"/>
        </w:rPr>
        <w:t>或没有明确答复</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发包人可在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中约定按以下方式进行处理：</w:t>
      </w:r>
    </w:p>
    <w:p w14:paraId="2CEDBB03">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⑴依据已有资料进行审查、核实，并确定工程竣工结算价款，书面提交承包人，并以此作为竣工结算价款支付依据。若承包人不予接受的，按第3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条〔争议解决〕的约定处理。</w:t>
      </w:r>
    </w:p>
    <w:p w14:paraId="148F0491">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的约定对承包人进行处罚。</w:t>
      </w:r>
    </w:p>
    <w:p w14:paraId="421C480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28" w:name="_Toc18042"/>
      <w:bookmarkStart w:id="2629" w:name="_Toc24126"/>
      <w:bookmarkStart w:id="2630" w:name="_Toc24377"/>
      <w:bookmarkStart w:id="2631" w:name="_Toc13479"/>
      <w:bookmarkStart w:id="2632" w:name="_Toc302635889"/>
      <w:bookmarkStart w:id="2633" w:name="_Toc10400"/>
      <w:bookmarkStart w:id="2634" w:name="_Toc31298"/>
      <w:bookmarkStart w:id="2635" w:name="_Toc305331392"/>
      <w:bookmarkStart w:id="2636" w:name="_Toc30714"/>
      <w:bookmarkStart w:id="2637" w:name="_Toc22683"/>
      <w:bookmarkStart w:id="2638" w:name="_Toc1040"/>
      <w:r>
        <w:rPr>
          <w:rFonts w:hint="eastAsia" w:ascii="宋体" w:hAnsi="宋体" w:eastAsia="宋体" w:cs="Times New Roman"/>
          <w:b/>
          <w:bCs/>
          <w:color w:val="auto"/>
          <w:kern w:val="0"/>
          <w:sz w:val="24"/>
          <w:szCs w:val="24"/>
          <w:highlight w:val="none"/>
          <w:lang w:val="en-US" w:eastAsia="zh-CN" w:bidi="ar-SA"/>
        </w:rPr>
        <w:t>发包人逾期不结算</w:t>
      </w:r>
      <w:bookmarkEnd w:id="2628"/>
      <w:bookmarkEnd w:id="2629"/>
      <w:bookmarkEnd w:id="2630"/>
      <w:bookmarkEnd w:id="2631"/>
      <w:bookmarkEnd w:id="2632"/>
      <w:bookmarkEnd w:id="2633"/>
      <w:bookmarkEnd w:id="2634"/>
      <w:bookmarkEnd w:id="2635"/>
      <w:bookmarkEnd w:id="2636"/>
      <w:bookmarkEnd w:id="2637"/>
      <w:bookmarkEnd w:id="2638"/>
    </w:p>
    <w:p w14:paraId="5FBB9421">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收到竣工结算书及结算资料后，或在收到经修改的竣工结算书或补充结算资料后，在合同约定的时间内，既不认可承包人提交的竣工结算书(包括经修改的竣工结算书)，又不提出异议的，视同认可承包人提交的竣工结算书(包括经修改的竣工结算书)。承包人依此向发包人申请支付，发包人拒不支付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条〔争议解决〕的约定处理。</w:t>
      </w:r>
    </w:p>
    <w:p w14:paraId="00DD7A4C">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39" w:name="_Toc305331393"/>
      <w:bookmarkStart w:id="2640" w:name="_Toc7022"/>
      <w:bookmarkStart w:id="2641" w:name="_Toc302635890"/>
      <w:bookmarkStart w:id="2642" w:name="_Toc6433"/>
      <w:bookmarkStart w:id="2643" w:name="_Toc20740"/>
      <w:bookmarkStart w:id="2644" w:name="_Toc31033"/>
      <w:bookmarkStart w:id="2645" w:name="_Toc15591"/>
      <w:bookmarkStart w:id="2646" w:name="_Toc1062"/>
      <w:bookmarkStart w:id="2647" w:name="_Toc30792"/>
      <w:bookmarkStart w:id="2648" w:name="_Toc12474"/>
      <w:bookmarkStart w:id="2649" w:name="_Toc26070"/>
      <w:bookmarkStart w:id="2650" w:name="_Toc34909128"/>
      <w:r>
        <w:rPr>
          <w:rFonts w:hint="eastAsia" w:ascii="宋体" w:hAnsi="宋体" w:eastAsia="宋体" w:cs="Times New Roman"/>
          <w:b/>
          <w:bCs/>
          <w:color w:val="auto"/>
          <w:kern w:val="0"/>
          <w:sz w:val="24"/>
          <w:szCs w:val="24"/>
          <w:highlight w:val="none"/>
          <w:lang w:val="en-US" w:eastAsia="zh-CN" w:bidi="ar-SA"/>
        </w:rPr>
        <w:t>竣工结算</w:t>
      </w:r>
      <w:bookmarkEnd w:id="2639"/>
      <w:r>
        <w:rPr>
          <w:rFonts w:hint="eastAsia" w:ascii="宋体" w:hAnsi="宋体" w:eastAsia="宋体" w:cs="Times New Roman"/>
          <w:b/>
          <w:bCs/>
          <w:color w:val="auto"/>
          <w:kern w:val="0"/>
          <w:sz w:val="24"/>
          <w:szCs w:val="24"/>
          <w:highlight w:val="none"/>
          <w:lang w:val="en-US" w:eastAsia="zh-CN" w:bidi="ar-SA"/>
        </w:rPr>
        <w:t>审计或审核</w:t>
      </w:r>
      <w:bookmarkEnd w:id="2640"/>
      <w:bookmarkEnd w:id="2641"/>
      <w:bookmarkEnd w:id="2642"/>
      <w:bookmarkEnd w:id="2643"/>
      <w:bookmarkEnd w:id="2644"/>
      <w:bookmarkEnd w:id="2645"/>
      <w:bookmarkEnd w:id="2646"/>
      <w:bookmarkEnd w:id="2647"/>
      <w:bookmarkEnd w:id="2648"/>
      <w:bookmarkEnd w:id="2649"/>
    </w:p>
    <w:p w14:paraId="22B9077B">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⑴在发包人和承包人确认竣工结算价款后7天内，发包人应当将经发包人和承包人共同确认的竣工结算书按规定报政府指定机构审计或审核。在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约定的特殊情况下，发包人可启动强制结算机制，将其单方编制的结算文件送审计或审核。</w:t>
      </w:r>
    </w:p>
    <w:p w14:paraId="060C90E2">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本合同的任何</w:t>
      </w:r>
      <w:r>
        <w:rPr>
          <w:rFonts w:hint="eastAsia" w:ascii="宋体" w:hAnsi="宋体" w:eastAsia="宋体" w:cs="Times New Roman"/>
          <w:color w:val="auto"/>
          <w:kern w:val="0"/>
          <w:szCs w:val="24"/>
          <w:highlight w:val="none"/>
        </w:rPr>
        <w:t>工程</w:t>
      </w:r>
      <w:r>
        <w:rPr>
          <w:rFonts w:ascii="宋体" w:hAnsi="宋体" w:eastAsia="宋体" w:cs="Times New Roman"/>
          <w:color w:val="auto"/>
          <w:kern w:val="0"/>
          <w:szCs w:val="24"/>
          <w:highlight w:val="none"/>
        </w:rPr>
        <w:t>变更、索赔、</w:t>
      </w:r>
      <w:r>
        <w:rPr>
          <w:rFonts w:hint="eastAsia" w:ascii="宋体" w:hAnsi="宋体" w:eastAsia="宋体" w:cs="Times New Roman"/>
          <w:color w:val="auto"/>
          <w:kern w:val="0"/>
          <w:szCs w:val="24"/>
          <w:highlight w:val="none"/>
        </w:rPr>
        <w:t>签证</w:t>
      </w:r>
      <w:r>
        <w:rPr>
          <w:rFonts w:ascii="宋体" w:hAnsi="宋体" w:eastAsia="宋体" w:cs="Times New Roman"/>
          <w:color w:val="auto"/>
          <w:kern w:val="0"/>
          <w:szCs w:val="24"/>
          <w:highlight w:val="none"/>
        </w:rPr>
        <w:t>和竣工结算以及补充协议</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如果有</w:t>
      </w:r>
      <w:r>
        <w:rPr>
          <w:rFonts w:hint="eastAsia" w:ascii="宋体" w:hAnsi="宋体" w:eastAsia="宋体" w:cs="Times New Roman"/>
          <w:color w:val="auto"/>
          <w:kern w:val="0"/>
          <w:szCs w:val="24"/>
          <w:highlight w:val="none"/>
        </w:rPr>
        <w:t>)应按规定</w:t>
      </w:r>
      <w:r>
        <w:rPr>
          <w:rFonts w:ascii="宋体" w:hAnsi="宋体" w:eastAsia="宋体" w:cs="Times New Roman"/>
          <w:color w:val="auto"/>
          <w:kern w:val="0"/>
          <w:szCs w:val="24"/>
          <w:highlight w:val="none"/>
        </w:rPr>
        <w:t>经过</w:t>
      </w:r>
      <w:r>
        <w:rPr>
          <w:rFonts w:hint="eastAsia" w:ascii="宋体" w:hAnsi="宋体" w:eastAsia="宋体" w:cs="Times New Roman"/>
          <w:color w:val="auto"/>
          <w:kern w:val="0"/>
          <w:szCs w:val="24"/>
          <w:highlight w:val="none"/>
        </w:rPr>
        <w:t>政府指定机构</w:t>
      </w:r>
      <w:r>
        <w:rPr>
          <w:rFonts w:ascii="宋体" w:hAnsi="宋体" w:eastAsia="宋体" w:cs="Times New Roman"/>
          <w:color w:val="auto"/>
          <w:kern w:val="0"/>
          <w:szCs w:val="24"/>
          <w:highlight w:val="none"/>
        </w:rPr>
        <w:t>审</w:t>
      </w:r>
      <w:r>
        <w:rPr>
          <w:rFonts w:hint="eastAsia" w:ascii="宋体" w:hAnsi="宋体" w:eastAsia="宋体" w:cs="Times New Roman"/>
          <w:color w:val="auto"/>
          <w:kern w:val="0"/>
          <w:szCs w:val="24"/>
          <w:highlight w:val="none"/>
        </w:rPr>
        <w:t>计或审核</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最终的竣工结算和支付依据按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约定执行。</w:t>
      </w:r>
    </w:p>
    <w:p w14:paraId="1434463A">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⑶政府指定机构的</w:t>
      </w:r>
      <w:r>
        <w:rPr>
          <w:rFonts w:ascii="宋体" w:hAnsi="宋体" w:eastAsia="宋体" w:cs="Times New Roman"/>
          <w:color w:val="auto"/>
          <w:kern w:val="0"/>
          <w:szCs w:val="24"/>
          <w:highlight w:val="none"/>
        </w:rPr>
        <w:t>审</w:t>
      </w:r>
      <w:r>
        <w:rPr>
          <w:rFonts w:hint="eastAsia" w:ascii="宋体" w:hAnsi="宋体" w:eastAsia="宋体" w:cs="Times New Roman"/>
          <w:color w:val="auto"/>
          <w:kern w:val="0"/>
          <w:szCs w:val="24"/>
          <w:highlight w:val="none"/>
        </w:rPr>
        <w:t>计或审核</w:t>
      </w:r>
      <w:r>
        <w:rPr>
          <w:rFonts w:ascii="宋体" w:hAnsi="宋体" w:eastAsia="宋体" w:cs="Times New Roman"/>
          <w:color w:val="auto"/>
          <w:kern w:val="0"/>
          <w:szCs w:val="24"/>
          <w:highlight w:val="none"/>
        </w:rPr>
        <w:t>包括合同履行期间的过程审计</w:t>
      </w:r>
      <w:r>
        <w:rPr>
          <w:rFonts w:hint="eastAsia" w:ascii="宋体" w:hAnsi="宋体" w:eastAsia="宋体" w:cs="Times New Roman"/>
          <w:color w:val="auto"/>
          <w:kern w:val="0"/>
          <w:szCs w:val="24"/>
          <w:highlight w:val="none"/>
        </w:rPr>
        <w:t>或审核、工程完工后的</w:t>
      </w:r>
      <w:r>
        <w:rPr>
          <w:rFonts w:ascii="宋体" w:hAnsi="宋体" w:eastAsia="宋体" w:cs="Times New Roman"/>
          <w:color w:val="auto"/>
          <w:kern w:val="0"/>
          <w:szCs w:val="24"/>
          <w:highlight w:val="none"/>
        </w:rPr>
        <w:t>竣工结算审计</w:t>
      </w:r>
      <w:r>
        <w:rPr>
          <w:rFonts w:hint="eastAsia" w:ascii="宋体" w:hAnsi="宋体" w:eastAsia="宋体" w:cs="Times New Roman"/>
          <w:color w:val="auto"/>
          <w:kern w:val="0"/>
          <w:szCs w:val="24"/>
          <w:highlight w:val="none"/>
        </w:rPr>
        <w:t>或审核</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发包人和</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均</w:t>
      </w:r>
      <w:r>
        <w:rPr>
          <w:rFonts w:ascii="宋体" w:hAnsi="宋体" w:eastAsia="宋体" w:cs="Times New Roman"/>
          <w:color w:val="auto"/>
          <w:kern w:val="0"/>
          <w:szCs w:val="24"/>
          <w:highlight w:val="none"/>
        </w:rPr>
        <w:t>不得拒绝</w:t>
      </w:r>
      <w:r>
        <w:rPr>
          <w:rFonts w:hint="eastAsia" w:ascii="宋体" w:hAnsi="宋体" w:eastAsia="宋体" w:cs="Times New Roman"/>
          <w:color w:val="auto"/>
          <w:kern w:val="0"/>
          <w:szCs w:val="24"/>
          <w:highlight w:val="none"/>
        </w:rPr>
        <w:t>政府指定机构的任何监管</w:t>
      </w:r>
      <w:r>
        <w:rPr>
          <w:rFonts w:ascii="宋体" w:hAnsi="宋体" w:eastAsia="宋体" w:cs="Times New Roman"/>
          <w:color w:val="auto"/>
          <w:kern w:val="0"/>
          <w:szCs w:val="24"/>
          <w:highlight w:val="none"/>
        </w:rPr>
        <w:t>，必须充分配合</w:t>
      </w:r>
      <w:r>
        <w:rPr>
          <w:rFonts w:hint="eastAsia" w:ascii="宋体" w:hAnsi="宋体" w:eastAsia="宋体" w:cs="Times New Roman"/>
          <w:color w:val="auto"/>
          <w:kern w:val="0"/>
          <w:szCs w:val="24"/>
          <w:highlight w:val="none"/>
        </w:rPr>
        <w:t>审计或审核</w:t>
      </w:r>
      <w:r>
        <w:rPr>
          <w:rFonts w:ascii="宋体" w:hAnsi="宋体" w:eastAsia="宋体" w:cs="Times New Roman"/>
          <w:color w:val="auto"/>
          <w:kern w:val="0"/>
          <w:szCs w:val="24"/>
          <w:highlight w:val="none"/>
        </w:rPr>
        <w:t>，不得拖延。</w:t>
      </w:r>
    </w:p>
    <w:p w14:paraId="40A765F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51" w:name="_Toc30078"/>
      <w:bookmarkStart w:id="2652" w:name="_Toc29428"/>
      <w:bookmarkStart w:id="2653" w:name="_Toc24292"/>
      <w:bookmarkStart w:id="2654" w:name="_Toc14924"/>
      <w:bookmarkStart w:id="2655" w:name="_Toc2948"/>
      <w:bookmarkStart w:id="2656" w:name="_Toc305331394"/>
      <w:bookmarkStart w:id="2657" w:name="_Toc19090"/>
      <w:bookmarkStart w:id="2658" w:name="_Toc302635891"/>
      <w:bookmarkStart w:id="2659" w:name="_Toc31188"/>
      <w:bookmarkStart w:id="2660" w:name="_Toc7825"/>
      <w:bookmarkStart w:id="2661" w:name="_Toc23824"/>
      <w:r>
        <w:rPr>
          <w:rFonts w:hint="eastAsia" w:ascii="宋体" w:hAnsi="宋体" w:eastAsia="宋体" w:cs="Times New Roman"/>
          <w:b/>
          <w:bCs/>
          <w:color w:val="auto"/>
          <w:kern w:val="0"/>
          <w:sz w:val="24"/>
          <w:szCs w:val="24"/>
          <w:highlight w:val="none"/>
          <w:lang w:val="en-US" w:eastAsia="zh-CN" w:bidi="ar-SA"/>
        </w:rPr>
        <w:t>竣工结算支付</w:t>
      </w:r>
      <w:bookmarkEnd w:id="2651"/>
      <w:bookmarkEnd w:id="2652"/>
      <w:bookmarkEnd w:id="2653"/>
      <w:bookmarkEnd w:id="2654"/>
      <w:bookmarkEnd w:id="2655"/>
      <w:bookmarkEnd w:id="2656"/>
      <w:bookmarkEnd w:id="2657"/>
      <w:bookmarkEnd w:id="2658"/>
      <w:bookmarkEnd w:id="2659"/>
      <w:bookmarkEnd w:id="2660"/>
      <w:bookmarkEnd w:id="2661"/>
    </w:p>
    <w:p w14:paraId="49D36675">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⑴在按</w:t>
      </w:r>
      <w:r>
        <w:rPr>
          <w:rFonts w:hint="eastAsia" w:ascii="宋体" w:hAnsi="宋体" w:eastAsia="宋体" w:cs="Times New Roman"/>
          <w:color w:val="auto"/>
          <w:kern w:val="0"/>
          <w:szCs w:val="24"/>
          <w:highlight w:val="none"/>
          <w:lang w:val="en-US" w:eastAsia="zh-CN"/>
        </w:rPr>
        <w:t>28</w:t>
      </w:r>
      <w:r>
        <w:rPr>
          <w:rFonts w:hint="eastAsia" w:ascii="宋体" w:hAnsi="宋体" w:eastAsia="宋体" w:cs="Times New Roman"/>
          <w:color w:val="auto"/>
          <w:kern w:val="0"/>
          <w:szCs w:val="24"/>
          <w:highlight w:val="none"/>
        </w:rPr>
        <w:t>.6款竣工结算</w:t>
      </w:r>
      <w:r>
        <w:rPr>
          <w:rFonts w:ascii="宋体" w:hAnsi="宋体" w:eastAsia="宋体" w:cs="Times New Roman"/>
          <w:color w:val="auto"/>
          <w:kern w:val="0"/>
          <w:szCs w:val="24"/>
          <w:highlight w:val="none"/>
        </w:rPr>
        <w:t>审计</w:t>
      </w:r>
      <w:r>
        <w:rPr>
          <w:rFonts w:hint="eastAsia" w:ascii="宋体" w:hAnsi="宋体" w:eastAsia="宋体" w:cs="Times New Roman"/>
          <w:color w:val="auto"/>
          <w:kern w:val="0"/>
          <w:szCs w:val="24"/>
          <w:highlight w:val="none"/>
        </w:rPr>
        <w:t>或审核完毕后7天内，</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应签发竣工支付证书，报发包人批准后送交承包人。竣工支付证书中应载明</w:t>
      </w:r>
      <w:bookmarkEnd w:id="2650"/>
      <w:r>
        <w:rPr>
          <w:rFonts w:hint="eastAsia" w:ascii="宋体" w:hAnsi="宋体" w:eastAsia="宋体" w:cs="Times New Roman"/>
          <w:color w:val="auto"/>
          <w:kern w:val="0"/>
          <w:szCs w:val="24"/>
          <w:highlight w:val="none"/>
        </w:rPr>
        <w:t>按照经确认的工程竣工结算价款及根据合同约定最后应支付给承包人的价款。</w:t>
      </w:r>
    </w:p>
    <w:p w14:paraId="79A884D4">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2662" w:name="_Toc34909129"/>
      <w:r>
        <w:rPr>
          <w:rFonts w:hint="eastAsia" w:ascii="宋体" w:hAnsi="宋体" w:eastAsia="宋体" w:cs="Times New Roman"/>
          <w:color w:val="auto"/>
          <w:kern w:val="0"/>
          <w:szCs w:val="24"/>
          <w:highlight w:val="none"/>
        </w:rPr>
        <w:t>⑵发包人应在确认竣工支付证书后14天内向承包人支付除按本合同附件《工程质量保修书》约定扣留的质量保证金以外的本工程竣工结算价款。</w:t>
      </w:r>
      <w:bookmarkEnd w:id="2662"/>
    </w:p>
    <w:p w14:paraId="17A2273A">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2663" w:name="_Toc34909130"/>
      <w:r>
        <w:rPr>
          <w:rFonts w:hint="eastAsia" w:ascii="宋体" w:hAnsi="宋体" w:eastAsia="宋体" w:cs="Times New Roman"/>
          <w:color w:val="auto"/>
          <w:kern w:val="0"/>
          <w:szCs w:val="24"/>
          <w:highlight w:val="none"/>
        </w:rPr>
        <w:t>⑶发包人在确认竣工结算价款后14天内无正当理由不支付工程竣工结算价款，从第15天起按同期银行贷款利率支付拖欠工程价款的贷款利息，并承担第</w:t>
      </w:r>
      <w:r>
        <w:rPr>
          <w:rFonts w:hint="eastAsia" w:ascii="宋体" w:hAnsi="宋体" w:eastAsia="宋体" w:cs="Times New Roman"/>
          <w:color w:val="auto"/>
          <w:kern w:val="0"/>
          <w:szCs w:val="24"/>
          <w:highlight w:val="none"/>
          <w:lang w:val="en-US" w:eastAsia="zh-CN"/>
        </w:rPr>
        <w:t>29</w:t>
      </w:r>
      <w:r>
        <w:rPr>
          <w:rFonts w:hint="eastAsia" w:ascii="宋体" w:hAnsi="宋体" w:eastAsia="宋体" w:cs="Times New Roman"/>
          <w:color w:val="auto"/>
          <w:kern w:val="0"/>
          <w:szCs w:val="24"/>
          <w:highlight w:val="none"/>
        </w:rPr>
        <w:t>.1⑵项约定的违约责任。承包人可以催告发包人支付结算价款，如双方达成延期支付协议，发包人应按同期银行贷款利率支付拖欠工程价款的利息。如双方未达成延期支付协议，发包人在收到催告后14天内仍不支付的，承包人可以对留置的标的物进行处理；或者向保证人提出支付担保索赔；或者与发包人协议将该工程折价或拍卖，承包人就该工程折价或拍卖的价款优先受偿。</w:t>
      </w:r>
      <w:bookmarkEnd w:id="2663"/>
    </w:p>
    <w:p w14:paraId="0BFFD707">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bookmarkStart w:id="2664" w:name="_Toc34909131"/>
      <w:r>
        <w:rPr>
          <w:rFonts w:hint="eastAsia" w:ascii="宋体" w:hAnsi="宋体" w:eastAsia="宋体" w:cs="Times New Roman"/>
          <w:color w:val="auto"/>
          <w:kern w:val="0"/>
          <w:szCs w:val="24"/>
          <w:highlight w:val="none"/>
        </w:rPr>
        <w:t>⑷有关本工程竣工结算的文件的编制和审核均须经注册造价工程师签字盖章确认。</w:t>
      </w:r>
      <w:bookmarkEnd w:id="2664"/>
    </w:p>
    <w:p w14:paraId="7A069E27">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665" w:name="_Toc16615"/>
      <w:bookmarkStart w:id="2666" w:name="_Toc4037"/>
      <w:bookmarkStart w:id="2667" w:name="_Toc23235"/>
      <w:bookmarkStart w:id="2668" w:name="_Toc13392"/>
      <w:bookmarkStart w:id="2669" w:name="_Toc1116"/>
      <w:bookmarkStart w:id="2670" w:name="_Toc26569"/>
      <w:bookmarkStart w:id="2671" w:name="_Toc26264"/>
      <w:bookmarkStart w:id="2672" w:name="_Toc12480"/>
      <w:bookmarkStart w:id="2673" w:name="_Toc7801"/>
      <w:bookmarkStart w:id="2674" w:name="_Toc302635892"/>
      <w:r>
        <w:rPr>
          <w:rFonts w:hint="eastAsia" w:ascii="宋体" w:hAnsi="宋体" w:eastAsia="宋体" w:cs="Times New Roman"/>
          <w:b/>
          <w:bCs/>
          <w:color w:val="auto"/>
          <w:kern w:val="0"/>
          <w:sz w:val="24"/>
          <w:szCs w:val="24"/>
          <w:highlight w:val="none"/>
          <w:lang w:val="en-US" w:eastAsia="zh-CN" w:bidi="ar-SA"/>
        </w:rPr>
        <w:t>最终结清申请</w:t>
      </w:r>
      <w:bookmarkEnd w:id="2665"/>
      <w:bookmarkEnd w:id="2666"/>
      <w:bookmarkEnd w:id="2667"/>
      <w:bookmarkEnd w:id="2668"/>
      <w:bookmarkEnd w:id="2669"/>
      <w:bookmarkEnd w:id="2670"/>
      <w:bookmarkEnd w:id="2671"/>
      <w:bookmarkEnd w:id="2672"/>
      <w:bookmarkEnd w:id="2673"/>
      <w:bookmarkEnd w:id="2674"/>
    </w:p>
    <w:p w14:paraId="7B76333A">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另有约定外，承包人应在缺陷责任期终止证书颁发后7天内，按</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约定的份数向发包人提交最终结清申请单，并提供相关证明材料。</w:t>
      </w:r>
    </w:p>
    <w:p w14:paraId="6AB397CF">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另有约定外，最终结清申请单应列明质量保证金、应扣除的质量保证金、缺陷责任期内发生的增减费用。</w:t>
      </w:r>
    </w:p>
    <w:p w14:paraId="6E3BABAE">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发包人对最终结清申请单内容有异议的，有权要求承包人进行修正和提供补充资料，承包人应向发包人提交修正后的最终结清申请单。</w:t>
      </w:r>
    </w:p>
    <w:p w14:paraId="2C5600B3">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75" w:name="_Toc23353"/>
      <w:bookmarkStart w:id="2676" w:name="_Toc15552"/>
      <w:bookmarkStart w:id="2677" w:name="_Toc10470"/>
      <w:bookmarkStart w:id="2678" w:name="_Toc17357"/>
      <w:bookmarkStart w:id="2679" w:name="_Toc64"/>
      <w:bookmarkStart w:id="2680" w:name="_Toc15770"/>
      <w:bookmarkStart w:id="2681" w:name="_Toc302635893"/>
      <w:bookmarkStart w:id="2682" w:name="_Toc7895"/>
      <w:bookmarkStart w:id="2683" w:name="_Toc87"/>
      <w:bookmarkStart w:id="2684" w:name="_Toc17601"/>
      <w:r>
        <w:rPr>
          <w:rFonts w:ascii="宋体" w:hAnsi="宋体" w:eastAsia="宋体" w:cs="Times New Roman"/>
          <w:b/>
          <w:bCs/>
          <w:color w:val="auto"/>
          <w:kern w:val="0"/>
          <w:sz w:val="24"/>
          <w:szCs w:val="24"/>
          <w:highlight w:val="none"/>
          <w:lang w:val="en-US" w:eastAsia="zh-CN" w:bidi="ar-SA"/>
        </w:rPr>
        <w:t>最终结清证书和支付</w:t>
      </w:r>
      <w:bookmarkEnd w:id="2675"/>
      <w:bookmarkEnd w:id="2676"/>
      <w:bookmarkEnd w:id="2677"/>
      <w:bookmarkEnd w:id="2678"/>
      <w:bookmarkEnd w:id="2679"/>
      <w:bookmarkEnd w:id="2680"/>
      <w:bookmarkEnd w:id="2681"/>
      <w:bookmarkEnd w:id="2682"/>
      <w:bookmarkEnd w:id="2683"/>
      <w:bookmarkEnd w:id="2684"/>
    </w:p>
    <w:p w14:paraId="048D1E47">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另有约定外，发包人应在收到承包人提交的最终结清申请单后14天内完成审批并向承包人颁发最终结清证书。发包人逾期未完成</w:t>
      </w:r>
      <w:r>
        <w:rPr>
          <w:rFonts w:hint="eastAsia" w:ascii="宋体" w:hAnsi="宋体" w:eastAsia="宋体" w:cs="Times New Roman"/>
          <w:color w:val="auto"/>
          <w:kern w:val="0"/>
          <w:szCs w:val="24"/>
          <w:highlight w:val="none"/>
        </w:rPr>
        <w:t>审批</w:t>
      </w:r>
      <w:r>
        <w:rPr>
          <w:rFonts w:ascii="宋体" w:hAnsi="宋体" w:eastAsia="宋体" w:cs="Times New Roman"/>
          <w:color w:val="auto"/>
          <w:kern w:val="0"/>
          <w:szCs w:val="24"/>
          <w:highlight w:val="none"/>
        </w:rPr>
        <w:t>，又未提出修改意见的，视为发包人同意承包人提交的最终结清申请单，且自发包人收到承包人提交的最终结清申请单后15天起视为已颁发最终结清证书。</w:t>
      </w:r>
    </w:p>
    <w:p w14:paraId="0F26E069">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0B09691">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承包人对发包人颁发的最终结清证书有异议的，按第</w:t>
      </w:r>
      <w:r>
        <w:rPr>
          <w:rFonts w:hint="eastAsia" w:ascii="宋体" w:hAnsi="宋体" w:eastAsia="宋体" w:cs="Times New Roman"/>
          <w:color w:val="auto"/>
          <w:kern w:val="0"/>
          <w:szCs w:val="24"/>
          <w:highlight w:val="none"/>
        </w:rPr>
        <w:t>3</w:t>
      </w:r>
      <w:r>
        <w:rPr>
          <w:rFonts w:hint="eastAsia" w:ascii="宋体" w:hAnsi="宋体" w:eastAsia="宋体" w:cs="Times New Roman"/>
          <w:color w:val="auto"/>
          <w:kern w:val="0"/>
          <w:szCs w:val="24"/>
          <w:highlight w:val="none"/>
          <w:lang w:val="en-US" w:eastAsia="zh-CN"/>
        </w:rPr>
        <w:t>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的约定办理。</w:t>
      </w:r>
    </w:p>
    <w:p w14:paraId="3FE1F409">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685" w:name="_Toc5884"/>
      <w:bookmarkStart w:id="2686" w:name="_Toc305331395"/>
      <w:bookmarkStart w:id="2687" w:name="_Toc9489"/>
      <w:bookmarkStart w:id="2688" w:name="_Toc15767"/>
      <w:bookmarkStart w:id="2689" w:name="_Toc23598"/>
      <w:bookmarkStart w:id="2690" w:name="_Toc302635894"/>
      <w:bookmarkStart w:id="2691" w:name="_Toc34909133"/>
      <w:bookmarkStart w:id="2692" w:name="_Toc3208"/>
      <w:bookmarkStart w:id="2693" w:name="_Toc18480"/>
      <w:bookmarkStart w:id="2694" w:name="_Toc29195"/>
      <w:bookmarkStart w:id="2695" w:name="_Toc35656499"/>
      <w:bookmarkStart w:id="2696" w:name="_Toc35657001"/>
      <w:bookmarkStart w:id="2697" w:name="_Toc31612"/>
      <w:bookmarkStart w:id="2698" w:name="_Toc4508"/>
      <w:r>
        <w:rPr>
          <w:rFonts w:hint="eastAsia" w:ascii="华文细黑" w:hAnsi="宋体" w:eastAsia="宋体" w:cs="Times New Roman"/>
          <w:b/>
          <w:bCs/>
          <w:snapToGrid w:val="0"/>
          <w:color w:val="auto"/>
          <w:kern w:val="0"/>
          <w:sz w:val="28"/>
          <w:szCs w:val="44"/>
          <w:highlight w:val="none"/>
          <w:lang w:val="en-US" w:eastAsia="zh-CN" w:bidi="ar-SA"/>
        </w:rPr>
        <w:t>违约</w:t>
      </w:r>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p>
    <w:p w14:paraId="623C49D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99" w:name="_Toc31104"/>
      <w:bookmarkStart w:id="2700" w:name="_Toc6441"/>
      <w:bookmarkStart w:id="2701" w:name="_Toc3581"/>
      <w:bookmarkStart w:id="2702" w:name="_Toc302635895"/>
      <w:bookmarkStart w:id="2703" w:name="_Toc26178"/>
      <w:bookmarkStart w:id="2704" w:name="_Toc19233"/>
      <w:bookmarkStart w:id="2705" w:name="_Toc24172"/>
      <w:bookmarkStart w:id="2706" w:name="_Toc24982"/>
      <w:bookmarkStart w:id="2707" w:name="_Toc8106"/>
      <w:bookmarkStart w:id="2708" w:name="_Toc14264"/>
      <w:bookmarkStart w:id="2709" w:name="_Toc305331396"/>
      <w:bookmarkStart w:id="2710" w:name="_Toc34909134"/>
      <w:r>
        <w:rPr>
          <w:rFonts w:hint="eastAsia" w:ascii="宋体" w:hAnsi="宋体" w:eastAsia="宋体" w:cs="Times New Roman"/>
          <w:b/>
          <w:bCs/>
          <w:color w:val="auto"/>
          <w:kern w:val="0"/>
          <w:sz w:val="24"/>
          <w:szCs w:val="24"/>
          <w:highlight w:val="none"/>
          <w:lang w:val="en-US" w:eastAsia="zh-CN" w:bidi="ar-SA"/>
        </w:rPr>
        <w:t>发包人违约</w:t>
      </w:r>
      <w:bookmarkEnd w:id="2699"/>
      <w:bookmarkEnd w:id="2700"/>
      <w:bookmarkEnd w:id="2701"/>
      <w:bookmarkEnd w:id="2702"/>
      <w:bookmarkEnd w:id="2703"/>
      <w:bookmarkEnd w:id="2704"/>
      <w:bookmarkEnd w:id="2705"/>
      <w:bookmarkEnd w:id="2706"/>
      <w:bookmarkEnd w:id="2707"/>
      <w:bookmarkEnd w:id="2708"/>
      <w:bookmarkEnd w:id="2709"/>
    </w:p>
    <w:p w14:paraId="07F63E42">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发包人不履行合同义务或不按合同约定履行义务，应承担违约责任，赔偿因其违约给承包人造成的损失，顺延延误的工期。当发生下列情况时，发包人应根据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w:t>
      </w:r>
      <w:bookmarkEnd w:id="2710"/>
      <w:r>
        <w:rPr>
          <w:rFonts w:hint="eastAsia" w:ascii="宋体" w:hAnsi="宋体" w:eastAsia="宋体" w:cs="Times New Roman"/>
          <w:color w:val="auto"/>
          <w:kern w:val="0"/>
          <w:szCs w:val="24"/>
          <w:highlight w:val="none"/>
        </w:rPr>
        <w:t>承担违约责任。</w:t>
      </w:r>
    </w:p>
    <w:p w14:paraId="02C641C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因发包人原因未能在计划开工日期前7天内下达开工通知的；</w:t>
      </w:r>
    </w:p>
    <w:p w14:paraId="38D08562">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⑵发包人不按时支付工程预付款、工程进度款、工程过程结算款、工程竣工结算款；</w:t>
      </w:r>
    </w:p>
    <w:p w14:paraId="5B2CF4F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发包人提供的材料、工程设备的规格、数量或质量不符合合同约定，或因发包人原因导致交货日期延误或交货地点变更等情况的；</w:t>
      </w:r>
    </w:p>
    <w:p w14:paraId="7B8F45E3">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因发包人违反合同约定造成暂停施工的；</w:t>
      </w:r>
    </w:p>
    <w:p w14:paraId="2641C8A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t>发包人无正当理由没有在约定期限内发出复工指示，导致承包人无法复工的；</w:t>
      </w:r>
    </w:p>
    <w:p w14:paraId="6BDEA1A2">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发包人明确表示或者以其行为表明不履行合同主要义务的；</w:t>
      </w:r>
    </w:p>
    <w:p w14:paraId="23F403A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t>发包人未能按照合同约定履行其他义务的。</w:t>
      </w:r>
    </w:p>
    <w:p w14:paraId="12BA0BC8">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11" w:name="_Toc21602"/>
      <w:bookmarkStart w:id="2712" w:name="_Toc18340"/>
      <w:bookmarkStart w:id="2713" w:name="_Toc19452"/>
      <w:bookmarkStart w:id="2714" w:name="_Toc302635896"/>
      <w:bookmarkStart w:id="2715" w:name="_Toc16861"/>
      <w:bookmarkStart w:id="2716" w:name="_Toc305331397"/>
      <w:bookmarkStart w:id="2717" w:name="_Toc10595"/>
      <w:bookmarkStart w:id="2718" w:name="_Toc4885"/>
      <w:bookmarkStart w:id="2719" w:name="_Toc13493"/>
      <w:bookmarkStart w:id="2720" w:name="_Toc1066"/>
      <w:bookmarkStart w:id="2721" w:name="_Toc20183"/>
      <w:bookmarkStart w:id="2722" w:name="_Toc34909135"/>
      <w:r>
        <w:rPr>
          <w:rFonts w:hint="eastAsia" w:ascii="宋体" w:hAnsi="宋体" w:eastAsia="宋体" w:cs="Times New Roman"/>
          <w:b/>
          <w:bCs/>
          <w:color w:val="auto"/>
          <w:kern w:val="0"/>
          <w:sz w:val="24"/>
          <w:szCs w:val="24"/>
          <w:highlight w:val="none"/>
          <w:lang w:val="en-US" w:eastAsia="zh-CN" w:bidi="ar-SA"/>
        </w:rPr>
        <w:t>承包人违约</w:t>
      </w:r>
      <w:bookmarkEnd w:id="2711"/>
      <w:bookmarkEnd w:id="2712"/>
      <w:bookmarkEnd w:id="2713"/>
      <w:bookmarkEnd w:id="2714"/>
      <w:bookmarkEnd w:id="2715"/>
      <w:bookmarkEnd w:id="2716"/>
      <w:bookmarkEnd w:id="2717"/>
      <w:bookmarkEnd w:id="2718"/>
      <w:bookmarkEnd w:id="2719"/>
      <w:bookmarkEnd w:id="2720"/>
      <w:bookmarkEnd w:id="2721"/>
    </w:p>
    <w:p w14:paraId="14B14AEE">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承包人不履行合同义务或不按合同约定履行义务，应承担违约责任，赔偿因其违约给发包人造成的损失。当发生下列情况时，承包人应根据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w:t>
      </w:r>
      <w:bookmarkEnd w:id="2722"/>
      <w:r>
        <w:rPr>
          <w:rFonts w:hint="eastAsia" w:ascii="宋体" w:hAnsi="宋体" w:eastAsia="宋体" w:cs="Times New Roman"/>
          <w:color w:val="auto"/>
          <w:kern w:val="0"/>
          <w:szCs w:val="24"/>
          <w:highlight w:val="none"/>
        </w:rPr>
        <w:t>承担违约责任。</w:t>
      </w:r>
    </w:p>
    <w:p w14:paraId="50D2E146">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bCs/>
          <w:color w:val="auto"/>
          <w:szCs w:val="24"/>
          <w:highlight w:val="none"/>
        </w:rPr>
        <w:t>承包人违反合同约定进行转包或违法分包的；</w:t>
      </w:r>
    </w:p>
    <w:p w14:paraId="1F282DA0">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bCs/>
          <w:color w:val="auto"/>
          <w:szCs w:val="24"/>
          <w:highlight w:val="none"/>
        </w:rPr>
        <w:t>承包人违反合同约定采购和使用不合格的材料和工程设备的；</w:t>
      </w:r>
    </w:p>
    <w:p w14:paraId="53689100">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bCs/>
          <w:color w:val="auto"/>
          <w:szCs w:val="24"/>
          <w:highlight w:val="none"/>
        </w:rPr>
        <w:t xml:space="preserve">因承包人原因导致工程质量不符合合同要求的； </w:t>
      </w:r>
    </w:p>
    <w:p w14:paraId="774B4F7A">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bCs/>
          <w:color w:val="auto"/>
          <w:szCs w:val="24"/>
          <w:highlight w:val="none"/>
        </w:rPr>
        <w:t>承包人未经批准，私自将已按照合同约定进入施工现场的材料或设备撤离施工现场的；</w:t>
      </w:r>
    </w:p>
    <w:p w14:paraId="4E62B5E0">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⑸</w:t>
      </w:r>
      <w:r>
        <w:rPr>
          <w:rFonts w:ascii="宋体" w:hAnsi="宋体" w:eastAsia="宋体" w:cs="Times New Roman"/>
          <w:bCs/>
          <w:color w:val="auto"/>
          <w:szCs w:val="24"/>
          <w:highlight w:val="none"/>
        </w:rPr>
        <w:t>承包人未能按施工进度计划及时完成合同约定的工作，造成工期延误的；</w:t>
      </w:r>
    </w:p>
    <w:p w14:paraId="086CFAC9">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bCs/>
          <w:color w:val="auto"/>
          <w:szCs w:val="24"/>
          <w:highlight w:val="none"/>
        </w:rPr>
        <w:t>承包人在缺陷责任期及保修期内，未能在合理期限对工程缺陷进行修复，或拒绝按发包人要求进行修复的；</w:t>
      </w:r>
    </w:p>
    <w:p w14:paraId="774FFAAB">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⑺</w:t>
      </w:r>
      <w:r>
        <w:rPr>
          <w:rFonts w:hint="eastAsia" w:ascii="宋体" w:hAnsi="宋体" w:eastAsia="宋体" w:cs="Times New Roman"/>
          <w:bCs/>
          <w:color w:val="auto"/>
          <w:szCs w:val="24"/>
          <w:highlight w:val="none"/>
        </w:rPr>
        <w:t>因承包人原因导致BIM实施应用不符合合同要求的；</w:t>
      </w:r>
    </w:p>
    <w:p w14:paraId="2ABBE594">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⑻</w:t>
      </w:r>
      <w:r>
        <w:rPr>
          <w:rFonts w:ascii="宋体" w:hAnsi="宋体" w:eastAsia="宋体" w:cs="Times New Roman"/>
          <w:bCs/>
          <w:color w:val="auto"/>
          <w:szCs w:val="24"/>
          <w:highlight w:val="none"/>
        </w:rPr>
        <w:t>承包人明确表示或者以其行为表明不履行合同主要义务的；</w:t>
      </w:r>
    </w:p>
    <w:p w14:paraId="7CBCB4FE">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lang w:val="en-US" w:eastAsia="zh-CN"/>
        </w:rPr>
        <w:t>⑼</w:t>
      </w:r>
      <w:r>
        <w:rPr>
          <w:rFonts w:hint="eastAsia" w:ascii="宋体" w:hAnsi="宋体" w:eastAsia="宋体" w:cs="Times New Roman"/>
          <w:color w:val="auto"/>
          <w:kern w:val="0"/>
          <w:szCs w:val="24"/>
          <w:highlight w:val="none"/>
        </w:rPr>
        <w:t>承</w:t>
      </w:r>
      <w:r>
        <w:rPr>
          <w:rFonts w:ascii="宋体" w:hAnsi="宋体" w:eastAsia="宋体" w:cs="Times New Roman"/>
          <w:bCs/>
          <w:color w:val="auto"/>
          <w:szCs w:val="24"/>
          <w:highlight w:val="none"/>
        </w:rPr>
        <w:t>包人未能按照合同约定履行其他义务的。</w:t>
      </w:r>
    </w:p>
    <w:p w14:paraId="5EBE4B5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723" w:name="_Toc302635897"/>
      <w:bookmarkStart w:id="2724" w:name="_Toc32013"/>
      <w:bookmarkStart w:id="2725" w:name="_Toc1953"/>
      <w:bookmarkStart w:id="2726" w:name="_Toc31560"/>
      <w:bookmarkStart w:id="2727" w:name="_Toc26136"/>
      <w:bookmarkStart w:id="2728" w:name="_Toc7582"/>
      <w:bookmarkStart w:id="2729" w:name="_Toc19827"/>
      <w:bookmarkStart w:id="2730" w:name="_Toc11539"/>
      <w:bookmarkStart w:id="2731" w:name="_Toc15711"/>
      <w:bookmarkStart w:id="2732" w:name="_Toc9661"/>
      <w:r>
        <w:rPr>
          <w:rFonts w:ascii="宋体" w:hAnsi="宋体" w:eastAsia="宋体" w:cs="Times New Roman"/>
          <w:b/>
          <w:bCs/>
          <w:color w:val="auto"/>
          <w:kern w:val="0"/>
          <w:sz w:val="24"/>
          <w:szCs w:val="24"/>
          <w:highlight w:val="none"/>
          <w:lang w:val="en-US" w:eastAsia="zh-CN" w:bidi="ar-SA"/>
        </w:rPr>
        <w:t>第三人造成的违约</w:t>
      </w:r>
      <w:bookmarkEnd w:id="2723"/>
      <w:bookmarkEnd w:id="2724"/>
      <w:bookmarkEnd w:id="2725"/>
      <w:bookmarkEnd w:id="2726"/>
      <w:bookmarkEnd w:id="2727"/>
      <w:bookmarkEnd w:id="2728"/>
      <w:bookmarkEnd w:id="2729"/>
      <w:bookmarkEnd w:id="2730"/>
      <w:bookmarkEnd w:id="2731"/>
      <w:bookmarkEnd w:id="2732"/>
    </w:p>
    <w:p w14:paraId="7C0732E9">
      <w:pPr>
        <w:tabs>
          <w:tab w:val="left" w:pos="1620"/>
          <w:tab w:val="left" w:pos="2340"/>
        </w:tabs>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在履行合同过程中，</w:t>
      </w:r>
      <w:r>
        <w:rPr>
          <w:rFonts w:hint="eastAsia" w:ascii="宋体" w:hAnsi="宋体" w:eastAsia="宋体" w:cs="Times New Roman"/>
          <w:color w:val="auto"/>
          <w:kern w:val="0"/>
          <w:szCs w:val="24"/>
          <w:highlight w:val="none"/>
        </w:rPr>
        <w:t>发包人或承包人</w:t>
      </w:r>
      <w:r>
        <w:rPr>
          <w:rFonts w:ascii="宋体" w:hAnsi="宋体" w:eastAsia="宋体" w:cs="Times New Roman"/>
          <w:color w:val="auto"/>
          <w:kern w:val="0"/>
          <w:szCs w:val="24"/>
          <w:highlight w:val="none"/>
        </w:rPr>
        <w:t>一方因第三人的原因造成违约的，应当向对方承担违约责任。</w:t>
      </w:r>
      <w:r>
        <w:rPr>
          <w:rFonts w:hint="eastAsia" w:ascii="宋体" w:hAnsi="宋体" w:eastAsia="宋体" w:cs="Times New Roman"/>
          <w:color w:val="auto"/>
          <w:kern w:val="0"/>
          <w:szCs w:val="24"/>
          <w:highlight w:val="none"/>
        </w:rPr>
        <w:t>发包人或承包人</w:t>
      </w:r>
      <w:r>
        <w:rPr>
          <w:rFonts w:ascii="宋体" w:hAnsi="宋体" w:eastAsia="宋体" w:cs="Times New Roman"/>
          <w:color w:val="auto"/>
          <w:kern w:val="0"/>
          <w:szCs w:val="24"/>
          <w:highlight w:val="none"/>
        </w:rPr>
        <w:t>一方和第三人之间的纠纷，依照</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法律规定解决。</w:t>
      </w:r>
    </w:p>
    <w:p w14:paraId="245F9EF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733" w:name="_Toc30110"/>
      <w:bookmarkStart w:id="2734" w:name="_Toc3028"/>
      <w:bookmarkStart w:id="2735" w:name="_Toc305331398"/>
      <w:bookmarkStart w:id="2736" w:name="_Toc32266"/>
      <w:bookmarkStart w:id="2737" w:name="_Toc302635898"/>
      <w:bookmarkStart w:id="2738" w:name="_Toc23628"/>
      <w:bookmarkStart w:id="2739" w:name="_Toc13592"/>
      <w:bookmarkStart w:id="2740" w:name="_Toc27110"/>
      <w:bookmarkStart w:id="2741" w:name="_Toc21587"/>
      <w:bookmarkStart w:id="2742" w:name="_Toc18139"/>
      <w:bookmarkStart w:id="2743" w:name="_Toc7467"/>
      <w:bookmarkStart w:id="2744" w:name="_Toc34909136"/>
      <w:r>
        <w:rPr>
          <w:rFonts w:hint="eastAsia" w:ascii="宋体" w:hAnsi="宋体" w:eastAsia="宋体" w:cs="Times New Roman"/>
          <w:b/>
          <w:bCs/>
          <w:color w:val="auto"/>
          <w:kern w:val="0"/>
          <w:sz w:val="24"/>
          <w:szCs w:val="24"/>
          <w:highlight w:val="none"/>
          <w:lang w:val="en-US" w:eastAsia="zh-CN" w:bidi="ar-SA"/>
        </w:rPr>
        <w:t>继续履行合同</w:t>
      </w:r>
      <w:bookmarkEnd w:id="2733"/>
      <w:bookmarkEnd w:id="2734"/>
      <w:bookmarkEnd w:id="2735"/>
      <w:bookmarkEnd w:id="2736"/>
      <w:bookmarkEnd w:id="2737"/>
      <w:bookmarkEnd w:id="2738"/>
      <w:bookmarkEnd w:id="2739"/>
      <w:bookmarkEnd w:id="2740"/>
      <w:bookmarkEnd w:id="2741"/>
      <w:bookmarkEnd w:id="2742"/>
      <w:bookmarkEnd w:id="2743"/>
    </w:p>
    <w:p w14:paraId="1658B03B">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除非另有约定，发包人和承包人一方违约后，另一方要求违约方继续履行本合同时，违约方承担上述违约责任后仍应继续履行合同。</w:t>
      </w:r>
      <w:bookmarkEnd w:id="2744"/>
    </w:p>
    <w:p w14:paraId="0BB97614">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745" w:name="_Toc889"/>
      <w:bookmarkStart w:id="2746" w:name="_Toc24588"/>
      <w:bookmarkStart w:id="2747" w:name="_Toc24373"/>
      <w:bookmarkStart w:id="2748" w:name="_Toc28847"/>
      <w:bookmarkStart w:id="2749" w:name="_Toc12904"/>
      <w:bookmarkStart w:id="2750" w:name="_Toc35657002"/>
      <w:bookmarkStart w:id="2751" w:name="_Toc4373"/>
      <w:bookmarkStart w:id="2752" w:name="_Toc23961"/>
      <w:bookmarkStart w:id="2753" w:name="_Toc27701"/>
      <w:bookmarkStart w:id="2754" w:name="_Toc35656500"/>
      <w:bookmarkStart w:id="2755" w:name="_Toc12590"/>
      <w:bookmarkStart w:id="2756" w:name="_Toc305331399"/>
      <w:bookmarkStart w:id="2757" w:name="_Toc302635899"/>
      <w:bookmarkStart w:id="2758" w:name="_Toc34909137"/>
      <w:r>
        <w:rPr>
          <w:rFonts w:hint="eastAsia" w:ascii="华文细黑" w:hAnsi="宋体" w:eastAsia="宋体" w:cs="Times New Roman"/>
          <w:b/>
          <w:bCs/>
          <w:snapToGrid w:val="0"/>
          <w:color w:val="auto"/>
          <w:kern w:val="0"/>
          <w:sz w:val="28"/>
          <w:szCs w:val="44"/>
          <w:highlight w:val="none"/>
          <w:lang w:val="en-US" w:eastAsia="zh-CN" w:bidi="ar-SA"/>
        </w:rPr>
        <w:t>索赔</w:t>
      </w:r>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p>
    <w:p w14:paraId="7BDFD81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759" w:name="_Toc18688"/>
      <w:bookmarkStart w:id="2760" w:name="_Toc21655"/>
      <w:bookmarkStart w:id="2761" w:name="_Toc8622"/>
      <w:bookmarkStart w:id="2762" w:name="_Toc302635900"/>
      <w:bookmarkStart w:id="2763" w:name="_Toc8583"/>
      <w:bookmarkStart w:id="2764" w:name="_Toc20832"/>
      <w:bookmarkStart w:id="2765" w:name="_Toc25846"/>
      <w:bookmarkStart w:id="2766" w:name="_Toc6315"/>
      <w:bookmarkStart w:id="2767" w:name="_Toc305331400"/>
      <w:bookmarkStart w:id="2768" w:name="_Toc16622"/>
      <w:bookmarkStart w:id="2769" w:name="_Toc19435"/>
      <w:bookmarkStart w:id="2770" w:name="_Toc34909138"/>
      <w:r>
        <w:rPr>
          <w:rFonts w:hint="eastAsia" w:ascii="宋体" w:hAnsi="宋体" w:eastAsia="宋体" w:cs="Times New Roman"/>
          <w:b/>
          <w:bCs/>
          <w:color w:val="auto"/>
          <w:kern w:val="0"/>
          <w:sz w:val="24"/>
          <w:szCs w:val="24"/>
          <w:highlight w:val="none"/>
          <w:lang w:val="en-US" w:eastAsia="zh-CN" w:bidi="ar-SA"/>
        </w:rPr>
        <w:t>索赔理由与记录</w:t>
      </w:r>
      <w:bookmarkEnd w:id="2759"/>
      <w:bookmarkEnd w:id="2760"/>
      <w:bookmarkEnd w:id="2761"/>
      <w:bookmarkEnd w:id="2762"/>
      <w:bookmarkEnd w:id="2763"/>
      <w:bookmarkEnd w:id="2764"/>
      <w:bookmarkEnd w:id="2765"/>
      <w:bookmarkEnd w:id="2766"/>
      <w:bookmarkEnd w:id="2767"/>
      <w:bookmarkEnd w:id="2768"/>
      <w:bookmarkEnd w:id="2769"/>
    </w:p>
    <w:p w14:paraId="4BDA18B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⑴发包人和承包人双方中，</w:t>
      </w:r>
      <w:bookmarkEnd w:id="2770"/>
      <w:r>
        <w:rPr>
          <w:rFonts w:hint="eastAsia" w:ascii="宋体" w:hAnsi="宋体" w:eastAsia="宋体" w:cs="Times New Roman"/>
          <w:color w:val="auto"/>
          <w:kern w:val="0"/>
          <w:szCs w:val="24"/>
          <w:highlight w:val="none"/>
        </w:rPr>
        <w:t>当一方向另一方提出索赔时，要有合理的索赔理由，且有其要求索赔的事件发生时的有效证据。</w:t>
      </w:r>
    </w:p>
    <w:p w14:paraId="17C25CA4">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771" w:name="_Toc34909139"/>
      <w:r>
        <w:rPr>
          <w:rFonts w:hint="eastAsia" w:ascii="宋体" w:hAnsi="宋体" w:eastAsia="宋体" w:cs="Times New Roman"/>
          <w:color w:val="auto"/>
          <w:kern w:val="0"/>
          <w:szCs w:val="24"/>
          <w:highlight w:val="none"/>
        </w:rPr>
        <w:t>⑵提出索赔的一方在其要求索赔的事件发生时，应保存好必要的记录，以便证明提出的索赔，并应允许另一方或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查阅全部记录。</w:t>
      </w:r>
      <w:bookmarkEnd w:id="2771"/>
    </w:p>
    <w:p w14:paraId="40D33676">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72" w:name="_Toc302635901"/>
      <w:bookmarkStart w:id="2773" w:name="_Toc27999"/>
      <w:bookmarkStart w:id="2774" w:name="_Toc28788"/>
      <w:bookmarkStart w:id="2775" w:name="_Toc12255"/>
      <w:bookmarkStart w:id="2776" w:name="_Toc17604"/>
      <w:bookmarkStart w:id="2777" w:name="_Toc32382"/>
      <w:bookmarkStart w:id="2778" w:name="_Toc1445"/>
      <w:bookmarkStart w:id="2779" w:name="_Toc26105"/>
      <w:bookmarkStart w:id="2780" w:name="_Toc7383"/>
      <w:bookmarkStart w:id="2781" w:name="_Toc17525"/>
      <w:bookmarkStart w:id="2782" w:name="_Toc305331401"/>
      <w:bookmarkStart w:id="2783" w:name="_Toc34909140"/>
      <w:r>
        <w:rPr>
          <w:rFonts w:hint="eastAsia" w:ascii="宋体" w:hAnsi="宋体" w:eastAsia="宋体" w:cs="Times New Roman"/>
          <w:b/>
          <w:bCs/>
          <w:color w:val="auto"/>
          <w:kern w:val="0"/>
          <w:sz w:val="24"/>
          <w:szCs w:val="24"/>
          <w:highlight w:val="none"/>
          <w:lang w:val="en-US" w:eastAsia="zh-CN" w:bidi="ar-SA"/>
        </w:rPr>
        <w:t>索赔</w:t>
      </w:r>
      <w:bookmarkEnd w:id="2772"/>
      <w:r>
        <w:rPr>
          <w:rFonts w:hint="eastAsia" w:ascii="宋体" w:hAnsi="宋体" w:eastAsia="宋体" w:cs="Times New Roman"/>
          <w:b/>
          <w:bCs/>
          <w:color w:val="auto"/>
          <w:kern w:val="0"/>
          <w:sz w:val="24"/>
          <w:szCs w:val="24"/>
          <w:highlight w:val="none"/>
          <w:lang w:val="en-US" w:eastAsia="zh-CN" w:bidi="ar-SA"/>
        </w:rPr>
        <w:t>内容</w:t>
      </w:r>
      <w:bookmarkEnd w:id="2773"/>
      <w:bookmarkEnd w:id="2774"/>
      <w:bookmarkEnd w:id="2775"/>
      <w:bookmarkEnd w:id="2776"/>
      <w:bookmarkEnd w:id="2777"/>
      <w:bookmarkEnd w:id="2778"/>
      <w:bookmarkEnd w:id="2779"/>
      <w:bookmarkEnd w:id="2780"/>
      <w:bookmarkEnd w:id="2781"/>
    </w:p>
    <w:p w14:paraId="03D178C0">
      <w:pPr>
        <w:tabs>
          <w:tab w:val="left" w:pos="1620"/>
          <w:tab w:val="left" w:pos="2340"/>
        </w:tabs>
        <w:spacing w:before="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⑴发包人提出索赔时，可选择下列一项或几项方式获得赔偿：</w:t>
      </w:r>
    </w:p>
    <w:p w14:paraId="69D70D38">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①延长质量缺陷修复期限；</w:t>
      </w:r>
    </w:p>
    <w:p w14:paraId="1A872F19">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②要求承包人支付实际发生的额外费用；</w:t>
      </w:r>
    </w:p>
    <w:p w14:paraId="383EC26E">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③要求承包人支付合同约定的违约金。</w:t>
      </w:r>
    </w:p>
    <w:p w14:paraId="28C43E41">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⑵承包人提出索赔时，可选择下列一项或几项方式获得赔偿：</w:t>
      </w:r>
    </w:p>
    <w:p w14:paraId="6FC41433">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①延长工期；</w:t>
      </w:r>
    </w:p>
    <w:p w14:paraId="6DF5FF76">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②要求发包人支付实际发生的额外费用；</w:t>
      </w:r>
    </w:p>
    <w:p w14:paraId="437376F0">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 xml:space="preserve">③要求发包人支付合理的预期利润； </w:t>
      </w:r>
    </w:p>
    <w:p w14:paraId="06F666B0">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④要求发包人支付合同约定的违约金。</w:t>
      </w:r>
    </w:p>
    <w:bookmarkEnd w:id="2782"/>
    <w:bookmarkEnd w:id="2783"/>
    <w:p w14:paraId="0F7F0E19">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84" w:name="_Toc19272"/>
      <w:bookmarkStart w:id="2785" w:name="_Toc25068"/>
      <w:bookmarkStart w:id="2786" w:name="_Toc10680"/>
      <w:bookmarkStart w:id="2787" w:name="_Toc19755"/>
      <w:bookmarkStart w:id="2788" w:name="_Toc12670"/>
      <w:bookmarkStart w:id="2789" w:name="_Toc21238"/>
      <w:bookmarkStart w:id="2790" w:name="_Toc28345"/>
      <w:bookmarkStart w:id="2791" w:name="_Toc6147"/>
      <w:bookmarkStart w:id="2792" w:name="_Toc29730"/>
      <w:bookmarkStart w:id="2793" w:name="_Toc305331402"/>
      <w:bookmarkStart w:id="2794" w:name="_Toc302635903"/>
      <w:bookmarkStart w:id="2795" w:name="_Toc34909143"/>
      <w:bookmarkStart w:id="2796" w:name="_Toc34909142"/>
      <w:r>
        <w:rPr>
          <w:rFonts w:hint="eastAsia" w:ascii="宋体" w:hAnsi="宋体" w:eastAsia="宋体" w:cs="Times New Roman"/>
          <w:b/>
          <w:bCs/>
          <w:color w:val="auto"/>
          <w:kern w:val="0"/>
          <w:sz w:val="24"/>
          <w:szCs w:val="24"/>
          <w:highlight w:val="none"/>
          <w:lang w:val="en-US" w:eastAsia="zh-CN" w:bidi="ar-SA"/>
        </w:rPr>
        <w:t>发包人索赔情形</w:t>
      </w:r>
      <w:bookmarkEnd w:id="2784"/>
      <w:bookmarkEnd w:id="2785"/>
      <w:bookmarkEnd w:id="2786"/>
      <w:bookmarkEnd w:id="2787"/>
      <w:bookmarkEnd w:id="2788"/>
      <w:bookmarkEnd w:id="2789"/>
      <w:bookmarkEnd w:id="2790"/>
      <w:bookmarkEnd w:id="2791"/>
      <w:bookmarkEnd w:id="2792"/>
    </w:p>
    <w:p w14:paraId="723072DF">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在施工合同履行过程中发生下列情形之一的，发包人可向承包人提出索赔：</w:t>
      </w:r>
    </w:p>
    <w:p w14:paraId="4B8E4833">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⑴承包人使用的设备和材料不符合合同规定，或施工质量不符合施工技术规程的要求；</w:t>
      </w:r>
    </w:p>
    <w:p w14:paraId="3BA3744D">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⑵由于承包人原因导致工期延误；</w:t>
      </w:r>
    </w:p>
    <w:p w14:paraId="18DCCC7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⑶工程竣工验收合格后，因承包人原因导致的缺陷或损坏致使工程、单位工程或某项主要设备不能按原定目的使用；</w:t>
      </w:r>
    </w:p>
    <w:p w14:paraId="7F4BC74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中约定的其他情形。</w:t>
      </w:r>
    </w:p>
    <w:p w14:paraId="38E11D65">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97" w:name="_Toc29520"/>
      <w:bookmarkStart w:id="2798" w:name="_Toc9212"/>
      <w:bookmarkStart w:id="2799" w:name="_Toc14619"/>
      <w:bookmarkStart w:id="2800" w:name="_Toc14798"/>
      <w:bookmarkStart w:id="2801" w:name="_Toc26818"/>
      <w:bookmarkStart w:id="2802" w:name="_Toc3632"/>
      <w:bookmarkStart w:id="2803" w:name="_Toc1910"/>
      <w:bookmarkStart w:id="2804" w:name="_Toc15495"/>
      <w:bookmarkStart w:id="2805" w:name="_Toc17536"/>
      <w:r>
        <w:rPr>
          <w:rFonts w:hint="eastAsia" w:ascii="宋体" w:hAnsi="宋体" w:eastAsia="宋体" w:cs="Times New Roman"/>
          <w:b/>
          <w:bCs/>
          <w:color w:val="auto"/>
          <w:kern w:val="0"/>
          <w:sz w:val="24"/>
          <w:szCs w:val="24"/>
          <w:highlight w:val="none"/>
          <w:lang w:val="en-US" w:eastAsia="zh-CN" w:bidi="ar-SA"/>
        </w:rPr>
        <w:t>发包人索赔程序</w:t>
      </w:r>
      <w:bookmarkEnd w:id="2793"/>
      <w:bookmarkEnd w:id="2794"/>
      <w:bookmarkEnd w:id="2797"/>
      <w:bookmarkEnd w:id="2798"/>
      <w:bookmarkEnd w:id="2799"/>
      <w:bookmarkEnd w:id="2800"/>
      <w:bookmarkEnd w:id="2801"/>
      <w:bookmarkEnd w:id="2802"/>
      <w:bookmarkEnd w:id="2803"/>
      <w:bookmarkEnd w:id="2804"/>
      <w:bookmarkEnd w:id="2805"/>
    </w:p>
    <w:p w14:paraId="6DE80EC1">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承包人未能按合同约定履行义务、发生错误以及应由承包人承担责任的其他情况，给发包人造成损失的，发包人可按下列程序向承包人提出索赔</w:t>
      </w:r>
      <w:bookmarkEnd w:id="2795"/>
      <w:r>
        <w:rPr>
          <w:rFonts w:hint="eastAsia" w:ascii="宋体" w:hAnsi="宋体" w:eastAsia="宋体" w:cs="Times New Roman"/>
          <w:color w:val="auto"/>
          <w:kern w:val="0"/>
          <w:szCs w:val="24"/>
          <w:highlight w:val="none"/>
        </w:rPr>
        <w:t>：</w:t>
      </w:r>
    </w:p>
    <w:p w14:paraId="21B2EC7C">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⑴索赔的事件发生后28天内，向承包人提出索赔意向通知。逾期不提出的，视为放弃索赔；</w:t>
      </w:r>
    </w:p>
    <w:p w14:paraId="64408041">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⑵在提出索赔意向通知后28天内，向承包人提出赔偿损失的索赔报告及有关资料；</w:t>
      </w:r>
    </w:p>
    <w:p w14:paraId="394DD96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⑶承包人在收到发包人提交的索赔报告和有关资料后，于28天内给予答复，或要求发包人进一步补充索赔理由和证据；</w:t>
      </w:r>
    </w:p>
    <w:p w14:paraId="7C23D515">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⑷承包人在收到发包人提交的索赔报告和有关资料后28天内未予答复或未对发包人作进一步要求，视为该项索赔已被认可；</w:t>
      </w:r>
    </w:p>
    <w:p w14:paraId="57FB7F95">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当索赔事件持续进行时，发包人应阶段性向承包人提出索赔意向通知，在该事件终了后28天内，向承包人提交索赔的有关资料和最终索赔报告。索赔答复程序与第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.6⑶、⑷项约定相同。</w:t>
      </w:r>
    </w:p>
    <w:p w14:paraId="790D2B0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承包人接受索赔处理结果的，发包人可从应支付给承包人的合同价款中扣除赔付的金额或延长缺陷责任期；发包人不接受索赔处理结果的，按第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约定处理。</w:t>
      </w:r>
    </w:p>
    <w:p w14:paraId="29E9ACD9">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06" w:name="_Toc30962"/>
      <w:bookmarkStart w:id="2807" w:name="_Toc10454"/>
      <w:bookmarkStart w:id="2808" w:name="_Toc25888"/>
      <w:bookmarkStart w:id="2809" w:name="_Toc28071"/>
      <w:bookmarkStart w:id="2810" w:name="_Toc28579"/>
      <w:bookmarkStart w:id="2811" w:name="_Toc21230"/>
      <w:bookmarkStart w:id="2812" w:name="_Toc13045"/>
      <w:bookmarkStart w:id="2813" w:name="_Toc25087"/>
      <w:bookmarkStart w:id="2814" w:name="_Toc23060"/>
      <w:bookmarkStart w:id="2815" w:name="_Toc302635902"/>
      <w:bookmarkStart w:id="2816" w:name="_Toc302635904"/>
      <w:bookmarkStart w:id="2817" w:name="_Toc305331403"/>
      <w:r>
        <w:rPr>
          <w:rFonts w:hint="eastAsia" w:ascii="宋体" w:hAnsi="宋体" w:eastAsia="宋体" w:cs="Times New Roman"/>
          <w:b/>
          <w:bCs/>
          <w:color w:val="auto"/>
          <w:kern w:val="0"/>
          <w:sz w:val="24"/>
          <w:szCs w:val="24"/>
          <w:highlight w:val="none"/>
          <w:lang w:val="en-US" w:eastAsia="zh-CN" w:bidi="ar-SA"/>
        </w:rPr>
        <w:t>承包人索赔情形</w:t>
      </w:r>
      <w:bookmarkEnd w:id="2806"/>
      <w:bookmarkEnd w:id="2807"/>
      <w:bookmarkEnd w:id="2808"/>
      <w:bookmarkEnd w:id="2809"/>
      <w:bookmarkEnd w:id="2810"/>
      <w:bookmarkEnd w:id="2811"/>
      <w:bookmarkEnd w:id="2812"/>
      <w:bookmarkEnd w:id="2813"/>
      <w:bookmarkEnd w:id="2814"/>
    </w:p>
    <w:p w14:paraId="5C4E1748">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在施工合同履行过程中发生下列情形之一的，承包人可向发包人提出索赔：</w:t>
      </w:r>
    </w:p>
    <w:p w14:paraId="1B0F1DD5">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1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发包人未能按合同约定提供图纸或所提供图纸不符合合同约定的；</w:t>
      </w:r>
    </w:p>
    <w:p w14:paraId="7971F016">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2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发包人未能按合同约定提供施工现场、施工条件、基础资料、许可、批准等开工条件的；</w:t>
      </w:r>
    </w:p>
    <w:p w14:paraId="5D2E26CB">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3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发包人提供的测量基准点、基准线和水准点及其书面资料存在错误或疏漏的；</w:t>
      </w:r>
    </w:p>
    <w:p w14:paraId="401C9A85">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发包人未能在计划开工日期之日起7天内同意下达开工通知的；</w:t>
      </w:r>
    </w:p>
    <w:p w14:paraId="0EB3B0E6">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发包人未能按合同约定日期支付工程预付款、进度款</w:t>
      </w:r>
      <w:r>
        <w:rPr>
          <w:rFonts w:hint="eastAsia" w:ascii="宋体" w:hAnsi="宋体" w:eastAsia="宋体" w:cs="Times New Roman"/>
          <w:color w:val="auto"/>
          <w:kern w:val="0"/>
          <w:szCs w:val="24"/>
          <w:highlight w:val="none"/>
          <w:lang w:eastAsia="zh-CN"/>
        </w:rPr>
        <w:t>、过程结算</w:t>
      </w:r>
      <w:r>
        <w:rPr>
          <w:rFonts w:ascii="宋体" w:hAnsi="宋体" w:eastAsia="宋体" w:cs="Times New Roman"/>
          <w:color w:val="auto"/>
          <w:kern w:val="0"/>
          <w:szCs w:val="24"/>
          <w:highlight w:val="none"/>
        </w:rPr>
        <w:t>或竣工结算款的；</w:t>
      </w:r>
    </w:p>
    <w:p w14:paraId="5E91E623">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6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监理单位未按合同约定发出指示、批准等文件的；</w:t>
      </w:r>
    </w:p>
    <w:p w14:paraId="6809C87C">
      <w:pPr>
        <w:tabs>
          <w:tab w:val="left" w:pos="1620"/>
          <w:tab w:val="left" w:pos="2340"/>
        </w:tabs>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7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fldChar w:fldCharType="end"/>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中约定的其他情形。</w:t>
      </w:r>
    </w:p>
    <w:p w14:paraId="5068F30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818" w:name="_Toc30253"/>
      <w:bookmarkStart w:id="2819" w:name="_Toc10675"/>
      <w:bookmarkStart w:id="2820" w:name="_Toc5138"/>
      <w:bookmarkStart w:id="2821" w:name="_Toc32440"/>
      <w:bookmarkStart w:id="2822" w:name="_Toc10015"/>
      <w:bookmarkStart w:id="2823" w:name="_Toc24471"/>
      <w:bookmarkStart w:id="2824" w:name="_Toc27386"/>
      <w:bookmarkStart w:id="2825" w:name="_Toc3178"/>
      <w:bookmarkStart w:id="2826" w:name="_Toc25103"/>
      <w:r>
        <w:rPr>
          <w:rFonts w:hint="eastAsia" w:ascii="宋体" w:hAnsi="宋体" w:eastAsia="宋体" w:cs="Times New Roman"/>
          <w:b/>
          <w:bCs/>
          <w:color w:val="auto"/>
          <w:kern w:val="0"/>
          <w:sz w:val="24"/>
          <w:szCs w:val="24"/>
          <w:highlight w:val="none"/>
          <w:lang w:val="en-US" w:eastAsia="zh-CN" w:bidi="ar-SA"/>
        </w:rPr>
        <w:t>承包人索赔程序</w:t>
      </w:r>
      <w:bookmarkEnd w:id="2815"/>
      <w:bookmarkEnd w:id="2818"/>
      <w:bookmarkEnd w:id="2819"/>
      <w:bookmarkEnd w:id="2820"/>
      <w:bookmarkEnd w:id="2821"/>
      <w:bookmarkEnd w:id="2822"/>
      <w:bookmarkEnd w:id="2823"/>
      <w:bookmarkEnd w:id="2824"/>
      <w:bookmarkEnd w:id="2825"/>
      <w:bookmarkEnd w:id="2826"/>
    </w:p>
    <w:p w14:paraId="1C067306">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发包人未能按合同约定履行义务、发生错误以及应由发包人承担责任的其他情况，给承包人造成损失和(或)导致工期延误的，承包人可按下列程序向发包人提出索赔：</w:t>
      </w:r>
    </w:p>
    <w:p w14:paraId="2D942B40">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⑴索赔的事件发生后28天内，向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提出索赔意向通知。逾期不提出的，视为放弃索赔；</w:t>
      </w:r>
    </w:p>
    <w:p w14:paraId="4A7310B4">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⑵在提出索赔意向通知后28天内，向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提交赔偿损失和(或)延长工期的索赔报告及有关资料；</w:t>
      </w:r>
    </w:p>
    <w:p w14:paraId="5A8BDEE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在收到承包人提交的索赔报告和有关资料后，于28天内给予答复，或要求承包人进一步补充索赔理由和证据；</w:t>
      </w:r>
    </w:p>
    <w:p w14:paraId="0E92CEED">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在收到承包人提交的索赔报告和有关资料后28天内未予答复或未对承包人作进一步要求，视为该项索赔已被认可；</w:t>
      </w:r>
    </w:p>
    <w:p w14:paraId="77DBA94E">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当索赔事件持续进行时，承包人应阶段性向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提出索赔意向通知，在该事件终了后28天内，向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提交索赔的有关资料和最终索赔报告。索赔答复程序与第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.4⑶、⑷项的约定相同。</w:t>
      </w:r>
    </w:p>
    <w:p w14:paraId="0EC05EB8">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承包人接受索赔处理结果的，索赔款项在当期进度款中进行支付；承包人不接受索赔处理结果的，按照第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约定处理。</w:t>
      </w:r>
    </w:p>
    <w:p w14:paraId="538A01E2">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27" w:name="_Toc3929"/>
      <w:bookmarkStart w:id="2828" w:name="_Toc15006"/>
      <w:bookmarkStart w:id="2829" w:name="_Toc17462"/>
      <w:bookmarkStart w:id="2830" w:name="_Toc17327"/>
      <w:bookmarkStart w:id="2831" w:name="_Toc8718"/>
      <w:bookmarkStart w:id="2832" w:name="_Toc30918"/>
      <w:bookmarkStart w:id="2833" w:name="_Toc23133"/>
      <w:bookmarkStart w:id="2834" w:name="_Toc3843"/>
      <w:bookmarkStart w:id="2835" w:name="_Toc30400"/>
      <w:r>
        <w:rPr>
          <w:rFonts w:hint="eastAsia" w:ascii="宋体" w:hAnsi="宋体" w:eastAsia="宋体" w:cs="Times New Roman"/>
          <w:b/>
          <w:bCs/>
          <w:color w:val="auto"/>
          <w:kern w:val="0"/>
          <w:sz w:val="24"/>
          <w:szCs w:val="24"/>
          <w:highlight w:val="none"/>
          <w:lang w:val="en-US" w:eastAsia="zh-CN" w:bidi="ar-SA"/>
        </w:rPr>
        <w:t>提出索赔的期限</w:t>
      </w:r>
      <w:bookmarkEnd w:id="2816"/>
      <w:bookmarkEnd w:id="2827"/>
      <w:bookmarkEnd w:id="2828"/>
      <w:bookmarkEnd w:id="2829"/>
      <w:bookmarkEnd w:id="2830"/>
      <w:bookmarkEnd w:id="2831"/>
      <w:bookmarkEnd w:id="2832"/>
      <w:bookmarkEnd w:id="2833"/>
      <w:bookmarkEnd w:id="2834"/>
      <w:bookmarkEnd w:id="2835"/>
    </w:p>
    <w:p w14:paraId="71DC656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承包人按第</w:t>
      </w:r>
      <w:r>
        <w:rPr>
          <w:rFonts w:hint="eastAsia" w:ascii="宋体" w:hAnsi="宋体" w:eastAsia="宋体" w:cs="Times New Roman"/>
          <w:color w:val="auto"/>
          <w:kern w:val="0"/>
          <w:szCs w:val="24"/>
          <w:highlight w:val="none"/>
          <w:lang w:val="en-US" w:eastAsia="zh-CN"/>
        </w:rPr>
        <w:t>28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7</w:t>
      </w:r>
      <w:r>
        <w:rPr>
          <w:rFonts w:ascii="宋体" w:hAnsi="宋体" w:eastAsia="宋体" w:cs="Times New Roman"/>
          <w:color w:val="auto"/>
          <w:kern w:val="0"/>
          <w:szCs w:val="24"/>
          <w:highlight w:val="none"/>
        </w:rPr>
        <w:t>款</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竣工结算</w:t>
      </w:r>
      <w:r>
        <w:rPr>
          <w:rFonts w:hint="eastAsia" w:ascii="宋体" w:hAnsi="宋体" w:eastAsia="宋体" w:cs="Times New Roman"/>
          <w:color w:val="auto"/>
          <w:kern w:val="0"/>
          <w:szCs w:val="24"/>
          <w:highlight w:val="none"/>
        </w:rPr>
        <w:t>支付〕</w:t>
      </w:r>
      <w:r>
        <w:rPr>
          <w:rFonts w:ascii="宋体" w:hAnsi="宋体" w:eastAsia="宋体" w:cs="Times New Roman"/>
          <w:color w:val="auto"/>
          <w:kern w:val="0"/>
          <w:szCs w:val="24"/>
          <w:highlight w:val="none"/>
        </w:rPr>
        <w:t>约定接收竣工</w:t>
      </w:r>
      <w:r>
        <w:rPr>
          <w:rFonts w:hint="eastAsia" w:ascii="宋体" w:hAnsi="宋体" w:eastAsia="宋体" w:cs="Times New Roman"/>
          <w:color w:val="auto"/>
          <w:kern w:val="0"/>
          <w:szCs w:val="24"/>
          <w:highlight w:val="none"/>
        </w:rPr>
        <w:t>支付</w:t>
      </w:r>
      <w:r>
        <w:rPr>
          <w:rFonts w:ascii="宋体" w:hAnsi="宋体" w:eastAsia="宋体" w:cs="Times New Roman"/>
          <w:color w:val="auto"/>
          <w:kern w:val="0"/>
          <w:szCs w:val="24"/>
          <w:highlight w:val="none"/>
        </w:rPr>
        <w:t>证书后，应被视为已无权再提出在工程接收证书颁发前所发生的任何索赔。</w:t>
      </w:r>
    </w:p>
    <w:p w14:paraId="38EC43C2">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承包人按第</w:t>
      </w:r>
      <w:r>
        <w:rPr>
          <w:rFonts w:hint="eastAsia" w:ascii="宋体" w:hAnsi="宋体" w:eastAsia="宋体" w:cs="Times New Roman"/>
          <w:color w:val="auto"/>
          <w:kern w:val="0"/>
          <w:szCs w:val="24"/>
          <w:highlight w:val="none"/>
          <w:lang w:val="en-US" w:eastAsia="zh-CN"/>
        </w:rPr>
        <w:t>28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8</w:t>
      </w:r>
      <w:r>
        <w:rPr>
          <w:rFonts w:ascii="宋体" w:hAnsi="宋体" w:eastAsia="宋体" w:cs="Times New Roman"/>
          <w:color w:val="auto"/>
          <w:kern w:val="0"/>
          <w:szCs w:val="24"/>
          <w:highlight w:val="none"/>
        </w:rPr>
        <w:t>款</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最终结清</w:t>
      </w:r>
      <w:r>
        <w:rPr>
          <w:rFonts w:hint="eastAsia" w:ascii="宋体" w:hAnsi="宋体" w:eastAsia="宋体" w:cs="Times New Roman"/>
          <w:color w:val="auto"/>
          <w:kern w:val="0"/>
          <w:szCs w:val="24"/>
          <w:highlight w:val="none"/>
        </w:rPr>
        <w:t>申请〕</w:t>
      </w:r>
      <w:r>
        <w:rPr>
          <w:rFonts w:ascii="宋体" w:hAnsi="宋体" w:eastAsia="宋体" w:cs="Times New Roman"/>
          <w:color w:val="auto"/>
          <w:kern w:val="0"/>
          <w:szCs w:val="24"/>
          <w:highlight w:val="none"/>
        </w:rPr>
        <w:t>提交的最终结清申请单中，只限于提出工程接收证书颁发后发生的索赔。提出索赔的期限自接受最终结清证书时终止。</w:t>
      </w:r>
    </w:p>
    <w:p w14:paraId="38B60741">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36" w:name="_Toc12418"/>
      <w:bookmarkStart w:id="2837" w:name="_Toc17741"/>
      <w:bookmarkStart w:id="2838" w:name="_Toc23180"/>
      <w:bookmarkStart w:id="2839" w:name="_Toc22084"/>
      <w:bookmarkStart w:id="2840" w:name="_Toc32377"/>
      <w:bookmarkStart w:id="2841" w:name="_Toc14168"/>
      <w:bookmarkStart w:id="2842" w:name="_Toc24025"/>
      <w:bookmarkStart w:id="2843" w:name="_Toc25134"/>
      <w:bookmarkStart w:id="2844" w:name="_Toc32647"/>
      <w:bookmarkStart w:id="2845" w:name="_Toc302635905"/>
      <w:r>
        <w:rPr>
          <w:rFonts w:hint="eastAsia" w:ascii="宋体" w:hAnsi="宋体" w:eastAsia="宋体" w:cs="Times New Roman"/>
          <w:b/>
          <w:bCs/>
          <w:color w:val="auto"/>
          <w:kern w:val="0"/>
          <w:sz w:val="24"/>
          <w:szCs w:val="24"/>
          <w:highlight w:val="none"/>
          <w:lang w:val="en-US" w:eastAsia="zh-CN" w:bidi="ar-SA"/>
        </w:rPr>
        <w:t>索赔费用的支付</w:t>
      </w:r>
      <w:bookmarkEnd w:id="2817"/>
      <w:bookmarkEnd w:id="2836"/>
      <w:bookmarkEnd w:id="2837"/>
      <w:bookmarkEnd w:id="2838"/>
      <w:bookmarkEnd w:id="2839"/>
      <w:bookmarkEnd w:id="2840"/>
      <w:bookmarkEnd w:id="2841"/>
      <w:bookmarkEnd w:id="2842"/>
      <w:bookmarkEnd w:id="2843"/>
      <w:bookmarkEnd w:id="2844"/>
      <w:bookmarkEnd w:id="2845"/>
    </w:p>
    <w:p w14:paraId="70913A40">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对承包人根据第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lang w:val="en-US" w:eastAsia="zh-CN"/>
        </w:rPr>
        <w:t>6</w:t>
      </w:r>
      <w:r>
        <w:rPr>
          <w:rFonts w:hint="eastAsia" w:ascii="宋体" w:hAnsi="宋体" w:eastAsia="宋体" w:cs="Times New Roman"/>
          <w:color w:val="auto"/>
          <w:kern w:val="0"/>
          <w:szCs w:val="24"/>
          <w:highlight w:val="none"/>
        </w:rPr>
        <w:t>款提交的索赔报告和有关资料进行核实，并报发包人批准后，确定赔偿的费用并与工程款同期支付，确定延误的工期并顺延工期。</w:t>
      </w:r>
      <w:bookmarkEnd w:id="2796"/>
    </w:p>
    <w:p w14:paraId="2DAE246E">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⑵承包人对发包人根据第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lang w:val="en-US" w:eastAsia="zh-CN"/>
        </w:rPr>
        <w:t>4</w:t>
      </w:r>
      <w:r>
        <w:rPr>
          <w:rFonts w:hint="eastAsia" w:ascii="宋体" w:hAnsi="宋体" w:eastAsia="宋体" w:cs="Times New Roman"/>
          <w:color w:val="auto"/>
          <w:kern w:val="0"/>
          <w:szCs w:val="24"/>
          <w:highlight w:val="none"/>
        </w:rPr>
        <w:t>款提交的索赔报告和有关资料进行核实，与发包人协商后确定赔偿的费用并在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签发给承包人的支付证书中予以扣除。</w:t>
      </w:r>
    </w:p>
    <w:p w14:paraId="137651D4">
      <w:pPr>
        <w:tabs>
          <w:tab w:val="left" w:pos="1620"/>
          <w:tab w:val="left" w:pos="2340"/>
        </w:tabs>
        <w:spacing w:after="156"/>
        <w:ind w:left="899"/>
        <w:jc w:val="left"/>
        <w:rPr>
          <w:rFonts w:ascii="宋体" w:hAnsi="宋体" w:eastAsia="宋体" w:cs="Times New Roman"/>
          <w:color w:val="auto"/>
          <w:kern w:val="0"/>
          <w:szCs w:val="24"/>
          <w:highlight w:val="none"/>
        </w:rPr>
      </w:pPr>
      <w:bookmarkStart w:id="2846" w:name="_Toc34909144"/>
      <w:r>
        <w:rPr>
          <w:rFonts w:hint="eastAsia" w:ascii="宋体" w:hAnsi="宋体" w:eastAsia="宋体" w:cs="Times New Roman"/>
          <w:color w:val="auto"/>
          <w:kern w:val="0"/>
          <w:szCs w:val="24"/>
          <w:highlight w:val="none"/>
        </w:rPr>
        <w:t>⑶有关本工程索赔的文件的编制和审核均须经注册造价工程师签字盖章确认。</w:t>
      </w:r>
      <w:bookmarkEnd w:id="2846"/>
    </w:p>
    <w:p w14:paraId="692C33FC">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847" w:name="_Toc305331404"/>
      <w:bookmarkStart w:id="2848" w:name="_Toc34909145"/>
      <w:bookmarkStart w:id="2849" w:name="_Toc35657003"/>
      <w:bookmarkStart w:id="2850" w:name="_Toc35656501"/>
      <w:bookmarkStart w:id="2851" w:name="_Toc9528"/>
      <w:bookmarkStart w:id="2852" w:name="_Toc15597"/>
      <w:bookmarkStart w:id="2853" w:name="_Toc14510"/>
      <w:bookmarkStart w:id="2854" w:name="_Toc4712"/>
      <w:bookmarkStart w:id="2855" w:name="_Toc24904"/>
      <w:bookmarkStart w:id="2856" w:name="_Toc30373"/>
      <w:bookmarkStart w:id="2857" w:name="_Toc16684"/>
      <w:bookmarkStart w:id="2858" w:name="_Toc302635906"/>
      <w:bookmarkStart w:id="2859" w:name="_Toc15914"/>
      <w:bookmarkStart w:id="2860" w:name="_Toc21420"/>
      <w:r>
        <w:rPr>
          <w:rFonts w:hint="eastAsia" w:ascii="华文细黑" w:hAnsi="宋体" w:eastAsia="宋体" w:cs="Times New Roman"/>
          <w:b/>
          <w:bCs/>
          <w:snapToGrid w:val="0"/>
          <w:color w:val="auto"/>
          <w:kern w:val="0"/>
          <w:sz w:val="28"/>
          <w:szCs w:val="44"/>
          <w:highlight w:val="none"/>
          <w:lang w:val="en-US" w:eastAsia="zh-CN" w:bidi="ar-SA"/>
        </w:rPr>
        <w:t>争议</w:t>
      </w:r>
      <w:bookmarkEnd w:id="2847"/>
      <w:bookmarkEnd w:id="2848"/>
      <w:bookmarkEnd w:id="2849"/>
      <w:bookmarkEnd w:id="2850"/>
      <w:r>
        <w:rPr>
          <w:rFonts w:hint="eastAsia" w:ascii="华文细黑" w:hAnsi="宋体" w:eastAsia="宋体" w:cs="Times New Roman"/>
          <w:b/>
          <w:bCs/>
          <w:snapToGrid w:val="0"/>
          <w:color w:val="auto"/>
          <w:kern w:val="0"/>
          <w:sz w:val="28"/>
          <w:szCs w:val="44"/>
          <w:highlight w:val="none"/>
          <w:lang w:val="en-US" w:eastAsia="zh-CN" w:bidi="ar-SA"/>
        </w:rPr>
        <w:t>解决</w:t>
      </w:r>
      <w:bookmarkEnd w:id="2851"/>
      <w:bookmarkEnd w:id="2852"/>
      <w:bookmarkEnd w:id="2853"/>
      <w:bookmarkEnd w:id="2854"/>
      <w:bookmarkEnd w:id="2855"/>
      <w:bookmarkEnd w:id="2856"/>
      <w:bookmarkEnd w:id="2857"/>
      <w:bookmarkEnd w:id="2858"/>
      <w:bookmarkEnd w:id="2859"/>
      <w:bookmarkEnd w:id="2860"/>
    </w:p>
    <w:p w14:paraId="7A4D7DE0">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861" w:name="_Toc13369"/>
      <w:bookmarkStart w:id="2862" w:name="_Toc23624"/>
      <w:bookmarkStart w:id="2863" w:name="_Toc23457"/>
      <w:bookmarkStart w:id="2864" w:name="_Toc302635907"/>
      <w:bookmarkStart w:id="2865" w:name="_Toc21091"/>
      <w:bookmarkStart w:id="2866" w:name="_Toc21570"/>
      <w:bookmarkStart w:id="2867" w:name="_Toc29995"/>
      <w:bookmarkStart w:id="2868" w:name="_Toc305331405"/>
      <w:bookmarkStart w:id="2869" w:name="_Toc9240"/>
      <w:bookmarkStart w:id="2870" w:name="_Toc8755"/>
      <w:bookmarkStart w:id="2871" w:name="_Toc12612"/>
      <w:bookmarkStart w:id="2872" w:name="_Toc34909146"/>
      <w:r>
        <w:rPr>
          <w:rFonts w:hint="eastAsia" w:ascii="宋体" w:hAnsi="宋体" w:eastAsia="宋体" w:cs="Times New Roman"/>
          <w:b/>
          <w:bCs/>
          <w:color w:val="auto"/>
          <w:kern w:val="0"/>
          <w:sz w:val="24"/>
          <w:szCs w:val="24"/>
          <w:highlight w:val="none"/>
          <w:lang w:val="en-US" w:eastAsia="zh-CN" w:bidi="ar-SA"/>
        </w:rPr>
        <w:t>争议的解决方式</w:t>
      </w:r>
      <w:bookmarkEnd w:id="2861"/>
      <w:bookmarkEnd w:id="2862"/>
      <w:bookmarkEnd w:id="2863"/>
      <w:bookmarkEnd w:id="2864"/>
      <w:bookmarkEnd w:id="2865"/>
      <w:bookmarkEnd w:id="2866"/>
      <w:bookmarkEnd w:id="2867"/>
      <w:bookmarkEnd w:id="2868"/>
      <w:bookmarkEnd w:id="2869"/>
      <w:bookmarkEnd w:id="2870"/>
      <w:bookmarkEnd w:id="2871"/>
    </w:p>
    <w:p w14:paraId="0AD51E0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⑴凡因本合同引起的或与本合同有关的任何争议，发包人与承包人可自行和解，和解不成的可提交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中约定的机构进行调解。和解或调解成功的，发包人和承包人应签订书面和解协议。</w:t>
      </w:r>
    </w:p>
    <w:p w14:paraId="2B5EA476">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⑵发包人或承包人一方不愿调解或调解不成的，双方可按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中约定的方式申请仲裁或提起诉讼解决争议</w:t>
      </w:r>
      <w:bookmarkEnd w:id="2872"/>
      <w:r>
        <w:rPr>
          <w:rFonts w:hint="eastAsia" w:ascii="宋体" w:hAnsi="宋体" w:eastAsia="宋体" w:cs="Times New Roman"/>
          <w:color w:val="auto"/>
          <w:kern w:val="0"/>
          <w:szCs w:val="24"/>
          <w:highlight w:val="none"/>
        </w:rPr>
        <w:t>。</w:t>
      </w:r>
    </w:p>
    <w:p w14:paraId="410E07D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873" w:name="_Toc15259"/>
      <w:bookmarkStart w:id="2874" w:name="_Toc21147"/>
      <w:bookmarkStart w:id="2875" w:name="_Toc23810"/>
      <w:bookmarkStart w:id="2876" w:name="_Toc305331406"/>
      <w:bookmarkStart w:id="2877" w:name="_Toc302635908"/>
      <w:bookmarkStart w:id="2878" w:name="_Toc6404"/>
      <w:bookmarkStart w:id="2879" w:name="_Toc7526"/>
      <w:bookmarkStart w:id="2880" w:name="_Toc15789"/>
      <w:bookmarkStart w:id="2881" w:name="_Toc27548"/>
      <w:bookmarkStart w:id="2882" w:name="_Toc6244"/>
      <w:bookmarkStart w:id="2883" w:name="_Toc24775"/>
      <w:bookmarkStart w:id="2884" w:name="_Toc34909148"/>
      <w:r>
        <w:rPr>
          <w:rFonts w:hint="eastAsia" w:ascii="宋体" w:hAnsi="宋体" w:eastAsia="宋体" w:cs="Times New Roman"/>
          <w:b/>
          <w:bCs/>
          <w:color w:val="auto"/>
          <w:kern w:val="0"/>
          <w:sz w:val="24"/>
          <w:szCs w:val="24"/>
          <w:highlight w:val="none"/>
          <w:lang w:val="en-US" w:eastAsia="zh-CN" w:bidi="ar-SA"/>
        </w:rPr>
        <w:t>继续履行合同</w:t>
      </w:r>
      <w:bookmarkEnd w:id="2873"/>
      <w:bookmarkEnd w:id="2874"/>
      <w:bookmarkEnd w:id="2875"/>
      <w:bookmarkEnd w:id="2876"/>
      <w:bookmarkEnd w:id="2877"/>
      <w:bookmarkEnd w:id="2878"/>
      <w:bookmarkEnd w:id="2879"/>
      <w:bookmarkEnd w:id="2880"/>
      <w:bookmarkEnd w:id="2881"/>
      <w:bookmarkEnd w:id="2882"/>
      <w:bookmarkEnd w:id="2883"/>
    </w:p>
    <w:p w14:paraId="7E37E484">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发生争议后，除非出现下列情况及本合同另有约定的情况，双方都应继续履行合同，保持施工连续，保护好已完工程：</w:t>
      </w:r>
      <w:bookmarkEnd w:id="2884"/>
    </w:p>
    <w:p w14:paraId="6BF75254">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⑴单方违约导致合同确已无法履行，双方协议停止施工；</w:t>
      </w:r>
    </w:p>
    <w:p w14:paraId="5D3CD94F">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⑵调解要求停止施工，且为双方接受；</w:t>
      </w:r>
    </w:p>
    <w:p w14:paraId="0A32EF48">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⑶仲裁机构要求停止施工；</w:t>
      </w:r>
    </w:p>
    <w:p w14:paraId="5F0847AD">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⑷法院要求停止施工。</w:t>
      </w:r>
    </w:p>
    <w:p w14:paraId="66EADC9F">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885" w:name="_Toc26231"/>
      <w:bookmarkStart w:id="2886" w:name="_Toc20573"/>
      <w:bookmarkStart w:id="2887" w:name="_Toc22610"/>
      <w:bookmarkStart w:id="2888" w:name="_Toc19623"/>
      <w:bookmarkStart w:id="2889" w:name="_Toc23596"/>
      <w:bookmarkStart w:id="2890" w:name="_Toc3622"/>
      <w:bookmarkStart w:id="2891" w:name="_Toc24027"/>
      <w:bookmarkStart w:id="2892" w:name="_Toc305331407"/>
      <w:bookmarkStart w:id="2893" w:name="_Toc302635909"/>
      <w:bookmarkStart w:id="2894" w:name="_Toc20789"/>
      <w:bookmarkStart w:id="2895" w:name="_Toc977"/>
      <w:r>
        <w:rPr>
          <w:rFonts w:hint="eastAsia" w:ascii="华文细黑" w:hAnsi="宋体" w:eastAsia="宋体" w:cs="Times New Roman"/>
          <w:b/>
          <w:bCs/>
          <w:snapToGrid w:val="0"/>
          <w:color w:val="auto"/>
          <w:kern w:val="0"/>
          <w:sz w:val="28"/>
          <w:szCs w:val="44"/>
          <w:highlight w:val="none"/>
          <w:lang w:val="en-US" w:eastAsia="zh-CN" w:bidi="ar-SA"/>
        </w:rPr>
        <w:t>工程缺陷责任与保修</w:t>
      </w:r>
      <w:bookmarkEnd w:id="2885"/>
      <w:bookmarkEnd w:id="2886"/>
      <w:bookmarkEnd w:id="2887"/>
      <w:bookmarkEnd w:id="2888"/>
      <w:bookmarkEnd w:id="2889"/>
      <w:bookmarkEnd w:id="2890"/>
      <w:bookmarkEnd w:id="2891"/>
      <w:bookmarkEnd w:id="2892"/>
      <w:bookmarkEnd w:id="2893"/>
      <w:bookmarkEnd w:id="2894"/>
      <w:bookmarkEnd w:id="2895"/>
    </w:p>
    <w:p w14:paraId="01EAE31B">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96" w:name="_Toc416"/>
      <w:bookmarkStart w:id="2897" w:name="_Toc9146"/>
      <w:bookmarkStart w:id="2898" w:name="_Toc3878"/>
      <w:bookmarkStart w:id="2899" w:name="_Toc6181"/>
      <w:bookmarkStart w:id="2900" w:name="_Toc32528"/>
      <w:bookmarkStart w:id="2901" w:name="_Toc6451"/>
      <w:bookmarkStart w:id="2902" w:name="_Toc10800"/>
      <w:bookmarkStart w:id="2903" w:name="_Toc3185"/>
      <w:bookmarkStart w:id="2904" w:name="_Toc20374"/>
      <w:bookmarkStart w:id="2905" w:name="_Toc302635910"/>
      <w:bookmarkStart w:id="2906" w:name="_Toc305331408"/>
      <w:bookmarkStart w:id="2907" w:name="_Toc34909151"/>
      <w:r>
        <w:rPr>
          <w:rFonts w:hint="eastAsia" w:ascii="宋体" w:hAnsi="宋体" w:eastAsia="宋体" w:cs="Times New Roman"/>
          <w:b/>
          <w:bCs/>
          <w:color w:val="auto"/>
          <w:kern w:val="0"/>
          <w:sz w:val="24"/>
          <w:szCs w:val="24"/>
          <w:highlight w:val="none"/>
          <w:lang w:val="en-US" w:eastAsia="zh-CN" w:bidi="ar-SA"/>
        </w:rPr>
        <w:t>工程保修的原则</w:t>
      </w:r>
      <w:bookmarkEnd w:id="2896"/>
      <w:bookmarkEnd w:id="2897"/>
      <w:bookmarkEnd w:id="2898"/>
      <w:bookmarkEnd w:id="2899"/>
      <w:bookmarkEnd w:id="2900"/>
      <w:bookmarkEnd w:id="2901"/>
      <w:bookmarkEnd w:id="2902"/>
      <w:bookmarkEnd w:id="2903"/>
      <w:bookmarkEnd w:id="2904"/>
    </w:p>
    <w:p w14:paraId="3A81CBE6">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在工程移交发包人后，因承包人原因产生的质量缺陷，承包人应承担质量缺陷责任和保修义务。缺陷责任期届满，承包人仍应按合同约定的工程各部位保修年限承担保修义务。</w:t>
      </w:r>
    </w:p>
    <w:bookmarkEnd w:id="2905"/>
    <w:bookmarkEnd w:id="2906"/>
    <w:bookmarkEnd w:id="2907"/>
    <w:p w14:paraId="7593D3C4">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908" w:name="_Toc302635911"/>
      <w:bookmarkStart w:id="2909" w:name="_Toc27144"/>
      <w:bookmarkStart w:id="2910" w:name="_Toc12944"/>
      <w:bookmarkStart w:id="2911" w:name="_Toc14563"/>
      <w:bookmarkStart w:id="2912" w:name="_Toc18240"/>
      <w:bookmarkStart w:id="2913" w:name="_Toc9126"/>
      <w:bookmarkStart w:id="2914" w:name="_Toc3347"/>
      <w:bookmarkStart w:id="2915" w:name="_Toc15962"/>
      <w:bookmarkStart w:id="2916" w:name="_Toc1837"/>
      <w:bookmarkStart w:id="2917" w:name="_Toc15171"/>
      <w:bookmarkStart w:id="2918" w:name="_Toc305331409"/>
      <w:bookmarkStart w:id="2919" w:name="_Toc34909152"/>
      <w:r>
        <w:rPr>
          <w:rFonts w:hint="eastAsia" w:ascii="宋体" w:hAnsi="宋体" w:eastAsia="宋体" w:cs="Times New Roman"/>
          <w:b/>
          <w:bCs/>
          <w:color w:val="auto"/>
          <w:kern w:val="0"/>
          <w:sz w:val="24"/>
          <w:szCs w:val="24"/>
          <w:highlight w:val="none"/>
          <w:lang w:val="en-US" w:eastAsia="zh-CN" w:bidi="ar-SA"/>
        </w:rPr>
        <w:t>缺陷责任期</w:t>
      </w:r>
      <w:bookmarkEnd w:id="2908"/>
      <w:bookmarkEnd w:id="2909"/>
      <w:bookmarkEnd w:id="2910"/>
      <w:bookmarkEnd w:id="2911"/>
      <w:bookmarkEnd w:id="2912"/>
      <w:bookmarkEnd w:id="2913"/>
      <w:bookmarkEnd w:id="2914"/>
      <w:bookmarkEnd w:id="2915"/>
      <w:bookmarkEnd w:id="2916"/>
      <w:bookmarkEnd w:id="2917"/>
    </w:p>
    <w:p w14:paraId="7CD1727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缺陷责任期自</w:t>
      </w:r>
      <w:r>
        <w:rPr>
          <w:rFonts w:hint="eastAsia" w:ascii="宋体" w:hAnsi="宋体" w:eastAsia="宋体" w:cs="Times New Roman"/>
          <w:color w:val="auto"/>
          <w:kern w:val="0"/>
          <w:szCs w:val="24"/>
          <w:highlight w:val="none"/>
        </w:rPr>
        <w:t>实际竣工日期</w:t>
      </w:r>
      <w:r>
        <w:rPr>
          <w:rFonts w:ascii="宋体" w:hAnsi="宋体" w:eastAsia="宋体" w:cs="Times New Roman"/>
          <w:color w:val="auto"/>
          <w:kern w:val="0"/>
          <w:szCs w:val="24"/>
          <w:highlight w:val="none"/>
        </w:rPr>
        <w:t>起计算，承发包双方应在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约定缺陷责任期的具体期限，但该期限最长不超过24个月。</w:t>
      </w:r>
    </w:p>
    <w:p w14:paraId="18F1ED9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w:t>
      </w:r>
      <w:r>
        <w:rPr>
          <w:rFonts w:hint="eastAsia" w:ascii="宋体" w:hAnsi="宋体" w:eastAsia="宋体" w:cs="Times New Roman"/>
          <w:color w:val="auto"/>
          <w:kern w:val="0"/>
          <w:szCs w:val="24"/>
          <w:highlight w:val="none"/>
        </w:rPr>
        <w:t>第91天（含）</w:t>
      </w:r>
      <w:r>
        <w:rPr>
          <w:rFonts w:ascii="宋体" w:hAnsi="宋体" w:eastAsia="宋体" w:cs="Times New Roman"/>
          <w:color w:val="auto"/>
          <w:kern w:val="0"/>
          <w:szCs w:val="24"/>
          <w:highlight w:val="none"/>
        </w:rPr>
        <w:t>开始计算；发包人未经竣工验收擅自使用工程的，缺陷责任期自工程转移占有之日起开始计算。</w:t>
      </w:r>
    </w:p>
    <w:p w14:paraId="04A01F9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4EB0698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任何一项缺陷或损坏修复后，经检查证明其影响了工程或工程设备的使用性能，承包人应重新进行合同约定的试验和试运行，试验和试运行的全部费用应由责任方承担。</w:t>
      </w:r>
    </w:p>
    <w:p w14:paraId="61F45D19">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另有约定外，承包人应于缺陷责任期届满后7天内向发包人发出缺陷责任期</w:t>
      </w:r>
      <w:r>
        <w:rPr>
          <w:rFonts w:hint="eastAsia" w:ascii="宋体" w:hAnsi="宋体" w:eastAsia="宋体" w:cs="Times New Roman"/>
          <w:color w:val="auto"/>
          <w:kern w:val="0"/>
          <w:szCs w:val="24"/>
          <w:highlight w:val="none"/>
        </w:rPr>
        <w:t>届</w:t>
      </w:r>
      <w:r>
        <w:rPr>
          <w:rFonts w:ascii="宋体" w:hAnsi="宋体" w:eastAsia="宋体" w:cs="Times New Roman"/>
          <w:color w:val="auto"/>
          <w:kern w:val="0"/>
          <w:szCs w:val="24"/>
          <w:highlight w:val="none"/>
        </w:rPr>
        <w:t>满通知，发包人应在</w:t>
      </w:r>
      <w:r>
        <w:rPr>
          <w:rFonts w:hint="eastAsia" w:ascii="宋体" w:hAnsi="宋体" w:eastAsia="宋体" w:cs="Times New Roman"/>
          <w:color w:val="auto"/>
          <w:kern w:val="0"/>
          <w:szCs w:val="24"/>
          <w:highlight w:val="none"/>
        </w:rPr>
        <w:t>收</w:t>
      </w:r>
      <w:r>
        <w:rPr>
          <w:rFonts w:ascii="宋体" w:hAnsi="宋体" w:eastAsia="宋体" w:cs="Times New Roman"/>
          <w:color w:val="auto"/>
          <w:kern w:val="0"/>
          <w:szCs w:val="24"/>
          <w:highlight w:val="none"/>
        </w:rPr>
        <w:t>到缺陷责任期满通知后14天内核实承包人是否履行缺陷</w:t>
      </w:r>
      <w:r>
        <w:rPr>
          <w:rFonts w:hint="eastAsia" w:ascii="宋体" w:hAnsi="宋体" w:eastAsia="宋体" w:cs="Times New Roman"/>
          <w:color w:val="auto"/>
          <w:kern w:val="0"/>
          <w:szCs w:val="24"/>
          <w:highlight w:val="none"/>
        </w:rPr>
        <w:t>修复</w:t>
      </w:r>
      <w:r>
        <w:rPr>
          <w:rFonts w:ascii="宋体" w:hAnsi="宋体" w:eastAsia="宋体" w:cs="Times New Roman"/>
          <w:color w:val="auto"/>
          <w:kern w:val="0"/>
          <w:szCs w:val="24"/>
          <w:highlight w:val="none"/>
        </w:rPr>
        <w:t>义务，承包人未能履行缺陷</w:t>
      </w:r>
      <w:r>
        <w:rPr>
          <w:rFonts w:hint="eastAsia" w:ascii="宋体" w:hAnsi="宋体" w:eastAsia="宋体" w:cs="Times New Roman"/>
          <w:color w:val="auto"/>
          <w:kern w:val="0"/>
          <w:szCs w:val="24"/>
          <w:highlight w:val="none"/>
        </w:rPr>
        <w:t>修复</w:t>
      </w:r>
      <w:r>
        <w:rPr>
          <w:rFonts w:ascii="宋体" w:hAnsi="宋体" w:eastAsia="宋体" w:cs="Times New Roman"/>
          <w:color w:val="auto"/>
          <w:kern w:val="0"/>
          <w:szCs w:val="24"/>
          <w:highlight w:val="none"/>
        </w:rPr>
        <w:t>义务的，发包人有权扣除相应金额的维修费用。发包人应在</w:t>
      </w:r>
      <w:r>
        <w:rPr>
          <w:rFonts w:hint="eastAsia" w:ascii="宋体" w:hAnsi="宋体" w:eastAsia="宋体" w:cs="Times New Roman"/>
          <w:color w:val="auto"/>
          <w:kern w:val="0"/>
          <w:szCs w:val="24"/>
          <w:highlight w:val="none"/>
        </w:rPr>
        <w:t>收到</w:t>
      </w:r>
      <w:r>
        <w:rPr>
          <w:rFonts w:ascii="宋体" w:hAnsi="宋体" w:eastAsia="宋体" w:cs="Times New Roman"/>
          <w:color w:val="auto"/>
          <w:kern w:val="0"/>
          <w:szCs w:val="24"/>
          <w:highlight w:val="none"/>
        </w:rPr>
        <w:t>缺陷责任期</w:t>
      </w:r>
      <w:r>
        <w:rPr>
          <w:rFonts w:hint="eastAsia" w:ascii="宋体" w:hAnsi="宋体" w:eastAsia="宋体" w:cs="Times New Roman"/>
          <w:color w:val="auto"/>
          <w:kern w:val="0"/>
          <w:szCs w:val="24"/>
          <w:highlight w:val="none"/>
        </w:rPr>
        <w:t>届</w:t>
      </w:r>
      <w:r>
        <w:rPr>
          <w:rFonts w:ascii="宋体" w:hAnsi="宋体" w:eastAsia="宋体" w:cs="Times New Roman"/>
          <w:color w:val="auto"/>
          <w:kern w:val="0"/>
          <w:szCs w:val="24"/>
          <w:highlight w:val="none"/>
        </w:rPr>
        <w:t>满</w:t>
      </w:r>
      <w:r>
        <w:rPr>
          <w:rFonts w:hint="eastAsia" w:ascii="宋体" w:hAnsi="宋体" w:eastAsia="宋体" w:cs="Times New Roman"/>
          <w:color w:val="auto"/>
          <w:kern w:val="0"/>
          <w:szCs w:val="24"/>
          <w:highlight w:val="none"/>
        </w:rPr>
        <w:t>通知后</w:t>
      </w:r>
      <w:r>
        <w:rPr>
          <w:rFonts w:ascii="宋体" w:hAnsi="宋体" w:eastAsia="宋体" w:cs="Times New Roman"/>
          <w:color w:val="auto"/>
          <w:kern w:val="0"/>
          <w:szCs w:val="24"/>
          <w:highlight w:val="none"/>
        </w:rPr>
        <w:t>14天内，向承包人颁发缺陷责任期终止证</w:t>
      </w:r>
      <w:r>
        <w:rPr>
          <w:rFonts w:hint="eastAsia" w:ascii="宋体" w:hAnsi="宋体" w:eastAsia="宋体" w:cs="Times New Roman"/>
          <w:color w:val="auto"/>
          <w:kern w:val="0"/>
          <w:szCs w:val="24"/>
          <w:highlight w:val="none"/>
        </w:rPr>
        <w:t>书</w:t>
      </w:r>
      <w:r>
        <w:rPr>
          <w:rFonts w:ascii="宋体" w:hAnsi="宋体" w:eastAsia="宋体" w:cs="Times New Roman"/>
          <w:color w:val="auto"/>
          <w:kern w:val="0"/>
          <w:szCs w:val="24"/>
          <w:highlight w:val="none"/>
        </w:rPr>
        <w:t>。</w:t>
      </w:r>
    </w:p>
    <w:bookmarkEnd w:id="2918"/>
    <w:bookmarkEnd w:id="2919"/>
    <w:p w14:paraId="0A386AD8">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920" w:name="_Toc10076"/>
      <w:bookmarkStart w:id="2921" w:name="_Toc18070"/>
      <w:bookmarkStart w:id="2922" w:name="_Toc24795"/>
      <w:bookmarkStart w:id="2923" w:name="_Toc1911"/>
      <w:bookmarkStart w:id="2924" w:name="_Toc24317"/>
      <w:bookmarkStart w:id="2925" w:name="_Toc29426"/>
      <w:bookmarkStart w:id="2926" w:name="_Toc32639"/>
      <w:bookmarkStart w:id="2927" w:name="_Toc302635913"/>
      <w:bookmarkStart w:id="2928" w:name="_Toc11382"/>
      <w:bookmarkStart w:id="2929" w:name="_Toc23018"/>
      <w:r>
        <w:rPr>
          <w:rFonts w:hint="eastAsia" w:ascii="宋体" w:hAnsi="宋体" w:eastAsia="宋体" w:cs="Times New Roman"/>
          <w:b/>
          <w:bCs/>
          <w:color w:val="auto"/>
          <w:kern w:val="0"/>
          <w:sz w:val="24"/>
          <w:szCs w:val="24"/>
          <w:highlight w:val="none"/>
          <w:lang w:val="en-US" w:eastAsia="zh-CN" w:bidi="ar-SA"/>
        </w:rPr>
        <w:t>质量保证金</w:t>
      </w:r>
      <w:bookmarkEnd w:id="2920"/>
      <w:bookmarkEnd w:id="2921"/>
      <w:bookmarkEnd w:id="2922"/>
      <w:bookmarkEnd w:id="2923"/>
      <w:bookmarkEnd w:id="2924"/>
      <w:bookmarkEnd w:id="2925"/>
      <w:bookmarkEnd w:id="2926"/>
      <w:bookmarkEnd w:id="2927"/>
      <w:bookmarkEnd w:id="2928"/>
      <w:bookmarkEnd w:id="2929"/>
    </w:p>
    <w:p w14:paraId="483F0FE6">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⑴经承发包双方协商一致扣留质量保证金的，应在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中予以明确。</w:t>
      </w:r>
    </w:p>
    <w:p w14:paraId="5E118ED1">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⑵承包人提供</w:t>
      </w:r>
      <w:r>
        <w:rPr>
          <w:rFonts w:ascii="宋体" w:hAnsi="宋体" w:eastAsia="宋体" w:cs="Times New Roman"/>
          <w:color w:val="auto"/>
          <w:kern w:val="0"/>
          <w:szCs w:val="24"/>
          <w:highlight w:val="none"/>
        </w:rPr>
        <w:t>质量保证金</w:t>
      </w:r>
      <w:r>
        <w:rPr>
          <w:rFonts w:hint="eastAsia" w:ascii="宋体" w:hAnsi="宋体" w:eastAsia="宋体" w:cs="Times New Roman"/>
          <w:color w:val="auto"/>
          <w:kern w:val="0"/>
          <w:szCs w:val="24"/>
          <w:highlight w:val="none"/>
        </w:rPr>
        <w:t>有</w:t>
      </w:r>
      <w:r>
        <w:rPr>
          <w:rFonts w:ascii="宋体" w:hAnsi="宋体" w:eastAsia="宋体" w:cs="Times New Roman"/>
          <w:color w:val="auto"/>
          <w:kern w:val="0"/>
          <w:szCs w:val="24"/>
          <w:highlight w:val="none"/>
        </w:rPr>
        <w:t>以下</w:t>
      </w:r>
      <w:r>
        <w:rPr>
          <w:rFonts w:hint="eastAsia" w:ascii="宋体" w:hAnsi="宋体" w:eastAsia="宋体" w:cs="Times New Roman"/>
          <w:color w:val="auto"/>
          <w:kern w:val="0"/>
          <w:szCs w:val="24"/>
          <w:highlight w:val="none"/>
        </w:rPr>
        <w:t>三种方</w:t>
      </w:r>
      <w:r>
        <w:rPr>
          <w:rFonts w:ascii="宋体" w:hAnsi="宋体" w:eastAsia="宋体" w:cs="Times New Roman"/>
          <w:color w:val="auto"/>
          <w:kern w:val="0"/>
          <w:szCs w:val="24"/>
          <w:highlight w:val="none"/>
        </w:rPr>
        <w:t>式：</w:t>
      </w:r>
    </w:p>
    <w:p w14:paraId="7AB747F7">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 xml:space="preserve">质量保证金保函； </w:t>
      </w:r>
    </w:p>
    <w:p w14:paraId="0FE23A7D">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相应比例的工程款；</w:t>
      </w:r>
    </w:p>
    <w:p w14:paraId="608355F2">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双方约定的其他</w:t>
      </w:r>
      <w:r>
        <w:rPr>
          <w:rFonts w:hint="eastAsia" w:ascii="宋体" w:hAnsi="宋体" w:eastAsia="宋体" w:cs="Times New Roman"/>
          <w:color w:val="auto"/>
          <w:kern w:val="0"/>
          <w:szCs w:val="24"/>
          <w:highlight w:val="none"/>
        </w:rPr>
        <w:t>方</w:t>
      </w:r>
      <w:r>
        <w:rPr>
          <w:rFonts w:ascii="宋体" w:hAnsi="宋体" w:eastAsia="宋体" w:cs="Times New Roman"/>
          <w:color w:val="auto"/>
          <w:kern w:val="0"/>
          <w:szCs w:val="24"/>
          <w:highlight w:val="none"/>
        </w:rPr>
        <w:t>式</w:t>
      </w:r>
      <w:r>
        <w:rPr>
          <w:rFonts w:hint="eastAsia" w:ascii="宋体" w:hAnsi="宋体" w:eastAsia="宋体" w:cs="Times New Roman"/>
          <w:color w:val="auto"/>
          <w:kern w:val="0"/>
          <w:szCs w:val="24"/>
          <w:highlight w:val="none"/>
        </w:rPr>
        <w:t>（保险等）</w:t>
      </w:r>
      <w:r>
        <w:rPr>
          <w:rFonts w:ascii="宋体" w:hAnsi="宋体" w:eastAsia="宋体" w:cs="Times New Roman"/>
          <w:color w:val="auto"/>
          <w:kern w:val="0"/>
          <w:szCs w:val="24"/>
          <w:highlight w:val="none"/>
        </w:rPr>
        <w:t>。</w:t>
      </w:r>
    </w:p>
    <w:p w14:paraId="5DD8F79C">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另有约定外，质量保证金</w:t>
      </w:r>
      <w:r>
        <w:rPr>
          <w:rFonts w:hint="eastAsia" w:ascii="宋体" w:hAnsi="宋体" w:eastAsia="宋体" w:cs="Times New Roman"/>
          <w:color w:val="auto"/>
          <w:kern w:val="0"/>
          <w:szCs w:val="24"/>
          <w:highlight w:val="none"/>
        </w:rPr>
        <w:t>原则上</w:t>
      </w:r>
      <w:r>
        <w:rPr>
          <w:rFonts w:ascii="宋体" w:hAnsi="宋体" w:eastAsia="宋体" w:cs="Times New Roman"/>
          <w:color w:val="auto"/>
          <w:kern w:val="0"/>
          <w:szCs w:val="24"/>
          <w:highlight w:val="none"/>
        </w:rPr>
        <w:t>采</w:t>
      </w:r>
      <w:r>
        <w:rPr>
          <w:rFonts w:hint="eastAsia" w:ascii="宋体" w:hAnsi="宋体" w:eastAsia="宋体" w:cs="Times New Roman"/>
          <w:color w:val="auto"/>
          <w:kern w:val="0"/>
          <w:szCs w:val="24"/>
          <w:highlight w:val="none"/>
        </w:rPr>
        <w:t>用上述</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种</w:t>
      </w:r>
      <w:r>
        <w:rPr>
          <w:rFonts w:hint="eastAsia" w:ascii="宋体" w:hAnsi="宋体" w:eastAsia="宋体" w:cs="Times New Roman"/>
          <w:color w:val="auto"/>
          <w:kern w:val="0"/>
          <w:szCs w:val="24"/>
          <w:highlight w:val="none"/>
        </w:rPr>
        <w:t>方式。</w:t>
      </w:r>
    </w:p>
    <w:p w14:paraId="15849A30">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质量保证金</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扣留</w:t>
      </w:r>
      <w:r>
        <w:rPr>
          <w:rFonts w:hint="eastAsia" w:ascii="宋体" w:hAnsi="宋体" w:eastAsia="宋体" w:cs="Times New Roman"/>
          <w:color w:val="auto"/>
          <w:kern w:val="0"/>
          <w:szCs w:val="24"/>
          <w:highlight w:val="none"/>
        </w:rPr>
        <w:t>有</w:t>
      </w:r>
      <w:r>
        <w:rPr>
          <w:rFonts w:ascii="宋体" w:hAnsi="宋体" w:eastAsia="宋体" w:cs="Times New Roman"/>
          <w:color w:val="auto"/>
          <w:kern w:val="0"/>
          <w:szCs w:val="24"/>
          <w:highlight w:val="none"/>
        </w:rPr>
        <w:t>以下</w:t>
      </w:r>
      <w:r>
        <w:rPr>
          <w:rFonts w:hint="eastAsia" w:ascii="宋体" w:hAnsi="宋体" w:eastAsia="宋体" w:cs="Times New Roman"/>
          <w:color w:val="auto"/>
          <w:kern w:val="0"/>
          <w:szCs w:val="24"/>
          <w:highlight w:val="none"/>
        </w:rPr>
        <w:t>三</w:t>
      </w:r>
      <w:r>
        <w:rPr>
          <w:rFonts w:ascii="宋体" w:hAnsi="宋体" w:eastAsia="宋体" w:cs="Times New Roman"/>
          <w:color w:val="auto"/>
          <w:kern w:val="0"/>
          <w:szCs w:val="24"/>
          <w:highlight w:val="none"/>
        </w:rPr>
        <w:t>种</w:t>
      </w:r>
      <w:r>
        <w:rPr>
          <w:rFonts w:hint="eastAsia" w:ascii="宋体" w:hAnsi="宋体" w:eastAsia="宋体" w:cs="Times New Roman"/>
          <w:color w:val="auto"/>
          <w:kern w:val="0"/>
          <w:szCs w:val="24"/>
          <w:highlight w:val="none"/>
        </w:rPr>
        <w:t>方式</w:t>
      </w:r>
      <w:r>
        <w:rPr>
          <w:rFonts w:ascii="宋体" w:hAnsi="宋体" w:eastAsia="宋体" w:cs="Times New Roman"/>
          <w:color w:val="auto"/>
          <w:kern w:val="0"/>
          <w:szCs w:val="24"/>
          <w:highlight w:val="none"/>
        </w:rPr>
        <w:t>：</w:t>
      </w:r>
    </w:p>
    <w:p w14:paraId="70C4317F">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在支付工程进度款时逐次扣留，在此情形下，质量保证金的计算基数不包括预付款的支付、扣回以及价格调整的金额；</w:t>
      </w:r>
    </w:p>
    <w:p w14:paraId="1C24BA30">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工</w:t>
      </w:r>
      <w:bookmarkStart w:id="2930" w:name="#go6"/>
      <w:bookmarkEnd w:id="2930"/>
      <w:r>
        <w:rPr>
          <w:rFonts w:ascii="宋体" w:hAnsi="宋体" w:eastAsia="宋体" w:cs="Times New Roman"/>
          <w:color w:val="auto"/>
          <w:kern w:val="0"/>
          <w:szCs w:val="24"/>
          <w:highlight w:val="none"/>
        </w:rPr>
        <w:t>程竣工结算时一次性扣留质量保证金；</w:t>
      </w:r>
    </w:p>
    <w:p w14:paraId="1BEFEA5D">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双方约定的其他扣留方式。</w:t>
      </w:r>
    </w:p>
    <w:p w14:paraId="0F232C72">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另有约定外，质量保证金</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扣留</w:t>
      </w:r>
      <w:r>
        <w:rPr>
          <w:rFonts w:hint="eastAsia" w:ascii="宋体" w:hAnsi="宋体" w:eastAsia="宋体" w:cs="Times New Roman"/>
          <w:color w:val="auto"/>
          <w:kern w:val="0"/>
          <w:szCs w:val="24"/>
          <w:highlight w:val="none"/>
        </w:rPr>
        <w:t>原则上</w:t>
      </w:r>
      <w:r>
        <w:rPr>
          <w:rFonts w:ascii="宋体" w:hAnsi="宋体" w:eastAsia="宋体" w:cs="Times New Roman"/>
          <w:color w:val="auto"/>
          <w:kern w:val="0"/>
          <w:szCs w:val="24"/>
          <w:highlight w:val="none"/>
        </w:rPr>
        <w:t>采</w:t>
      </w:r>
      <w:r>
        <w:rPr>
          <w:rFonts w:hint="eastAsia" w:ascii="宋体" w:hAnsi="宋体" w:eastAsia="宋体" w:cs="Times New Roman"/>
          <w:color w:val="auto"/>
          <w:kern w:val="0"/>
          <w:szCs w:val="24"/>
          <w:highlight w:val="none"/>
        </w:rPr>
        <w:t>用上述</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种方式</w:t>
      </w:r>
      <w:r>
        <w:rPr>
          <w:rFonts w:hint="eastAsia" w:ascii="宋体" w:hAnsi="宋体" w:eastAsia="宋体" w:cs="Times New Roman"/>
          <w:color w:val="auto"/>
          <w:kern w:val="0"/>
          <w:szCs w:val="24"/>
          <w:highlight w:val="none"/>
        </w:rPr>
        <w:t>。但在工程项目竣工前，承包人已提供履约担保的，发包人不得同时预留质量保证金。</w:t>
      </w:r>
    </w:p>
    <w:p w14:paraId="6B4BBD4C">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w:t>
      </w:r>
      <w:bookmarkStart w:id="2931" w:name="#go4"/>
      <w:bookmarkEnd w:id="2931"/>
      <w:r>
        <w:rPr>
          <w:rFonts w:ascii="宋体" w:hAnsi="宋体" w:eastAsia="宋体" w:cs="Times New Roman"/>
          <w:color w:val="auto"/>
          <w:kern w:val="0"/>
          <w:szCs w:val="24"/>
          <w:highlight w:val="none"/>
        </w:rPr>
        <w:t>包人累计扣留的质量保证金不得超过结算合同价格的</w:t>
      </w:r>
      <w:r>
        <w:rPr>
          <w:rFonts w:hint="eastAsia" w:ascii="宋体" w:hAnsi="宋体" w:eastAsia="宋体" w:cs="Times New Roman"/>
          <w:color w:val="auto"/>
          <w:kern w:val="0"/>
          <w:szCs w:val="24"/>
          <w:highlight w:val="none"/>
        </w:rPr>
        <w:t>3</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以银行保函替代预留保证金的，保函金额不得超过结算合同价格的3%。如</w:t>
      </w:r>
      <w:r>
        <w:rPr>
          <w:rFonts w:ascii="宋体" w:hAnsi="宋体" w:eastAsia="宋体" w:cs="Times New Roman"/>
          <w:color w:val="auto"/>
          <w:kern w:val="0"/>
          <w:szCs w:val="24"/>
          <w:highlight w:val="none"/>
        </w:rPr>
        <w:t>承包人在发包人签发竣工付款证书后28天内提交质量保证金保函，发包人应同时退还扣留的作为质量保证金的工程价款。</w:t>
      </w:r>
    </w:p>
    <w:p w14:paraId="534123E3">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⑷发包人应</w:t>
      </w:r>
      <w:r>
        <w:rPr>
          <w:rFonts w:ascii="宋体" w:hAnsi="宋体" w:eastAsia="宋体" w:cs="Times New Roman"/>
          <w:color w:val="auto"/>
          <w:kern w:val="0"/>
          <w:szCs w:val="24"/>
          <w:highlight w:val="none"/>
        </w:rPr>
        <w:t>按</w:t>
      </w:r>
      <w:r>
        <w:rPr>
          <w:rFonts w:hint="eastAsia" w:ascii="宋体" w:hAnsi="宋体" w:eastAsia="宋体" w:cs="Times New Roman"/>
          <w:color w:val="auto"/>
          <w:kern w:val="0"/>
          <w:szCs w:val="24"/>
          <w:highlight w:val="none"/>
          <w:lang w:val="en-US" w:eastAsia="zh-CN"/>
        </w:rPr>
        <w:t>28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8</w:t>
      </w:r>
      <w:r>
        <w:rPr>
          <w:rFonts w:ascii="宋体" w:hAnsi="宋体" w:eastAsia="宋体" w:cs="Times New Roman"/>
          <w:color w:val="auto"/>
          <w:kern w:val="0"/>
          <w:szCs w:val="24"/>
          <w:highlight w:val="none"/>
        </w:rPr>
        <w:t>款</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最终结清</w:t>
      </w:r>
      <w:r>
        <w:rPr>
          <w:rFonts w:hint="eastAsia" w:ascii="宋体" w:hAnsi="宋体" w:eastAsia="宋体" w:cs="Times New Roman"/>
          <w:color w:val="auto"/>
          <w:kern w:val="0"/>
          <w:szCs w:val="24"/>
          <w:highlight w:val="none"/>
        </w:rPr>
        <w:t>申请〕的</w:t>
      </w:r>
      <w:r>
        <w:rPr>
          <w:rFonts w:ascii="宋体" w:hAnsi="宋体" w:eastAsia="宋体" w:cs="Times New Roman"/>
          <w:color w:val="auto"/>
          <w:kern w:val="0"/>
          <w:szCs w:val="24"/>
          <w:highlight w:val="none"/>
        </w:rPr>
        <w:t>约定</w:t>
      </w:r>
      <w:r>
        <w:rPr>
          <w:rFonts w:hint="eastAsia" w:ascii="宋体" w:hAnsi="宋体" w:eastAsia="宋体" w:cs="Times New Roman"/>
          <w:color w:val="auto"/>
          <w:kern w:val="0"/>
          <w:szCs w:val="24"/>
          <w:highlight w:val="none"/>
        </w:rPr>
        <w:t>退还</w:t>
      </w:r>
      <w:r>
        <w:rPr>
          <w:rFonts w:ascii="宋体" w:hAnsi="宋体" w:eastAsia="宋体" w:cs="Times New Roman"/>
          <w:color w:val="auto"/>
          <w:kern w:val="0"/>
          <w:szCs w:val="24"/>
          <w:highlight w:val="none"/>
        </w:rPr>
        <w:t>质量保证金。</w:t>
      </w:r>
    </w:p>
    <w:p w14:paraId="470E93C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32" w:name="_Toc26056"/>
      <w:bookmarkStart w:id="2933" w:name="_Toc11866"/>
      <w:bookmarkStart w:id="2934" w:name="_Toc18537"/>
      <w:bookmarkStart w:id="2935" w:name="_Toc30480"/>
      <w:bookmarkStart w:id="2936" w:name="_Toc22320"/>
      <w:bookmarkStart w:id="2937" w:name="_Toc27451"/>
      <w:bookmarkStart w:id="2938" w:name="_Toc26901"/>
      <w:bookmarkStart w:id="2939" w:name="_Toc20564"/>
      <w:bookmarkStart w:id="2940" w:name="_Toc2538"/>
      <w:r>
        <w:rPr>
          <w:rFonts w:ascii="宋体" w:hAnsi="宋体" w:eastAsia="宋体" w:cs="Times New Roman"/>
          <w:b/>
          <w:bCs/>
          <w:color w:val="auto"/>
          <w:kern w:val="0"/>
          <w:sz w:val="24"/>
          <w:szCs w:val="24"/>
          <w:highlight w:val="none"/>
          <w:lang w:val="en-US" w:eastAsia="zh-CN" w:bidi="ar-SA"/>
        </w:rPr>
        <w:t>保修责任</w:t>
      </w:r>
      <w:bookmarkEnd w:id="2932"/>
      <w:bookmarkEnd w:id="2933"/>
      <w:bookmarkEnd w:id="2934"/>
      <w:bookmarkEnd w:id="2935"/>
      <w:bookmarkEnd w:id="2936"/>
      <w:bookmarkEnd w:id="2937"/>
      <w:bookmarkEnd w:id="2938"/>
      <w:bookmarkEnd w:id="2939"/>
      <w:bookmarkEnd w:id="2940"/>
    </w:p>
    <w:p w14:paraId="1CD39D34">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工程保修期从工程竣工验收合格之日起算，具体分部分项工程的保修期由</w:t>
      </w:r>
      <w:r>
        <w:rPr>
          <w:rFonts w:hint="eastAsia" w:ascii="宋体" w:hAnsi="宋体" w:eastAsia="宋体" w:cs="Times New Roman"/>
          <w:color w:val="auto"/>
          <w:kern w:val="0"/>
          <w:szCs w:val="24"/>
          <w:highlight w:val="none"/>
        </w:rPr>
        <w:t>承发包双方</w:t>
      </w:r>
      <w:r>
        <w:rPr>
          <w:rFonts w:ascii="宋体" w:hAnsi="宋体" w:eastAsia="宋体" w:cs="Times New Roman"/>
          <w:color w:val="auto"/>
          <w:kern w:val="0"/>
          <w:szCs w:val="24"/>
          <w:highlight w:val="none"/>
        </w:rPr>
        <w:t>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中约定，但不得低于法定最低保修年限。在工程保修期内，承包人应当根据有关法律规定以及合同约定承担保修责任。</w:t>
      </w:r>
    </w:p>
    <w:p w14:paraId="353D5A8C">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发包人未经竣工验收擅自使用工程的，保修期自转移占有之日起算。</w:t>
      </w:r>
    </w:p>
    <w:p w14:paraId="55AB6D9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41" w:name="_Toc24540"/>
      <w:bookmarkStart w:id="2942" w:name="_Toc8773"/>
      <w:bookmarkStart w:id="2943" w:name="_Toc24455"/>
      <w:bookmarkStart w:id="2944" w:name="_Toc6129"/>
      <w:bookmarkStart w:id="2945" w:name="_Toc28219"/>
      <w:bookmarkStart w:id="2946" w:name="_Toc16103"/>
      <w:bookmarkStart w:id="2947" w:name="_Toc4852"/>
      <w:bookmarkStart w:id="2948" w:name="_Toc11075"/>
      <w:bookmarkStart w:id="2949" w:name="_Toc22342"/>
      <w:r>
        <w:rPr>
          <w:rFonts w:ascii="宋体" w:hAnsi="宋体" w:eastAsia="宋体" w:cs="Times New Roman"/>
          <w:b/>
          <w:bCs/>
          <w:color w:val="auto"/>
          <w:kern w:val="0"/>
          <w:sz w:val="24"/>
          <w:szCs w:val="24"/>
          <w:highlight w:val="none"/>
          <w:lang w:val="en-US" w:eastAsia="zh-CN" w:bidi="ar-SA"/>
        </w:rPr>
        <w:t>修复费用</w:t>
      </w:r>
      <w:bookmarkEnd w:id="2941"/>
      <w:bookmarkEnd w:id="2942"/>
      <w:bookmarkEnd w:id="2943"/>
      <w:bookmarkEnd w:id="2944"/>
      <w:bookmarkEnd w:id="2945"/>
      <w:bookmarkEnd w:id="2946"/>
      <w:bookmarkEnd w:id="2947"/>
      <w:bookmarkEnd w:id="2948"/>
      <w:bookmarkEnd w:id="2949"/>
    </w:p>
    <w:p w14:paraId="595DE1C8">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保修期内，修复的费用按照以下约定处理：</w:t>
      </w:r>
    </w:p>
    <w:p w14:paraId="2C841A70">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（1）保修期内，因承包人原因造成工程的缺陷、损坏，承包人应负责修复，并承担修复的费用以及因工程的缺陷、损坏造成的人身伤害和财产损失；</w:t>
      </w:r>
    </w:p>
    <w:p w14:paraId="0B39381B">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（2）保修期内，因发包人使用不当造成工程的缺陷、损坏，可以委托承包人修复，但发包人应承担修复的费用，并支付承包人合理利润；</w:t>
      </w:r>
    </w:p>
    <w:p w14:paraId="076947A9">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（3）因其他原因造成工程的缺陷、损坏，可以委托承包人修复，发包人应承担修复的费用，并支付承包人合理的利润，因工程的缺陷、损坏造成的人身伤害和财产损失由责任方承担。</w:t>
      </w:r>
    </w:p>
    <w:p w14:paraId="41C0C9CD">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50" w:name="_Toc9776"/>
      <w:bookmarkStart w:id="2951" w:name="_Toc9889"/>
      <w:bookmarkStart w:id="2952" w:name="_Toc17738"/>
      <w:bookmarkStart w:id="2953" w:name="_Toc30905"/>
      <w:bookmarkStart w:id="2954" w:name="_Toc22464"/>
      <w:bookmarkStart w:id="2955" w:name="_Toc1664"/>
      <w:bookmarkStart w:id="2956" w:name="_Toc32242"/>
      <w:bookmarkStart w:id="2957" w:name="_Toc3333"/>
      <w:bookmarkStart w:id="2958" w:name="_Toc2407"/>
      <w:r>
        <w:rPr>
          <w:rFonts w:ascii="宋体" w:hAnsi="宋体" w:eastAsia="宋体" w:cs="Times New Roman"/>
          <w:b/>
          <w:bCs/>
          <w:color w:val="auto"/>
          <w:kern w:val="0"/>
          <w:sz w:val="24"/>
          <w:szCs w:val="24"/>
          <w:highlight w:val="none"/>
          <w:lang w:val="en-US" w:eastAsia="zh-CN" w:bidi="ar-SA"/>
        </w:rPr>
        <w:t>修复通知</w:t>
      </w:r>
      <w:bookmarkEnd w:id="2950"/>
      <w:bookmarkEnd w:id="2951"/>
      <w:bookmarkEnd w:id="2952"/>
      <w:bookmarkEnd w:id="2953"/>
      <w:bookmarkEnd w:id="2954"/>
      <w:bookmarkEnd w:id="2955"/>
      <w:bookmarkEnd w:id="2956"/>
      <w:bookmarkEnd w:id="2957"/>
      <w:bookmarkEnd w:id="2958"/>
    </w:p>
    <w:p w14:paraId="2D67845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约定的合理期限内到达工程现场并修复缺陷或损坏。</w:t>
      </w:r>
    </w:p>
    <w:p w14:paraId="6A7A1785">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59" w:name="_Toc18774"/>
      <w:bookmarkStart w:id="2960" w:name="_Toc17996"/>
      <w:bookmarkStart w:id="2961" w:name="_Toc20719"/>
      <w:bookmarkStart w:id="2962" w:name="_Toc7456"/>
      <w:bookmarkStart w:id="2963" w:name="_Toc18522"/>
      <w:bookmarkStart w:id="2964" w:name="_Toc12805"/>
      <w:bookmarkStart w:id="2965" w:name="_Toc31825"/>
      <w:bookmarkStart w:id="2966" w:name="_Toc1935"/>
      <w:bookmarkStart w:id="2967" w:name="_Toc29748"/>
      <w:r>
        <w:rPr>
          <w:rFonts w:ascii="宋体" w:hAnsi="宋体" w:eastAsia="宋体" w:cs="Times New Roman"/>
          <w:b/>
          <w:bCs/>
          <w:color w:val="auto"/>
          <w:kern w:val="0"/>
          <w:sz w:val="24"/>
          <w:szCs w:val="24"/>
          <w:highlight w:val="none"/>
          <w:lang w:val="en-US" w:eastAsia="zh-CN" w:bidi="ar-SA"/>
        </w:rPr>
        <w:t>未能修复</w:t>
      </w:r>
      <w:bookmarkEnd w:id="2959"/>
      <w:bookmarkEnd w:id="2960"/>
      <w:bookmarkEnd w:id="2961"/>
      <w:bookmarkEnd w:id="2962"/>
      <w:bookmarkEnd w:id="2963"/>
      <w:bookmarkEnd w:id="2964"/>
      <w:bookmarkEnd w:id="2965"/>
      <w:bookmarkEnd w:id="2966"/>
      <w:bookmarkEnd w:id="2967"/>
    </w:p>
    <w:p w14:paraId="76A9E7B7">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eastAsia="宋体" w:cs="Times New Roman"/>
          <w:color w:val="auto"/>
          <w:kern w:val="0"/>
          <w:szCs w:val="24"/>
          <w:highlight w:val="none"/>
        </w:rPr>
        <w:t>但修复范围超出缺陷或损坏范围的，超出范围部分的修复费用由发包人承担。</w:t>
      </w:r>
    </w:p>
    <w:p w14:paraId="0E63DF55">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68" w:name="_Toc4408"/>
      <w:bookmarkStart w:id="2969" w:name="_Toc14258"/>
      <w:bookmarkStart w:id="2970" w:name="_Toc16504"/>
      <w:bookmarkStart w:id="2971" w:name="_Toc23286"/>
      <w:bookmarkStart w:id="2972" w:name="_Toc12042"/>
      <w:bookmarkStart w:id="2973" w:name="_Toc837"/>
      <w:bookmarkStart w:id="2974" w:name="_Toc1247"/>
      <w:bookmarkStart w:id="2975" w:name="_Toc30705"/>
      <w:bookmarkStart w:id="2976" w:name="_Toc28688"/>
      <w:r>
        <w:rPr>
          <w:rFonts w:ascii="宋体" w:hAnsi="宋体" w:eastAsia="宋体" w:cs="Times New Roman"/>
          <w:b/>
          <w:bCs/>
          <w:color w:val="auto"/>
          <w:kern w:val="0"/>
          <w:sz w:val="24"/>
          <w:szCs w:val="24"/>
          <w:highlight w:val="none"/>
          <w:lang w:val="en-US" w:eastAsia="zh-CN" w:bidi="ar-SA"/>
        </w:rPr>
        <w:t>承包人出入权</w:t>
      </w:r>
      <w:bookmarkEnd w:id="2968"/>
      <w:bookmarkEnd w:id="2969"/>
      <w:bookmarkEnd w:id="2970"/>
      <w:bookmarkEnd w:id="2971"/>
      <w:bookmarkEnd w:id="2972"/>
      <w:bookmarkEnd w:id="2973"/>
      <w:bookmarkEnd w:id="2974"/>
      <w:bookmarkEnd w:id="2975"/>
      <w:bookmarkEnd w:id="2976"/>
    </w:p>
    <w:p w14:paraId="5C0DCC84">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825575E">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977" w:name="_Toc32123"/>
      <w:bookmarkStart w:id="2978" w:name="_Toc35656506"/>
      <w:bookmarkStart w:id="2979" w:name="_Toc19927"/>
      <w:bookmarkStart w:id="2980" w:name="_Toc23111"/>
      <w:bookmarkStart w:id="2981" w:name="_Toc27558"/>
      <w:bookmarkStart w:id="2982" w:name="_Toc32224"/>
      <w:bookmarkStart w:id="2983" w:name="_Toc35657008"/>
      <w:bookmarkStart w:id="2984" w:name="_Toc34909160"/>
      <w:bookmarkStart w:id="2985" w:name="_Toc12412"/>
      <w:bookmarkStart w:id="2986" w:name="_Toc305331410"/>
      <w:bookmarkStart w:id="2987" w:name="_Toc17360"/>
      <w:bookmarkStart w:id="2988" w:name="_Toc302635914"/>
      <w:bookmarkStart w:id="2989" w:name="_Toc25858"/>
      <w:bookmarkStart w:id="2990" w:name="_Toc5274"/>
      <w:r>
        <w:rPr>
          <w:rFonts w:hint="eastAsia" w:ascii="华文细黑" w:hAnsi="宋体" w:eastAsia="宋体" w:cs="Times New Roman"/>
          <w:b/>
          <w:bCs/>
          <w:snapToGrid w:val="0"/>
          <w:color w:val="auto"/>
          <w:kern w:val="0"/>
          <w:sz w:val="28"/>
          <w:szCs w:val="44"/>
          <w:highlight w:val="none"/>
          <w:lang w:val="en-US" w:eastAsia="zh-CN" w:bidi="ar-SA"/>
        </w:rPr>
        <w:t>不可抗力</w:t>
      </w:r>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p>
    <w:p w14:paraId="2E2B2DED">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91" w:name="_Toc31463"/>
      <w:bookmarkStart w:id="2992" w:name="_Toc305331411"/>
      <w:bookmarkStart w:id="2993" w:name="_Toc25056"/>
      <w:bookmarkStart w:id="2994" w:name="_Toc25209"/>
      <w:bookmarkStart w:id="2995" w:name="_Toc28347"/>
      <w:bookmarkStart w:id="2996" w:name="_Toc18647"/>
      <w:bookmarkStart w:id="2997" w:name="_Toc302635915"/>
      <w:bookmarkStart w:id="2998" w:name="_Toc28153"/>
      <w:bookmarkStart w:id="2999" w:name="_Toc20154"/>
      <w:bookmarkStart w:id="3000" w:name="_Toc9873"/>
      <w:bookmarkStart w:id="3001" w:name="_Toc23789"/>
      <w:bookmarkStart w:id="3002" w:name="_Toc34909161"/>
      <w:r>
        <w:rPr>
          <w:rFonts w:hint="eastAsia" w:ascii="宋体" w:hAnsi="宋体" w:eastAsia="宋体" w:cs="Times New Roman"/>
          <w:b/>
          <w:bCs/>
          <w:color w:val="auto"/>
          <w:kern w:val="0"/>
          <w:sz w:val="24"/>
          <w:szCs w:val="24"/>
          <w:highlight w:val="none"/>
          <w:lang w:val="en-US" w:eastAsia="zh-CN" w:bidi="ar-SA"/>
        </w:rPr>
        <w:t>不可抗力包括范围</w:t>
      </w:r>
      <w:bookmarkEnd w:id="2991"/>
      <w:bookmarkEnd w:id="2992"/>
      <w:bookmarkEnd w:id="2993"/>
      <w:bookmarkEnd w:id="2994"/>
      <w:bookmarkEnd w:id="2995"/>
      <w:bookmarkEnd w:id="2996"/>
      <w:bookmarkEnd w:id="2997"/>
      <w:bookmarkEnd w:id="2998"/>
      <w:bookmarkEnd w:id="2999"/>
      <w:bookmarkEnd w:id="3000"/>
      <w:bookmarkEnd w:id="3001"/>
    </w:p>
    <w:p w14:paraId="4BAD308F">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Times New Roman" w:hAnsi="宋体" w:eastAsia="宋体" w:cs="Times New Roman"/>
          <w:color w:val="auto"/>
          <w:szCs w:val="24"/>
          <w:highlight w:val="none"/>
        </w:rPr>
        <w:t>不可抗力事件是指发包人和承包人在订立合同时无法预见，在合同履行过程中不可避免发生并不能克服的自然灾害和社会突发事件，</w:t>
      </w:r>
      <w:r>
        <w:rPr>
          <w:rFonts w:hint="eastAsia" w:ascii="宋体" w:hAnsi="宋体" w:eastAsia="宋体" w:cs="Times New Roman"/>
          <w:color w:val="auto"/>
          <w:kern w:val="0"/>
          <w:szCs w:val="24"/>
          <w:highlight w:val="none"/>
        </w:rPr>
        <w:t>包括战争、恐怖活动、动乱、瘟疫、空中飞行物体坠落或其他非发包人与承包人责任造成的爆炸、火灾，以及地震、洪涝和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约定的大风、暴雨、高温等自然灾害</w:t>
      </w:r>
      <w:r>
        <w:rPr>
          <w:rFonts w:hint="eastAsia" w:ascii="Times New Roman" w:hAnsi="宋体" w:eastAsia="宋体" w:cs="Times New Roman"/>
          <w:color w:val="auto"/>
          <w:szCs w:val="24"/>
          <w:highlight w:val="none"/>
        </w:rPr>
        <w:t>，以至于本合同部分或全部不能继续履行</w:t>
      </w:r>
      <w:r>
        <w:rPr>
          <w:rFonts w:hint="eastAsia" w:ascii="宋体" w:hAnsi="宋体" w:eastAsia="宋体" w:cs="Times New Roman"/>
          <w:color w:val="auto"/>
          <w:kern w:val="0"/>
          <w:szCs w:val="24"/>
          <w:highlight w:val="none"/>
        </w:rPr>
        <w:t>。</w:t>
      </w:r>
      <w:bookmarkEnd w:id="3002"/>
    </w:p>
    <w:p w14:paraId="3ECD9F84">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03" w:name="_Toc23306"/>
      <w:bookmarkStart w:id="3004" w:name="_Toc30977"/>
      <w:bookmarkStart w:id="3005" w:name="_Toc23879"/>
      <w:bookmarkStart w:id="3006" w:name="_Toc29644"/>
      <w:bookmarkStart w:id="3007" w:name="_Toc28882"/>
      <w:bookmarkStart w:id="3008" w:name="_Toc21140"/>
      <w:bookmarkStart w:id="3009" w:name="_Toc30921"/>
      <w:bookmarkStart w:id="3010" w:name="_Toc4919"/>
      <w:bookmarkStart w:id="3011" w:name="_Toc302635916"/>
      <w:bookmarkStart w:id="3012" w:name="_Toc16670"/>
      <w:bookmarkStart w:id="3013" w:name="_Toc305331412"/>
      <w:bookmarkStart w:id="3014" w:name="_Toc34909162"/>
      <w:r>
        <w:rPr>
          <w:rFonts w:hint="eastAsia" w:ascii="宋体" w:hAnsi="宋体" w:eastAsia="宋体" w:cs="Times New Roman"/>
          <w:b/>
          <w:bCs/>
          <w:color w:val="auto"/>
          <w:kern w:val="0"/>
          <w:sz w:val="24"/>
          <w:szCs w:val="24"/>
          <w:highlight w:val="none"/>
          <w:lang w:val="en-US" w:eastAsia="zh-CN" w:bidi="ar-SA"/>
        </w:rPr>
        <w:t>不可抗力的确认</w:t>
      </w:r>
      <w:bookmarkEnd w:id="3003"/>
      <w:bookmarkEnd w:id="3004"/>
      <w:bookmarkEnd w:id="3005"/>
      <w:bookmarkEnd w:id="3006"/>
      <w:bookmarkEnd w:id="3007"/>
      <w:bookmarkEnd w:id="3008"/>
      <w:bookmarkEnd w:id="3009"/>
      <w:bookmarkEnd w:id="3010"/>
      <w:bookmarkEnd w:id="3011"/>
      <w:bookmarkEnd w:id="3012"/>
    </w:p>
    <w:p w14:paraId="2C9D54A4">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不可抗力发生后，发包人和承包人应收集证明不可抗力发生及不可抗力造成损失的证据，并及时认真统计所造成的损失。承发包双方对是否属于不可抗力或其损失的意见不一致的，按第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的约定处理。</w:t>
      </w:r>
    </w:p>
    <w:p w14:paraId="40F7ED2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015" w:name="_Toc20061"/>
      <w:bookmarkStart w:id="3016" w:name="_Toc16067"/>
      <w:bookmarkStart w:id="3017" w:name="_Toc19777"/>
      <w:bookmarkStart w:id="3018" w:name="_Toc3707"/>
      <w:bookmarkStart w:id="3019" w:name="_Toc3587"/>
      <w:bookmarkStart w:id="3020" w:name="_Toc9268"/>
      <w:bookmarkStart w:id="3021" w:name="_Toc10369"/>
      <w:bookmarkStart w:id="3022" w:name="_Toc302635917"/>
      <w:bookmarkStart w:id="3023" w:name="_Toc18568"/>
      <w:bookmarkStart w:id="3024" w:name="_Toc26982"/>
      <w:r>
        <w:rPr>
          <w:rFonts w:hint="eastAsia" w:ascii="宋体" w:hAnsi="宋体" w:eastAsia="宋体" w:cs="Times New Roman"/>
          <w:b/>
          <w:bCs/>
          <w:color w:val="auto"/>
          <w:kern w:val="0"/>
          <w:sz w:val="24"/>
          <w:szCs w:val="24"/>
          <w:highlight w:val="none"/>
          <w:lang w:val="en-US" w:eastAsia="zh-CN" w:bidi="ar-SA"/>
        </w:rPr>
        <w:t>不可抗力处理程序</w:t>
      </w:r>
      <w:bookmarkEnd w:id="3013"/>
      <w:bookmarkEnd w:id="3015"/>
      <w:bookmarkEnd w:id="3016"/>
      <w:bookmarkEnd w:id="3017"/>
      <w:bookmarkEnd w:id="3018"/>
      <w:bookmarkEnd w:id="3019"/>
      <w:bookmarkEnd w:id="3020"/>
      <w:bookmarkEnd w:id="3021"/>
      <w:bookmarkEnd w:id="3022"/>
      <w:bookmarkEnd w:id="3023"/>
      <w:bookmarkEnd w:id="3024"/>
    </w:p>
    <w:p w14:paraId="534AB7F5">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⑴不可抗力事件发生后，承包人应立即通知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，并在力所能及的条件下迅速采取措施，尽力减少损失，发包人应协助承包人采取措施。</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认为应暂停施工的，承包人应暂停施工。不可抗力事件结束后48小时内承包人向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通报受害情况以及预计清理和修复的费用。不可抗力事件持续发生，承包人应每隔7天向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报告一次受害情况。不可抗力事件结束后14天内，承包人向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提交清理和修复费用的正式报告及有关资料。</w:t>
      </w:r>
      <w:bookmarkEnd w:id="3014"/>
    </w:p>
    <w:p w14:paraId="1DD05A98">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025" w:name="_Toc34909163"/>
      <w:r>
        <w:rPr>
          <w:rFonts w:hint="eastAsia" w:ascii="宋体" w:hAnsi="宋体" w:eastAsia="宋体" w:cs="Times New Roman"/>
          <w:color w:val="auto"/>
          <w:kern w:val="0"/>
          <w:szCs w:val="24"/>
          <w:highlight w:val="none"/>
        </w:rPr>
        <w:t>⑵本工程的有关各方均应始终尽所有合理的努力，使不可抗力对本工程及履行本合同造成的损失减至最小。</w:t>
      </w:r>
      <w:bookmarkEnd w:id="3025"/>
      <w:bookmarkStart w:id="3026" w:name="_Toc34909165"/>
    </w:p>
    <w:p w14:paraId="1BD657F3">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⑶因发包人和承包人一方迟延履行合同后发生不可抗力的，</w:t>
      </w:r>
      <w:bookmarkEnd w:id="3026"/>
      <w:r>
        <w:rPr>
          <w:rFonts w:hint="eastAsia" w:ascii="宋体" w:hAnsi="宋体" w:eastAsia="宋体" w:cs="Times New Roman"/>
          <w:color w:val="auto"/>
          <w:kern w:val="0"/>
          <w:szCs w:val="24"/>
          <w:highlight w:val="none"/>
        </w:rPr>
        <w:t>不能免除迟延履行方的迟延履行责任。</w:t>
      </w:r>
    </w:p>
    <w:p w14:paraId="39DDCB53">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27" w:name="_Toc6246"/>
      <w:bookmarkStart w:id="3028" w:name="_Toc30612"/>
      <w:bookmarkStart w:id="3029" w:name="_Toc2650"/>
      <w:bookmarkStart w:id="3030" w:name="_Toc5395"/>
      <w:bookmarkStart w:id="3031" w:name="_Toc31805"/>
      <w:bookmarkStart w:id="3032" w:name="_Toc302635918"/>
      <w:bookmarkStart w:id="3033" w:name="_Toc28061"/>
      <w:bookmarkStart w:id="3034" w:name="_Toc31903"/>
      <w:bookmarkStart w:id="3035" w:name="_Toc20385"/>
      <w:bookmarkStart w:id="3036" w:name="_Toc305331413"/>
      <w:bookmarkStart w:id="3037" w:name="_Toc21836"/>
      <w:bookmarkStart w:id="3038" w:name="_Toc34909164"/>
      <w:r>
        <w:rPr>
          <w:rFonts w:hint="eastAsia" w:ascii="宋体" w:hAnsi="宋体" w:eastAsia="宋体" w:cs="Times New Roman"/>
          <w:b/>
          <w:bCs/>
          <w:color w:val="auto"/>
          <w:kern w:val="0"/>
          <w:sz w:val="24"/>
          <w:szCs w:val="24"/>
          <w:highlight w:val="none"/>
          <w:lang w:val="en-US" w:eastAsia="zh-CN" w:bidi="ar-SA"/>
        </w:rPr>
        <w:t>不可抗力损失费用承担</w:t>
      </w:r>
      <w:bookmarkEnd w:id="3027"/>
      <w:bookmarkEnd w:id="3028"/>
      <w:bookmarkEnd w:id="3029"/>
      <w:bookmarkEnd w:id="3030"/>
      <w:bookmarkEnd w:id="3031"/>
      <w:bookmarkEnd w:id="3032"/>
      <w:bookmarkEnd w:id="3033"/>
      <w:bookmarkEnd w:id="3034"/>
      <w:bookmarkEnd w:id="3035"/>
      <w:bookmarkEnd w:id="3036"/>
      <w:bookmarkEnd w:id="3037"/>
    </w:p>
    <w:p w14:paraId="4299AFE8">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因不可抗力事件导致的费用及延误的工期由发包人和承包人按以下方法分别承担：</w:t>
      </w:r>
      <w:bookmarkEnd w:id="3038"/>
    </w:p>
    <w:p w14:paraId="59F3585A">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工程本身的损害、因工程损害导致第三人人员伤亡和财产损失以及运至施工场地用于施工的材料和待安装的设备的损害，由发包人承担；</w:t>
      </w:r>
    </w:p>
    <w:p w14:paraId="15F5875A">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发包人、承包人人员伤亡由其所在单位负责，并承担相应费用；</w:t>
      </w:r>
    </w:p>
    <w:p w14:paraId="32AF70B7">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承包人装备损坏、用于本工程的周转材料损坏及停工损失，由承包人承担；发包人提供的施工机械、设备发生损坏，由发包人承担；</w:t>
      </w:r>
    </w:p>
    <w:p w14:paraId="4E0CEDD0">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w:t>
      </w:r>
      <w:r>
        <w:rPr>
          <w:rFonts w:hint="eastAsia" w:ascii="宋体" w:hAnsi="宋体" w:eastAsia="宋体" w:cs="Times New Roman"/>
          <w:color w:val="auto"/>
          <w:kern w:val="0"/>
          <w:szCs w:val="24"/>
          <w:highlight w:val="none"/>
        </w:rPr>
        <w:t>因不可抗力导致停工期间，承包人应发包人或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要求留在施工场地的必要的管理人员及保卫人员的费用由发包人承担；</w:t>
      </w:r>
    </w:p>
    <w:p w14:paraId="32129669">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工程所需清理、修复费用，由发包人承担；</w:t>
      </w:r>
    </w:p>
    <w:p w14:paraId="17ED2478">
      <w:pPr>
        <w:tabs>
          <w:tab w:val="left" w:pos="1620"/>
          <w:tab w:val="left" w:pos="2340"/>
        </w:tabs>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⑹</w:t>
      </w:r>
      <w:r>
        <w:rPr>
          <w:rFonts w:hint="eastAsia" w:ascii="宋体" w:hAnsi="宋体" w:eastAsia="宋体" w:cs="Times New Roman"/>
          <w:color w:val="auto"/>
          <w:kern w:val="0"/>
          <w:szCs w:val="24"/>
          <w:highlight w:val="none"/>
        </w:rPr>
        <w:t>延误的工期相应顺延。</w:t>
      </w:r>
    </w:p>
    <w:p w14:paraId="388A06D8">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039" w:name="_Toc14231"/>
      <w:bookmarkStart w:id="3040" w:name="_Toc20384"/>
      <w:bookmarkStart w:id="3041" w:name="_Toc35657010"/>
      <w:bookmarkStart w:id="3042" w:name="_Toc278"/>
      <w:bookmarkStart w:id="3043" w:name="_Toc302635920"/>
      <w:bookmarkStart w:id="3044" w:name="_Toc21308"/>
      <w:bookmarkStart w:id="3045" w:name="_Toc34909168"/>
      <w:bookmarkStart w:id="3046" w:name="_Toc11798"/>
      <w:bookmarkStart w:id="3047" w:name="_Toc10715"/>
      <w:bookmarkStart w:id="3048" w:name="_Toc17387"/>
      <w:bookmarkStart w:id="3049" w:name="_Toc35656508"/>
      <w:bookmarkStart w:id="3050" w:name="_Toc20608"/>
      <w:bookmarkStart w:id="3051" w:name="_Toc16797"/>
      <w:bookmarkStart w:id="3052" w:name="_Toc305331414"/>
      <w:r>
        <w:rPr>
          <w:rFonts w:hint="eastAsia" w:ascii="华文细黑" w:hAnsi="宋体" w:eastAsia="宋体" w:cs="Times New Roman"/>
          <w:b/>
          <w:bCs/>
          <w:snapToGrid w:val="0"/>
          <w:color w:val="auto"/>
          <w:kern w:val="0"/>
          <w:sz w:val="28"/>
          <w:szCs w:val="44"/>
          <w:highlight w:val="none"/>
          <w:lang w:val="en-US" w:eastAsia="zh-CN" w:bidi="ar-SA"/>
        </w:rPr>
        <w:t>保险</w:t>
      </w:r>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p>
    <w:p w14:paraId="134DB97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053" w:name="_Toc11307"/>
      <w:bookmarkStart w:id="3054" w:name="_Toc12447"/>
      <w:bookmarkStart w:id="3055" w:name="_Toc26921"/>
      <w:bookmarkStart w:id="3056" w:name="_Toc18394"/>
      <w:bookmarkStart w:id="3057" w:name="_Toc18509"/>
      <w:bookmarkStart w:id="3058" w:name="_Toc17682"/>
      <w:bookmarkStart w:id="3059" w:name="_Toc7100"/>
      <w:bookmarkStart w:id="3060" w:name="_Toc1084"/>
      <w:bookmarkStart w:id="3061" w:name="_Toc302635921"/>
      <w:bookmarkStart w:id="3062" w:name="_Toc1210"/>
      <w:bookmarkStart w:id="3063" w:name="_Toc305331415"/>
      <w:bookmarkStart w:id="3064" w:name="_Toc34909169"/>
      <w:r>
        <w:rPr>
          <w:rFonts w:hint="eastAsia" w:ascii="宋体" w:hAnsi="宋体" w:eastAsia="宋体" w:cs="Times New Roman"/>
          <w:b/>
          <w:bCs/>
          <w:color w:val="auto"/>
          <w:kern w:val="0"/>
          <w:sz w:val="24"/>
          <w:szCs w:val="24"/>
          <w:highlight w:val="none"/>
          <w:lang w:val="en-US" w:eastAsia="zh-CN" w:bidi="ar-SA"/>
        </w:rPr>
        <w:t>发包人办理的保险</w:t>
      </w:r>
      <w:bookmarkEnd w:id="3053"/>
      <w:bookmarkEnd w:id="3054"/>
      <w:bookmarkEnd w:id="3055"/>
      <w:bookmarkEnd w:id="3056"/>
      <w:bookmarkEnd w:id="3057"/>
      <w:bookmarkEnd w:id="3058"/>
      <w:bookmarkEnd w:id="3059"/>
      <w:bookmarkEnd w:id="3060"/>
      <w:bookmarkEnd w:id="3061"/>
      <w:bookmarkEnd w:id="3062"/>
      <w:bookmarkEnd w:id="3063"/>
    </w:p>
    <w:p w14:paraId="1A2448B4">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工程开工前，发包人应为本工程、施工场地内的自有人员、第三者人员生命财产、</w:t>
      </w:r>
      <w:r>
        <w:rPr>
          <w:rFonts w:hint="eastAsia" w:ascii="Times New Roman" w:hAnsi="宋体" w:eastAsia="宋体" w:cs="Times New Roman"/>
          <w:color w:val="auto"/>
          <w:szCs w:val="24"/>
          <w:highlight w:val="none"/>
        </w:rPr>
        <w:t>运至施工场地内用于永久工程的材料和待安装设备</w:t>
      </w:r>
      <w:r>
        <w:rPr>
          <w:rFonts w:hint="eastAsia" w:ascii="宋体" w:hAnsi="宋体" w:eastAsia="宋体" w:cs="Times New Roman"/>
          <w:color w:val="auto"/>
          <w:kern w:val="0"/>
          <w:szCs w:val="24"/>
          <w:highlight w:val="none"/>
        </w:rPr>
        <w:t>办理保险，支付保险费用。</w:t>
      </w:r>
      <w:r>
        <w:rPr>
          <w:rFonts w:hint="eastAsia" w:ascii="Times New Roman" w:hAnsi="宋体" w:eastAsia="宋体" w:cs="Times New Roman"/>
          <w:color w:val="auto"/>
          <w:szCs w:val="24"/>
          <w:highlight w:val="none"/>
        </w:rPr>
        <w:t>保险期从开工之日起至工程竣工验收合格之日止。</w:t>
      </w:r>
      <w:r>
        <w:rPr>
          <w:rFonts w:hint="eastAsia" w:ascii="宋体" w:hAnsi="宋体" w:eastAsia="宋体" w:cs="Times New Roman"/>
          <w:color w:val="auto"/>
          <w:kern w:val="0"/>
          <w:szCs w:val="24"/>
          <w:highlight w:val="none"/>
        </w:rPr>
        <w:t>发包人可以按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的约定将上述有关保险事项委托承包人办理，费用由发包人承担。</w:t>
      </w:r>
    </w:p>
    <w:p w14:paraId="3EA19C62">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65" w:name="_Toc4365"/>
      <w:bookmarkStart w:id="3066" w:name="_Toc305331416"/>
      <w:bookmarkStart w:id="3067" w:name="_Toc30971"/>
      <w:bookmarkStart w:id="3068" w:name="_Toc16934"/>
      <w:bookmarkStart w:id="3069" w:name="_Toc32438"/>
      <w:bookmarkStart w:id="3070" w:name="_Toc5431"/>
      <w:bookmarkStart w:id="3071" w:name="_Toc20296"/>
      <w:bookmarkStart w:id="3072" w:name="_Toc22445"/>
      <w:bookmarkStart w:id="3073" w:name="_Toc302635922"/>
      <w:bookmarkStart w:id="3074" w:name="_Toc9710"/>
      <w:bookmarkStart w:id="3075" w:name="_Toc32710"/>
      <w:r>
        <w:rPr>
          <w:rFonts w:hint="eastAsia" w:ascii="宋体" w:hAnsi="宋体" w:eastAsia="宋体" w:cs="Times New Roman"/>
          <w:b/>
          <w:bCs/>
          <w:color w:val="auto"/>
          <w:kern w:val="0"/>
          <w:sz w:val="24"/>
          <w:szCs w:val="24"/>
          <w:highlight w:val="none"/>
          <w:lang w:val="en-US" w:eastAsia="zh-CN" w:bidi="ar-SA"/>
        </w:rPr>
        <w:t>承包人办理的保险</w:t>
      </w:r>
      <w:bookmarkEnd w:id="3065"/>
      <w:bookmarkEnd w:id="3066"/>
      <w:bookmarkEnd w:id="3067"/>
      <w:bookmarkEnd w:id="3068"/>
      <w:bookmarkEnd w:id="3069"/>
      <w:bookmarkEnd w:id="3070"/>
      <w:bookmarkEnd w:id="3071"/>
      <w:bookmarkEnd w:id="3072"/>
      <w:bookmarkEnd w:id="3073"/>
      <w:bookmarkEnd w:id="3074"/>
      <w:bookmarkEnd w:id="3075"/>
    </w:p>
    <w:p w14:paraId="2D5BCBE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承包人必须为从事危险作业的职工办理意外伤害保险，并为施工场地内的自有人员生命财产及施工机械设备办理保险，支付保险费用。</w:t>
      </w:r>
      <w:r>
        <w:rPr>
          <w:rFonts w:hint="eastAsia" w:ascii="Times New Roman" w:hAnsi="宋体" w:eastAsia="宋体" w:cs="Times New Roman"/>
          <w:color w:val="auto"/>
          <w:szCs w:val="24"/>
          <w:highlight w:val="none"/>
        </w:rPr>
        <w:t>保险期从开工之日起至工程竣工验收合格之日止。</w:t>
      </w:r>
      <w:r>
        <w:rPr>
          <w:rFonts w:ascii="宋体" w:hAnsi="宋体" w:eastAsia="宋体" w:cs="Times New Roman"/>
          <w:color w:val="auto"/>
          <w:kern w:val="0"/>
          <w:szCs w:val="24"/>
          <w:highlight w:val="none"/>
        </w:rPr>
        <w:t>承包人在保险投保时还必须符合深圳市</w:t>
      </w:r>
      <w:r>
        <w:rPr>
          <w:rFonts w:hint="eastAsia" w:ascii="宋体" w:hAnsi="宋体" w:eastAsia="宋体" w:cs="Times New Roman"/>
          <w:color w:val="auto"/>
          <w:kern w:val="0"/>
          <w:szCs w:val="24"/>
          <w:highlight w:val="none"/>
        </w:rPr>
        <w:t>有关员工和机械、设备保险办理规定。对于分包人的人员，此类保险应由分包人投保，但承包人应对其符合本条规定负责。</w:t>
      </w:r>
    </w:p>
    <w:p w14:paraId="2D613359">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76" w:name="_Toc10093"/>
      <w:bookmarkStart w:id="3077" w:name="_Toc9943"/>
      <w:bookmarkStart w:id="3078" w:name="_Toc29465"/>
      <w:bookmarkStart w:id="3079" w:name="_Toc16894"/>
      <w:bookmarkStart w:id="3080" w:name="_Toc798"/>
      <w:bookmarkStart w:id="3081" w:name="_Toc305331417"/>
      <w:bookmarkStart w:id="3082" w:name="_Toc302635923"/>
      <w:bookmarkStart w:id="3083" w:name="_Toc3002"/>
      <w:bookmarkStart w:id="3084" w:name="_Toc42"/>
      <w:bookmarkStart w:id="3085" w:name="_Toc1902"/>
      <w:bookmarkStart w:id="3086" w:name="_Toc29288"/>
      <w:r>
        <w:rPr>
          <w:rFonts w:hint="eastAsia" w:ascii="宋体" w:hAnsi="宋体" w:eastAsia="宋体" w:cs="Times New Roman"/>
          <w:b/>
          <w:bCs/>
          <w:color w:val="auto"/>
          <w:kern w:val="0"/>
          <w:sz w:val="24"/>
          <w:szCs w:val="24"/>
          <w:highlight w:val="none"/>
          <w:lang w:val="en-US" w:eastAsia="zh-CN" w:bidi="ar-SA"/>
        </w:rPr>
        <w:t>投保人责任</w:t>
      </w:r>
      <w:bookmarkEnd w:id="3076"/>
      <w:bookmarkEnd w:id="3077"/>
      <w:bookmarkEnd w:id="3078"/>
      <w:bookmarkEnd w:id="3079"/>
      <w:bookmarkEnd w:id="3080"/>
      <w:bookmarkEnd w:id="3081"/>
      <w:bookmarkEnd w:id="3082"/>
      <w:bookmarkEnd w:id="3083"/>
      <w:bookmarkEnd w:id="3084"/>
      <w:bookmarkEnd w:id="3085"/>
      <w:bookmarkEnd w:id="3086"/>
    </w:p>
    <w:p w14:paraId="6C00712D">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⑴发包人和承包人中一方应向另一方提供按本合同要求其投保的各项保险已经生效的证明。</w:t>
      </w:r>
    </w:p>
    <w:p w14:paraId="785269AB">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⑵当合同工程施工的性质、规模或工期以及人员发生变更时，被保险人应及时通知保险公司，并在合同履行期间按本合同保险条款的规定保证足够的保险额，因而造成的费用由责任人承担。</w:t>
      </w:r>
    </w:p>
    <w:p w14:paraId="4F3E151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087" w:name="_Toc1903"/>
      <w:bookmarkStart w:id="3088" w:name="_Toc2195"/>
      <w:bookmarkStart w:id="3089" w:name="_Toc305331418"/>
      <w:bookmarkStart w:id="3090" w:name="_Toc302635924"/>
      <w:bookmarkStart w:id="3091" w:name="_Toc26624"/>
      <w:bookmarkStart w:id="3092" w:name="_Toc23698"/>
      <w:bookmarkStart w:id="3093" w:name="_Toc21890"/>
      <w:bookmarkStart w:id="3094" w:name="_Toc22806"/>
      <w:bookmarkStart w:id="3095" w:name="_Toc20220"/>
      <w:bookmarkStart w:id="3096" w:name="_Toc3742"/>
      <w:bookmarkStart w:id="3097" w:name="_Toc8244"/>
      <w:r>
        <w:rPr>
          <w:rFonts w:hint="eastAsia" w:ascii="宋体" w:hAnsi="宋体" w:eastAsia="宋体" w:cs="Times New Roman"/>
          <w:b/>
          <w:bCs/>
          <w:color w:val="auto"/>
          <w:kern w:val="0"/>
          <w:sz w:val="24"/>
          <w:szCs w:val="24"/>
          <w:highlight w:val="none"/>
          <w:lang w:val="en-US" w:eastAsia="zh-CN" w:bidi="ar-SA"/>
        </w:rPr>
        <w:t>保险理赔</w:t>
      </w:r>
      <w:bookmarkEnd w:id="3087"/>
      <w:bookmarkEnd w:id="3088"/>
      <w:bookmarkEnd w:id="3089"/>
      <w:bookmarkEnd w:id="3090"/>
      <w:bookmarkEnd w:id="3091"/>
      <w:bookmarkEnd w:id="3092"/>
      <w:bookmarkEnd w:id="3093"/>
      <w:bookmarkEnd w:id="3094"/>
      <w:bookmarkEnd w:id="3095"/>
      <w:bookmarkEnd w:id="3096"/>
      <w:bookmarkEnd w:id="3097"/>
    </w:p>
    <w:p w14:paraId="4473B73D">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当发生本工程承保项目的损失或损害时，被保险人应在风险发生后及时向保险公司提供损失情况和估价报告，如损失继续发生，被保险人在递交第一次报告后每7天报告一次，直到损害结束。发包人和承包人中一方应协助另一方做好向保险公司的报告和索赔工作。</w:t>
      </w:r>
      <w:bookmarkEnd w:id="3064"/>
    </w:p>
    <w:p w14:paraId="754C1BC7">
      <w:pPr>
        <w:tabs>
          <w:tab w:val="left" w:pos="1620"/>
          <w:tab w:val="left" w:pos="2340"/>
        </w:tabs>
        <w:spacing w:after="156"/>
        <w:ind w:left="899"/>
        <w:jc w:val="left"/>
        <w:rPr>
          <w:rFonts w:ascii="宋体" w:hAnsi="宋体" w:eastAsia="宋体" w:cs="Times New Roman"/>
          <w:color w:val="auto"/>
          <w:kern w:val="0"/>
          <w:szCs w:val="24"/>
          <w:highlight w:val="none"/>
        </w:rPr>
      </w:pPr>
      <w:bookmarkStart w:id="3098" w:name="_Toc34909177"/>
      <w:r>
        <w:rPr>
          <w:rFonts w:hint="eastAsia" w:ascii="宋体" w:hAnsi="宋体" w:eastAsia="宋体" w:cs="Times New Roman"/>
          <w:color w:val="auto"/>
          <w:kern w:val="0"/>
          <w:szCs w:val="24"/>
          <w:highlight w:val="none"/>
        </w:rPr>
        <w:t>⑵从保险公司收到的因合同工程本身损失或损坏的保险赔偿金,应专款用于修复合同工程这些损失或损坏，或作为对未能修复合同工程这些损失或损坏的补偿。</w:t>
      </w:r>
    </w:p>
    <w:p w14:paraId="5128D2DB">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99" w:name="_Toc3370"/>
      <w:bookmarkStart w:id="3100" w:name="_Toc15246"/>
      <w:bookmarkStart w:id="3101" w:name="_Toc30750"/>
      <w:bookmarkStart w:id="3102" w:name="_Toc6525"/>
      <w:bookmarkStart w:id="3103" w:name="_Toc4535"/>
      <w:bookmarkStart w:id="3104" w:name="_Toc23176"/>
      <w:bookmarkStart w:id="3105" w:name="_Toc8751"/>
      <w:bookmarkStart w:id="3106" w:name="_Toc5474"/>
      <w:bookmarkStart w:id="3107" w:name="_Toc20424"/>
      <w:bookmarkStart w:id="3108" w:name="_Toc302635925"/>
      <w:r>
        <w:rPr>
          <w:rFonts w:hint="eastAsia" w:ascii="宋体" w:hAnsi="宋体" w:eastAsia="宋体" w:cs="Times New Roman"/>
          <w:b/>
          <w:bCs/>
          <w:color w:val="auto"/>
          <w:kern w:val="0"/>
          <w:sz w:val="24"/>
          <w:szCs w:val="24"/>
          <w:highlight w:val="none"/>
          <w:lang w:val="en-US" w:eastAsia="zh-CN" w:bidi="ar-SA"/>
        </w:rPr>
        <w:t>未按约定投保的补救</w:t>
      </w:r>
      <w:bookmarkEnd w:id="3099"/>
      <w:bookmarkEnd w:id="3100"/>
      <w:bookmarkEnd w:id="3101"/>
      <w:bookmarkEnd w:id="3102"/>
      <w:bookmarkEnd w:id="3103"/>
      <w:bookmarkEnd w:id="3104"/>
      <w:bookmarkEnd w:id="3105"/>
      <w:bookmarkEnd w:id="3106"/>
      <w:bookmarkEnd w:id="3107"/>
      <w:bookmarkEnd w:id="3108"/>
    </w:p>
    <w:p w14:paraId="4D4273E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发包人未按合同约定办理保险，或未能使保险持续有效的，则承包人可代为办理，所需费用由发包人承担。发包人未按合同约定办理保险，导致未能得到足额赔偿的，由发包人负责补足。</w:t>
      </w:r>
    </w:p>
    <w:p w14:paraId="786E0D7C">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承包人未按合同约定办理保险，或未能使保险持续有效的，则发包人可代为办理，所需费用由承包人承担。承包人未按合同约定办理保险，导致未能得到足额赔偿的，由承包人负责补足。</w:t>
      </w:r>
    </w:p>
    <w:bookmarkEnd w:id="3098"/>
    <w:p w14:paraId="1826A633">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109" w:name="_Toc34909180"/>
      <w:bookmarkStart w:id="3110" w:name="_Toc35656509"/>
      <w:bookmarkStart w:id="3111" w:name="_Toc302635926"/>
      <w:bookmarkStart w:id="3112" w:name="_Toc24913"/>
      <w:bookmarkStart w:id="3113" w:name="_Toc9562"/>
      <w:bookmarkStart w:id="3114" w:name="_Toc26916"/>
      <w:bookmarkStart w:id="3115" w:name="_Toc35657011"/>
      <w:bookmarkStart w:id="3116" w:name="_Toc6112"/>
      <w:bookmarkStart w:id="3117" w:name="_Toc29429"/>
      <w:bookmarkStart w:id="3118" w:name="_Toc305331419"/>
      <w:bookmarkStart w:id="3119" w:name="_Toc7149"/>
      <w:bookmarkStart w:id="3120" w:name="_Toc5051"/>
      <w:bookmarkStart w:id="3121" w:name="_Toc2312"/>
      <w:bookmarkStart w:id="3122" w:name="_Toc16727"/>
      <w:r>
        <w:rPr>
          <w:rFonts w:hint="eastAsia" w:ascii="华文细黑" w:hAnsi="宋体" w:eastAsia="宋体" w:cs="Times New Roman"/>
          <w:b/>
          <w:bCs/>
          <w:snapToGrid w:val="0"/>
          <w:color w:val="auto"/>
          <w:kern w:val="0"/>
          <w:sz w:val="28"/>
          <w:szCs w:val="44"/>
          <w:highlight w:val="none"/>
          <w:lang w:val="en-US" w:eastAsia="zh-CN" w:bidi="ar-SA"/>
        </w:rPr>
        <w:t>工程担保</w:t>
      </w:r>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p>
    <w:p w14:paraId="68D35CF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23" w:name="_Toc18314"/>
      <w:bookmarkStart w:id="3124" w:name="_Toc302635927"/>
      <w:bookmarkStart w:id="3125" w:name="_Toc9909"/>
      <w:bookmarkStart w:id="3126" w:name="_Toc19948"/>
      <w:bookmarkStart w:id="3127" w:name="_Toc305331420"/>
      <w:bookmarkStart w:id="3128" w:name="_Toc15469"/>
      <w:bookmarkStart w:id="3129" w:name="_Toc1934"/>
      <w:bookmarkStart w:id="3130" w:name="_Toc30328"/>
      <w:bookmarkStart w:id="3131" w:name="_Toc19209"/>
      <w:bookmarkStart w:id="3132" w:name="_Toc1534"/>
      <w:bookmarkStart w:id="3133" w:name="_Toc18119"/>
      <w:bookmarkStart w:id="3134" w:name="_Toc34909181"/>
      <w:r>
        <w:rPr>
          <w:rFonts w:hint="eastAsia" w:ascii="宋体" w:hAnsi="宋体" w:eastAsia="宋体" w:cs="Times New Roman"/>
          <w:b/>
          <w:bCs/>
          <w:color w:val="auto"/>
          <w:kern w:val="0"/>
          <w:sz w:val="24"/>
          <w:szCs w:val="24"/>
          <w:highlight w:val="none"/>
          <w:lang w:val="en-US" w:eastAsia="zh-CN" w:bidi="ar-SA"/>
        </w:rPr>
        <w:t>履约担保</w:t>
      </w:r>
      <w:bookmarkEnd w:id="3123"/>
      <w:bookmarkEnd w:id="3124"/>
      <w:bookmarkEnd w:id="3125"/>
      <w:bookmarkEnd w:id="3126"/>
      <w:bookmarkEnd w:id="3127"/>
      <w:bookmarkEnd w:id="3128"/>
      <w:bookmarkEnd w:id="3129"/>
      <w:bookmarkEnd w:id="3130"/>
      <w:bookmarkEnd w:id="3131"/>
      <w:bookmarkEnd w:id="3132"/>
      <w:bookmarkEnd w:id="3133"/>
    </w:p>
    <w:p w14:paraId="664D334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约定的金额和方式向发包人提交履约担保，履约担保应由保证人(银行、保险公司、担保公司)出具。</w:t>
      </w:r>
      <w:bookmarkEnd w:id="3134"/>
    </w:p>
    <w:p w14:paraId="394A807C">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135" w:name="_Toc34909184"/>
      <w:bookmarkStart w:id="3136" w:name="_Toc34909182"/>
      <w:r>
        <w:rPr>
          <w:rFonts w:hint="eastAsia" w:ascii="宋体" w:hAnsi="宋体" w:eastAsia="宋体" w:cs="Times New Roman"/>
          <w:color w:val="auto"/>
          <w:kern w:val="0"/>
          <w:szCs w:val="24"/>
          <w:highlight w:val="none"/>
        </w:rPr>
        <w:t>⑵履约担保的有效期应截止到本工程竣工验收合格之日。本工程实际竣工验收合格之日之前履约担保的有效期已过的，承包人应及时续保。发包人应在本工程实际竣工验收合格之日后14天内将履约担保退还给承包人。</w:t>
      </w:r>
      <w:bookmarkEnd w:id="3135"/>
    </w:p>
    <w:p w14:paraId="069CCA15">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37" w:name="_Toc16388"/>
      <w:bookmarkStart w:id="3138" w:name="_Toc21257"/>
      <w:bookmarkStart w:id="3139" w:name="_Toc12505"/>
      <w:bookmarkStart w:id="3140" w:name="_Toc103"/>
      <w:bookmarkStart w:id="3141" w:name="_Toc302635928"/>
      <w:bookmarkStart w:id="3142" w:name="_Toc2984"/>
      <w:bookmarkStart w:id="3143" w:name="_Toc3546"/>
      <w:bookmarkStart w:id="3144" w:name="_Toc4644"/>
      <w:bookmarkStart w:id="3145" w:name="_Toc28845"/>
      <w:bookmarkStart w:id="3146" w:name="_Toc24642"/>
      <w:bookmarkStart w:id="3147" w:name="_Toc305331421"/>
      <w:r>
        <w:rPr>
          <w:rFonts w:hint="eastAsia" w:ascii="宋体" w:hAnsi="宋体" w:eastAsia="宋体" w:cs="Times New Roman"/>
          <w:b/>
          <w:bCs/>
          <w:color w:val="auto"/>
          <w:kern w:val="0"/>
          <w:sz w:val="24"/>
          <w:szCs w:val="24"/>
          <w:highlight w:val="none"/>
          <w:lang w:val="en-US" w:eastAsia="zh-CN" w:bidi="ar-SA"/>
        </w:rPr>
        <w:t>支付担保</w:t>
      </w:r>
      <w:bookmarkEnd w:id="3137"/>
      <w:bookmarkEnd w:id="3138"/>
      <w:bookmarkEnd w:id="3139"/>
      <w:bookmarkEnd w:id="3140"/>
      <w:bookmarkEnd w:id="3141"/>
      <w:bookmarkEnd w:id="3142"/>
      <w:bookmarkEnd w:id="3143"/>
      <w:bookmarkEnd w:id="3144"/>
      <w:bookmarkEnd w:id="3145"/>
      <w:bookmarkEnd w:id="3146"/>
      <w:bookmarkEnd w:id="3147"/>
    </w:p>
    <w:p w14:paraId="7F4518B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⑴发包人和承包人在签订本合同的同时，发包人应按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约定的金额和方式向承包人提交支付担保，支付担保应由保证人(银行、保险公司、担保公司)出具。</w:t>
      </w:r>
      <w:bookmarkEnd w:id="3136"/>
    </w:p>
    <w:p w14:paraId="2FFB1A15">
      <w:pPr>
        <w:tabs>
          <w:tab w:val="left" w:pos="1620"/>
          <w:tab w:val="left" w:pos="2340"/>
        </w:tabs>
        <w:spacing w:after="156"/>
        <w:ind w:left="899"/>
        <w:jc w:val="left"/>
        <w:rPr>
          <w:rFonts w:ascii="宋体" w:hAnsi="宋体" w:eastAsia="宋体" w:cs="Times New Roman"/>
          <w:color w:val="auto"/>
          <w:kern w:val="0"/>
          <w:szCs w:val="24"/>
          <w:highlight w:val="none"/>
        </w:rPr>
      </w:pPr>
      <w:bookmarkStart w:id="3148" w:name="_Toc34909185"/>
      <w:r>
        <w:rPr>
          <w:rFonts w:hint="eastAsia" w:ascii="宋体" w:hAnsi="宋体" w:eastAsia="宋体" w:cs="Times New Roman"/>
          <w:color w:val="auto"/>
          <w:kern w:val="0"/>
          <w:szCs w:val="24"/>
          <w:highlight w:val="none"/>
        </w:rPr>
        <w:t>⑵支付担保的有效期应截止到发包人根据本合同约定完成了除质量保证金以外的全部工程结算款项支付之日。上述款项实际完成支付之前支付担保的有效期已过的，发包人应及时续保。承包人应在上述款项实际完成支付之日后14天内将支付担保退还发包人。</w:t>
      </w:r>
      <w:bookmarkEnd w:id="3148"/>
    </w:p>
    <w:p w14:paraId="4AFC6C72">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49" w:name="_Toc19420"/>
      <w:bookmarkStart w:id="3150" w:name="_Toc22431"/>
      <w:bookmarkStart w:id="3151" w:name="_Toc4894"/>
      <w:bookmarkStart w:id="3152" w:name="_Toc8704"/>
      <w:bookmarkStart w:id="3153" w:name="_Toc13917"/>
      <w:bookmarkStart w:id="3154" w:name="_Toc305331422"/>
      <w:bookmarkStart w:id="3155" w:name="_Toc302635929"/>
      <w:bookmarkStart w:id="3156" w:name="_Toc276"/>
      <w:bookmarkStart w:id="3157" w:name="_Toc590"/>
      <w:bookmarkStart w:id="3158" w:name="_Toc19252"/>
      <w:bookmarkStart w:id="3159" w:name="_Toc14720"/>
      <w:bookmarkStart w:id="3160" w:name="_Toc34909186"/>
      <w:r>
        <w:rPr>
          <w:rFonts w:hint="eastAsia" w:ascii="宋体" w:hAnsi="宋体" w:eastAsia="宋体" w:cs="Times New Roman"/>
          <w:b/>
          <w:bCs/>
          <w:color w:val="auto"/>
          <w:kern w:val="0"/>
          <w:sz w:val="24"/>
          <w:szCs w:val="24"/>
          <w:highlight w:val="none"/>
          <w:lang w:val="en-US" w:eastAsia="zh-CN" w:bidi="ar-SA"/>
        </w:rPr>
        <w:t>保证人支付索赔款项</w:t>
      </w:r>
      <w:bookmarkEnd w:id="3149"/>
      <w:bookmarkEnd w:id="3150"/>
      <w:bookmarkEnd w:id="3151"/>
      <w:bookmarkEnd w:id="3152"/>
      <w:bookmarkEnd w:id="3153"/>
      <w:bookmarkEnd w:id="3154"/>
      <w:bookmarkEnd w:id="3155"/>
      <w:bookmarkEnd w:id="3156"/>
      <w:bookmarkEnd w:id="3157"/>
      <w:bookmarkEnd w:id="3158"/>
      <w:bookmarkEnd w:id="3159"/>
    </w:p>
    <w:p w14:paraId="257C4ADC">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承包人在履行本合同中，由于资金、技术、质量或非不可抗力等原因给发包人造成损失时，在履约担保书的有效期内，发包人应书面通知承包人，说明导致索赔的原因，并及时向保证人提出索赔文件，保证人应无条件就担保金额向发包人支付索赔款项，无须征得承包人的同意。</w:t>
      </w:r>
    </w:p>
    <w:p w14:paraId="45B6695F">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发包人在履行本合同中，由于资金不足或非不可抗力等原因给承包人造成损失时，在支付担保书的有效期内，承包人应书面通知发包人，说明导致索赔的原因，并及时向保证人提出索赔文件，保证人应无条件就担保金额向承包人支付索赔款项，无须征得发包人的同意。</w:t>
      </w:r>
    </w:p>
    <w:bookmarkEnd w:id="3160"/>
    <w:p w14:paraId="3D8AD57B">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61" w:name="_Toc16390"/>
      <w:bookmarkStart w:id="3162" w:name="_Toc305331423"/>
      <w:bookmarkStart w:id="3163" w:name="_Toc302635930"/>
      <w:bookmarkStart w:id="3164" w:name="_Toc25441"/>
      <w:bookmarkStart w:id="3165" w:name="_Toc21876"/>
      <w:bookmarkStart w:id="3166" w:name="_Toc29679"/>
      <w:bookmarkStart w:id="3167" w:name="_Toc2263"/>
      <w:bookmarkStart w:id="3168" w:name="_Toc1246"/>
      <w:bookmarkStart w:id="3169" w:name="_Toc23461"/>
      <w:bookmarkStart w:id="3170" w:name="_Toc11591"/>
      <w:bookmarkStart w:id="3171" w:name="_Toc15293"/>
      <w:r>
        <w:rPr>
          <w:rFonts w:hint="eastAsia" w:ascii="宋体" w:hAnsi="宋体" w:eastAsia="宋体" w:cs="Times New Roman"/>
          <w:b/>
          <w:bCs/>
          <w:color w:val="auto"/>
          <w:kern w:val="0"/>
          <w:sz w:val="24"/>
          <w:szCs w:val="24"/>
          <w:highlight w:val="none"/>
          <w:lang w:val="en-US" w:eastAsia="zh-CN" w:bidi="ar-SA"/>
        </w:rPr>
        <w:t>留置或追加支付担保</w:t>
      </w:r>
      <w:bookmarkEnd w:id="3161"/>
      <w:bookmarkEnd w:id="3162"/>
      <w:bookmarkEnd w:id="3163"/>
      <w:bookmarkEnd w:id="3164"/>
      <w:bookmarkEnd w:id="3165"/>
      <w:bookmarkEnd w:id="3166"/>
      <w:bookmarkEnd w:id="3167"/>
      <w:bookmarkEnd w:id="3168"/>
      <w:bookmarkEnd w:id="3169"/>
      <w:bookmarkEnd w:id="3170"/>
      <w:bookmarkEnd w:id="3171"/>
    </w:p>
    <w:p w14:paraId="4B281FB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在工程竣工验收时，承包人可留置与预计未结算工程价款当的标的物，或者要求发包人提供追加支付担保。追加支付担保金额由应发包人和承包人根据预计未结算工程价款款额按3</w:t>
      </w:r>
      <w:r>
        <w:rPr>
          <w:rFonts w:hint="eastAsia" w:ascii="宋体" w:hAnsi="宋体" w:eastAsia="宋体" w:cs="Times New Roman"/>
          <w:color w:val="auto"/>
          <w:kern w:val="0"/>
          <w:szCs w:val="24"/>
          <w:highlight w:val="none"/>
          <w:lang w:val="en-US" w:eastAsia="zh-CN"/>
        </w:rPr>
        <w:t>5</w:t>
      </w:r>
      <w:r>
        <w:rPr>
          <w:rFonts w:hint="eastAsia" w:ascii="宋体" w:hAnsi="宋体" w:eastAsia="宋体" w:cs="Times New Roman"/>
          <w:color w:val="auto"/>
          <w:kern w:val="0"/>
          <w:szCs w:val="24"/>
          <w:highlight w:val="none"/>
        </w:rPr>
        <w:t>.2⑴款约定确定。追加支付担保的办理及索赔程序同支付担保。</w:t>
      </w:r>
    </w:p>
    <w:p w14:paraId="7CFD7052">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172" w:name="_Toc19795"/>
      <w:bookmarkStart w:id="3173" w:name="_Toc30540"/>
      <w:bookmarkStart w:id="3174" w:name="_Toc11217"/>
      <w:bookmarkStart w:id="3175" w:name="_Toc1947"/>
      <w:bookmarkStart w:id="3176" w:name="_Toc34909187"/>
      <w:bookmarkStart w:id="3177" w:name="_Toc35657012"/>
      <w:bookmarkStart w:id="3178" w:name="_Toc12367"/>
      <w:bookmarkStart w:id="3179" w:name="_Toc35656510"/>
      <w:bookmarkStart w:id="3180" w:name="_Toc302635931"/>
      <w:bookmarkStart w:id="3181" w:name="_Toc26706"/>
      <w:bookmarkStart w:id="3182" w:name="_Toc305331424"/>
      <w:bookmarkStart w:id="3183" w:name="_Toc25208"/>
      <w:bookmarkStart w:id="3184" w:name="_Toc6239"/>
      <w:bookmarkStart w:id="3185" w:name="_Toc29090"/>
      <w:r>
        <w:rPr>
          <w:rFonts w:hint="eastAsia" w:ascii="华文细黑" w:hAnsi="宋体" w:eastAsia="宋体" w:cs="Times New Roman"/>
          <w:b/>
          <w:bCs/>
          <w:snapToGrid w:val="0"/>
          <w:color w:val="auto"/>
          <w:kern w:val="0"/>
          <w:sz w:val="28"/>
          <w:szCs w:val="44"/>
          <w:highlight w:val="none"/>
          <w:lang w:val="en-US" w:eastAsia="zh-CN" w:bidi="ar-SA"/>
        </w:rPr>
        <w:t>合同的生效、终止和解除</w:t>
      </w:r>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p>
    <w:p w14:paraId="22A117EA">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186" w:name="_Toc302635932"/>
      <w:bookmarkStart w:id="3187" w:name="_Toc15038"/>
      <w:bookmarkStart w:id="3188" w:name="_Toc8765"/>
      <w:bookmarkStart w:id="3189" w:name="_Toc305331425"/>
      <w:bookmarkStart w:id="3190" w:name="_Toc2562"/>
      <w:bookmarkStart w:id="3191" w:name="_Toc1332"/>
      <w:bookmarkStart w:id="3192" w:name="_Toc1828"/>
      <w:bookmarkStart w:id="3193" w:name="_Toc1101"/>
      <w:bookmarkStart w:id="3194" w:name="_Toc2242"/>
      <w:bookmarkStart w:id="3195" w:name="_Toc18669"/>
      <w:bookmarkStart w:id="3196" w:name="_Toc19144"/>
      <w:bookmarkStart w:id="3197" w:name="_Toc34909189"/>
      <w:r>
        <w:rPr>
          <w:rFonts w:hint="eastAsia" w:ascii="宋体" w:hAnsi="宋体" w:eastAsia="宋体" w:cs="Times New Roman"/>
          <w:b/>
          <w:bCs/>
          <w:color w:val="auto"/>
          <w:kern w:val="0"/>
          <w:sz w:val="24"/>
          <w:szCs w:val="24"/>
          <w:highlight w:val="none"/>
          <w:lang w:val="en-US" w:eastAsia="zh-CN" w:bidi="ar-SA"/>
        </w:rPr>
        <w:t>合同的生效</w:t>
      </w:r>
      <w:bookmarkEnd w:id="3186"/>
      <w:bookmarkEnd w:id="3187"/>
      <w:bookmarkEnd w:id="3188"/>
      <w:bookmarkEnd w:id="3189"/>
      <w:bookmarkEnd w:id="3190"/>
      <w:bookmarkEnd w:id="3191"/>
      <w:bookmarkEnd w:id="3192"/>
      <w:bookmarkEnd w:id="3193"/>
      <w:bookmarkEnd w:id="3194"/>
      <w:bookmarkEnd w:id="3195"/>
      <w:bookmarkEnd w:id="3196"/>
    </w:p>
    <w:p w14:paraId="5CA937D4">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发包人和承包人在协议书中约定本合同生效的方式。</w:t>
      </w:r>
      <w:bookmarkEnd w:id="3197"/>
    </w:p>
    <w:p w14:paraId="4BD05FCE">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98" w:name="_Toc10979"/>
      <w:bookmarkStart w:id="3199" w:name="_Toc25996"/>
      <w:bookmarkStart w:id="3200" w:name="_Toc3280"/>
      <w:bookmarkStart w:id="3201" w:name="_Toc19164"/>
      <w:bookmarkStart w:id="3202" w:name="_Toc3863"/>
      <w:bookmarkStart w:id="3203" w:name="_Toc305331426"/>
      <w:bookmarkStart w:id="3204" w:name="_Toc32516"/>
      <w:bookmarkStart w:id="3205" w:name="_Toc302635933"/>
      <w:bookmarkStart w:id="3206" w:name="_Toc15525"/>
      <w:bookmarkStart w:id="3207" w:name="_Toc28252"/>
      <w:bookmarkStart w:id="3208" w:name="_Toc25923"/>
      <w:bookmarkStart w:id="3209" w:name="_Toc34909190"/>
      <w:r>
        <w:rPr>
          <w:rFonts w:hint="eastAsia" w:ascii="宋体" w:hAnsi="宋体" w:eastAsia="宋体" w:cs="Times New Roman"/>
          <w:b/>
          <w:bCs/>
          <w:color w:val="auto"/>
          <w:kern w:val="0"/>
          <w:sz w:val="24"/>
          <w:szCs w:val="24"/>
          <w:highlight w:val="none"/>
          <w:lang w:val="en-US" w:eastAsia="zh-CN" w:bidi="ar-SA"/>
        </w:rPr>
        <w:t>合同的终止</w:t>
      </w:r>
      <w:bookmarkEnd w:id="3198"/>
      <w:bookmarkEnd w:id="3199"/>
      <w:bookmarkEnd w:id="3200"/>
      <w:bookmarkEnd w:id="3201"/>
      <w:bookmarkEnd w:id="3202"/>
      <w:bookmarkEnd w:id="3203"/>
      <w:bookmarkEnd w:id="3204"/>
      <w:bookmarkEnd w:id="3205"/>
      <w:bookmarkEnd w:id="3206"/>
      <w:bookmarkEnd w:id="3207"/>
      <w:bookmarkEnd w:id="3208"/>
    </w:p>
    <w:p w14:paraId="38C93DD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⑴除第</w:t>
      </w:r>
      <w:r>
        <w:rPr>
          <w:rFonts w:hint="eastAsia" w:ascii="宋体" w:hAnsi="宋体" w:eastAsia="宋体" w:cs="Times New Roman"/>
          <w:color w:val="auto"/>
          <w:kern w:val="0"/>
          <w:szCs w:val="24"/>
          <w:highlight w:val="none"/>
          <w:lang w:val="en-US" w:eastAsia="zh-CN"/>
        </w:rPr>
        <w:t>31</w:t>
      </w:r>
      <w:r>
        <w:rPr>
          <w:rFonts w:hint="eastAsia" w:ascii="宋体" w:hAnsi="宋体" w:eastAsia="宋体" w:cs="Times New Roman"/>
          <w:color w:val="auto"/>
          <w:kern w:val="0"/>
          <w:szCs w:val="24"/>
          <w:highlight w:val="none"/>
        </w:rPr>
        <w:t>条有关争议及第</w:t>
      </w:r>
      <w:r>
        <w:rPr>
          <w:rFonts w:hint="eastAsia" w:ascii="宋体" w:hAnsi="宋体" w:eastAsia="宋体" w:cs="Times New Roman"/>
          <w:color w:val="auto"/>
          <w:kern w:val="0"/>
          <w:szCs w:val="24"/>
          <w:highlight w:val="none"/>
          <w:lang w:val="en-US" w:eastAsia="zh-CN"/>
        </w:rPr>
        <w:t>32</w:t>
      </w:r>
      <w:r>
        <w:rPr>
          <w:rFonts w:hint="eastAsia" w:ascii="宋体" w:hAnsi="宋体" w:eastAsia="宋体" w:cs="Times New Roman"/>
          <w:color w:val="auto"/>
          <w:kern w:val="0"/>
          <w:szCs w:val="24"/>
          <w:highlight w:val="none"/>
        </w:rPr>
        <w:t>条有关缺陷责任外，发包人和承包人履行本合同全部义务，工程竣工交付完毕，工程竣工结算价款支付完毕，本合同即告终止。</w:t>
      </w:r>
      <w:bookmarkEnd w:id="3209"/>
    </w:p>
    <w:p w14:paraId="76C36C62">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⑵本合同的权利义务终止后，发包人和承包人应遵循诚实信用原则，履行通知、协助、保密等义务。</w:t>
      </w:r>
    </w:p>
    <w:p w14:paraId="419A6730">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210" w:name="_Toc503"/>
      <w:bookmarkStart w:id="3211" w:name="_Toc305331427"/>
      <w:bookmarkStart w:id="3212" w:name="_Toc20419"/>
      <w:bookmarkStart w:id="3213" w:name="_Toc302635934"/>
      <w:bookmarkStart w:id="3214" w:name="_Toc24018"/>
      <w:bookmarkStart w:id="3215" w:name="_Toc13878"/>
      <w:bookmarkStart w:id="3216" w:name="_Toc26795"/>
      <w:bookmarkStart w:id="3217" w:name="_Toc26641"/>
      <w:bookmarkStart w:id="3218" w:name="_Toc15621"/>
      <w:bookmarkStart w:id="3219" w:name="_Toc4665"/>
      <w:bookmarkStart w:id="3220" w:name="_Toc28846"/>
      <w:bookmarkStart w:id="3221" w:name="_Toc34909192"/>
      <w:r>
        <w:rPr>
          <w:rFonts w:hint="eastAsia" w:ascii="宋体" w:hAnsi="宋体" w:eastAsia="宋体" w:cs="Times New Roman"/>
          <w:b/>
          <w:bCs/>
          <w:color w:val="auto"/>
          <w:kern w:val="0"/>
          <w:sz w:val="24"/>
          <w:szCs w:val="24"/>
          <w:highlight w:val="none"/>
          <w:lang w:val="en-US" w:eastAsia="zh-CN" w:bidi="ar-SA"/>
        </w:rPr>
        <w:t>解除合同的情形</w:t>
      </w:r>
      <w:bookmarkEnd w:id="3210"/>
      <w:bookmarkEnd w:id="3211"/>
      <w:bookmarkEnd w:id="3212"/>
      <w:bookmarkEnd w:id="3213"/>
      <w:bookmarkEnd w:id="3214"/>
      <w:bookmarkEnd w:id="3215"/>
      <w:bookmarkEnd w:id="3216"/>
      <w:bookmarkEnd w:id="3217"/>
      <w:bookmarkEnd w:id="3218"/>
      <w:bookmarkEnd w:id="3219"/>
      <w:bookmarkEnd w:id="3220"/>
    </w:p>
    <w:p w14:paraId="0168CA1B">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⑴发包人和承包人协商一致，可以解除合同。</w:t>
      </w:r>
      <w:bookmarkEnd w:id="3221"/>
    </w:p>
    <w:p w14:paraId="6F2BABB3">
      <w:pPr>
        <w:tabs>
          <w:tab w:val="left" w:pos="1620"/>
          <w:tab w:val="left" w:pos="2340"/>
        </w:tabs>
        <w:spacing w:after="156"/>
        <w:ind w:left="899"/>
        <w:jc w:val="left"/>
        <w:rPr>
          <w:rFonts w:ascii="宋体" w:hAnsi="宋体" w:eastAsia="宋体" w:cs="Times New Roman"/>
          <w:color w:val="auto"/>
          <w:kern w:val="0"/>
          <w:szCs w:val="24"/>
          <w:highlight w:val="none"/>
        </w:rPr>
      </w:pPr>
      <w:bookmarkStart w:id="3222" w:name="_Toc34909193"/>
      <w:r>
        <w:rPr>
          <w:rFonts w:hint="eastAsia" w:ascii="宋体" w:hAnsi="宋体" w:eastAsia="宋体" w:cs="Times New Roman"/>
          <w:color w:val="auto"/>
          <w:kern w:val="0"/>
          <w:szCs w:val="24"/>
          <w:highlight w:val="none"/>
        </w:rPr>
        <w:t>⑵发生第6.1款和第6.2款禁止的情况，承包人将其承包的全部工程或任何部分转让给他人，或者将其承包的全部工程肢解分包，发包人有权解除合同。</w:t>
      </w:r>
      <w:bookmarkEnd w:id="3222"/>
    </w:p>
    <w:p w14:paraId="036FB91A">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因不可抗力导致合同无法履行连续超过84天或累计超过140天的，发包人和承包人均有权解除合同</w:t>
      </w:r>
      <w:r>
        <w:rPr>
          <w:rFonts w:hint="eastAsia" w:ascii="宋体" w:hAnsi="宋体" w:eastAsia="宋体" w:cs="Times New Roman"/>
          <w:color w:val="auto"/>
          <w:kern w:val="0"/>
          <w:szCs w:val="24"/>
          <w:highlight w:val="none"/>
        </w:rPr>
        <w:t>；</w:t>
      </w:r>
    </w:p>
    <w:p w14:paraId="3FF8419E">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⑷因一方违约(包括因发包人原因造成工程停建或缓建)致使合同无法履行，另一方可以解除合同。</w:t>
      </w:r>
    </w:p>
    <w:p w14:paraId="16A25A6A">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223" w:name="_Toc28741"/>
      <w:bookmarkStart w:id="3224" w:name="_Toc10619"/>
      <w:bookmarkStart w:id="3225" w:name="_Toc25539"/>
      <w:bookmarkStart w:id="3226" w:name="_Toc302635935"/>
      <w:bookmarkStart w:id="3227" w:name="_Toc28843"/>
      <w:bookmarkStart w:id="3228" w:name="_Toc6888"/>
      <w:bookmarkStart w:id="3229" w:name="_Toc15785"/>
      <w:bookmarkStart w:id="3230" w:name="_Toc1639"/>
      <w:bookmarkStart w:id="3231" w:name="_Toc24144"/>
      <w:bookmarkStart w:id="3232" w:name="_Toc305331428"/>
      <w:bookmarkStart w:id="3233" w:name="_Toc24315"/>
      <w:bookmarkStart w:id="3234" w:name="_Toc34909195"/>
      <w:r>
        <w:rPr>
          <w:rFonts w:hint="eastAsia" w:ascii="宋体" w:hAnsi="宋体" w:eastAsia="宋体" w:cs="Times New Roman"/>
          <w:b/>
          <w:bCs/>
          <w:color w:val="auto"/>
          <w:kern w:val="0"/>
          <w:sz w:val="24"/>
          <w:szCs w:val="24"/>
          <w:highlight w:val="none"/>
          <w:lang w:val="en-US" w:eastAsia="zh-CN" w:bidi="ar-SA"/>
        </w:rPr>
        <w:t>解除合同的程序</w:t>
      </w:r>
      <w:bookmarkEnd w:id="3223"/>
      <w:bookmarkEnd w:id="3224"/>
      <w:bookmarkEnd w:id="3225"/>
      <w:bookmarkEnd w:id="3226"/>
      <w:bookmarkEnd w:id="3227"/>
      <w:bookmarkEnd w:id="3228"/>
      <w:bookmarkEnd w:id="3229"/>
      <w:bookmarkEnd w:id="3230"/>
      <w:bookmarkEnd w:id="3231"/>
      <w:bookmarkEnd w:id="3232"/>
      <w:bookmarkEnd w:id="3233"/>
    </w:p>
    <w:p w14:paraId="7B0F1200">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⑴发包人和承包人一方按第</w:t>
      </w:r>
      <w:r>
        <w:rPr>
          <w:rFonts w:hint="eastAsia" w:ascii="宋体" w:hAnsi="宋体" w:eastAsia="宋体" w:cs="Times New Roman"/>
          <w:color w:val="auto"/>
          <w:kern w:val="0"/>
          <w:szCs w:val="24"/>
          <w:highlight w:val="none"/>
          <w:lang w:val="en-US" w:eastAsia="zh-CN"/>
        </w:rPr>
        <w:t>36</w:t>
      </w:r>
      <w:r>
        <w:rPr>
          <w:rFonts w:hint="eastAsia" w:ascii="宋体" w:hAnsi="宋体" w:eastAsia="宋体" w:cs="Times New Roman"/>
          <w:color w:val="auto"/>
          <w:kern w:val="0"/>
          <w:szCs w:val="24"/>
          <w:highlight w:val="none"/>
        </w:rPr>
        <w:t>.3款要求解除合同的，应以书面形式向对方发出解除合同的通知，双方签订解除合同协议后本合同解除。</w:t>
      </w:r>
      <w:bookmarkEnd w:id="3234"/>
      <w:bookmarkStart w:id="3235" w:name="_Toc34909196"/>
    </w:p>
    <w:p w14:paraId="0FB61F67">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合同解除后，承包人应妥善做好已完工程和已购材料、设备的保护和移交工作，按发包人要求将承包人装备和人员撤出施工场地。发包人应为承包人撤出提供必要条件，支付以上所发生的费用，并按合同约定支付已完工程价款。已经订货的材料、设备由订货方负责退货或解除订货合同，因未及时退货造成的损失由责任方承担。不能退还的货款和因退货、解除订货合同发生的费用，由责任方承担，但是因不可抗力造成合同解除的由发包人承担。除此之外，有过错的一方应赔偿因合同解除给对方造成的损失。</w:t>
      </w:r>
      <w:bookmarkEnd w:id="3235"/>
    </w:p>
    <w:p w14:paraId="3BD7258F">
      <w:pPr>
        <w:tabs>
          <w:tab w:val="left" w:pos="1620"/>
          <w:tab w:val="left" w:pos="2340"/>
        </w:tabs>
        <w:spacing w:after="156"/>
        <w:ind w:left="899"/>
        <w:jc w:val="left"/>
        <w:rPr>
          <w:rFonts w:ascii="宋体" w:hAnsi="宋体" w:eastAsia="宋体" w:cs="Times New Roman"/>
          <w:color w:val="auto"/>
          <w:kern w:val="0"/>
          <w:szCs w:val="24"/>
          <w:highlight w:val="none"/>
        </w:rPr>
      </w:pPr>
      <w:bookmarkStart w:id="3236" w:name="_Toc34909197"/>
      <w:r>
        <w:rPr>
          <w:rFonts w:hint="eastAsia" w:ascii="宋体" w:hAnsi="宋体" w:eastAsia="宋体" w:cs="Times New Roman"/>
          <w:color w:val="auto"/>
          <w:kern w:val="0"/>
          <w:szCs w:val="24"/>
          <w:highlight w:val="none"/>
        </w:rPr>
        <w:t>⑶合同解除后，不影响发包人和承包人在合同中约定的结算和清理条款的效力。</w:t>
      </w:r>
      <w:bookmarkEnd w:id="3236"/>
    </w:p>
    <w:p w14:paraId="02E3C5BD">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237" w:name="_Toc305331429"/>
      <w:bookmarkStart w:id="3238" w:name="_Toc3909"/>
      <w:bookmarkStart w:id="3239" w:name="_Toc35656513"/>
      <w:bookmarkStart w:id="3240" w:name="_Toc9156"/>
      <w:bookmarkStart w:id="3241" w:name="_Toc7654"/>
      <w:bookmarkStart w:id="3242" w:name="_Toc35657015"/>
      <w:bookmarkStart w:id="3243" w:name="_Toc19892"/>
      <w:bookmarkStart w:id="3244" w:name="_Toc12381"/>
      <w:bookmarkStart w:id="3245" w:name="_Toc24360"/>
      <w:bookmarkStart w:id="3246" w:name="_Toc20806"/>
      <w:bookmarkStart w:id="3247" w:name="_Toc24640"/>
      <w:bookmarkStart w:id="3248" w:name="_Toc302635936"/>
      <w:bookmarkStart w:id="3249" w:name="_Toc28426"/>
      <w:bookmarkStart w:id="3250" w:name="_Toc34909198"/>
      <w:r>
        <w:rPr>
          <w:rFonts w:hint="eastAsia" w:ascii="华文细黑" w:hAnsi="宋体" w:eastAsia="宋体" w:cs="Times New Roman"/>
          <w:b/>
          <w:bCs/>
          <w:snapToGrid w:val="0"/>
          <w:color w:val="auto"/>
          <w:kern w:val="0"/>
          <w:sz w:val="28"/>
          <w:szCs w:val="44"/>
          <w:highlight w:val="none"/>
          <w:lang w:val="en-US" w:eastAsia="zh-CN" w:bidi="ar-SA"/>
        </w:rPr>
        <w:t>合同份数</w:t>
      </w:r>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p>
    <w:p w14:paraId="1CA45E3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251" w:name="_Toc5662"/>
      <w:bookmarkStart w:id="3252" w:name="_Toc7820"/>
      <w:bookmarkStart w:id="3253" w:name="_Toc302635937"/>
      <w:bookmarkStart w:id="3254" w:name="_Toc24618"/>
      <w:bookmarkStart w:id="3255" w:name="_Toc30081"/>
      <w:bookmarkStart w:id="3256" w:name="_Toc23147"/>
      <w:bookmarkStart w:id="3257" w:name="_Toc4322"/>
      <w:bookmarkStart w:id="3258" w:name="_Toc18395"/>
      <w:bookmarkStart w:id="3259" w:name="_Toc305331430"/>
      <w:bookmarkStart w:id="3260" w:name="_Toc19786"/>
      <w:bookmarkStart w:id="3261" w:name="_Toc12844"/>
      <w:bookmarkStart w:id="3262" w:name="_Toc34909199"/>
      <w:r>
        <w:rPr>
          <w:rFonts w:hint="eastAsia" w:ascii="宋体" w:hAnsi="宋体" w:eastAsia="宋体" w:cs="Times New Roman"/>
          <w:b/>
          <w:bCs/>
          <w:color w:val="auto"/>
          <w:kern w:val="0"/>
          <w:sz w:val="24"/>
          <w:szCs w:val="24"/>
          <w:highlight w:val="none"/>
          <w:lang w:val="en-US" w:eastAsia="zh-CN" w:bidi="ar-SA"/>
        </w:rPr>
        <w:t>合同份数</w:t>
      </w:r>
      <w:bookmarkEnd w:id="3251"/>
      <w:bookmarkEnd w:id="3252"/>
      <w:bookmarkEnd w:id="3253"/>
      <w:bookmarkEnd w:id="3254"/>
      <w:bookmarkEnd w:id="3255"/>
      <w:bookmarkEnd w:id="3256"/>
      <w:bookmarkEnd w:id="3257"/>
      <w:bookmarkEnd w:id="3258"/>
      <w:bookmarkEnd w:id="3259"/>
      <w:bookmarkEnd w:id="3260"/>
      <w:bookmarkEnd w:id="3261"/>
    </w:p>
    <w:p w14:paraId="32DBFB91">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⑴本合同正本两份，由发包人和承包人分别保存一份。</w:t>
      </w:r>
      <w:bookmarkEnd w:id="3262"/>
    </w:p>
    <w:p w14:paraId="07775BDC">
      <w:pPr>
        <w:tabs>
          <w:tab w:val="left" w:pos="1620"/>
          <w:tab w:val="left" w:pos="2340"/>
        </w:tabs>
        <w:spacing w:after="156"/>
        <w:ind w:left="899"/>
        <w:jc w:val="left"/>
        <w:rPr>
          <w:rFonts w:ascii="宋体" w:hAnsi="宋体" w:eastAsia="宋体" w:cs="Times New Roman"/>
          <w:color w:val="auto"/>
          <w:kern w:val="0"/>
          <w:szCs w:val="24"/>
          <w:highlight w:val="none"/>
        </w:rPr>
      </w:pPr>
      <w:bookmarkStart w:id="3263" w:name="_Toc34909200"/>
      <w:r>
        <w:rPr>
          <w:rFonts w:hint="eastAsia" w:ascii="宋体" w:hAnsi="宋体" w:eastAsia="宋体" w:cs="Times New Roman"/>
          <w:color w:val="auto"/>
          <w:kern w:val="0"/>
          <w:szCs w:val="24"/>
          <w:highlight w:val="none"/>
        </w:rPr>
        <w:t>⑵发包人和承包人按有关规定在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中约定本合同副本的份数及保存单位，本合同正副本均具有同等效力。</w:t>
      </w:r>
      <w:bookmarkEnd w:id="3263"/>
    </w:p>
    <w:bookmarkEnd w:id="233"/>
    <w:bookmarkEnd w:id="234"/>
    <w:bookmarkEnd w:id="235"/>
    <w:p w14:paraId="77C0C8A0">
      <w:pPr>
        <w:keepNext w:val="0"/>
        <w:keepLines w:val="0"/>
        <w:widowControl/>
        <w:numPr>
          <w:ilvl w:val="0"/>
          <w:numId w:val="0"/>
        </w:numPr>
        <w:spacing w:before="340" w:after="330"/>
        <w:jc w:val="center"/>
        <w:outlineLvl w:val="0"/>
        <w:rPr>
          <w:rFonts w:ascii="宋体" w:hAnsi="宋体" w:eastAsia="宋体" w:cs="Times New Roman"/>
          <w:b/>
          <w:bCs/>
          <w:snapToGrid w:val="0"/>
          <w:color w:val="auto"/>
          <w:kern w:val="0"/>
          <w:sz w:val="32"/>
          <w:szCs w:val="44"/>
          <w:highlight w:val="none"/>
          <w:lang w:val="en-US" w:eastAsia="zh-CN" w:bidi="ar-SA"/>
        </w:rPr>
      </w:pPr>
      <w:r>
        <w:rPr>
          <w:rFonts w:ascii="宋体" w:hAnsi="宋体" w:eastAsia="宋体" w:cs="Times New Roman"/>
          <w:b/>
          <w:bCs/>
          <w:snapToGrid w:val="0"/>
          <w:color w:val="auto"/>
          <w:kern w:val="0"/>
          <w:sz w:val="24"/>
          <w:szCs w:val="44"/>
          <w:highlight w:val="none"/>
          <w:lang w:val="en-US" w:eastAsia="zh-CN" w:bidi="ar-SA"/>
        </w:rPr>
        <w:br w:type="page"/>
      </w:r>
      <w:bookmarkStart w:id="3264" w:name="_Toc16348"/>
      <w:bookmarkStart w:id="3265" w:name="_Toc302635939"/>
      <w:bookmarkStart w:id="3266" w:name="_Toc11060"/>
      <w:bookmarkStart w:id="3267" w:name="_Toc1785"/>
      <w:bookmarkStart w:id="3268" w:name="_Toc305331432"/>
      <w:bookmarkStart w:id="3269" w:name="_Toc27881"/>
      <w:bookmarkStart w:id="3270" w:name="_Toc12709"/>
      <w:bookmarkStart w:id="3271" w:name="_Toc35656515"/>
      <w:bookmarkStart w:id="3272" w:name="_Toc4619"/>
      <w:bookmarkStart w:id="3273" w:name="_Toc21915"/>
      <w:bookmarkStart w:id="3274" w:name="_Toc31441"/>
      <w:bookmarkStart w:id="3275" w:name="_Toc22913"/>
      <w:r>
        <w:rPr>
          <w:rFonts w:hint="eastAsia" w:ascii="黑体" w:hAnsi="黑体" w:eastAsia="黑体" w:cs="黑体"/>
          <w:b/>
          <w:bCs w:val="0"/>
          <w:snapToGrid/>
          <w:color w:val="auto"/>
          <w:kern w:val="2"/>
          <w:sz w:val="32"/>
          <w:szCs w:val="32"/>
          <w:highlight w:val="none"/>
          <w:lang w:val="en-US" w:eastAsia="zh-CN" w:bidi="ar-SA"/>
        </w:rPr>
        <w:t>第三部分 专用条款</w:t>
      </w:r>
      <w:bookmarkEnd w:id="3264"/>
      <w:bookmarkEnd w:id="3265"/>
      <w:bookmarkEnd w:id="3266"/>
      <w:bookmarkEnd w:id="3267"/>
      <w:bookmarkEnd w:id="3268"/>
      <w:bookmarkEnd w:id="3269"/>
      <w:bookmarkEnd w:id="3270"/>
      <w:bookmarkEnd w:id="3271"/>
      <w:bookmarkEnd w:id="3272"/>
      <w:bookmarkEnd w:id="3273"/>
      <w:bookmarkEnd w:id="3274"/>
      <w:bookmarkEnd w:id="3275"/>
    </w:p>
    <w:p w14:paraId="258F748E">
      <w:pPr>
        <w:keepNext w:val="0"/>
        <w:keepLines w:val="0"/>
        <w:widowControl/>
        <w:numPr>
          <w:ilvl w:val="0"/>
          <w:numId w:val="0"/>
        </w:numPr>
        <w:tabs>
          <w:tab w:val="left" w:pos="1620"/>
          <w:tab w:val="left" w:pos="2340"/>
        </w:tabs>
        <w:spacing w:before="120" w:after="12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3276" w:name="_Toc24514"/>
      <w:bookmarkStart w:id="3277" w:name="_Toc25729"/>
      <w:bookmarkStart w:id="3278" w:name="_Toc765"/>
      <w:bookmarkStart w:id="3279" w:name="_Toc13673"/>
      <w:bookmarkStart w:id="3280" w:name="_Toc16738"/>
      <w:bookmarkStart w:id="3281" w:name="_Toc24750"/>
      <w:bookmarkStart w:id="3282" w:name="_Toc31515"/>
      <w:bookmarkStart w:id="3283" w:name="_Toc2617"/>
      <w:bookmarkStart w:id="3284" w:name="_Toc20273"/>
      <w:bookmarkStart w:id="3285" w:name="_Toc302635940"/>
      <w:bookmarkStart w:id="3286" w:name="_Toc35656516"/>
      <w:bookmarkStart w:id="3287" w:name="_Toc305331433"/>
      <w:r>
        <w:rPr>
          <w:rFonts w:hint="eastAsia" w:ascii="华文细黑" w:hAnsi="宋体" w:eastAsia="宋体" w:cs="Times New Roman"/>
          <w:b/>
          <w:bCs/>
          <w:snapToGrid w:val="0"/>
          <w:color w:val="auto"/>
          <w:kern w:val="0"/>
          <w:sz w:val="28"/>
          <w:szCs w:val="44"/>
          <w:highlight w:val="none"/>
          <w:lang w:val="en-US" w:eastAsia="zh-CN" w:bidi="ar-SA"/>
        </w:rPr>
        <w:t>1词语定义</w:t>
      </w:r>
      <w:bookmarkEnd w:id="3276"/>
      <w:bookmarkEnd w:id="3277"/>
      <w:bookmarkEnd w:id="3278"/>
      <w:bookmarkEnd w:id="3279"/>
      <w:bookmarkEnd w:id="3280"/>
      <w:bookmarkEnd w:id="3281"/>
      <w:bookmarkEnd w:id="3282"/>
      <w:bookmarkEnd w:id="3283"/>
      <w:bookmarkEnd w:id="3284"/>
      <w:bookmarkEnd w:id="3285"/>
    </w:p>
    <w:p w14:paraId="1406632D">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发包人和承包人另行约定的词语定义如下：</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2880303">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6AE66525">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D26F88E">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7DE7EC39">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F632B00">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288" w:name="_Toc6519"/>
      <w:bookmarkStart w:id="3289" w:name="_Toc28781"/>
      <w:bookmarkStart w:id="3290" w:name="_Toc19741"/>
      <w:bookmarkStart w:id="3291" w:name="_Toc31216"/>
      <w:bookmarkStart w:id="3292" w:name="_Toc5865"/>
      <w:bookmarkStart w:id="3293" w:name="_Toc17503"/>
      <w:bookmarkStart w:id="3294" w:name="_Toc21146"/>
      <w:bookmarkStart w:id="3295" w:name="_Toc302635941"/>
      <w:bookmarkStart w:id="3296" w:name="_Toc17453"/>
      <w:bookmarkStart w:id="3297" w:name="_Toc32417"/>
      <w:r>
        <w:rPr>
          <w:rFonts w:hint="eastAsia" w:ascii="宋体" w:hAnsi="宋体" w:eastAsia="宋体" w:cs="Times New Roman"/>
          <w:b/>
          <w:bCs/>
          <w:color w:val="auto"/>
          <w:kern w:val="0"/>
          <w:sz w:val="24"/>
          <w:szCs w:val="32"/>
          <w:highlight w:val="none"/>
          <w:lang w:val="en-US" w:eastAsia="zh-CN" w:bidi="ar-SA"/>
        </w:rPr>
        <w:t>1.2 合同文件</w:t>
      </w:r>
      <w:bookmarkEnd w:id="3288"/>
      <w:bookmarkEnd w:id="3289"/>
      <w:bookmarkEnd w:id="3290"/>
      <w:bookmarkEnd w:id="3291"/>
      <w:bookmarkEnd w:id="3292"/>
      <w:bookmarkEnd w:id="3293"/>
      <w:bookmarkEnd w:id="3294"/>
      <w:bookmarkEnd w:id="3295"/>
      <w:bookmarkEnd w:id="3296"/>
      <w:bookmarkEnd w:id="3297"/>
    </w:p>
    <w:p w14:paraId="114D39C2">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(6)其他合同文件包括：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F0AA201">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37092F9">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298" w:name="_Toc12774"/>
      <w:bookmarkStart w:id="3299" w:name="_Toc19226"/>
      <w:bookmarkStart w:id="3300" w:name="_Toc12424"/>
      <w:bookmarkStart w:id="3301" w:name="_Toc302635942"/>
      <w:bookmarkStart w:id="3302" w:name="_Toc13844"/>
      <w:bookmarkStart w:id="3303" w:name="_Toc19602"/>
      <w:bookmarkStart w:id="3304" w:name="_Toc1724"/>
      <w:bookmarkStart w:id="3305" w:name="_Toc129"/>
      <w:bookmarkStart w:id="3306" w:name="_Toc24542"/>
      <w:bookmarkStart w:id="3307" w:name="_Toc20303"/>
      <w:r>
        <w:rPr>
          <w:rFonts w:hint="eastAsia" w:ascii="宋体" w:hAnsi="宋体" w:eastAsia="宋体" w:cs="Times New Roman"/>
          <w:b/>
          <w:bCs/>
          <w:color w:val="auto"/>
          <w:kern w:val="0"/>
          <w:sz w:val="24"/>
          <w:szCs w:val="32"/>
          <w:highlight w:val="none"/>
          <w:lang w:val="en-US" w:eastAsia="zh-CN" w:bidi="ar-SA"/>
        </w:rPr>
        <w:t>1.8 书面形式</w:t>
      </w:r>
      <w:bookmarkEnd w:id="3298"/>
      <w:bookmarkEnd w:id="3299"/>
      <w:bookmarkEnd w:id="3300"/>
      <w:bookmarkEnd w:id="3301"/>
      <w:bookmarkEnd w:id="3302"/>
      <w:bookmarkEnd w:id="3303"/>
      <w:bookmarkEnd w:id="3304"/>
      <w:bookmarkEnd w:id="3305"/>
      <w:bookmarkEnd w:id="3306"/>
      <w:bookmarkEnd w:id="3307"/>
    </w:p>
    <w:p w14:paraId="5E895C53">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（2）本合同全部或部分采用手写形式进行填写的，发包人和承包人共同指定的填写人的姓名：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，身份证号码：</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B378A63">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308" w:name="_Toc1226"/>
      <w:bookmarkStart w:id="3309" w:name="_Toc302635943"/>
      <w:bookmarkStart w:id="3310" w:name="_Toc21671"/>
      <w:bookmarkStart w:id="3311" w:name="_Toc24793"/>
      <w:bookmarkStart w:id="3312" w:name="_Toc2660"/>
      <w:bookmarkStart w:id="3313" w:name="_Toc18945"/>
      <w:bookmarkStart w:id="3314" w:name="_Toc15047"/>
      <w:bookmarkStart w:id="3315" w:name="_Toc22741"/>
      <w:bookmarkStart w:id="3316" w:name="_Toc9942"/>
      <w:bookmarkStart w:id="3317" w:name="_Toc7804"/>
      <w:r>
        <w:rPr>
          <w:rFonts w:hint="eastAsia" w:ascii="华文细黑" w:hAnsi="宋体" w:eastAsia="宋体" w:cs="Times New Roman"/>
          <w:b/>
          <w:bCs/>
          <w:snapToGrid w:val="0"/>
          <w:color w:val="auto"/>
          <w:kern w:val="0"/>
          <w:sz w:val="28"/>
          <w:szCs w:val="44"/>
          <w:highlight w:val="none"/>
          <w:lang w:val="en-US" w:eastAsia="zh-CN" w:bidi="ar-SA"/>
        </w:rPr>
        <w:t>2合同文件</w:t>
      </w:r>
      <w:bookmarkEnd w:id="3286"/>
      <w:bookmarkEnd w:id="3287"/>
      <w:bookmarkEnd w:id="3308"/>
      <w:bookmarkEnd w:id="3309"/>
      <w:bookmarkEnd w:id="3310"/>
      <w:bookmarkEnd w:id="3311"/>
      <w:bookmarkEnd w:id="3312"/>
      <w:bookmarkEnd w:id="3313"/>
      <w:bookmarkEnd w:id="3314"/>
      <w:bookmarkEnd w:id="3315"/>
      <w:bookmarkEnd w:id="3316"/>
      <w:bookmarkEnd w:id="3317"/>
    </w:p>
    <w:p w14:paraId="2239F2B7">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color w:val="auto"/>
          <w:kern w:val="0"/>
          <w:sz w:val="24"/>
          <w:szCs w:val="24"/>
          <w:highlight w:val="none"/>
          <w:lang w:val="en-US" w:eastAsia="zh-CN" w:bidi="ar-SA"/>
        </w:rPr>
      </w:pPr>
      <w:bookmarkStart w:id="3318" w:name="_Toc2481"/>
      <w:bookmarkStart w:id="3319" w:name="_Toc25473"/>
      <w:bookmarkStart w:id="3320" w:name="_Toc6830"/>
      <w:bookmarkStart w:id="3321" w:name="_Toc305331434"/>
      <w:bookmarkStart w:id="3322" w:name="_Toc9948"/>
      <w:bookmarkStart w:id="3323" w:name="_Toc28336"/>
      <w:bookmarkStart w:id="3324" w:name="_Toc19323"/>
      <w:bookmarkStart w:id="3325" w:name="_Toc21603"/>
      <w:bookmarkStart w:id="3326" w:name="_Toc16202"/>
      <w:bookmarkStart w:id="3327" w:name="_Toc302635944"/>
      <w:bookmarkStart w:id="3328" w:name="_Toc31145"/>
      <w:r>
        <w:rPr>
          <w:rFonts w:hint="eastAsia" w:ascii="宋体" w:hAnsi="宋体" w:eastAsia="宋体" w:cs="Times New Roman"/>
          <w:b/>
          <w:bCs/>
          <w:color w:val="auto"/>
          <w:kern w:val="0"/>
          <w:sz w:val="24"/>
          <w:szCs w:val="32"/>
          <w:highlight w:val="none"/>
          <w:lang w:val="en-US" w:eastAsia="zh-CN" w:bidi="ar-SA"/>
        </w:rPr>
        <w:t xml:space="preserve">2.4 </w:t>
      </w:r>
      <w:r>
        <w:rPr>
          <w:rFonts w:hint="eastAsia" w:ascii="宋体" w:hAnsi="宋体" w:eastAsia="宋体" w:cs="Times New Roman"/>
          <w:b/>
          <w:bCs/>
          <w:color w:val="auto"/>
          <w:kern w:val="0"/>
          <w:sz w:val="24"/>
          <w:szCs w:val="24"/>
          <w:highlight w:val="none"/>
          <w:lang w:val="en-US" w:eastAsia="zh-CN" w:bidi="ar-SA"/>
        </w:rPr>
        <w:t>法律、法规和规章</w:t>
      </w:r>
      <w:bookmarkEnd w:id="3318"/>
      <w:bookmarkEnd w:id="3319"/>
      <w:bookmarkEnd w:id="3320"/>
      <w:bookmarkEnd w:id="3321"/>
      <w:bookmarkEnd w:id="3322"/>
      <w:bookmarkEnd w:id="3323"/>
      <w:bookmarkEnd w:id="3324"/>
      <w:bookmarkEnd w:id="3325"/>
      <w:bookmarkEnd w:id="3326"/>
      <w:bookmarkEnd w:id="3327"/>
      <w:bookmarkEnd w:id="3328"/>
    </w:p>
    <w:p w14:paraId="58C34B5C">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需要明示的法律、法规、规章：</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5644572">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0DDDAEF">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73BC1FE7">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1BA8B50D">
      <w:pPr>
        <w:widowControl w:val="0"/>
        <w:numPr>
          <w:ilvl w:val="0"/>
          <w:numId w:val="0"/>
        </w:numPr>
        <w:tabs>
          <w:tab w:val="left" w:pos="540"/>
          <w:tab w:val="left" w:pos="2340"/>
          <w:tab w:val="left" w:pos="4032"/>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329" w:name="_Toc27206"/>
      <w:bookmarkStart w:id="3330" w:name="_Toc305331435"/>
      <w:bookmarkStart w:id="3331" w:name="_Toc302635945"/>
      <w:bookmarkStart w:id="3332" w:name="_Toc31726"/>
      <w:bookmarkStart w:id="3333" w:name="_Toc22854"/>
      <w:bookmarkStart w:id="3334" w:name="_Toc6847"/>
      <w:bookmarkStart w:id="3335" w:name="_Toc6265"/>
      <w:bookmarkStart w:id="3336" w:name="_Toc1094"/>
      <w:bookmarkStart w:id="3337" w:name="_Toc4783"/>
      <w:bookmarkStart w:id="3338" w:name="_Toc19230"/>
      <w:bookmarkStart w:id="3339" w:name="_Toc25351"/>
      <w:bookmarkStart w:id="3340" w:name="_Toc35656521"/>
      <w:r>
        <w:rPr>
          <w:rFonts w:hint="eastAsia" w:ascii="宋体" w:hAnsi="宋体" w:eastAsia="宋体" w:cs="Times New Roman"/>
          <w:b/>
          <w:bCs/>
          <w:color w:val="auto"/>
          <w:kern w:val="0"/>
          <w:sz w:val="24"/>
          <w:szCs w:val="32"/>
          <w:highlight w:val="none"/>
          <w:lang w:val="en-US" w:eastAsia="zh-CN" w:bidi="ar-SA"/>
        </w:rPr>
        <w:t>2.5标准、规范</w:t>
      </w:r>
      <w:bookmarkEnd w:id="3329"/>
      <w:bookmarkEnd w:id="3330"/>
      <w:bookmarkEnd w:id="3331"/>
      <w:bookmarkEnd w:id="3332"/>
      <w:bookmarkEnd w:id="3333"/>
      <w:bookmarkEnd w:id="3334"/>
      <w:bookmarkEnd w:id="3335"/>
      <w:bookmarkEnd w:id="3336"/>
      <w:bookmarkEnd w:id="3337"/>
      <w:bookmarkEnd w:id="3338"/>
      <w:bookmarkEnd w:id="3339"/>
    </w:p>
    <w:p w14:paraId="104940AC">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 xml:space="preserve">(2)技术标准、功能要求高于现行国家、行业或地方标准的约定： </w:t>
      </w:r>
      <w:r>
        <w:rPr>
          <w:rFonts w:hint="eastAsia" w:ascii="宋体" w:hAnsi="宋体" w:eastAsia="宋体" w:cs="Times New Roman"/>
          <w:color w:val="auto"/>
          <w:sz w:val="24"/>
          <w:szCs w:val="24"/>
          <w:highlight w:val="none"/>
          <w:u w:val="single"/>
        </w:rPr>
        <w:t xml:space="preserve">                               </w:t>
      </w:r>
    </w:p>
    <w:p w14:paraId="6C73BB61">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2BB43F6">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132F574A">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(4)用于本工程的标准、规范的提供方式：</w:t>
      </w:r>
    </w:p>
    <w:p w14:paraId="4B8ADD64">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2"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8"/>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由发包人在本合同签订后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天内向承包人提供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套标准、规范；</w:t>
      </w:r>
    </w:p>
    <w:p w14:paraId="0DD12AA0">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3"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49"/>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由承包人自备。</w:t>
      </w:r>
    </w:p>
    <w:p w14:paraId="31B3F2AB">
      <w:pPr>
        <w:widowControl w:val="0"/>
        <w:numPr>
          <w:ilvl w:val="0"/>
          <w:numId w:val="0"/>
        </w:numPr>
        <w:tabs>
          <w:tab w:val="left" w:pos="540"/>
          <w:tab w:val="left" w:pos="2340"/>
          <w:tab w:val="left" w:pos="4032"/>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341" w:name="_Toc17306"/>
      <w:bookmarkStart w:id="3342" w:name="_Toc2386"/>
      <w:bookmarkStart w:id="3343" w:name="_Toc20689"/>
      <w:bookmarkStart w:id="3344" w:name="_Toc19973"/>
      <w:bookmarkStart w:id="3345" w:name="_Toc26616"/>
      <w:bookmarkStart w:id="3346" w:name="_Toc18041"/>
      <w:bookmarkStart w:id="3347" w:name="_Toc12927"/>
      <w:bookmarkStart w:id="3348" w:name="_Toc305331436"/>
      <w:bookmarkStart w:id="3349" w:name="_Toc302635946"/>
      <w:bookmarkStart w:id="3350" w:name="_Toc4591"/>
      <w:bookmarkStart w:id="3351" w:name="_Toc26202"/>
      <w:r>
        <w:rPr>
          <w:rFonts w:hint="eastAsia" w:ascii="宋体" w:hAnsi="宋体" w:eastAsia="宋体" w:cs="Times New Roman"/>
          <w:b/>
          <w:bCs/>
          <w:color w:val="auto"/>
          <w:kern w:val="0"/>
          <w:sz w:val="24"/>
          <w:szCs w:val="32"/>
          <w:highlight w:val="none"/>
          <w:lang w:val="en-US" w:eastAsia="zh-CN" w:bidi="ar-SA"/>
        </w:rPr>
        <w:t>2.6图纸和技术资料的提供</w:t>
      </w:r>
      <w:bookmarkEnd w:id="3341"/>
      <w:bookmarkEnd w:id="3342"/>
      <w:bookmarkEnd w:id="3343"/>
      <w:bookmarkEnd w:id="3344"/>
      <w:bookmarkEnd w:id="3345"/>
      <w:bookmarkEnd w:id="3346"/>
      <w:bookmarkEnd w:id="3347"/>
      <w:bookmarkEnd w:id="3348"/>
      <w:bookmarkEnd w:id="3349"/>
      <w:bookmarkEnd w:id="3350"/>
      <w:bookmarkEnd w:id="3351"/>
    </w:p>
    <w:p w14:paraId="3CFADAD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(1)发包人应在本合同签订后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天内向承包人提供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套完整的施工图和其它技术资料。</w:t>
      </w:r>
    </w:p>
    <w:p w14:paraId="201C4639">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承包人发现发包人提供的图纸存在差错、遗漏或缺陷的，应在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天内通知</w:t>
      </w:r>
      <w:r>
        <w:rPr>
          <w:rFonts w:ascii="宋体" w:hAnsi="宋体" w:eastAsia="宋体" w:cs="Times New Roman"/>
          <w:color w:val="auto"/>
          <w:sz w:val="24"/>
          <w:szCs w:val="24"/>
          <w:highlight w:val="none"/>
        </w:rPr>
        <w:t>监理人</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监理人</w:t>
      </w:r>
      <w:r>
        <w:rPr>
          <w:rFonts w:hint="eastAsia" w:ascii="宋体" w:hAnsi="宋体" w:eastAsia="宋体" w:cs="Times New Roman"/>
          <w:color w:val="auto"/>
          <w:sz w:val="24"/>
          <w:szCs w:val="24"/>
          <w:highlight w:val="none"/>
        </w:rPr>
        <w:t>应附具相关意见并在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天内报送发包人，发包人应在收到</w:t>
      </w:r>
      <w:r>
        <w:rPr>
          <w:rFonts w:ascii="宋体" w:hAnsi="宋体" w:eastAsia="宋体" w:cs="Times New Roman"/>
          <w:color w:val="auto"/>
          <w:sz w:val="24"/>
          <w:szCs w:val="24"/>
          <w:highlight w:val="none"/>
        </w:rPr>
        <w:t>监理人</w:t>
      </w:r>
      <w:r>
        <w:rPr>
          <w:rFonts w:hint="eastAsia" w:ascii="宋体" w:hAnsi="宋体" w:eastAsia="宋体" w:cs="Times New Roman"/>
          <w:color w:val="auto"/>
          <w:sz w:val="24"/>
          <w:szCs w:val="24"/>
          <w:highlight w:val="none"/>
        </w:rPr>
        <w:t>报送的通知后在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天内作出决定。</w:t>
      </w:r>
    </w:p>
    <w:p w14:paraId="6BB025CE">
      <w:pPr>
        <w:widowControl w:val="0"/>
        <w:numPr>
          <w:ilvl w:val="0"/>
          <w:numId w:val="0"/>
        </w:numPr>
        <w:tabs>
          <w:tab w:val="left" w:pos="540"/>
          <w:tab w:val="left" w:pos="2340"/>
          <w:tab w:val="left" w:pos="4032"/>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352" w:name="_Toc9087"/>
      <w:bookmarkStart w:id="3353" w:name="_Toc6707"/>
      <w:bookmarkStart w:id="3354" w:name="_Toc445"/>
      <w:bookmarkStart w:id="3355" w:name="_Toc7041"/>
      <w:bookmarkStart w:id="3356" w:name="_Toc1330"/>
      <w:bookmarkStart w:id="3357" w:name="_Toc7832"/>
      <w:bookmarkStart w:id="3358" w:name="_Toc2974"/>
      <w:bookmarkStart w:id="3359" w:name="_Toc25125"/>
      <w:bookmarkStart w:id="3360" w:name="_Toc421"/>
      <w:bookmarkStart w:id="3361" w:name="_Toc302635947"/>
      <w:r>
        <w:rPr>
          <w:rFonts w:hint="eastAsia" w:ascii="宋体" w:hAnsi="宋体" w:eastAsia="宋体" w:cs="Times New Roman"/>
          <w:b/>
          <w:bCs/>
          <w:color w:val="auto"/>
          <w:kern w:val="0"/>
          <w:sz w:val="24"/>
          <w:szCs w:val="32"/>
          <w:highlight w:val="none"/>
          <w:lang w:val="en-US" w:eastAsia="zh-CN" w:bidi="ar-SA"/>
        </w:rPr>
        <w:t>2.8补充图纸和资料</w:t>
      </w:r>
      <w:bookmarkEnd w:id="3352"/>
      <w:bookmarkEnd w:id="3353"/>
      <w:bookmarkEnd w:id="3354"/>
      <w:bookmarkEnd w:id="3355"/>
      <w:bookmarkEnd w:id="3356"/>
      <w:bookmarkEnd w:id="3357"/>
      <w:bookmarkEnd w:id="3358"/>
      <w:bookmarkEnd w:id="3359"/>
      <w:bookmarkEnd w:id="3360"/>
      <w:bookmarkEnd w:id="3361"/>
    </w:p>
    <w:p w14:paraId="37FFA712">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发包人应在工程施工前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日内向承包人提供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套该部分工程的补充施工图(含深化设计图纸)和其它技术资料。</w:t>
      </w:r>
    </w:p>
    <w:p w14:paraId="70D3FEC8">
      <w:pPr>
        <w:widowControl w:val="0"/>
        <w:numPr>
          <w:ilvl w:val="0"/>
          <w:numId w:val="0"/>
        </w:numPr>
        <w:tabs>
          <w:tab w:val="left" w:pos="540"/>
          <w:tab w:val="left" w:pos="2340"/>
          <w:tab w:val="left" w:pos="4032"/>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362" w:name="_Toc6894"/>
      <w:bookmarkStart w:id="3363" w:name="_Toc22581"/>
      <w:bookmarkStart w:id="3364" w:name="_Toc23943"/>
      <w:bookmarkStart w:id="3365" w:name="_Toc12194"/>
      <w:bookmarkStart w:id="3366" w:name="_Toc13186"/>
      <w:bookmarkStart w:id="3367" w:name="_Toc13856"/>
      <w:bookmarkStart w:id="3368" w:name="_Toc2485"/>
      <w:bookmarkStart w:id="3369" w:name="_Toc22117"/>
      <w:bookmarkStart w:id="3370" w:name="_Toc205"/>
      <w:r>
        <w:rPr>
          <w:rFonts w:hint="eastAsia" w:ascii="宋体" w:hAnsi="宋体" w:eastAsia="宋体" w:cs="Times New Roman"/>
          <w:b/>
          <w:bCs/>
          <w:color w:val="auto"/>
          <w:kern w:val="0"/>
          <w:sz w:val="24"/>
          <w:szCs w:val="32"/>
          <w:highlight w:val="none"/>
          <w:lang w:val="en-US" w:eastAsia="zh-CN" w:bidi="ar-SA"/>
        </w:rPr>
        <w:t>2.10 竣工图</w:t>
      </w:r>
      <w:bookmarkEnd w:id="3362"/>
      <w:bookmarkEnd w:id="3363"/>
      <w:bookmarkEnd w:id="3364"/>
      <w:bookmarkEnd w:id="3365"/>
      <w:bookmarkEnd w:id="3366"/>
      <w:bookmarkEnd w:id="3367"/>
      <w:bookmarkEnd w:id="3368"/>
      <w:bookmarkEnd w:id="3369"/>
      <w:bookmarkEnd w:id="3370"/>
    </w:p>
    <w:p w14:paraId="03543D8B">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(1)关于竣工图编制的约定：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0637F7E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04D5317">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371" w:name="_Toc24160"/>
      <w:bookmarkStart w:id="3372" w:name="_Toc2165"/>
      <w:bookmarkStart w:id="3373" w:name="_Toc22405"/>
      <w:bookmarkStart w:id="3374" w:name="_Toc5980"/>
      <w:bookmarkStart w:id="3375" w:name="_Toc305331437"/>
      <w:bookmarkStart w:id="3376" w:name="_Toc7856"/>
      <w:bookmarkStart w:id="3377" w:name="_Toc3320"/>
      <w:bookmarkStart w:id="3378" w:name="_Toc15834"/>
      <w:bookmarkStart w:id="3379" w:name="_Toc9951"/>
      <w:bookmarkStart w:id="3380" w:name="_Toc302635948"/>
      <w:bookmarkStart w:id="3381" w:name="_Toc14101"/>
      <w:r>
        <w:rPr>
          <w:rFonts w:hint="eastAsia" w:ascii="宋体" w:hAnsi="宋体" w:eastAsia="宋体" w:cs="Times New Roman"/>
          <w:b/>
          <w:bCs/>
          <w:color w:val="auto"/>
          <w:kern w:val="0"/>
          <w:sz w:val="24"/>
          <w:szCs w:val="32"/>
          <w:highlight w:val="none"/>
          <w:lang w:val="en-US" w:eastAsia="zh-CN" w:bidi="ar-SA"/>
        </w:rPr>
        <w:t>2.11 通知</w:t>
      </w:r>
      <w:bookmarkEnd w:id="3340"/>
      <w:bookmarkEnd w:id="3371"/>
      <w:bookmarkEnd w:id="3372"/>
      <w:bookmarkEnd w:id="3373"/>
      <w:bookmarkEnd w:id="3374"/>
      <w:bookmarkEnd w:id="3375"/>
      <w:bookmarkEnd w:id="3376"/>
      <w:bookmarkEnd w:id="3377"/>
      <w:bookmarkEnd w:id="3378"/>
      <w:bookmarkEnd w:id="3379"/>
      <w:bookmarkEnd w:id="3380"/>
      <w:bookmarkEnd w:id="3381"/>
    </w:p>
    <w:p w14:paraId="49A65E13">
      <w:pPr>
        <w:spacing w:line="360" w:lineRule="auto"/>
        <w:ind w:firstLine="480"/>
        <w:rPr>
          <w:rFonts w:ascii="宋体" w:hAnsi="宋体" w:eastAsia="宋体" w:cs="Times New Roman"/>
          <w:bCs/>
          <w:i/>
          <w:iCs/>
          <w:color w:val="auto"/>
          <w:sz w:val="24"/>
          <w:szCs w:val="24"/>
          <w:highlight w:val="none"/>
          <w:u w:val="single"/>
        </w:rPr>
      </w:pPr>
      <w:r>
        <w:rPr>
          <w:rFonts w:hint="eastAsia" w:ascii="宋体" w:hAnsi="宋体" w:eastAsia="宋体" w:cs="Times New Roman"/>
          <w:color w:val="auto"/>
          <w:sz w:val="24"/>
          <w:szCs w:val="24"/>
          <w:highlight w:val="none"/>
        </w:rPr>
        <w:t>(1)承包人的地址：</w:t>
      </w:r>
      <w:r>
        <w:rPr>
          <w:rFonts w:hint="eastAsia" w:ascii="方正书宋简体" w:hAnsi="宋体" w:eastAsia="方正书宋简体" w:cs="宋体"/>
          <w:bCs/>
          <w:color w:val="auto"/>
          <w:sz w:val="24"/>
          <w:szCs w:val="24"/>
          <w:highlight w:val="none"/>
          <w:u w:val="single"/>
        </w:rPr>
        <w:t xml:space="preserve">                                   </w:t>
      </w:r>
      <w:r>
        <w:rPr>
          <w:rFonts w:hint="eastAsia" w:ascii="宋体" w:hAnsi="宋体" w:eastAsia="宋体" w:cs="Times New Roman"/>
          <w:bCs/>
          <w:color w:val="auto"/>
          <w:sz w:val="24"/>
          <w:szCs w:val="24"/>
          <w:highlight w:val="none"/>
        </w:rPr>
        <w:t>邮编：</w:t>
      </w:r>
      <w:r>
        <w:rPr>
          <w:rFonts w:hint="eastAsia" w:ascii="宋体" w:hAnsi="宋体" w:eastAsia="宋体" w:cs="Times New Roman"/>
          <w:bCs/>
          <w:color w:val="auto"/>
          <w:sz w:val="24"/>
          <w:szCs w:val="24"/>
          <w:highlight w:val="none"/>
          <w:u w:val="single"/>
        </w:rPr>
        <w:t xml:space="preserve">              </w:t>
      </w:r>
    </w:p>
    <w:p w14:paraId="563133C0">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(2)发包人的地址：</w:t>
      </w:r>
      <w:r>
        <w:rPr>
          <w:rFonts w:hint="eastAsia" w:ascii="方正书宋简体" w:hAnsi="宋体" w:eastAsia="方正书宋简体" w:cs="宋体"/>
          <w:bCs/>
          <w:color w:val="auto"/>
          <w:sz w:val="24"/>
          <w:szCs w:val="24"/>
          <w:highlight w:val="none"/>
          <w:u w:val="single"/>
        </w:rPr>
        <w:t xml:space="preserve">                                   </w:t>
      </w:r>
      <w:r>
        <w:rPr>
          <w:rFonts w:hint="eastAsia" w:ascii="宋体" w:hAnsi="宋体" w:eastAsia="宋体" w:cs="Times New Roman"/>
          <w:bCs/>
          <w:color w:val="auto"/>
          <w:sz w:val="24"/>
          <w:szCs w:val="24"/>
          <w:highlight w:val="none"/>
        </w:rPr>
        <w:t>邮编：</w:t>
      </w:r>
      <w:r>
        <w:rPr>
          <w:rFonts w:hint="eastAsia" w:ascii="宋体" w:hAnsi="宋体" w:eastAsia="宋体" w:cs="Times New Roman"/>
          <w:bCs/>
          <w:color w:val="auto"/>
          <w:sz w:val="24"/>
          <w:szCs w:val="24"/>
          <w:highlight w:val="none"/>
          <w:u w:val="single"/>
        </w:rPr>
        <w:t xml:space="preserve">              </w:t>
      </w:r>
    </w:p>
    <w:p w14:paraId="58342846">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 xml:space="preserve">   监理人的地址：</w:t>
      </w:r>
      <w:bookmarkStart w:id="3382" w:name="_Toc35656522"/>
      <w:r>
        <w:rPr>
          <w:rFonts w:hint="eastAsia" w:ascii="方正书宋简体" w:hAnsi="宋体" w:eastAsia="方正书宋简体" w:cs="宋体"/>
          <w:bCs/>
          <w:color w:val="auto"/>
          <w:sz w:val="24"/>
          <w:szCs w:val="24"/>
          <w:highlight w:val="none"/>
          <w:u w:val="single"/>
        </w:rPr>
        <w:t xml:space="preserve">                                   </w:t>
      </w:r>
      <w:r>
        <w:rPr>
          <w:rFonts w:hint="eastAsia" w:ascii="宋体" w:hAnsi="宋体" w:eastAsia="宋体" w:cs="Times New Roman"/>
          <w:bCs/>
          <w:color w:val="auto"/>
          <w:sz w:val="24"/>
          <w:szCs w:val="24"/>
          <w:highlight w:val="none"/>
        </w:rPr>
        <w:t>邮编：</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53AD69B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383" w:name="_Toc22042"/>
      <w:bookmarkStart w:id="3384" w:name="_Toc29069"/>
      <w:bookmarkStart w:id="3385" w:name="_Toc30916"/>
      <w:bookmarkStart w:id="3386" w:name="_Toc32082"/>
      <w:bookmarkStart w:id="3387" w:name="_Toc302635949"/>
      <w:bookmarkStart w:id="3388" w:name="_Toc22018"/>
      <w:bookmarkStart w:id="3389" w:name="_Toc7066"/>
      <w:bookmarkStart w:id="3390" w:name="_Toc6685"/>
      <w:bookmarkStart w:id="3391" w:name="_Toc2421"/>
      <w:bookmarkStart w:id="3392" w:name="_Toc15645"/>
      <w:r>
        <w:rPr>
          <w:rFonts w:hint="eastAsia" w:ascii="宋体" w:hAnsi="宋体" w:eastAsia="宋体" w:cs="Times New Roman"/>
          <w:b/>
          <w:bCs/>
          <w:color w:val="auto"/>
          <w:kern w:val="0"/>
          <w:sz w:val="24"/>
          <w:szCs w:val="32"/>
          <w:highlight w:val="none"/>
          <w:lang w:val="en-US" w:eastAsia="zh-CN" w:bidi="ar-SA"/>
        </w:rPr>
        <w:t>2.13 交通运输</w:t>
      </w:r>
      <w:bookmarkEnd w:id="3383"/>
      <w:bookmarkEnd w:id="3384"/>
      <w:bookmarkEnd w:id="3385"/>
      <w:bookmarkEnd w:id="3386"/>
      <w:bookmarkEnd w:id="3387"/>
      <w:bookmarkEnd w:id="3388"/>
      <w:bookmarkEnd w:id="3389"/>
      <w:bookmarkEnd w:id="3390"/>
      <w:bookmarkEnd w:id="3391"/>
      <w:bookmarkEnd w:id="3392"/>
      <w:r>
        <w:rPr>
          <w:rFonts w:hint="eastAsia" w:ascii="宋体" w:hAnsi="宋体" w:eastAsia="宋体" w:cs="Times New Roman"/>
          <w:b/>
          <w:bCs/>
          <w:color w:val="auto"/>
          <w:kern w:val="0"/>
          <w:sz w:val="24"/>
          <w:szCs w:val="32"/>
          <w:highlight w:val="none"/>
          <w:lang w:val="en-US" w:eastAsia="zh-CN" w:bidi="ar-SA"/>
        </w:rPr>
        <w:t xml:space="preserve">     </w:t>
      </w:r>
    </w:p>
    <w:p w14:paraId="502A3CF2">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（1）出入现场的权利</w:t>
      </w:r>
    </w:p>
    <w:p w14:paraId="7B4179F2">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关于出入现场的权利的约定：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043E9CAE">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A26138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（3）场内交通</w:t>
      </w:r>
    </w:p>
    <w:p w14:paraId="240BBDA9">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关于场外交通和场内交通的边界的约定：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81EDA1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8626597">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关于发包人向承包人免费提供满足工程施工需要的场内道路和交通设施的约定：</w:t>
      </w:r>
      <w:r>
        <w:rPr>
          <w:rFonts w:hint="eastAsia" w:ascii="宋体" w:hAnsi="宋体" w:eastAsia="宋体" w:cs="Times New Roman"/>
          <w:color w:val="auto"/>
          <w:sz w:val="24"/>
          <w:szCs w:val="24"/>
          <w:highlight w:val="none"/>
          <w:u w:val="single"/>
        </w:rPr>
        <w:t xml:space="preserve">                                                                   </w:t>
      </w:r>
    </w:p>
    <w:p w14:paraId="2F2EE69B">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5D400C8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（4）超大件和超重件的运输</w:t>
      </w:r>
    </w:p>
    <w:p w14:paraId="1E10B8CA">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运输超大件或超重件所需道路和桥梁临时加固费用和其他费用由</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承担。</w:t>
      </w:r>
    </w:p>
    <w:p w14:paraId="572EFA5A">
      <w:pPr>
        <w:spacing w:line="360" w:lineRule="auto"/>
        <w:ind w:firstLine="480"/>
        <w:jc w:val="left"/>
        <w:outlineLvl w:val="1"/>
        <w:rPr>
          <w:rFonts w:hint="eastAsia" w:ascii="宋体" w:hAnsi="宋体" w:eastAsia="宋体" w:cs="Times New Roman"/>
          <w:b/>
          <w:bCs/>
          <w:color w:val="auto"/>
          <w:kern w:val="0"/>
          <w:sz w:val="24"/>
          <w:szCs w:val="32"/>
          <w:highlight w:val="none"/>
          <w:lang w:val="en-US" w:eastAsia="zh-CN" w:bidi="ar-SA"/>
        </w:rPr>
      </w:pPr>
      <w:bookmarkStart w:id="3393" w:name="_Toc25280"/>
      <w:bookmarkStart w:id="3394" w:name="_Toc4332"/>
      <w:bookmarkStart w:id="3395" w:name="_Toc27721"/>
      <w:bookmarkStart w:id="3396" w:name="_Toc162"/>
      <w:bookmarkStart w:id="3397" w:name="_Toc21309"/>
      <w:bookmarkStart w:id="3398" w:name="_Toc5293"/>
      <w:bookmarkStart w:id="3399" w:name="_Toc21458"/>
      <w:bookmarkStart w:id="3400" w:name="_Toc7468"/>
      <w:bookmarkStart w:id="3401" w:name="_Toc5823"/>
      <w:r>
        <w:rPr>
          <w:rFonts w:hint="eastAsia" w:ascii="宋体" w:hAnsi="宋体" w:eastAsia="宋体" w:cs="Times New Roman"/>
          <w:b/>
          <w:bCs/>
          <w:color w:val="auto"/>
          <w:kern w:val="0"/>
          <w:sz w:val="24"/>
          <w:szCs w:val="32"/>
          <w:highlight w:val="none"/>
          <w:lang w:val="en-US" w:eastAsia="zh-CN" w:bidi="ar-SA"/>
        </w:rPr>
        <w:t>2.15 BIM实施应用</w:t>
      </w:r>
      <w:bookmarkEnd w:id="3393"/>
      <w:bookmarkEnd w:id="3394"/>
      <w:bookmarkEnd w:id="3395"/>
      <w:bookmarkEnd w:id="3396"/>
      <w:bookmarkEnd w:id="3397"/>
      <w:bookmarkEnd w:id="3398"/>
      <w:bookmarkEnd w:id="3399"/>
      <w:bookmarkEnd w:id="3400"/>
      <w:bookmarkEnd w:id="3401"/>
    </w:p>
    <w:p w14:paraId="330BA4B7">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⑴BIM实施范围</w:t>
      </w:r>
    </w:p>
    <w:p w14:paraId="62354862">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关于BIM实施内容的约定：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w:t>
      </w:r>
    </w:p>
    <w:p w14:paraId="66A4E4F8">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⑵BIM实施内容和要求</w:t>
      </w:r>
    </w:p>
    <w:p w14:paraId="386D274C">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关于深化设计、施工过程和竣工验收阶段BIM技术和管理应用要求的约定：</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w:t>
      </w:r>
    </w:p>
    <w:p w14:paraId="7BB2D45E">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BIM模型精细度的标准要求：</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 xml:space="preserve">。     </w:t>
      </w:r>
    </w:p>
    <w:p w14:paraId="6AA10D16">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⑶BIM成果的归档和移交</w:t>
      </w:r>
    </w:p>
    <w:p w14:paraId="22871515">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关于BIM成果交付标准的约定：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w:t>
      </w:r>
    </w:p>
    <w:p w14:paraId="1467CBDA">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02" w:name="_Toc28644"/>
      <w:bookmarkStart w:id="3403" w:name="_Toc18898"/>
      <w:bookmarkStart w:id="3404" w:name="_Toc27294"/>
      <w:bookmarkStart w:id="3405" w:name="_Toc12752"/>
      <w:bookmarkStart w:id="3406" w:name="_Toc22791"/>
      <w:bookmarkStart w:id="3407" w:name="_Toc26773"/>
      <w:bookmarkStart w:id="3408" w:name="_Toc302635950"/>
      <w:bookmarkStart w:id="3409" w:name="_Toc18034"/>
      <w:bookmarkStart w:id="3410" w:name="_Toc13525"/>
      <w:bookmarkStart w:id="3411" w:name="_Toc28397"/>
      <w:r>
        <w:rPr>
          <w:rFonts w:hint="eastAsia" w:ascii="宋体" w:hAnsi="宋体" w:eastAsia="宋体" w:cs="Times New Roman"/>
          <w:b/>
          <w:bCs/>
          <w:color w:val="auto"/>
          <w:kern w:val="0"/>
          <w:sz w:val="24"/>
          <w:szCs w:val="32"/>
          <w:highlight w:val="none"/>
          <w:lang w:val="en-US" w:eastAsia="zh-CN" w:bidi="ar-SA"/>
        </w:rPr>
        <w:t>2.16 知识产权</w:t>
      </w:r>
      <w:bookmarkEnd w:id="3402"/>
      <w:bookmarkEnd w:id="3403"/>
      <w:bookmarkEnd w:id="3404"/>
      <w:bookmarkEnd w:id="3405"/>
      <w:bookmarkEnd w:id="3406"/>
      <w:bookmarkEnd w:id="3407"/>
      <w:bookmarkEnd w:id="3408"/>
      <w:bookmarkEnd w:id="3409"/>
      <w:bookmarkEnd w:id="3410"/>
      <w:bookmarkEnd w:id="3411"/>
    </w:p>
    <w:p w14:paraId="40B91CFA">
      <w:pPr>
        <w:spacing w:line="360" w:lineRule="auto"/>
        <w:ind w:firstLine="480" w:firstLineChars="200"/>
        <w:rPr>
          <w:rFonts w:hint="eastAsia" w:ascii="Times New Roman" w:hAnsi="Times New Roman" w:eastAsia="仿宋_GB2312" w:cs="Times New Roman"/>
          <w:color w:val="auto"/>
          <w:sz w:val="30"/>
          <w:szCs w:val="32"/>
          <w:highlight w:val="none"/>
          <w:u w:val="single"/>
        </w:rPr>
      </w:pP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p>
    <w:p w14:paraId="34372FC7">
      <w:pPr>
        <w:spacing w:line="360" w:lineRule="auto"/>
        <w:rPr>
          <w:rFonts w:hint="eastAsia" w:ascii="Times New Roman" w:hAnsi="Times New Roman" w:eastAsia="仿宋_GB2312" w:cs="Times New Roman"/>
          <w:color w:val="auto"/>
          <w:sz w:val="30"/>
          <w:szCs w:val="32"/>
          <w:highlight w:val="none"/>
        </w:rPr>
      </w:pP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rPr>
        <w:t>。</w:t>
      </w:r>
    </w:p>
    <w:p w14:paraId="2A0BC0CD">
      <w:pPr>
        <w:spacing w:line="360" w:lineRule="auto"/>
        <w:ind w:firstLine="480"/>
        <w:jc w:val="left"/>
        <w:rPr>
          <w:rFonts w:hint="eastAsia" w:ascii="Times New Roman" w:hAnsi="Times New Roman" w:eastAsia="仿宋_GB2312" w:cs="Times New Roman"/>
          <w:color w:val="auto"/>
          <w:sz w:val="30"/>
          <w:szCs w:val="32"/>
          <w:highlight w:val="none"/>
        </w:rPr>
      </w:pPr>
      <w:r>
        <w:rPr>
          <w:rFonts w:ascii="宋体" w:hAnsi="宋体" w:eastAsia="宋体" w:cs="Times New Roman"/>
          <w:color w:val="auto"/>
          <w:sz w:val="24"/>
          <w:szCs w:val="24"/>
          <w:highlight w:val="none"/>
        </w:rPr>
        <w:t>关于发包人提供的上述文件的使用限制的要求：</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p>
    <w:p w14:paraId="3E8F47A9">
      <w:pPr>
        <w:spacing w:line="360" w:lineRule="auto"/>
        <w:rPr>
          <w:rFonts w:ascii="Times New Roman" w:hAnsi="Times New Roman" w:eastAsia="仿宋_GB2312" w:cs="Times New Roman"/>
          <w:color w:val="auto"/>
          <w:sz w:val="30"/>
          <w:szCs w:val="32"/>
          <w:highlight w:val="none"/>
        </w:rPr>
      </w:pP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14:paraId="7372BB4D">
      <w:pPr>
        <w:spacing w:line="360" w:lineRule="auto"/>
        <w:ind w:firstLine="480"/>
        <w:jc w:val="left"/>
        <w:rPr>
          <w:rFonts w:hint="eastAsia" w:ascii="Times New Roman" w:hAnsi="Times New Roman" w:eastAsia="仿宋_GB2312" w:cs="Times New Roman"/>
          <w:color w:val="auto"/>
          <w:sz w:val="30"/>
          <w:szCs w:val="32"/>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关于承包人为实施工程所编制文件的著作权的归属：</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p>
    <w:p w14:paraId="71806D35">
      <w:pPr>
        <w:spacing w:line="360" w:lineRule="auto"/>
        <w:rPr>
          <w:rFonts w:ascii="Times New Roman" w:hAnsi="Times New Roman" w:eastAsia="仿宋_GB2312" w:cs="Times New Roman"/>
          <w:color w:val="auto"/>
          <w:sz w:val="30"/>
          <w:szCs w:val="32"/>
          <w:highlight w:val="none"/>
        </w:rPr>
      </w:pP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14:paraId="129A9A7C">
      <w:pPr>
        <w:spacing w:line="360" w:lineRule="auto"/>
        <w:ind w:firstLine="480" w:firstLineChars="200"/>
        <w:rPr>
          <w:rFonts w:hint="eastAsia" w:ascii="Times New Roman" w:hAnsi="Times New Roman" w:eastAsia="仿宋_GB2312" w:cs="Times New Roman"/>
          <w:color w:val="auto"/>
          <w:sz w:val="30"/>
          <w:szCs w:val="32"/>
          <w:highlight w:val="none"/>
          <w:u w:val="single"/>
        </w:rPr>
      </w:pPr>
      <w:r>
        <w:rPr>
          <w:rFonts w:ascii="宋体" w:hAnsi="宋体" w:eastAsia="宋体" w:cs="Times New Roman"/>
          <w:color w:val="auto"/>
          <w:sz w:val="24"/>
          <w:szCs w:val="24"/>
          <w:highlight w:val="none"/>
        </w:rPr>
        <w:t>关于承包人提供的上述文件的使用限制的要求：</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p>
    <w:p w14:paraId="243B9305">
      <w:pPr>
        <w:spacing w:line="360" w:lineRule="auto"/>
        <w:rPr>
          <w:rFonts w:ascii="Times New Roman" w:hAnsi="Times New Roman" w:eastAsia="仿宋_GB2312" w:cs="Times New Roman"/>
          <w:color w:val="auto"/>
          <w:sz w:val="30"/>
          <w:szCs w:val="32"/>
          <w:highlight w:val="none"/>
        </w:rPr>
      </w:pP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14:paraId="6FB99E05">
      <w:pPr>
        <w:spacing w:line="360" w:lineRule="auto"/>
        <w:ind w:firstLine="480" w:firstLineChars="200"/>
        <w:rPr>
          <w:rFonts w:ascii="Times New Roman" w:hAnsi="Times New Roman" w:eastAsia="仿宋_GB2312" w:cs="Times New Roman"/>
          <w:color w:val="auto"/>
          <w:kern w:val="0"/>
          <w:sz w:val="30"/>
          <w:szCs w:val="32"/>
          <w:highlight w:val="none"/>
        </w:rPr>
      </w:pP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承包人在施工过程中所采用的专利、专有技术、技术秘密的使用费的承担方式：</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bookmarkEnd w:id="3382"/>
    <w:p w14:paraId="51D669D3">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412" w:name="_Toc302635952"/>
      <w:bookmarkStart w:id="3413" w:name="_Toc21850"/>
      <w:bookmarkStart w:id="3414" w:name="_Toc21719"/>
      <w:bookmarkStart w:id="3415" w:name="_Toc305331438"/>
      <w:bookmarkStart w:id="3416" w:name="_Toc10096"/>
      <w:bookmarkStart w:id="3417" w:name="_Toc4867"/>
      <w:bookmarkStart w:id="3418" w:name="_Toc28990"/>
      <w:bookmarkStart w:id="3419" w:name="_Toc35656523"/>
      <w:bookmarkStart w:id="3420" w:name="_Toc6288"/>
      <w:bookmarkStart w:id="3421" w:name="_Toc8763"/>
      <w:bookmarkStart w:id="3422" w:name="_Toc12046"/>
      <w:bookmarkStart w:id="3423" w:name="_Toc24572"/>
      <w:r>
        <w:rPr>
          <w:rFonts w:hint="eastAsia" w:ascii="华文细黑" w:hAnsi="宋体" w:eastAsia="宋体" w:cs="Times New Roman"/>
          <w:b/>
          <w:bCs/>
          <w:snapToGrid w:val="0"/>
          <w:color w:val="auto"/>
          <w:kern w:val="0"/>
          <w:sz w:val="28"/>
          <w:szCs w:val="44"/>
          <w:highlight w:val="none"/>
          <w:lang w:val="en-US" w:eastAsia="zh-CN" w:bidi="ar-SA"/>
        </w:rPr>
        <w:t>3 发包人</w:t>
      </w:r>
      <w:bookmarkEnd w:id="3412"/>
      <w:bookmarkEnd w:id="3413"/>
      <w:bookmarkEnd w:id="3414"/>
      <w:bookmarkEnd w:id="3415"/>
      <w:bookmarkEnd w:id="3416"/>
      <w:bookmarkEnd w:id="3417"/>
      <w:bookmarkEnd w:id="3418"/>
      <w:bookmarkEnd w:id="3419"/>
      <w:bookmarkEnd w:id="3420"/>
      <w:bookmarkEnd w:id="3421"/>
      <w:bookmarkEnd w:id="3422"/>
      <w:bookmarkEnd w:id="3423"/>
    </w:p>
    <w:p w14:paraId="3CBC5D8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24" w:name="_Toc305331439"/>
      <w:bookmarkStart w:id="3425" w:name="_Toc3708"/>
      <w:bookmarkStart w:id="3426" w:name="_Toc24501"/>
      <w:bookmarkStart w:id="3427" w:name="_Toc302635953"/>
      <w:bookmarkStart w:id="3428" w:name="_Toc29881"/>
      <w:bookmarkStart w:id="3429" w:name="_Toc3039"/>
      <w:bookmarkStart w:id="3430" w:name="_Toc28355"/>
      <w:bookmarkStart w:id="3431" w:name="_Toc11837"/>
      <w:bookmarkStart w:id="3432" w:name="_Toc21394"/>
      <w:bookmarkStart w:id="3433" w:name="_Toc12359"/>
      <w:bookmarkStart w:id="3434" w:name="_Toc16465"/>
      <w:r>
        <w:rPr>
          <w:rFonts w:hint="eastAsia" w:ascii="宋体" w:hAnsi="宋体" w:eastAsia="宋体" w:cs="Times New Roman"/>
          <w:b/>
          <w:bCs/>
          <w:color w:val="auto"/>
          <w:kern w:val="0"/>
          <w:sz w:val="24"/>
          <w:szCs w:val="32"/>
          <w:highlight w:val="none"/>
          <w:lang w:val="en-US" w:eastAsia="zh-CN" w:bidi="ar-SA"/>
        </w:rPr>
        <w:t>3.1 发包人代表</w:t>
      </w:r>
      <w:bookmarkEnd w:id="3424"/>
      <w:bookmarkEnd w:id="3425"/>
      <w:bookmarkEnd w:id="3426"/>
      <w:bookmarkEnd w:id="3427"/>
      <w:bookmarkEnd w:id="3428"/>
      <w:bookmarkEnd w:id="3429"/>
      <w:bookmarkEnd w:id="3430"/>
      <w:bookmarkEnd w:id="3431"/>
      <w:bookmarkEnd w:id="3432"/>
      <w:bookmarkEnd w:id="3433"/>
      <w:bookmarkEnd w:id="3434"/>
    </w:p>
    <w:p w14:paraId="38B4C36C">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发包人代表的姓名：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0BE50F86">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35" w:name="_Toc18449"/>
      <w:bookmarkStart w:id="3436" w:name="_Toc7826"/>
      <w:bookmarkStart w:id="3437" w:name="_Toc28912"/>
      <w:bookmarkStart w:id="3438" w:name="_Toc302635954"/>
      <w:bookmarkStart w:id="3439" w:name="_Toc3479"/>
      <w:bookmarkStart w:id="3440" w:name="_Toc13269"/>
      <w:bookmarkStart w:id="3441" w:name="_Toc827"/>
      <w:bookmarkStart w:id="3442" w:name="_Toc17714"/>
      <w:bookmarkStart w:id="3443" w:name="_Toc9979"/>
      <w:bookmarkStart w:id="3444" w:name="_Toc305331440"/>
      <w:bookmarkStart w:id="3445" w:name="_Toc29619"/>
      <w:r>
        <w:rPr>
          <w:rFonts w:hint="eastAsia" w:ascii="宋体" w:hAnsi="宋体" w:eastAsia="宋体" w:cs="Times New Roman"/>
          <w:b/>
          <w:bCs/>
          <w:color w:val="auto"/>
          <w:kern w:val="0"/>
          <w:sz w:val="24"/>
          <w:szCs w:val="32"/>
          <w:highlight w:val="none"/>
          <w:lang w:val="en-US" w:eastAsia="zh-CN" w:bidi="ar-SA"/>
        </w:rPr>
        <w:t>3.4 发包人的工作</w:t>
      </w:r>
      <w:bookmarkEnd w:id="3435"/>
      <w:bookmarkEnd w:id="3436"/>
      <w:bookmarkEnd w:id="3437"/>
      <w:bookmarkEnd w:id="3438"/>
      <w:bookmarkEnd w:id="3439"/>
      <w:bookmarkEnd w:id="3440"/>
      <w:bookmarkEnd w:id="3441"/>
      <w:bookmarkEnd w:id="3442"/>
      <w:bookmarkEnd w:id="3443"/>
      <w:bookmarkEnd w:id="3444"/>
      <w:bookmarkEnd w:id="3445"/>
    </w:p>
    <w:p w14:paraId="549FC8F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(1)发包人完成工作的要求：</w:t>
      </w:r>
    </w:p>
    <w:p w14:paraId="48CCF33F">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②施工场地内施工所需用水、用电、通讯的接驳地点：</w:t>
      </w:r>
      <w:r>
        <w:rPr>
          <w:rFonts w:hint="eastAsia" w:ascii="宋体" w:hAnsi="宋体" w:eastAsia="宋体" w:cs="Times New Roman"/>
          <w:bCs/>
          <w:color w:val="auto"/>
          <w:sz w:val="24"/>
          <w:szCs w:val="24"/>
          <w:highlight w:val="none"/>
          <w:u w:val="single"/>
        </w:rPr>
        <w:t xml:space="preserve">                       </w:t>
      </w:r>
    </w:p>
    <w:p w14:paraId="7975C7D6">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6E02F3C3">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E310D6E">
      <w:pPr>
        <w:spacing w:line="360" w:lineRule="auto"/>
        <w:rPr>
          <w:rFonts w:ascii="宋体" w:hAnsi="宋体" w:eastAsia="宋体" w:cs="Times New Roman"/>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16A30DF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⑦发包人组织图纸会审和设计交底的时间：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5CAAD35F">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⑨发包人应做的其他工作和要求：</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07285B5">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2CBFDD4">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5492F72F">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74A6B80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46" w:name="_Toc9389"/>
      <w:bookmarkStart w:id="3447" w:name="_Toc302635955"/>
      <w:bookmarkStart w:id="3448" w:name="_Toc23268"/>
      <w:bookmarkStart w:id="3449" w:name="_Toc3944"/>
      <w:bookmarkStart w:id="3450" w:name="_Toc18988"/>
      <w:bookmarkStart w:id="3451" w:name="_Toc18144"/>
      <w:bookmarkStart w:id="3452" w:name="_Toc11022"/>
      <w:bookmarkStart w:id="3453" w:name="_Toc11262"/>
      <w:bookmarkStart w:id="3454" w:name="_Toc11865"/>
      <w:bookmarkStart w:id="3455" w:name="_Toc305331441"/>
      <w:bookmarkStart w:id="3456" w:name="_Toc20319"/>
      <w:r>
        <w:rPr>
          <w:rFonts w:hint="eastAsia" w:ascii="宋体" w:hAnsi="宋体" w:eastAsia="宋体" w:cs="Times New Roman"/>
          <w:b/>
          <w:bCs/>
          <w:color w:val="auto"/>
          <w:kern w:val="0"/>
          <w:sz w:val="24"/>
          <w:szCs w:val="32"/>
          <w:highlight w:val="none"/>
          <w:lang w:val="en-US" w:eastAsia="zh-CN" w:bidi="ar-SA"/>
        </w:rPr>
        <w:t>3.5 发包人委托</w:t>
      </w:r>
      <w:bookmarkEnd w:id="3446"/>
      <w:bookmarkEnd w:id="3447"/>
      <w:bookmarkEnd w:id="3448"/>
      <w:bookmarkEnd w:id="3449"/>
      <w:bookmarkEnd w:id="3450"/>
      <w:bookmarkEnd w:id="3451"/>
      <w:bookmarkEnd w:id="3452"/>
      <w:bookmarkEnd w:id="3453"/>
      <w:bookmarkEnd w:id="3454"/>
      <w:bookmarkEnd w:id="3455"/>
      <w:bookmarkEnd w:id="3456"/>
    </w:p>
    <w:p w14:paraId="00406DB0">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发包人委托承包人办理的工作：</w:t>
      </w:r>
      <w:bookmarkStart w:id="3457" w:name="_Toc35656524"/>
      <w:r>
        <w:rPr>
          <w:rFonts w:hint="eastAsia" w:ascii="宋体" w:hAnsi="宋体" w:eastAsia="宋体" w:cs="Times New Roman"/>
          <w:bCs/>
          <w:color w:val="auto"/>
          <w:sz w:val="24"/>
          <w:szCs w:val="24"/>
          <w:highlight w:val="none"/>
          <w:u w:val="single"/>
        </w:rPr>
        <w:t xml:space="preserve">                                           </w:t>
      </w:r>
    </w:p>
    <w:p w14:paraId="4A213194">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244CD6AD">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4A1D3511">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605A7699">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6F9B80C">
      <w:pPr>
        <w:spacing w:line="360" w:lineRule="auto"/>
        <w:rPr>
          <w:rFonts w:ascii="宋体" w:hAnsi="宋体" w:eastAsia="宋体" w:cs="Times New Roman"/>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0C7528A9">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458" w:name="_Toc18284"/>
      <w:bookmarkStart w:id="3459" w:name="_Toc30258"/>
      <w:bookmarkStart w:id="3460" w:name="_Toc1816"/>
      <w:bookmarkStart w:id="3461" w:name="_Toc14808"/>
      <w:bookmarkStart w:id="3462" w:name="_Toc28798"/>
      <w:bookmarkStart w:id="3463" w:name="_Toc32085"/>
      <w:bookmarkStart w:id="3464" w:name="_Toc305331442"/>
      <w:bookmarkStart w:id="3465" w:name="_Toc16857"/>
      <w:bookmarkStart w:id="3466" w:name="_Toc28228"/>
      <w:bookmarkStart w:id="3467" w:name="_Toc302635956"/>
      <w:bookmarkStart w:id="3468" w:name="_Toc7107"/>
      <w:r>
        <w:rPr>
          <w:rFonts w:hint="eastAsia" w:ascii="华文细黑" w:hAnsi="宋体" w:eastAsia="宋体" w:cs="Times New Roman"/>
          <w:b/>
          <w:bCs/>
          <w:snapToGrid w:val="0"/>
          <w:color w:val="auto"/>
          <w:kern w:val="0"/>
          <w:sz w:val="28"/>
          <w:szCs w:val="44"/>
          <w:highlight w:val="none"/>
          <w:lang w:val="en-US" w:eastAsia="zh-CN" w:bidi="ar-SA"/>
        </w:rPr>
        <w:t>4 承包人</w:t>
      </w:r>
      <w:bookmarkEnd w:id="3457"/>
      <w:bookmarkEnd w:id="3458"/>
      <w:bookmarkEnd w:id="3459"/>
      <w:bookmarkEnd w:id="3460"/>
      <w:bookmarkEnd w:id="3461"/>
      <w:bookmarkEnd w:id="3462"/>
      <w:bookmarkEnd w:id="3463"/>
      <w:bookmarkEnd w:id="3464"/>
      <w:bookmarkEnd w:id="3465"/>
      <w:bookmarkEnd w:id="3466"/>
      <w:bookmarkEnd w:id="3467"/>
      <w:bookmarkEnd w:id="3468"/>
    </w:p>
    <w:p w14:paraId="724CAB0C">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69" w:name="_Toc305331443"/>
      <w:bookmarkStart w:id="3470" w:name="_Toc24327"/>
      <w:bookmarkStart w:id="3471" w:name="_Toc18205"/>
      <w:bookmarkStart w:id="3472" w:name="_Toc15137"/>
      <w:bookmarkStart w:id="3473" w:name="_Toc12949"/>
      <w:bookmarkStart w:id="3474" w:name="_Toc29447"/>
      <w:bookmarkStart w:id="3475" w:name="_Toc302635957"/>
      <w:bookmarkStart w:id="3476" w:name="_Toc25779"/>
      <w:bookmarkStart w:id="3477" w:name="_Toc28927"/>
      <w:bookmarkStart w:id="3478" w:name="_Toc10471"/>
      <w:bookmarkStart w:id="3479" w:name="_Toc20886"/>
      <w:r>
        <w:rPr>
          <w:rFonts w:hint="eastAsia" w:ascii="宋体" w:hAnsi="宋体" w:eastAsia="宋体" w:cs="Times New Roman"/>
          <w:b/>
          <w:bCs/>
          <w:color w:val="auto"/>
          <w:kern w:val="0"/>
          <w:sz w:val="24"/>
          <w:szCs w:val="32"/>
          <w:highlight w:val="none"/>
          <w:lang w:val="en-US" w:eastAsia="zh-CN" w:bidi="ar-SA"/>
        </w:rPr>
        <w:t>4.2 承包人的工作</w:t>
      </w:r>
      <w:bookmarkEnd w:id="3469"/>
      <w:bookmarkEnd w:id="3470"/>
      <w:bookmarkEnd w:id="3471"/>
      <w:bookmarkEnd w:id="3472"/>
      <w:bookmarkEnd w:id="3473"/>
      <w:bookmarkEnd w:id="3474"/>
      <w:bookmarkEnd w:id="3475"/>
      <w:bookmarkEnd w:id="3476"/>
      <w:bookmarkEnd w:id="3477"/>
      <w:bookmarkEnd w:id="3478"/>
      <w:bookmarkEnd w:id="3479"/>
    </w:p>
    <w:p w14:paraId="6CC39C6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(1)承包人完成工作的要求：</w:t>
      </w:r>
    </w:p>
    <w:p w14:paraId="1EA313A4">
      <w:pPr>
        <w:spacing w:line="360" w:lineRule="auto"/>
        <w:ind w:firstLine="480"/>
        <w:rPr>
          <w:rFonts w:hint="eastAsia" w:ascii="宋体" w:hAnsi="宋体" w:eastAsia="宋体" w:cs="Times New Roman"/>
          <w:color w:val="auto"/>
          <w:sz w:val="24"/>
          <w:szCs w:val="24"/>
          <w:highlight w:val="none"/>
          <w:u w:val="single"/>
        </w:rPr>
      </w:pPr>
      <w:bookmarkStart w:id="3480" w:name="_Toc35656527"/>
      <w:bookmarkStart w:id="3481" w:name="_Toc35656525"/>
      <w:r>
        <w:rPr>
          <w:rFonts w:hint="eastAsia" w:ascii="宋体" w:hAnsi="宋体" w:eastAsia="宋体" w:cs="Times New Roman"/>
          <w:color w:val="auto"/>
          <w:sz w:val="24"/>
          <w:szCs w:val="24"/>
          <w:highlight w:val="none"/>
        </w:rPr>
        <w:t>③承包人向发包人提供施工场地办公和生活的房屋及设施，费用承担方式为：</w:t>
      </w:r>
      <w:r>
        <w:rPr>
          <w:rFonts w:hint="eastAsia" w:ascii="宋体" w:hAnsi="宋体" w:eastAsia="宋体" w:cs="Times New Roman"/>
          <w:color w:val="auto"/>
          <w:sz w:val="24"/>
          <w:szCs w:val="24"/>
          <w:highlight w:val="none"/>
          <w:u w:val="single"/>
        </w:rPr>
        <w:t xml:space="preserve">                                                                       </w:t>
      </w:r>
    </w:p>
    <w:p w14:paraId="53A2A344">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584BB6CF">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⑧承包人应在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前向发包人提交</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套竣工资料。</w:t>
      </w:r>
    </w:p>
    <w:p w14:paraId="4730DE3C">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⑨约定承包人应做的其他工作：</w:t>
      </w:r>
      <w:r>
        <w:rPr>
          <w:rFonts w:hint="eastAsia" w:ascii="宋体" w:hAnsi="宋体" w:eastAsia="宋体" w:cs="Times New Roman"/>
          <w:color w:val="auto"/>
          <w:sz w:val="24"/>
          <w:szCs w:val="24"/>
          <w:highlight w:val="none"/>
          <w:u w:val="single"/>
        </w:rPr>
        <w:t xml:space="preserve">                                            </w:t>
      </w:r>
    </w:p>
    <w:p w14:paraId="32D346B0">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B57017C">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5D5C6E66">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62A13341">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3E931461">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482" w:name="_Toc305331444"/>
      <w:bookmarkStart w:id="3483" w:name="_Toc23429"/>
      <w:bookmarkStart w:id="3484" w:name="_Toc8361"/>
      <w:bookmarkStart w:id="3485" w:name="_Toc8960"/>
      <w:bookmarkStart w:id="3486" w:name="_Toc1111"/>
      <w:bookmarkStart w:id="3487" w:name="_Toc20209"/>
      <w:bookmarkStart w:id="3488" w:name="_Toc18206"/>
      <w:bookmarkStart w:id="3489" w:name="_Toc6884"/>
      <w:bookmarkStart w:id="3490" w:name="_Toc3658"/>
      <w:bookmarkStart w:id="3491" w:name="_Toc302635958"/>
      <w:bookmarkStart w:id="3492" w:name="_Toc13209"/>
      <w:r>
        <w:rPr>
          <w:rFonts w:hint="eastAsia" w:ascii="宋体" w:hAnsi="宋体" w:eastAsia="宋体" w:cs="Times New Roman"/>
          <w:b/>
          <w:bCs/>
          <w:color w:val="auto"/>
          <w:kern w:val="0"/>
          <w:sz w:val="24"/>
          <w:szCs w:val="32"/>
          <w:highlight w:val="none"/>
          <w:lang w:val="en-US" w:eastAsia="zh-CN" w:bidi="ar-SA"/>
        </w:rPr>
        <w:t>4.3</w:t>
      </w:r>
      <w:bookmarkEnd w:id="3480"/>
      <w:r>
        <w:rPr>
          <w:rFonts w:hint="eastAsia" w:ascii="宋体" w:hAnsi="宋体" w:eastAsia="宋体" w:cs="Times New Roman"/>
          <w:b/>
          <w:bCs/>
          <w:color w:val="auto"/>
          <w:kern w:val="0"/>
          <w:sz w:val="24"/>
          <w:szCs w:val="32"/>
          <w:highlight w:val="none"/>
          <w:lang w:val="en-US" w:eastAsia="zh-CN" w:bidi="ar-SA"/>
        </w:rPr>
        <w:t>项目经理的任命</w:t>
      </w:r>
      <w:bookmarkEnd w:id="3482"/>
      <w:bookmarkEnd w:id="3483"/>
      <w:bookmarkEnd w:id="3484"/>
      <w:bookmarkEnd w:id="3485"/>
      <w:bookmarkEnd w:id="3486"/>
      <w:bookmarkEnd w:id="3487"/>
      <w:bookmarkEnd w:id="3488"/>
      <w:bookmarkEnd w:id="3489"/>
      <w:bookmarkEnd w:id="3490"/>
      <w:bookmarkEnd w:id="3491"/>
      <w:bookmarkEnd w:id="3492"/>
    </w:p>
    <w:p w14:paraId="1B3308E9">
      <w:pPr>
        <w:spacing w:line="360" w:lineRule="auto"/>
        <w:ind w:left="2"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(2)承包人任命的项目经理姓名：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，资格证书号：</w:t>
      </w:r>
      <w:r>
        <w:rPr>
          <w:rFonts w:hint="eastAsia" w:ascii="宋体" w:hAnsi="宋体" w:eastAsia="宋体" w:cs="Times New Roman"/>
          <w:color w:val="auto"/>
          <w:sz w:val="24"/>
          <w:szCs w:val="24"/>
          <w:highlight w:val="none"/>
          <w:u w:val="single"/>
        </w:rPr>
        <w:t xml:space="preserve">                  </w:t>
      </w:r>
    </w:p>
    <w:p w14:paraId="0779B1E0">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(3)承包人的项目经理与投标文件的承诺不一致，或项目经理未及时到位，或同时兼任承包人</w:t>
      </w:r>
      <w:r>
        <w:rPr>
          <w:rFonts w:ascii="宋体" w:hAnsi="宋体" w:eastAsia="宋体" w:cs="Times New Roman"/>
          <w:color w:val="auto"/>
          <w:sz w:val="24"/>
          <w:szCs w:val="24"/>
          <w:highlight w:val="none"/>
        </w:rPr>
        <w:t>其它</w:t>
      </w:r>
      <w:r>
        <w:rPr>
          <w:rFonts w:hint="eastAsia" w:ascii="宋体" w:hAnsi="宋体" w:eastAsia="宋体" w:cs="Times New Roman"/>
          <w:color w:val="auto"/>
          <w:sz w:val="24"/>
          <w:szCs w:val="24"/>
          <w:highlight w:val="none"/>
        </w:rPr>
        <w:t>工程</w:t>
      </w:r>
      <w:r>
        <w:rPr>
          <w:rFonts w:ascii="宋体" w:hAnsi="宋体" w:eastAsia="宋体" w:cs="Times New Roman"/>
          <w:color w:val="auto"/>
          <w:sz w:val="24"/>
          <w:szCs w:val="24"/>
          <w:highlight w:val="none"/>
        </w:rPr>
        <w:t>项目的</w:t>
      </w:r>
      <w:r>
        <w:rPr>
          <w:rFonts w:hint="eastAsia" w:ascii="宋体" w:hAnsi="宋体" w:eastAsia="宋体" w:cs="Times New Roman"/>
          <w:color w:val="auto"/>
          <w:sz w:val="24"/>
          <w:szCs w:val="24"/>
          <w:highlight w:val="none"/>
        </w:rPr>
        <w:t>项目经理的，承包人应向发包人支付违约金每次</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27DD30F">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93" w:name="_Toc14516"/>
      <w:bookmarkStart w:id="3494" w:name="_Toc6901"/>
      <w:bookmarkStart w:id="3495" w:name="_Toc23011"/>
      <w:bookmarkStart w:id="3496" w:name="_Toc30736"/>
      <w:bookmarkStart w:id="3497" w:name="_Toc305331445"/>
      <w:bookmarkStart w:id="3498" w:name="_Toc28066"/>
      <w:bookmarkStart w:id="3499" w:name="_Toc2142"/>
      <w:bookmarkStart w:id="3500" w:name="_Toc7161"/>
      <w:bookmarkStart w:id="3501" w:name="_Toc19082"/>
      <w:bookmarkStart w:id="3502" w:name="_Toc302635959"/>
      <w:bookmarkStart w:id="3503" w:name="_Toc27786"/>
      <w:r>
        <w:rPr>
          <w:rFonts w:hint="eastAsia" w:ascii="宋体" w:hAnsi="宋体" w:eastAsia="宋体" w:cs="Times New Roman"/>
          <w:b/>
          <w:bCs/>
          <w:color w:val="auto"/>
          <w:kern w:val="0"/>
          <w:sz w:val="24"/>
          <w:szCs w:val="32"/>
          <w:highlight w:val="none"/>
          <w:lang w:val="en-US" w:eastAsia="zh-CN" w:bidi="ar-SA"/>
        </w:rPr>
        <w:t>4.4 项目经理的更换</w:t>
      </w:r>
      <w:bookmarkEnd w:id="3493"/>
      <w:bookmarkEnd w:id="3494"/>
      <w:bookmarkEnd w:id="3495"/>
      <w:bookmarkEnd w:id="3496"/>
      <w:bookmarkEnd w:id="3497"/>
      <w:bookmarkEnd w:id="3498"/>
      <w:bookmarkEnd w:id="3499"/>
      <w:bookmarkEnd w:id="3500"/>
      <w:bookmarkEnd w:id="3501"/>
      <w:bookmarkEnd w:id="3502"/>
      <w:bookmarkEnd w:id="3503"/>
    </w:p>
    <w:p w14:paraId="7E0F0F9A">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(2)承包人未经监理工程师及发包人同意更换项目经理的，承包人应向发包人支付违约金</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元／次。</w:t>
      </w:r>
    </w:p>
    <w:p w14:paraId="664DD8FA">
      <w:pPr>
        <w:spacing w:line="360" w:lineRule="auto"/>
        <w:ind w:left="2"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rPr>
        <w:t>承包人无正当理由拒绝更换项目经理的违约责任：</w:t>
      </w:r>
      <w:r>
        <w:rPr>
          <w:rFonts w:hint="eastAsia" w:ascii="宋体" w:hAnsi="宋体" w:eastAsia="宋体" w:cs="Times New Roman"/>
          <w:color w:val="auto"/>
          <w:sz w:val="24"/>
          <w:szCs w:val="24"/>
          <w:highlight w:val="none"/>
          <w:u w:val="single"/>
        </w:rPr>
        <w:t xml:space="preserve">                         </w:t>
      </w:r>
    </w:p>
    <w:p w14:paraId="71C38296">
      <w:pPr>
        <w:spacing w:line="360" w:lineRule="auto"/>
        <w:rPr>
          <w:rFonts w:hint="eastAsia" w:ascii="宋体" w:hAnsi="宋体" w:eastAsia="宋体" w:cs="Times New Roman"/>
          <w:color w:val="auto"/>
          <w:sz w:val="24"/>
          <w:szCs w:val="24"/>
          <w:highlight w:val="none"/>
        </w:rPr>
      </w:pPr>
      <w:bookmarkStart w:id="3504" w:name="_Toc305331446"/>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3377845D">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05" w:name="_Toc22307"/>
      <w:bookmarkStart w:id="3506" w:name="_Toc9675"/>
      <w:bookmarkStart w:id="3507" w:name="_Toc302635960"/>
      <w:bookmarkStart w:id="3508" w:name="_Toc413"/>
      <w:bookmarkStart w:id="3509" w:name="_Toc28733"/>
      <w:bookmarkStart w:id="3510" w:name="_Toc22489"/>
      <w:bookmarkStart w:id="3511" w:name="_Toc2480"/>
      <w:bookmarkStart w:id="3512" w:name="_Toc20500"/>
      <w:bookmarkStart w:id="3513" w:name="_Toc3999"/>
      <w:bookmarkStart w:id="3514" w:name="_Toc30913"/>
      <w:r>
        <w:rPr>
          <w:rFonts w:hint="eastAsia" w:ascii="宋体" w:hAnsi="宋体" w:eastAsia="宋体" w:cs="Times New Roman"/>
          <w:b/>
          <w:bCs/>
          <w:color w:val="auto"/>
          <w:kern w:val="0"/>
          <w:sz w:val="24"/>
          <w:szCs w:val="32"/>
          <w:highlight w:val="none"/>
          <w:lang w:val="en-US" w:eastAsia="zh-CN" w:bidi="ar-SA"/>
        </w:rPr>
        <w:t>4.6 施工管理人员</w:t>
      </w:r>
      <w:bookmarkEnd w:id="3504"/>
      <w:bookmarkEnd w:id="3505"/>
      <w:bookmarkEnd w:id="3506"/>
      <w:bookmarkEnd w:id="3507"/>
      <w:bookmarkEnd w:id="3508"/>
      <w:bookmarkEnd w:id="3509"/>
      <w:bookmarkEnd w:id="3510"/>
      <w:bookmarkEnd w:id="3511"/>
      <w:bookmarkEnd w:id="3512"/>
      <w:bookmarkEnd w:id="3513"/>
      <w:bookmarkEnd w:id="3514"/>
    </w:p>
    <w:p w14:paraId="23A02D73">
      <w:pPr>
        <w:spacing w:line="360" w:lineRule="auto"/>
        <w:ind w:left="2"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)属于承包人主要施工管理人员的其他人员包括</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7BB3B5C">
      <w:pPr>
        <w:spacing w:line="360" w:lineRule="auto"/>
        <w:ind w:firstLine="480" w:firstLineChars="20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(3)承包人主要施工管理人员离开施工现场的批准要求：</w:t>
      </w:r>
      <w:r>
        <w:rPr>
          <w:rFonts w:hint="eastAsia" w:ascii="宋体" w:hAnsi="宋体" w:eastAsia="宋体" w:cs="Times New Roman"/>
          <w:color w:val="auto"/>
          <w:sz w:val="24"/>
          <w:szCs w:val="24"/>
          <w:highlight w:val="none"/>
          <w:u w:val="single"/>
        </w:rPr>
        <w:t xml:space="preserve">                        </w:t>
      </w:r>
    </w:p>
    <w:p w14:paraId="13C7FBCE">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6A7EF66">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承包人的</w:t>
      </w:r>
      <w:r>
        <w:rPr>
          <w:rFonts w:hint="eastAsia" w:ascii="宋体" w:hAnsi="宋体" w:eastAsia="宋体" w:cs="Times New Roman"/>
          <w:color w:val="auto"/>
          <w:sz w:val="24"/>
          <w:szCs w:val="24"/>
          <w:highlight w:val="none"/>
        </w:rPr>
        <w:t>管理人员</w:t>
      </w:r>
      <w:r>
        <w:rPr>
          <w:rFonts w:ascii="宋体" w:hAnsi="宋体" w:eastAsia="宋体" w:cs="Times New Roman"/>
          <w:color w:val="auto"/>
          <w:sz w:val="24"/>
          <w:szCs w:val="24"/>
          <w:highlight w:val="none"/>
        </w:rPr>
        <w:t>在</w:t>
      </w:r>
      <w:r>
        <w:rPr>
          <w:rFonts w:hint="eastAsia" w:ascii="宋体" w:hAnsi="宋体" w:eastAsia="宋体" w:cs="Times New Roman"/>
          <w:color w:val="auto"/>
          <w:sz w:val="24"/>
          <w:szCs w:val="24"/>
          <w:highlight w:val="none"/>
        </w:rPr>
        <w:t>施工</w:t>
      </w:r>
      <w:r>
        <w:rPr>
          <w:rFonts w:ascii="宋体" w:hAnsi="宋体" w:eastAsia="宋体" w:cs="Times New Roman"/>
          <w:color w:val="auto"/>
          <w:sz w:val="24"/>
          <w:szCs w:val="24"/>
          <w:highlight w:val="none"/>
        </w:rPr>
        <w:t>期间出现以下情况</w:t>
      </w:r>
      <w:r>
        <w:rPr>
          <w:rFonts w:hint="eastAsia" w:ascii="宋体" w:hAnsi="宋体" w:eastAsia="宋体" w:cs="Times New Roman"/>
          <w:color w:val="auto"/>
          <w:sz w:val="24"/>
          <w:szCs w:val="24"/>
          <w:highlight w:val="none"/>
        </w:rPr>
        <w:t>，应承担的违约责任</w:t>
      </w:r>
      <w:r>
        <w:rPr>
          <w:rFonts w:ascii="宋体" w:hAnsi="宋体" w:eastAsia="宋体" w:cs="Times New Roman"/>
          <w:color w:val="auto"/>
          <w:sz w:val="24"/>
          <w:szCs w:val="24"/>
          <w:highlight w:val="none"/>
        </w:rPr>
        <w:t>：</w:t>
      </w:r>
    </w:p>
    <w:p w14:paraId="66CC8B84">
      <w:pPr>
        <w:spacing w:line="360" w:lineRule="auto"/>
        <w:ind w:left="2"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w:t>
      </w:r>
      <w:r>
        <w:rPr>
          <w:rFonts w:ascii="宋体" w:hAnsi="宋体" w:eastAsia="宋体" w:cs="Times New Roman"/>
          <w:color w:val="auto"/>
          <w:sz w:val="24"/>
          <w:szCs w:val="24"/>
          <w:highlight w:val="none"/>
        </w:rPr>
        <w:t>承包人的项目</w:t>
      </w:r>
      <w:r>
        <w:rPr>
          <w:rFonts w:hint="eastAsia" w:ascii="宋体" w:hAnsi="宋体" w:eastAsia="宋体" w:cs="Times New Roman"/>
          <w:color w:val="auto"/>
          <w:sz w:val="24"/>
          <w:szCs w:val="24"/>
          <w:highlight w:val="none"/>
        </w:rPr>
        <w:t>管理</w:t>
      </w:r>
      <w:r>
        <w:rPr>
          <w:rFonts w:ascii="宋体" w:hAnsi="宋体" w:eastAsia="宋体" w:cs="Times New Roman"/>
          <w:color w:val="auto"/>
          <w:sz w:val="24"/>
          <w:szCs w:val="24"/>
          <w:highlight w:val="none"/>
        </w:rPr>
        <w:t>机构设置与</w:t>
      </w:r>
      <w:r>
        <w:rPr>
          <w:rFonts w:hint="eastAsia" w:ascii="宋体" w:hAnsi="宋体" w:eastAsia="宋体" w:cs="Times New Roman"/>
          <w:color w:val="auto"/>
          <w:sz w:val="24"/>
          <w:szCs w:val="24"/>
          <w:highlight w:val="none"/>
        </w:rPr>
        <w:t>投标文件</w:t>
      </w:r>
      <w:r>
        <w:rPr>
          <w:rFonts w:ascii="宋体" w:hAnsi="宋体" w:eastAsia="宋体" w:cs="Times New Roman"/>
          <w:color w:val="auto"/>
          <w:sz w:val="24"/>
          <w:szCs w:val="24"/>
          <w:highlight w:val="none"/>
        </w:rPr>
        <w:t>的承诺不一致</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color w:val="auto"/>
          <w:sz w:val="24"/>
          <w:szCs w:val="24"/>
          <w:highlight w:val="none"/>
        </w:rPr>
        <w:t xml:space="preserve">； </w:t>
      </w:r>
    </w:p>
    <w:p w14:paraId="5C1DB136">
      <w:pPr>
        <w:spacing w:line="360" w:lineRule="auto"/>
        <w:ind w:left="2"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②承包人的</w:t>
      </w:r>
      <w:r>
        <w:rPr>
          <w:rFonts w:ascii="宋体" w:hAnsi="宋体" w:eastAsia="宋体" w:cs="Times New Roman"/>
          <w:color w:val="auto"/>
          <w:sz w:val="24"/>
          <w:szCs w:val="24"/>
          <w:highlight w:val="none"/>
        </w:rPr>
        <w:t>主要</w:t>
      </w:r>
      <w:r>
        <w:rPr>
          <w:rFonts w:hint="eastAsia" w:ascii="宋体" w:hAnsi="宋体" w:eastAsia="宋体" w:cs="Times New Roman"/>
          <w:color w:val="auto"/>
          <w:sz w:val="24"/>
          <w:szCs w:val="24"/>
          <w:highlight w:val="none"/>
        </w:rPr>
        <w:t>施工管理</w:t>
      </w:r>
      <w:r>
        <w:rPr>
          <w:rFonts w:ascii="宋体" w:hAnsi="宋体" w:eastAsia="宋体" w:cs="Times New Roman"/>
          <w:color w:val="auto"/>
          <w:sz w:val="24"/>
          <w:szCs w:val="24"/>
          <w:highlight w:val="none"/>
        </w:rPr>
        <w:t>人员不到位</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r>
        <w:rPr>
          <w:rFonts w:ascii="宋体" w:hAnsi="宋体" w:eastAsia="宋体" w:cs="Times New Roman"/>
          <w:color w:val="auto"/>
          <w:sz w:val="24"/>
          <w:szCs w:val="24"/>
          <w:highlight w:val="none"/>
        </w:rPr>
        <w:t xml:space="preserve">； </w:t>
      </w:r>
    </w:p>
    <w:p w14:paraId="5ABBB09F">
      <w:pPr>
        <w:spacing w:line="360" w:lineRule="auto"/>
        <w:ind w:left="2"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③</w:t>
      </w:r>
      <w:r>
        <w:rPr>
          <w:rFonts w:ascii="宋体" w:hAnsi="宋体" w:eastAsia="宋体" w:cs="Times New Roman"/>
          <w:color w:val="auto"/>
          <w:sz w:val="24"/>
          <w:szCs w:val="24"/>
          <w:highlight w:val="none"/>
        </w:rPr>
        <w:t>未经发包人</w:t>
      </w:r>
      <w:r>
        <w:rPr>
          <w:rFonts w:hint="eastAsia" w:ascii="宋体" w:hAnsi="宋体" w:eastAsia="宋体" w:cs="Times New Roman"/>
          <w:color w:val="auto"/>
          <w:sz w:val="24"/>
          <w:szCs w:val="24"/>
          <w:highlight w:val="none"/>
        </w:rPr>
        <w:t>同意</w:t>
      </w:r>
      <w:r>
        <w:rPr>
          <w:rFonts w:ascii="宋体" w:hAnsi="宋体" w:eastAsia="宋体" w:cs="Times New Roman"/>
          <w:color w:val="auto"/>
          <w:sz w:val="24"/>
          <w:szCs w:val="24"/>
          <w:highlight w:val="none"/>
        </w:rPr>
        <w:t>，承包人擅自更换主要</w:t>
      </w:r>
      <w:r>
        <w:rPr>
          <w:rFonts w:hint="eastAsia" w:ascii="宋体" w:hAnsi="宋体" w:eastAsia="宋体" w:cs="Times New Roman"/>
          <w:color w:val="auto"/>
          <w:sz w:val="24"/>
          <w:szCs w:val="24"/>
          <w:highlight w:val="none"/>
        </w:rPr>
        <w:t>施工</w:t>
      </w:r>
      <w:r>
        <w:rPr>
          <w:rFonts w:ascii="宋体" w:hAnsi="宋体" w:eastAsia="宋体" w:cs="Times New Roman"/>
          <w:color w:val="auto"/>
          <w:sz w:val="24"/>
          <w:szCs w:val="24"/>
          <w:highlight w:val="none"/>
        </w:rPr>
        <w:t>管理人员</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p>
    <w:p w14:paraId="31D0BE08">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④承包人的主要施工管理人员未经监理人或发包人同意擅自离开施工现场的，承包人应向发包人支付违约金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p>
    <w:p w14:paraId="62FABC7A">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w:t>
      </w:r>
      <w:r>
        <w:rPr>
          <w:rFonts w:ascii="宋体" w:hAnsi="宋体" w:eastAsia="宋体" w:cs="Times New Roman"/>
          <w:color w:val="auto"/>
          <w:sz w:val="24"/>
          <w:szCs w:val="24"/>
          <w:highlight w:val="none"/>
        </w:rPr>
        <w:t>承包人的主要</w:t>
      </w:r>
      <w:r>
        <w:rPr>
          <w:rFonts w:hint="eastAsia" w:ascii="宋体" w:hAnsi="宋体" w:eastAsia="宋体" w:cs="Times New Roman"/>
          <w:color w:val="auto"/>
          <w:sz w:val="24"/>
          <w:szCs w:val="24"/>
          <w:highlight w:val="none"/>
        </w:rPr>
        <w:t>施工管理</w:t>
      </w:r>
      <w:r>
        <w:rPr>
          <w:rFonts w:ascii="宋体" w:hAnsi="宋体" w:eastAsia="宋体" w:cs="Times New Roman"/>
          <w:color w:val="auto"/>
          <w:sz w:val="24"/>
          <w:szCs w:val="24"/>
          <w:highlight w:val="none"/>
        </w:rPr>
        <w:t>人员</w:t>
      </w:r>
      <w:r>
        <w:rPr>
          <w:rFonts w:hint="eastAsia" w:ascii="宋体" w:hAnsi="宋体" w:eastAsia="宋体" w:cs="Times New Roman"/>
          <w:color w:val="auto"/>
          <w:sz w:val="24"/>
          <w:szCs w:val="24"/>
          <w:highlight w:val="none"/>
        </w:rPr>
        <w:t>同时</w:t>
      </w:r>
      <w:r>
        <w:rPr>
          <w:rFonts w:ascii="宋体" w:hAnsi="宋体" w:eastAsia="宋体" w:cs="Times New Roman"/>
          <w:color w:val="auto"/>
          <w:sz w:val="24"/>
          <w:szCs w:val="24"/>
          <w:highlight w:val="none"/>
        </w:rPr>
        <w:t>兼任承包人其它</w:t>
      </w:r>
      <w:r>
        <w:rPr>
          <w:rFonts w:hint="eastAsia" w:ascii="宋体" w:hAnsi="宋体" w:eastAsia="宋体" w:cs="Times New Roman"/>
          <w:color w:val="auto"/>
          <w:sz w:val="24"/>
          <w:szCs w:val="24"/>
          <w:highlight w:val="none"/>
        </w:rPr>
        <w:t>工程</w:t>
      </w:r>
      <w:r>
        <w:rPr>
          <w:rFonts w:ascii="宋体" w:hAnsi="宋体" w:eastAsia="宋体" w:cs="Times New Roman"/>
          <w:color w:val="auto"/>
          <w:sz w:val="24"/>
          <w:szCs w:val="24"/>
          <w:highlight w:val="none"/>
        </w:rPr>
        <w:t>项目的任何职务</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p>
    <w:p w14:paraId="4CD85DE2">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(6)承包人无正当理由拒绝撤换的，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bookmarkEnd w:id="3481"/>
    <w:p w14:paraId="44323BC3">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515" w:name="_Toc35656526"/>
      <w:bookmarkStart w:id="3516" w:name="_Toc305331447"/>
      <w:bookmarkStart w:id="3517" w:name="_Toc302635961"/>
      <w:bookmarkStart w:id="3518" w:name="_Toc25939"/>
      <w:bookmarkStart w:id="3519" w:name="_Toc11143"/>
      <w:bookmarkStart w:id="3520" w:name="_Toc20509"/>
      <w:bookmarkStart w:id="3521" w:name="_Toc11664"/>
      <w:bookmarkStart w:id="3522" w:name="_Toc23135"/>
      <w:bookmarkStart w:id="3523" w:name="_Toc15672"/>
      <w:bookmarkStart w:id="3524" w:name="_Toc31499"/>
      <w:bookmarkStart w:id="3525" w:name="_Toc32732"/>
      <w:bookmarkStart w:id="3526" w:name="_Toc32384"/>
      <w:r>
        <w:rPr>
          <w:rFonts w:hint="eastAsia" w:ascii="华文细黑" w:hAnsi="宋体" w:eastAsia="宋体" w:cs="Times New Roman"/>
          <w:b/>
          <w:bCs/>
          <w:snapToGrid w:val="0"/>
          <w:color w:val="auto"/>
          <w:kern w:val="0"/>
          <w:sz w:val="28"/>
          <w:szCs w:val="44"/>
          <w:highlight w:val="none"/>
          <w:lang w:val="en-US" w:eastAsia="zh-CN" w:bidi="ar-SA"/>
        </w:rPr>
        <w:t>5 监理</w:t>
      </w:r>
      <w:bookmarkEnd w:id="3515"/>
      <w:bookmarkEnd w:id="3516"/>
      <w:bookmarkEnd w:id="3517"/>
      <w:r>
        <w:rPr>
          <w:rFonts w:hint="eastAsia" w:ascii="华文细黑" w:hAnsi="宋体" w:eastAsia="宋体" w:cs="Times New Roman"/>
          <w:b/>
          <w:bCs/>
          <w:snapToGrid w:val="0"/>
          <w:color w:val="auto"/>
          <w:kern w:val="0"/>
          <w:sz w:val="28"/>
          <w:szCs w:val="44"/>
          <w:highlight w:val="none"/>
          <w:lang w:val="en-US" w:eastAsia="zh-CN" w:bidi="ar-SA"/>
        </w:rPr>
        <w:t>人</w:t>
      </w:r>
      <w:bookmarkEnd w:id="3518"/>
      <w:bookmarkEnd w:id="3519"/>
      <w:bookmarkEnd w:id="3520"/>
      <w:bookmarkEnd w:id="3521"/>
      <w:bookmarkEnd w:id="3522"/>
      <w:bookmarkEnd w:id="3523"/>
      <w:bookmarkEnd w:id="3524"/>
      <w:bookmarkEnd w:id="3525"/>
      <w:bookmarkEnd w:id="3526"/>
    </w:p>
    <w:p w14:paraId="5C1A04A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27" w:name="_Toc302635962"/>
      <w:bookmarkStart w:id="3528" w:name="_Toc305331448"/>
      <w:bookmarkStart w:id="3529" w:name="_Toc14669"/>
      <w:bookmarkStart w:id="3530" w:name="_Toc26497"/>
      <w:bookmarkStart w:id="3531" w:name="_Toc11138"/>
      <w:bookmarkStart w:id="3532" w:name="_Toc19138"/>
      <w:bookmarkStart w:id="3533" w:name="_Toc29201"/>
      <w:bookmarkStart w:id="3534" w:name="_Toc19146"/>
      <w:bookmarkStart w:id="3535" w:name="_Toc8133"/>
      <w:bookmarkStart w:id="3536" w:name="_Toc10681"/>
      <w:bookmarkStart w:id="3537" w:name="_Toc24329"/>
      <w:r>
        <w:rPr>
          <w:rFonts w:hint="eastAsia" w:ascii="宋体" w:hAnsi="宋体" w:eastAsia="宋体" w:cs="Times New Roman"/>
          <w:b/>
          <w:bCs/>
          <w:color w:val="auto"/>
          <w:kern w:val="0"/>
          <w:sz w:val="24"/>
          <w:szCs w:val="32"/>
          <w:highlight w:val="none"/>
          <w:lang w:val="en-US" w:eastAsia="zh-CN" w:bidi="ar-SA"/>
        </w:rPr>
        <w:t>5.1 监理人的</w:t>
      </w:r>
      <w:bookmarkEnd w:id="3527"/>
      <w:bookmarkEnd w:id="3528"/>
      <w:r>
        <w:rPr>
          <w:rFonts w:hint="eastAsia" w:ascii="宋体" w:hAnsi="宋体" w:eastAsia="宋体" w:cs="Times New Roman"/>
          <w:b/>
          <w:bCs/>
          <w:color w:val="auto"/>
          <w:kern w:val="0"/>
          <w:sz w:val="24"/>
          <w:szCs w:val="32"/>
          <w:highlight w:val="none"/>
          <w:lang w:val="en-US" w:eastAsia="zh-CN" w:bidi="ar-SA"/>
        </w:rPr>
        <w:t>通知</w:t>
      </w:r>
      <w:bookmarkEnd w:id="3529"/>
      <w:bookmarkEnd w:id="3530"/>
      <w:bookmarkEnd w:id="3531"/>
      <w:bookmarkEnd w:id="3532"/>
      <w:bookmarkEnd w:id="3533"/>
      <w:bookmarkEnd w:id="3534"/>
      <w:bookmarkEnd w:id="3535"/>
      <w:bookmarkEnd w:id="3536"/>
      <w:bookmarkEnd w:id="3537"/>
    </w:p>
    <w:p w14:paraId="3825EA14">
      <w:pPr>
        <w:spacing w:line="360" w:lineRule="auto"/>
        <w:ind w:firstLine="72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监理人名称：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4CBE6ADC">
      <w:pPr>
        <w:spacing w:line="360" w:lineRule="auto"/>
        <w:ind w:firstLine="72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总监理工程师姓名：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，资格证书号：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686C3D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38" w:name="_Toc32763"/>
      <w:bookmarkStart w:id="3539" w:name="_Toc8138"/>
      <w:bookmarkStart w:id="3540" w:name="_Toc16079"/>
      <w:bookmarkStart w:id="3541" w:name="_Toc8941"/>
      <w:bookmarkStart w:id="3542" w:name="_Toc10956"/>
      <w:bookmarkStart w:id="3543" w:name="_Toc302635963"/>
      <w:bookmarkStart w:id="3544" w:name="_Toc305331449"/>
      <w:bookmarkStart w:id="3545" w:name="_Toc13398"/>
      <w:bookmarkStart w:id="3546" w:name="_Toc20478"/>
      <w:bookmarkStart w:id="3547" w:name="_Toc26548"/>
      <w:bookmarkStart w:id="3548" w:name="_Toc19281"/>
      <w:r>
        <w:rPr>
          <w:rFonts w:hint="eastAsia" w:ascii="宋体" w:hAnsi="宋体" w:eastAsia="宋体" w:cs="Times New Roman"/>
          <w:b/>
          <w:bCs/>
          <w:color w:val="auto"/>
          <w:kern w:val="0"/>
          <w:sz w:val="24"/>
          <w:szCs w:val="32"/>
          <w:highlight w:val="none"/>
          <w:lang w:val="en-US" w:eastAsia="zh-CN" w:bidi="ar-SA"/>
        </w:rPr>
        <w:t>5.3监理人权力的限制</w:t>
      </w:r>
      <w:bookmarkEnd w:id="3538"/>
      <w:bookmarkEnd w:id="3539"/>
      <w:bookmarkEnd w:id="3540"/>
      <w:bookmarkEnd w:id="3541"/>
      <w:bookmarkEnd w:id="3542"/>
      <w:bookmarkEnd w:id="3543"/>
      <w:bookmarkEnd w:id="3544"/>
      <w:bookmarkEnd w:id="3545"/>
      <w:bookmarkEnd w:id="3546"/>
      <w:bookmarkEnd w:id="3547"/>
      <w:bookmarkEnd w:id="3548"/>
    </w:p>
    <w:p w14:paraId="57A3ED75">
      <w:pPr>
        <w:spacing w:line="360" w:lineRule="auto"/>
        <w:ind w:firstLine="72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(1)⑧监理人行使的其他需要取得发包人批准的权力：</w:t>
      </w:r>
      <w:bookmarkStart w:id="3549" w:name="_Toc35656528"/>
      <w:r>
        <w:rPr>
          <w:rFonts w:hint="eastAsia" w:ascii="宋体" w:hAnsi="宋体" w:eastAsia="宋体" w:cs="Times New Roman"/>
          <w:color w:val="auto"/>
          <w:sz w:val="24"/>
          <w:szCs w:val="24"/>
          <w:highlight w:val="none"/>
          <w:u w:val="single"/>
        </w:rPr>
        <w:t xml:space="preserve">                        </w:t>
      </w:r>
    </w:p>
    <w:p w14:paraId="21990261">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BBDA1BE">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64FEE2BF">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17C0E0F4">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550" w:name="_Toc302635964"/>
      <w:bookmarkStart w:id="3551" w:name="_Toc3852"/>
      <w:bookmarkStart w:id="3552" w:name="_Toc13264"/>
      <w:bookmarkStart w:id="3553" w:name="_Toc32722"/>
      <w:bookmarkStart w:id="3554" w:name="_Toc32549"/>
      <w:bookmarkStart w:id="3555" w:name="_Toc63"/>
      <w:bookmarkStart w:id="3556" w:name="_Toc305331450"/>
      <w:bookmarkStart w:id="3557" w:name="_Toc11157"/>
      <w:bookmarkStart w:id="3558" w:name="_Toc21779"/>
      <w:bookmarkStart w:id="3559" w:name="_Toc30299"/>
      <w:bookmarkStart w:id="3560" w:name="_Toc27551"/>
      <w:r>
        <w:rPr>
          <w:rFonts w:hint="eastAsia" w:ascii="华文细黑" w:hAnsi="宋体" w:eastAsia="宋体" w:cs="Times New Roman"/>
          <w:b/>
          <w:bCs/>
          <w:snapToGrid w:val="0"/>
          <w:color w:val="auto"/>
          <w:kern w:val="0"/>
          <w:sz w:val="28"/>
          <w:szCs w:val="44"/>
          <w:highlight w:val="none"/>
          <w:lang w:val="en-US" w:eastAsia="zh-CN" w:bidi="ar-SA"/>
        </w:rPr>
        <w:t>6 转让、分包</w:t>
      </w:r>
      <w:bookmarkEnd w:id="3549"/>
      <w:bookmarkEnd w:id="3550"/>
      <w:bookmarkEnd w:id="3551"/>
      <w:bookmarkEnd w:id="3552"/>
      <w:bookmarkEnd w:id="3553"/>
      <w:bookmarkEnd w:id="3554"/>
      <w:bookmarkEnd w:id="3555"/>
      <w:bookmarkEnd w:id="3556"/>
      <w:bookmarkEnd w:id="3557"/>
      <w:bookmarkEnd w:id="3558"/>
      <w:bookmarkEnd w:id="3559"/>
      <w:bookmarkEnd w:id="3560"/>
    </w:p>
    <w:p w14:paraId="1A98446D">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61" w:name="_Toc26721"/>
      <w:bookmarkStart w:id="3562" w:name="_Toc11858"/>
      <w:bookmarkStart w:id="3563" w:name="_Toc2533"/>
      <w:bookmarkStart w:id="3564" w:name="_Toc9202"/>
      <w:bookmarkStart w:id="3565" w:name="_Toc21434"/>
      <w:bookmarkStart w:id="3566" w:name="_Toc8510"/>
      <w:bookmarkStart w:id="3567" w:name="_Toc22138"/>
      <w:bookmarkStart w:id="3568" w:name="_Toc305331451"/>
      <w:bookmarkStart w:id="3569" w:name="_Toc4968"/>
      <w:bookmarkStart w:id="3570" w:name="_Toc18478"/>
      <w:bookmarkStart w:id="3571" w:name="_Toc302635965"/>
      <w:bookmarkStart w:id="3572" w:name="_Toc35656529"/>
      <w:r>
        <w:rPr>
          <w:rFonts w:hint="eastAsia" w:ascii="宋体" w:hAnsi="宋体" w:eastAsia="宋体" w:cs="Times New Roman"/>
          <w:b/>
          <w:bCs/>
          <w:color w:val="auto"/>
          <w:kern w:val="0"/>
          <w:sz w:val="24"/>
          <w:szCs w:val="32"/>
          <w:highlight w:val="none"/>
          <w:lang w:val="en-US" w:eastAsia="zh-CN" w:bidi="ar-SA"/>
        </w:rPr>
        <w:t>6.1 转让</w:t>
      </w:r>
      <w:bookmarkEnd w:id="3561"/>
      <w:bookmarkEnd w:id="3562"/>
      <w:bookmarkEnd w:id="3563"/>
      <w:bookmarkEnd w:id="3564"/>
      <w:bookmarkEnd w:id="3565"/>
      <w:bookmarkEnd w:id="3566"/>
      <w:bookmarkEnd w:id="3567"/>
      <w:bookmarkEnd w:id="3568"/>
      <w:bookmarkEnd w:id="3569"/>
      <w:bookmarkEnd w:id="3570"/>
      <w:bookmarkEnd w:id="3571"/>
    </w:p>
    <w:p w14:paraId="25ADFD52">
      <w:pPr>
        <w:spacing w:line="360" w:lineRule="auto"/>
        <w:ind w:firstLine="6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如承包人有转让行为，应向发包人支付违约金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14:paraId="4ED7807E">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73" w:name="_Toc706"/>
      <w:bookmarkStart w:id="3574" w:name="_Toc12814"/>
      <w:bookmarkStart w:id="3575" w:name="_Toc7362"/>
      <w:bookmarkStart w:id="3576" w:name="_Toc2609"/>
      <w:bookmarkStart w:id="3577" w:name="_Toc10856"/>
      <w:bookmarkStart w:id="3578" w:name="_Toc302635966"/>
      <w:bookmarkStart w:id="3579" w:name="_Toc16090"/>
      <w:bookmarkStart w:id="3580" w:name="_Toc7887"/>
      <w:bookmarkStart w:id="3581" w:name="_Toc804"/>
      <w:bookmarkStart w:id="3582" w:name="_Toc2074"/>
      <w:bookmarkStart w:id="3583" w:name="_Toc305331452"/>
      <w:r>
        <w:rPr>
          <w:rFonts w:hint="eastAsia" w:ascii="宋体" w:hAnsi="宋体" w:eastAsia="宋体" w:cs="Times New Roman"/>
          <w:b/>
          <w:bCs/>
          <w:color w:val="auto"/>
          <w:kern w:val="0"/>
          <w:sz w:val="24"/>
          <w:szCs w:val="32"/>
          <w:highlight w:val="none"/>
          <w:lang w:val="en-US" w:eastAsia="zh-CN" w:bidi="ar-SA"/>
        </w:rPr>
        <w:t>6.2 分包</w:t>
      </w:r>
      <w:bookmarkEnd w:id="3573"/>
      <w:bookmarkEnd w:id="3574"/>
      <w:bookmarkEnd w:id="3575"/>
      <w:bookmarkEnd w:id="3576"/>
      <w:bookmarkEnd w:id="3577"/>
      <w:bookmarkEnd w:id="3578"/>
      <w:bookmarkEnd w:id="3579"/>
      <w:bookmarkEnd w:id="3580"/>
      <w:bookmarkEnd w:id="3581"/>
      <w:bookmarkEnd w:id="3582"/>
      <w:bookmarkEnd w:id="3583"/>
    </w:p>
    <w:p w14:paraId="27DD494A">
      <w:pPr>
        <w:spacing w:line="360" w:lineRule="auto"/>
        <w:ind w:left="2"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承包人不得分包的主体结构、关键性工作范围包括：</w:t>
      </w:r>
      <w:r>
        <w:rPr>
          <w:rFonts w:hint="eastAsia" w:ascii="宋体" w:hAnsi="宋体" w:eastAsia="宋体" w:cs="Times New Roman"/>
          <w:color w:val="auto"/>
          <w:sz w:val="24"/>
          <w:szCs w:val="24"/>
          <w:highlight w:val="none"/>
          <w:u w:val="single"/>
        </w:rPr>
        <w:t xml:space="preserve">                       </w:t>
      </w:r>
    </w:p>
    <w:p w14:paraId="6B052A34">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14:paraId="57C25049">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(3)如出现承包人未经监理人审查和发包人同意的分包行为，承包人应向发包人支付违约金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14:paraId="6AC6AFAF">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(4)如出现分包人将分包工程的任何部分再分包的行为，承包人应向发包人支付违约金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14:paraId="3D9558C2">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(5)如承包人有将其承包范围内全部工程肢解分包的行为，应向发包人支付违约金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14:paraId="1409F6D5">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84" w:name="_Toc19161"/>
      <w:bookmarkStart w:id="3585" w:name="_Toc31990"/>
      <w:bookmarkStart w:id="3586" w:name="_Toc812"/>
      <w:bookmarkStart w:id="3587" w:name="_Toc5328"/>
      <w:bookmarkStart w:id="3588" w:name="_Toc17086"/>
      <w:bookmarkStart w:id="3589" w:name="_Toc305331453"/>
      <w:bookmarkStart w:id="3590" w:name="_Toc19283"/>
      <w:bookmarkStart w:id="3591" w:name="_Toc30784"/>
      <w:bookmarkStart w:id="3592" w:name="_Toc302635967"/>
      <w:bookmarkStart w:id="3593" w:name="_Toc23607"/>
      <w:bookmarkStart w:id="3594" w:name="_Toc30559"/>
      <w:r>
        <w:rPr>
          <w:rFonts w:hint="eastAsia" w:ascii="宋体" w:hAnsi="宋体" w:eastAsia="宋体" w:cs="Times New Roman"/>
          <w:b/>
          <w:bCs/>
          <w:color w:val="auto"/>
          <w:kern w:val="0"/>
          <w:sz w:val="24"/>
          <w:szCs w:val="32"/>
          <w:highlight w:val="none"/>
          <w:lang w:val="en-US" w:eastAsia="zh-CN" w:bidi="ar-SA"/>
        </w:rPr>
        <w:t>6.3 分包人的确定</w:t>
      </w:r>
      <w:bookmarkEnd w:id="3584"/>
      <w:bookmarkEnd w:id="3585"/>
      <w:bookmarkEnd w:id="3586"/>
      <w:bookmarkEnd w:id="3587"/>
      <w:bookmarkEnd w:id="3588"/>
      <w:bookmarkEnd w:id="3589"/>
      <w:bookmarkEnd w:id="3590"/>
      <w:bookmarkEnd w:id="3591"/>
      <w:bookmarkEnd w:id="3592"/>
      <w:bookmarkEnd w:id="3593"/>
      <w:bookmarkEnd w:id="3594"/>
    </w:p>
    <w:p w14:paraId="590BAD08">
      <w:pPr>
        <w:spacing w:line="360" w:lineRule="auto"/>
        <w:ind w:left="2"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(1)分包人应符合的条件：</w:t>
      </w:r>
      <w:r>
        <w:rPr>
          <w:rFonts w:hint="eastAsia" w:ascii="宋体" w:hAnsi="宋体" w:eastAsia="宋体" w:cs="Times New Roman"/>
          <w:color w:val="auto"/>
          <w:sz w:val="24"/>
          <w:szCs w:val="24"/>
          <w:highlight w:val="none"/>
          <w:u w:val="single"/>
        </w:rPr>
        <w:t xml:space="preserve">                                                 </w:t>
      </w:r>
    </w:p>
    <w:p w14:paraId="201DE376">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2835DFEE">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1D8FB18C">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595" w:name="_Toc305331454"/>
      <w:bookmarkStart w:id="3596" w:name="_Toc15026"/>
      <w:bookmarkStart w:id="3597" w:name="_Toc12531"/>
      <w:bookmarkStart w:id="3598" w:name="_Toc4279"/>
      <w:bookmarkStart w:id="3599" w:name="_Toc19471"/>
      <w:bookmarkStart w:id="3600" w:name="_Toc7314"/>
      <w:bookmarkStart w:id="3601" w:name="_Toc16805"/>
      <w:bookmarkStart w:id="3602" w:name="_Toc26908"/>
      <w:bookmarkStart w:id="3603" w:name="_Toc6618"/>
      <w:bookmarkStart w:id="3604" w:name="_Toc11631"/>
      <w:bookmarkStart w:id="3605" w:name="_Toc302635968"/>
      <w:r>
        <w:rPr>
          <w:rFonts w:hint="eastAsia" w:ascii="华文细黑" w:hAnsi="宋体" w:eastAsia="宋体" w:cs="Times New Roman"/>
          <w:b/>
          <w:bCs/>
          <w:snapToGrid w:val="0"/>
          <w:color w:val="auto"/>
          <w:kern w:val="0"/>
          <w:sz w:val="28"/>
          <w:szCs w:val="44"/>
          <w:highlight w:val="none"/>
          <w:lang w:val="en-US" w:eastAsia="zh-CN" w:bidi="ar-SA"/>
        </w:rPr>
        <w:t>7 专业工程发包</w:t>
      </w:r>
      <w:bookmarkEnd w:id="3595"/>
      <w:bookmarkEnd w:id="3596"/>
      <w:bookmarkEnd w:id="3597"/>
      <w:bookmarkEnd w:id="3598"/>
      <w:bookmarkEnd w:id="3599"/>
      <w:bookmarkEnd w:id="3600"/>
      <w:bookmarkEnd w:id="3601"/>
      <w:bookmarkEnd w:id="3602"/>
      <w:bookmarkEnd w:id="3603"/>
      <w:bookmarkEnd w:id="3604"/>
      <w:bookmarkEnd w:id="3605"/>
    </w:p>
    <w:p w14:paraId="18121CBD">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06" w:name="_Toc31880"/>
      <w:bookmarkStart w:id="3607" w:name="_Toc30250"/>
      <w:bookmarkStart w:id="3608" w:name="_Toc2013"/>
      <w:bookmarkStart w:id="3609" w:name="_Toc7405"/>
      <w:bookmarkStart w:id="3610" w:name="_Toc305331455"/>
      <w:bookmarkStart w:id="3611" w:name="_Toc302635969"/>
      <w:bookmarkStart w:id="3612" w:name="_Toc22507"/>
      <w:bookmarkStart w:id="3613" w:name="_Toc23324"/>
      <w:bookmarkStart w:id="3614" w:name="_Toc27513"/>
      <w:bookmarkStart w:id="3615" w:name="_Toc5763"/>
      <w:bookmarkStart w:id="3616" w:name="_Toc908"/>
      <w:r>
        <w:rPr>
          <w:rFonts w:hint="eastAsia" w:ascii="宋体" w:hAnsi="宋体" w:eastAsia="宋体" w:cs="Times New Roman"/>
          <w:b/>
          <w:bCs/>
          <w:color w:val="auto"/>
          <w:kern w:val="0"/>
          <w:sz w:val="24"/>
          <w:szCs w:val="32"/>
          <w:highlight w:val="none"/>
          <w:lang w:val="en-US" w:eastAsia="zh-CN" w:bidi="ar-SA"/>
        </w:rPr>
        <w:t>7.1 专业工程承包人</w:t>
      </w:r>
      <w:bookmarkEnd w:id="3606"/>
      <w:bookmarkEnd w:id="3607"/>
      <w:bookmarkEnd w:id="3608"/>
      <w:bookmarkEnd w:id="3609"/>
      <w:bookmarkEnd w:id="3610"/>
      <w:bookmarkEnd w:id="3611"/>
      <w:bookmarkEnd w:id="3612"/>
      <w:bookmarkEnd w:id="3613"/>
      <w:bookmarkEnd w:id="3614"/>
      <w:bookmarkEnd w:id="3615"/>
      <w:bookmarkEnd w:id="3616"/>
      <w:r>
        <w:rPr>
          <w:rFonts w:ascii="宋体" w:hAnsi="宋体" w:eastAsia="宋体" w:cs="Times New Roman"/>
          <w:b/>
          <w:bCs/>
          <w:color w:val="auto"/>
          <w:kern w:val="0"/>
          <w:sz w:val="24"/>
          <w:szCs w:val="32"/>
          <w:highlight w:val="none"/>
          <w:lang w:val="en-US" w:eastAsia="zh-CN" w:bidi="ar-SA"/>
        </w:rPr>
        <w:tab/>
      </w:r>
    </w:p>
    <w:p w14:paraId="54C3C08C">
      <w:pPr>
        <w:rPr>
          <w:rFonts w:ascii="宋体" w:hAnsi="宋体" w:eastAsia="宋体" w:cs="Times New Roman"/>
          <w:bCs/>
          <w:color w:val="auto"/>
          <w:sz w:val="24"/>
          <w:szCs w:val="24"/>
          <w:highlight w:val="none"/>
        </w:rPr>
      </w:pPr>
      <w:bookmarkStart w:id="3617" w:name="_Toc448841233"/>
      <w:bookmarkStart w:id="3618" w:name="_Toc453616565"/>
      <w:bookmarkStart w:id="3619" w:name="_Toc448494238"/>
      <w:r>
        <w:rPr>
          <w:rFonts w:hint="eastAsia" w:ascii="宋体" w:hAnsi="宋体" w:eastAsia="宋体" w:cs="Times New Roman"/>
          <w:bCs/>
          <w:color w:val="auto"/>
          <w:sz w:val="24"/>
          <w:szCs w:val="24"/>
          <w:highlight w:val="none"/>
        </w:rPr>
        <w:t>（1）</w:t>
      </w:r>
    </w:p>
    <w:tbl>
      <w:tblPr>
        <w:tblStyle w:val="40"/>
        <w:tblpPr w:leftFromText="180" w:rightFromText="180" w:vertAnchor="text" w:horzAnchor="margin" w:tblpXSpec="right" w:tblpY="24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2552"/>
        <w:gridCol w:w="4252"/>
      </w:tblGrid>
      <w:tr w14:paraId="3852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14:paraId="02312D26">
            <w:pPr>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552" w:type="dxa"/>
            <w:noWrap w:val="0"/>
            <w:vAlign w:val="center"/>
          </w:tcPr>
          <w:p w14:paraId="02072CA5">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专业工程名称</w:t>
            </w:r>
          </w:p>
        </w:tc>
        <w:tc>
          <w:tcPr>
            <w:tcW w:w="4252" w:type="dxa"/>
            <w:noWrap w:val="0"/>
            <w:vAlign w:val="center"/>
          </w:tcPr>
          <w:p w14:paraId="4F925EF3">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专业工程承包人</w:t>
            </w:r>
          </w:p>
        </w:tc>
      </w:tr>
      <w:tr w14:paraId="487F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14:paraId="5A3E1CFC">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14:paraId="32A7B93B">
            <w:pPr>
              <w:spacing w:line="360" w:lineRule="auto"/>
              <w:ind w:left="-57" w:right="-105"/>
              <w:jc w:val="center"/>
              <w:rPr>
                <w:rFonts w:hint="eastAsia" w:ascii="宋体" w:hAnsi="宋体" w:eastAsia="宋体" w:cs="Times New Roman"/>
                <w:color w:val="auto"/>
                <w:sz w:val="24"/>
                <w:szCs w:val="24"/>
                <w:highlight w:val="none"/>
              </w:rPr>
            </w:pPr>
          </w:p>
        </w:tc>
        <w:tc>
          <w:tcPr>
            <w:tcW w:w="4252" w:type="dxa"/>
            <w:noWrap w:val="0"/>
            <w:vAlign w:val="bottom"/>
          </w:tcPr>
          <w:p w14:paraId="46BFCFC5">
            <w:pPr>
              <w:spacing w:line="360" w:lineRule="auto"/>
              <w:ind w:left="-57" w:right="-105"/>
              <w:jc w:val="center"/>
              <w:rPr>
                <w:rFonts w:hint="eastAsia" w:ascii="宋体" w:hAnsi="宋体" w:eastAsia="宋体" w:cs="Times New Roman"/>
                <w:color w:val="auto"/>
                <w:sz w:val="24"/>
                <w:szCs w:val="24"/>
                <w:highlight w:val="none"/>
              </w:rPr>
            </w:pPr>
          </w:p>
        </w:tc>
      </w:tr>
      <w:tr w14:paraId="1D5AD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14:paraId="314E1DD8">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14:paraId="3C1A956A">
            <w:pPr>
              <w:spacing w:line="360" w:lineRule="auto"/>
              <w:ind w:left="-57" w:right="-105"/>
              <w:jc w:val="center"/>
              <w:rPr>
                <w:rFonts w:ascii="宋体" w:hAnsi="宋体" w:eastAsia="宋体" w:cs="Times New Roman"/>
                <w:color w:val="auto"/>
                <w:sz w:val="24"/>
                <w:szCs w:val="24"/>
                <w:highlight w:val="none"/>
              </w:rPr>
            </w:pPr>
          </w:p>
        </w:tc>
        <w:tc>
          <w:tcPr>
            <w:tcW w:w="4252" w:type="dxa"/>
            <w:noWrap w:val="0"/>
            <w:vAlign w:val="bottom"/>
          </w:tcPr>
          <w:p w14:paraId="55CC43CF">
            <w:pPr>
              <w:spacing w:line="360" w:lineRule="auto"/>
              <w:ind w:left="-57" w:right="-105"/>
              <w:rPr>
                <w:rFonts w:ascii="宋体" w:hAnsi="宋体" w:eastAsia="宋体" w:cs="Times New Roman"/>
                <w:color w:val="auto"/>
                <w:sz w:val="24"/>
                <w:szCs w:val="24"/>
                <w:highlight w:val="none"/>
              </w:rPr>
            </w:pPr>
          </w:p>
        </w:tc>
      </w:tr>
      <w:tr w14:paraId="5CED5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14:paraId="4839EE70">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14:paraId="43C67142">
            <w:pPr>
              <w:spacing w:line="360" w:lineRule="auto"/>
              <w:ind w:left="-57" w:right="-105"/>
              <w:rPr>
                <w:rFonts w:ascii="宋体" w:hAnsi="宋体" w:eastAsia="宋体" w:cs="Times New Roman"/>
                <w:color w:val="auto"/>
                <w:sz w:val="24"/>
                <w:szCs w:val="24"/>
                <w:highlight w:val="none"/>
              </w:rPr>
            </w:pPr>
          </w:p>
        </w:tc>
        <w:tc>
          <w:tcPr>
            <w:tcW w:w="4252" w:type="dxa"/>
            <w:noWrap w:val="0"/>
            <w:vAlign w:val="bottom"/>
          </w:tcPr>
          <w:p w14:paraId="2A962AB2">
            <w:pPr>
              <w:spacing w:line="360" w:lineRule="auto"/>
              <w:ind w:left="-57" w:right="-105"/>
              <w:rPr>
                <w:rFonts w:ascii="宋体" w:hAnsi="宋体" w:eastAsia="宋体" w:cs="Times New Roman"/>
                <w:color w:val="auto"/>
                <w:sz w:val="24"/>
                <w:szCs w:val="24"/>
                <w:highlight w:val="none"/>
              </w:rPr>
            </w:pPr>
          </w:p>
        </w:tc>
      </w:tr>
      <w:tr w14:paraId="5A33D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14:paraId="231894ED">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14:paraId="13637875">
            <w:pPr>
              <w:spacing w:line="360" w:lineRule="auto"/>
              <w:ind w:left="-57" w:right="-105"/>
              <w:rPr>
                <w:rFonts w:ascii="宋体" w:hAnsi="宋体" w:eastAsia="宋体" w:cs="Times New Roman"/>
                <w:color w:val="auto"/>
                <w:sz w:val="24"/>
                <w:szCs w:val="24"/>
                <w:highlight w:val="none"/>
              </w:rPr>
            </w:pPr>
          </w:p>
        </w:tc>
        <w:tc>
          <w:tcPr>
            <w:tcW w:w="4252" w:type="dxa"/>
            <w:noWrap w:val="0"/>
            <w:vAlign w:val="bottom"/>
          </w:tcPr>
          <w:p w14:paraId="1FE5B670">
            <w:pPr>
              <w:spacing w:line="360" w:lineRule="auto"/>
              <w:ind w:left="-57" w:right="-105"/>
              <w:rPr>
                <w:rFonts w:ascii="宋体" w:hAnsi="宋体" w:eastAsia="宋体" w:cs="Times New Roman"/>
                <w:color w:val="auto"/>
                <w:sz w:val="24"/>
                <w:szCs w:val="24"/>
                <w:highlight w:val="none"/>
              </w:rPr>
            </w:pPr>
          </w:p>
        </w:tc>
      </w:tr>
    </w:tbl>
    <w:p w14:paraId="3F310ACF">
      <w:pPr>
        <w:rPr>
          <w:rFonts w:hint="eastAsia" w:ascii="宋体" w:hAnsi="宋体" w:eastAsia="宋体" w:cs="Times New Roman"/>
          <w:b/>
          <w:bCs/>
          <w:color w:val="auto"/>
          <w:sz w:val="24"/>
          <w:szCs w:val="24"/>
          <w:highlight w:val="none"/>
        </w:rPr>
      </w:pPr>
      <w:r>
        <w:rPr>
          <w:rFonts w:ascii="宋体" w:hAnsi="宋体" w:eastAsia="宋体" w:cs="Times New Roman"/>
          <w:b/>
          <w:bCs/>
          <w:color w:val="auto"/>
          <w:sz w:val="24"/>
          <w:szCs w:val="24"/>
          <w:highlight w:val="none"/>
        </w:rPr>
        <w:t xml:space="preserve"> </w:t>
      </w:r>
    </w:p>
    <w:p w14:paraId="3456F637">
      <w:pPr>
        <w:rPr>
          <w:rFonts w:hint="eastAsia" w:ascii="宋体" w:hAnsi="宋体" w:eastAsia="宋体" w:cs="Times New Roman"/>
          <w:b/>
          <w:bCs/>
          <w:color w:val="auto"/>
          <w:sz w:val="24"/>
          <w:szCs w:val="24"/>
          <w:highlight w:val="none"/>
        </w:rPr>
      </w:pPr>
    </w:p>
    <w:p w14:paraId="5A6A04C2">
      <w:pPr>
        <w:rPr>
          <w:rFonts w:hint="eastAsia" w:ascii="宋体" w:hAnsi="宋体" w:eastAsia="宋体" w:cs="Times New Roman"/>
          <w:b/>
          <w:bCs/>
          <w:color w:val="auto"/>
          <w:sz w:val="24"/>
          <w:szCs w:val="24"/>
          <w:highlight w:val="none"/>
        </w:rPr>
      </w:pPr>
    </w:p>
    <w:p w14:paraId="2385C040">
      <w:pPr>
        <w:rPr>
          <w:rFonts w:hint="eastAsia" w:ascii="宋体" w:hAnsi="宋体" w:eastAsia="宋体" w:cs="Times New Roman"/>
          <w:b/>
          <w:bCs/>
          <w:color w:val="auto"/>
          <w:sz w:val="24"/>
          <w:szCs w:val="24"/>
          <w:highlight w:val="none"/>
        </w:rPr>
      </w:pPr>
    </w:p>
    <w:p w14:paraId="77F23E5E">
      <w:pPr>
        <w:rPr>
          <w:rFonts w:hint="eastAsia" w:ascii="宋体" w:hAnsi="宋体" w:eastAsia="宋体" w:cs="Times New Roman"/>
          <w:b/>
          <w:bCs/>
          <w:color w:val="auto"/>
          <w:sz w:val="24"/>
          <w:szCs w:val="24"/>
          <w:highlight w:val="none"/>
        </w:rPr>
      </w:pPr>
    </w:p>
    <w:p w14:paraId="36722E32">
      <w:pPr>
        <w:rPr>
          <w:rFonts w:hint="eastAsia" w:ascii="宋体" w:hAnsi="宋体" w:eastAsia="宋体" w:cs="Times New Roman"/>
          <w:b/>
          <w:bCs/>
          <w:color w:val="auto"/>
          <w:sz w:val="24"/>
          <w:szCs w:val="24"/>
          <w:highlight w:val="none"/>
        </w:rPr>
      </w:pPr>
    </w:p>
    <w:p w14:paraId="0E22C320">
      <w:pPr>
        <w:rPr>
          <w:rFonts w:hint="eastAsia" w:ascii="宋体" w:hAnsi="宋体" w:eastAsia="宋体" w:cs="Times New Roman"/>
          <w:b/>
          <w:bCs/>
          <w:color w:val="auto"/>
          <w:sz w:val="24"/>
          <w:szCs w:val="24"/>
          <w:highlight w:val="none"/>
        </w:rPr>
      </w:pPr>
    </w:p>
    <w:p w14:paraId="75755AB5">
      <w:pPr>
        <w:rPr>
          <w:rFonts w:hint="eastAsia" w:ascii="宋体" w:hAnsi="宋体" w:eastAsia="宋体" w:cs="Times New Roman"/>
          <w:b/>
          <w:bCs/>
          <w:color w:val="auto"/>
          <w:sz w:val="24"/>
          <w:szCs w:val="24"/>
          <w:highlight w:val="none"/>
        </w:rPr>
      </w:pPr>
    </w:p>
    <w:p w14:paraId="2BED2D05">
      <w:pPr>
        <w:rPr>
          <w:rFonts w:hint="eastAsia" w:ascii="宋体" w:hAnsi="宋体" w:eastAsia="宋体" w:cs="Times New Roman"/>
          <w:b/>
          <w:bCs/>
          <w:color w:val="auto"/>
          <w:sz w:val="24"/>
          <w:szCs w:val="24"/>
          <w:highlight w:val="none"/>
        </w:rPr>
      </w:pPr>
    </w:p>
    <w:bookmarkEnd w:id="3617"/>
    <w:bookmarkEnd w:id="3618"/>
    <w:bookmarkEnd w:id="3619"/>
    <w:p w14:paraId="2699571F">
      <w:pPr>
        <w:rPr>
          <w:rFonts w:hint="eastAsia" w:ascii="宋体" w:hAnsi="宋体" w:eastAsia="宋体" w:cs="Times New Roman"/>
          <w:color w:val="auto"/>
          <w:sz w:val="24"/>
          <w:szCs w:val="24"/>
          <w:highlight w:val="none"/>
        </w:rPr>
      </w:pPr>
    </w:p>
    <w:p w14:paraId="44E18A2B">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20" w:name="_Toc400"/>
      <w:bookmarkStart w:id="3621" w:name="_Toc29894"/>
      <w:bookmarkStart w:id="3622" w:name="_Toc8427"/>
      <w:bookmarkStart w:id="3623" w:name="_Toc5121"/>
      <w:bookmarkStart w:id="3624" w:name="_Toc2959"/>
      <w:bookmarkStart w:id="3625" w:name="_Toc2676"/>
      <w:bookmarkStart w:id="3626" w:name="_Toc7580"/>
      <w:bookmarkStart w:id="3627" w:name="_Toc464"/>
      <w:bookmarkStart w:id="3628" w:name="_Toc8654"/>
      <w:r>
        <w:rPr>
          <w:rFonts w:hint="eastAsia" w:ascii="宋体" w:hAnsi="宋体" w:eastAsia="宋体" w:cs="Times New Roman"/>
          <w:b/>
          <w:bCs/>
          <w:color w:val="auto"/>
          <w:kern w:val="0"/>
          <w:sz w:val="24"/>
          <w:szCs w:val="32"/>
          <w:highlight w:val="none"/>
          <w:lang w:val="en-US" w:eastAsia="zh-CN" w:bidi="ar-SA"/>
        </w:rPr>
        <w:t>7.2 总承包服务费</w:t>
      </w:r>
      <w:bookmarkEnd w:id="3620"/>
      <w:bookmarkEnd w:id="3621"/>
      <w:bookmarkEnd w:id="3622"/>
      <w:bookmarkEnd w:id="3623"/>
      <w:bookmarkEnd w:id="3624"/>
      <w:bookmarkEnd w:id="3625"/>
      <w:bookmarkEnd w:id="3626"/>
      <w:bookmarkEnd w:id="3627"/>
      <w:bookmarkEnd w:id="3628"/>
    </w:p>
    <w:bookmarkEnd w:id="3572"/>
    <w:p w14:paraId="22917130">
      <w:pPr>
        <w:spacing w:line="360" w:lineRule="auto"/>
        <w:ind w:firstLine="480"/>
        <w:rPr>
          <w:rFonts w:hint="eastAsia" w:ascii="宋体" w:hAnsi="宋体" w:eastAsia="宋体" w:cs="Times New Roman"/>
          <w:color w:val="auto"/>
          <w:sz w:val="24"/>
          <w:szCs w:val="24"/>
          <w:highlight w:val="none"/>
          <w:u w:val="single"/>
        </w:rPr>
      </w:pPr>
      <w:bookmarkStart w:id="3629" w:name="_Toc305331458"/>
      <w:bookmarkStart w:id="3630" w:name="_Toc35656531"/>
      <w:r>
        <w:rPr>
          <w:rFonts w:hint="eastAsia"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u w:val="single"/>
        </w:rPr>
        <w:t xml:space="preserve">                                                                      </w:t>
      </w:r>
    </w:p>
    <w:p w14:paraId="09234735">
      <w:pPr>
        <w:spacing w:line="360" w:lineRule="auto"/>
        <w:ind w:firstLine="480" w:firstLineChars="20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6F442FA">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6439395">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3503B0FB">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31" w:name="_Toc302635972"/>
      <w:bookmarkStart w:id="3632" w:name="_Toc2124"/>
      <w:bookmarkStart w:id="3633" w:name="_Toc575"/>
      <w:bookmarkStart w:id="3634" w:name="_Toc19508"/>
      <w:bookmarkStart w:id="3635" w:name="_Toc31688"/>
      <w:bookmarkStart w:id="3636" w:name="_Toc11718"/>
      <w:bookmarkStart w:id="3637" w:name="_Toc16246"/>
      <w:bookmarkStart w:id="3638" w:name="_Toc132"/>
      <w:bookmarkStart w:id="3639" w:name="_Toc27109"/>
      <w:bookmarkStart w:id="3640" w:name="_Toc22545"/>
      <w:r>
        <w:rPr>
          <w:rFonts w:hint="eastAsia" w:ascii="宋体" w:hAnsi="宋体" w:eastAsia="宋体" w:cs="Times New Roman"/>
          <w:b/>
          <w:bCs/>
          <w:color w:val="auto"/>
          <w:kern w:val="0"/>
          <w:sz w:val="24"/>
          <w:szCs w:val="32"/>
          <w:highlight w:val="none"/>
          <w:lang w:val="en-US" w:eastAsia="zh-CN" w:bidi="ar-SA"/>
        </w:rPr>
        <w:t>7.3 工作界面协调</w:t>
      </w:r>
      <w:bookmarkEnd w:id="3629"/>
      <w:bookmarkEnd w:id="3631"/>
      <w:bookmarkEnd w:id="3632"/>
      <w:bookmarkEnd w:id="3633"/>
      <w:bookmarkEnd w:id="3634"/>
      <w:bookmarkEnd w:id="3635"/>
      <w:bookmarkEnd w:id="3636"/>
      <w:bookmarkEnd w:id="3637"/>
      <w:bookmarkEnd w:id="3638"/>
      <w:bookmarkEnd w:id="3639"/>
      <w:bookmarkEnd w:id="3640"/>
    </w:p>
    <w:p w14:paraId="57521568">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w:t>
      </w:r>
      <w:r>
        <w:rPr>
          <w:rFonts w:hint="eastAsia" w:ascii="宋体" w:hAnsi="宋体" w:eastAsia="宋体" w:cs="Times New Roman"/>
          <w:color w:val="auto"/>
          <w:kern w:val="0"/>
          <w:sz w:val="24"/>
          <w:szCs w:val="24"/>
          <w:highlight w:val="none"/>
        </w:rPr>
        <w:t>由</w:t>
      </w:r>
      <w:r>
        <w:rPr>
          <w:rFonts w:ascii="宋体" w:hAnsi="宋体" w:eastAsia="宋体" w:cs="Times New Roman"/>
          <w:color w:val="auto"/>
          <w:kern w:val="0"/>
          <w:sz w:val="24"/>
          <w:szCs w:val="24"/>
          <w:highlight w:val="none"/>
        </w:rPr>
        <w:t>于承包人未能及时对工程接口问题进行协调或未及时实施</w:t>
      </w:r>
      <w:r>
        <w:rPr>
          <w:rFonts w:hint="eastAsia" w:ascii="宋体" w:hAnsi="宋体" w:eastAsia="宋体" w:cs="Times New Roman"/>
          <w:color w:val="auto"/>
          <w:kern w:val="0"/>
          <w:sz w:val="24"/>
          <w:szCs w:val="24"/>
          <w:highlight w:val="none"/>
        </w:rPr>
        <w:t>监理人</w:t>
      </w:r>
      <w:r>
        <w:rPr>
          <w:rFonts w:ascii="宋体" w:hAnsi="宋体" w:eastAsia="宋体" w:cs="Times New Roman"/>
          <w:color w:val="auto"/>
          <w:kern w:val="0"/>
          <w:sz w:val="24"/>
          <w:szCs w:val="24"/>
          <w:highlight w:val="none"/>
        </w:rPr>
        <w:t>接口指令而造成损失</w:t>
      </w:r>
      <w:r>
        <w:rPr>
          <w:rFonts w:hint="eastAsia" w:ascii="宋体" w:hAnsi="宋体" w:eastAsia="宋体" w:cs="Times New Roman"/>
          <w:color w:val="auto"/>
          <w:kern w:val="0"/>
          <w:sz w:val="24"/>
          <w:szCs w:val="24"/>
          <w:highlight w:val="none"/>
        </w:rPr>
        <w:t>的</w:t>
      </w:r>
      <w:r>
        <w:rPr>
          <w:rFonts w:ascii="宋体" w:hAnsi="宋体" w:eastAsia="宋体" w:cs="Times New Roman"/>
          <w:color w:val="auto"/>
          <w:kern w:val="0"/>
          <w:sz w:val="24"/>
          <w:szCs w:val="24"/>
          <w:highlight w:val="none"/>
        </w:rPr>
        <w:t>，</w:t>
      </w:r>
      <w:r>
        <w:rPr>
          <w:rFonts w:hint="eastAsia" w:ascii="宋体" w:hAnsi="宋体" w:eastAsia="宋体" w:cs="Times New Roman"/>
          <w:color w:val="auto"/>
          <w:kern w:val="0"/>
          <w:sz w:val="24"/>
          <w:szCs w:val="24"/>
          <w:highlight w:val="none"/>
        </w:rPr>
        <w:t>承包人应</w:t>
      </w:r>
      <w:r>
        <w:rPr>
          <w:rFonts w:hint="eastAsia" w:ascii="宋体" w:hAnsi="宋体" w:eastAsia="宋体" w:cs="Times New Roman"/>
          <w:color w:val="auto"/>
          <w:sz w:val="24"/>
          <w:szCs w:val="24"/>
          <w:highlight w:val="none"/>
        </w:rPr>
        <w:t>向发包人支付上述损失的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的违约金。</w:t>
      </w:r>
    </w:p>
    <w:p w14:paraId="2605C18C">
      <w:pPr>
        <w:keepNext w:val="0"/>
        <w:keepLines w:val="0"/>
        <w:widowControl/>
        <w:numPr>
          <w:ilvl w:val="0"/>
          <w:numId w:val="0"/>
        </w:numPr>
        <w:tabs>
          <w:tab w:val="left" w:pos="1620"/>
          <w:tab w:val="left" w:pos="2340"/>
        </w:tabs>
        <w:spacing w:before="120" w:after="12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3641" w:name="_Toc12119"/>
      <w:bookmarkStart w:id="3642" w:name="_Toc302635973"/>
      <w:bookmarkStart w:id="3643" w:name="_Toc10182"/>
      <w:bookmarkStart w:id="3644" w:name="_Toc27267"/>
      <w:bookmarkStart w:id="3645" w:name="_Toc12942"/>
      <w:bookmarkStart w:id="3646" w:name="_Toc305331459"/>
      <w:bookmarkStart w:id="3647" w:name="_Toc17165"/>
      <w:bookmarkStart w:id="3648" w:name="_Toc15212"/>
      <w:bookmarkStart w:id="3649" w:name="_Toc2162"/>
      <w:bookmarkStart w:id="3650" w:name="_Toc29998"/>
      <w:bookmarkStart w:id="3651" w:name="_Toc26961"/>
      <w:r>
        <w:rPr>
          <w:rFonts w:hint="eastAsia" w:ascii="华文细黑" w:hAnsi="宋体" w:eastAsia="宋体" w:cs="Times New Roman"/>
          <w:b/>
          <w:bCs/>
          <w:snapToGrid w:val="0"/>
          <w:color w:val="auto"/>
          <w:kern w:val="0"/>
          <w:sz w:val="28"/>
          <w:szCs w:val="44"/>
          <w:highlight w:val="none"/>
          <w:lang w:val="en-US" w:eastAsia="zh-CN" w:bidi="ar-SA"/>
        </w:rPr>
        <w:t>8 用工和劳务</w:t>
      </w:r>
      <w:bookmarkEnd w:id="3641"/>
      <w:bookmarkEnd w:id="3642"/>
      <w:bookmarkEnd w:id="3643"/>
      <w:bookmarkEnd w:id="3644"/>
      <w:bookmarkEnd w:id="3645"/>
      <w:bookmarkEnd w:id="3646"/>
      <w:bookmarkEnd w:id="3647"/>
      <w:bookmarkEnd w:id="3648"/>
      <w:bookmarkEnd w:id="3649"/>
      <w:bookmarkEnd w:id="3650"/>
      <w:bookmarkEnd w:id="3651"/>
    </w:p>
    <w:p w14:paraId="3961A78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52" w:name="_Toc7309"/>
      <w:bookmarkStart w:id="3653" w:name="_Toc302635974"/>
      <w:bookmarkStart w:id="3654" w:name="_Toc16487"/>
      <w:bookmarkStart w:id="3655" w:name="_Toc8569"/>
      <w:bookmarkStart w:id="3656" w:name="_Toc29200"/>
      <w:bookmarkStart w:id="3657" w:name="_Toc21343"/>
      <w:bookmarkStart w:id="3658" w:name="_Toc521"/>
      <w:bookmarkStart w:id="3659" w:name="_Toc8695"/>
      <w:bookmarkStart w:id="3660" w:name="_Toc8081"/>
      <w:bookmarkStart w:id="3661" w:name="_Toc28583"/>
      <w:bookmarkStart w:id="3662" w:name="_Toc305331460"/>
      <w:r>
        <w:rPr>
          <w:rFonts w:hint="eastAsia" w:ascii="宋体" w:hAnsi="宋体" w:eastAsia="宋体" w:cs="Times New Roman"/>
          <w:b/>
          <w:bCs/>
          <w:color w:val="auto"/>
          <w:kern w:val="0"/>
          <w:sz w:val="24"/>
          <w:szCs w:val="32"/>
          <w:highlight w:val="none"/>
          <w:lang w:val="en-US" w:eastAsia="zh-CN" w:bidi="ar-SA"/>
        </w:rPr>
        <w:t>8.1 劳动合同</w:t>
      </w:r>
      <w:bookmarkEnd w:id="3652"/>
      <w:bookmarkEnd w:id="3653"/>
      <w:bookmarkEnd w:id="3654"/>
      <w:bookmarkEnd w:id="3655"/>
      <w:bookmarkEnd w:id="3656"/>
      <w:bookmarkEnd w:id="3657"/>
      <w:bookmarkEnd w:id="3658"/>
      <w:bookmarkEnd w:id="3659"/>
      <w:bookmarkEnd w:id="3660"/>
      <w:bookmarkEnd w:id="3661"/>
    </w:p>
    <w:p w14:paraId="6C35B73D">
      <w:pPr>
        <w:spacing w:line="360" w:lineRule="auto"/>
        <w:ind w:left="2"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(3)若发包人或监理人发现有未签订劳动合同的工人在现场施工，承包人应向发包人支付违约金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rPr>
        <w:t>人</w:t>
      </w:r>
      <w:r>
        <w:rPr>
          <w:rFonts w:ascii="宋体" w:hAnsi="宋体" w:eastAsia="宋体" w:cs="Times New Roman"/>
          <w:color w:val="auto"/>
          <w:sz w:val="24"/>
          <w:szCs w:val="24"/>
          <w:highlight w:val="none"/>
        </w:rPr>
        <w:t>次。</w:t>
      </w:r>
    </w:p>
    <w:p w14:paraId="1CCAE534">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63" w:name="_Toc27660"/>
      <w:bookmarkStart w:id="3664" w:name="_Toc302635975"/>
      <w:bookmarkStart w:id="3665" w:name="_Toc30200"/>
      <w:bookmarkStart w:id="3666" w:name="_Toc21235"/>
      <w:bookmarkStart w:id="3667" w:name="_Toc7090"/>
      <w:bookmarkStart w:id="3668" w:name="_Toc29032"/>
      <w:bookmarkStart w:id="3669" w:name="_Toc10743"/>
      <w:bookmarkStart w:id="3670" w:name="_Toc10338"/>
      <w:bookmarkStart w:id="3671" w:name="_Toc23645"/>
      <w:bookmarkStart w:id="3672" w:name="_Toc20262"/>
      <w:r>
        <w:rPr>
          <w:rFonts w:hint="eastAsia" w:ascii="宋体" w:hAnsi="宋体" w:eastAsia="宋体" w:cs="Times New Roman"/>
          <w:b/>
          <w:bCs/>
          <w:color w:val="auto"/>
          <w:kern w:val="0"/>
          <w:sz w:val="24"/>
          <w:szCs w:val="32"/>
          <w:highlight w:val="none"/>
          <w:lang w:val="en-US" w:eastAsia="zh-CN" w:bidi="ar-SA"/>
        </w:rPr>
        <w:t>8.2 劳务分包</w:t>
      </w:r>
      <w:bookmarkEnd w:id="3662"/>
      <w:bookmarkEnd w:id="3663"/>
      <w:bookmarkEnd w:id="3664"/>
      <w:bookmarkEnd w:id="3665"/>
      <w:bookmarkEnd w:id="3666"/>
      <w:bookmarkEnd w:id="3667"/>
      <w:bookmarkEnd w:id="3668"/>
      <w:bookmarkEnd w:id="3669"/>
      <w:bookmarkEnd w:id="3670"/>
      <w:bookmarkEnd w:id="3671"/>
      <w:bookmarkEnd w:id="3672"/>
    </w:p>
    <w:p w14:paraId="37A30617">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劳务分包企业对所有派遣工人购买意外伤害险和工伤保险的保险金额不得低于：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0598F24">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73" w:name="_Toc13988"/>
      <w:bookmarkStart w:id="3674" w:name="_Toc30699"/>
      <w:bookmarkStart w:id="3675" w:name="_Toc15888"/>
      <w:bookmarkStart w:id="3676" w:name="_Toc10720"/>
      <w:bookmarkStart w:id="3677" w:name="_Toc16484"/>
      <w:bookmarkStart w:id="3678" w:name="_Toc302635976"/>
      <w:bookmarkStart w:id="3679" w:name="_Toc28333"/>
      <w:bookmarkStart w:id="3680" w:name="_Toc305331461"/>
      <w:bookmarkStart w:id="3681" w:name="_Toc28711"/>
      <w:bookmarkStart w:id="3682" w:name="_Toc1632"/>
      <w:bookmarkStart w:id="3683" w:name="_Toc4010"/>
      <w:r>
        <w:rPr>
          <w:rFonts w:hint="eastAsia" w:ascii="宋体" w:hAnsi="宋体" w:eastAsia="宋体" w:cs="Times New Roman"/>
          <w:b/>
          <w:bCs/>
          <w:color w:val="auto"/>
          <w:kern w:val="0"/>
          <w:sz w:val="24"/>
          <w:szCs w:val="32"/>
          <w:highlight w:val="none"/>
          <w:lang w:val="en-US" w:eastAsia="zh-CN" w:bidi="ar-SA"/>
        </w:rPr>
        <w:t>8.3 劳务分包合同</w:t>
      </w:r>
      <w:bookmarkEnd w:id="3673"/>
      <w:bookmarkEnd w:id="3674"/>
      <w:bookmarkEnd w:id="3675"/>
      <w:bookmarkEnd w:id="3676"/>
      <w:bookmarkEnd w:id="3677"/>
      <w:bookmarkEnd w:id="3678"/>
      <w:bookmarkEnd w:id="3679"/>
      <w:bookmarkEnd w:id="3680"/>
      <w:bookmarkEnd w:id="3681"/>
      <w:bookmarkEnd w:id="3682"/>
      <w:bookmarkEnd w:id="3683"/>
    </w:p>
    <w:p w14:paraId="3D865EE9">
      <w:pPr>
        <w:spacing w:line="360" w:lineRule="auto"/>
        <w:ind w:left="2" w:hanging="2"/>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(3)若发包人或监理人发现工地上有未签订劳务分包合同的劳务企业人员在现场施工，承包人应向发包人支付违约金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rPr>
        <w:t>人</w:t>
      </w:r>
      <w:r>
        <w:rPr>
          <w:rFonts w:ascii="宋体" w:hAnsi="宋体" w:eastAsia="宋体" w:cs="Times New Roman"/>
          <w:color w:val="auto"/>
          <w:sz w:val="24"/>
          <w:szCs w:val="24"/>
          <w:highlight w:val="none"/>
        </w:rPr>
        <w:t>次。</w:t>
      </w:r>
    </w:p>
    <w:p w14:paraId="22226120">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684" w:name="_Toc11320"/>
      <w:bookmarkStart w:id="3685" w:name="_Toc894"/>
      <w:bookmarkStart w:id="3686" w:name="_Toc12312"/>
      <w:bookmarkStart w:id="3687" w:name="_Toc15357"/>
      <w:bookmarkStart w:id="3688" w:name="_Toc30301"/>
      <w:bookmarkStart w:id="3689" w:name="_Toc23474"/>
      <w:bookmarkStart w:id="3690" w:name="_Toc5057"/>
      <w:bookmarkStart w:id="3691" w:name="_Toc16171"/>
      <w:bookmarkStart w:id="3692" w:name="_Toc305331462"/>
      <w:bookmarkStart w:id="3693" w:name="_Toc302635977"/>
      <w:bookmarkStart w:id="3694" w:name="_Toc14834"/>
      <w:r>
        <w:rPr>
          <w:rFonts w:hint="eastAsia" w:ascii="华文细黑" w:hAnsi="宋体" w:eastAsia="宋体" w:cs="Times New Roman"/>
          <w:b/>
          <w:bCs/>
          <w:snapToGrid w:val="0"/>
          <w:color w:val="auto"/>
          <w:kern w:val="0"/>
          <w:sz w:val="28"/>
          <w:szCs w:val="44"/>
          <w:highlight w:val="none"/>
          <w:lang w:val="en-US" w:eastAsia="zh-CN" w:bidi="ar-SA"/>
        </w:rPr>
        <w:t>9 施工组织设计和进度计划</w:t>
      </w:r>
      <w:bookmarkEnd w:id="3630"/>
      <w:bookmarkEnd w:id="3684"/>
      <w:bookmarkEnd w:id="3685"/>
      <w:bookmarkEnd w:id="3686"/>
      <w:bookmarkEnd w:id="3687"/>
      <w:bookmarkEnd w:id="3688"/>
      <w:bookmarkEnd w:id="3689"/>
      <w:bookmarkEnd w:id="3690"/>
      <w:bookmarkEnd w:id="3691"/>
      <w:bookmarkEnd w:id="3692"/>
      <w:bookmarkEnd w:id="3693"/>
      <w:bookmarkEnd w:id="3694"/>
    </w:p>
    <w:p w14:paraId="6A47724F">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695" w:name="_Toc20510"/>
      <w:bookmarkStart w:id="3696" w:name="_Toc5307"/>
      <w:bookmarkStart w:id="3697" w:name="_Toc3635"/>
      <w:bookmarkStart w:id="3698" w:name="_Toc302635978"/>
      <w:bookmarkStart w:id="3699" w:name="_Toc23302"/>
      <w:bookmarkStart w:id="3700" w:name="_Toc25921"/>
      <w:bookmarkStart w:id="3701" w:name="_Toc19318"/>
      <w:bookmarkStart w:id="3702" w:name="_Toc305331463"/>
      <w:bookmarkStart w:id="3703" w:name="_Toc14048"/>
      <w:bookmarkStart w:id="3704" w:name="_Toc12453"/>
      <w:bookmarkStart w:id="3705" w:name="_Toc22395"/>
      <w:r>
        <w:rPr>
          <w:rFonts w:hint="eastAsia" w:ascii="宋体" w:hAnsi="宋体" w:eastAsia="宋体" w:cs="Times New Roman"/>
          <w:b/>
          <w:bCs/>
          <w:color w:val="auto"/>
          <w:kern w:val="0"/>
          <w:sz w:val="24"/>
          <w:szCs w:val="32"/>
          <w:highlight w:val="none"/>
          <w:lang w:val="en-US" w:eastAsia="zh-CN" w:bidi="ar-SA"/>
        </w:rPr>
        <w:t>9.1 施工组织设计和进度计划的编制与提交</w:t>
      </w:r>
      <w:bookmarkEnd w:id="3695"/>
      <w:bookmarkEnd w:id="3696"/>
      <w:bookmarkEnd w:id="3697"/>
      <w:bookmarkEnd w:id="3698"/>
      <w:bookmarkEnd w:id="3699"/>
      <w:bookmarkEnd w:id="3700"/>
      <w:bookmarkEnd w:id="3701"/>
      <w:bookmarkEnd w:id="3702"/>
      <w:bookmarkEnd w:id="3703"/>
      <w:bookmarkEnd w:id="3704"/>
      <w:bookmarkEnd w:id="3705"/>
    </w:p>
    <w:p w14:paraId="01DB7EF6">
      <w:pPr>
        <w:spacing w:line="360" w:lineRule="auto"/>
        <w:ind w:left="-57" w:right="-105"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(1)承包人应提供单项施工组织设计和工程进度计划的单项工程名称：</w:t>
      </w:r>
      <w:r>
        <w:rPr>
          <w:rFonts w:hint="eastAsia" w:ascii="宋体" w:hAnsi="宋体" w:eastAsia="宋体" w:cs="Times New Roman"/>
          <w:color w:val="auto"/>
          <w:sz w:val="24"/>
          <w:szCs w:val="24"/>
          <w:highlight w:val="none"/>
          <w:u w:val="single"/>
        </w:rPr>
        <w:t xml:space="preserve">           </w:t>
      </w:r>
    </w:p>
    <w:p w14:paraId="424E03FF">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0926C762">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15BB2CD">
      <w:pPr>
        <w:spacing w:line="360" w:lineRule="auto"/>
        <w:ind w:firstLine="36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 xml:space="preserve"> (2)承包人提供施工组织设计和工程进度计划的时间和要求：</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5DCAFAED">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61036553">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2B8FA0FA">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监理人确认的时间：</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549BFF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B3921D2">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承包人根据监理人的合理意见提交修改后的施工组织设计和工程进度计划的时间和要求：</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14926313">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1221A440">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06" w:name="_Toc25556"/>
      <w:bookmarkStart w:id="3707" w:name="_Toc14984"/>
      <w:bookmarkStart w:id="3708" w:name="_Toc29192"/>
      <w:bookmarkStart w:id="3709" w:name="_Toc302635979"/>
      <w:bookmarkStart w:id="3710" w:name="_Toc17641"/>
      <w:bookmarkStart w:id="3711" w:name="_Toc16490"/>
      <w:bookmarkStart w:id="3712" w:name="_Toc12083"/>
      <w:bookmarkStart w:id="3713" w:name="_Toc17022"/>
      <w:bookmarkStart w:id="3714" w:name="_Toc305331464"/>
      <w:bookmarkStart w:id="3715" w:name="_Toc12837"/>
      <w:bookmarkStart w:id="3716" w:name="_Toc25178"/>
      <w:r>
        <w:rPr>
          <w:rFonts w:hint="eastAsia" w:ascii="宋体" w:hAnsi="宋体" w:eastAsia="宋体" w:cs="Times New Roman"/>
          <w:b/>
          <w:bCs/>
          <w:color w:val="auto"/>
          <w:kern w:val="0"/>
          <w:sz w:val="24"/>
          <w:szCs w:val="32"/>
          <w:highlight w:val="none"/>
          <w:lang w:val="en-US" w:eastAsia="zh-CN" w:bidi="ar-SA"/>
        </w:rPr>
        <w:t>9.4 工程用款计划</w:t>
      </w:r>
      <w:bookmarkEnd w:id="3706"/>
      <w:bookmarkEnd w:id="3707"/>
      <w:bookmarkEnd w:id="3708"/>
      <w:bookmarkEnd w:id="3709"/>
      <w:bookmarkEnd w:id="3710"/>
      <w:bookmarkEnd w:id="3711"/>
      <w:bookmarkEnd w:id="3712"/>
      <w:bookmarkEnd w:id="3713"/>
      <w:bookmarkEnd w:id="3714"/>
      <w:bookmarkEnd w:id="3715"/>
      <w:bookmarkEnd w:id="3716"/>
    </w:p>
    <w:p w14:paraId="50205ACE">
      <w:pPr>
        <w:spacing w:line="360" w:lineRule="auto"/>
        <w:ind w:firstLine="440"/>
        <w:rPr>
          <w:rFonts w:ascii="宋体" w:hAnsi="宋体" w:eastAsia="宋体" w:cs="Times New Roman"/>
          <w:color w:val="auto"/>
          <w:sz w:val="24"/>
          <w:szCs w:val="24"/>
          <w:highlight w:val="none"/>
          <w:u w:val="single"/>
        </w:rPr>
      </w:pPr>
      <w:r>
        <w:rPr>
          <w:rFonts w:hint="eastAsia" w:ascii="宋体" w:hAnsi="宋体" w:eastAsia="宋体" w:cs="Times New Roman"/>
          <w:bCs/>
          <w:color w:val="auto"/>
          <w:spacing w:val="-10"/>
          <w:sz w:val="24"/>
          <w:szCs w:val="24"/>
          <w:highlight w:val="none"/>
        </w:rPr>
        <w:t>承包人提交工程用款计划的要求：</w:t>
      </w:r>
      <w:r>
        <w:rPr>
          <w:rFonts w:hint="eastAsia" w:ascii="宋体" w:hAnsi="宋体" w:eastAsia="宋体" w:cs="Times New Roman"/>
          <w:bCs/>
          <w:color w:val="auto"/>
          <w:spacing w:val="-10"/>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43DD3E1">
      <w:pPr>
        <w:spacing w:line="360" w:lineRule="auto"/>
        <w:rPr>
          <w:rFonts w:hint="eastAsia" w:ascii="宋体" w:hAnsi="宋体" w:eastAsia="宋体" w:cs="Times New Roman"/>
          <w:bCs/>
          <w:color w:val="auto"/>
          <w:sz w:val="24"/>
          <w:szCs w:val="24"/>
          <w:highlight w:val="none"/>
          <w:u w:val="single"/>
        </w:rPr>
      </w:pPr>
      <w:bookmarkStart w:id="3717" w:name="_Toc35656532"/>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0EAA541">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B277B5E">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718" w:name="_Toc11756"/>
      <w:bookmarkStart w:id="3719" w:name="_Toc21486"/>
      <w:bookmarkStart w:id="3720" w:name="_Toc31402"/>
      <w:bookmarkStart w:id="3721" w:name="_Toc305331465"/>
      <w:bookmarkStart w:id="3722" w:name="_Toc6805"/>
      <w:bookmarkStart w:id="3723" w:name="_Toc24761"/>
      <w:bookmarkStart w:id="3724" w:name="_Toc20525"/>
      <w:bookmarkStart w:id="3725" w:name="_Toc302635980"/>
      <w:bookmarkStart w:id="3726" w:name="_Toc12519"/>
      <w:bookmarkStart w:id="3727" w:name="_Toc23230"/>
      <w:bookmarkStart w:id="3728" w:name="_Toc10502"/>
      <w:r>
        <w:rPr>
          <w:rFonts w:hint="eastAsia" w:ascii="华文细黑" w:hAnsi="宋体" w:eastAsia="宋体" w:cs="Times New Roman"/>
          <w:b/>
          <w:bCs/>
          <w:snapToGrid w:val="0"/>
          <w:color w:val="auto"/>
          <w:kern w:val="0"/>
          <w:sz w:val="28"/>
          <w:szCs w:val="44"/>
          <w:highlight w:val="none"/>
          <w:lang w:val="en-US" w:eastAsia="zh-CN" w:bidi="ar-SA"/>
        </w:rPr>
        <w:t>10 施工准备</w:t>
      </w:r>
      <w:bookmarkEnd w:id="3717"/>
      <w:bookmarkEnd w:id="3718"/>
      <w:bookmarkEnd w:id="3719"/>
      <w:bookmarkEnd w:id="3720"/>
      <w:bookmarkEnd w:id="3721"/>
      <w:bookmarkEnd w:id="3722"/>
      <w:bookmarkEnd w:id="3723"/>
      <w:bookmarkEnd w:id="3724"/>
      <w:bookmarkEnd w:id="3725"/>
      <w:bookmarkEnd w:id="3726"/>
      <w:bookmarkEnd w:id="3727"/>
      <w:bookmarkEnd w:id="3728"/>
    </w:p>
    <w:p w14:paraId="12ABEBAE">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29" w:name="_Toc305331466"/>
      <w:bookmarkStart w:id="3730" w:name="_Toc9200"/>
      <w:bookmarkStart w:id="3731" w:name="_Toc19123"/>
      <w:bookmarkStart w:id="3732" w:name="_Toc24268"/>
      <w:bookmarkStart w:id="3733" w:name="_Toc5624"/>
      <w:bookmarkStart w:id="3734" w:name="_Toc4117"/>
      <w:bookmarkStart w:id="3735" w:name="_Toc302635981"/>
      <w:bookmarkStart w:id="3736" w:name="_Toc7228"/>
      <w:bookmarkStart w:id="3737" w:name="_Toc14274"/>
      <w:bookmarkStart w:id="3738" w:name="_Toc7600"/>
      <w:bookmarkStart w:id="3739" w:name="_Toc30321"/>
      <w:r>
        <w:rPr>
          <w:rFonts w:hint="eastAsia" w:ascii="宋体" w:hAnsi="宋体" w:eastAsia="宋体" w:cs="Times New Roman"/>
          <w:b/>
          <w:bCs/>
          <w:color w:val="auto"/>
          <w:kern w:val="0"/>
          <w:sz w:val="24"/>
          <w:szCs w:val="32"/>
          <w:highlight w:val="none"/>
          <w:lang w:val="en-US" w:eastAsia="zh-CN" w:bidi="ar-SA"/>
        </w:rPr>
        <w:t>10.2 施工场地提供</w:t>
      </w:r>
      <w:bookmarkEnd w:id="3729"/>
      <w:bookmarkEnd w:id="3730"/>
      <w:bookmarkEnd w:id="3731"/>
      <w:bookmarkEnd w:id="3732"/>
      <w:bookmarkEnd w:id="3733"/>
      <w:bookmarkEnd w:id="3734"/>
      <w:bookmarkEnd w:id="3735"/>
      <w:bookmarkEnd w:id="3736"/>
      <w:bookmarkEnd w:id="3737"/>
      <w:bookmarkEnd w:id="3738"/>
      <w:bookmarkEnd w:id="3739"/>
    </w:p>
    <w:p w14:paraId="0CF48250">
      <w:pPr>
        <w:spacing w:line="360" w:lineRule="auto"/>
        <w:ind w:firstLine="480"/>
        <w:rPr>
          <w:rFonts w:ascii="黑体" w:hAnsi="黑体" w:eastAsia="黑体" w:cs="Times New Roman"/>
          <w:b/>
          <w:color w:val="auto"/>
          <w:sz w:val="24"/>
          <w:szCs w:val="24"/>
          <w:highlight w:val="none"/>
          <w:u w:val="single"/>
        </w:rPr>
      </w:pPr>
      <w:r>
        <w:rPr>
          <w:rFonts w:hint="eastAsia" w:ascii="宋体" w:hAnsi="宋体" w:eastAsia="宋体" w:cs="Times New Roman"/>
          <w:color w:val="auto"/>
          <w:sz w:val="24"/>
          <w:szCs w:val="24"/>
          <w:highlight w:val="none"/>
        </w:rPr>
        <w:t>(1)发包人提供给承包人的工地范围、时间及次序约定：</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A097B6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7986945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96CB4F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(3)红线外临时占地租用费用承担约定：</w:t>
      </w:r>
      <w:r>
        <w:rPr>
          <w:rFonts w:hint="eastAsia" w:ascii="宋体" w:hAnsi="宋体" w:eastAsia="宋体" w:cs="Times New Roman"/>
          <w:color w:val="auto"/>
          <w:sz w:val="24"/>
          <w:szCs w:val="24"/>
          <w:highlight w:val="none"/>
          <w:u w:val="single"/>
        </w:rPr>
        <w:t xml:space="preserve">                                    </w:t>
      </w:r>
    </w:p>
    <w:p w14:paraId="2B2B03B7">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59E569F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E701B6D">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40" w:name="_Toc302635982"/>
      <w:bookmarkStart w:id="3741" w:name="_Toc10050"/>
      <w:bookmarkStart w:id="3742" w:name="_Toc9080"/>
      <w:bookmarkStart w:id="3743" w:name="_Toc14001"/>
      <w:bookmarkStart w:id="3744" w:name="_Toc14670"/>
      <w:bookmarkStart w:id="3745" w:name="_Toc5690"/>
      <w:bookmarkStart w:id="3746" w:name="_Toc12659"/>
      <w:bookmarkStart w:id="3747" w:name="_Toc7884"/>
      <w:bookmarkStart w:id="3748" w:name="_Toc1248"/>
      <w:bookmarkStart w:id="3749" w:name="_Toc305331467"/>
      <w:bookmarkStart w:id="3750" w:name="_Toc25333"/>
      <w:r>
        <w:rPr>
          <w:rFonts w:hint="eastAsia" w:ascii="宋体" w:hAnsi="宋体" w:eastAsia="宋体" w:cs="Times New Roman"/>
          <w:b/>
          <w:bCs/>
          <w:color w:val="auto"/>
          <w:kern w:val="0"/>
          <w:sz w:val="24"/>
          <w:szCs w:val="32"/>
          <w:highlight w:val="none"/>
          <w:lang w:val="en-US" w:eastAsia="zh-CN" w:bidi="ar-SA"/>
        </w:rPr>
        <w:t>10.6 不利的外界障碍或条件</w:t>
      </w:r>
      <w:bookmarkEnd w:id="3740"/>
      <w:bookmarkEnd w:id="3741"/>
      <w:bookmarkEnd w:id="3742"/>
      <w:bookmarkEnd w:id="3743"/>
      <w:bookmarkEnd w:id="3744"/>
      <w:bookmarkEnd w:id="3745"/>
      <w:bookmarkEnd w:id="3746"/>
      <w:bookmarkEnd w:id="3747"/>
      <w:bookmarkEnd w:id="3748"/>
      <w:bookmarkEnd w:id="3749"/>
      <w:bookmarkEnd w:id="3750"/>
    </w:p>
    <w:p w14:paraId="4AB06DB5">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(3)本合同可能产生的不利的外界障碍或条件为：</w:t>
      </w:r>
    </w:p>
    <w:p w14:paraId="5FAB02C5">
      <w:pPr>
        <w:spacing w:line="360" w:lineRule="auto"/>
        <w:ind w:firstLine="6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1"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50"/>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施工现场地形、地质的改变；</w:t>
      </w:r>
    </w:p>
    <w:p w14:paraId="441CB719">
      <w:pPr>
        <w:spacing w:line="360" w:lineRule="auto"/>
        <w:ind w:firstLine="6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51"/>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政府政策性停工；</w:t>
      </w:r>
    </w:p>
    <w:p w14:paraId="602B7E0D">
      <w:pPr>
        <w:spacing w:line="360" w:lineRule="auto"/>
        <w:ind w:firstLine="60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10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52"/>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sz w:val="24"/>
          <w:szCs w:val="24"/>
          <w:highlight w:val="none"/>
          <w:u w:val="single"/>
        </w:rPr>
        <w:t xml:space="preserve">                                                               </w:t>
      </w:r>
    </w:p>
    <w:p w14:paraId="7655CE0D">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751" w:name="_Toc10534"/>
      <w:bookmarkStart w:id="3752" w:name="_Toc12015"/>
      <w:bookmarkStart w:id="3753" w:name="_Toc12452"/>
      <w:bookmarkStart w:id="3754" w:name="_Toc27437"/>
      <w:bookmarkStart w:id="3755" w:name="_Toc7040"/>
      <w:bookmarkStart w:id="3756" w:name="_Toc19913"/>
      <w:bookmarkStart w:id="3757" w:name="_Toc28085"/>
      <w:bookmarkStart w:id="3758" w:name="_Toc31080"/>
      <w:bookmarkStart w:id="3759" w:name="_Toc28215"/>
      <w:bookmarkStart w:id="3760" w:name="_Toc302635983"/>
      <w:bookmarkStart w:id="3761" w:name="_Toc305331468"/>
      <w:r>
        <w:rPr>
          <w:rFonts w:hint="eastAsia" w:ascii="华文细黑" w:hAnsi="宋体" w:eastAsia="宋体" w:cs="Times New Roman"/>
          <w:b/>
          <w:bCs/>
          <w:snapToGrid w:val="0"/>
          <w:color w:val="auto"/>
          <w:kern w:val="0"/>
          <w:sz w:val="28"/>
          <w:szCs w:val="44"/>
          <w:highlight w:val="none"/>
          <w:lang w:val="en-US" w:eastAsia="zh-CN" w:bidi="ar-SA"/>
        </w:rPr>
        <w:t>12 暂停施工和恢复施工</w:t>
      </w:r>
      <w:bookmarkEnd w:id="3751"/>
      <w:bookmarkEnd w:id="3752"/>
      <w:bookmarkEnd w:id="3753"/>
      <w:bookmarkEnd w:id="3754"/>
      <w:bookmarkEnd w:id="3755"/>
      <w:bookmarkEnd w:id="3756"/>
      <w:bookmarkEnd w:id="3757"/>
      <w:bookmarkEnd w:id="3758"/>
      <w:bookmarkEnd w:id="3759"/>
    </w:p>
    <w:p w14:paraId="05FC84FE">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62" w:name="_Toc22065"/>
      <w:bookmarkStart w:id="3763" w:name="_Toc13119"/>
      <w:bookmarkStart w:id="3764" w:name="_Toc17185"/>
      <w:bookmarkStart w:id="3765" w:name="_Toc24065"/>
      <w:bookmarkStart w:id="3766" w:name="_Toc12307"/>
      <w:bookmarkStart w:id="3767" w:name="_Toc11856"/>
      <w:bookmarkStart w:id="3768" w:name="_Toc3058"/>
      <w:bookmarkStart w:id="3769" w:name="_Toc2573"/>
      <w:bookmarkStart w:id="3770" w:name="_Toc2925"/>
      <w:r>
        <w:rPr>
          <w:rFonts w:hint="eastAsia" w:ascii="宋体" w:hAnsi="宋体" w:eastAsia="宋体" w:cs="Times New Roman"/>
          <w:b/>
          <w:bCs/>
          <w:color w:val="auto"/>
          <w:kern w:val="0"/>
          <w:sz w:val="24"/>
          <w:szCs w:val="32"/>
          <w:highlight w:val="none"/>
          <w:lang w:val="en-US" w:eastAsia="zh-CN" w:bidi="ar-SA"/>
        </w:rPr>
        <w:t>12.2 承包人原因引起的暂停施工</w:t>
      </w:r>
      <w:bookmarkEnd w:id="3762"/>
      <w:bookmarkEnd w:id="3763"/>
      <w:bookmarkEnd w:id="3764"/>
      <w:bookmarkEnd w:id="3765"/>
      <w:bookmarkEnd w:id="3766"/>
      <w:bookmarkEnd w:id="3767"/>
      <w:bookmarkEnd w:id="3768"/>
      <w:bookmarkEnd w:id="3769"/>
      <w:bookmarkEnd w:id="3770"/>
    </w:p>
    <w:p w14:paraId="7429C31B">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因承包人原因引起的暂停施工，承包人在收到监理人复工指示后复工的</w:t>
      </w:r>
      <w:r>
        <w:rPr>
          <w:rFonts w:hint="eastAsia" w:ascii="宋体" w:hAnsi="宋体" w:eastAsia="宋体" w:cs="Times New Roman"/>
          <w:color w:val="auto"/>
          <w:sz w:val="24"/>
          <w:szCs w:val="24"/>
          <w:highlight w:val="none"/>
        </w:rPr>
        <w:t>期限为：</w:t>
      </w:r>
      <w:r>
        <w:rPr>
          <w:rFonts w:hint="eastAsia" w:ascii="宋体" w:hAnsi="宋体" w:eastAsia="宋体" w:cs="Times New Roman"/>
          <w:color w:val="auto"/>
          <w:sz w:val="24"/>
          <w:szCs w:val="24"/>
          <w:highlight w:val="none"/>
          <w:u w:val="single"/>
        </w:rPr>
        <w:t xml:space="preserve">  </w:t>
      </w:r>
    </w:p>
    <w:p w14:paraId="20D8DEE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497EE8D">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771" w:name="_Toc9236"/>
      <w:bookmarkStart w:id="3772" w:name="_Toc5164"/>
      <w:bookmarkStart w:id="3773" w:name="_Toc23177"/>
      <w:bookmarkStart w:id="3774" w:name="_Toc13547"/>
      <w:bookmarkStart w:id="3775" w:name="_Toc28294"/>
      <w:bookmarkStart w:id="3776" w:name="_Toc26099"/>
      <w:bookmarkStart w:id="3777" w:name="_Toc4502"/>
      <w:bookmarkStart w:id="3778" w:name="_Toc12345"/>
      <w:bookmarkStart w:id="3779" w:name="_Toc10523"/>
      <w:r>
        <w:rPr>
          <w:rFonts w:hint="eastAsia" w:ascii="华文细黑" w:hAnsi="宋体" w:eastAsia="宋体" w:cs="Times New Roman"/>
          <w:b/>
          <w:bCs/>
          <w:snapToGrid w:val="0"/>
          <w:color w:val="auto"/>
          <w:kern w:val="0"/>
          <w:sz w:val="28"/>
          <w:szCs w:val="44"/>
          <w:highlight w:val="none"/>
          <w:lang w:val="en-US" w:eastAsia="zh-CN" w:bidi="ar-SA"/>
        </w:rPr>
        <w:t>13 工期及延误</w:t>
      </w:r>
      <w:bookmarkEnd w:id="3760"/>
      <w:bookmarkEnd w:id="3761"/>
      <w:bookmarkEnd w:id="3771"/>
      <w:bookmarkEnd w:id="3772"/>
      <w:bookmarkEnd w:id="3773"/>
      <w:bookmarkEnd w:id="3774"/>
      <w:bookmarkEnd w:id="3775"/>
      <w:bookmarkEnd w:id="3776"/>
      <w:bookmarkEnd w:id="3777"/>
      <w:bookmarkEnd w:id="3778"/>
      <w:bookmarkEnd w:id="3779"/>
    </w:p>
    <w:p w14:paraId="5F3D2DAD">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80" w:name="_Toc305331469"/>
      <w:bookmarkStart w:id="3781" w:name="_Toc302635984"/>
      <w:bookmarkStart w:id="3782" w:name="_Toc23785"/>
      <w:bookmarkStart w:id="3783" w:name="_Toc16722"/>
      <w:bookmarkStart w:id="3784" w:name="_Toc13216"/>
      <w:bookmarkStart w:id="3785" w:name="_Toc16855"/>
      <w:bookmarkStart w:id="3786" w:name="_Toc24613"/>
      <w:bookmarkStart w:id="3787" w:name="_Toc15323"/>
      <w:bookmarkStart w:id="3788" w:name="_Toc8636"/>
      <w:bookmarkStart w:id="3789" w:name="_Toc3898"/>
      <w:bookmarkStart w:id="3790" w:name="_Toc18"/>
      <w:r>
        <w:rPr>
          <w:rFonts w:hint="eastAsia" w:ascii="宋体" w:hAnsi="宋体" w:eastAsia="宋体" w:cs="Times New Roman"/>
          <w:b/>
          <w:bCs/>
          <w:color w:val="auto"/>
          <w:kern w:val="0"/>
          <w:sz w:val="24"/>
          <w:szCs w:val="32"/>
          <w:highlight w:val="none"/>
          <w:lang w:val="en-US" w:eastAsia="zh-CN" w:bidi="ar-SA"/>
        </w:rPr>
        <w:t>13.1 工期</w:t>
      </w:r>
      <w:bookmarkEnd w:id="3780"/>
      <w:bookmarkEnd w:id="3781"/>
      <w:bookmarkEnd w:id="3782"/>
      <w:bookmarkEnd w:id="3783"/>
      <w:bookmarkEnd w:id="3784"/>
      <w:bookmarkEnd w:id="3785"/>
      <w:bookmarkEnd w:id="3786"/>
      <w:bookmarkEnd w:id="3787"/>
      <w:bookmarkEnd w:id="3788"/>
      <w:bookmarkEnd w:id="3789"/>
      <w:bookmarkEnd w:id="3790"/>
    </w:p>
    <w:p w14:paraId="4EBC2BF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本工程单项工程的工期约定：</w:t>
      </w:r>
    </w:p>
    <w:tbl>
      <w:tblPr>
        <w:tblStyle w:val="40"/>
        <w:tblW w:w="841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4"/>
        <w:gridCol w:w="2297"/>
        <w:gridCol w:w="2239"/>
        <w:gridCol w:w="1181"/>
      </w:tblGrid>
      <w:tr w14:paraId="4BFDD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026CDAB3">
            <w:pPr>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1984" w:type="dxa"/>
            <w:noWrap w:val="0"/>
            <w:vAlign w:val="center"/>
          </w:tcPr>
          <w:p w14:paraId="7734FA3A">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单项工程名称</w:t>
            </w:r>
          </w:p>
        </w:tc>
        <w:tc>
          <w:tcPr>
            <w:tcW w:w="2297" w:type="dxa"/>
            <w:noWrap w:val="0"/>
            <w:vAlign w:val="center"/>
          </w:tcPr>
          <w:p w14:paraId="63A278F8">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开工日期</w:t>
            </w:r>
          </w:p>
        </w:tc>
        <w:tc>
          <w:tcPr>
            <w:tcW w:w="2239" w:type="dxa"/>
            <w:noWrap w:val="0"/>
            <w:vAlign w:val="center"/>
          </w:tcPr>
          <w:p w14:paraId="548B604A">
            <w:pPr>
              <w:ind w:left="-108"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竣工日期</w:t>
            </w:r>
          </w:p>
        </w:tc>
        <w:tc>
          <w:tcPr>
            <w:tcW w:w="1181" w:type="dxa"/>
            <w:noWrap w:val="0"/>
            <w:vAlign w:val="center"/>
          </w:tcPr>
          <w:p w14:paraId="4B119A7C">
            <w:pPr>
              <w:ind w:left="-108"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工期</w:t>
            </w:r>
          </w:p>
          <w:p w14:paraId="3FF07BA9">
            <w:pPr>
              <w:ind w:left="-108"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(日历天)</w:t>
            </w:r>
          </w:p>
        </w:tc>
      </w:tr>
      <w:tr w14:paraId="0E32D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436B4847">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w:t>
            </w:r>
          </w:p>
        </w:tc>
        <w:tc>
          <w:tcPr>
            <w:tcW w:w="1984" w:type="dxa"/>
            <w:noWrap w:val="0"/>
            <w:vAlign w:val="bottom"/>
          </w:tcPr>
          <w:p w14:paraId="211E3445">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14:paraId="10A44176">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14:paraId="59C8E326">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14:paraId="0E24D320">
            <w:pPr>
              <w:spacing w:line="360" w:lineRule="auto"/>
              <w:ind w:left="-57" w:right="-105"/>
              <w:rPr>
                <w:rFonts w:ascii="宋体" w:hAnsi="宋体" w:eastAsia="宋体" w:cs="Times New Roman"/>
                <w:color w:val="auto"/>
                <w:sz w:val="24"/>
                <w:szCs w:val="24"/>
                <w:highlight w:val="none"/>
                <w:u w:val="single"/>
              </w:rPr>
            </w:pPr>
          </w:p>
        </w:tc>
      </w:tr>
      <w:tr w14:paraId="579F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381B7185">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p>
        </w:tc>
        <w:tc>
          <w:tcPr>
            <w:tcW w:w="1984" w:type="dxa"/>
            <w:noWrap w:val="0"/>
            <w:vAlign w:val="bottom"/>
          </w:tcPr>
          <w:p w14:paraId="14B5A640">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14:paraId="7A04D3D9">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14:paraId="3CC502A5">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14:paraId="3EC7AB9B">
            <w:pPr>
              <w:spacing w:line="360" w:lineRule="auto"/>
              <w:ind w:left="-57" w:right="-105"/>
              <w:rPr>
                <w:rFonts w:ascii="宋体" w:hAnsi="宋体" w:eastAsia="宋体" w:cs="Times New Roman"/>
                <w:color w:val="auto"/>
                <w:sz w:val="24"/>
                <w:szCs w:val="24"/>
                <w:highlight w:val="none"/>
                <w:u w:val="single"/>
              </w:rPr>
            </w:pPr>
          </w:p>
        </w:tc>
      </w:tr>
      <w:tr w14:paraId="6F88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0AEC4A01">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1984" w:type="dxa"/>
            <w:noWrap w:val="0"/>
            <w:vAlign w:val="bottom"/>
          </w:tcPr>
          <w:p w14:paraId="77FBC964">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14:paraId="4BE00711">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14:paraId="11C1667D">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14:paraId="6C0356C0">
            <w:pPr>
              <w:spacing w:line="360" w:lineRule="auto"/>
              <w:ind w:left="-57" w:right="-105"/>
              <w:rPr>
                <w:rFonts w:ascii="宋体" w:hAnsi="宋体" w:eastAsia="宋体" w:cs="Times New Roman"/>
                <w:color w:val="auto"/>
                <w:sz w:val="24"/>
                <w:szCs w:val="24"/>
                <w:highlight w:val="none"/>
                <w:u w:val="single"/>
              </w:rPr>
            </w:pPr>
          </w:p>
        </w:tc>
      </w:tr>
      <w:tr w14:paraId="7D4A3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2A8CF161">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w:t>
            </w:r>
          </w:p>
        </w:tc>
        <w:tc>
          <w:tcPr>
            <w:tcW w:w="1984" w:type="dxa"/>
            <w:noWrap w:val="0"/>
            <w:vAlign w:val="bottom"/>
          </w:tcPr>
          <w:p w14:paraId="5BEE5072">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14:paraId="4465625C">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14:paraId="60690150">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14:paraId="70004968">
            <w:pPr>
              <w:spacing w:line="360" w:lineRule="auto"/>
              <w:ind w:left="-57" w:right="-105"/>
              <w:rPr>
                <w:rFonts w:ascii="宋体" w:hAnsi="宋体" w:eastAsia="宋体" w:cs="Times New Roman"/>
                <w:color w:val="auto"/>
                <w:sz w:val="24"/>
                <w:szCs w:val="24"/>
                <w:highlight w:val="none"/>
                <w:u w:val="single"/>
              </w:rPr>
            </w:pPr>
          </w:p>
        </w:tc>
      </w:tr>
      <w:tr w14:paraId="3C822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4FA72C16">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1984" w:type="dxa"/>
            <w:noWrap w:val="0"/>
            <w:vAlign w:val="bottom"/>
          </w:tcPr>
          <w:p w14:paraId="3B051EA0">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14:paraId="78D00A42">
            <w:pPr>
              <w:spacing w:line="360" w:lineRule="auto"/>
              <w:ind w:left="-57" w:right="-105"/>
              <w:rPr>
                <w:rFonts w:ascii="宋体" w:hAnsi="宋体" w:eastAsia="宋体" w:cs="Times New Roman"/>
                <w:color w:val="auto"/>
                <w:sz w:val="24"/>
                <w:szCs w:val="24"/>
                <w:highlight w:val="none"/>
              </w:rPr>
            </w:pPr>
          </w:p>
        </w:tc>
        <w:tc>
          <w:tcPr>
            <w:tcW w:w="2239" w:type="dxa"/>
            <w:noWrap w:val="0"/>
            <w:vAlign w:val="center"/>
          </w:tcPr>
          <w:p w14:paraId="56FA42EF">
            <w:pPr>
              <w:spacing w:line="360" w:lineRule="auto"/>
              <w:ind w:left="-57" w:right="-105"/>
              <w:jc w:val="center"/>
              <w:rPr>
                <w:rFonts w:ascii="宋体" w:hAnsi="宋体" w:eastAsia="宋体" w:cs="Times New Roman"/>
                <w:color w:val="auto"/>
                <w:sz w:val="24"/>
                <w:szCs w:val="24"/>
                <w:highlight w:val="none"/>
                <w:u w:val="single"/>
              </w:rPr>
            </w:pPr>
          </w:p>
        </w:tc>
        <w:tc>
          <w:tcPr>
            <w:tcW w:w="1181" w:type="dxa"/>
            <w:noWrap w:val="0"/>
            <w:vAlign w:val="center"/>
          </w:tcPr>
          <w:p w14:paraId="22F3953B">
            <w:pPr>
              <w:spacing w:line="360" w:lineRule="auto"/>
              <w:ind w:left="-57" w:right="-105"/>
              <w:jc w:val="center"/>
              <w:rPr>
                <w:rFonts w:ascii="宋体" w:hAnsi="宋体" w:eastAsia="宋体" w:cs="Times New Roman"/>
                <w:color w:val="auto"/>
                <w:sz w:val="24"/>
                <w:szCs w:val="24"/>
                <w:highlight w:val="none"/>
                <w:u w:val="single"/>
              </w:rPr>
            </w:pPr>
          </w:p>
        </w:tc>
      </w:tr>
    </w:tbl>
    <w:p w14:paraId="7ABD869F">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91" w:name="_Toc302635985"/>
      <w:bookmarkStart w:id="3792" w:name="_Toc5693"/>
      <w:bookmarkStart w:id="3793" w:name="_Toc27029"/>
      <w:bookmarkStart w:id="3794" w:name="_Toc17234"/>
      <w:bookmarkStart w:id="3795" w:name="_Toc3877"/>
      <w:bookmarkStart w:id="3796" w:name="_Toc30627"/>
      <w:bookmarkStart w:id="3797" w:name="_Toc4050"/>
      <w:bookmarkStart w:id="3798" w:name="_Toc17839"/>
      <w:bookmarkStart w:id="3799" w:name="_Toc23262"/>
      <w:bookmarkStart w:id="3800" w:name="_Toc30140"/>
      <w:bookmarkStart w:id="3801" w:name="_Toc305331470"/>
      <w:r>
        <w:rPr>
          <w:rFonts w:hint="eastAsia" w:ascii="宋体" w:hAnsi="宋体" w:eastAsia="宋体" w:cs="Times New Roman"/>
          <w:b/>
          <w:bCs/>
          <w:color w:val="auto"/>
          <w:kern w:val="0"/>
          <w:sz w:val="24"/>
          <w:szCs w:val="32"/>
          <w:highlight w:val="none"/>
          <w:lang w:val="en-US" w:eastAsia="zh-CN" w:bidi="ar-SA"/>
        </w:rPr>
        <w:t>13.2 因发包人原因导致工期延误</w:t>
      </w:r>
      <w:bookmarkEnd w:id="3791"/>
      <w:bookmarkEnd w:id="3792"/>
      <w:bookmarkEnd w:id="3793"/>
      <w:bookmarkEnd w:id="3794"/>
      <w:bookmarkEnd w:id="3795"/>
      <w:bookmarkEnd w:id="3796"/>
      <w:bookmarkEnd w:id="3797"/>
      <w:bookmarkEnd w:id="3798"/>
      <w:bookmarkEnd w:id="3799"/>
      <w:bookmarkEnd w:id="3800"/>
    </w:p>
    <w:p w14:paraId="43A21DF9">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因发包人原因导致工期延误的其他情形：</w:t>
      </w:r>
      <w:r>
        <w:rPr>
          <w:rFonts w:hint="eastAsia" w:ascii="宋体" w:hAnsi="宋体" w:eastAsia="宋体" w:cs="Times New Roman"/>
          <w:color w:val="auto"/>
          <w:sz w:val="24"/>
          <w:szCs w:val="24"/>
          <w:highlight w:val="none"/>
          <w:u w:val="single"/>
        </w:rPr>
        <w:t xml:space="preserve">                                 </w:t>
      </w:r>
    </w:p>
    <w:p w14:paraId="508B62A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8BA1005">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369EEACA">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02" w:name="_Toc3847"/>
      <w:bookmarkStart w:id="3803" w:name="_Toc3095"/>
      <w:bookmarkStart w:id="3804" w:name="_Toc18982"/>
      <w:bookmarkStart w:id="3805" w:name="_Toc6554"/>
      <w:bookmarkStart w:id="3806" w:name="_Toc5945"/>
      <w:bookmarkStart w:id="3807" w:name="_Toc31019"/>
      <w:bookmarkStart w:id="3808" w:name="_Toc20980"/>
      <w:bookmarkStart w:id="3809" w:name="_Toc28053"/>
      <w:bookmarkStart w:id="3810" w:name="_Toc175"/>
      <w:r>
        <w:rPr>
          <w:rFonts w:hint="eastAsia" w:ascii="宋体" w:hAnsi="宋体" w:eastAsia="宋体" w:cs="Times New Roman"/>
          <w:b/>
          <w:bCs/>
          <w:color w:val="auto"/>
          <w:kern w:val="0"/>
          <w:sz w:val="24"/>
          <w:szCs w:val="32"/>
          <w:highlight w:val="none"/>
          <w:lang w:val="en-US" w:eastAsia="zh-CN" w:bidi="ar-SA"/>
        </w:rPr>
        <w:t>13.3 因承包人原因导致工期延误</w:t>
      </w:r>
      <w:bookmarkEnd w:id="3802"/>
      <w:bookmarkEnd w:id="3803"/>
      <w:bookmarkEnd w:id="3804"/>
      <w:bookmarkEnd w:id="3805"/>
      <w:bookmarkEnd w:id="3806"/>
      <w:bookmarkEnd w:id="3807"/>
      <w:bookmarkEnd w:id="3808"/>
      <w:bookmarkEnd w:id="3809"/>
      <w:bookmarkEnd w:id="3810"/>
    </w:p>
    <w:p w14:paraId="0B4451B8">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逾期竣工违约金计算方法：</w:t>
      </w:r>
      <w:r>
        <w:rPr>
          <w:rFonts w:hint="eastAsia" w:ascii="宋体" w:hAnsi="宋体" w:eastAsia="宋体" w:cs="Times New Roman"/>
          <w:color w:val="auto"/>
          <w:sz w:val="24"/>
          <w:szCs w:val="24"/>
          <w:highlight w:val="none"/>
          <w:u w:val="single"/>
        </w:rPr>
        <w:t xml:space="preserve">                                                </w:t>
      </w:r>
    </w:p>
    <w:p w14:paraId="0BD7D6C2">
      <w:pPr>
        <w:spacing w:line="360" w:lineRule="auto"/>
        <w:ind w:firstLine="480"/>
        <w:rPr>
          <w:rFonts w:hint="eastAsia" w:ascii="宋体" w:hAnsi="宋体" w:eastAsia="宋体" w:cs="Times New Roman"/>
          <w:color w:val="auto"/>
          <w:sz w:val="24"/>
          <w:szCs w:val="24"/>
          <w:highlight w:val="none"/>
          <w:u w:val="single"/>
        </w:rPr>
      </w:pPr>
      <w:bookmarkStart w:id="3811" w:name="_Toc302635986"/>
      <w:r>
        <w:rPr>
          <w:rFonts w:hint="eastAsia" w:ascii="宋体" w:hAnsi="宋体" w:eastAsia="宋体" w:cs="Times New Roman"/>
          <w:color w:val="auto"/>
          <w:sz w:val="24"/>
          <w:szCs w:val="24"/>
          <w:highlight w:val="none"/>
        </w:rPr>
        <w:t>逾期竣工违约金的上限：</w:t>
      </w:r>
      <w:r>
        <w:rPr>
          <w:rFonts w:hint="eastAsia" w:ascii="宋体" w:hAnsi="宋体" w:eastAsia="宋体" w:cs="Times New Roman"/>
          <w:color w:val="auto"/>
          <w:sz w:val="24"/>
          <w:szCs w:val="24"/>
          <w:highlight w:val="none"/>
          <w:u w:val="single"/>
        </w:rPr>
        <w:t xml:space="preserve">                                                  </w:t>
      </w:r>
    </w:p>
    <w:p w14:paraId="66C13A42">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12" w:name="_Toc28014"/>
      <w:bookmarkStart w:id="3813" w:name="_Toc31453"/>
      <w:bookmarkStart w:id="3814" w:name="_Toc29779"/>
      <w:bookmarkStart w:id="3815" w:name="_Toc5334"/>
      <w:bookmarkStart w:id="3816" w:name="_Toc14505"/>
      <w:bookmarkStart w:id="3817" w:name="_Toc22670"/>
      <w:bookmarkStart w:id="3818" w:name="_Toc26016"/>
      <w:bookmarkStart w:id="3819" w:name="_Toc17285"/>
      <w:bookmarkStart w:id="3820" w:name="_Toc27311"/>
      <w:r>
        <w:rPr>
          <w:rFonts w:hint="eastAsia" w:ascii="宋体" w:hAnsi="宋体" w:eastAsia="宋体" w:cs="Times New Roman"/>
          <w:b/>
          <w:bCs/>
          <w:color w:val="auto"/>
          <w:kern w:val="0"/>
          <w:sz w:val="24"/>
          <w:szCs w:val="32"/>
          <w:highlight w:val="none"/>
          <w:lang w:val="en-US" w:eastAsia="zh-CN" w:bidi="ar-SA"/>
        </w:rPr>
        <w:t>13.4 提前竣工</w:t>
      </w:r>
      <w:bookmarkEnd w:id="3801"/>
      <w:bookmarkEnd w:id="3811"/>
      <w:bookmarkEnd w:id="3812"/>
      <w:bookmarkEnd w:id="3813"/>
      <w:bookmarkEnd w:id="3814"/>
      <w:bookmarkEnd w:id="3815"/>
      <w:bookmarkEnd w:id="3816"/>
      <w:bookmarkEnd w:id="3817"/>
      <w:bookmarkEnd w:id="3818"/>
      <w:bookmarkEnd w:id="3819"/>
      <w:bookmarkEnd w:id="3820"/>
    </w:p>
    <w:p w14:paraId="1FE1C924">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(3)提前竣工奖励费及限额约定：承包人每提前一天竣工奖励</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；奖励总额不超过签约合同价的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(建议10%)。</w:t>
      </w:r>
    </w:p>
    <w:p w14:paraId="6B4317D8">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(4)《深圳市建设工程施工工期定额》缺项的专业工程压缩工期补偿费用计算方法：</w:t>
      </w:r>
      <w:r>
        <w:rPr>
          <w:rFonts w:hint="eastAsia" w:ascii="宋体" w:hAnsi="宋体" w:eastAsia="宋体" w:cs="Times New Roman"/>
          <w:color w:val="auto"/>
          <w:sz w:val="24"/>
          <w:szCs w:val="24"/>
          <w:highlight w:val="none"/>
          <w:u w:val="single"/>
        </w:rPr>
        <w:t xml:space="preserve">                            </w:t>
      </w:r>
    </w:p>
    <w:p w14:paraId="1B269F5D">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需采取特殊措施以缩短工期的专业工程及压缩工期补偿费用计算方法：</w:t>
      </w:r>
    </w:p>
    <w:p w14:paraId="2E3E0EEF">
      <w:pPr>
        <w:spacing w:line="360" w:lineRule="auto"/>
        <w:rPr>
          <w:rFonts w:hint="eastAsia" w:ascii="宋体" w:hAnsi="宋体" w:eastAsia="宋体" w:cs="Times New Roman"/>
          <w:bCs/>
          <w:color w:val="auto"/>
          <w:sz w:val="24"/>
          <w:szCs w:val="24"/>
          <w:highlight w:val="none"/>
          <w:u w:val="single"/>
        </w:rPr>
      </w:pPr>
      <w:bookmarkStart w:id="3821" w:name="_Toc305331471"/>
      <w:bookmarkStart w:id="3822" w:name="_Toc302635987"/>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0CCC8AD">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bookmarkEnd w:id="3821"/>
    <w:bookmarkEnd w:id="3822"/>
    <w:p w14:paraId="28480009">
      <w:pPr>
        <w:keepNext w:val="0"/>
        <w:keepLines w:val="0"/>
        <w:widowControl/>
        <w:numPr>
          <w:ilvl w:val="0"/>
          <w:numId w:val="0"/>
        </w:numPr>
        <w:tabs>
          <w:tab w:val="left" w:pos="540"/>
          <w:tab w:val="left" w:pos="1620"/>
          <w:tab w:val="left" w:pos="2340"/>
        </w:tabs>
        <w:spacing w:before="120" w:after="120"/>
        <w:ind w:left="178"/>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3823" w:name="_Toc4924"/>
      <w:bookmarkStart w:id="3824" w:name="_Toc1793"/>
      <w:bookmarkStart w:id="3825" w:name="_Toc305331472"/>
      <w:bookmarkStart w:id="3826" w:name="_Toc31468"/>
      <w:bookmarkStart w:id="3827" w:name="_Toc23416"/>
      <w:bookmarkStart w:id="3828" w:name="_Toc13356"/>
      <w:bookmarkStart w:id="3829" w:name="_Toc29856"/>
      <w:bookmarkStart w:id="3830" w:name="_Toc302635989"/>
      <w:bookmarkStart w:id="3831" w:name="_Toc6123"/>
      <w:bookmarkStart w:id="3832" w:name="_Toc13359"/>
      <w:bookmarkStart w:id="3833" w:name="_Toc32482"/>
      <w:r>
        <w:rPr>
          <w:rFonts w:hint="eastAsia" w:ascii="华文细黑" w:hAnsi="宋体" w:eastAsia="宋体" w:cs="Times New Roman"/>
          <w:b/>
          <w:bCs/>
          <w:snapToGrid w:val="0"/>
          <w:color w:val="auto"/>
          <w:kern w:val="0"/>
          <w:sz w:val="28"/>
          <w:szCs w:val="44"/>
          <w:highlight w:val="none"/>
          <w:lang w:val="en-US" w:eastAsia="zh-CN" w:bidi="ar-SA"/>
        </w:rPr>
        <w:t>14 材料设备的供应和检测</w:t>
      </w:r>
      <w:bookmarkEnd w:id="3823"/>
      <w:bookmarkEnd w:id="3824"/>
      <w:bookmarkEnd w:id="3825"/>
      <w:bookmarkEnd w:id="3826"/>
      <w:bookmarkEnd w:id="3827"/>
      <w:bookmarkEnd w:id="3828"/>
      <w:bookmarkEnd w:id="3829"/>
      <w:bookmarkEnd w:id="3830"/>
      <w:bookmarkEnd w:id="3831"/>
      <w:bookmarkEnd w:id="3832"/>
      <w:bookmarkEnd w:id="3833"/>
    </w:p>
    <w:p w14:paraId="2C01DEF4">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34" w:name="_Toc11112"/>
      <w:bookmarkStart w:id="3835" w:name="_Toc21661"/>
      <w:bookmarkStart w:id="3836" w:name="_Toc2509"/>
      <w:bookmarkStart w:id="3837" w:name="_Toc302635990"/>
      <w:bookmarkStart w:id="3838" w:name="_Toc5120"/>
      <w:bookmarkStart w:id="3839" w:name="_Toc26984"/>
      <w:bookmarkStart w:id="3840" w:name="_Toc430"/>
      <w:bookmarkStart w:id="3841" w:name="_Toc9206"/>
      <w:bookmarkStart w:id="3842" w:name="_Toc31822"/>
      <w:bookmarkStart w:id="3843" w:name="_Toc17872"/>
      <w:bookmarkStart w:id="3844" w:name="_Toc305331473"/>
      <w:r>
        <w:rPr>
          <w:rFonts w:hint="eastAsia" w:ascii="宋体" w:hAnsi="宋体" w:eastAsia="宋体" w:cs="Times New Roman"/>
          <w:b/>
          <w:bCs/>
          <w:color w:val="auto"/>
          <w:kern w:val="0"/>
          <w:sz w:val="24"/>
          <w:szCs w:val="32"/>
          <w:highlight w:val="none"/>
          <w:lang w:val="en-US" w:eastAsia="zh-CN" w:bidi="ar-SA"/>
        </w:rPr>
        <w:t>14.1 发包人供应材料设备</w:t>
      </w:r>
      <w:bookmarkEnd w:id="3834"/>
      <w:bookmarkEnd w:id="3835"/>
      <w:bookmarkEnd w:id="3836"/>
      <w:bookmarkEnd w:id="3837"/>
      <w:bookmarkEnd w:id="3838"/>
      <w:bookmarkEnd w:id="3839"/>
      <w:bookmarkEnd w:id="3840"/>
      <w:bookmarkEnd w:id="3841"/>
      <w:bookmarkEnd w:id="3842"/>
      <w:bookmarkEnd w:id="3843"/>
      <w:bookmarkEnd w:id="3844"/>
    </w:p>
    <w:p w14:paraId="5E4679E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(1)发包人供应材料设备清单：</w:t>
      </w:r>
    </w:p>
    <w:p w14:paraId="2AB0FC96">
      <w:pPr>
        <w:spacing w:line="360" w:lineRule="auto"/>
        <w:jc w:val="center"/>
        <w:rPr>
          <w:rFonts w:hint="eastAsia" w:ascii="宋体" w:hAnsi="宋体" w:eastAsia="宋体" w:cs="Times New Roman"/>
          <w:b/>
          <w:bCs/>
          <w:color w:val="auto"/>
          <w:sz w:val="24"/>
          <w:szCs w:val="24"/>
          <w:highlight w:val="none"/>
        </w:rPr>
      </w:pPr>
      <w:r>
        <w:rPr>
          <w:rFonts w:hint="eastAsia" w:ascii="宋体" w:hAnsi="宋体" w:eastAsia="宋体" w:cs="Times New Roman"/>
          <w:b/>
          <w:color w:val="auto"/>
          <w:sz w:val="24"/>
          <w:szCs w:val="24"/>
          <w:highlight w:val="none"/>
        </w:rPr>
        <w:t>发包人供应材料设备清单</w:t>
      </w:r>
    </w:p>
    <w:tbl>
      <w:tblPr>
        <w:tblStyle w:val="40"/>
        <w:tblW w:w="8804" w:type="dxa"/>
        <w:tblInd w:w="9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206"/>
        <w:gridCol w:w="851"/>
        <w:gridCol w:w="1276"/>
        <w:gridCol w:w="850"/>
        <w:gridCol w:w="851"/>
        <w:gridCol w:w="850"/>
        <w:gridCol w:w="851"/>
        <w:gridCol w:w="850"/>
        <w:gridCol w:w="709"/>
      </w:tblGrid>
      <w:tr w14:paraId="392FCE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510" w:type="dxa"/>
            <w:noWrap/>
            <w:vAlign w:val="center"/>
          </w:tcPr>
          <w:p w14:paraId="75951F22">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w:t>
            </w:r>
          </w:p>
          <w:p w14:paraId="304AAA21">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号</w:t>
            </w:r>
          </w:p>
        </w:tc>
        <w:tc>
          <w:tcPr>
            <w:tcW w:w="1206" w:type="dxa"/>
            <w:noWrap/>
            <w:vAlign w:val="center"/>
          </w:tcPr>
          <w:p w14:paraId="6F079FD1">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材料设备</w:t>
            </w:r>
          </w:p>
          <w:p w14:paraId="29C988AF">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名称</w:t>
            </w:r>
          </w:p>
        </w:tc>
        <w:tc>
          <w:tcPr>
            <w:tcW w:w="851" w:type="dxa"/>
            <w:noWrap/>
            <w:vAlign w:val="center"/>
          </w:tcPr>
          <w:p w14:paraId="52313F22">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w:t>
            </w:r>
          </w:p>
          <w:p w14:paraId="3AEDF11E">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型号</w:t>
            </w:r>
          </w:p>
        </w:tc>
        <w:tc>
          <w:tcPr>
            <w:tcW w:w="1276" w:type="dxa"/>
            <w:noWrap/>
            <w:vAlign w:val="center"/>
          </w:tcPr>
          <w:p w14:paraId="2B0D20FF">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生产厂家</w:t>
            </w:r>
          </w:p>
        </w:tc>
        <w:tc>
          <w:tcPr>
            <w:tcW w:w="850" w:type="dxa"/>
            <w:noWrap/>
            <w:vAlign w:val="center"/>
          </w:tcPr>
          <w:p w14:paraId="02BF18C0">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w:t>
            </w:r>
          </w:p>
        </w:tc>
        <w:tc>
          <w:tcPr>
            <w:tcW w:w="851" w:type="dxa"/>
            <w:noWrap/>
            <w:vAlign w:val="center"/>
          </w:tcPr>
          <w:p w14:paraId="5336B374">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850" w:type="dxa"/>
            <w:noWrap/>
            <w:vAlign w:val="center"/>
          </w:tcPr>
          <w:p w14:paraId="0B90F982">
            <w:pPr>
              <w:widowControl/>
              <w:ind w:left="-105" w:right="-105"/>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w:t>
            </w:r>
          </w:p>
          <w:p w14:paraId="6DE5084A">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(元)</w:t>
            </w:r>
          </w:p>
        </w:tc>
        <w:tc>
          <w:tcPr>
            <w:tcW w:w="851" w:type="dxa"/>
            <w:noWrap/>
            <w:vAlign w:val="center"/>
          </w:tcPr>
          <w:p w14:paraId="7D5D0FB3">
            <w:pPr>
              <w:widowControl/>
              <w:ind w:left="-105" w:right="-105"/>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总价</w:t>
            </w:r>
          </w:p>
          <w:p w14:paraId="2290307D">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(元)</w:t>
            </w:r>
          </w:p>
        </w:tc>
        <w:tc>
          <w:tcPr>
            <w:tcW w:w="850" w:type="dxa"/>
            <w:noWrap/>
            <w:vAlign w:val="center"/>
          </w:tcPr>
          <w:p w14:paraId="56EA7591">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w:t>
            </w:r>
          </w:p>
          <w:p w14:paraId="1B68C575">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等级</w:t>
            </w:r>
          </w:p>
        </w:tc>
        <w:tc>
          <w:tcPr>
            <w:tcW w:w="709" w:type="dxa"/>
            <w:noWrap/>
            <w:vAlign w:val="center"/>
          </w:tcPr>
          <w:p w14:paraId="0898118A">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时间</w:t>
            </w:r>
          </w:p>
          <w:p w14:paraId="4778D57C">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地点</w:t>
            </w:r>
          </w:p>
        </w:tc>
      </w:tr>
      <w:tr w14:paraId="32E879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5144363D">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3A09B92A">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1B61A5CD">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42ED7A1C">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01BC8A42">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1406ABC">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5719AC78">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2004281D">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1ECE669B">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48268BDD">
            <w:pPr>
              <w:widowControl/>
              <w:spacing w:line="360" w:lineRule="auto"/>
              <w:jc w:val="left"/>
              <w:rPr>
                <w:rFonts w:ascii="宋体" w:hAnsi="宋体" w:eastAsia="宋体" w:cs="宋体"/>
                <w:color w:val="auto"/>
                <w:kern w:val="0"/>
                <w:sz w:val="24"/>
                <w:szCs w:val="24"/>
                <w:highlight w:val="none"/>
              </w:rPr>
            </w:pPr>
          </w:p>
        </w:tc>
      </w:tr>
      <w:tr w14:paraId="28917E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4994455C">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57AE6166">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B94022C">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2A4F1254">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1381508E">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585E5E50">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225396BA">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4D3C3E52">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6C0492BA">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74FBFEB8">
            <w:pPr>
              <w:widowControl/>
              <w:spacing w:line="360" w:lineRule="auto"/>
              <w:jc w:val="left"/>
              <w:rPr>
                <w:rFonts w:ascii="宋体" w:hAnsi="宋体" w:eastAsia="宋体" w:cs="宋体"/>
                <w:color w:val="auto"/>
                <w:kern w:val="0"/>
                <w:sz w:val="24"/>
                <w:szCs w:val="24"/>
                <w:highlight w:val="none"/>
              </w:rPr>
            </w:pPr>
          </w:p>
        </w:tc>
      </w:tr>
      <w:tr w14:paraId="13344E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4E9A8009">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21F855DC">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BDC730B">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432C4EB2">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2398BCB8">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06F63D17">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326BC3B0">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3BAD6E35">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5F4F6944">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65BC5831">
            <w:pPr>
              <w:widowControl/>
              <w:spacing w:line="360" w:lineRule="auto"/>
              <w:jc w:val="left"/>
              <w:rPr>
                <w:rFonts w:ascii="宋体" w:hAnsi="宋体" w:eastAsia="宋体" w:cs="宋体"/>
                <w:color w:val="auto"/>
                <w:kern w:val="0"/>
                <w:sz w:val="24"/>
                <w:szCs w:val="24"/>
                <w:highlight w:val="none"/>
              </w:rPr>
            </w:pPr>
          </w:p>
        </w:tc>
      </w:tr>
      <w:tr w14:paraId="557845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48C78E84">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0F8A071A">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5A6229E5">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7885916C">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01760B7B">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2E0FBB6A">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0FD70B33">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25C0E3F7">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28A454F1">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6739431F">
            <w:pPr>
              <w:widowControl/>
              <w:spacing w:line="360" w:lineRule="auto"/>
              <w:jc w:val="left"/>
              <w:rPr>
                <w:rFonts w:ascii="宋体" w:hAnsi="宋体" w:eastAsia="宋体" w:cs="宋体"/>
                <w:color w:val="auto"/>
                <w:kern w:val="0"/>
                <w:sz w:val="24"/>
                <w:szCs w:val="24"/>
                <w:highlight w:val="none"/>
              </w:rPr>
            </w:pPr>
          </w:p>
        </w:tc>
      </w:tr>
      <w:tr w14:paraId="284EED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023AAE12">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22ACFAEF">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6A655019">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2BEECE78">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249CD70D">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9B18C05">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30B7D4B4">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453C5F3">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1E8CF2E1">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7AE8B660">
            <w:pPr>
              <w:widowControl/>
              <w:spacing w:line="360" w:lineRule="auto"/>
              <w:jc w:val="left"/>
              <w:rPr>
                <w:rFonts w:ascii="宋体" w:hAnsi="宋体" w:eastAsia="宋体" w:cs="宋体"/>
                <w:color w:val="auto"/>
                <w:kern w:val="0"/>
                <w:sz w:val="24"/>
                <w:szCs w:val="24"/>
                <w:highlight w:val="none"/>
              </w:rPr>
            </w:pPr>
          </w:p>
        </w:tc>
      </w:tr>
      <w:tr w14:paraId="5C2334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6ACE354D">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257EA3C8">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D2F0536">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00F15B04">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10607424">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4DD648EA">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5005FB58">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7CB5E40D">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7CFC1B53">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36600332">
            <w:pPr>
              <w:widowControl/>
              <w:spacing w:line="360" w:lineRule="auto"/>
              <w:jc w:val="left"/>
              <w:rPr>
                <w:rFonts w:ascii="宋体" w:hAnsi="宋体" w:eastAsia="宋体" w:cs="宋体"/>
                <w:color w:val="auto"/>
                <w:kern w:val="0"/>
                <w:sz w:val="24"/>
                <w:szCs w:val="24"/>
                <w:highlight w:val="none"/>
              </w:rPr>
            </w:pPr>
          </w:p>
        </w:tc>
      </w:tr>
      <w:tr w14:paraId="2534DB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0F6E59BB">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14:paraId="4C47D725">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2830F52B">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14:paraId="2257A35D">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0C1DBD96">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11DAB530">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78312BC6">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14:paraId="3A8E40FD">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14:paraId="740CE7AD">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14:paraId="53D2A3DD">
            <w:pPr>
              <w:widowControl/>
              <w:spacing w:line="360" w:lineRule="auto"/>
              <w:jc w:val="left"/>
              <w:rPr>
                <w:rFonts w:ascii="宋体" w:hAnsi="宋体" w:eastAsia="宋体" w:cs="宋体"/>
                <w:color w:val="auto"/>
                <w:kern w:val="0"/>
                <w:sz w:val="24"/>
                <w:szCs w:val="24"/>
                <w:highlight w:val="none"/>
              </w:rPr>
            </w:pPr>
          </w:p>
        </w:tc>
      </w:tr>
    </w:tbl>
    <w:p w14:paraId="47D3C964">
      <w:pPr>
        <w:spacing w:line="360" w:lineRule="auto"/>
        <w:ind w:firstLine="480"/>
        <w:rPr>
          <w:rFonts w:hint="eastAsia" w:ascii="宋体" w:hAnsi="宋体" w:eastAsia="宋体" w:cs="Times New Roman"/>
          <w:color w:val="auto"/>
          <w:sz w:val="24"/>
          <w:szCs w:val="24"/>
          <w:highlight w:val="none"/>
          <w:u w:val="single"/>
        </w:rPr>
      </w:pPr>
    </w:p>
    <w:p w14:paraId="2527C53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(3)发包人供应材料设备保管费(包括装卸费)的费率为：</w:t>
      </w:r>
      <w:r>
        <w:rPr>
          <w:rFonts w:hint="eastAsia" w:ascii="宋体" w:hAnsi="宋体" w:eastAsia="宋体" w:cs="Times New Roman"/>
          <w:color w:val="auto"/>
          <w:kern w:val="0"/>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kern w:val="0"/>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40C80F40">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45" w:name="_Toc2885"/>
      <w:bookmarkStart w:id="3846" w:name="_Toc15386"/>
      <w:bookmarkStart w:id="3847" w:name="_Toc21134"/>
      <w:bookmarkStart w:id="3848" w:name="_Toc9387"/>
      <w:bookmarkStart w:id="3849" w:name="_Toc305331474"/>
      <w:bookmarkStart w:id="3850" w:name="_Toc302635991"/>
      <w:bookmarkStart w:id="3851" w:name="_Toc21734"/>
      <w:bookmarkStart w:id="3852" w:name="_Toc13481"/>
      <w:bookmarkStart w:id="3853" w:name="_Toc16692"/>
      <w:bookmarkStart w:id="3854" w:name="_Toc16993"/>
      <w:bookmarkStart w:id="3855" w:name="_Toc15473"/>
      <w:r>
        <w:rPr>
          <w:rFonts w:hint="eastAsia" w:ascii="宋体" w:hAnsi="宋体" w:eastAsia="宋体" w:cs="Times New Roman"/>
          <w:b/>
          <w:bCs/>
          <w:color w:val="auto"/>
          <w:kern w:val="0"/>
          <w:sz w:val="24"/>
          <w:szCs w:val="32"/>
          <w:highlight w:val="none"/>
          <w:lang w:val="en-US" w:eastAsia="zh-CN" w:bidi="ar-SA"/>
        </w:rPr>
        <w:t>14.2 发包人供应材料设备的结算</w:t>
      </w:r>
      <w:bookmarkEnd w:id="3845"/>
      <w:bookmarkEnd w:id="3846"/>
      <w:bookmarkEnd w:id="3847"/>
      <w:bookmarkEnd w:id="3848"/>
      <w:bookmarkEnd w:id="3849"/>
      <w:bookmarkEnd w:id="3850"/>
      <w:bookmarkEnd w:id="3851"/>
      <w:bookmarkEnd w:id="3852"/>
      <w:bookmarkEnd w:id="3853"/>
      <w:bookmarkEnd w:id="3854"/>
      <w:bookmarkEnd w:id="3855"/>
    </w:p>
    <w:p w14:paraId="6F68ED59">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发包人供应材料设备的结算</w:t>
      </w:r>
      <w:r>
        <w:rPr>
          <w:rFonts w:hint="eastAsia" w:ascii="宋体" w:hAnsi="宋体" w:eastAsia="宋体" w:cs="Times New Roman"/>
          <w:bCs/>
          <w:color w:val="auto"/>
          <w:sz w:val="24"/>
          <w:szCs w:val="24"/>
          <w:highlight w:val="none"/>
        </w:rPr>
        <w:t>方式</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4936AAC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73F3852B">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4A9EE05">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 xml:space="preserve"> (3)承包人实际使用量小于合理数量时节约的费用分配方式：</w:t>
      </w:r>
      <w:r>
        <w:rPr>
          <w:rFonts w:hint="eastAsia" w:ascii="宋体" w:hAnsi="宋体" w:eastAsia="宋体" w:cs="Times New Roman"/>
          <w:color w:val="auto"/>
          <w:sz w:val="24"/>
          <w:szCs w:val="24"/>
          <w:highlight w:val="none"/>
          <w:u w:val="single"/>
        </w:rPr>
        <w:t xml:space="preserve">                  </w:t>
      </w:r>
    </w:p>
    <w:p w14:paraId="64DD7171">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673B515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6E6AD663">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56" w:name="_Toc9737"/>
      <w:bookmarkStart w:id="3857" w:name="_Toc305331475"/>
      <w:bookmarkStart w:id="3858" w:name="_Toc20537"/>
      <w:bookmarkStart w:id="3859" w:name="_Toc14692"/>
      <w:bookmarkStart w:id="3860" w:name="_Toc302635992"/>
      <w:bookmarkStart w:id="3861" w:name="_Toc2830"/>
      <w:bookmarkStart w:id="3862" w:name="_Toc27079"/>
      <w:bookmarkStart w:id="3863" w:name="_Toc32428"/>
      <w:bookmarkStart w:id="3864" w:name="_Toc14128"/>
      <w:bookmarkStart w:id="3865" w:name="_Toc29316"/>
      <w:bookmarkStart w:id="3866" w:name="_Toc1662"/>
      <w:r>
        <w:rPr>
          <w:rFonts w:hint="eastAsia" w:ascii="宋体" w:hAnsi="宋体" w:eastAsia="宋体" w:cs="Times New Roman"/>
          <w:b/>
          <w:bCs/>
          <w:color w:val="auto"/>
          <w:kern w:val="0"/>
          <w:sz w:val="24"/>
          <w:szCs w:val="32"/>
          <w:highlight w:val="none"/>
          <w:lang w:val="en-US" w:eastAsia="zh-CN" w:bidi="ar-SA"/>
        </w:rPr>
        <w:t>14.4 承包人采购材料设备</w:t>
      </w:r>
      <w:bookmarkEnd w:id="3856"/>
      <w:bookmarkEnd w:id="3857"/>
      <w:bookmarkEnd w:id="3858"/>
      <w:bookmarkEnd w:id="3859"/>
      <w:bookmarkEnd w:id="3860"/>
      <w:bookmarkEnd w:id="3861"/>
      <w:bookmarkEnd w:id="3862"/>
      <w:bookmarkEnd w:id="3863"/>
      <w:bookmarkEnd w:id="3864"/>
      <w:bookmarkEnd w:id="3865"/>
      <w:bookmarkEnd w:id="3866"/>
    </w:p>
    <w:p w14:paraId="6A7F0009">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承包人采购材料设备的约定：</w:t>
      </w:r>
      <w:r>
        <w:rPr>
          <w:rFonts w:hint="eastAsia" w:ascii="宋体" w:hAnsi="宋体" w:eastAsia="宋体" w:cs="Times New Roman"/>
          <w:color w:val="auto"/>
          <w:sz w:val="24"/>
          <w:szCs w:val="24"/>
          <w:highlight w:val="none"/>
          <w:u w:val="single"/>
        </w:rPr>
        <w:t xml:space="preserve">                                              </w:t>
      </w:r>
    </w:p>
    <w:p w14:paraId="25E962BD">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040EF7F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00706B4A">
      <w:pPr>
        <w:spacing w:line="360" w:lineRule="auto"/>
        <w:jc w:val="center"/>
        <w:rPr>
          <w:rFonts w:hint="eastAsia" w:ascii="宋体" w:hAnsi="宋体" w:eastAsia="宋体" w:cs="Times New Roman"/>
          <w:b/>
          <w:bCs/>
          <w:color w:val="auto"/>
          <w:sz w:val="24"/>
          <w:szCs w:val="24"/>
          <w:highlight w:val="none"/>
        </w:rPr>
      </w:pPr>
      <w:r>
        <w:rPr>
          <w:rFonts w:hint="eastAsia" w:ascii="宋体" w:hAnsi="宋体" w:eastAsia="宋体" w:cs="Times New Roman"/>
          <w:b/>
          <w:color w:val="auto"/>
          <w:sz w:val="24"/>
          <w:szCs w:val="24"/>
          <w:highlight w:val="none"/>
        </w:rPr>
        <w:t>主要材料</w:t>
      </w:r>
      <w:r>
        <w:rPr>
          <w:rFonts w:hint="eastAsia" w:ascii="宋体" w:hAnsi="宋体" w:eastAsia="宋体" w:cs="Times New Roman"/>
          <w:b/>
          <w:bCs/>
          <w:color w:val="auto"/>
          <w:sz w:val="24"/>
          <w:szCs w:val="24"/>
          <w:highlight w:val="none"/>
        </w:rPr>
        <w:t>设备限定品牌范围表</w:t>
      </w:r>
    </w:p>
    <w:tbl>
      <w:tblPr>
        <w:tblStyle w:val="40"/>
        <w:tblW w:w="0" w:type="auto"/>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20"/>
        <w:gridCol w:w="2160"/>
        <w:gridCol w:w="5714"/>
      </w:tblGrid>
      <w:tr w14:paraId="068ADB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41DCC841">
            <w:pPr>
              <w:spacing w:line="360" w:lineRule="auto"/>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41C9FE3E">
            <w:pPr>
              <w:spacing w:line="360" w:lineRule="auto"/>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主要材料设备名称</w:t>
            </w:r>
          </w:p>
        </w:tc>
        <w:tc>
          <w:tcPr>
            <w:tcW w:w="5714" w:type="dxa"/>
            <w:tcBorders>
              <w:top w:val="single" w:color="auto" w:sz="4" w:space="0"/>
              <w:left w:val="single" w:color="auto" w:sz="4" w:space="0"/>
              <w:bottom w:val="single" w:color="auto" w:sz="4" w:space="0"/>
              <w:right w:val="single" w:color="auto" w:sz="4" w:space="0"/>
            </w:tcBorders>
            <w:noWrap w:val="0"/>
            <w:vAlign w:val="center"/>
          </w:tcPr>
          <w:p w14:paraId="354F9E48">
            <w:pPr>
              <w:spacing w:line="360" w:lineRule="auto"/>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限定品牌范围(不少于三个)</w:t>
            </w:r>
          </w:p>
        </w:tc>
      </w:tr>
      <w:tr w14:paraId="1B0683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48625AAC">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2160" w:type="dxa"/>
            <w:tcBorders>
              <w:top w:val="single" w:color="auto" w:sz="4" w:space="0"/>
              <w:left w:val="single" w:color="auto" w:sz="4" w:space="0"/>
              <w:bottom w:val="single" w:color="auto" w:sz="4" w:space="0"/>
              <w:right w:val="single" w:color="auto" w:sz="4" w:space="0"/>
            </w:tcBorders>
            <w:noWrap w:val="0"/>
            <w:vAlign w:val="bottom"/>
          </w:tcPr>
          <w:p w14:paraId="584AA025">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14:paraId="3BA27D31">
            <w:pPr>
              <w:spacing w:line="360" w:lineRule="auto"/>
              <w:rPr>
                <w:rFonts w:ascii="宋体" w:hAnsi="宋体" w:eastAsia="宋体" w:cs="Times New Roman"/>
                <w:color w:val="auto"/>
                <w:sz w:val="24"/>
                <w:szCs w:val="24"/>
                <w:highlight w:val="none"/>
              </w:rPr>
            </w:pPr>
          </w:p>
        </w:tc>
      </w:tr>
      <w:tr w14:paraId="22A736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57FDC567">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2160" w:type="dxa"/>
            <w:tcBorders>
              <w:top w:val="single" w:color="auto" w:sz="4" w:space="0"/>
              <w:left w:val="single" w:color="auto" w:sz="4" w:space="0"/>
              <w:bottom w:val="single" w:color="auto" w:sz="4" w:space="0"/>
              <w:right w:val="single" w:color="auto" w:sz="4" w:space="0"/>
            </w:tcBorders>
            <w:noWrap w:val="0"/>
            <w:vAlign w:val="bottom"/>
          </w:tcPr>
          <w:p w14:paraId="45A2AC10">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14:paraId="48B1F373">
            <w:pPr>
              <w:spacing w:line="360" w:lineRule="auto"/>
              <w:rPr>
                <w:rFonts w:ascii="宋体" w:hAnsi="宋体" w:eastAsia="宋体" w:cs="Times New Roman"/>
                <w:color w:val="auto"/>
                <w:sz w:val="24"/>
                <w:szCs w:val="24"/>
                <w:highlight w:val="none"/>
              </w:rPr>
            </w:pPr>
          </w:p>
        </w:tc>
      </w:tr>
      <w:tr w14:paraId="723652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56DD69C1">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2160" w:type="dxa"/>
            <w:tcBorders>
              <w:top w:val="single" w:color="auto" w:sz="4" w:space="0"/>
              <w:left w:val="single" w:color="auto" w:sz="4" w:space="0"/>
              <w:bottom w:val="single" w:color="auto" w:sz="4" w:space="0"/>
              <w:right w:val="single" w:color="auto" w:sz="4" w:space="0"/>
            </w:tcBorders>
            <w:noWrap w:val="0"/>
            <w:vAlign w:val="bottom"/>
          </w:tcPr>
          <w:p w14:paraId="19E10C25">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14:paraId="5A9FABBC">
            <w:pPr>
              <w:spacing w:line="360" w:lineRule="auto"/>
              <w:rPr>
                <w:rFonts w:ascii="宋体" w:hAnsi="宋体" w:eastAsia="宋体" w:cs="Times New Roman"/>
                <w:color w:val="auto"/>
                <w:sz w:val="24"/>
                <w:szCs w:val="24"/>
                <w:highlight w:val="none"/>
              </w:rPr>
            </w:pPr>
          </w:p>
        </w:tc>
      </w:tr>
      <w:tr w14:paraId="706477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67FF3B4B">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2160" w:type="dxa"/>
            <w:tcBorders>
              <w:top w:val="single" w:color="auto" w:sz="4" w:space="0"/>
              <w:left w:val="single" w:color="auto" w:sz="4" w:space="0"/>
              <w:bottom w:val="single" w:color="auto" w:sz="4" w:space="0"/>
              <w:right w:val="single" w:color="auto" w:sz="4" w:space="0"/>
            </w:tcBorders>
            <w:noWrap w:val="0"/>
            <w:vAlign w:val="bottom"/>
          </w:tcPr>
          <w:p w14:paraId="43E6498B">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14:paraId="236A34F7">
            <w:pPr>
              <w:spacing w:line="360" w:lineRule="auto"/>
              <w:rPr>
                <w:rFonts w:ascii="宋体" w:hAnsi="宋体" w:eastAsia="宋体" w:cs="Times New Roman"/>
                <w:color w:val="auto"/>
                <w:sz w:val="24"/>
                <w:szCs w:val="24"/>
                <w:highlight w:val="none"/>
              </w:rPr>
            </w:pPr>
          </w:p>
        </w:tc>
      </w:tr>
      <w:tr w14:paraId="60D246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29CF9C51">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2160" w:type="dxa"/>
            <w:tcBorders>
              <w:top w:val="single" w:color="auto" w:sz="4" w:space="0"/>
              <w:left w:val="single" w:color="auto" w:sz="4" w:space="0"/>
              <w:bottom w:val="single" w:color="auto" w:sz="4" w:space="0"/>
              <w:right w:val="single" w:color="auto" w:sz="4" w:space="0"/>
            </w:tcBorders>
            <w:noWrap w:val="0"/>
            <w:vAlign w:val="bottom"/>
          </w:tcPr>
          <w:p w14:paraId="769E68A0">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14:paraId="20938CF5">
            <w:pPr>
              <w:spacing w:line="360" w:lineRule="auto"/>
              <w:rPr>
                <w:rFonts w:ascii="宋体" w:hAnsi="宋体" w:eastAsia="宋体" w:cs="Times New Roman"/>
                <w:color w:val="auto"/>
                <w:sz w:val="24"/>
                <w:szCs w:val="24"/>
                <w:highlight w:val="none"/>
              </w:rPr>
            </w:pPr>
          </w:p>
        </w:tc>
      </w:tr>
      <w:tr w14:paraId="16CAE7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602A79ED">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2160" w:type="dxa"/>
            <w:tcBorders>
              <w:top w:val="single" w:color="auto" w:sz="4" w:space="0"/>
              <w:left w:val="single" w:color="auto" w:sz="4" w:space="0"/>
              <w:bottom w:val="single" w:color="auto" w:sz="4" w:space="0"/>
              <w:right w:val="single" w:color="auto" w:sz="4" w:space="0"/>
            </w:tcBorders>
            <w:noWrap w:val="0"/>
            <w:vAlign w:val="bottom"/>
          </w:tcPr>
          <w:p w14:paraId="3A395460">
            <w:pPr>
              <w:spacing w:line="360" w:lineRule="auto"/>
              <w:rPr>
                <w:rFonts w:hint="eastAsia"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14:paraId="119A556C">
            <w:pPr>
              <w:spacing w:line="360" w:lineRule="auto"/>
              <w:rPr>
                <w:rFonts w:hint="eastAsia" w:ascii="宋体" w:hAnsi="宋体" w:eastAsia="宋体" w:cs="Times New Roman"/>
                <w:color w:val="auto"/>
                <w:sz w:val="24"/>
                <w:szCs w:val="24"/>
                <w:highlight w:val="none"/>
              </w:rPr>
            </w:pPr>
          </w:p>
        </w:tc>
      </w:tr>
    </w:tbl>
    <w:p w14:paraId="7753BBA8">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67" w:name="_Toc32390"/>
      <w:bookmarkStart w:id="3868" w:name="_Toc25773"/>
      <w:bookmarkStart w:id="3869" w:name="_Toc12919"/>
      <w:bookmarkStart w:id="3870" w:name="_Toc17778"/>
      <w:bookmarkStart w:id="3871" w:name="_Toc32466"/>
      <w:bookmarkStart w:id="3872" w:name="_Toc26563"/>
      <w:bookmarkStart w:id="3873" w:name="_Toc16995"/>
      <w:bookmarkStart w:id="3874" w:name="_Toc21840"/>
      <w:bookmarkStart w:id="3875" w:name="_Toc6572"/>
      <w:bookmarkStart w:id="3876" w:name="_Toc302635993"/>
      <w:bookmarkStart w:id="3877" w:name="_Toc305331476"/>
      <w:r>
        <w:rPr>
          <w:rFonts w:hint="eastAsia" w:ascii="宋体" w:hAnsi="宋体" w:eastAsia="宋体" w:cs="Times New Roman"/>
          <w:b/>
          <w:bCs/>
          <w:color w:val="auto"/>
          <w:kern w:val="0"/>
          <w:sz w:val="24"/>
          <w:szCs w:val="32"/>
          <w:highlight w:val="none"/>
          <w:lang w:val="en-US" w:eastAsia="zh-CN" w:bidi="ar-SA"/>
        </w:rPr>
        <w:t>14.6 材料和工程设备的替代</w:t>
      </w:r>
      <w:bookmarkEnd w:id="3867"/>
      <w:bookmarkEnd w:id="3868"/>
      <w:bookmarkEnd w:id="3869"/>
      <w:bookmarkEnd w:id="3870"/>
      <w:bookmarkEnd w:id="3871"/>
      <w:bookmarkEnd w:id="3872"/>
      <w:bookmarkEnd w:id="3873"/>
      <w:bookmarkEnd w:id="3874"/>
      <w:bookmarkEnd w:id="3875"/>
    </w:p>
    <w:p w14:paraId="584515E7">
      <w:pPr>
        <w:spacing w:line="360" w:lineRule="auto"/>
        <w:ind w:firstLine="480"/>
        <w:jc w:val="left"/>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(2)承包人需使用替代材料设备应向监理人提出申请的时限：</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，监理人应发出书面指示的时限：</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E30054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使用替代材料设备增减合同价格和产生费用的承担方式：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242685A5">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78" w:name="_Toc14586"/>
      <w:bookmarkStart w:id="3879" w:name="_Toc22589"/>
      <w:bookmarkStart w:id="3880" w:name="_Toc7087"/>
      <w:bookmarkStart w:id="3881" w:name="_Toc6364"/>
      <w:bookmarkStart w:id="3882" w:name="_Toc19946"/>
      <w:bookmarkStart w:id="3883" w:name="_Toc8867"/>
      <w:bookmarkStart w:id="3884" w:name="_Toc6361"/>
      <w:bookmarkStart w:id="3885" w:name="_Toc11388"/>
      <w:bookmarkStart w:id="3886" w:name="_Toc27211"/>
      <w:r>
        <w:rPr>
          <w:rFonts w:hint="eastAsia" w:ascii="宋体" w:hAnsi="宋体" w:eastAsia="宋体" w:cs="Times New Roman"/>
          <w:b/>
          <w:bCs/>
          <w:color w:val="auto"/>
          <w:kern w:val="0"/>
          <w:sz w:val="24"/>
          <w:szCs w:val="32"/>
          <w:highlight w:val="none"/>
          <w:lang w:val="en-US" w:eastAsia="zh-CN" w:bidi="ar-SA"/>
        </w:rPr>
        <w:t>14.7 材料设备的检验</w:t>
      </w:r>
      <w:bookmarkEnd w:id="3876"/>
      <w:bookmarkEnd w:id="3877"/>
      <w:bookmarkEnd w:id="3878"/>
      <w:bookmarkEnd w:id="3879"/>
      <w:bookmarkEnd w:id="3880"/>
      <w:bookmarkEnd w:id="3881"/>
      <w:bookmarkEnd w:id="3882"/>
      <w:bookmarkEnd w:id="3883"/>
      <w:bookmarkEnd w:id="3884"/>
      <w:bookmarkEnd w:id="3885"/>
      <w:bookmarkEnd w:id="3886"/>
    </w:p>
    <w:p w14:paraId="4358DE2F">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(1)用于本工程的材料设备的检验要求：</w:t>
      </w:r>
      <w:r>
        <w:rPr>
          <w:rFonts w:hint="eastAsia" w:ascii="宋体" w:hAnsi="宋体" w:eastAsia="宋体" w:cs="Times New Roman"/>
          <w:color w:val="auto"/>
          <w:sz w:val="24"/>
          <w:szCs w:val="24"/>
          <w:highlight w:val="none"/>
          <w:u w:val="single"/>
        </w:rPr>
        <w:t xml:space="preserve">                                    </w:t>
      </w:r>
    </w:p>
    <w:p w14:paraId="5A49224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AE5DE10">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3022D0EC">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3C0A1D6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750BBCD1">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本工程的材料设备检验机构为：</w:t>
      </w:r>
      <w:r>
        <w:rPr>
          <w:rFonts w:hint="eastAsia" w:ascii="宋体" w:hAnsi="宋体" w:eastAsia="宋体" w:cs="Times New Roman"/>
          <w:color w:val="auto"/>
          <w:sz w:val="24"/>
          <w:szCs w:val="24"/>
          <w:highlight w:val="none"/>
          <w:u w:val="single"/>
        </w:rPr>
        <w:t xml:space="preserve">                                            </w:t>
      </w:r>
    </w:p>
    <w:p w14:paraId="7B617F67">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887" w:name="_Toc305331477"/>
      <w:bookmarkStart w:id="3888" w:name="_Toc302635994"/>
      <w:bookmarkStart w:id="3889" w:name="_Toc5981"/>
      <w:bookmarkStart w:id="3890" w:name="_Toc2222"/>
      <w:bookmarkStart w:id="3891" w:name="_Toc25987"/>
      <w:bookmarkStart w:id="3892" w:name="_Toc17436"/>
      <w:bookmarkStart w:id="3893" w:name="_Toc7686"/>
      <w:bookmarkStart w:id="3894" w:name="_Toc17001"/>
      <w:bookmarkStart w:id="3895" w:name="_Toc2017"/>
      <w:bookmarkStart w:id="3896" w:name="_Toc14612"/>
      <w:bookmarkStart w:id="3897" w:name="_Toc20892"/>
      <w:r>
        <w:rPr>
          <w:rFonts w:hint="eastAsia" w:ascii="华文细黑" w:hAnsi="宋体" w:eastAsia="宋体" w:cs="Times New Roman"/>
          <w:b/>
          <w:bCs/>
          <w:snapToGrid w:val="0"/>
          <w:color w:val="auto"/>
          <w:kern w:val="0"/>
          <w:sz w:val="28"/>
          <w:szCs w:val="44"/>
          <w:highlight w:val="none"/>
          <w:lang w:val="en-US" w:eastAsia="zh-CN" w:bidi="ar-SA"/>
        </w:rPr>
        <w:t>15 工程质量和检测</w:t>
      </w:r>
      <w:bookmarkEnd w:id="3887"/>
      <w:bookmarkEnd w:id="3888"/>
      <w:bookmarkEnd w:id="3889"/>
      <w:bookmarkEnd w:id="3890"/>
      <w:bookmarkEnd w:id="3891"/>
      <w:bookmarkEnd w:id="3892"/>
      <w:bookmarkEnd w:id="3893"/>
      <w:bookmarkEnd w:id="3894"/>
      <w:bookmarkEnd w:id="3895"/>
      <w:bookmarkEnd w:id="3896"/>
      <w:bookmarkEnd w:id="3897"/>
    </w:p>
    <w:p w14:paraId="1839D2A5">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98" w:name="_Toc302635995"/>
      <w:bookmarkStart w:id="3899" w:name="_Toc305331478"/>
      <w:bookmarkStart w:id="3900" w:name="_Toc27517"/>
      <w:bookmarkStart w:id="3901" w:name="_Toc1473"/>
      <w:bookmarkStart w:id="3902" w:name="_Toc14221"/>
      <w:bookmarkStart w:id="3903" w:name="_Toc32336"/>
      <w:bookmarkStart w:id="3904" w:name="_Toc28114"/>
      <w:bookmarkStart w:id="3905" w:name="_Toc11797"/>
      <w:bookmarkStart w:id="3906" w:name="_Toc2634"/>
      <w:bookmarkStart w:id="3907" w:name="_Toc7866"/>
      <w:bookmarkStart w:id="3908" w:name="_Toc19571"/>
      <w:r>
        <w:rPr>
          <w:rFonts w:hint="eastAsia" w:ascii="宋体" w:hAnsi="宋体" w:eastAsia="宋体" w:cs="Times New Roman"/>
          <w:b/>
          <w:bCs/>
          <w:color w:val="auto"/>
          <w:kern w:val="0"/>
          <w:sz w:val="24"/>
          <w:szCs w:val="32"/>
          <w:highlight w:val="none"/>
          <w:lang w:val="en-US" w:eastAsia="zh-CN" w:bidi="ar-SA"/>
        </w:rPr>
        <w:t>15.7 工程质量</w:t>
      </w:r>
      <w:bookmarkEnd w:id="3898"/>
      <w:bookmarkEnd w:id="3899"/>
      <w:r>
        <w:rPr>
          <w:rFonts w:hint="eastAsia" w:ascii="宋体" w:hAnsi="宋体" w:eastAsia="宋体" w:cs="Times New Roman"/>
          <w:b/>
          <w:bCs/>
          <w:color w:val="auto"/>
          <w:kern w:val="0"/>
          <w:sz w:val="24"/>
          <w:szCs w:val="32"/>
          <w:highlight w:val="none"/>
          <w:lang w:val="en-US" w:eastAsia="zh-CN" w:bidi="ar-SA"/>
        </w:rPr>
        <w:t>检测费用</w:t>
      </w:r>
      <w:bookmarkEnd w:id="3900"/>
      <w:bookmarkEnd w:id="3901"/>
      <w:bookmarkEnd w:id="3902"/>
      <w:bookmarkEnd w:id="3903"/>
      <w:bookmarkEnd w:id="3904"/>
      <w:bookmarkEnd w:id="3905"/>
      <w:bookmarkEnd w:id="3906"/>
      <w:bookmarkEnd w:id="3907"/>
      <w:bookmarkEnd w:id="3908"/>
    </w:p>
    <w:p w14:paraId="1BA6924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本工程质量检验检测项目包括：</w:t>
      </w:r>
      <w:r>
        <w:rPr>
          <w:rFonts w:hint="eastAsia" w:ascii="宋体" w:hAnsi="宋体" w:eastAsia="宋体" w:cs="Times New Roman"/>
          <w:color w:val="auto"/>
          <w:sz w:val="24"/>
          <w:szCs w:val="24"/>
          <w:highlight w:val="none"/>
          <w:u w:val="single"/>
        </w:rPr>
        <w:t xml:space="preserve">                                            </w:t>
      </w:r>
    </w:p>
    <w:p w14:paraId="32E3E46E">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3A8E40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894E7B6">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909" w:name="_Toc17420"/>
      <w:bookmarkStart w:id="3910" w:name="_Toc302635996"/>
      <w:bookmarkStart w:id="3911" w:name="_Toc21326"/>
      <w:bookmarkStart w:id="3912" w:name="_Toc12910"/>
      <w:bookmarkStart w:id="3913" w:name="_Toc23859"/>
      <w:bookmarkStart w:id="3914" w:name="_Toc7311"/>
      <w:bookmarkStart w:id="3915" w:name="_Toc305331479"/>
      <w:bookmarkStart w:id="3916" w:name="_Toc10385"/>
      <w:bookmarkStart w:id="3917" w:name="_Toc11133"/>
      <w:bookmarkStart w:id="3918" w:name="_Toc31693"/>
      <w:bookmarkStart w:id="3919" w:name="_Toc1049"/>
      <w:r>
        <w:rPr>
          <w:rFonts w:hint="eastAsia" w:ascii="华文细黑" w:hAnsi="宋体" w:eastAsia="宋体" w:cs="Times New Roman"/>
          <w:b/>
          <w:bCs/>
          <w:snapToGrid w:val="0"/>
          <w:color w:val="auto"/>
          <w:kern w:val="0"/>
          <w:sz w:val="28"/>
          <w:szCs w:val="44"/>
          <w:highlight w:val="none"/>
          <w:lang w:val="en-US" w:eastAsia="zh-CN" w:bidi="ar-SA"/>
        </w:rPr>
        <w:t>16 工程试运行</w:t>
      </w:r>
      <w:bookmarkEnd w:id="3909"/>
      <w:bookmarkEnd w:id="3910"/>
      <w:bookmarkEnd w:id="3911"/>
      <w:bookmarkEnd w:id="3912"/>
      <w:bookmarkEnd w:id="3913"/>
      <w:bookmarkEnd w:id="3914"/>
      <w:bookmarkEnd w:id="3915"/>
      <w:bookmarkEnd w:id="3916"/>
      <w:bookmarkEnd w:id="3917"/>
      <w:bookmarkEnd w:id="3918"/>
      <w:bookmarkEnd w:id="3919"/>
    </w:p>
    <w:p w14:paraId="6EA6B29C">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920" w:name="_Toc6124"/>
      <w:bookmarkStart w:id="3921" w:name="_Toc302635997"/>
      <w:bookmarkStart w:id="3922" w:name="_Toc2134"/>
      <w:bookmarkStart w:id="3923" w:name="_Toc305331480"/>
      <w:bookmarkStart w:id="3924" w:name="_Toc22767"/>
      <w:bookmarkStart w:id="3925" w:name="_Toc21873"/>
      <w:bookmarkStart w:id="3926" w:name="_Toc25634"/>
      <w:bookmarkStart w:id="3927" w:name="_Toc18253"/>
      <w:bookmarkStart w:id="3928" w:name="_Toc24347"/>
      <w:bookmarkStart w:id="3929" w:name="_Toc8330"/>
      <w:bookmarkStart w:id="3930" w:name="_Toc18618"/>
      <w:r>
        <w:rPr>
          <w:rFonts w:hint="eastAsia" w:ascii="宋体" w:hAnsi="宋体" w:eastAsia="宋体" w:cs="Times New Roman"/>
          <w:b/>
          <w:bCs/>
          <w:color w:val="auto"/>
          <w:kern w:val="0"/>
          <w:sz w:val="24"/>
          <w:szCs w:val="32"/>
          <w:highlight w:val="none"/>
          <w:lang w:val="en-US" w:eastAsia="zh-CN" w:bidi="ar-SA"/>
        </w:rPr>
        <w:t>16.1 工程试运行内容和程序</w:t>
      </w:r>
      <w:bookmarkEnd w:id="3920"/>
      <w:bookmarkEnd w:id="3921"/>
      <w:bookmarkEnd w:id="3922"/>
      <w:bookmarkEnd w:id="3923"/>
      <w:bookmarkEnd w:id="3924"/>
      <w:bookmarkEnd w:id="3925"/>
      <w:bookmarkEnd w:id="3926"/>
      <w:bookmarkEnd w:id="3927"/>
      <w:bookmarkEnd w:id="3928"/>
      <w:bookmarkEnd w:id="3929"/>
      <w:bookmarkEnd w:id="3930"/>
    </w:p>
    <w:p w14:paraId="6ED3A377">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工程试运行的内容及其费用承担方式：</w:t>
      </w:r>
      <w:r>
        <w:rPr>
          <w:rFonts w:hint="eastAsia" w:ascii="宋体" w:hAnsi="宋体" w:eastAsia="宋体" w:cs="Times New Roman"/>
          <w:bCs/>
          <w:color w:val="auto"/>
          <w:sz w:val="24"/>
          <w:szCs w:val="24"/>
          <w:highlight w:val="none"/>
          <w:u w:val="single"/>
        </w:rPr>
        <w:t xml:space="preserve">                                       </w:t>
      </w:r>
    </w:p>
    <w:p w14:paraId="3378B2D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E4FE8E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653A57CB">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931" w:name="_Toc15766"/>
      <w:bookmarkStart w:id="3932" w:name="_Toc3223"/>
      <w:bookmarkStart w:id="3933" w:name="_Toc12142"/>
      <w:bookmarkStart w:id="3934" w:name="_Toc22076"/>
      <w:bookmarkStart w:id="3935" w:name="_Toc29786"/>
      <w:bookmarkStart w:id="3936" w:name="_Toc1469"/>
      <w:bookmarkStart w:id="3937" w:name="_Toc5211"/>
      <w:bookmarkStart w:id="3938" w:name="_Toc305331481"/>
      <w:bookmarkStart w:id="3939" w:name="_Toc302635998"/>
      <w:bookmarkStart w:id="3940" w:name="_Toc37"/>
      <w:bookmarkStart w:id="3941" w:name="_Toc10774"/>
      <w:r>
        <w:rPr>
          <w:rFonts w:hint="eastAsia" w:ascii="华文细黑" w:hAnsi="宋体" w:eastAsia="宋体" w:cs="Times New Roman"/>
          <w:b/>
          <w:bCs/>
          <w:snapToGrid w:val="0"/>
          <w:color w:val="auto"/>
          <w:kern w:val="0"/>
          <w:sz w:val="28"/>
          <w:szCs w:val="44"/>
          <w:highlight w:val="none"/>
          <w:lang w:val="en-US" w:eastAsia="zh-CN" w:bidi="ar-SA"/>
        </w:rPr>
        <w:t>17 安全文明施工</w:t>
      </w:r>
      <w:bookmarkEnd w:id="3931"/>
      <w:bookmarkEnd w:id="3932"/>
      <w:bookmarkEnd w:id="3933"/>
      <w:bookmarkEnd w:id="3934"/>
      <w:bookmarkEnd w:id="3935"/>
      <w:bookmarkEnd w:id="3936"/>
      <w:bookmarkEnd w:id="3937"/>
      <w:bookmarkEnd w:id="3938"/>
      <w:bookmarkEnd w:id="3939"/>
      <w:bookmarkEnd w:id="3940"/>
      <w:bookmarkEnd w:id="3941"/>
    </w:p>
    <w:p w14:paraId="08F92AA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942" w:name="_Toc25832"/>
      <w:bookmarkStart w:id="3943" w:name="_Toc10128"/>
      <w:bookmarkStart w:id="3944" w:name="_Toc16868"/>
      <w:bookmarkStart w:id="3945" w:name="_Toc28804"/>
      <w:bookmarkStart w:id="3946" w:name="_Toc20805"/>
      <w:bookmarkStart w:id="3947" w:name="_Toc13756"/>
      <w:bookmarkStart w:id="3948" w:name="_Toc24573"/>
      <w:bookmarkStart w:id="3949" w:name="_Toc30654"/>
      <w:bookmarkStart w:id="3950" w:name="_Toc12954"/>
      <w:bookmarkStart w:id="3951" w:name="_Toc302635999"/>
      <w:bookmarkStart w:id="3952" w:name="_Toc305331482"/>
      <w:r>
        <w:rPr>
          <w:rFonts w:hint="eastAsia" w:ascii="宋体" w:hAnsi="宋体" w:eastAsia="宋体" w:cs="Times New Roman"/>
          <w:b/>
          <w:bCs/>
          <w:color w:val="auto"/>
          <w:kern w:val="0"/>
          <w:sz w:val="24"/>
          <w:szCs w:val="32"/>
          <w:highlight w:val="none"/>
          <w:lang w:val="en-US" w:eastAsia="zh-CN" w:bidi="ar-SA"/>
        </w:rPr>
        <w:t>17.1发包人的安全文明施工责任</w:t>
      </w:r>
      <w:bookmarkEnd w:id="3942"/>
      <w:bookmarkEnd w:id="3943"/>
      <w:bookmarkEnd w:id="3944"/>
      <w:bookmarkEnd w:id="3945"/>
      <w:bookmarkEnd w:id="3946"/>
      <w:bookmarkEnd w:id="3947"/>
      <w:bookmarkEnd w:id="3948"/>
      <w:bookmarkEnd w:id="3949"/>
      <w:bookmarkEnd w:id="3950"/>
    </w:p>
    <w:p w14:paraId="59995EE2">
      <w:pPr>
        <w:spacing w:line="360" w:lineRule="auto"/>
        <w:ind w:firstLine="600" w:firstLineChars="250"/>
        <w:rPr>
          <w:rFonts w:hint="eastAsia" w:ascii="宋体" w:hAnsi="宋体" w:eastAsia="宋体" w:cs="Times New Roman"/>
          <w:bCs/>
          <w:color w:val="auto"/>
          <w:sz w:val="24"/>
          <w:szCs w:val="24"/>
          <w:highlight w:val="none"/>
          <w:u w:val="single"/>
        </w:rPr>
      </w:pPr>
      <w:r>
        <w:rPr>
          <w:rFonts w:hint="eastAsia" w:ascii="宋体" w:hAnsi="宋体" w:eastAsia="宋体" w:cs="Times New Roman"/>
          <w:snapToGrid w:val="0"/>
          <w:color w:val="auto"/>
          <w:sz w:val="24"/>
          <w:szCs w:val="24"/>
          <w:highlight w:val="none"/>
        </w:rPr>
        <w:t>(6)发包人应承担的安全文明施工责任：</w:t>
      </w:r>
      <w:r>
        <w:rPr>
          <w:rFonts w:hint="eastAsia" w:ascii="宋体" w:hAnsi="宋体" w:eastAsia="宋体" w:cs="Times New Roman"/>
          <w:color w:val="auto"/>
          <w:sz w:val="24"/>
          <w:szCs w:val="24"/>
          <w:highlight w:val="non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B70194E">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B907171">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777E39E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798F6E3C">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0581172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E6F615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56A03215">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953" w:name="_Toc27584"/>
      <w:bookmarkStart w:id="3954" w:name="_Toc6212"/>
      <w:bookmarkStart w:id="3955" w:name="_Toc10706"/>
      <w:bookmarkStart w:id="3956" w:name="_Toc147"/>
      <w:bookmarkStart w:id="3957" w:name="_Toc31618"/>
      <w:bookmarkStart w:id="3958" w:name="_Toc16859"/>
      <w:bookmarkStart w:id="3959" w:name="_Toc26948"/>
      <w:bookmarkStart w:id="3960" w:name="_Toc7808"/>
      <w:bookmarkStart w:id="3961" w:name="_Toc25563"/>
      <w:r>
        <w:rPr>
          <w:rFonts w:hint="eastAsia" w:ascii="宋体" w:hAnsi="宋体" w:eastAsia="宋体" w:cs="Times New Roman"/>
          <w:b/>
          <w:bCs/>
          <w:color w:val="auto"/>
          <w:kern w:val="0"/>
          <w:sz w:val="24"/>
          <w:szCs w:val="32"/>
          <w:highlight w:val="none"/>
          <w:lang w:val="en-US" w:eastAsia="zh-CN" w:bidi="ar-SA"/>
        </w:rPr>
        <w:t>17.2 承包人的安全文明施工责任</w:t>
      </w:r>
      <w:bookmarkEnd w:id="3951"/>
      <w:bookmarkEnd w:id="3952"/>
      <w:bookmarkEnd w:id="3953"/>
      <w:bookmarkEnd w:id="3954"/>
      <w:bookmarkEnd w:id="3955"/>
      <w:bookmarkEnd w:id="3956"/>
      <w:bookmarkEnd w:id="3957"/>
      <w:bookmarkEnd w:id="3958"/>
      <w:bookmarkEnd w:id="3959"/>
      <w:bookmarkEnd w:id="3960"/>
      <w:bookmarkEnd w:id="3961"/>
    </w:p>
    <w:p w14:paraId="2E0E8B1D">
      <w:pPr>
        <w:tabs>
          <w:tab w:val="left" w:pos="1620"/>
          <w:tab w:val="left" w:pos="2340"/>
        </w:tabs>
        <w:spacing w:line="360" w:lineRule="auto"/>
        <w:ind w:firstLine="480"/>
        <w:rPr>
          <w:rFonts w:hint="eastAsia" w:ascii="宋体" w:hAnsi="宋体"/>
          <w:sz w:val="24"/>
          <w:highlight w:val="none"/>
          <w:u w:val="single"/>
        </w:rPr>
      </w:pPr>
      <w:r>
        <w:rPr>
          <w:rFonts w:hint="eastAsia" w:ascii="宋体" w:hAnsi="宋体"/>
          <w:snapToGrid w:val="0"/>
          <w:sz w:val="24"/>
          <w:highlight w:val="none"/>
        </w:rPr>
        <w:t>(</w:t>
      </w:r>
      <w:r>
        <w:rPr>
          <w:rFonts w:hint="eastAsia" w:ascii="宋体" w:hAnsi="宋体"/>
          <w:snapToGrid w:val="0"/>
          <w:sz w:val="24"/>
          <w:highlight w:val="none"/>
          <w:lang w:val="en-US" w:eastAsia="zh-CN"/>
        </w:rPr>
        <w:t>4</w:t>
      </w:r>
      <w:r>
        <w:rPr>
          <w:rFonts w:hint="eastAsia" w:ascii="宋体" w:hAnsi="宋体"/>
          <w:snapToGrid w:val="0"/>
          <w:sz w:val="24"/>
          <w:highlight w:val="none"/>
        </w:rPr>
        <w:t>)</w:t>
      </w:r>
      <w:r>
        <w:rPr>
          <w:rFonts w:hint="eastAsia" w:ascii="宋体" w:hAnsi="宋体" w:eastAsia="宋体" w:cs="Times New Roman"/>
          <w:bCs/>
          <w:snapToGrid w:val="0"/>
          <w:sz w:val="24"/>
          <w:highlight w:val="none"/>
        </w:rPr>
        <w:t>承包人未建立相关制度或未按制度履行的</w:t>
      </w:r>
      <w:r>
        <w:rPr>
          <w:rFonts w:hint="eastAsia" w:ascii="宋体" w:hAnsi="宋体" w:eastAsia="宋体" w:cs="Times New Roman"/>
          <w:bCs/>
          <w:snapToGrid w:val="0"/>
          <w:sz w:val="24"/>
          <w:highlight w:val="none"/>
          <w:lang w:eastAsia="zh-CN"/>
        </w:rPr>
        <w:t>违约责任：</w:t>
      </w:r>
      <w:r>
        <w:rPr>
          <w:rFonts w:hint="eastAsia" w:ascii="宋体" w:hAnsi="宋体"/>
          <w:sz w:val="24"/>
          <w:highlight w:val="none"/>
          <w:u w:val="single"/>
        </w:rPr>
        <w:t xml:space="preserve">                                     </w:t>
      </w:r>
    </w:p>
    <w:p w14:paraId="4314CEA1">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14:paraId="42DC41F2">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14:paraId="3F360F2F">
      <w:pPr>
        <w:tabs>
          <w:tab w:val="left" w:pos="1620"/>
          <w:tab w:val="left" w:pos="2340"/>
        </w:tabs>
        <w:spacing w:line="360" w:lineRule="auto"/>
        <w:ind w:firstLine="480"/>
        <w:rPr>
          <w:rFonts w:hint="eastAsia" w:ascii="宋体" w:hAnsi="宋体"/>
          <w:sz w:val="24"/>
          <w:highlight w:val="none"/>
          <w:u w:val="single"/>
        </w:rPr>
      </w:pPr>
      <w:r>
        <w:rPr>
          <w:rFonts w:hint="eastAsia" w:ascii="宋体" w:hAnsi="宋体"/>
          <w:bCs/>
          <w:snapToGrid w:val="0"/>
          <w:sz w:val="24"/>
          <w:highlight w:val="none"/>
        </w:rPr>
        <w:t>(</w:t>
      </w:r>
      <w:r>
        <w:rPr>
          <w:rFonts w:hint="eastAsia" w:ascii="宋体" w:hAnsi="宋体"/>
          <w:bCs/>
          <w:snapToGrid w:val="0"/>
          <w:sz w:val="24"/>
          <w:highlight w:val="none"/>
          <w:lang w:val="en-US" w:eastAsia="zh-CN"/>
        </w:rPr>
        <w:t>10</w:t>
      </w:r>
      <w:r>
        <w:rPr>
          <w:rFonts w:hint="eastAsia" w:ascii="宋体" w:hAnsi="宋体"/>
          <w:bCs/>
          <w:snapToGrid w:val="0"/>
          <w:sz w:val="24"/>
          <w:highlight w:val="none"/>
        </w:rPr>
        <w:t>)承包人应承担的安全文明施工责任：</w:t>
      </w:r>
      <w:r>
        <w:rPr>
          <w:rFonts w:hint="eastAsia" w:ascii="宋体" w:hAnsi="宋体"/>
          <w:sz w:val="24"/>
          <w:highlight w:val="none"/>
          <w:u w:val="single"/>
        </w:rPr>
        <w:t xml:space="preserve">                                     </w:t>
      </w:r>
    </w:p>
    <w:p w14:paraId="0FDD14A4">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14:paraId="10F854C5">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14:paraId="07B72F2F">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14:paraId="4FD5CD64">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14:paraId="6A82EF8C">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14:paraId="1E63ADD5">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14:paraId="5439760B">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962" w:name="_Toc5226"/>
      <w:bookmarkStart w:id="3963" w:name="_Toc18376"/>
      <w:bookmarkStart w:id="3964" w:name="_Toc26441"/>
      <w:bookmarkStart w:id="3965" w:name="_Toc21666"/>
      <w:bookmarkStart w:id="3966" w:name="_Toc32617"/>
      <w:bookmarkStart w:id="3967" w:name="_Toc6836"/>
      <w:bookmarkStart w:id="3968" w:name="_Toc18550"/>
      <w:bookmarkStart w:id="3969" w:name="_Toc1593"/>
      <w:bookmarkStart w:id="3970" w:name="_Toc30242"/>
      <w:bookmarkStart w:id="3971" w:name="_Toc305331483"/>
      <w:bookmarkStart w:id="3972" w:name="_Toc302636000"/>
      <w:r>
        <w:rPr>
          <w:rFonts w:hint="eastAsia" w:ascii="宋体" w:hAnsi="宋体" w:eastAsia="宋体" w:cs="Times New Roman"/>
          <w:b/>
          <w:bCs/>
          <w:color w:val="auto"/>
          <w:kern w:val="0"/>
          <w:sz w:val="24"/>
          <w:szCs w:val="32"/>
          <w:highlight w:val="none"/>
          <w:lang w:val="en-US" w:eastAsia="zh-CN" w:bidi="ar-SA"/>
        </w:rPr>
        <w:t>17.</w:t>
      </w:r>
      <w:r>
        <w:rPr>
          <w:rFonts w:ascii="宋体" w:hAnsi="宋体" w:eastAsia="宋体" w:cs="Times New Roman"/>
          <w:b/>
          <w:bCs/>
          <w:color w:val="auto"/>
          <w:kern w:val="0"/>
          <w:sz w:val="24"/>
          <w:szCs w:val="32"/>
          <w:highlight w:val="none"/>
          <w:lang w:val="en-US" w:eastAsia="zh-CN" w:bidi="ar-SA"/>
        </w:rPr>
        <w:t>8</w:t>
      </w:r>
      <w:r>
        <w:rPr>
          <w:rFonts w:hint="eastAsia" w:ascii="宋体" w:hAnsi="宋体" w:eastAsia="宋体" w:cs="Times New Roman"/>
          <w:b/>
          <w:bCs/>
          <w:color w:val="auto"/>
          <w:kern w:val="0"/>
          <w:sz w:val="24"/>
          <w:szCs w:val="32"/>
          <w:highlight w:val="none"/>
          <w:lang w:val="en-US" w:eastAsia="zh-CN" w:bidi="ar-SA"/>
        </w:rPr>
        <w:t xml:space="preserve"> 承包人的环境保护责任</w:t>
      </w:r>
      <w:bookmarkEnd w:id="3962"/>
      <w:bookmarkEnd w:id="3963"/>
      <w:bookmarkEnd w:id="3964"/>
      <w:bookmarkEnd w:id="3965"/>
      <w:bookmarkEnd w:id="3966"/>
      <w:bookmarkEnd w:id="3967"/>
      <w:bookmarkEnd w:id="3968"/>
      <w:bookmarkEnd w:id="3969"/>
      <w:bookmarkEnd w:id="3970"/>
    </w:p>
    <w:p w14:paraId="750C061A">
      <w:pPr>
        <w:tabs>
          <w:tab w:val="left" w:pos="1620"/>
          <w:tab w:val="left" w:pos="2340"/>
        </w:tabs>
        <w:spacing w:line="360" w:lineRule="auto"/>
        <w:ind w:firstLine="480"/>
        <w:rPr>
          <w:rFonts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)建筑废弃物排放的具体约定：</w:t>
      </w:r>
      <w:r>
        <w:rPr>
          <w:rFonts w:hint="eastAsia" w:ascii="宋体" w:hAnsi="宋体" w:eastAsia="宋体" w:cs="Times New Roman"/>
          <w:bCs/>
          <w:color w:val="auto"/>
          <w:sz w:val="24"/>
          <w:szCs w:val="24"/>
          <w:highlight w:val="none"/>
          <w:u w:val="single"/>
        </w:rPr>
        <w:t xml:space="preserve">                                           </w:t>
      </w:r>
    </w:p>
    <w:p w14:paraId="4A6E19F0">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9DE3859">
      <w:pPr>
        <w:spacing w:line="360" w:lineRule="auto"/>
        <w:rPr>
          <w:rFonts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06C03CAD">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3584E4C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B326DB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68803461">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973" w:name="_Toc861"/>
      <w:bookmarkStart w:id="3974" w:name="_Toc7991"/>
      <w:bookmarkStart w:id="3975" w:name="_Toc9863"/>
      <w:bookmarkStart w:id="3976" w:name="_Toc17792"/>
      <w:bookmarkStart w:id="3977" w:name="_Toc13945"/>
      <w:bookmarkStart w:id="3978" w:name="_Toc10046"/>
      <w:bookmarkStart w:id="3979" w:name="_Toc14974"/>
      <w:bookmarkStart w:id="3980" w:name="_Toc20616"/>
      <w:bookmarkStart w:id="3981" w:name="_Toc26414"/>
      <w:r>
        <w:rPr>
          <w:rFonts w:hint="eastAsia" w:ascii="华文细黑" w:hAnsi="宋体" w:eastAsia="宋体" w:cs="Times New Roman"/>
          <w:b/>
          <w:bCs/>
          <w:snapToGrid w:val="0"/>
          <w:color w:val="auto"/>
          <w:kern w:val="0"/>
          <w:sz w:val="28"/>
          <w:szCs w:val="44"/>
          <w:highlight w:val="none"/>
          <w:lang w:val="en-US" w:eastAsia="zh-CN" w:bidi="ar-SA"/>
        </w:rPr>
        <w:t>18 余泥渣土运输</w:t>
      </w:r>
      <w:bookmarkEnd w:id="3971"/>
      <w:bookmarkEnd w:id="3972"/>
      <w:bookmarkEnd w:id="3973"/>
      <w:bookmarkEnd w:id="3974"/>
      <w:bookmarkEnd w:id="3975"/>
      <w:bookmarkEnd w:id="3976"/>
      <w:bookmarkEnd w:id="3977"/>
      <w:bookmarkEnd w:id="3978"/>
      <w:bookmarkEnd w:id="3979"/>
      <w:bookmarkEnd w:id="3980"/>
      <w:bookmarkEnd w:id="3981"/>
    </w:p>
    <w:p w14:paraId="4BABAB4E">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982" w:name="_Toc6429"/>
      <w:bookmarkStart w:id="3983" w:name="_Toc29378"/>
      <w:bookmarkStart w:id="3984" w:name="_Toc305331484"/>
      <w:bookmarkStart w:id="3985" w:name="_Toc302636001"/>
      <w:bookmarkStart w:id="3986" w:name="_Toc3078"/>
      <w:bookmarkStart w:id="3987" w:name="_Toc8949"/>
      <w:bookmarkStart w:id="3988" w:name="_Toc743"/>
      <w:bookmarkStart w:id="3989" w:name="_Toc18479"/>
      <w:bookmarkStart w:id="3990" w:name="_Toc18946"/>
      <w:bookmarkStart w:id="3991" w:name="_Toc31416"/>
      <w:bookmarkStart w:id="3992" w:name="_Toc12629"/>
      <w:bookmarkStart w:id="3993" w:name="_Toc35656540"/>
      <w:r>
        <w:rPr>
          <w:rFonts w:hint="eastAsia" w:ascii="宋体" w:hAnsi="宋体" w:eastAsia="宋体" w:cs="Times New Roman"/>
          <w:b/>
          <w:bCs/>
          <w:color w:val="auto"/>
          <w:kern w:val="0"/>
          <w:sz w:val="24"/>
          <w:szCs w:val="32"/>
          <w:highlight w:val="none"/>
          <w:lang w:val="en-US" w:eastAsia="zh-CN" w:bidi="ar-SA"/>
        </w:rPr>
        <w:t>18.2 承包人自行运输</w:t>
      </w:r>
      <w:bookmarkEnd w:id="3982"/>
      <w:bookmarkEnd w:id="3983"/>
      <w:bookmarkEnd w:id="3984"/>
      <w:bookmarkEnd w:id="3985"/>
      <w:bookmarkEnd w:id="3986"/>
      <w:bookmarkEnd w:id="3987"/>
      <w:bookmarkEnd w:id="3988"/>
      <w:bookmarkEnd w:id="3989"/>
      <w:bookmarkEnd w:id="3990"/>
      <w:bookmarkEnd w:id="3991"/>
      <w:bookmarkEnd w:id="3992"/>
    </w:p>
    <w:p w14:paraId="445ACC2B">
      <w:pPr>
        <w:spacing w:line="360" w:lineRule="auto"/>
        <w:ind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承包人不具备</w:t>
      </w:r>
      <w:r>
        <w:rPr>
          <w:rFonts w:hint="eastAsia" w:ascii="宋体" w:hAnsi="宋体" w:eastAsia="宋体" w:cs="Times New Roman"/>
          <w:color w:val="auto"/>
          <w:sz w:val="24"/>
          <w:szCs w:val="24"/>
          <w:highlight w:val="none"/>
        </w:rPr>
        <w:t>通用条款</w:t>
      </w:r>
      <w:r>
        <w:rPr>
          <w:rFonts w:ascii="宋体" w:hAnsi="宋体" w:eastAsia="宋体" w:cs="Times New Roman"/>
          <w:color w:val="auto"/>
          <w:sz w:val="24"/>
          <w:szCs w:val="24"/>
          <w:highlight w:val="none"/>
        </w:rPr>
        <w:t>第</w:t>
      </w:r>
      <w:r>
        <w:rPr>
          <w:rFonts w:hint="eastAsia" w:ascii="宋体" w:hAnsi="宋体" w:eastAsia="宋体" w:cs="Times New Roman"/>
          <w:color w:val="auto"/>
          <w:sz w:val="24"/>
          <w:szCs w:val="24"/>
          <w:highlight w:val="none"/>
        </w:rPr>
        <w:t>18</w:t>
      </w:r>
      <w:r>
        <w:rPr>
          <w:rFonts w:ascii="宋体" w:hAnsi="宋体" w:eastAsia="宋体" w:cs="Times New Roman"/>
          <w:color w:val="auto"/>
          <w:sz w:val="24"/>
          <w:szCs w:val="24"/>
          <w:highlight w:val="none"/>
        </w:rPr>
        <w:t>.1款</w:t>
      </w:r>
      <w:r>
        <w:rPr>
          <w:rFonts w:hint="eastAsia" w:ascii="宋体" w:hAnsi="宋体" w:eastAsia="宋体" w:cs="Times New Roman"/>
          <w:color w:val="auto"/>
          <w:sz w:val="24"/>
          <w:szCs w:val="24"/>
          <w:highlight w:val="none"/>
        </w:rPr>
        <w:t>相关</w:t>
      </w:r>
      <w:r>
        <w:rPr>
          <w:rFonts w:ascii="宋体" w:hAnsi="宋体" w:eastAsia="宋体" w:cs="Times New Roman"/>
          <w:color w:val="auto"/>
          <w:sz w:val="24"/>
          <w:szCs w:val="24"/>
          <w:highlight w:val="none"/>
        </w:rPr>
        <w:t>证件</w:t>
      </w:r>
      <w:r>
        <w:rPr>
          <w:rFonts w:hint="eastAsia" w:ascii="宋体" w:hAnsi="宋体" w:eastAsia="宋体" w:cs="Times New Roman"/>
          <w:color w:val="auto"/>
          <w:sz w:val="24"/>
          <w:szCs w:val="24"/>
          <w:highlight w:val="none"/>
        </w:rPr>
        <w:t>，不具备</w:t>
      </w:r>
      <w:r>
        <w:rPr>
          <w:rFonts w:ascii="宋体" w:hAnsi="宋体" w:eastAsia="宋体" w:cs="Times New Roman"/>
          <w:color w:val="auto"/>
          <w:sz w:val="24"/>
          <w:szCs w:val="24"/>
          <w:highlight w:val="none"/>
        </w:rPr>
        <w:t>余泥渣土运输任务</w:t>
      </w:r>
      <w:r>
        <w:rPr>
          <w:rFonts w:hint="eastAsia" w:ascii="宋体" w:hAnsi="宋体" w:eastAsia="宋体" w:cs="Times New Roman"/>
          <w:color w:val="auto"/>
          <w:sz w:val="24"/>
          <w:szCs w:val="24"/>
          <w:highlight w:val="none"/>
        </w:rPr>
        <w:t>能力</w:t>
      </w:r>
      <w:r>
        <w:rPr>
          <w:rFonts w:ascii="宋体" w:hAnsi="宋体" w:eastAsia="宋体" w:cs="Times New Roman"/>
          <w:color w:val="auto"/>
          <w:sz w:val="24"/>
          <w:szCs w:val="24"/>
          <w:highlight w:val="none"/>
        </w:rPr>
        <w:t>而自行承担余泥渣土运输任务，应支付违约金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14:paraId="0A31434E">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994" w:name="_Toc24353"/>
      <w:bookmarkStart w:id="3995" w:name="_Toc302636002"/>
      <w:bookmarkStart w:id="3996" w:name="_Toc31516"/>
      <w:bookmarkStart w:id="3997" w:name="_Toc12256"/>
      <w:bookmarkStart w:id="3998" w:name="_Toc31692"/>
      <w:bookmarkStart w:id="3999" w:name="_Toc10716"/>
      <w:bookmarkStart w:id="4000" w:name="_Toc6917"/>
      <w:bookmarkStart w:id="4001" w:name="_Toc22553"/>
      <w:bookmarkStart w:id="4002" w:name="_Toc15425"/>
      <w:bookmarkStart w:id="4003" w:name="_Toc15874"/>
      <w:bookmarkStart w:id="4004" w:name="_Toc305331485"/>
      <w:r>
        <w:rPr>
          <w:rFonts w:hint="eastAsia" w:ascii="宋体" w:hAnsi="宋体" w:eastAsia="宋体" w:cs="Times New Roman"/>
          <w:b/>
          <w:bCs/>
          <w:color w:val="auto"/>
          <w:kern w:val="0"/>
          <w:sz w:val="24"/>
          <w:szCs w:val="32"/>
          <w:highlight w:val="none"/>
          <w:lang w:val="en-US" w:eastAsia="zh-CN" w:bidi="ar-SA"/>
        </w:rPr>
        <w:t xml:space="preserve">18.3 </w:t>
      </w:r>
      <w:r>
        <w:rPr>
          <w:rFonts w:ascii="宋体" w:hAnsi="宋体" w:eastAsia="宋体" w:cs="Times New Roman"/>
          <w:b/>
          <w:bCs/>
          <w:color w:val="auto"/>
          <w:kern w:val="0"/>
          <w:sz w:val="24"/>
          <w:szCs w:val="32"/>
          <w:highlight w:val="none"/>
          <w:lang w:val="en-US" w:eastAsia="zh-CN" w:bidi="ar-SA"/>
        </w:rPr>
        <w:t>余泥渣土运输</w:t>
      </w:r>
      <w:r>
        <w:rPr>
          <w:rFonts w:hint="eastAsia" w:ascii="宋体" w:hAnsi="宋体" w:eastAsia="宋体" w:cs="Times New Roman"/>
          <w:b/>
          <w:bCs/>
          <w:color w:val="auto"/>
          <w:kern w:val="0"/>
          <w:sz w:val="24"/>
          <w:szCs w:val="32"/>
          <w:highlight w:val="none"/>
          <w:lang w:val="en-US" w:eastAsia="zh-CN" w:bidi="ar-SA"/>
        </w:rPr>
        <w:t>分包</w:t>
      </w:r>
      <w:bookmarkEnd w:id="3994"/>
      <w:bookmarkEnd w:id="3995"/>
      <w:bookmarkEnd w:id="3996"/>
      <w:bookmarkEnd w:id="3997"/>
      <w:bookmarkEnd w:id="3998"/>
      <w:bookmarkEnd w:id="3999"/>
      <w:bookmarkEnd w:id="4000"/>
      <w:bookmarkEnd w:id="4001"/>
      <w:bookmarkEnd w:id="4002"/>
      <w:bookmarkEnd w:id="4003"/>
    </w:p>
    <w:p w14:paraId="450AF4FE">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承包人将余泥渣土运输任务分包给不</w:t>
      </w:r>
      <w:r>
        <w:rPr>
          <w:rFonts w:hint="eastAsia" w:ascii="宋体" w:hAnsi="宋体" w:eastAsia="宋体" w:cs="Times New Roman"/>
          <w:color w:val="auto"/>
          <w:sz w:val="24"/>
          <w:szCs w:val="24"/>
          <w:highlight w:val="none"/>
        </w:rPr>
        <w:t>具备相应运输资质的单位</w:t>
      </w:r>
      <w:r>
        <w:rPr>
          <w:rFonts w:ascii="宋体" w:hAnsi="宋体" w:eastAsia="宋体" w:cs="Times New Roman"/>
          <w:color w:val="auto"/>
          <w:sz w:val="24"/>
          <w:szCs w:val="24"/>
          <w:highlight w:val="none"/>
        </w:rPr>
        <w:t>时，应支付违约金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14:paraId="1E521D36">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05" w:name="_Toc18221"/>
      <w:bookmarkStart w:id="4006" w:name="_Toc12394"/>
      <w:bookmarkStart w:id="4007" w:name="_Toc16604"/>
      <w:bookmarkStart w:id="4008" w:name="_Toc302636003"/>
      <w:bookmarkStart w:id="4009" w:name="_Toc3726"/>
      <w:bookmarkStart w:id="4010" w:name="_Toc26523"/>
      <w:bookmarkStart w:id="4011" w:name="_Toc31235"/>
      <w:bookmarkStart w:id="4012" w:name="_Toc1477"/>
      <w:bookmarkStart w:id="4013" w:name="_Toc8096"/>
      <w:bookmarkStart w:id="4014" w:name="_Toc8962"/>
      <w:r>
        <w:rPr>
          <w:rFonts w:hint="eastAsia" w:ascii="宋体" w:hAnsi="宋体" w:eastAsia="宋体" w:cs="Times New Roman"/>
          <w:b/>
          <w:bCs/>
          <w:color w:val="auto"/>
          <w:kern w:val="0"/>
          <w:sz w:val="24"/>
          <w:szCs w:val="32"/>
          <w:highlight w:val="none"/>
          <w:lang w:val="en-US" w:eastAsia="zh-CN" w:bidi="ar-SA"/>
        </w:rPr>
        <w:t xml:space="preserve">18.5 </w:t>
      </w:r>
      <w:r>
        <w:rPr>
          <w:rFonts w:ascii="宋体" w:hAnsi="宋体" w:eastAsia="宋体" w:cs="Times New Roman"/>
          <w:b/>
          <w:bCs/>
          <w:color w:val="auto"/>
          <w:kern w:val="0"/>
          <w:sz w:val="24"/>
          <w:szCs w:val="32"/>
          <w:highlight w:val="none"/>
          <w:lang w:val="en-US" w:eastAsia="zh-CN" w:bidi="ar-SA"/>
        </w:rPr>
        <w:t>余泥渣土运输车辆和</w:t>
      </w:r>
      <w:bookmarkEnd w:id="4004"/>
      <w:r>
        <w:rPr>
          <w:rFonts w:hint="eastAsia" w:ascii="宋体" w:hAnsi="宋体" w:eastAsia="宋体" w:cs="Times New Roman"/>
          <w:b/>
          <w:bCs/>
          <w:color w:val="auto"/>
          <w:kern w:val="0"/>
          <w:sz w:val="24"/>
          <w:szCs w:val="32"/>
          <w:highlight w:val="none"/>
          <w:lang w:val="en-US" w:eastAsia="zh-CN" w:bidi="ar-SA"/>
        </w:rPr>
        <w:t>驾驶员</w:t>
      </w:r>
      <w:bookmarkEnd w:id="4005"/>
      <w:bookmarkEnd w:id="4006"/>
      <w:bookmarkEnd w:id="4007"/>
      <w:bookmarkEnd w:id="4008"/>
      <w:bookmarkEnd w:id="4009"/>
      <w:bookmarkEnd w:id="4010"/>
      <w:bookmarkEnd w:id="4011"/>
      <w:bookmarkEnd w:id="4012"/>
      <w:bookmarkEnd w:id="4013"/>
      <w:bookmarkEnd w:id="4014"/>
    </w:p>
    <w:p w14:paraId="171F2337">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在承包人</w:t>
      </w:r>
      <w:r>
        <w:rPr>
          <w:rFonts w:hint="eastAsia" w:ascii="宋体" w:hAnsi="宋体" w:eastAsia="宋体" w:cs="Times New Roman"/>
          <w:color w:val="auto"/>
          <w:sz w:val="24"/>
          <w:szCs w:val="24"/>
          <w:highlight w:val="none"/>
        </w:rPr>
        <w:t>按通用条款第18.2款自行完成</w:t>
      </w:r>
      <w:r>
        <w:rPr>
          <w:rFonts w:ascii="宋体" w:hAnsi="宋体" w:eastAsia="宋体" w:cs="Times New Roman"/>
          <w:color w:val="auto"/>
          <w:sz w:val="24"/>
          <w:szCs w:val="24"/>
          <w:highlight w:val="none"/>
        </w:rPr>
        <w:t>余泥渣土运输任务时，其安排的余泥渣土运输车辆</w:t>
      </w:r>
      <w:r>
        <w:rPr>
          <w:rFonts w:hint="eastAsia" w:ascii="宋体" w:hAnsi="宋体" w:eastAsia="宋体" w:cs="Times New Roman"/>
          <w:color w:val="auto"/>
          <w:sz w:val="24"/>
          <w:szCs w:val="24"/>
          <w:highlight w:val="none"/>
        </w:rPr>
        <w:t>和</w:t>
      </w:r>
      <w:r>
        <w:rPr>
          <w:rFonts w:ascii="宋体" w:hAnsi="宋体" w:eastAsia="宋体" w:cs="Times New Roman"/>
          <w:color w:val="auto"/>
          <w:sz w:val="24"/>
          <w:szCs w:val="24"/>
          <w:highlight w:val="none"/>
        </w:rPr>
        <w:t>驾驶员</w:t>
      </w:r>
      <w:r>
        <w:rPr>
          <w:rFonts w:hint="eastAsia" w:ascii="宋体" w:hAnsi="宋体" w:eastAsia="宋体" w:cs="Times New Roman"/>
          <w:color w:val="auto"/>
          <w:sz w:val="24"/>
          <w:szCs w:val="24"/>
          <w:highlight w:val="none"/>
        </w:rPr>
        <w:t>有关信息见下表</w:t>
      </w:r>
      <w:r>
        <w:rPr>
          <w:rFonts w:hint="eastAsia" w:ascii="宋体" w:hAnsi="宋体" w:eastAsia="宋体" w:cs="Times New Roman"/>
          <w:bCs/>
          <w:color w:val="auto"/>
          <w:sz w:val="24"/>
          <w:szCs w:val="24"/>
          <w:highlight w:val="none"/>
        </w:rPr>
        <w:t>(可另附页)</w:t>
      </w:r>
      <w:r>
        <w:rPr>
          <w:rFonts w:ascii="宋体" w:hAnsi="宋体" w:eastAsia="宋体" w:cs="Times New Roman"/>
          <w:color w:val="auto"/>
          <w:sz w:val="24"/>
          <w:szCs w:val="24"/>
          <w:highlight w:val="none"/>
        </w:rPr>
        <w:t>：</w:t>
      </w:r>
    </w:p>
    <w:tbl>
      <w:tblPr>
        <w:tblStyle w:val="4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62"/>
        <w:gridCol w:w="1315"/>
        <w:gridCol w:w="1315"/>
        <w:gridCol w:w="1316"/>
        <w:gridCol w:w="1315"/>
        <w:gridCol w:w="1315"/>
        <w:gridCol w:w="1316"/>
      </w:tblGrid>
      <w:tr w14:paraId="797B1A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13721448">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0D8B5845">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车牌号码</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3D9977EA">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车型</w:t>
            </w:r>
          </w:p>
        </w:tc>
        <w:tc>
          <w:tcPr>
            <w:tcW w:w="1316" w:type="dxa"/>
            <w:tcBorders>
              <w:top w:val="single" w:color="auto" w:sz="4" w:space="0"/>
              <w:left w:val="single" w:color="auto" w:sz="4" w:space="0"/>
              <w:bottom w:val="single" w:color="auto" w:sz="4" w:space="0"/>
              <w:right w:val="single" w:color="auto" w:sz="4" w:space="0"/>
            </w:tcBorders>
            <w:noWrap w:val="0"/>
            <w:vAlign w:val="center"/>
          </w:tcPr>
          <w:p w14:paraId="5BB0BFF1">
            <w:pPr>
              <w:spacing w:line="360" w:lineRule="auto"/>
              <w:ind w:left="-107"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车辆证件号</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514DFDD1">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驾驶员姓名</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3F0A7FC9">
            <w:pPr>
              <w:spacing w:line="360" w:lineRule="auto"/>
              <w:ind w:left="-107"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驾驶证件号</w:t>
            </w:r>
          </w:p>
        </w:tc>
        <w:tc>
          <w:tcPr>
            <w:tcW w:w="1316" w:type="dxa"/>
            <w:tcBorders>
              <w:top w:val="single" w:color="auto" w:sz="4" w:space="0"/>
              <w:left w:val="single" w:color="auto" w:sz="4" w:space="0"/>
              <w:bottom w:val="single" w:color="auto" w:sz="4" w:space="0"/>
              <w:right w:val="single" w:color="auto" w:sz="4" w:space="0"/>
            </w:tcBorders>
            <w:noWrap w:val="0"/>
            <w:vAlign w:val="center"/>
          </w:tcPr>
          <w:p w14:paraId="4B3C355D">
            <w:pPr>
              <w:spacing w:line="360" w:lineRule="auto"/>
              <w:ind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备注</w:t>
            </w:r>
          </w:p>
        </w:tc>
      </w:tr>
      <w:tr w14:paraId="4955BF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381D86D5">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5E65187">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058888E6">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216F100F">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2FCB121E">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9DBD288">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5C5D094F">
            <w:pPr>
              <w:spacing w:line="360" w:lineRule="auto"/>
              <w:rPr>
                <w:rFonts w:ascii="宋体" w:hAnsi="宋体" w:eastAsia="宋体" w:cs="Times New Roman"/>
                <w:color w:val="auto"/>
                <w:sz w:val="24"/>
                <w:szCs w:val="24"/>
                <w:highlight w:val="none"/>
              </w:rPr>
            </w:pPr>
          </w:p>
        </w:tc>
      </w:tr>
      <w:tr w14:paraId="76E994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09DA7A1C">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1983FE9E">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1F67736A">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356298C5">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C4247B3">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32A2F146">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4CF2ED1C">
            <w:pPr>
              <w:spacing w:line="360" w:lineRule="auto"/>
              <w:rPr>
                <w:rFonts w:ascii="宋体" w:hAnsi="宋体" w:eastAsia="宋体" w:cs="Times New Roman"/>
                <w:color w:val="auto"/>
                <w:sz w:val="24"/>
                <w:szCs w:val="24"/>
                <w:highlight w:val="none"/>
              </w:rPr>
            </w:pPr>
          </w:p>
        </w:tc>
      </w:tr>
      <w:tr w14:paraId="46DF43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12B6B378">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52FA1F5">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457B2AFD">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4337C480">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242F5300">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43FEEC04">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3CDA5CF7">
            <w:pPr>
              <w:spacing w:line="360" w:lineRule="auto"/>
              <w:rPr>
                <w:rFonts w:ascii="宋体" w:hAnsi="宋体" w:eastAsia="宋体" w:cs="Times New Roman"/>
                <w:color w:val="auto"/>
                <w:sz w:val="24"/>
                <w:szCs w:val="24"/>
                <w:highlight w:val="none"/>
              </w:rPr>
            </w:pPr>
          </w:p>
        </w:tc>
      </w:tr>
      <w:tr w14:paraId="198C6B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16FE528">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1EB313E2">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2CDBC394">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04FE7082">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1B619F16">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4B93FD4E">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5F40F9F0">
            <w:pPr>
              <w:spacing w:line="360" w:lineRule="auto"/>
              <w:rPr>
                <w:rFonts w:ascii="宋体" w:hAnsi="宋体" w:eastAsia="宋体" w:cs="Times New Roman"/>
                <w:color w:val="auto"/>
                <w:sz w:val="24"/>
                <w:szCs w:val="24"/>
                <w:highlight w:val="none"/>
              </w:rPr>
            </w:pPr>
          </w:p>
        </w:tc>
      </w:tr>
      <w:tr w14:paraId="69807C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15257E43">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1BCCBAD3">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2FC8A20E">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46AD40C5">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35118088">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5E843C26">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61C0C5DF">
            <w:pPr>
              <w:spacing w:line="360" w:lineRule="auto"/>
              <w:rPr>
                <w:rFonts w:ascii="宋体" w:hAnsi="宋体" w:eastAsia="宋体" w:cs="Times New Roman"/>
                <w:color w:val="auto"/>
                <w:sz w:val="24"/>
                <w:szCs w:val="24"/>
                <w:highlight w:val="none"/>
              </w:rPr>
            </w:pPr>
          </w:p>
        </w:tc>
      </w:tr>
      <w:tr w14:paraId="3FC17E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071627F1">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4DF7FC5B">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FAD9385">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4890BE14">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237C0E88">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53F86C02">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6CBC0C75">
            <w:pPr>
              <w:spacing w:line="360" w:lineRule="auto"/>
              <w:rPr>
                <w:rFonts w:ascii="宋体" w:hAnsi="宋体" w:eastAsia="宋体" w:cs="Times New Roman"/>
                <w:color w:val="auto"/>
                <w:sz w:val="24"/>
                <w:szCs w:val="24"/>
                <w:highlight w:val="none"/>
              </w:rPr>
            </w:pPr>
          </w:p>
        </w:tc>
      </w:tr>
      <w:tr w14:paraId="7C6E12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0E9A0A85">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7</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28E3BF8">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F241CFF">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0A8B484A">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5D8D86D3">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596AEB7A">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51FBBAC2">
            <w:pPr>
              <w:spacing w:line="360" w:lineRule="auto"/>
              <w:rPr>
                <w:rFonts w:ascii="宋体" w:hAnsi="宋体" w:eastAsia="宋体" w:cs="Times New Roman"/>
                <w:color w:val="auto"/>
                <w:sz w:val="24"/>
                <w:szCs w:val="24"/>
                <w:highlight w:val="none"/>
              </w:rPr>
            </w:pPr>
          </w:p>
        </w:tc>
      </w:tr>
      <w:tr w14:paraId="063B70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DF1D255">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8</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29E9150">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0702A49D">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79A39FFD">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FCF00C7">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8D2C70C">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0BFCA29E">
            <w:pPr>
              <w:spacing w:line="360" w:lineRule="auto"/>
              <w:rPr>
                <w:rFonts w:ascii="宋体" w:hAnsi="宋体" w:eastAsia="宋体" w:cs="Times New Roman"/>
                <w:color w:val="auto"/>
                <w:sz w:val="24"/>
                <w:szCs w:val="24"/>
                <w:highlight w:val="none"/>
              </w:rPr>
            </w:pPr>
          </w:p>
        </w:tc>
      </w:tr>
      <w:tr w14:paraId="17A95C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452B53F">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9</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EAEBE90">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2B37646">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3537B33A">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705EBC1">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631F79E">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5B9CB886">
            <w:pPr>
              <w:spacing w:line="360" w:lineRule="auto"/>
              <w:rPr>
                <w:rFonts w:ascii="宋体" w:hAnsi="宋体" w:eastAsia="宋体" w:cs="Times New Roman"/>
                <w:color w:val="auto"/>
                <w:sz w:val="24"/>
                <w:szCs w:val="24"/>
                <w:highlight w:val="none"/>
              </w:rPr>
            </w:pPr>
          </w:p>
        </w:tc>
      </w:tr>
      <w:tr w14:paraId="507515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DE90618">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10</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396B297">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3E1C9EBD">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6C7803E1">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7385C9E6">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342F990C">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5226C038">
            <w:pPr>
              <w:spacing w:line="360" w:lineRule="auto"/>
              <w:rPr>
                <w:rFonts w:ascii="宋体" w:hAnsi="宋体" w:eastAsia="宋体" w:cs="Times New Roman"/>
                <w:color w:val="auto"/>
                <w:sz w:val="24"/>
                <w:szCs w:val="24"/>
                <w:highlight w:val="none"/>
              </w:rPr>
            </w:pPr>
          </w:p>
        </w:tc>
      </w:tr>
      <w:tr w14:paraId="437894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B16EDB3">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1315" w:type="dxa"/>
            <w:tcBorders>
              <w:top w:val="single" w:color="auto" w:sz="4" w:space="0"/>
              <w:left w:val="single" w:color="auto" w:sz="4" w:space="0"/>
              <w:bottom w:val="single" w:color="auto" w:sz="4" w:space="0"/>
              <w:right w:val="single" w:color="auto" w:sz="4" w:space="0"/>
            </w:tcBorders>
            <w:noWrap w:val="0"/>
            <w:vAlign w:val="bottom"/>
          </w:tcPr>
          <w:p w14:paraId="418695B1">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325C6F46">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32F674C5">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11C0824C">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14:paraId="694607AB">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14:paraId="315F30C8">
            <w:pPr>
              <w:spacing w:line="360" w:lineRule="auto"/>
              <w:rPr>
                <w:rFonts w:ascii="宋体" w:hAnsi="宋体" w:eastAsia="宋体" w:cs="Times New Roman"/>
                <w:color w:val="auto"/>
                <w:sz w:val="24"/>
                <w:szCs w:val="24"/>
                <w:highlight w:val="none"/>
              </w:rPr>
            </w:pPr>
          </w:p>
        </w:tc>
      </w:tr>
    </w:tbl>
    <w:p w14:paraId="447B240E">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承包人安排的车辆不符合通用条款第</w:t>
      </w:r>
      <w:r>
        <w:rPr>
          <w:rFonts w:hint="eastAsia" w:ascii="宋体" w:hAnsi="宋体" w:eastAsia="宋体" w:cs="Times New Roman"/>
          <w:color w:val="auto"/>
          <w:sz w:val="24"/>
          <w:szCs w:val="24"/>
          <w:highlight w:val="none"/>
        </w:rPr>
        <w:t>18</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5(1)</w:t>
      </w:r>
      <w:r>
        <w:rPr>
          <w:rFonts w:ascii="宋体" w:hAnsi="宋体" w:eastAsia="宋体" w:cs="Times New Roman"/>
          <w:color w:val="auto"/>
          <w:sz w:val="24"/>
          <w:szCs w:val="24"/>
          <w:highlight w:val="none"/>
        </w:rPr>
        <w:t>款规定的证件要求</w:t>
      </w:r>
      <w:r>
        <w:rPr>
          <w:rFonts w:hint="eastAsia" w:ascii="宋体" w:hAnsi="宋体" w:eastAsia="宋体" w:cs="Times New Roman"/>
          <w:color w:val="auto"/>
          <w:sz w:val="24"/>
          <w:szCs w:val="24"/>
          <w:highlight w:val="none"/>
        </w:rPr>
        <w:t>，或未如实向监理工程师报送车辆和驾驶员信息，或</w:t>
      </w:r>
      <w:r>
        <w:rPr>
          <w:rFonts w:ascii="宋体" w:hAnsi="宋体" w:eastAsia="宋体" w:cs="Times New Roman"/>
          <w:color w:val="auto"/>
          <w:sz w:val="24"/>
          <w:szCs w:val="24"/>
          <w:highlight w:val="none"/>
        </w:rPr>
        <w:t>未依程序自行改变车辆和专职驾驶员名单，承包人应</w:t>
      </w:r>
      <w:r>
        <w:rPr>
          <w:rFonts w:hint="eastAsia" w:ascii="宋体" w:hAnsi="宋体" w:eastAsia="宋体" w:cs="Times New Roman"/>
          <w:color w:val="auto"/>
          <w:sz w:val="24"/>
          <w:szCs w:val="24"/>
          <w:highlight w:val="none"/>
        </w:rPr>
        <w:t>向发包人</w:t>
      </w:r>
      <w:r>
        <w:rPr>
          <w:rFonts w:ascii="宋体" w:hAnsi="宋体" w:eastAsia="宋体" w:cs="Times New Roman"/>
          <w:color w:val="auto"/>
          <w:sz w:val="24"/>
          <w:szCs w:val="24"/>
          <w:highlight w:val="none"/>
        </w:rPr>
        <w:t>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元/车·次</w:t>
      </w:r>
      <w:r>
        <w:rPr>
          <w:rFonts w:hint="eastAsia" w:ascii="宋体" w:hAnsi="宋体" w:eastAsia="宋体" w:cs="Times New Roman"/>
          <w:color w:val="auto"/>
          <w:sz w:val="24"/>
          <w:szCs w:val="24"/>
          <w:highlight w:val="none"/>
        </w:rPr>
        <w:t>。</w:t>
      </w:r>
    </w:p>
    <w:p w14:paraId="32BABDCF">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15" w:name="_Toc26540"/>
      <w:bookmarkStart w:id="4016" w:name="_Toc20064"/>
      <w:bookmarkStart w:id="4017" w:name="_Toc20753"/>
      <w:bookmarkStart w:id="4018" w:name="_Toc14901"/>
      <w:bookmarkStart w:id="4019" w:name="_Toc305331486"/>
      <w:bookmarkStart w:id="4020" w:name="_Toc13867"/>
      <w:bookmarkStart w:id="4021" w:name="_Toc27440"/>
      <w:bookmarkStart w:id="4022" w:name="_Toc25011"/>
      <w:bookmarkStart w:id="4023" w:name="_Toc302636004"/>
      <w:bookmarkStart w:id="4024" w:name="_Toc16984"/>
      <w:bookmarkStart w:id="4025" w:name="_Toc27493"/>
      <w:r>
        <w:rPr>
          <w:rFonts w:hint="eastAsia" w:ascii="宋体" w:hAnsi="宋体" w:eastAsia="宋体" w:cs="Times New Roman"/>
          <w:b/>
          <w:bCs/>
          <w:color w:val="auto"/>
          <w:kern w:val="0"/>
          <w:sz w:val="24"/>
          <w:szCs w:val="32"/>
          <w:highlight w:val="none"/>
          <w:lang w:val="en-US" w:eastAsia="zh-CN" w:bidi="ar-SA"/>
        </w:rPr>
        <w:t xml:space="preserve">18.6 </w:t>
      </w:r>
      <w:r>
        <w:rPr>
          <w:rFonts w:ascii="宋体" w:hAnsi="宋体" w:eastAsia="宋体" w:cs="Times New Roman"/>
          <w:b/>
          <w:bCs/>
          <w:color w:val="auto"/>
          <w:kern w:val="0"/>
          <w:sz w:val="24"/>
          <w:szCs w:val="32"/>
          <w:highlight w:val="none"/>
          <w:lang w:val="en-US" w:eastAsia="zh-CN" w:bidi="ar-SA"/>
        </w:rPr>
        <w:t>专职检查</w:t>
      </w:r>
      <w:r>
        <w:rPr>
          <w:rFonts w:hint="eastAsia" w:ascii="宋体" w:hAnsi="宋体" w:eastAsia="宋体" w:cs="Times New Roman"/>
          <w:b/>
          <w:bCs/>
          <w:color w:val="auto"/>
          <w:kern w:val="0"/>
          <w:sz w:val="24"/>
          <w:szCs w:val="32"/>
          <w:highlight w:val="none"/>
          <w:lang w:val="en-US" w:eastAsia="zh-CN" w:bidi="ar-SA"/>
        </w:rPr>
        <w:t>人员</w:t>
      </w:r>
      <w:bookmarkEnd w:id="4015"/>
      <w:bookmarkEnd w:id="4016"/>
      <w:bookmarkEnd w:id="4017"/>
      <w:bookmarkEnd w:id="4018"/>
      <w:bookmarkEnd w:id="4019"/>
      <w:bookmarkEnd w:id="4020"/>
      <w:bookmarkEnd w:id="4021"/>
      <w:bookmarkEnd w:id="4022"/>
      <w:bookmarkEnd w:id="4023"/>
      <w:bookmarkEnd w:id="4024"/>
      <w:bookmarkEnd w:id="4025"/>
    </w:p>
    <w:p w14:paraId="33FBF19E">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承包人指定专职检查</w:t>
      </w:r>
      <w:r>
        <w:rPr>
          <w:rFonts w:hint="eastAsia" w:ascii="宋体" w:hAnsi="宋体" w:eastAsia="宋体" w:cs="Times New Roman"/>
          <w:color w:val="auto"/>
          <w:sz w:val="24"/>
          <w:szCs w:val="24"/>
          <w:highlight w:val="none"/>
        </w:rPr>
        <w:t>人员姓名</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2A8B2B90">
      <w:pPr>
        <w:spacing w:line="360" w:lineRule="auto"/>
        <w:ind w:firstLine="480"/>
        <w:rPr>
          <w:rFonts w:hint="eastAsia"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t>检查内容：</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B38190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E06CB20">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0C544E7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64CEC8D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25A9B842">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026" w:name="_Toc27594"/>
      <w:bookmarkStart w:id="4027" w:name="_Toc305331487"/>
      <w:bookmarkStart w:id="4028" w:name="_Toc29419"/>
      <w:bookmarkStart w:id="4029" w:name="_Toc29583"/>
      <w:bookmarkStart w:id="4030" w:name="_Toc19974"/>
      <w:bookmarkStart w:id="4031" w:name="_Toc13924"/>
      <w:bookmarkStart w:id="4032" w:name="_Toc23544"/>
      <w:bookmarkStart w:id="4033" w:name="_Toc302636005"/>
      <w:bookmarkStart w:id="4034" w:name="_Toc13963"/>
      <w:bookmarkStart w:id="4035" w:name="_Toc9530"/>
      <w:bookmarkStart w:id="4036" w:name="_Toc7085"/>
      <w:r>
        <w:rPr>
          <w:rFonts w:hint="eastAsia" w:ascii="宋体" w:hAnsi="宋体" w:eastAsia="宋体" w:cs="Times New Roman"/>
          <w:b/>
          <w:bCs/>
          <w:color w:val="auto"/>
          <w:kern w:val="0"/>
          <w:sz w:val="24"/>
          <w:szCs w:val="32"/>
          <w:highlight w:val="none"/>
          <w:lang w:val="en-US" w:eastAsia="zh-CN" w:bidi="ar-SA"/>
        </w:rPr>
        <w:t xml:space="preserve">18.7 </w:t>
      </w:r>
      <w:r>
        <w:rPr>
          <w:rFonts w:ascii="宋体" w:hAnsi="宋体" w:eastAsia="宋体" w:cs="Times New Roman"/>
          <w:b/>
          <w:bCs/>
          <w:color w:val="auto"/>
          <w:kern w:val="0"/>
          <w:sz w:val="24"/>
          <w:szCs w:val="32"/>
          <w:highlight w:val="none"/>
          <w:lang w:val="en-US" w:eastAsia="zh-CN" w:bidi="ar-SA"/>
        </w:rPr>
        <w:t>余泥渣土</w:t>
      </w:r>
      <w:r>
        <w:rPr>
          <w:rFonts w:hint="eastAsia" w:ascii="宋体" w:hAnsi="宋体" w:eastAsia="宋体" w:cs="Times New Roman"/>
          <w:b/>
          <w:bCs/>
          <w:color w:val="auto"/>
          <w:kern w:val="0"/>
          <w:sz w:val="24"/>
          <w:szCs w:val="32"/>
          <w:highlight w:val="none"/>
          <w:lang w:val="en-US" w:eastAsia="zh-CN" w:bidi="ar-SA"/>
        </w:rPr>
        <w:t>安全文明运输</w:t>
      </w:r>
      <w:bookmarkEnd w:id="4026"/>
      <w:bookmarkEnd w:id="4027"/>
      <w:bookmarkEnd w:id="4028"/>
      <w:bookmarkEnd w:id="4029"/>
      <w:bookmarkEnd w:id="4030"/>
      <w:bookmarkEnd w:id="4031"/>
      <w:bookmarkEnd w:id="4032"/>
      <w:bookmarkEnd w:id="4033"/>
      <w:bookmarkEnd w:id="4034"/>
      <w:bookmarkEnd w:id="4035"/>
      <w:bookmarkEnd w:id="4036"/>
    </w:p>
    <w:p w14:paraId="0CC52815">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承包人违反通用条款第</w:t>
      </w:r>
      <w:r>
        <w:rPr>
          <w:rFonts w:hint="eastAsia" w:ascii="宋体" w:hAnsi="宋体" w:eastAsia="宋体" w:cs="Times New Roman"/>
          <w:color w:val="auto"/>
          <w:sz w:val="24"/>
          <w:szCs w:val="24"/>
          <w:highlight w:val="none"/>
        </w:rPr>
        <w:t>18</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7</w:t>
      </w:r>
      <w:r>
        <w:rPr>
          <w:rFonts w:ascii="宋体" w:hAnsi="宋体" w:eastAsia="宋体" w:cs="Times New Roman"/>
          <w:color w:val="auto"/>
          <w:sz w:val="24"/>
          <w:szCs w:val="24"/>
          <w:highlight w:val="none"/>
        </w:rPr>
        <w:t>款约定，对发现问题拒不履行其应尽的合同义务，应支付违约金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14:paraId="20F8C625">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37" w:name="_Toc302636006"/>
      <w:bookmarkStart w:id="4038" w:name="_Toc20189"/>
      <w:bookmarkStart w:id="4039" w:name="_Toc16818"/>
      <w:bookmarkStart w:id="4040" w:name="_Toc15320"/>
      <w:bookmarkStart w:id="4041" w:name="_Toc31682"/>
      <w:bookmarkStart w:id="4042" w:name="_Toc8699"/>
      <w:bookmarkStart w:id="4043" w:name="_Toc1695"/>
      <w:bookmarkStart w:id="4044" w:name="_Toc305331488"/>
      <w:bookmarkStart w:id="4045" w:name="_Toc17253"/>
      <w:bookmarkStart w:id="4046" w:name="_Toc27439"/>
      <w:bookmarkStart w:id="4047" w:name="_Toc10852"/>
      <w:r>
        <w:rPr>
          <w:rFonts w:hint="eastAsia" w:ascii="宋体" w:hAnsi="宋体" w:eastAsia="宋体" w:cs="Times New Roman"/>
          <w:b/>
          <w:bCs/>
          <w:color w:val="auto"/>
          <w:kern w:val="0"/>
          <w:sz w:val="24"/>
          <w:szCs w:val="32"/>
          <w:highlight w:val="none"/>
          <w:lang w:val="en-US" w:eastAsia="zh-CN" w:bidi="ar-SA"/>
        </w:rPr>
        <w:t>18.8 检查纠正责任</w:t>
      </w:r>
      <w:bookmarkEnd w:id="4037"/>
      <w:bookmarkEnd w:id="4038"/>
      <w:bookmarkEnd w:id="4039"/>
      <w:bookmarkEnd w:id="4040"/>
      <w:bookmarkEnd w:id="4041"/>
      <w:bookmarkEnd w:id="4042"/>
      <w:bookmarkEnd w:id="4043"/>
      <w:bookmarkEnd w:id="4044"/>
      <w:bookmarkEnd w:id="4045"/>
      <w:bookmarkEnd w:id="4046"/>
      <w:bookmarkEnd w:id="4047"/>
    </w:p>
    <w:p w14:paraId="3029AC6F">
      <w:pPr>
        <w:spacing w:line="360" w:lineRule="auto"/>
        <w:ind w:left="120" w:firstLine="36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承包人指定的专职检查人员未履行合同约定的检查纠正职责，承包人应支违约金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 xml:space="preserve"> </w:t>
      </w:r>
    </w:p>
    <w:bookmarkEnd w:id="3993"/>
    <w:p w14:paraId="753825E6">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048" w:name="_Toc302636007"/>
      <w:bookmarkStart w:id="4049" w:name="_Toc20063"/>
      <w:bookmarkStart w:id="4050" w:name="_Toc31809"/>
      <w:bookmarkStart w:id="4051" w:name="_Toc17208"/>
      <w:bookmarkStart w:id="4052" w:name="_Toc31832"/>
      <w:bookmarkStart w:id="4053" w:name="_Toc27333"/>
      <w:bookmarkStart w:id="4054" w:name="_Toc14703"/>
      <w:bookmarkStart w:id="4055" w:name="_Toc17209"/>
      <w:bookmarkStart w:id="4056" w:name="_Toc27371"/>
      <w:bookmarkStart w:id="4057" w:name="_Toc21455"/>
      <w:bookmarkStart w:id="4058" w:name="_Toc305331489"/>
      <w:r>
        <w:rPr>
          <w:rFonts w:hint="eastAsia" w:ascii="华文细黑" w:hAnsi="宋体" w:eastAsia="宋体" w:cs="Times New Roman"/>
          <w:b/>
          <w:bCs/>
          <w:snapToGrid w:val="0"/>
          <w:color w:val="auto"/>
          <w:kern w:val="0"/>
          <w:sz w:val="28"/>
          <w:szCs w:val="44"/>
          <w:highlight w:val="none"/>
          <w:lang w:val="en-US" w:eastAsia="zh-CN" w:bidi="ar-SA"/>
        </w:rPr>
        <w:t>20 合同价格的确定和调整</w:t>
      </w:r>
      <w:bookmarkEnd w:id="4048"/>
      <w:bookmarkEnd w:id="4049"/>
      <w:bookmarkEnd w:id="4050"/>
      <w:bookmarkEnd w:id="4051"/>
      <w:bookmarkEnd w:id="4052"/>
      <w:bookmarkEnd w:id="4053"/>
      <w:bookmarkEnd w:id="4054"/>
      <w:bookmarkEnd w:id="4055"/>
      <w:bookmarkEnd w:id="4056"/>
      <w:bookmarkEnd w:id="4057"/>
      <w:bookmarkEnd w:id="4058"/>
    </w:p>
    <w:p w14:paraId="5AD40FE6">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59" w:name="_Toc30019"/>
      <w:bookmarkStart w:id="4060" w:name="_Toc302636008"/>
      <w:bookmarkStart w:id="4061" w:name="_Toc1881"/>
      <w:bookmarkStart w:id="4062" w:name="_Toc29541"/>
      <w:bookmarkStart w:id="4063" w:name="_Toc21834"/>
      <w:bookmarkStart w:id="4064" w:name="_Toc32623"/>
      <w:bookmarkStart w:id="4065" w:name="_Toc1712"/>
      <w:bookmarkStart w:id="4066" w:name="_Toc24063"/>
      <w:bookmarkStart w:id="4067" w:name="_Toc32236"/>
      <w:bookmarkStart w:id="4068" w:name="_Toc16133"/>
      <w:bookmarkStart w:id="4069" w:name="_Toc305331490"/>
      <w:r>
        <w:rPr>
          <w:rFonts w:hint="eastAsia" w:ascii="宋体" w:hAnsi="宋体" w:eastAsia="宋体" w:cs="Times New Roman"/>
          <w:b/>
          <w:bCs/>
          <w:color w:val="auto"/>
          <w:kern w:val="0"/>
          <w:sz w:val="24"/>
          <w:szCs w:val="32"/>
          <w:highlight w:val="none"/>
          <w:lang w:val="en-US" w:eastAsia="zh-CN" w:bidi="ar-SA"/>
        </w:rPr>
        <w:t>20.1 签约合同价的确定</w:t>
      </w:r>
      <w:bookmarkEnd w:id="4059"/>
      <w:bookmarkEnd w:id="4060"/>
      <w:bookmarkEnd w:id="4061"/>
      <w:bookmarkEnd w:id="4062"/>
      <w:bookmarkEnd w:id="4063"/>
      <w:bookmarkEnd w:id="4064"/>
      <w:bookmarkEnd w:id="4065"/>
      <w:bookmarkEnd w:id="4066"/>
      <w:bookmarkEnd w:id="4067"/>
      <w:bookmarkEnd w:id="4068"/>
    </w:p>
    <w:p w14:paraId="08DB5F8A">
      <w:pPr>
        <w:spacing w:line="360" w:lineRule="auto"/>
        <w:ind w:left="120" w:firstLine="36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（3）综合单价包含的风险范围：</w:t>
      </w:r>
      <w:r>
        <w:rPr>
          <w:rFonts w:hint="eastAsia" w:ascii="宋体" w:hAnsi="宋体" w:eastAsia="宋体" w:cs="Times New Roman"/>
          <w:color w:val="auto"/>
          <w:sz w:val="24"/>
          <w:szCs w:val="24"/>
          <w:highlight w:val="none"/>
          <w:u w:val="single"/>
        </w:rPr>
        <w:t xml:space="preserve">                                           </w:t>
      </w:r>
    </w:p>
    <w:p w14:paraId="375D9C76">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EAB4E84">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70" w:name="_Toc14504"/>
      <w:bookmarkStart w:id="4071" w:name="_Toc15782"/>
      <w:bookmarkStart w:id="4072" w:name="_Toc302636009"/>
      <w:bookmarkStart w:id="4073" w:name="_Toc30162"/>
      <w:bookmarkStart w:id="4074" w:name="_Toc16237"/>
      <w:bookmarkStart w:id="4075" w:name="_Toc20648"/>
      <w:bookmarkStart w:id="4076" w:name="_Toc6373"/>
      <w:bookmarkStart w:id="4077" w:name="_Toc18566"/>
      <w:bookmarkStart w:id="4078" w:name="_Toc6238"/>
      <w:bookmarkStart w:id="4079" w:name="_Toc27189"/>
      <w:r>
        <w:rPr>
          <w:rFonts w:hint="eastAsia" w:ascii="宋体" w:hAnsi="宋体" w:eastAsia="宋体" w:cs="Times New Roman"/>
          <w:b/>
          <w:bCs/>
          <w:color w:val="auto"/>
          <w:kern w:val="0"/>
          <w:sz w:val="24"/>
          <w:szCs w:val="32"/>
          <w:highlight w:val="none"/>
          <w:lang w:val="en-US" w:eastAsia="zh-CN" w:bidi="ar-SA"/>
        </w:rPr>
        <w:t>20.2 合同价格的调整</w:t>
      </w:r>
      <w:bookmarkEnd w:id="4069"/>
      <w:bookmarkEnd w:id="4070"/>
      <w:bookmarkEnd w:id="4071"/>
      <w:bookmarkEnd w:id="4072"/>
      <w:bookmarkEnd w:id="4073"/>
      <w:bookmarkEnd w:id="4074"/>
      <w:bookmarkEnd w:id="4075"/>
      <w:bookmarkEnd w:id="4076"/>
      <w:bookmarkEnd w:id="4077"/>
      <w:bookmarkEnd w:id="4078"/>
      <w:bookmarkEnd w:id="4079"/>
    </w:p>
    <w:p w14:paraId="0C2A3411">
      <w:pPr>
        <w:spacing w:line="360" w:lineRule="auto"/>
        <w:ind w:left="120" w:firstLine="36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(11)</w:t>
      </w:r>
      <w:r>
        <w:rPr>
          <w:rFonts w:hint="eastAsia" w:ascii="宋体" w:hAnsi="宋体" w:eastAsia="宋体" w:cs="Times New Roman"/>
          <w:color w:val="auto"/>
          <w:sz w:val="24"/>
          <w:szCs w:val="24"/>
          <w:highlight w:val="none"/>
        </w:rPr>
        <w:t>本工程</w:t>
      </w:r>
      <w:r>
        <w:rPr>
          <w:rFonts w:ascii="宋体" w:hAnsi="宋体" w:eastAsia="宋体" w:cs="Times New Roman"/>
          <w:color w:val="auto"/>
          <w:sz w:val="24"/>
          <w:szCs w:val="24"/>
          <w:highlight w:val="none"/>
        </w:rPr>
        <w:t>合同价格调整</w:t>
      </w:r>
      <w:r>
        <w:rPr>
          <w:rFonts w:hint="eastAsia" w:ascii="宋体" w:hAnsi="宋体" w:eastAsia="宋体" w:cs="Times New Roman"/>
          <w:color w:val="auto"/>
          <w:sz w:val="24"/>
          <w:szCs w:val="24"/>
          <w:highlight w:val="none"/>
        </w:rPr>
        <w:t>的其他约定：</w:t>
      </w:r>
      <w:r>
        <w:rPr>
          <w:rFonts w:hint="eastAsia" w:ascii="宋体" w:hAnsi="宋体" w:eastAsia="宋体" w:cs="Times New Roman"/>
          <w:color w:val="auto"/>
          <w:sz w:val="24"/>
          <w:szCs w:val="24"/>
          <w:highlight w:val="none"/>
          <w:u w:val="single"/>
        </w:rPr>
        <w:t xml:space="preserve">                                          </w:t>
      </w:r>
    </w:p>
    <w:p w14:paraId="7A39E6E1">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03CE08B">
      <w:pPr>
        <w:spacing w:line="360" w:lineRule="auto"/>
        <w:rPr>
          <w:rFonts w:hint="eastAsia" w:ascii="宋体" w:hAnsi="宋体" w:eastAsia="宋体" w:cs="Times New Roman"/>
          <w:bCs/>
          <w:color w:val="auto"/>
          <w:sz w:val="24"/>
          <w:szCs w:val="24"/>
          <w:highlight w:val="none"/>
          <w:u w:val="single"/>
        </w:rPr>
      </w:pPr>
    </w:p>
    <w:p w14:paraId="1343E03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CD786DD">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7AAF5334">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66CBD646">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80" w:name="_Toc16796"/>
      <w:bookmarkStart w:id="4081" w:name="_Toc302636010"/>
      <w:bookmarkStart w:id="4082" w:name="_Toc4007"/>
      <w:bookmarkStart w:id="4083" w:name="_Toc31361"/>
      <w:bookmarkStart w:id="4084" w:name="_Toc20086"/>
      <w:bookmarkStart w:id="4085" w:name="_Toc305331491"/>
      <w:bookmarkStart w:id="4086" w:name="_Toc3659"/>
      <w:bookmarkStart w:id="4087" w:name="_Toc5071"/>
      <w:bookmarkStart w:id="4088" w:name="_Toc23787"/>
      <w:bookmarkStart w:id="4089" w:name="_Toc23863"/>
      <w:bookmarkStart w:id="4090" w:name="_Toc28638"/>
      <w:r>
        <w:rPr>
          <w:rFonts w:hint="eastAsia" w:ascii="宋体" w:hAnsi="宋体" w:eastAsia="宋体" w:cs="Times New Roman"/>
          <w:b/>
          <w:bCs/>
          <w:color w:val="auto"/>
          <w:kern w:val="0"/>
          <w:sz w:val="24"/>
          <w:szCs w:val="32"/>
          <w:highlight w:val="none"/>
          <w:lang w:val="en-US" w:eastAsia="zh-CN" w:bidi="ar-SA"/>
        </w:rPr>
        <w:t>20.4 工料机调差</w:t>
      </w:r>
      <w:bookmarkEnd w:id="4080"/>
      <w:bookmarkEnd w:id="4081"/>
      <w:bookmarkEnd w:id="4082"/>
      <w:bookmarkEnd w:id="4083"/>
      <w:bookmarkEnd w:id="4084"/>
      <w:bookmarkEnd w:id="4085"/>
      <w:bookmarkEnd w:id="4086"/>
      <w:bookmarkEnd w:id="4087"/>
      <w:bookmarkEnd w:id="4088"/>
      <w:bookmarkEnd w:id="4089"/>
      <w:bookmarkEnd w:id="4090"/>
    </w:p>
    <w:p w14:paraId="491612AC">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(2)用于本工程的人工、主要材料及机械使用发生价格波动时的约定如下：</w:t>
      </w:r>
      <w:r>
        <w:rPr>
          <w:rFonts w:hint="eastAsia" w:ascii="宋体" w:hAnsi="宋体" w:eastAsia="宋体" w:cs="Times New Roman"/>
          <w:color w:val="auto"/>
          <w:sz w:val="24"/>
          <w:szCs w:val="24"/>
          <w:highlight w:val="none"/>
          <w:u w:val="single"/>
        </w:rPr>
        <w:t xml:space="preserve">       </w:t>
      </w:r>
    </w:p>
    <w:p w14:paraId="09B789B7">
      <w:pPr>
        <w:spacing w:line="360" w:lineRule="auto"/>
        <w:rPr>
          <w:rFonts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E66C7ED">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03DE313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(3)主要材料是指用于本工程的某种材料价款总额达到签约合同价的</w:t>
      </w:r>
      <w:r>
        <w:rPr>
          <w:rFonts w:hint="eastAsia" w:ascii="宋体" w:hAnsi="宋体" w:eastAsia="宋体" w:cs="Times New Roman"/>
          <w:color w:val="auto"/>
          <w:kern w:val="0"/>
          <w:szCs w:val="24"/>
          <w:highlight w:val="none"/>
          <w:u w:val="single"/>
        </w:rPr>
        <w:t xml:space="preserve">     %</w:t>
      </w:r>
      <w:r>
        <w:rPr>
          <w:rFonts w:hint="eastAsia" w:ascii="宋体" w:hAnsi="宋体" w:eastAsia="宋体" w:cs="Times New Roman"/>
          <w:color w:val="auto"/>
          <w:sz w:val="24"/>
          <w:szCs w:val="24"/>
          <w:highlight w:val="none"/>
        </w:rPr>
        <w:t>。</w:t>
      </w:r>
    </w:p>
    <w:p w14:paraId="2DA6BFBC">
      <w:pPr>
        <w:spacing w:line="360" w:lineRule="auto"/>
        <w:ind w:firstLine="480"/>
        <w:rPr>
          <w:rFonts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(4)发包人和承包人根据本工程的具体实际，约定用于本工程的未达到第20.4</w:t>
      </w: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rPr>
        <w:t>项约定比例的其它材料中可调差的材料种类为：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E6BA724">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D98A474">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50746C1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(5)本工程工料机调差费用的计算和支付约定如下：</w:t>
      </w:r>
    </w:p>
    <w:p w14:paraId="644EF182">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53"/>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与其相关的工程完工后进行计算并同期支付。</w:t>
      </w:r>
    </w:p>
    <w:p w14:paraId="3DD320F8">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54"/>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竣工结算时一次性计算和支付。</w:t>
      </w:r>
    </w:p>
    <w:p w14:paraId="617C462B">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108"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5"/>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其他方式。具体约定为：</w:t>
      </w:r>
      <w:r>
        <w:rPr>
          <w:rFonts w:hint="eastAsia" w:ascii="宋体" w:hAnsi="宋体" w:eastAsia="宋体" w:cs="Times New Roman"/>
          <w:color w:val="auto"/>
          <w:sz w:val="24"/>
          <w:szCs w:val="24"/>
          <w:highlight w:val="none"/>
          <w:u w:val="single"/>
        </w:rPr>
        <w:t xml:space="preserve">                                                </w:t>
      </w:r>
    </w:p>
    <w:p w14:paraId="74F01EE8">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77D6A0CF">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91" w:name="_Toc302636011"/>
      <w:bookmarkStart w:id="4092" w:name="_Toc21432"/>
      <w:bookmarkStart w:id="4093" w:name="_Toc13352"/>
      <w:bookmarkStart w:id="4094" w:name="_Toc28569"/>
      <w:bookmarkStart w:id="4095" w:name="_Toc11987"/>
      <w:bookmarkStart w:id="4096" w:name="_Toc10606"/>
      <w:bookmarkStart w:id="4097" w:name="_Toc18007"/>
      <w:bookmarkStart w:id="4098" w:name="_Toc10303"/>
      <w:bookmarkStart w:id="4099" w:name="_Toc17605"/>
      <w:bookmarkStart w:id="4100" w:name="_Toc605"/>
      <w:r>
        <w:rPr>
          <w:rFonts w:hint="eastAsia" w:ascii="宋体" w:hAnsi="宋体" w:eastAsia="宋体" w:cs="Times New Roman"/>
          <w:b/>
          <w:bCs/>
          <w:color w:val="auto"/>
          <w:kern w:val="0"/>
          <w:sz w:val="24"/>
          <w:szCs w:val="32"/>
          <w:highlight w:val="none"/>
          <w:lang w:val="en-US" w:eastAsia="zh-CN" w:bidi="ar-SA"/>
        </w:rPr>
        <w:t>20.5 材料调差</w:t>
      </w:r>
      <w:bookmarkEnd w:id="4091"/>
      <w:bookmarkEnd w:id="4092"/>
      <w:bookmarkEnd w:id="4093"/>
      <w:bookmarkEnd w:id="4094"/>
      <w:bookmarkEnd w:id="4095"/>
      <w:bookmarkEnd w:id="4096"/>
      <w:bookmarkEnd w:id="4097"/>
      <w:bookmarkEnd w:id="4098"/>
      <w:bookmarkEnd w:id="4099"/>
      <w:bookmarkEnd w:id="4100"/>
    </w:p>
    <w:p w14:paraId="4E203B0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用于本工程的按照20.4(3)、(4)款确定的可调差材料发生价格波动时合同价格的调整方法为：</w:t>
      </w:r>
    </w:p>
    <w:p w14:paraId="3FA1AC0F">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9"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56"/>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（1）加权平均法。</w:t>
      </w:r>
    </w:p>
    <w:p w14:paraId="69C50FDE">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57"/>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（2）算术平均法。</w:t>
      </w:r>
    </w:p>
    <w:p w14:paraId="1D81CD5E">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8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58"/>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（3）其他方法。具体约定为：</w:t>
      </w:r>
      <w:r>
        <w:rPr>
          <w:rFonts w:hint="eastAsia" w:ascii="宋体" w:hAnsi="宋体" w:eastAsia="宋体" w:cs="Times New Roman"/>
          <w:color w:val="auto"/>
          <w:sz w:val="24"/>
          <w:szCs w:val="24"/>
          <w:highlight w:val="none"/>
          <w:u w:val="single"/>
        </w:rPr>
        <w:t xml:space="preserve">                                           </w:t>
      </w:r>
    </w:p>
    <w:p w14:paraId="45E52B8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4E3EB965">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8C93E29">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33702DA0">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E12CC8D">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726A8B3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调差公式中，P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 w:val="24"/>
          <w:szCs w:val="24"/>
          <w:highlight w:val="none"/>
        </w:rPr>
        <w:t>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月《深圳建设工程价格信息》某材料价格。</w:t>
      </w:r>
    </w:p>
    <w:p w14:paraId="1BEF471E">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 w:val="24"/>
          <w:szCs w:val="24"/>
          <w:highlight w:val="none"/>
        </w:rPr>
        <w:t>中，考虑的消耗量因素为：（注：只能选择一种方式，在选定的方式前的“□”内打“√”）</w:t>
      </w:r>
    </w:p>
    <w:p w14:paraId="30462DD4">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□投标报价中材料消耗量。</w:t>
      </w:r>
    </w:p>
    <w:p w14:paraId="61195059">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□定额消耗量。</w:t>
      </w:r>
    </w:p>
    <w:p w14:paraId="2AB7A114">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□投标报价中材料消耗量和定额消耗量两者中最小值。</w:t>
      </w:r>
    </w:p>
    <w:p w14:paraId="26374F55">
      <w:pPr>
        <w:tabs>
          <w:tab w:val="left" w:pos="1620"/>
          <w:tab w:val="left" w:pos="2340"/>
        </w:tabs>
        <w:snapToGrid w:val="0"/>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4A89A4A9">
      <w:pPr>
        <w:snapToGrid/>
        <w:spacing w:line="360" w:lineRule="auto"/>
        <w:ind w:firstLine="480" w:firstLineChars="0"/>
        <w:rPr>
          <w:rFonts w:hint="eastAsia" w:ascii="宋体" w:hAnsi="宋体" w:eastAsia="宋体" w:cs="Times New Roman"/>
          <w:color w:val="auto"/>
          <w:sz w:val="24"/>
          <w:szCs w:val="24"/>
          <w:highlight w:val="none"/>
        </w:rPr>
      </w:pPr>
    </w:p>
    <w:p w14:paraId="7D835E04">
      <w:pPr>
        <w:snapToGrid/>
        <w:spacing w:line="360" w:lineRule="auto"/>
        <w:ind w:firstLine="480" w:firstLineChars="0"/>
        <w:rPr>
          <w:rFonts w:hint="default" w:ascii="宋体" w:hAnsi="宋体" w:eastAsia="宋体" w:cs="Times New Roman"/>
          <w:color w:val="auto"/>
          <w:sz w:val="24"/>
          <w:szCs w:val="24"/>
          <w:highlight w:val="none"/>
          <w:lang w:val="en-US"/>
        </w:rPr>
      </w:pPr>
      <w:r>
        <w:rPr>
          <w:rFonts w:hint="eastAsia" w:ascii="宋体" w:hAnsi="宋体" w:eastAsia="宋体" w:cs="Times New Roman"/>
          <w:color w:val="auto"/>
          <w:sz w:val="24"/>
          <w:szCs w:val="24"/>
          <w:highlight w:val="none"/>
        </w:rPr>
        <w:t>如按照本合同20.4⑶、⑷款确定的可调差材料价格在《深圳建设工程价格信息》未发布的，</w:t>
      </w:r>
      <w:r>
        <w:rPr>
          <w:rFonts w:hint="eastAsia" w:ascii="宋体" w:hAnsi="宋体" w:eastAsia="宋体" w:cs="Times New Roman"/>
          <w:color w:val="auto"/>
          <w:sz w:val="24"/>
          <w:szCs w:val="24"/>
          <w:highlight w:val="none"/>
          <w:lang w:eastAsia="zh-CN"/>
        </w:rPr>
        <w:t>具体</w:t>
      </w:r>
      <w:r>
        <w:rPr>
          <w:rFonts w:hint="eastAsia" w:ascii="宋体" w:hAnsi="宋体" w:eastAsia="宋体" w:cs="Times New Roman"/>
          <w:color w:val="auto"/>
          <w:sz w:val="24"/>
          <w:szCs w:val="24"/>
          <w:highlight w:val="none"/>
        </w:rPr>
        <w:t>调差方式</w:t>
      </w:r>
      <w:r>
        <w:rPr>
          <w:rFonts w:hint="eastAsia" w:ascii="宋体" w:hAnsi="宋体" w:eastAsia="宋体" w:cs="Times New Roman"/>
          <w:color w:val="auto"/>
          <w:sz w:val="24"/>
          <w:szCs w:val="24"/>
          <w:highlight w:val="none"/>
          <w:lang w:eastAsia="zh-CN"/>
        </w:rPr>
        <w:t>为：</w:t>
      </w:r>
      <w:r>
        <w:rPr>
          <w:rFonts w:hint="eastAsia" w:ascii="宋体" w:hAnsi="宋体" w:eastAsia="宋体" w:cs="Times New Roman"/>
          <w:color w:val="auto"/>
          <w:sz w:val="24"/>
          <w:szCs w:val="24"/>
          <w:highlight w:val="none"/>
          <w:u w:val="single"/>
          <w:lang w:val="en-US" w:eastAsia="zh-CN"/>
        </w:rPr>
        <w:t xml:space="preserve">                                                    </w:t>
      </w:r>
    </w:p>
    <w:p w14:paraId="286D5651">
      <w:pPr>
        <w:snapToGrid/>
        <w:spacing w:line="360" w:lineRule="auto"/>
        <w:ind w:firstLine="0" w:firstLineChars="0"/>
        <w:rPr>
          <w:rFonts w:hint="default" w:ascii="宋体" w:hAnsi="宋体" w:eastAsia="宋体" w:cs="Times New Roman"/>
          <w:color w:val="auto"/>
          <w:sz w:val="24"/>
          <w:szCs w:val="24"/>
          <w:highlight w:val="non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lang w:val="en-US" w:eastAsia="zh-CN"/>
        </w:rPr>
        <w:t xml:space="preserve">                                                            </w:t>
      </w:r>
      <w:r>
        <w:rPr>
          <w:rFonts w:hint="eastAsia" w:ascii="宋体" w:hAnsi="宋体" w:eastAsia="宋体" w:cs="Times New Roman"/>
          <w:bCs/>
          <w:color w:val="auto"/>
          <w:sz w:val="24"/>
          <w:szCs w:val="24"/>
          <w:highlight w:val="none"/>
          <w:u w:val="none"/>
          <w:lang w:val="en-US" w:eastAsia="zh-CN"/>
        </w:rPr>
        <w:t>。</w:t>
      </w:r>
    </w:p>
    <w:p w14:paraId="0055214E">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01" w:name="_Toc14826"/>
      <w:bookmarkStart w:id="4102" w:name="_Toc14741"/>
      <w:bookmarkStart w:id="4103" w:name="_Toc1054"/>
      <w:bookmarkStart w:id="4104" w:name="_Toc1648"/>
      <w:bookmarkStart w:id="4105" w:name="_Toc27539"/>
      <w:bookmarkStart w:id="4106" w:name="_Toc3716"/>
      <w:bookmarkStart w:id="4107" w:name="_Toc17683"/>
      <w:bookmarkStart w:id="4108" w:name="_Toc14559"/>
      <w:bookmarkStart w:id="4109" w:name="_Toc31163"/>
      <w:bookmarkStart w:id="4110" w:name="_Toc302636012"/>
      <w:bookmarkStart w:id="4111" w:name="_Toc305331492"/>
      <w:r>
        <w:rPr>
          <w:rFonts w:hint="eastAsia" w:ascii="宋体" w:hAnsi="宋体" w:eastAsia="宋体" w:cs="Times New Roman"/>
          <w:b/>
          <w:bCs/>
          <w:color w:val="auto"/>
          <w:kern w:val="0"/>
          <w:sz w:val="24"/>
          <w:szCs w:val="32"/>
          <w:highlight w:val="none"/>
          <w:lang w:val="en-US" w:eastAsia="zh-CN" w:bidi="ar-SA"/>
        </w:rPr>
        <w:t>20.6 人工、机械使用调差方法</w:t>
      </w:r>
      <w:bookmarkEnd w:id="4101"/>
      <w:bookmarkEnd w:id="4102"/>
      <w:bookmarkEnd w:id="4103"/>
      <w:bookmarkEnd w:id="4104"/>
      <w:bookmarkEnd w:id="4105"/>
      <w:bookmarkEnd w:id="4106"/>
      <w:bookmarkEnd w:id="4107"/>
      <w:bookmarkEnd w:id="4108"/>
      <w:bookmarkEnd w:id="4109"/>
    </w:p>
    <w:p w14:paraId="0D0686C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bCs/>
          <w:color w:val="auto"/>
          <w:sz w:val="24"/>
          <w:szCs w:val="24"/>
          <w:highlight w:val="none"/>
        </w:rPr>
        <w:t>⑵用于本工程的人工发生价格波动时，</w:t>
      </w:r>
      <w:r>
        <w:rPr>
          <w:rFonts w:hint="eastAsia" w:ascii="宋体" w:hAnsi="宋体" w:eastAsia="宋体" w:cs="Times New Roman"/>
          <w:color w:val="auto"/>
          <w:sz w:val="24"/>
          <w:szCs w:val="24"/>
          <w:highlight w:val="none"/>
        </w:rPr>
        <w:t>合同价格的调整方法为：</w:t>
      </w:r>
    </w:p>
    <w:p w14:paraId="45880422">
      <w:pPr>
        <w:numPr>
          <w:ilvl w:val="0"/>
          <w:numId w:val="3"/>
        </w:numPr>
        <w:spacing w:line="360" w:lineRule="auto"/>
        <w:ind w:left="420" w:firstLine="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①按照20.5款调差公式，将公式中的材料价格替换为人工价格：</w:t>
      </w:r>
    </w:p>
    <w:p w14:paraId="6330CD38">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□1.加权平均法。</w:t>
      </w:r>
    </w:p>
    <w:p w14:paraId="74F0350D">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□2.算术平均法。</w:t>
      </w:r>
    </w:p>
    <w:p w14:paraId="298D85E9">
      <w:pPr>
        <w:spacing w:line="360" w:lineRule="auto"/>
        <w:ind w:left="42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88"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59"/>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②人工费指数调差。</w:t>
      </w:r>
    </w:p>
    <w:p w14:paraId="75A5A4DE">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调差公式中，</w:t>
      </w:r>
      <w:r>
        <w:rPr>
          <w:rFonts w:ascii="宋体" w:hAnsi="宋体" w:eastAsia="宋体" w:cs="Times New Roman"/>
          <w:color w:val="auto"/>
          <w:sz w:val="24"/>
          <w:szCs w:val="24"/>
          <w:highlight w:val="none"/>
        </w:rPr>
        <w:t>I</w:t>
      </w:r>
      <w:r>
        <w:rPr>
          <w:rFonts w:ascii="宋体" w:hAnsi="宋体" w:eastAsia="宋体" w:cs="Times New Roman"/>
          <w:color w:val="auto"/>
          <w:sz w:val="24"/>
          <w:szCs w:val="24"/>
          <w:highlight w:val="none"/>
          <w:vertAlign w:val="subscript"/>
        </w:rPr>
        <w:t>o</w:t>
      </w:r>
      <w:r>
        <w:rPr>
          <w:rFonts w:hint="eastAsia" w:ascii="宋体" w:hAnsi="宋体" w:eastAsia="宋体" w:cs="Times New Roman"/>
          <w:color w:val="auto"/>
          <w:sz w:val="24"/>
          <w:szCs w:val="24"/>
          <w:highlight w:val="none"/>
        </w:rPr>
        <w:t>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月《深圳建设工程价格信息》某工种定额人工费指数。</w:t>
      </w:r>
    </w:p>
    <w:p w14:paraId="0EA46DFB">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L</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确定原则：（注：只能选择一种方式，在选定的方式前的“□”内打“√”）</w:t>
      </w:r>
    </w:p>
    <w:p w14:paraId="02C94E3D">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□按投标文件商务标书中某工种总人工费所占比例确定。</w:t>
      </w:r>
    </w:p>
    <w:p w14:paraId="278768C5">
      <w:pPr>
        <w:spacing w:line="360" w:lineRule="auto"/>
        <w:ind w:left="1185" w:leftChars="450" w:hanging="240" w:hangingChars="1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□按合同价格（工料机调差前）的一定比例确定：普工总人工费为合同价格（工料机调差前）的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%；技工总人工费为合同价格（工料机调差前）的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%；高级技工总人工费为合同价格（工料机调差前）的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B231185">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4E7A07C">
      <w:pPr>
        <w:spacing w:line="360" w:lineRule="auto"/>
        <w:ind w:left="420"/>
        <w:rPr>
          <w:rFonts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9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0"/>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Cs/>
          <w:color w:val="auto"/>
          <w:sz w:val="24"/>
          <w:szCs w:val="24"/>
          <w:highlight w:val="none"/>
        </w:rPr>
        <w:t>③其他：</w:t>
      </w:r>
      <w:r>
        <w:rPr>
          <w:rFonts w:hint="eastAsia" w:ascii="宋体" w:hAnsi="宋体" w:eastAsia="宋体" w:cs="Times New Roman"/>
          <w:bCs/>
          <w:color w:val="auto"/>
          <w:sz w:val="24"/>
          <w:szCs w:val="24"/>
          <w:highlight w:val="none"/>
          <w:u w:val="single"/>
        </w:rPr>
        <w:t xml:space="preserve">                                                              </w:t>
      </w:r>
    </w:p>
    <w:p w14:paraId="5808DFA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74EDD6D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14A0A90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2682120">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12" w:name="_Toc4232"/>
      <w:bookmarkStart w:id="4113" w:name="_Toc13282"/>
      <w:bookmarkStart w:id="4114" w:name="_Toc27944"/>
      <w:bookmarkStart w:id="4115" w:name="_Toc25257"/>
      <w:bookmarkStart w:id="4116" w:name="_Toc20029"/>
      <w:bookmarkStart w:id="4117" w:name="_Toc12678"/>
      <w:bookmarkStart w:id="4118" w:name="_Toc8489"/>
      <w:bookmarkStart w:id="4119" w:name="_Toc6627"/>
      <w:bookmarkStart w:id="4120" w:name="_Toc12895"/>
      <w:r>
        <w:rPr>
          <w:rFonts w:hint="eastAsia" w:ascii="宋体" w:hAnsi="宋体" w:eastAsia="宋体" w:cs="Times New Roman"/>
          <w:b/>
          <w:bCs/>
          <w:color w:val="auto"/>
          <w:kern w:val="0"/>
          <w:sz w:val="24"/>
          <w:szCs w:val="32"/>
          <w:highlight w:val="none"/>
          <w:lang w:val="en-US" w:eastAsia="zh-CN" w:bidi="ar-SA"/>
        </w:rPr>
        <w:t>20.8中标净下浮率</w:t>
      </w:r>
      <w:bookmarkEnd w:id="4110"/>
      <w:bookmarkEnd w:id="4112"/>
      <w:bookmarkEnd w:id="4113"/>
      <w:bookmarkEnd w:id="4114"/>
      <w:bookmarkEnd w:id="4115"/>
      <w:bookmarkEnd w:id="4116"/>
      <w:bookmarkEnd w:id="4117"/>
      <w:bookmarkEnd w:id="4118"/>
      <w:bookmarkEnd w:id="4119"/>
      <w:bookmarkEnd w:id="4120"/>
    </w:p>
    <w:p w14:paraId="7D6F35C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本工程中标净下浮率为：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404B5E18">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21" w:name="_Toc12397"/>
      <w:bookmarkStart w:id="4122" w:name="_Toc2219"/>
      <w:bookmarkStart w:id="4123" w:name="_Toc2115"/>
      <w:bookmarkStart w:id="4124" w:name="_Toc29057"/>
      <w:bookmarkStart w:id="4125" w:name="_Toc3592"/>
      <w:bookmarkStart w:id="4126" w:name="_Toc23975"/>
      <w:bookmarkStart w:id="4127" w:name="_Toc25414"/>
      <w:bookmarkStart w:id="4128" w:name="_Toc3678"/>
      <w:bookmarkStart w:id="4129" w:name="_Toc30195"/>
      <w:r>
        <w:rPr>
          <w:rFonts w:hint="eastAsia" w:ascii="宋体" w:hAnsi="宋体" w:eastAsia="宋体" w:cs="Times New Roman"/>
          <w:b/>
          <w:bCs/>
          <w:color w:val="auto"/>
          <w:kern w:val="0"/>
          <w:sz w:val="24"/>
          <w:szCs w:val="32"/>
          <w:highlight w:val="none"/>
          <w:lang w:val="en-US" w:eastAsia="zh-CN" w:bidi="ar-SA"/>
        </w:rPr>
        <w:t>20.9 询价采购</w:t>
      </w:r>
      <w:bookmarkEnd w:id="4121"/>
      <w:bookmarkEnd w:id="4122"/>
      <w:bookmarkEnd w:id="4123"/>
      <w:bookmarkEnd w:id="4124"/>
      <w:bookmarkEnd w:id="4125"/>
      <w:bookmarkEnd w:id="4126"/>
      <w:bookmarkEnd w:id="4127"/>
      <w:bookmarkEnd w:id="4128"/>
      <w:bookmarkEnd w:id="4129"/>
    </w:p>
    <w:p w14:paraId="62523CD1">
      <w:pPr>
        <w:spacing w:line="360" w:lineRule="auto"/>
        <w:ind w:firstLine="480"/>
        <w:jc w:val="left"/>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询价采购的网络服务平台为：</w:t>
      </w:r>
      <w:r>
        <w:rPr>
          <w:rFonts w:hint="eastAsia" w:ascii="宋体" w:hAnsi="宋体" w:eastAsia="宋体" w:cs="Times New Roman"/>
          <w:color w:val="auto"/>
          <w:sz w:val="24"/>
          <w:szCs w:val="24"/>
          <w:highlight w:val="none"/>
          <w:u w:val="single"/>
        </w:rPr>
        <w:t xml:space="preserve">                              </w:t>
      </w:r>
    </w:p>
    <w:p w14:paraId="121FBBA1">
      <w:pPr>
        <w:spacing w:line="360" w:lineRule="auto"/>
        <w:ind w:firstLine="480"/>
        <w:rPr>
          <w:rFonts w:hint="eastAsia"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①询价采购小组的组成和成立流程等要求为：</w:t>
      </w:r>
      <w:r>
        <w:rPr>
          <w:rFonts w:hint="eastAsia" w:ascii="宋体" w:hAnsi="宋体" w:eastAsia="宋体" w:cs="Times New Roman"/>
          <w:bCs/>
          <w:color w:val="auto"/>
          <w:sz w:val="24"/>
          <w:szCs w:val="24"/>
          <w:highlight w:val="none"/>
          <w:u w:val="single"/>
        </w:rPr>
        <w:t xml:space="preserve">                              </w:t>
      </w:r>
    </w:p>
    <w:p w14:paraId="12C8075E">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9DAFAB6">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②询价采购文件编制和审核流程等要求为：</w:t>
      </w:r>
      <w:r>
        <w:rPr>
          <w:rFonts w:hint="eastAsia" w:ascii="宋体" w:hAnsi="宋体" w:eastAsia="宋体" w:cs="Times New Roman"/>
          <w:color w:val="auto"/>
          <w:sz w:val="24"/>
          <w:szCs w:val="24"/>
          <w:highlight w:val="none"/>
          <w:u w:val="single"/>
        </w:rPr>
        <w:t xml:space="preserve">                                  </w:t>
      </w:r>
    </w:p>
    <w:p w14:paraId="4CEEBB99">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1577F709">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130" w:name="_Toc4574"/>
      <w:bookmarkStart w:id="4131" w:name="_Toc21605"/>
      <w:bookmarkStart w:id="4132" w:name="_Toc302636013"/>
      <w:bookmarkStart w:id="4133" w:name="_Toc11315"/>
      <w:bookmarkStart w:id="4134" w:name="_Toc23694"/>
      <w:bookmarkStart w:id="4135" w:name="_Toc29553"/>
      <w:bookmarkStart w:id="4136" w:name="_Toc3356"/>
      <w:bookmarkStart w:id="4137" w:name="_Toc22041"/>
      <w:bookmarkStart w:id="4138" w:name="_Toc11692"/>
      <w:bookmarkStart w:id="4139" w:name="_Toc3618"/>
      <w:r>
        <w:rPr>
          <w:rFonts w:hint="eastAsia" w:ascii="华文细黑" w:hAnsi="宋体" w:eastAsia="宋体" w:cs="Times New Roman"/>
          <w:b/>
          <w:bCs/>
          <w:snapToGrid w:val="0"/>
          <w:color w:val="auto"/>
          <w:kern w:val="0"/>
          <w:sz w:val="28"/>
          <w:szCs w:val="44"/>
          <w:highlight w:val="none"/>
          <w:lang w:val="en-US" w:eastAsia="zh-CN" w:bidi="ar-SA"/>
        </w:rPr>
        <w:t>21暂估价和暂列金额</w:t>
      </w:r>
      <w:bookmarkEnd w:id="4130"/>
      <w:bookmarkEnd w:id="4131"/>
      <w:bookmarkEnd w:id="4132"/>
      <w:bookmarkEnd w:id="4133"/>
      <w:bookmarkEnd w:id="4134"/>
      <w:bookmarkEnd w:id="4135"/>
      <w:bookmarkEnd w:id="4136"/>
      <w:bookmarkEnd w:id="4137"/>
      <w:bookmarkEnd w:id="4138"/>
      <w:bookmarkEnd w:id="4139"/>
    </w:p>
    <w:p w14:paraId="67EE5559">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40" w:name="_Toc11012"/>
      <w:bookmarkStart w:id="4141" w:name="_Toc302636014"/>
      <w:bookmarkStart w:id="4142" w:name="_Toc15764"/>
      <w:bookmarkStart w:id="4143" w:name="_Toc26695"/>
      <w:bookmarkStart w:id="4144" w:name="_Toc24499"/>
      <w:bookmarkStart w:id="4145" w:name="_Toc538"/>
      <w:bookmarkStart w:id="4146" w:name="_Toc20434"/>
      <w:bookmarkStart w:id="4147" w:name="_Toc10516"/>
      <w:bookmarkStart w:id="4148" w:name="_Toc17766"/>
      <w:bookmarkStart w:id="4149" w:name="_Toc28725"/>
      <w:r>
        <w:rPr>
          <w:rFonts w:hint="eastAsia" w:ascii="宋体" w:hAnsi="宋体" w:eastAsia="宋体" w:cs="Times New Roman"/>
          <w:b/>
          <w:bCs/>
          <w:color w:val="auto"/>
          <w:kern w:val="0"/>
          <w:sz w:val="24"/>
          <w:szCs w:val="32"/>
          <w:highlight w:val="none"/>
          <w:lang w:val="en-US" w:eastAsia="zh-CN" w:bidi="ar-SA"/>
        </w:rPr>
        <w:t>21.1材料设备暂估价</w:t>
      </w:r>
      <w:bookmarkEnd w:id="4140"/>
      <w:bookmarkEnd w:id="4141"/>
      <w:bookmarkEnd w:id="4142"/>
      <w:bookmarkEnd w:id="4143"/>
      <w:bookmarkEnd w:id="4144"/>
      <w:bookmarkEnd w:id="4145"/>
      <w:bookmarkEnd w:id="4146"/>
      <w:bookmarkEnd w:id="4147"/>
      <w:bookmarkEnd w:id="4148"/>
      <w:bookmarkEnd w:id="4149"/>
    </w:p>
    <w:p w14:paraId="1C8CAF00">
      <w:pPr>
        <w:spacing w:line="360" w:lineRule="auto"/>
        <w:ind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(1)本工程暂估的材料设备的名称、规格、单位和暂估单价见下表：                             (本表可另附页) </w:t>
      </w:r>
    </w:p>
    <w:tbl>
      <w:tblPr>
        <w:tblStyle w:val="4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62"/>
        <w:gridCol w:w="2630"/>
        <w:gridCol w:w="2288"/>
        <w:gridCol w:w="900"/>
        <w:gridCol w:w="2074"/>
      </w:tblGrid>
      <w:tr w14:paraId="0C9D84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68F9BC02">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630" w:type="dxa"/>
            <w:tcBorders>
              <w:top w:val="single" w:color="auto" w:sz="4" w:space="0"/>
              <w:left w:val="single" w:color="auto" w:sz="4" w:space="0"/>
              <w:bottom w:val="single" w:color="auto" w:sz="4" w:space="0"/>
              <w:right w:val="single" w:color="auto" w:sz="4" w:space="0"/>
            </w:tcBorders>
            <w:noWrap w:val="0"/>
            <w:vAlign w:val="center"/>
          </w:tcPr>
          <w:p w14:paraId="3D3601E0">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暂估的材料设备名称</w:t>
            </w:r>
          </w:p>
        </w:tc>
        <w:tc>
          <w:tcPr>
            <w:tcW w:w="2288" w:type="dxa"/>
            <w:tcBorders>
              <w:top w:val="single" w:color="auto" w:sz="4" w:space="0"/>
              <w:left w:val="single" w:color="auto" w:sz="4" w:space="0"/>
              <w:bottom w:val="single" w:color="auto" w:sz="4" w:space="0"/>
              <w:right w:val="single" w:color="auto" w:sz="4" w:space="0"/>
            </w:tcBorders>
            <w:noWrap w:val="0"/>
            <w:vAlign w:val="center"/>
          </w:tcPr>
          <w:p w14:paraId="05C5723C">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规格</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E930FBA">
            <w:pPr>
              <w:spacing w:line="360" w:lineRule="auto"/>
              <w:ind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单位</w:t>
            </w:r>
          </w:p>
        </w:tc>
        <w:tc>
          <w:tcPr>
            <w:tcW w:w="2074" w:type="dxa"/>
            <w:tcBorders>
              <w:top w:val="single" w:color="auto" w:sz="4" w:space="0"/>
              <w:left w:val="single" w:color="auto" w:sz="4" w:space="0"/>
              <w:bottom w:val="single" w:color="auto" w:sz="4" w:space="0"/>
              <w:right w:val="single" w:color="auto" w:sz="4" w:space="0"/>
            </w:tcBorders>
            <w:noWrap w:val="0"/>
            <w:vAlign w:val="center"/>
          </w:tcPr>
          <w:p w14:paraId="119061CD">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暂估单价（元）</w:t>
            </w:r>
          </w:p>
        </w:tc>
      </w:tr>
      <w:tr w14:paraId="6DBDF4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11441D0">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47E836D7">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31FF4196">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1A64B2E6">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796F88AC">
            <w:pPr>
              <w:spacing w:line="360" w:lineRule="auto"/>
              <w:rPr>
                <w:rFonts w:ascii="宋体" w:hAnsi="宋体" w:eastAsia="宋体" w:cs="Times New Roman"/>
                <w:color w:val="auto"/>
                <w:sz w:val="24"/>
                <w:szCs w:val="24"/>
                <w:highlight w:val="none"/>
              </w:rPr>
            </w:pPr>
          </w:p>
        </w:tc>
      </w:tr>
      <w:tr w14:paraId="5462FA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B5EE40E">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01EF5287">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24774376">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72CEFCF6">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68979567">
            <w:pPr>
              <w:spacing w:line="360" w:lineRule="auto"/>
              <w:rPr>
                <w:rFonts w:ascii="宋体" w:hAnsi="宋体" w:eastAsia="宋体" w:cs="Times New Roman"/>
                <w:color w:val="auto"/>
                <w:sz w:val="24"/>
                <w:szCs w:val="24"/>
                <w:highlight w:val="none"/>
              </w:rPr>
            </w:pPr>
          </w:p>
        </w:tc>
      </w:tr>
      <w:tr w14:paraId="43D306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ED5F0DE">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0994F83D">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42DC5C52">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69013DB7">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3FF2DE04">
            <w:pPr>
              <w:spacing w:line="360" w:lineRule="auto"/>
              <w:rPr>
                <w:rFonts w:ascii="宋体" w:hAnsi="宋体" w:eastAsia="宋体" w:cs="Times New Roman"/>
                <w:color w:val="auto"/>
                <w:sz w:val="24"/>
                <w:szCs w:val="24"/>
                <w:highlight w:val="none"/>
              </w:rPr>
            </w:pPr>
          </w:p>
        </w:tc>
      </w:tr>
      <w:tr w14:paraId="29EF31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9928C3A">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29742D8B">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48406AD6">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254C86EA">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05444671">
            <w:pPr>
              <w:spacing w:line="360" w:lineRule="auto"/>
              <w:rPr>
                <w:rFonts w:ascii="宋体" w:hAnsi="宋体" w:eastAsia="宋体" w:cs="Times New Roman"/>
                <w:color w:val="auto"/>
                <w:sz w:val="24"/>
                <w:szCs w:val="24"/>
                <w:highlight w:val="none"/>
              </w:rPr>
            </w:pPr>
          </w:p>
        </w:tc>
      </w:tr>
      <w:tr w14:paraId="1C1349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1DAFCD3B">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11C124DB">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75327D16">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4B5CC138">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15DB08A1">
            <w:pPr>
              <w:spacing w:line="360" w:lineRule="auto"/>
              <w:rPr>
                <w:rFonts w:ascii="宋体" w:hAnsi="宋体" w:eastAsia="宋体" w:cs="Times New Roman"/>
                <w:color w:val="auto"/>
                <w:sz w:val="24"/>
                <w:szCs w:val="24"/>
                <w:highlight w:val="none"/>
              </w:rPr>
            </w:pPr>
          </w:p>
        </w:tc>
      </w:tr>
      <w:tr w14:paraId="21DFE5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7EFFA66A">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6D30F8FD">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019CA74F">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69618772">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28AD46DF">
            <w:pPr>
              <w:spacing w:line="360" w:lineRule="auto"/>
              <w:rPr>
                <w:rFonts w:ascii="宋体" w:hAnsi="宋体" w:eastAsia="宋体" w:cs="Times New Roman"/>
                <w:color w:val="auto"/>
                <w:sz w:val="24"/>
                <w:szCs w:val="24"/>
                <w:highlight w:val="none"/>
              </w:rPr>
            </w:pPr>
          </w:p>
        </w:tc>
      </w:tr>
      <w:tr w14:paraId="130821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E35DAFA">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3599787F">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33E0E5A4">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14:paraId="75B66DD7">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14:paraId="09916C3B">
            <w:pPr>
              <w:spacing w:line="360" w:lineRule="auto"/>
              <w:rPr>
                <w:rFonts w:ascii="宋体" w:hAnsi="宋体" w:eastAsia="宋体" w:cs="Times New Roman"/>
                <w:color w:val="auto"/>
                <w:sz w:val="24"/>
                <w:szCs w:val="24"/>
                <w:highlight w:val="none"/>
              </w:rPr>
            </w:pPr>
          </w:p>
        </w:tc>
      </w:tr>
    </w:tbl>
    <w:p w14:paraId="0A2E6B2B">
      <w:pPr>
        <w:spacing w:line="360" w:lineRule="auto"/>
        <w:ind w:firstLine="480"/>
        <w:jc w:val="left"/>
        <w:rPr>
          <w:rFonts w:hint="eastAsia" w:ascii="宋体" w:hAnsi="宋体" w:eastAsia="宋体" w:cs="Times New Roman"/>
          <w:color w:val="auto"/>
          <w:sz w:val="24"/>
          <w:szCs w:val="24"/>
          <w:highlight w:val="none"/>
        </w:rPr>
      </w:pPr>
      <w:bookmarkStart w:id="4150" w:name="_Toc302636015"/>
      <w:r>
        <w:rPr>
          <w:rFonts w:hint="eastAsia" w:ascii="宋体" w:hAnsi="宋体" w:eastAsia="宋体" w:cs="Times New Roman"/>
          <w:color w:val="auto"/>
          <w:sz w:val="24"/>
          <w:szCs w:val="24"/>
          <w:highlight w:val="none"/>
        </w:rPr>
        <w:t>(3)如21.1⑴款所述暂估的材料设备不属于按规定必须招标的，按照以下方式确定该材料设备单价：</w:t>
      </w:r>
      <w:r>
        <w:rPr>
          <w:rFonts w:hint="eastAsia" w:ascii="宋体" w:hAnsi="宋体" w:eastAsia="宋体" w:cs="Times New Roman"/>
          <w:bCs/>
          <w:color w:val="auto"/>
          <w:sz w:val="24"/>
          <w:szCs w:val="24"/>
          <w:highlight w:val="none"/>
          <w:u w:val="single"/>
        </w:rPr>
        <w:t xml:space="preserve">                                                            </w:t>
      </w:r>
    </w:p>
    <w:p w14:paraId="25FF7B16">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67C4236">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5AEC78DC">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151" w:name="_Toc3828"/>
      <w:bookmarkStart w:id="4152" w:name="_Toc12243"/>
      <w:bookmarkStart w:id="4153" w:name="_Toc18237"/>
      <w:bookmarkStart w:id="4154" w:name="_Toc31786"/>
      <w:bookmarkStart w:id="4155" w:name="_Toc24848"/>
      <w:bookmarkStart w:id="4156" w:name="_Toc23825"/>
      <w:bookmarkStart w:id="4157" w:name="_Toc15689"/>
      <w:bookmarkStart w:id="4158" w:name="_Toc4647"/>
      <w:bookmarkStart w:id="4159" w:name="_Toc19495"/>
      <w:r>
        <w:rPr>
          <w:rFonts w:hint="eastAsia" w:ascii="宋体" w:hAnsi="宋体" w:eastAsia="宋体" w:cs="Times New Roman"/>
          <w:b/>
          <w:bCs/>
          <w:color w:val="auto"/>
          <w:kern w:val="0"/>
          <w:sz w:val="24"/>
          <w:szCs w:val="32"/>
          <w:highlight w:val="none"/>
          <w:lang w:val="en-US" w:eastAsia="zh-CN" w:bidi="ar-SA"/>
        </w:rPr>
        <w:t>21.2专业工程暂估价</w:t>
      </w:r>
      <w:bookmarkEnd w:id="4111"/>
      <w:bookmarkEnd w:id="4150"/>
      <w:bookmarkEnd w:id="4151"/>
      <w:bookmarkEnd w:id="4152"/>
      <w:bookmarkEnd w:id="4153"/>
      <w:bookmarkEnd w:id="4154"/>
      <w:bookmarkEnd w:id="4155"/>
      <w:bookmarkEnd w:id="4156"/>
      <w:bookmarkEnd w:id="4157"/>
      <w:bookmarkEnd w:id="4158"/>
      <w:bookmarkEnd w:id="4159"/>
    </w:p>
    <w:p w14:paraId="77978A7A">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(1)本工程暂估的专业工程的名称和暂估价款：                                              (本表可另附页)</w:t>
      </w:r>
    </w:p>
    <w:tbl>
      <w:tblPr>
        <w:tblStyle w:val="4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
        <w:gridCol w:w="5040"/>
        <w:gridCol w:w="2520"/>
      </w:tblGrid>
      <w:tr w14:paraId="717646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1FFFB17E">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5040" w:type="dxa"/>
            <w:tcBorders>
              <w:top w:val="single" w:color="auto" w:sz="4" w:space="0"/>
              <w:left w:val="single" w:color="auto" w:sz="4" w:space="0"/>
              <w:bottom w:val="single" w:color="auto" w:sz="4" w:space="0"/>
              <w:right w:val="single" w:color="auto" w:sz="4" w:space="0"/>
            </w:tcBorders>
            <w:noWrap w:val="0"/>
            <w:vAlign w:val="center"/>
          </w:tcPr>
          <w:p w14:paraId="1C81627B">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暂估的专业工程名称</w:t>
            </w:r>
          </w:p>
        </w:tc>
        <w:tc>
          <w:tcPr>
            <w:tcW w:w="2520" w:type="dxa"/>
            <w:tcBorders>
              <w:top w:val="single" w:color="auto" w:sz="4" w:space="0"/>
              <w:left w:val="single" w:color="auto" w:sz="4" w:space="0"/>
              <w:bottom w:val="single" w:color="auto" w:sz="4" w:space="0"/>
              <w:right w:val="single" w:color="auto" w:sz="4" w:space="0"/>
            </w:tcBorders>
            <w:noWrap w:val="0"/>
            <w:vAlign w:val="center"/>
          </w:tcPr>
          <w:p w14:paraId="48F17224">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暂估价款(万元)</w:t>
            </w:r>
          </w:p>
        </w:tc>
      </w:tr>
      <w:tr w14:paraId="0CE2FE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13DFB91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46050609">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37B6E5E0">
            <w:pPr>
              <w:spacing w:line="360" w:lineRule="auto"/>
              <w:rPr>
                <w:rFonts w:ascii="宋体" w:hAnsi="宋体" w:eastAsia="宋体" w:cs="Times New Roman"/>
                <w:color w:val="auto"/>
                <w:sz w:val="24"/>
                <w:szCs w:val="24"/>
                <w:highlight w:val="none"/>
              </w:rPr>
            </w:pPr>
          </w:p>
        </w:tc>
      </w:tr>
      <w:tr w14:paraId="1F7F04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6DA7E750">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44E892DE">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6C8B5F50">
            <w:pPr>
              <w:spacing w:line="360" w:lineRule="auto"/>
              <w:rPr>
                <w:rFonts w:ascii="宋体" w:hAnsi="宋体" w:eastAsia="宋体" w:cs="Times New Roman"/>
                <w:color w:val="auto"/>
                <w:sz w:val="24"/>
                <w:szCs w:val="24"/>
                <w:highlight w:val="none"/>
              </w:rPr>
            </w:pPr>
          </w:p>
        </w:tc>
      </w:tr>
      <w:tr w14:paraId="6BB6DE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361A6ED7">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2AC9C657">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1214C56E">
            <w:pPr>
              <w:spacing w:line="360" w:lineRule="auto"/>
              <w:rPr>
                <w:rFonts w:ascii="宋体" w:hAnsi="宋体" w:eastAsia="宋体" w:cs="Times New Roman"/>
                <w:color w:val="auto"/>
                <w:sz w:val="24"/>
                <w:szCs w:val="24"/>
                <w:highlight w:val="none"/>
              </w:rPr>
            </w:pPr>
          </w:p>
        </w:tc>
      </w:tr>
      <w:tr w14:paraId="022BBA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5AF90A20">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331754EA">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772A3796">
            <w:pPr>
              <w:spacing w:line="360" w:lineRule="auto"/>
              <w:rPr>
                <w:rFonts w:ascii="宋体" w:hAnsi="宋体" w:eastAsia="宋体" w:cs="Times New Roman"/>
                <w:color w:val="auto"/>
                <w:sz w:val="24"/>
                <w:szCs w:val="24"/>
                <w:highlight w:val="none"/>
              </w:rPr>
            </w:pPr>
          </w:p>
        </w:tc>
      </w:tr>
      <w:tr w14:paraId="35E752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37EEBAAA">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52594E2D">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6C93B71B">
            <w:pPr>
              <w:spacing w:line="360" w:lineRule="auto"/>
              <w:rPr>
                <w:rFonts w:ascii="宋体" w:hAnsi="宋体" w:eastAsia="宋体" w:cs="Times New Roman"/>
                <w:color w:val="auto"/>
                <w:sz w:val="24"/>
                <w:szCs w:val="24"/>
                <w:highlight w:val="none"/>
              </w:rPr>
            </w:pPr>
          </w:p>
        </w:tc>
      </w:tr>
      <w:tr w14:paraId="78C2A2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57C88BAD">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5F669D98">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4AAC3A7E">
            <w:pPr>
              <w:spacing w:line="360" w:lineRule="auto"/>
              <w:rPr>
                <w:rFonts w:ascii="宋体" w:hAnsi="宋体" w:eastAsia="宋体" w:cs="Times New Roman"/>
                <w:color w:val="auto"/>
                <w:sz w:val="24"/>
                <w:szCs w:val="24"/>
                <w:highlight w:val="none"/>
              </w:rPr>
            </w:pPr>
          </w:p>
        </w:tc>
      </w:tr>
      <w:tr w14:paraId="517BF0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5453F6AE">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合计</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7A494A26">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14:paraId="427B6608">
            <w:pPr>
              <w:spacing w:line="360" w:lineRule="auto"/>
              <w:rPr>
                <w:rFonts w:ascii="宋体" w:hAnsi="宋体" w:eastAsia="宋体" w:cs="Times New Roman"/>
                <w:color w:val="auto"/>
                <w:sz w:val="24"/>
                <w:szCs w:val="24"/>
                <w:highlight w:val="none"/>
              </w:rPr>
            </w:pPr>
          </w:p>
        </w:tc>
      </w:tr>
    </w:tbl>
    <w:p w14:paraId="561D50BA">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(3)不属于按规定必须招标的暂估的专业工程结算价款的确定方法：</w:t>
      </w:r>
      <w:r>
        <w:rPr>
          <w:rFonts w:hint="eastAsia" w:ascii="宋体" w:hAnsi="宋体" w:eastAsia="宋体" w:cs="Times New Roman"/>
          <w:color w:val="auto"/>
          <w:sz w:val="24"/>
          <w:szCs w:val="24"/>
          <w:highlight w:val="none"/>
          <w:u w:val="single"/>
        </w:rPr>
        <w:t xml:space="preserve">                   </w:t>
      </w:r>
    </w:p>
    <w:p w14:paraId="0D00F0B9">
      <w:pPr>
        <w:spacing w:line="360" w:lineRule="auto"/>
        <w:rPr>
          <w:rFonts w:hint="eastAsia" w:ascii="宋体" w:hAnsi="宋体" w:eastAsia="宋体" w:cs="Times New Roman"/>
          <w:bCs/>
          <w:color w:val="auto"/>
          <w:sz w:val="24"/>
          <w:szCs w:val="24"/>
          <w:highlight w:val="none"/>
          <w:u w:val="single"/>
        </w:rPr>
      </w:pPr>
      <w:bookmarkStart w:id="4160" w:name="_Toc35656542"/>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3142D1C">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627AA7A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296BF46">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161" w:name="_Toc15821"/>
      <w:bookmarkStart w:id="4162" w:name="_Toc15411"/>
      <w:bookmarkStart w:id="4163" w:name="_Toc11835"/>
      <w:bookmarkStart w:id="4164" w:name="_Toc305331493"/>
      <w:bookmarkStart w:id="4165" w:name="_Toc19316"/>
      <w:bookmarkStart w:id="4166" w:name="_Toc30231"/>
      <w:bookmarkStart w:id="4167" w:name="_Toc16830"/>
      <w:bookmarkStart w:id="4168" w:name="_Toc302636016"/>
      <w:bookmarkStart w:id="4169" w:name="_Toc31595"/>
      <w:bookmarkStart w:id="4170" w:name="_Toc12683"/>
      <w:bookmarkStart w:id="4171" w:name="_Toc6164"/>
      <w:r>
        <w:rPr>
          <w:rFonts w:hint="eastAsia" w:ascii="华文细黑" w:hAnsi="宋体" w:eastAsia="宋体" w:cs="Times New Roman"/>
          <w:b/>
          <w:bCs/>
          <w:snapToGrid w:val="0"/>
          <w:color w:val="auto"/>
          <w:kern w:val="0"/>
          <w:sz w:val="28"/>
          <w:szCs w:val="44"/>
          <w:highlight w:val="none"/>
          <w:lang w:val="en-US" w:eastAsia="zh-CN" w:bidi="ar-SA"/>
        </w:rPr>
        <w:t>22 工程量</w:t>
      </w:r>
      <w:bookmarkEnd w:id="4160"/>
      <w:r>
        <w:rPr>
          <w:rFonts w:hint="eastAsia" w:ascii="华文细黑" w:hAnsi="宋体" w:eastAsia="宋体" w:cs="Times New Roman"/>
          <w:b/>
          <w:bCs/>
          <w:snapToGrid w:val="0"/>
          <w:color w:val="auto"/>
          <w:kern w:val="0"/>
          <w:sz w:val="28"/>
          <w:szCs w:val="44"/>
          <w:highlight w:val="none"/>
          <w:lang w:val="en-US" w:eastAsia="zh-CN" w:bidi="ar-SA"/>
        </w:rPr>
        <w:t>计量</w:t>
      </w:r>
      <w:bookmarkEnd w:id="4161"/>
      <w:bookmarkEnd w:id="4162"/>
      <w:bookmarkEnd w:id="4163"/>
      <w:bookmarkEnd w:id="4164"/>
      <w:bookmarkEnd w:id="4165"/>
      <w:bookmarkEnd w:id="4166"/>
      <w:bookmarkEnd w:id="4167"/>
      <w:bookmarkEnd w:id="4168"/>
      <w:bookmarkEnd w:id="4169"/>
      <w:bookmarkEnd w:id="4170"/>
      <w:bookmarkEnd w:id="4171"/>
    </w:p>
    <w:p w14:paraId="4E3A04ED">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72" w:name="_Toc305331494"/>
      <w:bookmarkStart w:id="4173" w:name="_Toc11585"/>
      <w:bookmarkStart w:id="4174" w:name="_Toc19050"/>
      <w:bookmarkStart w:id="4175" w:name="_Toc13427"/>
      <w:bookmarkStart w:id="4176" w:name="_Toc302636017"/>
      <w:bookmarkStart w:id="4177" w:name="_Toc14721"/>
      <w:bookmarkStart w:id="4178" w:name="_Toc10205"/>
      <w:bookmarkStart w:id="4179" w:name="_Toc18051"/>
      <w:bookmarkStart w:id="4180" w:name="_Toc20979"/>
      <w:bookmarkStart w:id="4181" w:name="_Toc19645"/>
      <w:bookmarkStart w:id="4182" w:name="_Toc16413"/>
      <w:r>
        <w:rPr>
          <w:rFonts w:hint="eastAsia" w:ascii="宋体" w:hAnsi="宋体" w:eastAsia="宋体" w:cs="Times New Roman"/>
          <w:b/>
          <w:bCs/>
          <w:color w:val="auto"/>
          <w:kern w:val="0"/>
          <w:sz w:val="24"/>
          <w:szCs w:val="32"/>
          <w:highlight w:val="none"/>
          <w:lang w:val="en-US" w:eastAsia="zh-CN" w:bidi="ar-SA"/>
        </w:rPr>
        <w:t>22.3工程量计算规则</w:t>
      </w:r>
      <w:bookmarkEnd w:id="4172"/>
      <w:bookmarkEnd w:id="4173"/>
      <w:bookmarkEnd w:id="4174"/>
      <w:bookmarkEnd w:id="4175"/>
      <w:bookmarkEnd w:id="4176"/>
      <w:bookmarkEnd w:id="4177"/>
      <w:bookmarkEnd w:id="4178"/>
      <w:bookmarkEnd w:id="4179"/>
      <w:bookmarkEnd w:id="4180"/>
      <w:bookmarkEnd w:id="4181"/>
      <w:bookmarkEnd w:id="4182"/>
    </w:p>
    <w:p w14:paraId="5AFA93F2">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本工程的工程量计算规则采用：</w:t>
      </w:r>
    </w:p>
    <w:p w14:paraId="28B87C10">
      <w:pPr>
        <w:spacing w:line="360" w:lineRule="auto"/>
        <w:ind w:left="178"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1"/>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《建设工程工程量清单计价规范》(GB50500—2013)；</w:t>
      </w:r>
    </w:p>
    <w:p w14:paraId="76308248">
      <w:pPr>
        <w:spacing w:line="360" w:lineRule="auto"/>
        <w:ind w:left="178"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4"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2"/>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《深圳市建设工程计价规程》（2017）；</w:t>
      </w:r>
    </w:p>
    <w:p w14:paraId="5E656B47">
      <w:pPr>
        <w:spacing w:line="360" w:lineRule="auto"/>
        <w:ind w:left="178" w:firstLine="480"/>
        <w:rPr>
          <w:rFonts w:hint="eastAsia"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drawing>
          <wp:inline distT="0" distB="0" distL="114300" distR="114300">
            <wp:extent cx="152400" cy="142875"/>
            <wp:effectExtent l="0" t="0" r="0" b="9525"/>
            <wp:docPr id="100"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3"/>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 xml:space="preserve">其它工程量计算规则： </w:t>
      </w:r>
    </w:p>
    <w:p w14:paraId="0C333FF1">
      <w:pPr>
        <w:spacing w:line="360" w:lineRule="auto"/>
        <w:rPr>
          <w:rFonts w:hint="eastAsia" w:ascii="宋体" w:hAnsi="宋体" w:eastAsia="宋体" w:cs="Times New Roman"/>
          <w:bCs/>
          <w:color w:val="auto"/>
          <w:sz w:val="24"/>
          <w:szCs w:val="24"/>
          <w:highlight w:val="none"/>
          <w:u w:val="single"/>
        </w:rPr>
      </w:pPr>
      <w:bookmarkStart w:id="4183" w:name="_Toc302636018"/>
      <w:bookmarkStart w:id="4184" w:name="_Toc305331495"/>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45DE1C6">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7A694C9F">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185" w:name="_Toc14310"/>
      <w:bookmarkStart w:id="4186" w:name="_Toc24068"/>
      <w:bookmarkStart w:id="4187" w:name="_Toc24935"/>
      <w:bookmarkStart w:id="4188" w:name="_Toc19906"/>
      <w:bookmarkStart w:id="4189" w:name="_Toc32328"/>
      <w:bookmarkStart w:id="4190" w:name="_Toc31572"/>
      <w:bookmarkStart w:id="4191" w:name="_Toc32333"/>
      <w:bookmarkStart w:id="4192" w:name="_Toc4150"/>
      <w:bookmarkStart w:id="4193" w:name="_Toc12852"/>
      <w:r>
        <w:rPr>
          <w:rFonts w:hint="eastAsia" w:ascii="华文细黑" w:hAnsi="宋体" w:eastAsia="宋体" w:cs="Times New Roman"/>
          <w:b/>
          <w:bCs/>
          <w:snapToGrid w:val="0"/>
          <w:color w:val="auto"/>
          <w:kern w:val="0"/>
          <w:sz w:val="28"/>
          <w:szCs w:val="44"/>
          <w:highlight w:val="none"/>
          <w:lang w:val="en-US" w:eastAsia="zh-CN" w:bidi="ar-SA"/>
        </w:rPr>
        <w:t>23 工程款支付</w:t>
      </w:r>
      <w:bookmarkEnd w:id="4183"/>
      <w:bookmarkEnd w:id="4184"/>
      <w:bookmarkEnd w:id="4185"/>
      <w:bookmarkEnd w:id="4186"/>
      <w:bookmarkEnd w:id="4187"/>
      <w:bookmarkEnd w:id="4188"/>
      <w:bookmarkEnd w:id="4189"/>
      <w:bookmarkEnd w:id="4190"/>
      <w:bookmarkEnd w:id="4191"/>
      <w:bookmarkEnd w:id="4192"/>
      <w:bookmarkEnd w:id="4193"/>
    </w:p>
    <w:p w14:paraId="1256D5A6">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94" w:name="_Toc3343"/>
      <w:bookmarkStart w:id="4195" w:name="_Toc22440"/>
      <w:bookmarkStart w:id="4196" w:name="_Toc26346"/>
      <w:bookmarkStart w:id="4197" w:name="_Toc22054"/>
      <w:bookmarkStart w:id="4198" w:name="_Toc20110"/>
      <w:bookmarkStart w:id="4199" w:name="_Toc31812"/>
      <w:bookmarkStart w:id="4200" w:name="_Toc15586"/>
      <w:bookmarkStart w:id="4201" w:name="_Toc823"/>
      <w:bookmarkStart w:id="4202" w:name="_Toc302636019"/>
      <w:bookmarkStart w:id="4203" w:name="_Toc305331496"/>
      <w:bookmarkStart w:id="4204" w:name="_Toc11553"/>
      <w:r>
        <w:rPr>
          <w:rFonts w:hint="eastAsia" w:ascii="宋体" w:hAnsi="宋体" w:eastAsia="宋体" w:cs="Times New Roman"/>
          <w:b/>
          <w:bCs/>
          <w:color w:val="auto"/>
          <w:kern w:val="0"/>
          <w:sz w:val="24"/>
          <w:szCs w:val="32"/>
          <w:highlight w:val="none"/>
          <w:lang w:val="en-US" w:eastAsia="zh-CN" w:bidi="ar-SA"/>
        </w:rPr>
        <w:t>23.1 工程预付款</w:t>
      </w:r>
      <w:bookmarkEnd w:id="4194"/>
      <w:bookmarkEnd w:id="4195"/>
      <w:bookmarkEnd w:id="4196"/>
      <w:bookmarkEnd w:id="4197"/>
      <w:bookmarkEnd w:id="4198"/>
      <w:bookmarkEnd w:id="4199"/>
      <w:bookmarkEnd w:id="4200"/>
      <w:bookmarkEnd w:id="4201"/>
      <w:bookmarkEnd w:id="4202"/>
      <w:bookmarkEnd w:id="4203"/>
      <w:bookmarkEnd w:id="4204"/>
    </w:p>
    <w:p w14:paraId="50114E8C">
      <w:pPr>
        <w:spacing w:line="360" w:lineRule="auto"/>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(1)本工程的工程预付款比例为签约合同价的</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u w:val="none"/>
        </w:rPr>
        <w:t>%</w:t>
      </w:r>
      <w:r>
        <w:rPr>
          <w:rFonts w:hint="eastAsia" w:ascii="宋体" w:hAnsi="宋体" w:eastAsia="宋体" w:cs="Times New Roman"/>
          <w:sz w:val="24"/>
          <w:szCs w:val="24"/>
          <w:highlight w:val="none"/>
        </w:rPr>
        <w:t>，即：</w:t>
      </w:r>
      <w:r>
        <w:rPr>
          <w:rFonts w:hint="eastAsia" w:ascii="宋体" w:hAnsi="宋体" w:eastAsia="宋体" w:cs="Times New Roman"/>
          <w:sz w:val="24"/>
          <w:szCs w:val="24"/>
          <w:highlight w:val="none"/>
          <w:u w:val="none"/>
        </w:rPr>
        <w:t>￥</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14:paraId="701ADB3D">
      <w:pPr>
        <w:spacing w:line="360" w:lineRule="auto"/>
        <w:ind w:firstLine="84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其中，施工现场安全文明措施费预付款的金额：</w:t>
      </w:r>
      <w:r>
        <w:rPr>
          <w:rFonts w:hint="eastAsia" w:ascii="宋体" w:hAnsi="宋体" w:eastAsia="宋体" w:cs="Times New Roman"/>
          <w:sz w:val="24"/>
          <w:szCs w:val="24"/>
          <w:highlight w:val="none"/>
          <w:u w:val="none"/>
        </w:rPr>
        <w:t>￥</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14:paraId="122DC893">
      <w:pPr>
        <w:spacing w:line="360" w:lineRule="auto"/>
        <w:ind w:firstLine="1680" w:firstLineChars="7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工人工资预付款金额：￥</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14:paraId="2EC9D04D">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)发包人向承包人支付工程预付款的时间：</w:t>
      </w:r>
      <w:r>
        <w:rPr>
          <w:rFonts w:hint="eastAsia" w:ascii="宋体" w:hAnsi="宋体" w:eastAsia="宋体" w:cs="Times New Roman"/>
          <w:color w:val="auto"/>
          <w:sz w:val="24"/>
          <w:szCs w:val="24"/>
          <w:highlight w:val="none"/>
          <w:u w:val="single"/>
        </w:rPr>
        <w:t xml:space="preserve">                                 </w:t>
      </w:r>
    </w:p>
    <w:p w14:paraId="38C268DF">
      <w:pPr>
        <w:spacing w:line="360" w:lineRule="auto"/>
        <w:ind w:firstLine="84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发包人支付预付款之前，还应具备的条件：</w:t>
      </w:r>
      <w:r>
        <w:rPr>
          <w:rFonts w:hint="eastAsia" w:ascii="宋体" w:hAnsi="宋体" w:eastAsia="宋体" w:cs="Times New Roman"/>
          <w:color w:val="auto"/>
          <w:sz w:val="24"/>
          <w:szCs w:val="24"/>
          <w:highlight w:val="none"/>
          <w:u w:val="single"/>
        </w:rPr>
        <w:t xml:space="preserve">                               </w:t>
      </w:r>
    </w:p>
    <w:p w14:paraId="57FF337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6F75DBCD">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3</w:t>
      </w:r>
      <w:r>
        <w:rPr>
          <w:rFonts w:hint="eastAsia" w:ascii="宋体" w:hAnsi="宋体" w:eastAsia="宋体" w:cs="Times New Roman"/>
          <w:color w:val="auto"/>
          <w:sz w:val="24"/>
          <w:szCs w:val="24"/>
          <w:highlight w:val="none"/>
        </w:rPr>
        <w:t>)工程预付款扣回的起扣点：</w:t>
      </w:r>
      <w:r>
        <w:rPr>
          <w:rFonts w:hint="eastAsia" w:ascii="宋体" w:hAnsi="宋体" w:eastAsia="宋体" w:cs="Times New Roman"/>
          <w:color w:val="auto"/>
          <w:sz w:val="24"/>
          <w:szCs w:val="24"/>
          <w:highlight w:val="none"/>
          <w:u w:val="single"/>
        </w:rPr>
        <w:t xml:space="preserve">                                             </w:t>
      </w:r>
    </w:p>
    <w:p w14:paraId="66340A5D">
      <w:pPr>
        <w:spacing w:line="360" w:lineRule="auto"/>
        <w:ind w:firstLine="96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工程预付款扣回比例：</w:t>
      </w:r>
      <w:r>
        <w:rPr>
          <w:rFonts w:hint="eastAsia" w:ascii="宋体" w:hAnsi="宋体" w:eastAsia="宋体" w:cs="Times New Roman"/>
          <w:color w:val="auto"/>
          <w:sz w:val="24"/>
          <w:szCs w:val="24"/>
          <w:highlight w:val="none"/>
          <w:u w:val="single"/>
        </w:rPr>
        <w:t xml:space="preserve">                                                </w:t>
      </w:r>
    </w:p>
    <w:p w14:paraId="13F7B42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05" w:name="_Toc14341"/>
      <w:bookmarkStart w:id="4206" w:name="_Toc302636020"/>
      <w:bookmarkStart w:id="4207" w:name="_Toc305331497"/>
      <w:bookmarkStart w:id="4208" w:name="_Toc8895"/>
      <w:bookmarkStart w:id="4209" w:name="_Toc21651"/>
      <w:bookmarkStart w:id="4210" w:name="_Toc5386"/>
      <w:bookmarkStart w:id="4211" w:name="_Toc13206"/>
      <w:bookmarkStart w:id="4212" w:name="_Toc30732"/>
      <w:bookmarkStart w:id="4213" w:name="_Toc31859"/>
      <w:bookmarkStart w:id="4214" w:name="_Toc5754"/>
      <w:bookmarkStart w:id="4215" w:name="_Toc30448"/>
      <w:r>
        <w:rPr>
          <w:rFonts w:hint="eastAsia" w:ascii="宋体" w:hAnsi="宋体" w:eastAsia="宋体" w:cs="Times New Roman"/>
          <w:b/>
          <w:bCs/>
          <w:color w:val="auto"/>
          <w:kern w:val="0"/>
          <w:sz w:val="24"/>
          <w:szCs w:val="32"/>
          <w:highlight w:val="none"/>
          <w:lang w:val="en-US" w:eastAsia="zh-CN" w:bidi="ar-SA"/>
        </w:rPr>
        <w:t xml:space="preserve">23.2 </w:t>
      </w:r>
      <w:bookmarkEnd w:id="4205"/>
      <w:bookmarkEnd w:id="4206"/>
      <w:bookmarkEnd w:id="4207"/>
      <w:r>
        <w:rPr>
          <w:rFonts w:hint="eastAsia" w:ascii="宋体" w:hAnsi="宋体" w:eastAsia="宋体" w:cs="Times New Roman"/>
          <w:b/>
          <w:bCs/>
          <w:color w:val="auto"/>
          <w:kern w:val="0"/>
          <w:sz w:val="24"/>
          <w:szCs w:val="24"/>
          <w:highlight w:val="none"/>
          <w:lang w:val="en-US" w:eastAsia="zh-CN" w:bidi="ar-SA"/>
        </w:rPr>
        <w:t>进度款支付周期</w:t>
      </w:r>
      <w:bookmarkEnd w:id="4208"/>
      <w:bookmarkEnd w:id="4209"/>
      <w:bookmarkEnd w:id="4210"/>
      <w:bookmarkEnd w:id="4211"/>
      <w:bookmarkEnd w:id="4212"/>
      <w:bookmarkEnd w:id="4213"/>
      <w:bookmarkEnd w:id="4214"/>
      <w:bookmarkEnd w:id="4215"/>
    </w:p>
    <w:p w14:paraId="29852B9A">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(1)本工程办理</w:t>
      </w:r>
      <w:r>
        <w:rPr>
          <w:rFonts w:hint="eastAsia" w:ascii="宋体" w:hAnsi="宋体" w:eastAsia="宋体" w:cs="Times New Roman"/>
          <w:color w:val="auto"/>
          <w:sz w:val="24"/>
          <w:szCs w:val="24"/>
          <w:highlight w:val="none"/>
          <w:lang w:val="en-US" w:eastAsia="zh-CN"/>
        </w:rPr>
        <w:t>进度款</w:t>
      </w:r>
      <w:r>
        <w:rPr>
          <w:rFonts w:hint="eastAsia" w:ascii="宋体" w:hAnsi="宋体" w:eastAsia="宋体" w:cs="Times New Roman"/>
          <w:color w:val="auto"/>
          <w:sz w:val="24"/>
          <w:szCs w:val="24"/>
          <w:highlight w:val="none"/>
        </w:rPr>
        <w:t>支付的时间间隔为：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62AA4EC0">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20FAB645">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16" w:name="_Toc305331499"/>
      <w:bookmarkStart w:id="4217" w:name="_Toc2777"/>
      <w:bookmarkStart w:id="4218" w:name="_Toc11685"/>
      <w:bookmarkStart w:id="4219" w:name="_Toc2977"/>
      <w:bookmarkStart w:id="4220" w:name="_Toc3713"/>
      <w:bookmarkStart w:id="4221" w:name="_Toc4462"/>
      <w:bookmarkStart w:id="4222" w:name="_Toc302636021"/>
      <w:bookmarkStart w:id="4223" w:name="_Toc22105"/>
      <w:bookmarkStart w:id="4224" w:name="_Toc30528"/>
      <w:bookmarkStart w:id="4225" w:name="_Toc16255"/>
      <w:bookmarkStart w:id="4226" w:name="_Toc22483"/>
      <w:r>
        <w:rPr>
          <w:rFonts w:hint="eastAsia" w:ascii="宋体" w:hAnsi="宋体" w:eastAsia="宋体" w:cs="Times New Roman"/>
          <w:b/>
          <w:bCs/>
          <w:color w:val="auto"/>
          <w:kern w:val="0"/>
          <w:sz w:val="24"/>
          <w:szCs w:val="32"/>
          <w:highlight w:val="none"/>
          <w:lang w:val="en-US" w:eastAsia="zh-CN" w:bidi="ar-SA"/>
        </w:rPr>
        <w:t>23.4 进度款支付</w:t>
      </w:r>
      <w:bookmarkEnd w:id="4216"/>
      <w:bookmarkEnd w:id="4217"/>
      <w:bookmarkEnd w:id="4218"/>
      <w:bookmarkEnd w:id="4219"/>
      <w:bookmarkEnd w:id="4220"/>
      <w:bookmarkEnd w:id="4221"/>
      <w:bookmarkEnd w:id="4222"/>
      <w:bookmarkEnd w:id="4223"/>
      <w:bookmarkEnd w:id="4224"/>
      <w:bookmarkEnd w:id="4225"/>
      <w:bookmarkEnd w:id="4226"/>
    </w:p>
    <w:p w14:paraId="3F3D9ACA">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lang w:eastAsia="zh-CN"/>
        </w:rPr>
        <w:t>进度款</w:t>
      </w:r>
      <w:r>
        <w:rPr>
          <w:rFonts w:hint="eastAsia" w:ascii="宋体" w:hAnsi="宋体" w:eastAsia="宋体" w:cs="Times New Roman"/>
          <w:color w:val="auto"/>
          <w:sz w:val="24"/>
          <w:szCs w:val="24"/>
          <w:highlight w:val="none"/>
        </w:rPr>
        <w:t>支付的最低金额为：</w:t>
      </w:r>
      <w:r>
        <w:rPr>
          <w:rFonts w:hint="eastAsia" w:ascii="宋体" w:hAnsi="宋体" w:eastAsia="宋体" w:cs="Times New Roman"/>
          <w:color w:val="auto"/>
          <w:sz w:val="24"/>
          <w:szCs w:val="24"/>
          <w:highlight w:val="none"/>
          <w:u w:val="single"/>
        </w:rPr>
        <w:t xml:space="preserve">                                             </w:t>
      </w:r>
    </w:p>
    <w:p w14:paraId="6E4A5CB0">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(2)累计进度款支付价款达到合同价格总额的</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%时暂停支付</w:t>
      </w:r>
      <w:r>
        <w:rPr>
          <w:rFonts w:hint="eastAsia" w:ascii="宋体" w:hAnsi="宋体" w:eastAsia="宋体" w:cs="Times New Roman"/>
          <w:color w:val="auto"/>
          <w:sz w:val="24"/>
          <w:szCs w:val="24"/>
          <w:highlight w:val="none"/>
          <w:lang w:eastAsia="zh-CN"/>
        </w:rPr>
        <w:t>。</w:t>
      </w:r>
    </w:p>
    <w:p w14:paraId="70A7D3FB">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27" w:name="_Toc12610"/>
      <w:bookmarkStart w:id="4228" w:name="_Toc22728"/>
      <w:bookmarkStart w:id="4229" w:name="_Toc12460"/>
      <w:bookmarkStart w:id="4230" w:name="_Toc18117"/>
      <w:bookmarkStart w:id="4231" w:name="_Toc19330"/>
      <w:bookmarkStart w:id="4232" w:name="_Toc13824"/>
      <w:bookmarkStart w:id="4233" w:name="_Toc15724"/>
      <w:bookmarkStart w:id="4234" w:name="_Toc23026"/>
      <w:bookmarkStart w:id="4235" w:name="_Toc18203"/>
      <w:bookmarkStart w:id="4236" w:name="_Toc305331500"/>
      <w:bookmarkStart w:id="4237" w:name="_Toc302636022"/>
      <w:bookmarkStart w:id="4238" w:name="_Toc35656544"/>
      <w:r>
        <w:rPr>
          <w:rFonts w:hint="eastAsia" w:ascii="宋体" w:hAnsi="宋体" w:eastAsia="宋体" w:cs="Times New Roman"/>
          <w:b/>
          <w:bCs/>
          <w:color w:val="auto"/>
          <w:kern w:val="0"/>
          <w:sz w:val="24"/>
          <w:szCs w:val="32"/>
          <w:highlight w:val="none"/>
          <w:lang w:val="en-US" w:eastAsia="zh-CN" w:bidi="ar-SA"/>
        </w:rPr>
        <w:t>23.5 工人工资支付</w:t>
      </w:r>
      <w:bookmarkEnd w:id="4227"/>
      <w:bookmarkEnd w:id="4228"/>
      <w:bookmarkEnd w:id="4229"/>
      <w:bookmarkEnd w:id="4230"/>
      <w:bookmarkEnd w:id="4231"/>
      <w:bookmarkEnd w:id="4232"/>
      <w:bookmarkEnd w:id="4233"/>
      <w:bookmarkEnd w:id="4234"/>
      <w:bookmarkEnd w:id="4235"/>
    </w:p>
    <w:p w14:paraId="4B7AA39C">
      <w:pPr>
        <w:spacing w:line="360" w:lineRule="auto"/>
        <w:ind w:firstLine="480"/>
        <w:rPr>
          <w:rFonts w:hint="eastAsia" w:ascii="宋体" w:hAnsi="宋体"/>
          <w:sz w:val="24"/>
          <w:highlight w:val="none"/>
        </w:rPr>
      </w:pPr>
      <w:bookmarkStart w:id="4239" w:name="_Toc448841291"/>
      <w:bookmarkStart w:id="4240" w:name="_Toc453616623"/>
      <w:r>
        <w:rPr>
          <w:rFonts w:hint="eastAsia" w:ascii="宋体" w:hAnsi="宋体"/>
          <w:sz w:val="24"/>
          <w:highlight w:val="none"/>
        </w:rPr>
        <w:t>发包人支付到工人工资专用账户的工人工资支付周期为：</w:t>
      </w:r>
      <w:r>
        <w:rPr>
          <w:rFonts w:hint="eastAsia" w:ascii="宋体" w:hAnsi="宋体"/>
          <w:sz w:val="24"/>
          <w:highlight w:val="none"/>
          <w:u w:val="single"/>
        </w:rPr>
        <w:t xml:space="preserve">                </w:t>
      </w:r>
      <w:r>
        <w:rPr>
          <w:rFonts w:hint="eastAsia" w:ascii="宋体" w:hAnsi="宋体"/>
          <w:sz w:val="24"/>
          <w:highlight w:val="none"/>
        </w:rPr>
        <w:t>，该工人工资支付周期不得超过1个月。</w:t>
      </w:r>
    </w:p>
    <w:p w14:paraId="0DEA2D48">
      <w:pPr>
        <w:spacing w:line="360" w:lineRule="auto"/>
        <w:ind w:firstLine="480"/>
        <w:rPr>
          <w:rFonts w:hint="eastAsia" w:ascii="宋体" w:hAnsi="宋体"/>
          <w:sz w:val="24"/>
          <w:highlight w:val="none"/>
        </w:rPr>
      </w:pPr>
      <w:r>
        <w:rPr>
          <w:rFonts w:hint="eastAsia" w:ascii="宋体" w:hAnsi="宋体"/>
          <w:sz w:val="24"/>
          <w:highlight w:val="none"/>
          <w:lang w:eastAsia="zh-CN"/>
        </w:rPr>
        <w:t>发包人</w:t>
      </w:r>
      <w:r>
        <w:rPr>
          <w:rFonts w:hint="eastAsia" w:ascii="宋体" w:hAnsi="宋体"/>
          <w:sz w:val="24"/>
          <w:highlight w:val="none"/>
        </w:rPr>
        <w:t>每月工人工资拨付金额占本期进度款的比例为：</w:t>
      </w:r>
      <w:r>
        <w:rPr>
          <w:rFonts w:hint="eastAsia" w:ascii="宋体" w:hAnsi="宋体"/>
          <w:sz w:val="24"/>
          <w:highlight w:val="none"/>
          <w:u w:val="single"/>
        </w:rPr>
        <w:t xml:space="preserve">       </w:t>
      </w:r>
      <w:r>
        <w:rPr>
          <w:rFonts w:hint="eastAsia" w:ascii="宋体" w:hAnsi="宋体"/>
          <w:sz w:val="24"/>
          <w:highlight w:val="none"/>
        </w:rPr>
        <w:t>。（房屋建筑工程基础施工、主体施工、装修装饰施工、收尾阶段分别不少于本期进度款的8%、30%、18%、20%；市政工程(含水务工程)不少于本期进度款的13%；其他工程为本期进度款的15%-20%）</w:t>
      </w:r>
    </w:p>
    <w:p w14:paraId="2913F7E3">
      <w:pPr>
        <w:spacing w:line="360" w:lineRule="auto"/>
        <w:ind w:firstLine="480"/>
        <w:rPr>
          <w:rFonts w:hint="eastAsia" w:ascii="宋体" w:hAnsi="宋体"/>
          <w:sz w:val="24"/>
          <w:highlight w:val="none"/>
        </w:rPr>
      </w:pPr>
      <w:r>
        <w:rPr>
          <w:rFonts w:hint="eastAsia" w:ascii="宋体" w:hAnsi="宋体"/>
          <w:sz w:val="24"/>
          <w:highlight w:val="none"/>
        </w:rPr>
        <w:t>发包人和承包人应结合项目实际，合理确定上述比例。</w:t>
      </w:r>
    </w:p>
    <w:p w14:paraId="7B5CCC92">
      <w:pPr>
        <w:spacing w:line="360" w:lineRule="auto"/>
        <w:ind w:firstLine="480"/>
        <w:rPr>
          <w:rFonts w:hint="default" w:ascii="宋体" w:hAnsi="宋体" w:eastAsia="宋体"/>
          <w:sz w:val="24"/>
          <w:highlight w:val="none"/>
          <w:u w:val="single"/>
          <w:lang w:val="en-US" w:eastAsia="zh-CN"/>
        </w:rPr>
      </w:pPr>
      <w:r>
        <w:rPr>
          <w:rFonts w:hint="eastAsia" w:ascii="宋体" w:hAnsi="宋体"/>
          <w:sz w:val="24"/>
          <w:highlight w:val="none"/>
        </w:rPr>
        <w:t>如因非承包人原因导致按上述比例不足以满足本工程工人工资足额发放的，双方可以协商调整上述比例，具体调整方式为：</w:t>
      </w:r>
      <w:r>
        <w:rPr>
          <w:rFonts w:hint="eastAsia" w:ascii="宋体" w:hAnsi="宋体"/>
          <w:bCs/>
          <w:sz w:val="24"/>
          <w:highlight w:val="none"/>
          <w:u w:val="single"/>
        </w:rPr>
        <w:t xml:space="preserve">    </w:t>
      </w:r>
      <w:r>
        <w:rPr>
          <w:rFonts w:hint="eastAsia" w:ascii="宋体" w:hAnsi="宋体"/>
          <w:bCs/>
          <w:sz w:val="24"/>
          <w:highlight w:val="none"/>
          <w:u w:val="single"/>
          <w:lang w:val="en-US" w:eastAsia="zh-CN"/>
        </w:rPr>
        <w:t xml:space="preserve">                                   </w:t>
      </w:r>
    </w:p>
    <w:p w14:paraId="1666F2D3">
      <w:pPr>
        <w:spacing w:line="360" w:lineRule="auto"/>
        <w:ind w:firstLine="480"/>
        <w:rPr>
          <w:rFonts w:hint="eastAsia" w:ascii="宋体" w:hAnsi="宋体"/>
          <w:sz w:val="24"/>
          <w:highlight w:val="none"/>
        </w:rPr>
      </w:pPr>
      <w:r>
        <w:rPr>
          <w:rFonts w:hint="eastAsia" w:ascii="宋体" w:hAnsi="宋体"/>
          <w:sz w:val="24"/>
          <w:highlight w:val="none"/>
        </w:rPr>
        <w:t>承包人已确认上述比例及调整的约定，能满足本工程的工人工资足额发放。</w:t>
      </w:r>
    </w:p>
    <w:p w14:paraId="07603720">
      <w:pPr>
        <w:spacing w:line="360" w:lineRule="auto"/>
        <w:ind w:firstLine="480"/>
        <w:rPr>
          <w:rFonts w:hint="eastAsia" w:ascii="宋体" w:hAnsi="宋体"/>
          <w:bCs/>
          <w:sz w:val="24"/>
          <w:highlight w:val="none"/>
          <w:u w:val="single"/>
        </w:rPr>
      </w:pPr>
      <w:r>
        <w:rPr>
          <w:rFonts w:hint="eastAsia" w:ascii="宋体" w:hAnsi="宋体"/>
          <w:sz w:val="24"/>
          <w:highlight w:val="none"/>
        </w:rPr>
        <w:t>本工程工人工资支付的其他约定：</w:t>
      </w:r>
      <w:r>
        <w:rPr>
          <w:rFonts w:hint="eastAsia" w:ascii="宋体" w:hAnsi="宋体"/>
          <w:sz w:val="24"/>
          <w:highlight w:val="none"/>
          <w:u w:val="single"/>
        </w:rPr>
        <w:t xml:space="preserve">                          </w:t>
      </w:r>
      <w:r>
        <w:rPr>
          <w:rFonts w:hint="eastAsia" w:ascii="宋体" w:hAnsi="宋体"/>
          <w:bCs/>
          <w:sz w:val="24"/>
          <w:highlight w:val="none"/>
          <w:u w:val="single"/>
        </w:rPr>
        <w:t xml:space="preserve">                </w:t>
      </w:r>
    </w:p>
    <w:p w14:paraId="42A0596E">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bookmarkEnd w:id="4239"/>
    <w:bookmarkEnd w:id="4240"/>
    <w:p w14:paraId="1CF4ED44">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41" w:name="_Toc6156"/>
      <w:bookmarkStart w:id="4242" w:name="_Toc27877"/>
      <w:bookmarkStart w:id="4243" w:name="_Toc20072"/>
      <w:bookmarkStart w:id="4244" w:name="_Toc13564"/>
      <w:bookmarkStart w:id="4245" w:name="_Toc26382"/>
      <w:bookmarkStart w:id="4246" w:name="_Toc30061"/>
      <w:bookmarkStart w:id="4247" w:name="_Toc15757"/>
      <w:bookmarkStart w:id="4248" w:name="_Toc6577"/>
      <w:bookmarkStart w:id="4249" w:name="_Toc2519"/>
      <w:r>
        <w:rPr>
          <w:rFonts w:hint="eastAsia" w:ascii="宋体" w:hAnsi="宋体" w:eastAsia="宋体" w:cs="Times New Roman"/>
          <w:b/>
          <w:bCs/>
          <w:color w:val="auto"/>
          <w:kern w:val="0"/>
          <w:sz w:val="24"/>
          <w:szCs w:val="32"/>
          <w:highlight w:val="none"/>
          <w:lang w:val="en-US" w:eastAsia="zh-CN" w:bidi="ar-SA"/>
        </w:rPr>
        <w:t>23.6 工程款专款专用</w:t>
      </w:r>
      <w:bookmarkEnd w:id="4236"/>
      <w:bookmarkEnd w:id="4237"/>
      <w:bookmarkEnd w:id="4241"/>
      <w:bookmarkEnd w:id="4242"/>
      <w:bookmarkEnd w:id="4243"/>
      <w:bookmarkEnd w:id="4244"/>
      <w:bookmarkEnd w:id="4245"/>
      <w:bookmarkEnd w:id="4246"/>
      <w:bookmarkEnd w:id="4247"/>
      <w:bookmarkEnd w:id="4248"/>
      <w:bookmarkEnd w:id="4249"/>
    </w:p>
    <w:p w14:paraId="376F1B33">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发包人有权采取以下方式对承包人的工程款使用情况进行监管：</w:t>
      </w:r>
    </w:p>
    <w:p w14:paraId="54880CB5">
      <w:pPr>
        <w:spacing w:line="360" w:lineRule="auto"/>
        <w:ind w:firstLine="12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9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64"/>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
          <w:color w:val="auto"/>
          <w:sz w:val="24"/>
          <w:szCs w:val="24"/>
          <w:highlight w:val="none"/>
        </w:rPr>
        <w:t>资金共管</w:t>
      </w:r>
      <w:r>
        <w:rPr>
          <w:rFonts w:hint="eastAsia" w:ascii="宋体" w:hAnsi="宋体" w:eastAsia="宋体" w:cs="Times New Roman"/>
          <w:color w:val="auto"/>
          <w:sz w:val="24"/>
          <w:szCs w:val="24"/>
          <w:highlight w:val="none"/>
        </w:rPr>
        <w:t>：发包人可要求承包人建立共管账户，工程进度款支付到以发包人名义设立的共管账户中，承包人对外支付时需得到发包人的批准，并加盖发包人指定人员的印签。资金共管的范围包括但不限于工程预付款、工程进度款、安全文明措施费等。</w:t>
      </w:r>
    </w:p>
    <w:p w14:paraId="0240C583">
      <w:pPr>
        <w:spacing w:line="360" w:lineRule="auto"/>
        <w:ind w:firstLine="36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9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65"/>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
          <w:color w:val="auto"/>
          <w:sz w:val="24"/>
          <w:szCs w:val="24"/>
          <w:highlight w:val="none"/>
        </w:rPr>
        <w:t>暂停支付</w:t>
      </w:r>
      <w:r>
        <w:rPr>
          <w:rFonts w:hint="eastAsia" w:ascii="宋体" w:hAnsi="宋体" w:eastAsia="宋体" w:cs="Times New Roman"/>
          <w:color w:val="auto"/>
          <w:sz w:val="24"/>
          <w:szCs w:val="24"/>
          <w:highlight w:val="none"/>
        </w:rPr>
        <w:t>：发包人有权在下一期</w:t>
      </w:r>
      <w:r>
        <w:rPr>
          <w:rFonts w:hint="eastAsia" w:ascii="宋体" w:hAnsi="宋体" w:eastAsia="宋体" w:cs="Times New Roman"/>
          <w:color w:val="auto"/>
          <w:sz w:val="24"/>
          <w:szCs w:val="24"/>
          <w:highlight w:val="none"/>
          <w:lang w:eastAsia="zh-CN"/>
        </w:rPr>
        <w:t>进度款</w:t>
      </w:r>
      <w:r>
        <w:rPr>
          <w:rFonts w:hint="eastAsia" w:ascii="宋体" w:hAnsi="宋体" w:eastAsia="宋体" w:cs="Times New Roman"/>
          <w:color w:val="auto"/>
          <w:sz w:val="24"/>
          <w:szCs w:val="24"/>
          <w:highlight w:val="none"/>
        </w:rPr>
        <w:t>支付时暂停支付与承包人挪用款额相等的工程款；</w:t>
      </w:r>
    </w:p>
    <w:p w14:paraId="48E809E2">
      <w:pPr>
        <w:spacing w:line="360" w:lineRule="auto"/>
        <w:ind w:firstLine="12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98"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66"/>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
          <w:color w:val="auto"/>
          <w:sz w:val="24"/>
          <w:szCs w:val="24"/>
          <w:highlight w:val="none"/>
        </w:rPr>
        <w:t>代付分包工程款和材料款</w:t>
      </w:r>
      <w:r>
        <w:rPr>
          <w:rFonts w:hint="eastAsia" w:ascii="宋体" w:hAnsi="宋体" w:eastAsia="宋体" w:cs="Times New Roman"/>
          <w:color w:val="auto"/>
          <w:sz w:val="24"/>
          <w:szCs w:val="24"/>
          <w:highlight w:val="none"/>
        </w:rPr>
        <w:t>：发包人有权根据承包人与分包人(含劳务分包人)、材料供应商的期中结算，在应付承包人的进度款中扣除并代为支付该期分包工程款与材料款；</w:t>
      </w:r>
    </w:p>
    <w:p w14:paraId="15D8C45F">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9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67"/>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kern w:val="0"/>
          <w:sz w:val="24"/>
          <w:szCs w:val="24"/>
          <w:highlight w:val="none"/>
          <w:u w:val="single"/>
        </w:rPr>
        <w:t xml:space="preserve">                                                                 </w:t>
      </w:r>
    </w:p>
    <w:p w14:paraId="11A45C8B">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3383B01F">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4250" w:name="_Toc4988"/>
      <w:bookmarkStart w:id="4251" w:name="_Toc12882"/>
      <w:bookmarkStart w:id="4252" w:name="_Toc16976"/>
      <w:bookmarkStart w:id="4253" w:name="_Toc15310"/>
      <w:bookmarkStart w:id="4254" w:name="_Toc305331501"/>
      <w:bookmarkStart w:id="4255" w:name="_Toc23218"/>
      <w:bookmarkStart w:id="4256" w:name="_Toc29466"/>
      <w:bookmarkStart w:id="4257" w:name="_Toc15194"/>
      <w:bookmarkStart w:id="4258" w:name="_Toc32401"/>
      <w:bookmarkStart w:id="4259" w:name="_Toc302636023"/>
      <w:bookmarkStart w:id="4260" w:name="_Toc18587"/>
      <w:r>
        <w:rPr>
          <w:rFonts w:hint="eastAsia" w:ascii="华文细黑" w:hAnsi="宋体" w:eastAsia="宋体" w:cs="Times New Roman"/>
          <w:b/>
          <w:bCs/>
          <w:snapToGrid w:val="0"/>
          <w:color w:val="auto"/>
          <w:kern w:val="0"/>
          <w:sz w:val="28"/>
          <w:szCs w:val="44"/>
          <w:highlight w:val="none"/>
          <w:lang w:val="en-US" w:eastAsia="zh-CN" w:bidi="ar-SA"/>
        </w:rPr>
        <w:t>24 工程变更</w:t>
      </w:r>
      <w:bookmarkEnd w:id="4250"/>
      <w:bookmarkEnd w:id="4251"/>
      <w:bookmarkEnd w:id="4252"/>
      <w:bookmarkEnd w:id="4253"/>
      <w:bookmarkEnd w:id="4254"/>
      <w:bookmarkEnd w:id="4255"/>
      <w:bookmarkEnd w:id="4256"/>
      <w:bookmarkEnd w:id="4257"/>
      <w:bookmarkEnd w:id="4258"/>
      <w:bookmarkEnd w:id="4259"/>
      <w:bookmarkEnd w:id="4260"/>
    </w:p>
    <w:p w14:paraId="2EE154D1">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261" w:name="_Toc30393"/>
      <w:bookmarkStart w:id="4262" w:name="_Toc31738"/>
      <w:bookmarkStart w:id="4263" w:name="_Toc302636024"/>
      <w:bookmarkStart w:id="4264" w:name="_Toc5424"/>
      <w:bookmarkStart w:id="4265" w:name="_Toc16981"/>
      <w:bookmarkStart w:id="4266" w:name="_Toc19474"/>
      <w:bookmarkStart w:id="4267" w:name="_Toc7397"/>
      <w:bookmarkStart w:id="4268" w:name="_Toc305331502"/>
      <w:bookmarkStart w:id="4269" w:name="_Toc7619"/>
      <w:bookmarkStart w:id="4270" w:name="_Toc25086"/>
      <w:bookmarkStart w:id="4271" w:name="_Toc25146"/>
      <w:r>
        <w:rPr>
          <w:rFonts w:hint="eastAsia" w:ascii="宋体" w:hAnsi="宋体" w:eastAsia="宋体" w:cs="Times New Roman"/>
          <w:b/>
          <w:bCs/>
          <w:color w:val="auto"/>
          <w:kern w:val="0"/>
          <w:sz w:val="24"/>
          <w:szCs w:val="32"/>
          <w:highlight w:val="none"/>
          <w:lang w:val="en-US" w:eastAsia="zh-CN" w:bidi="ar-SA"/>
        </w:rPr>
        <w:t>24.3 工程变更程序</w:t>
      </w:r>
      <w:bookmarkEnd w:id="4261"/>
      <w:bookmarkEnd w:id="4262"/>
      <w:bookmarkEnd w:id="4263"/>
      <w:bookmarkEnd w:id="4264"/>
      <w:bookmarkEnd w:id="4265"/>
      <w:bookmarkEnd w:id="4266"/>
      <w:bookmarkEnd w:id="4267"/>
      <w:bookmarkEnd w:id="4268"/>
      <w:bookmarkEnd w:id="4269"/>
      <w:bookmarkEnd w:id="4270"/>
      <w:bookmarkEnd w:id="4271"/>
    </w:p>
    <w:p w14:paraId="3D1A155F">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本工程的工程变更(包括设计变更、现场签证等)的管理规定如下：</w:t>
      </w:r>
      <w:r>
        <w:rPr>
          <w:rFonts w:hint="eastAsia" w:ascii="宋体" w:hAnsi="宋体" w:eastAsia="宋体" w:cs="Times New Roman"/>
          <w:color w:val="auto"/>
          <w:sz w:val="24"/>
          <w:szCs w:val="24"/>
          <w:highlight w:val="none"/>
          <w:u w:val="single"/>
        </w:rPr>
        <w:t xml:space="preserve">              </w:t>
      </w:r>
    </w:p>
    <w:p w14:paraId="24690F8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471FB9C">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4E231672">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2DF687F0">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073E2AA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7C46BC6A">
      <w:pPr>
        <w:spacing w:line="360" w:lineRule="auto"/>
        <w:ind w:firstLine="480" w:firstLineChars="200"/>
        <w:rPr>
          <w:rFonts w:hint="eastAsia"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设计变更超过原设计标准或批复建设规模时，发包人完成审批手续办理的时限为：</w:t>
      </w:r>
      <w:r>
        <w:rPr>
          <w:rFonts w:hint="eastAsia" w:ascii="宋体" w:hAnsi="宋体" w:eastAsia="宋体" w:cs="Times New Roman"/>
          <w:color w:val="auto"/>
          <w:sz w:val="24"/>
          <w:szCs w:val="24"/>
          <w:highlight w:val="none"/>
          <w:u w:val="single"/>
        </w:rPr>
        <w:t xml:space="preserve">                                                                        </w:t>
      </w:r>
    </w:p>
    <w:p w14:paraId="3644F8DE">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72" w:name="_Toc8603"/>
      <w:bookmarkStart w:id="4273" w:name="_Toc19560"/>
      <w:bookmarkStart w:id="4274" w:name="_Toc4059"/>
      <w:bookmarkStart w:id="4275" w:name="_Toc8235"/>
      <w:bookmarkStart w:id="4276" w:name="_Toc18497"/>
      <w:bookmarkStart w:id="4277" w:name="_Toc829"/>
      <w:bookmarkStart w:id="4278" w:name="_Toc302636025"/>
      <w:bookmarkStart w:id="4279" w:name="_Toc13753"/>
      <w:bookmarkStart w:id="4280" w:name="_Toc9724"/>
      <w:bookmarkStart w:id="4281" w:name="_Toc17012"/>
      <w:bookmarkStart w:id="4282" w:name="_Toc305331504"/>
      <w:r>
        <w:rPr>
          <w:rFonts w:hint="eastAsia" w:ascii="宋体" w:hAnsi="宋体" w:eastAsia="宋体" w:cs="Times New Roman"/>
          <w:b/>
          <w:bCs/>
          <w:color w:val="auto"/>
          <w:kern w:val="0"/>
          <w:sz w:val="24"/>
          <w:szCs w:val="32"/>
          <w:highlight w:val="none"/>
          <w:lang w:val="en-US" w:eastAsia="zh-CN" w:bidi="ar-SA"/>
        </w:rPr>
        <w:t>24.6 价值工程</w:t>
      </w:r>
      <w:bookmarkEnd w:id="4272"/>
      <w:bookmarkEnd w:id="4273"/>
      <w:bookmarkEnd w:id="4274"/>
      <w:bookmarkEnd w:id="4275"/>
      <w:bookmarkEnd w:id="4276"/>
      <w:bookmarkEnd w:id="4277"/>
      <w:bookmarkEnd w:id="4278"/>
      <w:bookmarkEnd w:id="4279"/>
      <w:bookmarkEnd w:id="4280"/>
      <w:bookmarkEnd w:id="4281"/>
    </w:p>
    <w:p w14:paraId="414B423D">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(3)发包人同意采用承包人合理化建议，所发生的费用和获得的收益按以下约定分担或分享：</w:t>
      </w:r>
      <w:r>
        <w:rPr>
          <w:rFonts w:hint="eastAsia" w:ascii="宋体" w:hAnsi="宋体" w:eastAsia="宋体" w:cs="Times New Roman"/>
          <w:color w:val="auto"/>
          <w:sz w:val="24"/>
          <w:szCs w:val="24"/>
          <w:highlight w:val="none"/>
          <w:u w:val="single"/>
        </w:rPr>
        <w:t xml:space="preserve">                                                                 </w:t>
      </w:r>
    </w:p>
    <w:p w14:paraId="54421EDC">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0EDE55A5">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283" w:name="_Toc302636026"/>
      <w:bookmarkStart w:id="4284" w:name="_Toc10889"/>
      <w:bookmarkStart w:id="4285" w:name="_Toc19831"/>
      <w:bookmarkStart w:id="4286" w:name="_Toc1511"/>
      <w:bookmarkStart w:id="4287" w:name="_Toc18609"/>
      <w:bookmarkStart w:id="4288" w:name="_Toc7970"/>
      <w:bookmarkStart w:id="4289" w:name="_Toc23250"/>
      <w:bookmarkStart w:id="4290" w:name="_Toc25397"/>
      <w:bookmarkStart w:id="4291" w:name="_Toc30518"/>
      <w:bookmarkStart w:id="4292" w:name="_Toc9444"/>
      <w:r>
        <w:rPr>
          <w:rFonts w:hint="eastAsia" w:ascii="华文细黑" w:hAnsi="宋体" w:eastAsia="宋体" w:cs="Times New Roman"/>
          <w:b/>
          <w:bCs/>
          <w:snapToGrid w:val="0"/>
          <w:color w:val="auto"/>
          <w:kern w:val="0"/>
          <w:sz w:val="28"/>
          <w:szCs w:val="44"/>
          <w:highlight w:val="none"/>
          <w:lang w:val="en-US" w:eastAsia="zh-CN" w:bidi="ar-SA"/>
        </w:rPr>
        <w:t>25 工程变更</w:t>
      </w:r>
      <w:bookmarkEnd w:id="4238"/>
      <w:r>
        <w:rPr>
          <w:rFonts w:hint="eastAsia" w:ascii="华文细黑" w:hAnsi="宋体" w:eastAsia="宋体" w:cs="Times New Roman"/>
          <w:b/>
          <w:bCs/>
          <w:snapToGrid w:val="0"/>
          <w:color w:val="auto"/>
          <w:kern w:val="0"/>
          <w:sz w:val="28"/>
          <w:szCs w:val="44"/>
          <w:highlight w:val="none"/>
          <w:lang w:val="en-US" w:eastAsia="zh-CN" w:bidi="ar-SA"/>
        </w:rPr>
        <w:t>价款</w:t>
      </w:r>
      <w:bookmarkEnd w:id="4282"/>
      <w:bookmarkEnd w:id="4283"/>
      <w:bookmarkEnd w:id="4284"/>
      <w:bookmarkEnd w:id="4285"/>
      <w:bookmarkEnd w:id="4286"/>
      <w:bookmarkEnd w:id="4287"/>
      <w:bookmarkEnd w:id="4288"/>
      <w:bookmarkEnd w:id="4289"/>
      <w:bookmarkEnd w:id="4290"/>
      <w:bookmarkEnd w:id="4291"/>
      <w:bookmarkEnd w:id="4292"/>
    </w:p>
    <w:p w14:paraId="5887DD7C">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293" w:name="_Toc4572"/>
      <w:bookmarkStart w:id="4294" w:name="_Toc302636027"/>
      <w:bookmarkStart w:id="4295" w:name="_Toc305331505"/>
      <w:bookmarkStart w:id="4296" w:name="_Toc6198"/>
      <w:bookmarkStart w:id="4297" w:name="_Toc3314"/>
      <w:bookmarkStart w:id="4298" w:name="_Toc25481"/>
      <w:bookmarkStart w:id="4299" w:name="_Toc21289"/>
      <w:bookmarkStart w:id="4300" w:name="_Toc26438"/>
      <w:bookmarkStart w:id="4301" w:name="_Toc10243"/>
      <w:bookmarkStart w:id="4302" w:name="_Toc17661"/>
      <w:bookmarkStart w:id="4303" w:name="_Toc5768"/>
      <w:r>
        <w:rPr>
          <w:rFonts w:hint="eastAsia" w:ascii="宋体" w:hAnsi="宋体" w:eastAsia="宋体" w:cs="Times New Roman"/>
          <w:b/>
          <w:bCs/>
          <w:color w:val="auto"/>
          <w:kern w:val="0"/>
          <w:sz w:val="24"/>
          <w:szCs w:val="32"/>
          <w:highlight w:val="none"/>
          <w:lang w:val="en-US" w:eastAsia="zh-CN" w:bidi="ar-SA"/>
        </w:rPr>
        <w:t>25.1 工程变更价款的确定方法</w:t>
      </w:r>
      <w:bookmarkEnd w:id="4293"/>
      <w:bookmarkEnd w:id="4294"/>
      <w:bookmarkEnd w:id="4295"/>
      <w:bookmarkEnd w:id="4296"/>
      <w:bookmarkEnd w:id="4297"/>
      <w:bookmarkEnd w:id="4298"/>
      <w:bookmarkEnd w:id="4299"/>
      <w:bookmarkEnd w:id="4300"/>
      <w:bookmarkEnd w:id="4301"/>
      <w:bookmarkEnd w:id="4302"/>
      <w:bookmarkEnd w:id="4303"/>
    </w:p>
    <w:p w14:paraId="463C4A67">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(2)合同价格构成中的工程量清单项目单价中只有类似于变更工程的工程量清单项目单价，变更价款的确定方法：</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B049B34">
      <w:pPr>
        <w:spacing w:line="360" w:lineRule="auto"/>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rPr>
        <w:t>，</w:t>
      </w:r>
    </w:p>
    <w:p w14:paraId="2A82B46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类似项目的定义为：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6AC968B1">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3BA9F610">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(3)合同价格构成中的工程量清单项目单价中没有适用或类似于变更工程的工程量清单项目单价时变更价款的确定方法：</w:t>
      </w:r>
      <w:r>
        <w:rPr>
          <w:rFonts w:hint="eastAsia" w:ascii="宋体" w:hAnsi="宋体" w:eastAsia="宋体" w:cs="Times New Roman"/>
          <w:color w:val="auto"/>
          <w:sz w:val="24"/>
          <w:szCs w:val="24"/>
          <w:highlight w:val="none"/>
          <w:u w:val="single"/>
        </w:rPr>
        <w:t xml:space="preserve">                                                   </w:t>
      </w:r>
    </w:p>
    <w:p w14:paraId="3EA2C55E">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220AB6DB">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084328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07767C5">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(4)工程量清单中项目工程量增减幅度：</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350C6941">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04" w:name="_Toc10275"/>
      <w:bookmarkStart w:id="4305" w:name="_Toc28543"/>
      <w:bookmarkStart w:id="4306" w:name="_Toc17833"/>
      <w:bookmarkStart w:id="4307" w:name="_Toc305331507"/>
      <w:bookmarkStart w:id="4308" w:name="_Toc31555"/>
      <w:bookmarkStart w:id="4309" w:name="_Toc24055"/>
      <w:bookmarkStart w:id="4310" w:name="_Toc2677"/>
      <w:bookmarkStart w:id="4311" w:name="_Toc302636028"/>
      <w:bookmarkStart w:id="4312" w:name="_Toc20037"/>
      <w:bookmarkStart w:id="4313" w:name="_Toc1323"/>
      <w:bookmarkStart w:id="4314" w:name="_Toc1002"/>
      <w:r>
        <w:rPr>
          <w:rFonts w:hint="eastAsia" w:ascii="宋体" w:hAnsi="宋体" w:eastAsia="宋体" w:cs="Times New Roman"/>
          <w:b/>
          <w:bCs/>
          <w:color w:val="auto"/>
          <w:kern w:val="0"/>
          <w:sz w:val="24"/>
          <w:szCs w:val="32"/>
          <w:highlight w:val="none"/>
          <w:lang w:val="en-US" w:eastAsia="zh-CN" w:bidi="ar-SA"/>
        </w:rPr>
        <w:t>25.2 工程变更引起措施项目的调整</w:t>
      </w:r>
      <w:bookmarkEnd w:id="4304"/>
      <w:bookmarkEnd w:id="4305"/>
      <w:bookmarkEnd w:id="4306"/>
      <w:bookmarkEnd w:id="4307"/>
      <w:bookmarkEnd w:id="4308"/>
      <w:bookmarkEnd w:id="4309"/>
      <w:bookmarkEnd w:id="4310"/>
      <w:bookmarkEnd w:id="4311"/>
      <w:bookmarkEnd w:id="4312"/>
      <w:bookmarkEnd w:id="4313"/>
      <w:bookmarkEnd w:id="4314"/>
    </w:p>
    <w:p w14:paraId="0C244AB7">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(3)工程变更引起措施项目费调整的，其调整方法为：</w:t>
      </w:r>
      <w:r>
        <w:rPr>
          <w:rFonts w:hint="eastAsia" w:ascii="宋体" w:hAnsi="宋体" w:eastAsia="宋体" w:cs="Times New Roman"/>
          <w:color w:val="auto"/>
          <w:sz w:val="24"/>
          <w:szCs w:val="24"/>
          <w:highlight w:val="none"/>
          <w:u w:val="single"/>
        </w:rPr>
        <w:t xml:space="preserve">                                       </w:t>
      </w:r>
    </w:p>
    <w:p w14:paraId="4E8F090A">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6468E8A8">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744A3ED5">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4F55CA40">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09DBCEE8">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bCs/>
          <w:color w:val="auto"/>
          <w:sz w:val="24"/>
          <w:szCs w:val="24"/>
          <w:highlight w:val="none"/>
        </w:rPr>
        <w:t>③安全文明施工措施费计算基数变化幅度及</w:t>
      </w:r>
      <w:r>
        <w:rPr>
          <w:rFonts w:hint="eastAsia" w:ascii="宋体" w:hAnsi="宋体" w:eastAsia="宋体" w:cs="Times New Roman"/>
          <w:color w:val="auto"/>
          <w:sz w:val="24"/>
          <w:szCs w:val="24"/>
          <w:highlight w:val="none"/>
        </w:rPr>
        <w:t>其调整方法的约定为：</w:t>
      </w:r>
      <w:r>
        <w:rPr>
          <w:rFonts w:hint="eastAsia" w:ascii="宋体" w:hAnsi="宋体" w:eastAsia="宋体" w:cs="Times New Roman"/>
          <w:color w:val="auto"/>
          <w:sz w:val="24"/>
          <w:szCs w:val="24"/>
          <w:highlight w:val="none"/>
          <w:u w:val="single"/>
        </w:rPr>
        <w:t xml:space="preserve">                           </w:t>
      </w:r>
    </w:p>
    <w:p w14:paraId="1BF92E2E">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55EE23F1">
      <w:pPr>
        <w:spacing w:line="360" w:lineRule="auto"/>
        <w:rPr>
          <w:rFonts w:hint="eastAsia" w:ascii="宋体" w:hAnsi="宋体" w:eastAsia="宋体" w:cs="Times New Roman"/>
          <w:bCs/>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rPr>
        <w:t>。</w:t>
      </w:r>
    </w:p>
    <w:p w14:paraId="045FCBBC">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315" w:name="_Toc305331506"/>
      <w:bookmarkStart w:id="4316" w:name="_Toc13467"/>
      <w:bookmarkStart w:id="4317" w:name="_Toc28908"/>
      <w:bookmarkStart w:id="4318" w:name="_Toc14296"/>
      <w:bookmarkStart w:id="4319" w:name="_Toc5282"/>
      <w:bookmarkStart w:id="4320" w:name="_Toc16532"/>
      <w:bookmarkStart w:id="4321" w:name="_Toc867"/>
      <w:bookmarkStart w:id="4322" w:name="_Toc17384"/>
      <w:bookmarkStart w:id="4323" w:name="_Toc302636029"/>
      <w:bookmarkStart w:id="4324" w:name="_Toc27610"/>
      <w:bookmarkStart w:id="4325" w:name="_Toc15049"/>
      <w:r>
        <w:rPr>
          <w:rFonts w:hint="eastAsia" w:ascii="宋体" w:hAnsi="宋体" w:eastAsia="宋体" w:cs="Times New Roman"/>
          <w:b/>
          <w:bCs/>
          <w:color w:val="auto"/>
          <w:kern w:val="0"/>
          <w:sz w:val="24"/>
          <w:szCs w:val="32"/>
          <w:highlight w:val="none"/>
          <w:lang w:val="en-US" w:eastAsia="zh-CN" w:bidi="ar-SA"/>
        </w:rPr>
        <w:t>25.3 工程变更价款的确定程序</w:t>
      </w:r>
      <w:bookmarkEnd w:id="4315"/>
      <w:bookmarkEnd w:id="4316"/>
      <w:bookmarkEnd w:id="4317"/>
      <w:bookmarkEnd w:id="4318"/>
      <w:bookmarkEnd w:id="4319"/>
      <w:bookmarkEnd w:id="4320"/>
      <w:bookmarkEnd w:id="4321"/>
      <w:bookmarkEnd w:id="4322"/>
      <w:bookmarkEnd w:id="4323"/>
      <w:bookmarkEnd w:id="4324"/>
      <w:bookmarkEnd w:id="4325"/>
    </w:p>
    <w:p w14:paraId="05DEB03B">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本工程的工程变更价款按以下程序进行确定：</w:t>
      </w:r>
      <w:r>
        <w:rPr>
          <w:rFonts w:hint="eastAsia" w:ascii="宋体" w:hAnsi="宋体" w:eastAsia="宋体" w:cs="Times New Roman"/>
          <w:color w:val="auto"/>
          <w:sz w:val="24"/>
          <w:szCs w:val="24"/>
          <w:highlight w:val="none"/>
          <w:u w:val="single"/>
        </w:rPr>
        <w:t xml:space="preserve">                                </w:t>
      </w:r>
    </w:p>
    <w:p w14:paraId="4180DD5A">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FBE1E8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077FE0A3">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26" w:name="_Toc302636030"/>
      <w:bookmarkStart w:id="4327" w:name="_Toc22573"/>
      <w:bookmarkStart w:id="4328" w:name="_Toc21590"/>
      <w:bookmarkStart w:id="4329" w:name="_Toc24930"/>
      <w:bookmarkStart w:id="4330" w:name="_Toc23345"/>
      <w:bookmarkStart w:id="4331" w:name="_Toc23560"/>
      <w:bookmarkStart w:id="4332" w:name="_Toc21629"/>
      <w:bookmarkStart w:id="4333" w:name="_Toc25163"/>
      <w:bookmarkStart w:id="4334" w:name="_Toc2021"/>
      <w:bookmarkStart w:id="4335" w:name="_Toc19077"/>
      <w:r>
        <w:rPr>
          <w:rFonts w:hint="eastAsia" w:ascii="宋体" w:hAnsi="宋体" w:eastAsia="宋体" w:cs="Times New Roman"/>
          <w:b/>
          <w:bCs/>
          <w:color w:val="auto"/>
          <w:kern w:val="0"/>
          <w:sz w:val="24"/>
          <w:szCs w:val="32"/>
          <w:highlight w:val="none"/>
          <w:lang w:val="en-US" w:eastAsia="zh-CN" w:bidi="ar-SA"/>
        </w:rPr>
        <w:t>25.4 工程量变化调整项目单价</w:t>
      </w:r>
      <w:bookmarkEnd w:id="4326"/>
      <w:bookmarkEnd w:id="4327"/>
      <w:bookmarkEnd w:id="4328"/>
      <w:bookmarkEnd w:id="4329"/>
      <w:bookmarkEnd w:id="4330"/>
      <w:bookmarkEnd w:id="4331"/>
      <w:bookmarkEnd w:id="4332"/>
      <w:bookmarkEnd w:id="4333"/>
      <w:bookmarkEnd w:id="4334"/>
      <w:bookmarkEnd w:id="4335"/>
    </w:p>
    <w:p w14:paraId="7F2BC3BC">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工程量清单中项目工程量增减幅度：</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13B526CD">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清单项目增加部分工程量或减少后剩余部分工程量的项目单价确定方法</w:t>
      </w:r>
      <w:r>
        <w:rPr>
          <w:rFonts w:hint="eastAsia" w:ascii="宋体" w:hAnsi="宋体" w:eastAsia="宋体" w:cs="Times New Roman"/>
          <w:color w:val="auto"/>
          <w:sz w:val="24"/>
          <w:szCs w:val="24"/>
          <w:highlight w:val="none"/>
          <w:u w:val="single"/>
        </w:rPr>
        <w:t xml:space="preserve">          </w:t>
      </w:r>
    </w:p>
    <w:p w14:paraId="1ABA726E">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1439C25F">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31BFF1CB">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585162D7">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14:paraId="6C9ABDA0">
      <w:pPr>
        <w:spacing w:line="360" w:lineRule="auto"/>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u w:val="single"/>
        </w:rPr>
        <w:t xml:space="preserve">                                                                            </w:t>
      </w:r>
    </w:p>
    <w:p w14:paraId="15F49FB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36" w:name="_Toc8587"/>
      <w:bookmarkStart w:id="4337" w:name="_Toc5935"/>
      <w:bookmarkStart w:id="4338" w:name="_Toc23934"/>
      <w:bookmarkStart w:id="4339" w:name="_Toc17132"/>
      <w:bookmarkStart w:id="4340" w:name="_Toc11742"/>
      <w:bookmarkStart w:id="4341" w:name="_Toc10578"/>
      <w:bookmarkStart w:id="4342" w:name="_Toc14843"/>
      <w:bookmarkStart w:id="4343" w:name="_Toc21493"/>
      <w:bookmarkStart w:id="4344" w:name="_Toc9443"/>
      <w:bookmarkStart w:id="4345" w:name="_Toc302636031"/>
      <w:bookmarkStart w:id="4346" w:name="_Toc305331508"/>
      <w:r>
        <w:rPr>
          <w:rFonts w:hint="eastAsia" w:ascii="宋体" w:hAnsi="宋体" w:eastAsia="宋体" w:cs="Times New Roman"/>
          <w:b/>
          <w:bCs/>
          <w:color w:val="auto"/>
          <w:kern w:val="0"/>
          <w:sz w:val="24"/>
          <w:szCs w:val="32"/>
          <w:highlight w:val="none"/>
          <w:lang w:val="en-US" w:eastAsia="zh-CN" w:bidi="ar-SA"/>
        </w:rPr>
        <w:t>25.5 工程变更价款支付</w:t>
      </w:r>
      <w:bookmarkEnd w:id="4336"/>
      <w:bookmarkEnd w:id="4337"/>
      <w:bookmarkEnd w:id="4338"/>
      <w:bookmarkEnd w:id="4339"/>
      <w:bookmarkEnd w:id="4340"/>
      <w:bookmarkEnd w:id="4341"/>
      <w:bookmarkEnd w:id="4342"/>
      <w:bookmarkEnd w:id="4343"/>
      <w:bookmarkEnd w:id="4344"/>
    </w:p>
    <w:p w14:paraId="3FA6660A">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追加</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减</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合同价款支付比例达到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％时暂停支付。</w:t>
      </w:r>
    </w:p>
    <w:p w14:paraId="77CA0B83">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47" w:name="_Toc6326"/>
      <w:bookmarkStart w:id="4348" w:name="_Toc4984"/>
      <w:bookmarkStart w:id="4349" w:name="_Toc489"/>
      <w:bookmarkStart w:id="4350" w:name="_Toc17140"/>
      <w:bookmarkStart w:id="4351" w:name="_Toc23798"/>
      <w:bookmarkStart w:id="4352" w:name="_Toc5580"/>
      <w:bookmarkStart w:id="4353" w:name="_Toc24649"/>
      <w:bookmarkStart w:id="4354" w:name="_Toc14597"/>
      <w:bookmarkStart w:id="4355" w:name="_Toc22517"/>
      <w:r>
        <w:rPr>
          <w:rFonts w:hint="eastAsia" w:ascii="宋体" w:hAnsi="宋体" w:eastAsia="宋体" w:cs="Times New Roman"/>
          <w:b/>
          <w:bCs/>
          <w:color w:val="auto"/>
          <w:kern w:val="0"/>
          <w:sz w:val="24"/>
          <w:szCs w:val="32"/>
          <w:highlight w:val="none"/>
          <w:lang w:val="en-US" w:eastAsia="zh-CN" w:bidi="ar-SA"/>
        </w:rPr>
        <w:t>25.6 删减工作或工程的补偿</w:t>
      </w:r>
      <w:bookmarkEnd w:id="4345"/>
      <w:bookmarkEnd w:id="4346"/>
      <w:bookmarkEnd w:id="4347"/>
      <w:bookmarkEnd w:id="4348"/>
      <w:bookmarkEnd w:id="4349"/>
      <w:bookmarkEnd w:id="4350"/>
      <w:bookmarkEnd w:id="4351"/>
      <w:bookmarkEnd w:id="4352"/>
      <w:bookmarkEnd w:id="4353"/>
      <w:bookmarkEnd w:id="4354"/>
      <w:bookmarkEnd w:id="4355"/>
    </w:p>
    <w:p w14:paraId="3149C8C1">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由于非承包人原因删减了本合同中的某项原定工作或工程，致使承包人发生的费用或(和)预期收益不能被包括在其他已支付或应支付的项目中，也未包含在任何替代的工作或工程中，发包人应按以下约定方式给予承包人补偿：</w:t>
      </w:r>
      <w:r>
        <w:rPr>
          <w:rFonts w:hint="eastAsia" w:ascii="宋体" w:hAnsi="宋体" w:eastAsia="宋体" w:cs="Times New Roman"/>
          <w:color w:val="auto"/>
          <w:sz w:val="24"/>
          <w:szCs w:val="24"/>
          <w:highlight w:val="none"/>
          <w:u w:val="single"/>
        </w:rPr>
        <w:t xml:space="preserve">                         </w:t>
      </w:r>
    </w:p>
    <w:p w14:paraId="6C506A54">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11CED3F9">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51C9A9EE">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4356" w:name="_Toc22763"/>
      <w:bookmarkStart w:id="4357" w:name="_Toc17947"/>
      <w:bookmarkStart w:id="4358" w:name="_Toc17774"/>
      <w:bookmarkStart w:id="4359" w:name="_Toc21105"/>
      <w:bookmarkStart w:id="4360" w:name="_Toc26778"/>
      <w:bookmarkStart w:id="4361" w:name="_Toc8321"/>
      <w:bookmarkStart w:id="4362" w:name="_Toc22107"/>
      <w:bookmarkStart w:id="4363" w:name="_Toc31065"/>
      <w:bookmarkStart w:id="4364" w:name="_Toc305331509"/>
      <w:bookmarkStart w:id="4365" w:name="_Toc783"/>
      <w:bookmarkStart w:id="4366" w:name="_Toc302636032"/>
      <w:r>
        <w:rPr>
          <w:rFonts w:hint="eastAsia" w:ascii="华文细黑" w:hAnsi="宋体" w:eastAsia="宋体" w:cs="Times New Roman"/>
          <w:b/>
          <w:bCs/>
          <w:snapToGrid w:val="0"/>
          <w:color w:val="auto"/>
          <w:kern w:val="0"/>
          <w:sz w:val="28"/>
          <w:szCs w:val="44"/>
          <w:highlight w:val="none"/>
          <w:lang w:val="en-US" w:eastAsia="zh-CN" w:bidi="ar-SA"/>
        </w:rPr>
        <w:t>26 过程结算</w:t>
      </w:r>
      <w:bookmarkEnd w:id="4356"/>
      <w:bookmarkEnd w:id="4357"/>
      <w:bookmarkEnd w:id="4358"/>
      <w:bookmarkEnd w:id="4359"/>
      <w:bookmarkEnd w:id="4360"/>
      <w:bookmarkEnd w:id="4361"/>
      <w:bookmarkEnd w:id="4362"/>
      <w:bookmarkEnd w:id="4363"/>
    </w:p>
    <w:p w14:paraId="3A8D9938">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67" w:name="_Toc20453"/>
      <w:bookmarkStart w:id="4368" w:name="_Toc12353"/>
      <w:bookmarkStart w:id="4369" w:name="_Toc17103"/>
      <w:bookmarkStart w:id="4370" w:name="_Toc20421"/>
      <w:bookmarkStart w:id="4371" w:name="_Toc9024"/>
      <w:bookmarkStart w:id="4372" w:name="_Toc23838"/>
      <w:bookmarkStart w:id="4373" w:name="_Toc2614"/>
      <w:bookmarkStart w:id="4374" w:name="_Toc18756"/>
      <w:bookmarkStart w:id="4375" w:name="_Toc1271"/>
      <w:bookmarkStart w:id="4376" w:name="_Toc28335"/>
      <w:bookmarkStart w:id="4377" w:name="_Toc14837"/>
      <w:bookmarkStart w:id="4378" w:name="_Toc11421"/>
      <w:bookmarkStart w:id="4379" w:name="_Toc14275"/>
      <w:r>
        <w:rPr>
          <w:rFonts w:hint="eastAsia" w:ascii="宋体" w:hAnsi="宋体" w:eastAsia="宋体" w:cs="Times New Roman"/>
          <w:b/>
          <w:bCs/>
          <w:color w:val="auto"/>
          <w:kern w:val="0"/>
          <w:sz w:val="24"/>
          <w:szCs w:val="32"/>
          <w:highlight w:val="none"/>
          <w:lang w:val="en-US" w:eastAsia="zh-CN" w:bidi="ar-SA"/>
        </w:rPr>
        <w:t>26.1过程结算周期及验收要求</w:t>
      </w:r>
      <w:bookmarkEnd w:id="4367"/>
      <w:bookmarkEnd w:id="4368"/>
      <w:bookmarkEnd w:id="4369"/>
      <w:bookmarkEnd w:id="4370"/>
      <w:bookmarkEnd w:id="4371"/>
      <w:bookmarkEnd w:id="4372"/>
      <w:bookmarkEnd w:id="4373"/>
      <w:bookmarkEnd w:id="4374"/>
      <w:bookmarkEnd w:id="4375"/>
      <w:bookmarkEnd w:id="4376"/>
      <w:bookmarkEnd w:id="4377"/>
      <w:bookmarkEnd w:id="4378"/>
      <w:bookmarkEnd w:id="4379"/>
    </w:p>
    <w:p w14:paraId="3DB31BFD">
      <w:pPr>
        <w:spacing w:line="360" w:lineRule="auto"/>
        <w:ind w:left="0" w:firstLine="480"/>
        <w:rPr>
          <w:rFonts w:hint="eastAsia" w:ascii="宋体" w:hAnsi="宋体" w:eastAsia="宋体" w:cs="Times New Roman"/>
          <w:bCs/>
          <w:color w:val="auto"/>
          <w:sz w:val="24"/>
          <w:szCs w:val="24"/>
          <w:highlight w:val="none"/>
          <w:u w:val="single"/>
          <w:lang w:val="en-US" w:eastAsia="zh-CN"/>
        </w:rPr>
      </w:pPr>
      <w:r>
        <w:rPr>
          <w:rFonts w:hint="default" w:ascii="宋体" w:hAnsi="宋体" w:eastAsia="宋体" w:cs="Times New Roman"/>
          <w:color w:val="auto"/>
          <w:kern w:val="2"/>
          <w:sz w:val="24"/>
          <w:szCs w:val="24"/>
          <w:highlight w:val="none"/>
          <w:u w:val="none"/>
        </w:rPr>
        <w:t>发承包双方约定</w:t>
      </w:r>
      <w:r>
        <w:rPr>
          <w:rFonts w:hint="eastAsia" w:ascii="宋体" w:hAnsi="宋体" w:eastAsia="宋体" w:cs="Times New Roman"/>
          <w:color w:val="auto"/>
          <w:kern w:val="2"/>
          <w:sz w:val="24"/>
          <w:szCs w:val="24"/>
          <w:highlight w:val="none"/>
          <w:u w:val="none"/>
          <w:lang w:eastAsia="zh-CN"/>
        </w:rPr>
        <w:t>的</w:t>
      </w:r>
      <w:r>
        <w:rPr>
          <w:rFonts w:ascii="宋体" w:hAnsi="宋体" w:eastAsia="宋体" w:cs="Times New Roman"/>
          <w:color w:val="auto"/>
          <w:kern w:val="2"/>
          <w:sz w:val="24"/>
          <w:szCs w:val="24"/>
          <w:highlight w:val="none"/>
          <w:u w:val="none"/>
        </w:rPr>
        <w:t>过程结算周期</w:t>
      </w:r>
      <w:r>
        <w:rPr>
          <w:rFonts w:hint="eastAsia" w:ascii="宋体" w:hAnsi="宋体" w:eastAsia="宋体" w:cs="Times New Roman"/>
          <w:color w:val="auto"/>
          <w:kern w:val="2"/>
          <w:sz w:val="24"/>
          <w:szCs w:val="24"/>
          <w:highlight w:val="none"/>
          <w:u w:val="none"/>
          <w:lang w:eastAsia="zh-CN"/>
        </w:rPr>
        <w:t>：</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lang w:val="en-US" w:eastAsia="zh-CN"/>
        </w:rPr>
        <w:t xml:space="preserve">      </w:t>
      </w:r>
    </w:p>
    <w:p w14:paraId="793D80F9">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1CFFFD45">
      <w:pPr>
        <w:spacing w:line="360" w:lineRule="auto"/>
        <w:ind w:left="0" w:firstLine="480"/>
        <w:rPr>
          <w:rFonts w:hint="eastAsia" w:ascii="宋体" w:hAnsi="宋体" w:eastAsia="宋体" w:cs="Times New Roman"/>
          <w:color w:val="auto"/>
          <w:kern w:val="2"/>
          <w:sz w:val="24"/>
          <w:szCs w:val="24"/>
          <w:highlight w:val="none"/>
          <w:u w:val="single"/>
          <w:lang w:val="en-US" w:eastAsia="zh-CN"/>
        </w:rPr>
      </w:pPr>
      <w:r>
        <w:rPr>
          <w:rFonts w:hint="eastAsia" w:ascii="宋体" w:hAnsi="宋体" w:eastAsia="宋体" w:cs="Times New Roman"/>
          <w:color w:val="auto"/>
          <w:kern w:val="2"/>
          <w:sz w:val="24"/>
          <w:szCs w:val="24"/>
          <w:highlight w:val="none"/>
          <w:u w:val="none"/>
          <w:lang w:eastAsia="zh-CN"/>
        </w:rPr>
        <w:t>发承包双方约定的过</w:t>
      </w:r>
      <w:r>
        <w:rPr>
          <w:rFonts w:ascii="宋体" w:hAnsi="宋体" w:eastAsia="宋体" w:cs="Times New Roman"/>
          <w:color w:val="auto"/>
          <w:kern w:val="2"/>
          <w:sz w:val="24"/>
          <w:szCs w:val="24"/>
          <w:highlight w:val="none"/>
          <w:u w:val="none"/>
        </w:rPr>
        <w:t>程结算验收要求</w:t>
      </w:r>
      <w:r>
        <w:rPr>
          <w:rFonts w:hint="eastAsia" w:ascii="宋体" w:hAnsi="宋体" w:eastAsia="宋体" w:cs="Times New Roman"/>
          <w:color w:val="auto"/>
          <w:kern w:val="2"/>
          <w:sz w:val="24"/>
          <w:szCs w:val="24"/>
          <w:highlight w:val="none"/>
          <w:u w:val="none"/>
          <w:lang w:eastAsia="zh-CN"/>
        </w:rPr>
        <w:t>：</w:t>
      </w:r>
      <w:r>
        <w:rPr>
          <w:rFonts w:hint="eastAsia" w:ascii="宋体" w:hAnsi="宋体" w:eastAsia="宋体" w:cs="Times New Roman"/>
          <w:color w:val="auto"/>
          <w:kern w:val="2"/>
          <w:sz w:val="24"/>
          <w:szCs w:val="24"/>
          <w:highlight w:val="none"/>
          <w:u w:val="single"/>
          <w:lang w:val="en-US" w:eastAsia="zh-CN"/>
        </w:rPr>
        <w:t xml:space="preserve">                                     </w:t>
      </w:r>
    </w:p>
    <w:p w14:paraId="603D64C5">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621DE188">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5B7D205B">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168493A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80" w:name="_Toc3916"/>
      <w:bookmarkStart w:id="4381" w:name="_Toc7140"/>
      <w:bookmarkStart w:id="4382" w:name="_Toc9270"/>
      <w:bookmarkStart w:id="4383" w:name="_Toc6646"/>
      <w:bookmarkStart w:id="4384" w:name="_Toc1075"/>
      <w:bookmarkStart w:id="4385" w:name="_Toc18356"/>
      <w:bookmarkStart w:id="4386" w:name="_Toc4914"/>
      <w:bookmarkStart w:id="4387" w:name="_Toc25060"/>
      <w:bookmarkStart w:id="4388" w:name="_Toc13311"/>
      <w:bookmarkStart w:id="4389" w:name="_Toc10770"/>
      <w:bookmarkStart w:id="4390" w:name="_Toc29622"/>
      <w:bookmarkStart w:id="4391" w:name="_Toc8697"/>
      <w:bookmarkStart w:id="4392" w:name="_Toc15408"/>
      <w:r>
        <w:rPr>
          <w:rFonts w:hint="eastAsia" w:ascii="宋体" w:hAnsi="宋体" w:eastAsia="宋体" w:cs="Times New Roman"/>
          <w:b/>
          <w:bCs/>
          <w:color w:val="auto"/>
          <w:kern w:val="0"/>
          <w:sz w:val="24"/>
          <w:szCs w:val="32"/>
          <w:highlight w:val="none"/>
          <w:lang w:val="en-US" w:eastAsia="zh-CN" w:bidi="ar-SA"/>
        </w:rPr>
        <w:t>26.2过程结算报告的编制和提交</w:t>
      </w:r>
      <w:bookmarkEnd w:id="4380"/>
      <w:bookmarkEnd w:id="4381"/>
      <w:bookmarkEnd w:id="4382"/>
      <w:bookmarkEnd w:id="4383"/>
      <w:bookmarkEnd w:id="4384"/>
      <w:bookmarkEnd w:id="4385"/>
      <w:bookmarkEnd w:id="4386"/>
      <w:bookmarkEnd w:id="4387"/>
      <w:bookmarkEnd w:id="4388"/>
      <w:bookmarkEnd w:id="4389"/>
      <w:bookmarkEnd w:id="4390"/>
      <w:bookmarkEnd w:id="4391"/>
      <w:bookmarkEnd w:id="4392"/>
    </w:p>
    <w:p w14:paraId="69F0DDE0">
      <w:pPr>
        <w:numPr>
          <w:ilvl w:val="0"/>
          <w:numId w:val="0"/>
        </w:numPr>
        <w:spacing w:line="360" w:lineRule="auto"/>
        <w:ind w:firstLine="480" w:firstLineChars="0"/>
        <w:rPr>
          <w:rFonts w:hint="eastAsia" w:ascii="宋体" w:hAnsi="宋体" w:eastAsia="宋体" w:cs="Times New Roman"/>
          <w:color w:val="auto"/>
          <w:kern w:val="2"/>
          <w:sz w:val="24"/>
          <w:szCs w:val="24"/>
          <w:highlight w:val="none"/>
          <w:u w:val="single"/>
          <w:lang w:val="en-US" w:eastAsia="zh-CN"/>
        </w:rPr>
      </w:pPr>
      <w:r>
        <w:rPr>
          <w:rFonts w:hint="eastAsia" w:ascii="宋体" w:hAnsi="宋体" w:eastAsia="宋体" w:cs="Times New Roman"/>
          <w:color w:val="auto"/>
          <w:sz w:val="24"/>
          <w:szCs w:val="24"/>
          <w:highlight w:val="none"/>
        </w:rPr>
        <w:t>(2)</w:t>
      </w:r>
      <w:r>
        <w:rPr>
          <w:rFonts w:hint="eastAsia" w:ascii="宋体" w:hAnsi="宋体" w:eastAsia="宋体" w:cs="Times New Roman"/>
          <w:color w:val="auto"/>
          <w:kern w:val="2"/>
          <w:sz w:val="24"/>
          <w:szCs w:val="24"/>
          <w:highlight w:val="none"/>
          <w:u w:val="none"/>
          <w:lang w:eastAsia="zh-CN"/>
        </w:rPr>
        <w:t>承包人</w:t>
      </w:r>
      <w:r>
        <w:rPr>
          <w:rFonts w:hint="eastAsia" w:ascii="宋体" w:hAnsi="宋体" w:eastAsia="宋体" w:cs="Times New Roman"/>
          <w:color w:val="auto"/>
          <w:kern w:val="2"/>
          <w:sz w:val="24"/>
          <w:szCs w:val="24"/>
          <w:highlight w:val="none"/>
          <w:u w:val="none"/>
        </w:rPr>
        <w:t>向发包人提交过程结算报告</w:t>
      </w:r>
      <w:r>
        <w:rPr>
          <w:rFonts w:hint="eastAsia" w:ascii="宋体" w:hAnsi="宋体" w:eastAsia="宋体" w:cs="Times New Roman"/>
          <w:color w:val="auto"/>
          <w:kern w:val="2"/>
          <w:sz w:val="24"/>
          <w:szCs w:val="24"/>
          <w:highlight w:val="none"/>
          <w:u w:val="none"/>
          <w:lang w:eastAsia="zh-CN"/>
        </w:rPr>
        <w:t>的时间为：</w:t>
      </w:r>
      <w:r>
        <w:rPr>
          <w:rFonts w:hint="eastAsia" w:ascii="宋体" w:hAnsi="宋体" w:eastAsia="宋体" w:cs="Times New Roman"/>
          <w:color w:val="auto"/>
          <w:kern w:val="2"/>
          <w:sz w:val="24"/>
          <w:szCs w:val="24"/>
          <w:highlight w:val="none"/>
          <w:u w:val="single"/>
          <w:lang w:val="en-US" w:eastAsia="zh-CN"/>
        </w:rPr>
        <w:t xml:space="preserve">                                        </w:t>
      </w:r>
    </w:p>
    <w:p w14:paraId="4C35DEE2">
      <w:pPr>
        <w:numPr>
          <w:ilvl w:val="0"/>
          <w:numId w:val="0"/>
        </w:numPr>
        <w:spacing w:line="360" w:lineRule="auto"/>
        <w:ind w:firstLine="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31D0BDB">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93" w:name="_Toc22175"/>
      <w:bookmarkStart w:id="4394" w:name="_Toc20350"/>
      <w:bookmarkStart w:id="4395" w:name="_Toc29365"/>
      <w:bookmarkStart w:id="4396" w:name="_Toc15377"/>
      <w:bookmarkStart w:id="4397" w:name="_Toc21466"/>
      <w:bookmarkStart w:id="4398" w:name="_Toc16166"/>
      <w:bookmarkStart w:id="4399" w:name="_Toc28123"/>
      <w:bookmarkStart w:id="4400" w:name="_Toc2834"/>
      <w:bookmarkStart w:id="4401" w:name="_Toc3444"/>
      <w:bookmarkStart w:id="4402" w:name="_Toc18563"/>
      <w:bookmarkStart w:id="4403" w:name="_Toc5649"/>
      <w:bookmarkStart w:id="4404" w:name="_Toc13329"/>
      <w:bookmarkStart w:id="4405" w:name="_Toc29138"/>
      <w:r>
        <w:rPr>
          <w:rFonts w:hint="eastAsia" w:ascii="宋体" w:hAnsi="宋体" w:eastAsia="宋体" w:cs="Times New Roman"/>
          <w:b/>
          <w:bCs/>
          <w:color w:val="auto"/>
          <w:kern w:val="0"/>
          <w:sz w:val="24"/>
          <w:szCs w:val="32"/>
          <w:highlight w:val="none"/>
          <w:lang w:val="en-US" w:eastAsia="zh-CN" w:bidi="ar-SA"/>
        </w:rPr>
        <w:t>26.3过程结算报告的核对和修改</w:t>
      </w:r>
      <w:bookmarkEnd w:id="4393"/>
      <w:bookmarkEnd w:id="4394"/>
      <w:bookmarkEnd w:id="4395"/>
      <w:bookmarkEnd w:id="4396"/>
      <w:bookmarkEnd w:id="4397"/>
      <w:bookmarkEnd w:id="4398"/>
      <w:bookmarkEnd w:id="4399"/>
      <w:bookmarkEnd w:id="4400"/>
      <w:bookmarkEnd w:id="4401"/>
      <w:bookmarkEnd w:id="4402"/>
      <w:bookmarkEnd w:id="4403"/>
      <w:bookmarkEnd w:id="4404"/>
      <w:bookmarkEnd w:id="4405"/>
    </w:p>
    <w:p w14:paraId="43B9646F">
      <w:pPr>
        <w:numPr>
          <w:ilvl w:val="0"/>
          <w:numId w:val="0"/>
        </w:numPr>
        <w:spacing w:line="360" w:lineRule="auto"/>
        <w:ind w:left="0" w:firstLine="480"/>
        <w:jc w:val="left"/>
        <w:rPr>
          <w:rFonts w:hint="eastAsia" w:ascii="宋体" w:hAnsi="宋体" w:eastAsia="宋体" w:cs="Times New Roman"/>
          <w:color w:val="auto"/>
          <w:kern w:val="2"/>
          <w:sz w:val="24"/>
          <w:szCs w:val="24"/>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w:t>
      </w:r>
      <w:r>
        <w:rPr>
          <w:rFonts w:hint="eastAsia" w:ascii="宋体" w:hAnsi="宋体" w:eastAsia="宋体" w:cs="Times New Roman"/>
          <w:color w:val="auto"/>
          <w:kern w:val="2"/>
          <w:sz w:val="24"/>
          <w:szCs w:val="24"/>
          <w:highlight w:val="none"/>
        </w:rPr>
        <w:t>发包人应在收到承包人提交的过程结算报告后</w:t>
      </w:r>
      <w:r>
        <w:rPr>
          <w:rFonts w:hint="eastAsia"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rPr>
        <w:t>天</w:t>
      </w:r>
      <w:r>
        <w:rPr>
          <w:rFonts w:hint="eastAsia" w:ascii="宋体" w:hAnsi="宋体" w:eastAsia="宋体" w:cs="Times New Roman"/>
          <w:color w:val="auto"/>
          <w:kern w:val="2"/>
          <w:sz w:val="24"/>
          <w:szCs w:val="24"/>
          <w:highlight w:val="none"/>
          <w:lang w:eastAsia="zh-CN"/>
        </w:rPr>
        <w:t>内</w:t>
      </w:r>
      <w:r>
        <w:rPr>
          <w:rFonts w:hint="eastAsia" w:ascii="宋体" w:hAnsi="宋体" w:eastAsia="宋体" w:cs="Times New Roman"/>
          <w:color w:val="auto"/>
          <w:kern w:val="2"/>
          <w:sz w:val="24"/>
          <w:szCs w:val="24"/>
          <w:highlight w:val="none"/>
        </w:rPr>
        <w:t>，对承包人提交的过程结算报告进行核对。</w:t>
      </w:r>
    </w:p>
    <w:p w14:paraId="6EF8A4FC">
      <w:pPr>
        <w:numPr>
          <w:ilvl w:val="0"/>
          <w:numId w:val="0"/>
        </w:numPr>
        <w:spacing w:after="0"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②承包人应在收到发包人相关书面通知后</w:t>
      </w:r>
      <w:r>
        <w:rPr>
          <w:rFonts w:hint="eastAsia"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rPr>
        <w:t>天</w:t>
      </w:r>
      <w:r>
        <w:rPr>
          <w:rFonts w:hint="eastAsia" w:ascii="宋体" w:hAnsi="宋体" w:eastAsia="宋体" w:cs="Times New Roman"/>
          <w:color w:val="auto"/>
          <w:kern w:val="2"/>
          <w:sz w:val="24"/>
          <w:szCs w:val="24"/>
          <w:highlight w:val="none"/>
          <w:lang w:eastAsia="zh-CN"/>
        </w:rPr>
        <w:t>内</w:t>
      </w:r>
      <w:r>
        <w:rPr>
          <w:rFonts w:hint="eastAsia" w:ascii="宋体" w:hAnsi="宋体" w:eastAsia="宋体" w:cs="Times New Roman"/>
          <w:color w:val="auto"/>
          <w:kern w:val="2"/>
          <w:sz w:val="24"/>
          <w:szCs w:val="24"/>
          <w:highlight w:val="none"/>
        </w:rPr>
        <w:t>，向发包人提交经修改的过程结算报告或按要求补充结算资料，发包人应在收到承包人相关书面资料后</w:t>
      </w:r>
      <w:r>
        <w:rPr>
          <w:rFonts w:hint="eastAsia"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u w:val="none"/>
          <w:lang w:val="en-US" w:eastAsia="zh-CN"/>
        </w:rPr>
        <w:t xml:space="preserve"> </w:t>
      </w:r>
      <w:r>
        <w:rPr>
          <w:rFonts w:hint="eastAsia" w:ascii="宋体" w:hAnsi="宋体" w:eastAsia="宋体" w:cs="Times New Roman"/>
          <w:color w:val="auto"/>
          <w:kern w:val="2"/>
          <w:sz w:val="24"/>
          <w:szCs w:val="24"/>
          <w:highlight w:val="none"/>
        </w:rPr>
        <w:t>天</w:t>
      </w:r>
      <w:r>
        <w:rPr>
          <w:rFonts w:hint="eastAsia" w:ascii="宋体" w:hAnsi="宋体" w:eastAsia="宋体" w:cs="Times New Roman"/>
          <w:color w:val="auto"/>
          <w:kern w:val="2"/>
          <w:sz w:val="24"/>
          <w:szCs w:val="24"/>
          <w:highlight w:val="none"/>
          <w:lang w:eastAsia="zh-CN"/>
        </w:rPr>
        <w:t>内</w:t>
      </w:r>
      <w:r>
        <w:rPr>
          <w:rFonts w:hint="eastAsia" w:ascii="宋体" w:hAnsi="宋体" w:eastAsia="宋体" w:cs="Times New Roman"/>
          <w:color w:val="auto"/>
          <w:kern w:val="2"/>
          <w:sz w:val="24"/>
          <w:szCs w:val="24"/>
          <w:highlight w:val="none"/>
        </w:rPr>
        <w:t>进行核对。</w:t>
      </w:r>
    </w:p>
    <w:p w14:paraId="1EEAAA13">
      <w:pPr>
        <w:numPr>
          <w:ilvl w:val="0"/>
          <w:numId w:val="0"/>
        </w:numPr>
        <w:spacing w:after="0" w:line="360" w:lineRule="auto"/>
        <w:ind w:left="0" w:firstLine="241" w:firstLineChars="100"/>
        <w:jc w:val="left"/>
        <w:outlineLvl w:val="1"/>
        <w:rPr>
          <w:rFonts w:hint="eastAsia" w:ascii="宋体" w:hAnsi="宋体" w:eastAsia="宋体" w:cs="Times New Roman"/>
          <w:b/>
          <w:bCs/>
          <w:color w:val="auto"/>
          <w:kern w:val="0"/>
          <w:sz w:val="24"/>
          <w:szCs w:val="32"/>
          <w:highlight w:val="none"/>
        </w:rPr>
      </w:pPr>
      <w:bookmarkStart w:id="4406" w:name="_Toc24077"/>
      <w:bookmarkStart w:id="4407" w:name="_Toc22733"/>
      <w:bookmarkStart w:id="4408" w:name="_Toc16640"/>
      <w:bookmarkStart w:id="4409" w:name="_Toc1245"/>
      <w:bookmarkStart w:id="4410" w:name="_Toc28167"/>
      <w:bookmarkStart w:id="4411" w:name="_Toc18406"/>
      <w:bookmarkStart w:id="4412" w:name="_Toc26486"/>
      <w:bookmarkStart w:id="4413" w:name="_Toc14230"/>
      <w:bookmarkStart w:id="4414" w:name="_Toc6932"/>
      <w:bookmarkStart w:id="4415" w:name="_Toc25678"/>
      <w:bookmarkStart w:id="4416" w:name="_Toc11942"/>
      <w:bookmarkStart w:id="4417" w:name="_Toc15480"/>
      <w:bookmarkStart w:id="4418" w:name="_Toc9813"/>
      <w:r>
        <w:rPr>
          <w:rFonts w:hint="eastAsia" w:ascii="宋体" w:hAnsi="宋体" w:eastAsia="宋体" w:cs="Times New Roman"/>
          <w:b/>
          <w:bCs/>
          <w:color w:val="auto"/>
          <w:kern w:val="0"/>
          <w:sz w:val="24"/>
          <w:szCs w:val="32"/>
          <w:highlight w:val="none"/>
          <w:lang w:val="en-US" w:eastAsia="zh-CN"/>
        </w:rPr>
        <w:t>26.6</w:t>
      </w:r>
      <w:r>
        <w:rPr>
          <w:rFonts w:hint="eastAsia" w:ascii="宋体" w:hAnsi="宋体" w:eastAsia="宋体" w:cs="Times New Roman"/>
          <w:b/>
          <w:bCs/>
          <w:color w:val="auto"/>
          <w:kern w:val="0"/>
          <w:sz w:val="24"/>
          <w:szCs w:val="32"/>
          <w:highlight w:val="none"/>
        </w:rPr>
        <w:t>过程结算支付</w:t>
      </w:r>
      <w:bookmarkEnd w:id="4406"/>
      <w:bookmarkEnd w:id="4407"/>
      <w:bookmarkEnd w:id="4408"/>
      <w:bookmarkEnd w:id="4409"/>
      <w:bookmarkEnd w:id="4410"/>
      <w:bookmarkEnd w:id="4411"/>
      <w:bookmarkEnd w:id="4412"/>
      <w:bookmarkEnd w:id="4413"/>
      <w:bookmarkEnd w:id="4414"/>
      <w:bookmarkEnd w:id="4415"/>
      <w:bookmarkEnd w:id="4416"/>
      <w:bookmarkEnd w:id="4417"/>
      <w:bookmarkEnd w:id="4418"/>
    </w:p>
    <w:p w14:paraId="1D6FE84D">
      <w:pPr>
        <w:spacing w:line="360" w:lineRule="auto"/>
        <w:ind w:firstLine="480"/>
        <w:rPr>
          <w:rFonts w:hint="default" w:ascii="宋体" w:hAnsi="宋体" w:eastAsia="宋体" w:cs="Times New Roman"/>
          <w:color w:val="auto"/>
          <w:sz w:val="24"/>
          <w:szCs w:val="24"/>
          <w:highlight w:val="none"/>
          <w:lang w:val="en-US" w:eastAsia="zh-CN"/>
        </w:rPr>
      </w:pPr>
      <w:r>
        <w:rPr>
          <w:rFonts w:hint="default" w:ascii="宋体" w:hAnsi="宋体" w:eastAsia="宋体" w:cs="Times New Roman"/>
          <w:color w:val="auto"/>
          <w:sz w:val="24"/>
          <w:szCs w:val="24"/>
          <w:highlight w:val="none"/>
        </w:rPr>
        <w:t>(3)</w:t>
      </w:r>
      <w:r>
        <w:rPr>
          <w:rFonts w:ascii="宋体" w:hAnsi="宋体" w:eastAsia="宋体" w:cs="Times New Roman"/>
          <w:color w:val="auto"/>
          <w:kern w:val="2"/>
          <w:sz w:val="24"/>
          <w:szCs w:val="24"/>
          <w:highlight w:val="none"/>
        </w:rPr>
        <w:t>发承包</w:t>
      </w:r>
      <w:r>
        <w:rPr>
          <w:rFonts w:hint="eastAsia" w:ascii="宋体" w:hAnsi="宋体" w:eastAsia="宋体" w:cs="Times New Roman"/>
          <w:color w:val="auto"/>
          <w:kern w:val="2"/>
          <w:sz w:val="24"/>
          <w:szCs w:val="24"/>
          <w:highlight w:val="none"/>
          <w:lang w:eastAsia="zh-CN"/>
        </w:rPr>
        <w:t>双方</w:t>
      </w:r>
      <w:r>
        <w:rPr>
          <w:rFonts w:hint="default" w:ascii="宋体" w:hAnsi="宋体" w:eastAsia="宋体" w:cs="Times New Roman"/>
          <w:color w:val="auto"/>
          <w:kern w:val="2"/>
          <w:sz w:val="24"/>
          <w:szCs w:val="24"/>
          <w:highlight w:val="none"/>
          <w:lang w:eastAsia="zh-CN"/>
        </w:rPr>
        <w:t>约定</w:t>
      </w:r>
      <w:r>
        <w:rPr>
          <w:rFonts w:ascii="宋体" w:hAnsi="宋体" w:eastAsia="宋体" w:cs="Times New Roman"/>
          <w:color w:val="auto"/>
          <w:kern w:val="2"/>
          <w:sz w:val="24"/>
          <w:szCs w:val="24"/>
          <w:highlight w:val="none"/>
        </w:rPr>
        <w:t>修正</w:t>
      </w:r>
      <w:r>
        <w:rPr>
          <w:rFonts w:hint="default" w:ascii="宋体" w:hAnsi="宋体" w:eastAsia="宋体" w:cs="Times New Roman"/>
          <w:color w:val="auto"/>
          <w:kern w:val="2"/>
          <w:sz w:val="24"/>
          <w:szCs w:val="24"/>
          <w:highlight w:val="none"/>
          <w:lang w:eastAsia="zh-CN"/>
        </w:rPr>
        <w:t>时间为：</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lang w:val="en-US" w:eastAsia="zh-CN"/>
        </w:rPr>
        <w:t xml:space="preserve">    </w:t>
      </w:r>
    </w:p>
    <w:p w14:paraId="07C3B52D">
      <w:pPr>
        <w:numPr>
          <w:ilvl w:val="0"/>
          <w:numId w:val="0"/>
        </w:numPr>
        <w:spacing w:after="0" w:line="360" w:lineRule="auto"/>
        <w:ind w:left="0" w:firstLine="480" w:firstLineChars="0"/>
        <w:jc w:val="left"/>
        <w:outlineLvl w:val="9"/>
        <w:rPr>
          <w:rFonts w:ascii="宋体" w:hAnsi="宋体" w:eastAsia="宋体" w:cs="Times New Roman"/>
          <w:color w:val="auto"/>
          <w:kern w:val="2"/>
          <w:sz w:val="24"/>
          <w:szCs w:val="24"/>
          <w:highlight w:val="none"/>
        </w:rPr>
      </w:pPr>
      <w:r>
        <w:rPr>
          <w:rFonts w:hint="eastAsia" w:ascii="宋体" w:hAnsi="宋体" w:eastAsia="宋体" w:cs="Times New Roman"/>
          <w:color w:val="auto"/>
          <w:sz w:val="24"/>
          <w:szCs w:val="24"/>
          <w:highlight w:val="none"/>
        </w:rPr>
        <w:t>(4)</w:t>
      </w:r>
      <w:r>
        <w:rPr>
          <w:rFonts w:ascii="宋体" w:hAnsi="宋体" w:eastAsia="宋体" w:cs="Times New Roman"/>
          <w:color w:val="auto"/>
          <w:kern w:val="2"/>
          <w:sz w:val="24"/>
          <w:szCs w:val="24"/>
          <w:highlight w:val="none"/>
        </w:rPr>
        <w:t>过程结算价款累计</w:t>
      </w:r>
      <w:r>
        <w:rPr>
          <w:rFonts w:hint="default" w:ascii="宋体" w:hAnsi="宋体" w:eastAsia="宋体" w:cs="Times New Roman"/>
          <w:color w:val="auto"/>
          <w:kern w:val="2"/>
          <w:sz w:val="24"/>
          <w:szCs w:val="24"/>
          <w:highlight w:val="none"/>
        </w:rPr>
        <w:t>支付</w:t>
      </w:r>
      <w:r>
        <w:rPr>
          <w:rFonts w:ascii="宋体" w:hAnsi="宋体" w:eastAsia="宋体" w:cs="Times New Roman"/>
          <w:color w:val="auto"/>
          <w:kern w:val="2"/>
          <w:sz w:val="24"/>
          <w:szCs w:val="24"/>
          <w:highlight w:val="none"/>
        </w:rPr>
        <w:t>总额达到合同价格的</w:t>
      </w:r>
      <w:r>
        <w:rPr>
          <w:rFonts w:hint="default"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u w:val="single"/>
          <w:lang w:val="en-US" w:eastAsia="zh-CN"/>
        </w:rPr>
        <w:t xml:space="preserve">   </w:t>
      </w:r>
      <w:r>
        <w:rPr>
          <w:rFonts w:hint="default" w:ascii="宋体" w:hAnsi="宋体" w:eastAsia="宋体" w:cs="Times New Roman"/>
          <w:color w:val="auto"/>
          <w:kern w:val="2"/>
          <w:sz w:val="24"/>
          <w:szCs w:val="24"/>
          <w:highlight w:val="none"/>
          <w:lang w:val="en-US" w:eastAsia="zh-CN"/>
        </w:rPr>
        <w:t>%</w:t>
      </w:r>
      <w:r>
        <w:rPr>
          <w:rFonts w:ascii="宋体" w:hAnsi="宋体" w:eastAsia="宋体" w:cs="Times New Roman"/>
          <w:color w:val="auto"/>
          <w:kern w:val="2"/>
          <w:sz w:val="24"/>
          <w:szCs w:val="24"/>
          <w:highlight w:val="none"/>
        </w:rPr>
        <w:t>时，暂停支付。</w:t>
      </w:r>
    </w:p>
    <w:p w14:paraId="544CBE65">
      <w:pPr>
        <w:widowControl w:val="0"/>
        <w:numPr>
          <w:ilvl w:val="0"/>
          <w:numId w:val="0"/>
        </w:numPr>
        <w:tabs>
          <w:tab w:val="left" w:pos="540"/>
          <w:tab w:val="left" w:pos="900"/>
        </w:tabs>
        <w:spacing w:before="120" w:after="156"/>
        <w:ind w:left="0" w:firstLine="241" w:firstLineChars="100"/>
        <w:jc w:val="left"/>
        <w:outlineLvl w:val="1"/>
        <w:rPr>
          <w:rFonts w:hint="eastAsia" w:ascii="宋体" w:hAnsi="宋体" w:eastAsia="宋体" w:cs="Times New Roman"/>
          <w:b/>
          <w:bCs/>
          <w:color w:val="auto"/>
          <w:kern w:val="0"/>
          <w:sz w:val="24"/>
          <w:szCs w:val="32"/>
          <w:highlight w:val="none"/>
          <w:lang w:val="en-US" w:eastAsia="zh-CN" w:bidi="ar-SA"/>
        </w:rPr>
      </w:pPr>
      <w:bookmarkStart w:id="4419" w:name="_Toc23209"/>
      <w:bookmarkStart w:id="4420" w:name="_Toc15544"/>
      <w:bookmarkStart w:id="4421" w:name="_Toc2721"/>
      <w:bookmarkStart w:id="4422" w:name="_Toc143"/>
      <w:bookmarkStart w:id="4423" w:name="_Toc13922"/>
      <w:bookmarkStart w:id="4424" w:name="_Toc17232"/>
      <w:bookmarkStart w:id="4425" w:name="_Toc29693"/>
      <w:bookmarkStart w:id="4426" w:name="_Toc30127"/>
      <w:bookmarkStart w:id="4427" w:name="_Toc28858"/>
      <w:bookmarkStart w:id="4428" w:name="_Toc11977"/>
      <w:bookmarkStart w:id="4429" w:name="_Toc21608"/>
      <w:bookmarkStart w:id="4430" w:name="_Toc18821"/>
      <w:bookmarkStart w:id="4431" w:name="_Toc5876"/>
      <w:r>
        <w:rPr>
          <w:rFonts w:hint="eastAsia" w:ascii="宋体" w:hAnsi="宋体" w:eastAsia="宋体" w:cs="Times New Roman"/>
          <w:b/>
          <w:bCs/>
          <w:color w:val="auto"/>
          <w:kern w:val="0"/>
          <w:sz w:val="24"/>
          <w:szCs w:val="32"/>
          <w:highlight w:val="none"/>
          <w:lang w:val="en-US" w:eastAsia="zh-CN" w:bidi="ar-SA"/>
        </w:rPr>
        <w:t>26.7过程结算暂定意见</w:t>
      </w:r>
      <w:bookmarkEnd w:id="4419"/>
      <w:bookmarkEnd w:id="4420"/>
      <w:bookmarkEnd w:id="4421"/>
      <w:bookmarkEnd w:id="4422"/>
      <w:bookmarkEnd w:id="4423"/>
      <w:bookmarkEnd w:id="4424"/>
      <w:bookmarkEnd w:id="4425"/>
      <w:bookmarkEnd w:id="4426"/>
      <w:bookmarkEnd w:id="4427"/>
      <w:bookmarkEnd w:id="4428"/>
      <w:bookmarkEnd w:id="4429"/>
      <w:bookmarkEnd w:id="4430"/>
      <w:bookmarkEnd w:id="4431"/>
    </w:p>
    <w:p w14:paraId="4A7065FF">
      <w:pPr>
        <w:numPr>
          <w:ilvl w:val="0"/>
          <w:numId w:val="0"/>
        </w:numPr>
        <w:spacing w:after="0" w:line="360" w:lineRule="auto"/>
        <w:ind w:left="0" w:firstLine="480" w:firstLineChars="200"/>
        <w:jc w:val="left"/>
        <w:outlineLvl w:val="9"/>
        <w:rPr>
          <w:rFonts w:hint="default" w:ascii="宋体" w:hAnsi="宋体" w:eastAsia="宋体" w:cs="Times New Roman"/>
          <w:color w:val="auto"/>
          <w:kern w:val="2"/>
          <w:sz w:val="24"/>
          <w:szCs w:val="24"/>
          <w:highlight w:val="none"/>
          <w:lang w:val="en-US" w:eastAsia="zh-CN"/>
        </w:rPr>
      </w:pPr>
      <w:r>
        <w:rPr>
          <w:rFonts w:ascii="宋体" w:hAnsi="宋体" w:eastAsia="宋体" w:cs="Times New Roman"/>
          <w:color w:val="auto"/>
          <w:kern w:val="2"/>
          <w:sz w:val="24"/>
          <w:szCs w:val="24"/>
          <w:highlight w:val="none"/>
        </w:rPr>
        <w:t>发承包双方委托</w:t>
      </w:r>
      <w:r>
        <w:rPr>
          <w:rFonts w:hint="default" w:ascii="宋体" w:hAnsi="宋体" w:eastAsia="宋体" w:cs="Times New Roman"/>
          <w:color w:val="auto"/>
          <w:kern w:val="2"/>
          <w:sz w:val="24"/>
          <w:szCs w:val="24"/>
          <w:highlight w:val="none"/>
          <w:lang w:eastAsia="zh-CN"/>
        </w:rPr>
        <w:t>的</w:t>
      </w:r>
      <w:r>
        <w:rPr>
          <w:rFonts w:ascii="宋体" w:hAnsi="宋体" w:eastAsia="宋体" w:cs="Times New Roman"/>
          <w:color w:val="auto"/>
          <w:kern w:val="2"/>
          <w:sz w:val="24"/>
          <w:szCs w:val="24"/>
          <w:highlight w:val="none"/>
        </w:rPr>
        <w:t>第三方</w:t>
      </w:r>
      <w:r>
        <w:rPr>
          <w:rFonts w:hint="default" w:ascii="宋体" w:hAnsi="宋体" w:eastAsia="宋体" w:cs="Times New Roman"/>
          <w:color w:val="auto"/>
          <w:kern w:val="2"/>
          <w:sz w:val="24"/>
          <w:szCs w:val="24"/>
          <w:highlight w:val="none"/>
          <w:lang w:eastAsia="zh-CN"/>
        </w:rPr>
        <w:t>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p>
    <w:p w14:paraId="7584F389">
      <w:pPr>
        <w:spacing w:line="360" w:lineRule="auto"/>
        <w:ind w:left="0" w:firstLine="480"/>
        <w:jc w:val="left"/>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发承包双方</w:t>
      </w:r>
      <w:r>
        <w:rPr>
          <w:rFonts w:hint="default" w:ascii="宋体" w:hAnsi="宋体" w:eastAsia="宋体" w:cs="Times New Roman"/>
          <w:color w:val="auto"/>
          <w:kern w:val="2"/>
          <w:sz w:val="24"/>
          <w:szCs w:val="24"/>
          <w:highlight w:val="none"/>
          <w:lang w:eastAsia="zh-CN"/>
        </w:rPr>
        <w:t>应</w:t>
      </w:r>
      <w:r>
        <w:rPr>
          <w:rFonts w:ascii="宋体" w:hAnsi="宋体" w:eastAsia="宋体" w:cs="Times New Roman"/>
          <w:color w:val="auto"/>
          <w:kern w:val="2"/>
          <w:sz w:val="24"/>
          <w:szCs w:val="24"/>
          <w:highlight w:val="none"/>
        </w:rPr>
        <w:t>在收到第三方暂定结算意见</w:t>
      </w:r>
      <w:r>
        <w:rPr>
          <w:rFonts w:hint="default" w:ascii="宋体" w:hAnsi="宋体" w:eastAsia="宋体" w:cs="Times New Roman"/>
          <w:color w:val="auto"/>
          <w:kern w:val="2"/>
          <w:sz w:val="24"/>
          <w:szCs w:val="24"/>
          <w:highlight w:val="none"/>
          <w:u w:val="none"/>
        </w:rPr>
        <w:t>后</w:t>
      </w:r>
      <w:r>
        <w:rPr>
          <w:rFonts w:hint="default" w:ascii="宋体" w:hAnsi="宋体" w:eastAsia="宋体" w:cs="Times New Roman"/>
          <w:color w:val="auto"/>
          <w:kern w:val="2"/>
          <w:sz w:val="24"/>
          <w:szCs w:val="24"/>
          <w:highlight w:val="none"/>
          <w:u w:val="single"/>
          <w:lang w:val="en-US" w:eastAsia="zh-CN"/>
        </w:rPr>
        <w:t xml:space="preserve">       </w:t>
      </w:r>
      <w:r>
        <w:rPr>
          <w:rFonts w:hint="default" w:ascii="宋体" w:hAnsi="宋体" w:eastAsia="宋体" w:cs="Times New Roman"/>
          <w:color w:val="auto"/>
          <w:kern w:val="2"/>
          <w:sz w:val="24"/>
          <w:szCs w:val="24"/>
          <w:highlight w:val="none"/>
          <w:u w:val="none"/>
        </w:rPr>
        <w:t>天</w:t>
      </w:r>
      <w:r>
        <w:rPr>
          <w:rFonts w:hint="default" w:ascii="宋体" w:hAnsi="宋体" w:eastAsia="宋体" w:cs="Times New Roman"/>
          <w:color w:val="auto"/>
          <w:kern w:val="2"/>
          <w:sz w:val="24"/>
          <w:szCs w:val="24"/>
          <w:highlight w:val="none"/>
          <w:u w:val="none"/>
          <w:lang w:eastAsia="zh-CN"/>
        </w:rPr>
        <w:t>内</w:t>
      </w:r>
      <w:r>
        <w:rPr>
          <w:rFonts w:hint="default" w:ascii="宋体" w:hAnsi="宋体" w:eastAsia="宋体" w:cs="Times New Roman"/>
          <w:color w:val="auto"/>
          <w:kern w:val="2"/>
          <w:sz w:val="24"/>
          <w:szCs w:val="24"/>
          <w:highlight w:val="none"/>
          <w:u w:val="none"/>
        </w:rPr>
        <w:t>，</w:t>
      </w:r>
      <w:r>
        <w:rPr>
          <w:rFonts w:ascii="宋体" w:hAnsi="宋体" w:eastAsia="宋体" w:cs="Times New Roman"/>
          <w:color w:val="auto"/>
          <w:kern w:val="2"/>
          <w:sz w:val="24"/>
          <w:szCs w:val="24"/>
          <w:highlight w:val="none"/>
        </w:rPr>
        <w:t>对暂定结算意见予以确认或提出异议。</w:t>
      </w:r>
    </w:p>
    <w:p w14:paraId="00995EE8">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432" w:name="_Toc30449"/>
      <w:bookmarkStart w:id="4433" w:name="_Toc30767"/>
      <w:bookmarkStart w:id="4434" w:name="_Toc31931"/>
      <w:bookmarkStart w:id="4435" w:name="_Toc1299"/>
      <w:bookmarkStart w:id="4436" w:name="_Toc9478"/>
      <w:bookmarkStart w:id="4437" w:name="_Toc30877"/>
      <w:bookmarkStart w:id="4438" w:name="_Toc11272"/>
      <w:bookmarkStart w:id="4439" w:name="_Toc10563"/>
      <w:r>
        <w:rPr>
          <w:rFonts w:hint="eastAsia" w:ascii="华文细黑" w:hAnsi="宋体" w:eastAsia="宋体" w:cs="Times New Roman"/>
          <w:b/>
          <w:bCs/>
          <w:snapToGrid w:val="0"/>
          <w:color w:val="auto"/>
          <w:kern w:val="0"/>
          <w:sz w:val="28"/>
          <w:szCs w:val="44"/>
          <w:highlight w:val="none"/>
          <w:lang w:val="en-US" w:eastAsia="zh-CN" w:bidi="ar-SA"/>
        </w:rPr>
        <w:t>27竣工验收</w:t>
      </w:r>
      <w:bookmarkEnd w:id="4364"/>
      <w:bookmarkEnd w:id="4365"/>
      <w:bookmarkEnd w:id="4366"/>
      <w:bookmarkEnd w:id="4432"/>
      <w:bookmarkEnd w:id="4433"/>
      <w:bookmarkEnd w:id="4434"/>
      <w:bookmarkEnd w:id="4435"/>
      <w:bookmarkEnd w:id="4436"/>
      <w:bookmarkEnd w:id="4437"/>
      <w:bookmarkEnd w:id="4438"/>
      <w:bookmarkEnd w:id="4439"/>
    </w:p>
    <w:p w14:paraId="65F8D739">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440" w:name="_Toc5886"/>
      <w:bookmarkStart w:id="4441" w:name="_Toc18279"/>
      <w:bookmarkStart w:id="4442" w:name="_Toc27965"/>
      <w:bookmarkStart w:id="4443" w:name="_Toc10532"/>
      <w:bookmarkStart w:id="4444" w:name="_Toc305331510"/>
      <w:bookmarkStart w:id="4445" w:name="_Toc21171"/>
      <w:bookmarkStart w:id="4446" w:name="_Toc302636033"/>
      <w:bookmarkStart w:id="4447" w:name="_Toc24188"/>
      <w:bookmarkStart w:id="4448" w:name="_Toc3724"/>
      <w:bookmarkStart w:id="4449" w:name="_Toc27172"/>
      <w:bookmarkStart w:id="4450" w:name="_Toc11869"/>
      <w:r>
        <w:rPr>
          <w:rFonts w:hint="eastAsia" w:ascii="宋体" w:hAnsi="宋体" w:eastAsia="宋体" w:cs="Times New Roman"/>
          <w:b/>
          <w:bCs/>
          <w:color w:val="auto"/>
          <w:kern w:val="0"/>
          <w:sz w:val="24"/>
          <w:szCs w:val="32"/>
          <w:highlight w:val="none"/>
          <w:lang w:val="en-US" w:eastAsia="zh-CN" w:bidi="ar-SA"/>
        </w:rPr>
        <w:t>27.1 竣工验收</w:t>
      </w:r>
      <w:bookmarkEnd w:id="4440"/>
      <w:bookmarkEnd w:id="4441"/>
      <w:bookmarkEnd w:id="4442"/>
      <w:bookmarkEnd w:id="4443"/>
      <w:bookmarkEnd w:id="4444"/>
      <w:bookmarkEnd w:id="4445"/>
      <w:bookmarkEnd w:id="4446"/>
      <w:bookmarkEnd w:id="4447"/>
      <w:bookmarkEnd w:id="4448"/>
      <w:bookmarkEnd w:id="4449"/>
      <w:bookmarkEnd w:id="4450"/>
    </w:p>
    <w:p w14:paraId="5AB48ACA">
      <w:pPr>
        <w:spacing w:line="360" w:lineRule="auto"/>
        <w:ind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承包人提供竣工资料的约定：</w:t>
      </w:r>
      <w:r>
        <w:rPr>
          <w:rFonts w:hint="eastAsia" w:ascii="宋体" w:hAnsi="宋体" w:eastAsia="宋体" w:cs="Times New Roman"/>
          <w:bCs/>
          <w:color w:val="auto"/>
          <w:sz w:val="24"/>
          <w:szCs w:val="24"/>
          <w:highlight w:val="none"/>
          <w:u w:val="single"/>
        </w:rPr>
        <w:t xml:space="preserve">                                           </w:t>
      </w:r>
    </w:p>
    <w:p w14:paraId="36681614">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5462505">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39D72687">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7DCAE529">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7613EAE4">
      <w:pPr>
        <w:spacing w:line="360" w:lineRule="auto"/>
        <w:ind w:firstLine="480"/>
        <w:rPr>
          <w:rFonts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 xml:space="preserve"> 本工程中须单独进行竣工验收的单项工程为：</w:t>
      </w:r>
      <w:r>
        <w:rPr>
          <w:rFonts w:hint="eastAsia" w:ascii="宋体" w:hAnsi="宋体" w:eastAsia="宋体" w:cs="Times New Roman"/>
          <w:color w:val="auto"/>
          <w:sz w:val="24"/>
          <w:szCs w:val="24"/>
          <w:highlight w:val="none"/>
          <w:u w:val="single"/>
        </w:rPr>
        <w:t xml:space="preserve">                            </w:t>
      </w:r>
    </w:p>
    <w:p w14:paraId="045A77B8">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06360881">
      <w:pPr>
        <w:spacing w:line="360" w:lineRule="auto"/>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17884A4">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451" w:name="_Toc3436"/>
      <w:bookmarkStart w:id="4452" w:name="_Toc19669"/>
      <w:bookmarkStart w:id="4453" w:name="_Toc10583"/>
      <w:bookmarkStart w:id="4454" w:name="_Toc32418"/>
      <w:bookmarkStart w:id="4455" w:name="_Toc7453"/>
      <w:bookmarkStart w:id="4456" w:name="_Toc31289"/>
      <w:bookmarkStart w:id="4457" w:name="_Toc20206"/>
      <w:bookmarkStart w:id="4458" w:name="_Toc10933"/>
      <w:bookmarkStart w:id="4459" w:name="_Toc302636034"/>
      <w:bookmarkStart w:id="4460" w:name="_Toc16591"/>
      <w:bookmarkStart w:id="4461" w:name="_Toc305331511"/>
      <w:r>
        <w:rPr>
          <w:rFonts w:hint="eastAsia" w:ascii="宋体" w:hAnsi="宋体" w:eastAsia="宋体" w:cs="Times New Roman"/>
          <w:b/>
          <w:bCs/>
          <w:color w:val="auto"/>
          <w:kern w:val="0"/>
          <w:sz w:val="24"/>
          <w:szCs w:val="32"/>
          <w:highlight w:val="none"/>
          <w:lang w:val="en-US" w:eastAsia="zh-CN" w:bidi="ar-SA"/>
        </w:rPr>
        <w:t>27.2 竣工验收合格后的移交和清理</w:t>
      </w:r>
      <w:bookmarkEnd w:id="4451"/>
      <w:bookmarkEnd w:id="4452"/>
      <w:bookmarkEnd w:id="4453"/>
      <w:bookmarkEnd w:id="4454"/>
      <w:bookmarkEnd w:id="4455"/>
      <w:bookmarkEnd w:id="4456"/>
      <w:bookmarkEnd w:id="4457"/>
      <w:bookmarkEnd w:id="4458"/>
      <w:bookmarkEnd w:id="4459"/>
      <w:bookmarkEnd w:id="4460"/>
      <w:bookmarkEnd w:id="4461"/>
    </w:p>
    <w:p w14:paraId="20F57139">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(1)承包人不按时向发包人移交本工程的，每延迟一天，承包人向发包人支付违约金</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EB91D30">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(3)发包人无正当理由不接收工程的，发包人应承担以下违约责任：</w:t>
      </w:r>
      <w:r>
        <w:rPr>
          <w:rFonts w:hint="eastAsia" w:ascii="宋体" w:hAnsi="宋体" w:eastAsia="宋体" w:cs="Times New Roman"/>
          <w:color w:val="auto"/>
          <w:sz w:val="24"/>
          <w:szCs w:val="24"/>
          <w:highlight w:val="none"/>
          <w:u w:val="single"/>
        </w:rPr>
        <w:t xml:space="preserve">             </w:t>
      </w:r>
    </w:p>
    <w:p w14:paraId="19ED130E">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2718386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462" w:name="_Toc302636035"/>
      <w:bookmarkStart w:id="4463" w:name="_Toc28750"/>
      <w:bookmarkStart w:id="4464" w:name="_Toc1412"/>
      <w:bookmarkStart w:id="4465" w:name="_Toc6098"/>
      <w:bookmarkStart w:id="4466" w:name="_Toc12414"/>
      <w:bookmarkStart w:id="4467" w:name="_Toc30660"/>
      <w:bookmarkStart w:id="4468" w:name="_Toc13732"/>
      <w:bookmarkStart w:id="4469" w:name="_Toc8658"/>
      <w:bookmarkStart w:id="4470" w:name="_Toc305331512"/>
      <w:bookmarkStart w:id="4471" w:name="_Toc25026"/>
      <w:bookmarkStart w:id="4472" w:name="_Toc30601"/>
      <w:r>
        <w:rPr>
          <w:rFonts w:hint="eastAsia" w:ascii="宋体" w:hAnsi="宋体" w:eastAsia="宋体" w:cs="Times New Roman"/>
          <w:b/>
          <w:bCs/>
          <w:color w:val="auto"/>
          <w:kern w:val="0"/>
          <w:sz w:val="24"/>
          <w:szCs w:val="32"/>
          <w:highlight w:val="none"/>
          <w:lang w:val="en-US" w:eastAsia="zh-CN" w:bidi="ar-SA"/>
        </w:rPr>
        <w:t>27.3 竣工验收质量不合格和重新验收</w:t>
      </w:r>
      <w:bookmarkEnd w:id="4462"/>
      <w:bookmarkEnd w:id="4463"/>
      <w:bookmarkEnd w:id="4464"/>
      <w:bookmarkEnd w:id="4465"/>
      <w:bookmarkEnd w:id="4466"/>
      <w:bookmarkEnd w:id="4467"/>
      <w:bookmarkEnd w:id="4468"/>
      <w:bookmarkEnd w:id="4469"/>
      <w:bookmarkEnd w:id="4470"/>
      <w:bookmarkEnd w:id="4471"/>
      <w:bookmarkEnd w:id="4472"/>
    </w:p>
    <w:p w14:paraId="64C886F2">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(1)如本工程竣工验收质量未达到本合同约定的标准，承包人应承担以下违约责任：</w:t>
      </w:r>
      <w:r>
        <w:rPr>
          <w:rFonts w:hint="eastAsia" w:ascii="宋体" w:hAnsi="宋体" w:eastAsia="宋体" w:cs="Times New Roman"/>
          <w:color w:val="auto"/>
          <w:sz w:val="24"/>
          <w:szCs w:val="24"/>
          <w:highlight w:val="none"/>
          <w:u w:val="single"/>
        </w:rPr>
        <w:t xml:space="preserve">                                                                 </w:t>
      </w:r>
    </w:p>
    <w:p w14:paraId="439641CA">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0181B892">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473" w:name="_Toc31429"/>
      <w:bookmarkStart w:id="4474" w:name="_Toc3146"/>
      <w:bookmarkStart w:id="4475" w:name="_Toc16053"/>
      <w:bookmarkStart w:id="4476" w:name="_Toc305331515"/>
      <w:bookmarkStart w:id="4477" w:name="_Toc302636037"/>
      <w:bookmarkStart w:id="4478" w:name="_Toc27629"/>
      <w:bookmarkStart w:id="4479" w:name="_Toc17856"/>
      <w:bookmarkStart w:id="4480" w:name="_Toc30455"/>
      <w:bookmarkStart w:id="4481" w:name="_Toc25089"/>
      <w:bookmarkStart w:id="4482" w:name="_Toc6465"/>
      <w:bookmarkStart w:id="4483" w:name="_Toc19861"/>
      <w:bookmarkStart w:id="4484" w:name="_Toc305331514"/>
      <w:r>
        <w:rPr>
          <w:rFonts w:hint="eastAsia" w:ascii="宋体" w:hAnsi="宋体" w:eastAsia="宋体" w:cs="Times New Roman"/>
          <w:b/>
          <w:bCs/>
          <w:color w:val="auto"/>
          <w:kern w:val="0"/>
          <w:sz w:val="24"/>
          <w:szCs w:val="32"/>
          <w:highlight w:val="none"/>
          <w:lang w:val="en-US" w:eastAsia="zh-CN" w:bidi="ar-SA"/>
        </w:rPr>
        <w:t>27.</w:t>
      </w:r>
      <w:r>
        <w:rPr>
          <w:rFonts w:ascii="宋体" w:hAnsi="宋体" w:eastAsia="宋体" w:cs="Times New Roman"/>
          <w:b/>
          <w:bCs/>
          <w:color w:val="auto"/>
          <w:kern w:val="0"/>
          <w:sz w:val="24"/>
          <w:szCs w:val="32"/>
          <w:highlight w:val="none"/>
          <w:lang w:val="en-US" w:eastAsia="zh-CN" w:bidi="ar-SA"/>
        </w:rPr>
        <w:t>6</w:t>
      </w:r>
      <w:r>
        <w:rPr>
          <w:rFonts w:hint="eastAsia" w:ascii="宋体" w:hAnsi="宋体" w:eastAsia="宋体" w:cs="Times New Roman"/>
          <w:b/>
          <w:bCs/>
          <w:color w:val="auto"/>
          <w:kern w:val="0"/>
          <w:sz w:val="24"/>
          <w:szCs w:val="32"/>
          <w:highlight w:val="none"/>
          <w:lang w:val="en-US" w:eastAsia="zh-CN" w:bidi="ar-SA"/>
        </w:rPr>
        <w:t xml:space="preserve"> 竣工验收工程质量争议处理</w:t>
      </w:r>
      <w:bookmarkEnd w:id="4473"/>
      <w:bookmarkEnd w:id="4474"/>
      <w:bookmarkEnd w:id="4475"/>
      <w:bookmarkEnd w:id="4476"/>
      <w:bookmarkEnd w:id="4477"/>
      <w:bookmarkEnd w:id="4478"/>
      <w:bookmarkEnd w:id="4479"/>
      <w:bookmarkEnd w:id="4480"/>
      <w:bookmarkEnd w:id="4481"/>
      <w:bookmarkEnd w:id="4482"/>
      <w:bookmarkEnd w:id="4483"/>
    </w:p>
    <w:p w14:paraId="363B9F94">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发包人与承包人对竣工验收工程质量有争议时共同委托的质量检测鉴定机构为：</w:t>
      </w:r>
      <w:r>
        <w:rPr>
          <w:rFonts w:hint="eastAsia" w:ascii="宋体" w:hAnsi="宋体" w:eastAsia="宋体" w:cs="Times New Roman"/>
          <w:color w:val="auto"/>
          <w:sz w:val="24"/>
          <w:szCs w:val="24"/>
          <w:highlight w:val="none"/>
          <w:u w:val="single"/>
        </w:rPr>
        <w:t xml:space="preserve">  </w:t>
      </w:r>
    </w:p>
    <w:p w14:paraId="3CC34776">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7E896F5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485" w:name="_Toc30443"/>
      <w:bookmarkStart w:id="4486" w:name="_Toc2909"/>
      <w:bookmarkStart w:id="4487" w:name="_Toc13977"/>
      <w:bookmarkStart w:id="4488" w:name="_Toc13076"/>
      <w:bookmarkStart w:id="4489" w:name="_Toc23983"/>
      <w:bookmarkStart w:id="4490" w:name="_Toc19084"/>
      <w:bookmarkStart w:id="4491" w:name="_Toc15275"/>
      <w:bookmarkStart w:id="4492" w:name="_Toc302636038"/>
      <w:bookmarkStart w:id="4493" w:name="_Toc16229"/>
      <w:bookmarkStart w:id="4494" w:name="_Toc16769"/>
      <w:r>
        <w:rPr>
          <w:rFonts w:hint="eastAsia" w:ascii="宋体" w:hAnsi="宋体" w:eastAsia="宋体" w:cs="Times New Roman"/>
          <w:b/>
          <w:bCs/>
          <w:color w:val="auto"/>
          <w:kern w:val="0"/>
          <w:sz w:val="24"/>
          <w:szCs w:val="32"/>
          <w:highlight w:val="none"/>
          <w:lang w:val="en-US" w:eastAsia="zh-CN" w:bidi="ar-SA"/>
        </w:rPr>
        <w:t>27.</w:t>
      </w:r>
      <w:r>
        <w:rPr>
          <w:rFonts w:ascii="宋体" w:hAnsi="宋体" w:eastAsia="宋体" w:cs="Times New Roman"/>
          <w:b/>
          <w:bCs/>
          <w:color w:val="auto"/>
          <w:kern w:val="0"/>
          <w:sz w:val="24"/>
          <w:szCs w:val="32"/>
          <w:highlight w:val="none"/>
          <w:lang w:val="en-US" w:eastAsia="zh-CN" w:bidi="ar-SA"/>
        </w:rPr>
        <w:t>7</w:t>
      </w:r>
      <w:r>
        <w:rPr>
          <w:rFonts w:hint="eastAsia" w:ascii="宋体" w:hAnsi="宋体" w:eastAsia="宋体" w:cs="Times New Roman"/>
          <w:b/>
          <w:bCs/>
          <w:color w:val="auto"/>
          <w:kern w:val="0"/>
          <w:sz w:val="24"/>
          <w:szCs w:val="32"/>
          <w:highlight w:val="none"/>
          <w:lang w:val="en-US" w:eastAsia="zh-CN" w:bidi="ar-SA"/>
        </w:rPr>
        <w:t xml:space="preserve"> 履约评价与优质优价</w:t>
      </w:r>
      <w:bookmarkEnd w:id="4484"/>
      <w:bookmarkEnd w:id="4485"/>
      <w:bookmarkEnd w:id="4486"/>
      <w:bookmarkEnd w:id="4487"/>
      <w:bookmarkEnd w:id="4488"/>
      <w:bookmarkEnd w:id="4489"/>
      <w:bookmarkEnd w:id="4490"/>
      <w:bookmarkEnd w:id="4491"/>
      <w:bookmarkEnd w:id="4492"/>
      <w:bookmarkEnd w:id="4493"/>
      <w:bookmarkEnd w:id="4494"/>
    </w:p>
    <w:p w14:paraId="16C9F9FB">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 发包人对承包人的履约评价约定(可另附页)：</w:t>
      </w:r>
      <w:r>
        <w:rPr>
          <w:rFonts w:hint="eastAsia" w:ascii="宋体" w:hAnsi="宋体" w:eastAsia="宋体" w:cs="Times New Roman"/>
          <w:bCs/>
          <w:color w:val="auto"/>
          <w:sz w:val="24"/>
          <w:szCs w:val="24"/>
          <w:highlight w:val="none"/>
          <w:u w:val="single"/>
        </w:rPr>
        <w:t xml:space="preserve">                                    </w:t>
      </w:r>
    </w:p>
    <w:p w14:paraId="7048CCB5">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6474F8D">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F7ACF44">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1560D5E0">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49CA68A">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2E21BA60">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(2)履约评价奖励：发包人负责组织相关单位对承包人进行履约评价，对履约评价为良好及以上等级的，发包人应给予承包人本工程签约合同价的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%作为奖励。</w:t>
      </w:r>
    </w:p>
    <w:p w14:paraId="7C3E39F4">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工程创优奖励：对履约评价为良好及以上等级，且取得</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奖项的，发包人应在履约评价奖励基础上给予承包人追加本工程签约合同价的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%作为奖励。</w:t>
      </w:r>
    </w:p>
    <w:p w14:paraId="56A512C0">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495" w:name="_Toc30103"/>
      <w:bookmarkStart w:id="4496" w:name="_Toc12488"/>
      <w:bookmarkStart w:id="4497" w:name="_Toc2370"/>
      <w:bookmarkStart w:id="4498" w:name="_Toc9226"/>
      <w:bookmarkStart w:id="4499" w:name="_Toc11387"/>
      <w:bookmarkStart w:id="4500" w:name="_Toc9184"/>
      <w:bookmarkStart w:id="4501" w:name="_Toc302636039"/>
      <w:bookmarkStart w:id="4502" w:name="_Toc27241"/>
      <w:bookmarkStart w:id="4503" w:name="_Toc305331516"/>
      <w:bookmarkStart w:id="4504" w:name="_Toc10290"/>
      <w:bookmarkStart w:id="4505" w:name="_Toc25305"/>
      <w:r>
        <w:rPr>
          <w:rFonts w:hint="eastAsia" w:ascii="华文细黑" w:hAnsi="宋体" w:eastAsia="宋体" w:cs="Times New Roman"/>
          <w:b/>
          <w:bCs/>
          <w:snapToGrid w:val="0"/>
          <w:color w:val="auto"/>
          <w:kern w:val="0"/>
          <w:sz w:val="28"/>
          <w:szCs w:val="44"/>
          <w:highlight w:val="none"/>
          <w:lang w:val="en-US" w:eastAsia="zh-CN" w:bidi="ar-SA"/>
        </w:rPr>
        <w:t>28 竣工结算</w:t>
      </w:r>
      <w:bookmarkEnd w:id="4495"/>
      <w:bookmarkEnd w:id="4496"/>
      <w:bookmarkEnd w:id="4497"/>
      <w:bookmarkEnd w:id="4498"/>
      <w:bookmarkEnd w:id="4499"/>
      <w:bookmarkEnd w:id="4500"/>
      <w:bookmarkEnd w:id="4501"/>
      <w:bookmarkEnd w:id="4502"/>
      <w:bookmarkEnd w:id="4503"/>
      <w:bookmarkEnd w:id="4504"/>
      <w:bookmarkEnd w:id="4505"/>
    </w:p>
    <w:p w14:paraId="5DC8DD0D">
      <w:pPr>
        <w:spacing w:line="360" w:lineRule="auto"/>
        <w:ind w:firstLine="480"/>
        <w:rPr>
          <w:rFonts w:ascii="宋体" w:hAnsi="宋体" w:eastAsia="宋体" w:cs="Times New Roman"/>
          <w:color w:val="auto"/>
          <w:sz w:val="24"/>
          <w:szCs w:val="24"/>
          <w:highlight w:val="none"/>
        </w:rPr>
      </w:pPr>
      <w:bookmarkStart w:id="4506" w:name="_Toc28109"/>
      <w:bookmarkStart w:id="4507" w:name="_Toc302636040"/>
      <w:bookmarkStart w:id="4508" w:name="_Toc305331517"/>
      <w:bookmarkStart w:id="4509" w:name="_Toc1914"/>
      <w:bookmarkStart w:id="4510" w:name="_Toc20359"/>
      <w:r>
        <w:rPr>
          <w:rFonts w:hint="eastAsia"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.1 竣工结算书的编制和提交</w:t>
      </w:r>
      <w:bookmarkEnd w:id="4506"/>
      <w:bookmarkEnd w:id="4507"/>
      <w:bookmarkEnd w:id="4508"/>
      <w:bookmarkEnd w:id="4509"/>
      <w:bookmarkEnd w:id="4510"/>
    </w:p>
    <w:p w14:paraId="6D1324E9">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)承包人向发包人提交竣工结算书及完整的结算资料的时间要求为本工程竣工验收合格后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14:paraId="61EFDFC9">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11" w:name="_Toc302636041"/>
      <w:bookmarkStart w:id="4512" w:name="_Toc27238"/>
      <w:bookmarkStart w:id="4513" w:name="_Toc21052"/>
      <w:bookmarkStart w:id="4514" w:name="_Toc305331518"/>
      <w:bookmarkStart w:id="4515" w:name="_Toc16256"/>
      <w:bookmarkStart w:id="4516" w:name="_Toc3128"/>
      <w:bookmarkStart w:id="4517" w:name="_Toc25807"/>
      <w:bookmarkStart w:id="4518" w:name="_Toc8529"/>
      <w:bookmarkStart w:id="4519" w:name="_Toc28478"/>
      <w:bookmarkStart w:id="4520" w:name="_Toc9496"/>
      <w:bookmarkStart w:id="4521" w:name="_Toc10727"/>
      <w:r>
        <w:rPr>
          <w:rFonts w:hint="eastAsia" w:ascii="宋体" w:hAnsi="宋体" w:eastAsia="宋体" w:cs="Times New Roman"/>
          <w:b/>
          <w:bCs/>
          <w:color w:val="auto"/>
          <w:kern w:val="0"/>
          <w:sz w:val="24"/>
          <w:szCs w:val="32"/>
          <w:highlight w:val="none"/>
          <w:lang w:val="en-US" w:eastAsia="zh-CN" w:bidi="ar-SA"/>
        </w:rPr>
        <w:t>28.2 竣工结算书的核对和修改</w:t>
      </w:r>
      <w:bookmarkEnd w:id="4511"/>
      <w:bookmarkEnd w:id="4512"/>
      <w:bookmarkEnd w:id="4513"/>
      <w:bookmarkEnd w:id="4514"/>
      <w:bookmarkEnd w:id="4515"/>
      <w:bookmarkEnd w:id="4516"/>
      <w:bookmarkEnd w:id="4517"/>
      <w:bookmarkEnd w:id="4518"/>
      <w:bookmarkEnd w:id="4519"/>
      <w:bookmarkEnd w:id="4520"/>
      <w:bookmarkEnd w:id="4521"/>
    </w:p>
    <w:p w14:paraId="3642DE6C">
      <w:pPr>
        <w:spacing w:line="360" w:lineRule="auto"/>
        <w:ind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(1)发包人核对竣工结算书的期限为承包人提交竣工结算书和完整结算资料后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14:paraId="4126623E">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(2)承包人提交修改竣工结算书或补充结算资料的期限为发包人提出核对意见或补充结算资料要求后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天；发包人核对经修改的竣工结算书的期限为承包人提交修改竣工结算书或补充结算资料后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14:paraId="0F7242CA">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22" w:name="_Toc305331519"/>
      <w:bookmarkStart w:id="4523" w:name="_Toc13959"/>
      <w:bookmarkStart w:id="4524" w:name="_Toc302636042"/>
      <w:bookmarkStart w:id="4525" w:name="_Toc11805"/>
      <w:bookmarkStart w:id="4526" w:name="_Toc16050"/>
      <w:bookmarkStart w:id="4527" w:name="_Toc19329"/>
      <w:bookmarkStart w:id="4528" w:name="_Toc27851"/>
      <w:bookmarkStart w:id="4529" w:name="_Toc26411"/>
      <w:bookmarkStart w:id="4530" w:name="_Toc13438"/>
      <w:bookmarkStart w:id="4531" w:name="_Toc25008"/>
      <w:bookmarkStart w:id="4532" w:name="_Toc29188"/>
      <w:r>
        <w:rPr>
          <w:rFonts w:hint="eastAsia" w:ascii="宋体" w:hAnsi="宋体" w:eastAsia="宋体" w:cs="Times New Roman"/>
          <w:b/>
          <w:bCs/>
          <w:color w:val="auto"/>
          <w:kern w:val="0"/>
          <w:sz w:val="24"/>
          <w:szCs w:val="32"/>
          <w:highlight w:val="none"/>
          <w:lang w:val="en-US" w:eastAsia="zh-CN" w:bidi="ar-SA"/>
        </w:rPr>
        <w:t>28.3 竣工结算书核对次数</w:t>
      </w:r>
      <w:bookmarkEnd w:id="4522"/>
      <w:bookmarkEnd w:id="4523"/>
      <w:bookmarkEnd w:id="4524"/>
      <w:bookmarkEnd w:id="4525"/>
      <w:bookmarkEnd w:id="4526"/>
      <w:bookmarkEnd w:id="4527"/>
      <w:bookmarkEnd w:id="4528"/>
      <w:bookmarkEnd w:id="4529"/>
      <w:bookmarkEnd w:id="4530"/>
      <w:bookmarkEnd w:id="4531"/>
      <w:bookmarkEnd w:id="4532"/>
    </w:p>
    <w:p w14:paraId="5B0423DC">
      <w:pPr>
        <w:spacing w:line="360" w:lineRule="auto"/>
        <w:ind w:firstLine="480"/>
        <w:jc w:val="left"/>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发包人指派的竣工结算核对人为：</w:t>
      </w:r>
      <w:r>
        <w:rPr>
          <w:rFonts w:hint="eastAsia" w:ascii="宋体" w:hAnsi="宋体" w:eastAsia="宋体" w:cs="Times New Roman"/>
          <w:color w:val="auto"/>
          <w:sz w:val="24"/>
          <w:szCs w:val="24"/>
          <w:highlight w:val="none"/>
          <w:u w:val="single"/>
        </w:rPr>
        <w:t xml:space="preserve">                            </w:t>
      </w:r>
    </w:p>
    <w:p w14:paraId="4BF4A098">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核对次数为：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次。    </w:t>
      </w:r>
    </w:p>
    <w:p w14:paraId="234638B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33" w:name="_Toc4417"/>
      <w:bookmarkStart w:id="4534" w:name="_Toc32149"/>
      <w:bookmarkStart w:id="4535" w:name="_Toc10124"/>
      <w:bookmarkStart w:id="4536" w:name="_Toc23422"/>
      <w:bookmarkStart w:id="4537" w:name="_Toc30818"/>
      <w:bookmarkStart w:id="4538" w:name="_Toc23142"/>
      <w:bookmarkStart w:id="4539" w:name="_Toc6878"/>
      <w:bookmarkStart w:id="4540" w:name="_Toc8461"/>
      <w:bookmarkStart w:id="4541" w:name="_Toc14876"/>
      <w:bookmarkStart w:id="4542" w:name="_Toc302636043"/>
      <w:r>
        <w:rPr>
          <w:rFonts w:hint="eastAsia" w:ascii="宋体" w:hAnsi="宋体" w:eastAsia="宋体" w:cs="Times New Roman"/>
          <w:b/>
          <w:bCs/>
          <w:color w:val="auto"/>
          <w:kern w:val="0"/>
          <w:sz w:val="24"/>
          <w:szCs w:val="32"/>
          <w:highlight w:val="none"/>
          <w:lang w:val="en-US" w:eastAsia="zh-CN" w:bidi="ar-SA"/>
        </w:rPr>
        <w:t>28.4 承包人不提交竣工结算书</w:t>
      </w:r>
      <w:bookmarkEnd w:id="4533"/>
      <w:bookmarkEnd w:id="4534"/>
      <w:bookmarkEnd w:id="4535"/>
      <w:bookmarkEnd w:id="4536"/>
      <w:bookmarkEnd w:id="4537"/>
      <w:bookmarkEnd w:id="4538"/>
      <w:bookmarkEnd w:id="4539"/>
      <w:bookmarkEnd w:id="4540"/>
      <w:bookmarkEnd w:id="4541"/>
    </w:p>
    <w:p w14:paraId="6C20F6C2">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承包人在收到监理人通知14天内仍不提交竣工结算书及结算资料的，发包人选择以下方式处理：</w:t>
      </w:r>
    </w:p>
    <w:p w14:paraId="7CC0C2AC">
      <w:pPr>
        <w:spacing w:line="360" w:lineRule="auto"/>
        <w:ind w:left="178"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2"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8"/>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发包人根据已有资料审查、核实确定竣工结算价款；</w:t>
      </w:r>
    </w:p>
    <w:p w14:paraId="684B771D">
      <w:pPr>
        <w:spacing w:line="360" w:lineRule="auto"/>
        <w:ind w:left="178"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1"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9"/>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(2)延期一天处以承包人签约合同价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％的罚款，罚款金额不超过签约合同价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bookmarkEnd w:id="4542"/>
    <w:p w14:paraId="6FCDE2F6">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43" w:name="_Toc31299"/>
      <w:bookmarkStart w:id="4544" w:name="_Toc2081"/>
      <w:bookmarkStart w:id="4545" w:name="_Toc18097"/>
      <w:bookmarkStart w:id="4546" w:name="_Toc7109"/>
      <w:bookmarkStart w:id="4547" w:name="_Toc6602"/>
      <w:bookmarkStart w:id="4548" w:name="_Toc20636"/>
      <w:bookmarkStart w:id="4549" w:name="_Toc14522"/>
      <w:bookmarkStart w:id="4550" w:name="_Toc23017"/>
      <w:bookmarkStart w:id="4551" w:name="_Toc24728"/>
      <w:bookmarkStart w:id="4552" w:name="_Toc302636044"/>
      <w:r>
        <w:rPr>
          <w:rFonts w:hint="eastAsia" w:ascii="宋体" w:hAnsi="宋体" w:eastAsia="宋体" w:cs="Times New Roman"/>
          <w:b/>
          <w:bCs/>
          <w:color w:val="auto"/>
          <w:kern w:val="0"/>
          <w:sz w:val="24"/>
          <w:szCs w:val="32"/>
          <w:highlight w:val="none"/>
          <w:lang w:val="en-US" w:eastAsia="zh-CN" w:bidi="ar-SA"/>
        </w:rPr>
        <w:t>28.6 竣工结算审计或审核</w:t>
      </w:r>
      <w:bookmarkEnd w:id="4543"/>
      <w:bookmarkEnd w:id="4544"/>
      <w:bookmarkEnd w:id="4545"/>
      <w:bookmarkEnd w:id="4546"/>
      <w:bookmarkEnd w:id="4547"/>
      <w:bookmarkEnd w:id="4548"/>
      <w:bookmarkEnd w:id="4549"/>
      <w:bookmarkEnd w:id="4550"/>
      <w:bookmarkEnd w:id="4551"/>
    </w:p>
    <w:p w14:paraId="34452363">
      <w:pPr>
        <w:spacing w:line="360" w:lineRule="auto"/>
        <w:ind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在以下情况下，发包人可启动强制结算机制，将其单方编制的结算文件送审计或审核：</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14:paraId="5A145C75">
      <w:pPr>
        <w:rPr>
          <w:rFonts w:hint="eastAsia" w:ascii="宋体" w:hAnsi="宋体" w:eastAsia="宋体" w:cs="Times New Roman"/>
          <w:color w:val="auto"/>
          <w:sz w:val="24"/>
          <w:szCs w:val="24"/>
          <w:highlight w:val="none"/>
        </w:rPr>
      </w:pP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rPr>
        <w:t xml:space="preserve"> </w:t>
      </w:r>
    </w:p>
    <w:p w14:paraId="4F13B2D7">
      <w:pPr>
        <w:spacing w:before="156" w:beforeLines="50"/>
        <w:rPr>
          <w:rFonts w:hint="eastAsia" w:ascii="Times New Roman" w:hAnsi="Times New Roman" w:eastAsia="仿宋_GB2312" w:cs="Times New Roman"/>
          <w:color w:val="auto"/>
          <w:sz w:val="24"/>
          <w:szCs w:val="24"/>
          <w:highlight w:val="none"/>
          <w:u w:val="single"/>
        </w:rPr>
      </w:pP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p>
    <w:p w14:paraId="55BAEE78">
      <w:pPr>
        <w:spacing w:before="156" w:beforeLines="50"/>
        <w:ind w:firstLine="480" w:firstLineChars="200"/>
        <w:rPr>
          <w:rFonts w:hint="eastAsia" w:ascii="Times New Roman" w:hAnsi="Times New Roman" w:eastAsia="仿宋_GB2312" w:cs="Times New Roman"/>
          <w:color w:val="auto"/>
          <w:sz w:val="24"/>
          <w:szCs w:val="24"/>
          <w:highlight w:val="none"/>
          <w:u w:val="singl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本合同</w:t>
      </w:r>
      <w:r>
        <w:rPr>
          <w:rFonts w:hint="eastAsia" w:ascii="宋体" w:hAnsi="宋体" w:eastAsia="宋体" w:cs="Times New Roman"/>
          <w:color w:val="auto"/>
          <w:sz w:val="24"/>
          <w:szCs w:val="24"/>
          <w:highlight w:val="none"/>
        </w:rPr>
        <w:t>最终的竣工结算和支付依据约定如下：（注：只能选择一种方式，在选定的方式前的“□”内打“</w:t>
      </w:r>
      <w:r>
        <w:rPr>
          <w:rFonts w:hint="eastAsia" w:ascii="宋体" w:hAnsi="宋体" w:eastAsia="宋体" w:cs="Times New Roman"/>
          <w:color w:val="auto"/>
          <w:sz w:val="24"/>
          <w:szCs w:val="24"/>
          <w:highlight w:val="none"/>
        </w:rPr>
        <w:sym w:font="Symbol" w:char="F0D6"/>
      </w:r>
      <w:r>
        <w:rPr>
          <w:rFonts w:hint="eastAsia" w:ascii="宋体" w:hAnsi="宋体" w:eastAsia="宋体" w:cs="Times New Roman"/>
          <w:color w:val="auto"/>
          <w:sz w:val="24"/>
          <w:szCs w:val="24"/>
          <w:highlight w:val="none"/>
        </w:rPr>
        <w:t>”</w:t>
      </w:r>
      <w:r>
        <w:rPr>
          <w:rFonts w:hint="eastAsia" w:ascii="宋体" w:hAnsi="宋体" w:eastAsia="宋体" w:cs="Times New Roman"/>
          <w:color w:val="auto"/>
          <w:kern w:val="0"/>
          <w:szCs w:val="24"/>
          <w:highlight w:val="none"/>
        </w:rPr>
        <w:t>）</w:t>
      </w:r>
    </w:p>
    <w:p w14:paraId="12398F48">
      <w:pPr>
        <w:tabs>
          <w:tab w:val="left" w:pos="1620"/>
          <w:tab w:val="left" w:pos="2340"/>
        </w:tabs>
        <w:spacing w:before="156" w:after="156"/>
        <w:ind w:firstLine="480" w:firstLineChars="20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□以</w:t>
      </w:r>
      <w:r>
        <w:rPr>
          <w:rFonts w:ascii="宋体" w:hAnsi="宋体" w:eastAsia="宋体" w:cs="Times New Roman"/>
          <w:color w:val="auto"/>
          <w:sz w:val="24"/>
          <w:szCs w:val="24"/>
          <w:highlight w:val="none"/>
        </w:rPr>
        <w:t>经过</w:t>
      </w:r>
      <w:r>
        <w:rPr>
          <w:rFonts w:hint="eastAsia" w:ascii="宋体" w:hAnsi="宋体" w:eastAsia="宋体" w:cs="Times New Roman"/>
          <w:color w:val="auto"/>
          <w:sz w:val="24"/>
          <w:szCs w:val="24"/>
          <w:highlight w:val="none"/>
        </w:rPr>
        <w:t>政府指定机构审计或审核结果作为最终的竣工结算和支付依据。</w:t>
      </w:r>
    </w:p>
    <w:p w14:paraId="16B77589">
      <w:pPr>
        <w:tabs>
          <w:tab w:val="left" w:pos="1620"/>
          <w:tab w:val="left" w:pos="2340"/>
        </w:tabs>
        <w:spacing w:before="156" w:after="156"/>
        <w:ind w:firstLine="480" w:firstLineChars="20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□以</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作为最终的竣工结算和支付依据。</w:t>
      </w:r>
    </w:p>
    <w:p w14:paraId="42697C3C">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53" w:name="_Toc10970"/>
      <w:bookmarkStart w:id="4554" w:name="_Toc21042"/>
      <w:bookmarkStart w:id="4555" w:name="_Toc1887"/>
      <w:bookmarkStart w:id="4556" w:name="_Toc28721"/>
      <w:bookmarkStart w:id="4557" w:name="_Toc32001"/>
      <w:bookmarkStart w:id="4558" w:name="_Toc19957"/>
      <w:bookmarkStart w:id="4559" w:name="_Toc15715"/>
      <w:bookmarkStart w:id="4560" w:name="_Toc13033"/>
      <w:bookmarkStart w:id="4561" w:name="_Toc4311"/>
      <w:r>
        <w:rPr>
          <w:rFonts w:hint="eastAsia" w:ascii="宋体" w:hAnsi="宋体" w:eastAsia="宋体" w:cs="Times New Roman"/>
          <w:b/>
          <w:bCs/>
          <w:color w:val="auto"/>
          <w:kern w:val="0"/>
          <w:sz w:val="24"/>
          <w:szCs w:val="32"/>
          <w:highlight w:val="none"/>
          <w:lang w:val="en-US" w:eastAsia="zh-CN" w:bidi="ar-SA"/>
        </w:rPr>
        <w:t>28.8 最终结清申请</w:t>
      </w:r>
      <w:bookmarkEnd w:id="4552"/>
      <w:bookmarkEnd w:id="4553"/>
      <w:bookmarkEnd w:id="4554"/>
      <w:bookmarkEnd w:id="4555"/>
      <w:bookmarkEnd w:id="4556"/>
      <w:bookmarkEnd w:id="4557"/>
      <w:bookmarkEnd w:id="4558"/>
      <w:bookmarkEnd w:id="4559"/>
      <w:bookmarkEnd w:id="4560"/>
      <w:bookmarkEnd w:id="4561"/>
    </w:p>
    <w:p w14:paraId="6C440D3D">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(1) 承包人提交最终结清申请单的份数：</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14:paraId="221D0AA0">
      <w:pPr>
        <w:spacing w:line="360" w:lineRule="auto"/>
        <w:ind w:firstLine="480" w:firstLineChars="200"/>
        <w:jc w:val="left"/>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最终结清申请单</w:t>
      </w:r>
      <w:r>
        <w:rPr>
          <w:rFonts w:hint="eastAsia" w:ascii="宋体" w:hAnsi="宋体" w:eastAsia="宋体" w:cs="Times New Roman"/>
          <w:color w:val="auto"/>
          <w:sz w:val="24"/>
          <w:szCs w:val="24"/>
          <w:highlight w:val="none"/>
        </w:rPr>
        <w:t>关于</w:t>
      </w:r>
      <w:r>
        <w:rPr>
          <w:rFonts w:ascii="宋体" w:hAnsi="宋体" w:eastAsia="宋体" w:cs="Times New Roman"/>
          <w:color w:val="auto"/>
          <w:sz w:val="24"/>
          <w:szCs w:val="24"/>
          <w:highlight w:val="none"/>
        </w:rPr>
        <w:t>质量保证金、应扣除的质量保证金、缺陷责任期内发生的增减费用</w:t>
      </w:r>
      <w:r>
        <w:rPr>
          <w:rFonts w:hint="eastAsia" w:ascii="宋体" w:hAnsi="宋体" w:eastAsia="宋体" w:cs="Times New Roman"/>
          <w:color w:val="auto"/>
          <w:sz w:val="24"/>
          <w:szCs w:val="24"/>
          <w:highlight w:val="none"/>
        </w:rPr>
        <w:t>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350BA567">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62" w:name="_Toc11275"/>
      <w:bookmarkStart w:id="4563" w:name="_Toc2288"/>
      <w:bookmarkStart w:id="4564" w:name="_Toc8801"/>
      <w:bookmarkStart w:id="4565" w:name="_Toc8069"/>
      <w:bookmarkStart w:id="4566" w:name="_Toc25310"/>
      <w:bookmarkStart w:id="4567" w:name="_Toc302636045"/>
      <w:bookmarkStart w:id="4568" w:name="_Toc8123"/>
      <w:bookmarkStart w:id="4569" w:name="_Toc16704"/>
      <w:bookmarkStart w:id="4570" w:name="_Toc3715"/>
      <w:bookmarkStart w:id="4571" w:name="_Toc25135"/>
      <w:r>
        <w:rPr>
          <w:rFonts w:hint="eastAsia" w:ascii="宋体" w:hAnsi="宋体" w:eastAsia="宋体" w:cs="Times New Roman"/>
          <w:b/>
          <w:bCs/>
          <w:color w:val="auto"/>
          <w:kern w:val="0"/>
          <w:sz w:val="24"/>
          <w:szCs w:val="32"/>
          <w:highlight w:val="none"/>
          <w:lang w:val="en-US" w:eastAsia="zh-CN" w:bidi="ar-SA"/>
        </w:rPr>
        <w:t>28.9 最终结清证书和支付</w:t>
      </w:r>
      <w:bookmarkEnd w:id="4562"/>
      <w:bookmarkEnd w:id="4563"/>
      <w:bookmarkEnd w:id="4564"/>
      <w:bookmarkEnd w:id="4565"/>
      <w:bookmarkEnd w:id="4566"/>
      <w:bookmarkEnd w:id="4567"/>
      <w:bookmarkEnd w:id="4568"/>
      <w:bookmarkEnd w:id="4569"/>
      <w:bookmarkEnd w:id="4570"/>
      <w:bookmarkEnd w:id="4571"/>
    </w:p>
    <w:p w14:paraId="123EF09A">
      <w:pPr>
        <w:spacing w:line="360" w:lineRule="auto"/>
        <w:ind w:firstLine="480" w:firstLineChars="200"/>
        <w:jc w:val="left"/>
        <w:rPr>
          <w:rFonts w:ascii="Times New Roman" w:hAnsi="Times New Roman" w:eastAsia="仿宋_GB2312" w:cs="Times New Roman"/>
          <w:color w:val="auto"/>
          <w:sz w:val="30"/>
          <w:szCs w:val="32"/>
          <w:highlight w:val="none"/>
        </w:rPr>
      </w:pPr>
      <w:r>
        <w:rPr>
          <w:rFonts w:ascii="宋体" w:hAnsi="宋体" w:eastAsia="宋体" w:cs="Times New Roman"/>
          <w:color w:val="auto"/>
          <w:sz w:val="24"/>
          <w:szCs w:val="24"/>
          <w:highlight w:val="none"/>
        </w:rPr>
        <w:t>（1）发包人完成最终结清申请的</w:t>
      </w:r>
      <w:r>
        <w:rPr>
          <w:rFonts w:hint="eastAsia" w:ascii="宋体" w:hAnsi="宋体" w:eastAsia="宋体" w:cs="Times New Roman"/>
          <w:color w:val="auto"/>
          <w:sz w:val="24"/>
          <w:szCs w:val="24"/>
          <w:highlight w:val="none"/>
        </w:rPr>
        <w:t>审批</w:t>
      </w:r>
      <w:r>
        <w:rPr>
          <w:rFonts w:ascii="宋体" w:hAnsi="宋体" w:eastAsia="宋体" w:cs="Times New Roman"/>
          <w:color w:val="auto"/>
          <w:sz w:val="24"/>
          <w:szCs w:val="24"/>
          <w:highlight w:val="none"/>
        </w:rPr>
        <w:t>并颁发最终结清证书的期限：</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14:paraId="3A48074C">
      <w:pPr>
        <w:spacing w:line="360" w:lineRule="auto"/>
        <w:ind w:firstLine="480" w:firstLineChars="200"/>
        <w:jc w:val="left"/>
        <w:rPr>
          <w:rFonts w:ascii="Times New Roman" w:hAnsi="Times New Roman" w:eastAsia="仿宋_GB2312" w:cs="Times New Roman"/>
          <w:color w:val="auto"/>
          <w:sz w:val="30"/>
          <w:szCs w:val="32"/>
          <w:highlight w:val="none"/>
        </w:rPr>
      </w:pPr>
      <w:r>
        <w:rPr>
          <w:rFonts w:ascii="宋体" w:hAnsi="宋体" w:eastAsia="宋体" w:cs="Times New Roman"/>
          <w:color w:val="auto"/>
          <w:sz w:val="24"/>
          <w:szCs w:val="24"/>
          <w:highlight w:val="none"/>
        </w:rPr>
        <w:t>（2）发包人完成支付的期限：</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14:paraId="3CD49C68">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572" w:name="_Toc32358"/>
      <w:bookmarkStart w:id="4573" w:name="_Toc22351"/>
      <w:bookmarkStart w:id="4574" w:name="_Toc1751"/>
      <w:bookmarkStart w:id="4575" w:name="_Toc17759"/>
      <w:bookmarkStart w:id="4576" w:name="_Toc20148"/>
      <w:bookmarkStart w:id="4577" w:name="_Toc9406"/>
      <w:bookmarkStart w:id="4578" w:name="_Toc302636046"/>
      <w:bookmarkStart w:id="4579" w:name="_Toc13338"/>
      <w:bookmarkStart w:id="4580" w:name="_Toc15921"/>
      <w:bookmarkStart w:id="4581" w:name="_Toc35656549"/>
      <w:bookmarkStart w:id="4582" w:name="_Toc305331520"/>
      <w:bookmarkStart w:id="4583" w:name="_Toc13624"/>
      <w:r>
        <w:rPr>
          <w:rFonts w:hint="eastAsia" w:ascii="华文细黑" w:hAnsi="宋体" w:eastAsia="宋体" w:cs="Times New Roman"/>
          <w:b/>
          <w:bCs/>
          <w:snapToGrid w:val="0"/>
          <w:color w:val="auto"/>
          <w:kern w:val="0"/>
          <w:sz w:val="28"/>
          <w:szCs w:val="44"/>
          <w:highlight w:val="none"/>
          <w:lang w:val="en-US" w:eastAsia="zh-CN" w:bidi="ar-SA"/>
        </w:rPr>
        <w:t>29 违约</w:t>
      </w:r>
      <w:bookmarkEnd w:id="4572"/>
      <w:bookmarkEnd w:id="4573"/>
      <w:bookmarkEnd w:id="4574"/>
      <w:bookmarkEnd w:id="4575"/>
      <w:bookmarkEnd w:id="4576"/>
      <w:bookmarkEnd w:id="4577"/>
      <w:bookmarkEnd w:id="4578"/>
      <w:bookmarkEnd w:id="4579"/>
      <w:bookmarkEnd w:id="4580"/>
      <w:bookmarkEnd w:id="4581"/>
      <w:bookmarkEnd w:id="4582"/>
      <w:bookmarkEnd w:id="4583"/>
    </w:p>
    <w:p w14:paraId="5A69AC7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84" w:name="_Toc27305"/>
      <w:bookmarkStart w:id="4585" w:name="_Toc9336"/>
      <w:bookmarkStart w:id="4586" w:name="_Toc19923"/>
      <w:bookmarkStart w:id="4587" w:name="_Toc26715"/>
      <w:bookmarkStart w:id="4588" w:name="_Toc3519"/>
      <w:bookmarkStart w:id="4589" w:name="_Toc6773"/>
      <w:bookmarkStart w:id="4590" w:name="_Toc12680"/>
      <w:bookmarkStart w:id="4591" w:name="_Toc302636047"/>
      <w:bookmarkStart w:id="4592" w:name="_Toc905"/>
      <w:bookmarkStart w:id="4593" w:name="_Toc21758"/>
      <w:bookmarkStart w:id="4594" w:name="_Toc305331521"/>
      <w:r>
        <w:rPr>
          <w:rFonts w:hint="eastAsia" w:ascii="宋体" w:hAnsi="宋体" w:eastAsia="宋体" w:cs="Times New Roman"/>
          <w:b/>
          <w:bCs/>
          <w:color w:val="auto"/>
          <w:kern w:val="0"/>
          <w:sz w:val="24"/>
          <w:szCs w:val="32"/>
          <w:highlight w:val="none"/>
          <w:lang w:val="en-US" w:eastAsia="zh-CN" w:bidi="ar-SA"/>
        </w:rPr>
        <w:t>29.1 发包人违约</w:t>
      </w:r>
      <w:bookmarkEnd w:id="4584"/>
      <w:bookmarkEnd w:id="4585"/>
      <w:bookmarkEnd w:id="4586"/>
      <w:bookmarkEnd w:id="4587"/>
      <w:bookmarkEnd w:id="4588"/>
      <w:bookmarkEnd w:id="4589"/>
      <w:bookmarkEnd w:id="4590"/>
      <w:bookmarkEnd w:id="4591"/>
      <w:bookmarkEnd w:id="4592"/>
      <w:bookmarkEnd w:id="4593"/>
      <w:bookmarkEnd w:id="4594"/>
    </w:p>
    <w:p w14:paraId="4F002A90">
      <w:pPr>
        <w:spacing w:line="360" w:lineRule="auto"/>
        <w:ind w:firstLine="480" w:firstLineChars="200"/>
        <w:jc w:val="left"/>
        <w:rPr>
          <w:rFonts w:ascii="宋体" w:hAnsi="宋体" w:eastAsia="宋体" w:cs="Times New Roman"/>
          <w:color w:val="auto"/>
          <w:sz w:val="24"/>
          <w:szCs w:val="24"/>
          <w:highlight w:val="none"/>
        </w:rPr>
      </w:pPr>
      <w:bookmarkStart w:id="4595" w:name="_Toc305331522"/>
      <w:r>
        <w:rPr>
          <w:rFonts w:ascii="宋体" w:hAnsi="宋体" w:eastAsia="宋体" w:cs="Times New Roman"/>
          <w:color w:val="auto"/>
          <w:sz w:val="24"/>
          <w:szCs w:val="24"/>
          <w:highlight w:val="none"/>
        </w:rPr>
        <w:t>发包人违约责任的承担方式和计算方法：</w:t>
      </w:r>
    </w:p>
    <w:p w14:paraId="167E372C">
      <w:pPr>
        <w:spacing w:line="360" w:lineRule="auto"/>
        <w:ind w:firstLine="480" w:firstLineChars="200"/>
        <w:jc w:val="left"/>
        <w:rPr>
          <w:rFonts w:ascii="Times New Roman" w:hAnsi="Times New Roman" w:eastAsia="仿宋_GB2312" w:cs="Times New Roman"/>
          <w:color w:val="auto"/>
          <w:kern w:val="0"/>
          <w:sz w:val="30"/>
          <w:szCs w:val="32"/>
          <w:highlight w:val="none"/>
          <w:u w:val="single"/>
        </w:rPr>
      </w:pPr>
      <w:r>
        <w:rPr>
          <w:rFonts w:ascii="宋体" w:hAnsi="宋体" w:eastAsia="宋体" w:cs="Times New Roman"/>
          <w:color w:val="auto"/>
          <w:sz w:val="24"/>
          <w:szCs w:val="24"/>
          <w:highlight w:val="none"/>
        </w:rPr>
        <w:t>（1）因发包人原因未能在计划开工日期前7天内下达开工通知的违约责任：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540A3C2D">
      <w:pPr>
        <w:spacing w:line="360" w:lineRule="auto"/>
        <w:ind w:firstLine="480" w:firstLineChars="200"/>
        <w:jc w:val="left"/>
        <w:rPr>
          <w:rFonts w:hint="eastAsia"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（2）因发包人原因未能按合同约定支付合同价款的违约责任：</w:t>
      </w:r>
      <w:r>
        <w:rPr>
          <w:rFonts w:ascii="Times New Roman" w:hAnsi="Times New Roman" w:eastAsia="仿宋_GB2312" w:cs="Times New Roman"/>
          <w:color w:val="auto"/>
          <w:kern w:val="0"/>
          <w:sz w:val="30"/>
          <w:szCs w:val="32"/>
          <w:highlight w:val="none"/>
          <w:u w:val="single"/>
        </w:rPr>
        <w:t xml:space="preserve">                 </w:t>
      </w:r>
    </w:p>
    <w:p w14:paraId="6C48769A">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12876B9F">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）发包人提供的材料、工程设备的规格、数量或质量不符合合同约定，或因发包人原因导致交货日期延误或交货地点变更等情况的违约责任：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p>
    <w:p w14:paraId="23A8252E">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081B05D8">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）因发包人违反合同约定造成暂停施工的违约责任：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0A16C6EA">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16C0865C">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）发包人无正当理由没有在约定期限内发出复工指示，导致承包人无法复工的违约责任：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0A6E1E19">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发包人明确表示或其行为表明不履行合同主要义务的违约责任：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p>
    <w:p w14:paraId="2FEEBBAF">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p>
    <w:p w14:paraId="47C339DD">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其他：</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04147B11">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96" w:name="_Toc302636048"/>
      <w:bookmarkStart w:id="4597" w:name="_Toc22335"/>
      <w:bookmarkStart w:id="4598" w:name="_Toc26539"/>
      <w:bookmarkStart w:id="4599" w:name="_Toc13163"/>
      <w:bookmarkStart w:id="4600" w:name="_Toc16543"/>
      <w:bookmarkStart w:id="4601" w:name="_Toc18058"/>
      <w:bookmarkStart w:id="4602" w:name="_Toc32592"/>
      <w:bookmarkStart w:id="4603" w:name="_Toc29107"/>
      <w:bookmarkStart w:id="4604" w:name="_Toc8350"/>
      <w:bookmarkStart w:id="4605" w:name="_Toc30664"/>
      <w:r>
        <w:rPr>
          <w:rFonts w:hint="eastAsia" w:ascii="宋体" w:hAnsi="宋体" w:eastAsia="宋体" w:cs="Times New Roman"/>
          <w:b/>
          <w:bCs/>
          <w:color w:val="auto"/>
          <w:kern w:val="0"/>
          <w:sz w:val="24"/>
          <w:szCs w:val="32"/>
          <w:highlight w:val="none"/>
          <w:lang w:val="en-US" w:eastAsia="zh-CN" w:bidi="ar-SA"/>
        </w:rPr>
        <w:t>29.2 承包人违约</w:t>
      </w:r>
      <w:bookmarkEnd w:id="4595"/>
      <w:bookmarkEnd w:id="4596"/>
      <w:bookmarkEnd w:id="4597"/>
      <w:bookmarkEnd w:id="4598"/>
      <w:bookmarkEnd w:id="4599"/>
      <w:bookmarkEnd w:id="4600"/>
      <w:bookmarkEnd w:id="4601"/>
      <w:bookmarkEnd w:id="4602"/>
      <w:bookmarkEnd w:id="4603"/>
      <w:bookmarkEnd w:id="4604"/>
      <w:bookmarkEnd w:id="4605"/>
    </w:p>
    <w:p w14:paraId="042F88C4">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承包人违反合同约定进行转包或违法分包的违约责任：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449ED31F">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785883D1">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承包人违反合同约定采购和使用不合格的材料和工程设备的违约责任：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185252A2">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43188001">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因承包人原因导致工程质量不符合合同要求的违约责任：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38596B96">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7220C32A">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承包人未经批准，私自将已按照合同约定进入施工现场的材料或设备撤离施工现场的违约责任：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67C59725">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2417882B">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承包人未能按施工进度计划及时完成合同约定的工作，造成工期延误的违约责任：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6339EE07">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53C19BD5">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承包人在缺陷责任期及保修期内，未能在合理期限对工程缺陷进行修复，或拒绝按发包人要求进行修复的违约责任：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42D6E534">
      <w:pPr>
        <w:spacing w:line="360" w:lineRule="auto"/>
        <w:jc w:val="left"/>
        <w:rPr>
          <w:rFonts w:hint="eastAsia" w:ascii="Times New Roman" w:hAnsi="Times New Roman" w:eastAsia="仿宋_GB2312" w:cs="Times New Roman"/>
          <w:color w:val="auto"/>
          <w:kern w:val="0"/>
          <w:sz w:val="30"/>
          <w:szCs w:val="32"/>
          <w:highlight w:val="none"/>
          <w:lang w:eastAsia="zh-CN"/>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14:paraId="3EE55A63">
      <w:pPr>
        <w:numPr>
          <w:ilvl w:val="0"/>
          <w:numId w:val="0"/>
        </w:numPr>
        <w:spacing w:line="360" w:lineRule="auto"/>
        <w:ind w:firstLine="480" w:firstLineChars="200"/>
        <w:jc w:val="left"/>
        <w:rPr>
          <w:rFonts w:hint="eastAsia" w:ascii="宋体" w:hAnsi="宋体" w:eastAsia="宋体" w:cs="Times New Roman"/>
          <w:color w:val="auto"/>
          <w:sz w:val="24"/>
          <w:szCs w:val="24"/>
          <w:highlight w:val="none"/>
          <w:u w:val="single"/>
          <w:lang w:val="en-US" w:eastAsia="zh-CN"/>
        </w:rPr>
      </w:pP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7</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rPr>
        <w:t>承包人未按合同约定的时间提交BIM成果的违约责任：</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p>
    <w:p w14:paraId="52046BC3">
      <w:pPr>
        <w:spacing w:line="360" w:lineRule="auto"/>
        <w:jc w:val="left"/>
        <w:rPr>
          <w:rFonts w:hint="eastAsia" w:ascii="Times New Roman" w:hAnsi="Times New Roman" w:eastAsia="仿宋_GB2312" w:cs="Times New Roman"/>
          <w:color w:val="auto"/>
          <w:kern w:val="0"/>
          <w:sz w:val="30"/>
          <w:szCs w:val="32"/>
          <w:highlight w:val="none"/>
          <w:lang w:eastAsia="zh-CN"/>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14:paraId="42E14BA4">
      <w:pPr>
        <w:spacing w:line="360" w:lineRule="auto"/>
        <w:ind w:firstLine="960" w:firstLineChars="400"/>
        <w:jc w:val="left"/>
        <w:rPr>
          <w:rFonts w:hint="eastAsia" w:ascii="宋体" w:hAnsi="宋体" w:eastAsia="宋体" w:cs="Times New Roman"/>
          <w:color w:val="auto"/>
          <w:sz w:val="24"/>
          <w:szCs w:val="24"/>
          <w:highlight w:val="none"/>
          <w:u w:val="single"/>
          <w:lang w:val="en-US" w:eastAsia="zh-CN"/>
        </w:rPr>
      </w:pPr>
      <w:r>
        <w:rPr>
          <w:rFonts w:hint="eastAsia" w:ascii="宋体" w:hAnsi="宋体" w:eastAsia="宋体" w:cs="Times New Roman"/>
          <w:color w:val="auto"/>
          <w:sz w:val="24"/>
          <w:szCs w:val="24"/>
          <w:highlight w:val="none"/>
        </w:rPr>
        <w:t>承包人未按合同约定的实施要求、执行标准提交BIM成果的违约责任：</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p>
    <w:p w14:paraId="7DE1E31D">
      <w:pPr>
        <w:spacing w:line="360" w:lineRule="auto"/>
        <w:jc w:val="left"/>
        <w:rPr>
          <w:rFonts w:hint="eastAsia" w:ascii="Times New Roman" w:hAnsi="Times New Roman" w:eastAsia="仿宋_GB2312" w:cs="Times New Roman"/>
          <w:color w:val="auto"/>
          <w:kern w:val="0"/>
          <w:sz w:val="30"/>
          <w:szCs w:val="32"/>
          <w:highlight w:val="none"/>
          <w:lang w:eastAsia="zh-CN"/>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14:paraId="266F68F4">
      <w:pPr>
        <w:spacing w:line="360" w:lineRule="auto"/>
        <w:ind w:firstLine="960" w:firstLineChars="400"/>
        <w:jc w:val="left"/>
        <w:rPr>
          <w:rFonts w:hint="default" w:ascii="宋体" w:hAnsi="宋体" w:eastAsia="宋体" w:cs="Times New Roman"/>
          <w:color w:val="auto"/>
          <w:sz w:val="24"/>
          <w:szCs w:val="24"/>
          <w:highlight w:val="none"/>
          <w:lang w:val="en-US"/>
        </w:rPr>
      </w:pPr>
      <w:r>
        <w:rPr>
          <w:rFonts w:hint="eastAsia" w:ascii="宋体" w:hAnsi="宋体" w:eastAsia="宋体" w:cs="Times New Roman"/>
          <w:color w:val="auto"/>
          <w:sz w:val="24"/>
          <w:szCs w:val="24"/>
          <w:highlight w:val="none"/>
        </w:rPr>
        <w:t>其他情形的违约责任：</w:t>
      </w:r>
      <w:r>
        <w:rPr>
          <w:rFonts w:hint="eastAsia" w:ascii="宋体" w:hAnsi="宋体" w:eastAsia="宋体" w:cs="Times New Roman"/>
          <w:color w:val="auto"/>
          <w:sz w:val="24"/>
          <w:szCs w:val="24"/>
          <w:highlight w:val="none"/>
          <w:u w:val="single"/>
          <w:lang w:val="en-US" w:eastAsia="zh-CN"/>
        </w:rPr>
        <w:t xml:space="preserve">                                               </w:t>
      </w:r>
    </w:p>
    <w:p w14:paraId="5D1E67DA">
      <w:pPr>
        <w:spacing w:line="360" w:lineRule="auto"/>
        <w:jc w:val="left"/>
        <w:rPr>
          <w:rFonts w:hint="eastAsia" w:ascii="宋体" w:hAnsi="宋体" w:eastAsia="宋体" w:cs="Times New Roman"/>
          <w:color w:val="auto"/>
          <w:sz w:val="24"/>
          <w:szCs w:val="24"/>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14:paraId="4DCACC96">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承包人明确表示或其行为表明不履行合同主要义务的违约责任：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14:paraId="172ED02C">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6249D54B">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9</w:t>
      </w:r>
      <w:r>
        <w:rPr>
          <w:rFonts w:hint="eastAsia" w:ascii="宋体" w:hAnsi="宋体" w:eastAsia="宋体" w:cs="Times New Roman"/>
          <w:color w:val="auto"/>
          <w:sz w:val="24"/>
          <w:szCs w:val="24"/>
          <w:highlight w:val="none"/>
        </w:rPr>
        <w:t>）其他：</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14:paraId="1E06FD86">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606" w:name="_Toc3649"/>
      <w:bookmarkStart w:id="4607" w:name="_Toc30519"/>
      <w:bookmarkStart w:id="4608" w:name="_Toc10165"/>
      <w:bookmarkStart w:id="4609" w:name="_Toc2512"/>
      <w:bookmarkStart w:id="4610" w:name="_Toc8016"/>
      <w:bookmarkStart w:id="4611" w:name="_Toc26454"/>
      <w:bookmarkStart w:id="4612" w:name="_Toc5100"/>
      <w:bookmarkStart w:id="4613" w:name="_Toc9884"/>
      <w:bookmarkStart w:id="4614" w:name="_Toc24057"/>
      <w:bookmarkStart w:id="4615" w:name="_Toc305331523"/>
      <w:bookmarkStart w:id="4616" w:name="_Toc35656550"/>
      <w:bookmarkStart w:id="4617" w:name="_Toc302636049"/>
      <w:r>
        <w:rPr>
          <w:rFonts w:hint="eastAsia" w:ascii="华文细黑" w:hAnsi="宋体" w:eastAsia="宋体" w:cs="Times New Roman"/>
          <w:b/>
          <w:bCs/>
          <w:snapToGrid w:val="0"/>
          <w:color w:val="auto"/>
          <w:kern w:val="0"/>
          <w:sz w:val="28"/>
          <w:szCs w:val="44"/>
          <w:highlight w:val="none"/>
          <w:lang w:val="en-US" w:eastAsia="zh-CN" w:bidi="ar-SA"/>
        </w:rPr>
        <w:t>30 索赔</w:t>
      </w:r>
      <w:bookmarkEnd w:id="4606"/>
      <w:bookmarkEnd w:id="4607"/>
      <w:bookmarkEnd w:id="4608"/>
      <w:bookmarkEnd w:id="4609"/>
      <w:bookmarkEnd w:id="4610"/>
      <w:bookmarkEnd w:id="4611"/>
      <w:bookmarkEnd w:id="4612"/>
      <w:bookmarkEnd w:id="4613"/>
      <w:bookmarkEnd w:id="4614"/>
    </w:p>
    <w:p w14:paraId="657628D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18" w:name="_Toc23483"/>
      <w:bookmarkStart w:id="4619" w:name="_Toc25186"/>
      <w:bookmarkStart w:id="4620" w:name="_Toc4358"/>
      <w:bookmarkStart w:id="4621" w:name="_Toc27214"/>
      <w:bookmarkStart w:id="4622" w:name="_Toc9887"/>
      <w:bookmarkStart w:id="4623" w:name="_Toc27467"/>
      <w:bookmarkStart w:id="4624" w:name="_Toc17457"/>
      <w:bookmarkStart w:id="4625" w:name="_Toc19134"/>
      <w:bookmarkStart w:id="4626" w:name="_Toc20563"/>
      <w:r>
        <w:rPr>
          <w:rFonts w:hint="eastAsia" w:ascii="宋体" w:hAnsi="宋体" w:eastAsia="宋体" w:cs="Times New Roman"/>
          <w:b/>
          <w:bCs/>
          <w:color w:val="auto"/>
          <w:kern w:val="0"/>
          <w:sz w:val="24"/>
          <w:szCs w:val="32"/>
          <w:highlight w:val="none"/>
          <w:lang w:val="en-US" w:eastAsia="zh-CN" w:bidi="ar-SA"/>
        </w:rPr>
        <w:t>30.3 发包人索赔情形</w:t>
      </w:r>
      <w:bookmarkEnd w:id="4618"/>
      <w:bookmarkEnd w:id="4619"/>
      <w:bookmarkEnd w:id="4620"/>
      <w:bookmarkEnd w:id="4621"/>
      <w:bookmarkEnd w:id="4622"/>
      <w:bookmarkEnd w:id="4623"/>
      <w:bookmarkEnd w:id="4624"/>
      <w:bookmarkEnd w:id="4625"/>
      <w:bookmarkEnd w:id="4626"/>
    </w:p>
    <w:p w14:paraId="76B549F1">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rPr>
        <w:t>)发包人可向承包人提出索赔的其他情形：</w:t>
      </w:r>
      <w:r>
        <w:rPr>
          <w:rFonts w:hint="eastAsia" w:ascii="宋体" w:hAnsi="宋体" w:eastAsia="宋体" w:cs="Times New Roman"/>
          <w:color w:val="auto"/>
          <w:sz w:val="24"/>
          <w:szCs w:val="24"/>
          <w:highlight w:val="none"/>
          <w:u w:val="single"/>
        </w:rPr>
        <w:t xml:space="preserve">                                 </w:t>
      </w:r>
    </w:p>
    <w:p w14:paraId="3DFFDDB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27" w:name="_Toc27699"/>
      <w:bookmarkStart w:id="4628" w:name="_Toc1565"/>
      <w:bookmarkStart w:id="4629" w:name="_Toc27155"/>
      <w:bookmarkStart w:id="4630" w:name="_Toc13093"/>
      <w:bookmarkStart w:id="4631" w:name="_Toc15803"/>
      <w:bookmarkStart w:id="4632" w:name="_Toc2863"/>
      <w:bookmarkStart w:id="4633" w:name="_Toc4974"/>
      <w:bookmarkStart w:id="4634" w:name="_Toc19148"/>
      <w:bookmarkStart w:id="4635" w:name="_Toc9249"/>
      <w:r>
        <w:rPr>
          <w:rFonts w:hint="eastAsia" w:ascii="宋体" w:hAnsi="宋体" w:eastAsia="宋体" w:cs="Times New Roman"/>
          <w:b/>
          <w:bCs/>
          <w:color w:val="auto"/>
          <w:kern w:val="0"/>
          <w:sz w:val="24"/>
          <w:szCs w:val="32"/>
          <w:highlight w:val="none"/>
          <w:lang w:val="en-US" w:eastAsia="zh-CN" w:bidi="ar-SA"/>
        </w:rPr>
        <w:t>30.5 承包人索赔情形</w:t>
      </w:r>
      <w:bookmarkEnd w:id="4627"/>
      <w:bookmarkEnd w:id="4628"/>
      <w:bookmarkEnd w:id="4629"/>
      <w:bookmarkEnd w:id="4630"/>
      <w:bookmarkEnd w:id="4631"/>
      <w:bookmarkEnd w:id="4632"/>
      <w:bookmarkEnd w:id="4633"/>
      <w:bookmarkEnd w:id="4634"/>
      <w:bookmarkEnd w:id="4635"/>
    </w:p>
    <w:p w14:paraId="4AFFEC73">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7</w:t>
      </w:r>
      <w:r>
        <w:rPr>
          <w:rFonts w:hint="eastAsia" w:ascii="宋体" w:hAnsi="宋体" w:eastAsia="宋体" w:cs="Times New Roman"/>
          <w:color w:val="auto"/>
          <w:sz w:val="24"/>
          <w:szCs w:val="24"/>
          <w:highlight w:val="none"/>
        </w:rPr>
        <w:t>)承包人可向发包人提出索赔的其他情形：</w:t>
      </w:r>
      <w:r>
        <w:rPr>
          <w:rFonts w:hint="eastAsia" w:ascii="宋体" w:hAnsi="宋体" w:eastAsia="宋体" w:cs="Times New Roman"/>
          <w:color w:val="auto"/>
          <w:sz w:val="24"/>
          <w:szCs w:val="24"/>
          <w:highlight w:val="none"/>
          <w:u w:val="single"/>
        </w:rPr>
        <w:t xml:space="preserve">                                 </w:t>
      </w:r>
    </w:p>
    <w:p w14:paraId="1681B0BB">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636" w:name="_Toc8149"/>
      <w:bookmarkStart w:id="4637" w:name="_Toc8996"/>
      <w:bookmarkStart w:id="4638" w:name="_Toc9302"/>
      <w:bookmarkStart w:id="4639" w:name="_Toc26865"/>
      <w:bookmarkStart w:id="4640" w:name="_Toc29963"/>
      <w:bookmarkStart w:id="4641" w:name="_Toc4405"/>
      <w:bookmarkStart w:id="4642" w:name="_Toc13947"/>
      <w:bookmarkStart w:id="4643" w:name="_Toc16344"/>
      <w:bookmarkStart w:id="4644" w:name="_Toc14071"/>
      <w:r>
        <w:rPr>
          <w:rFonts w:hint="eastAsia" w:ascii="华文细黑" w:hAnsi="宋体" w:eastAsia="宋体" w:cs="Times New Roman"/>
          <w:b/>
          <w:bCs/>
          <w:snapToGrid w:val="0"/>
          <w:color w:val="auto"/>
          <w:kern w:val="0"/>
          <w:sz w:val="28"/>
          <w:szCs w:val="44"/>
          <w:highlight w:val="none"/>
          <w:lang w:val="en-US" w:eastAsia="zh-CN" w:bidi="ar-SA"/>
        </w:rPr>
        <w:t>31 争议</w:t>
      </w:r>
      <w:bookmarkEnd w:id="4615"/>
      <w:bookmarkEnd w:id="4616"/>
      <w:r>
        <w:rPr>
          <w:rFonts w:hint="eastAsia" w:ascii="华文细黑" w:hAnsi="宋体" w:eastAsia="宋体" w:cs="Times New Roman"/>
          <w:b/>
          <w:bCs/>
          <w:snapToGrid w:val="0"/>
          <w:color w:val="auto"/>
          <w:kern w:val="0"/>
          <w:sz w:val="28"/>
          <w:szCs w:val="44"/>
          <w:highlight w:val="none"/>
          <w:lang w:val="en-US" w:eastAsia="zh-CN" w:bidi="ar-SA"/>
        </w:rPr>
        <w:t>解决</w:t>
      </w:r>
      <w:bookmarkEnd w:id="4617"/>
      <w:bookmarkEnd w:id="4636"/>
      <w:bookmarkEnd w:id="4637"/>
      <w:bookmarkEnd w:id="4638"/>
      <w:bookmarkEnd w:id="4639"/>
      <w:bookmarkEnd w:id="4640"/>
      <w:bookmarkEnd w:id="4641"/>
      <w:bookmarkEnd w:id="4642"/>
      <w:bookmarkEnd w:id="4643"/>
      <w:bookmarkEnd w:id="4644"/>
    </w:p>
    <w:p w14:paraId="37B1BD00">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45" w:name="_Toc28775"/>
      <w:bookmarkStart w:id="4646" w:name="_Toc305331524"/>
      <w:bookmarkStart w:id="4647" w:name="_Toc3494"/>
      <w:bookmarkStart w:id="4648" w:name="_Toc17300"/>
      <w:bookmarkStart w:id="4649" w:name="_Toc23008"/>
      <w:bookmarkStart w:id="4650" w:name="_Toc26384"/>
      <w:bookmarkStart w:id="4651" w:name="_Toc2197"/>
      <w:bookmarkStart w:id="4652" w:name="_Toc5036"/>
      <w:bookmarkStart w:id="4653" w:name="_Toc8749"/>
      <w:bookmarkStart w:id="4654" w:name="_Toc4478"/>
      <w:bookmarkStart w:id="4655" w:name="_Toc302636050"/>
      <w:r>
        <w:rPr>
          <w:rFonts w:hint="eastAsia" w:ascii="宋体" w:hAnsi="宋体" w:eastAsia="宋体" w:cs="Times New Roman"/>
          <w:b/>
          <w:bCs/>
          <w:color w:val="auto"/>
          <w:kern w:val="0"/>
          <w:sz w:val="24"/>
          <w:szCs w:val="32"/>
          <w:highlight w:val="none"/>
          <w:lang w:val="en-US" w:eastAsia="zh-CN" w:bidi="ar-SA"/>
        </w:rPr>
        <w:t>31.1 争议的解决方式</w:t>
      </w:r>
      <w:bookmarkEnd w:id="4645"/>
      <w:bookmarkEnd w:id="4646"/>
      <w:bookmarkEnd w:id="4647"/>
      <w:bookmarkEnd w:id="4648"/>
      <w:bookmarkEnd w:id="4649"/>
      <w:bookmarkEnd w:id="4650"/>
      <w:bookmarkEnd w:id="4651"/>
      <w:bookmarkEnd w:id="4652"/>
      <w:bookmarkEnd w:id="4653"/>
      <w:bookmarkEnd w:id="4654"/>
      <w:bookmarkEnd w:id="4655"/>
    </w:p>
    <w:p w14:paraId="1CF68BEC">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(1)发包人与承包人共同指定的调解机构为：</w:t>
      </w:r>
      <w:r>
        <w:rPr>
          <w:rFonts w:hint="eastAsia" w:ascii="宋体" w:hAnsi="宋体" w:eastAsia="宋体" w:cs="Times New Roman"/>
          <w:color w:val="auto"/>
          <w:sz w:val="24"/>
          <w:szCs w:val="24"/>
          <w:highlight w:val="none"/>
          <w:u w:val="single"/>
        </w:rPr>
        <w:t xml:space="preserve">                                 </w:t>
      </w:r>
    </w:p>
    <w:p w14:paraId="6C4E0D9B">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(2)发包人或承包人一方不愿调解或调解不成的，应采用下列方式之一解决争议(注：只能选择一种方式，在选定的方式前的“□”内打“</w:t>
      </w:r>
      <w:r>
        <w:rPr>
          <w:rFonts w:hint="eastAsia" w:ascii="宋体" w:hAnsi="宋体" w:eastAsia="宋体" w:cs="Times New Roman"/>
          <w:color w:val="auto"/>
          <w:sz w:val="24"/>
          <w:szCs w:val="24"/>
          <w:highlight w:val="none"/>
        </w:rPr>
        <w:sym w:font="Symbol" w:char="F0D6"/>
      </w:r>
      <w:r>
        <w:rPr>
          <w:rFonts w:hint="eastAsia" w:ascii="宋体" w:hAnsi="宋体" w:eastAsia="宋体" w:cs="Times New Roman"/>
          <w:color w:val="auto"/>
          <w:sz w:val="24"/>
          <w:szCs w:val="24"/>
          <w:highlight w:val="none"/>
        </w:rPr>
        <w:t>”)：</w:t>
      </w:r>
    </w:p>
    <w:p w14:paraId="264C98DB">
      <w:pPr>
        <w:spacing w:line="360" w:lineRule="auto"/>
        <w:ind w:left="178"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0"/>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提交深圳国际仲裁院(深圳仲裁委员会)仲裁；</w:t>
      </w:r>
    </w:p>
    <w:p w14:paraId="6C329CB1">
      <w:pPr>
        <w:spacing w:line="360" w:lineRule="auto"/>
        <w:ind w:left="178"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71"/>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向有管辖权的人民法院提起诉讼。</w:t>
      </w:r>
    </w:p>
    <w:p w14:paraId="039493E2">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656" w:name="_Toc2535"/>
      <w:bookmarkStart w:id="4657" w:name="_Toc18670"/>
      <w:bookmarkStart w:id="4658" w:name="_Toc7330"/>
      <w:bookmarkStart w:id="4659" w:name="_Toc31691"/>
      <w:bookmarkStart w:id="4660" w:name="_Toc7824"/>
      <w:bookmarkStart w:id="4661" w:name="_Toc29052"/>
      <w:bookmarkStart w:id="4662" w:name="_Toc4074"/>
      <w:bookmarkStart w:id="4663" w:name="_Toc15235"/>
      <w:bookmarkStart w:id="4664" w:name="_Toc5416"/>
      <w:bookmarkStart w:id="4665" w:name="_Toc302636051"/>
      <w:bookmarkStart w:id="4666" w:name="_Toc305331525"/>
      <w:bookmarkStart w:id="4667" w:name="_Toc35656553"/>
      <w:r>
        <w:rPr>
          <w:rFonts w:hint="eastAsia" w:ascii="华文细黑" w:hAnsi="宋体" w:eastAsia="宋体" w:cs="Times New Roman"/>
          <w:b/>
          <w:bCs/>
          <w:snapToGrid w:val="0"/>
          <w:color w:val="auto"/>
          <w:kern w:val="0"/>
          <w:sz w:val="28"/>
          <w:szCs w:val="44"/>
          <w:highlight w:val="none"/>
          <w:lang w:val="en-US" w:eastAsia="zh-CN" w:bidi="ar-SA"/>
        </w:rPr>
        <w:t>32 工程质量缺陷保修</w:t>
      </w:r>
      <w:bookmarkEnd w:id="4656"/>
      <w:bookmarkEnd w:id="4657"/>
      <w:bookmarkEnd w:id="4658"/>
      <w:bookmarkEnd w:id="4659"/>
      <w:bookmarkEnd w:id="4660"/>
      <w:bookmarkEnd w:id="4661"/>
      <w:bookmarkEnd w:id="4662"/>
      <w:bookmarkEnd w:id="4663"/>
      <w:bookmarkEnd w:id="4664"/>
    </w:p>
    <w:p w14:paraId="5CE1B64E">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68" w:name="_Toc11864"/>
      <w:bookmarkStart w:id="4669" w:name="_Toc29770"/>
      <w:bookmarkStart w:id="4670" w:name="_Toc26392"/>
      <w:bookmarkStart w:id="4671" w:name="_Toc9045"/>
      <w:bookmarkStart w:id="4672" w:name="_Toc23860"/>
      <w:bookmarkStart w:id="4673" w:name="_Toc6512"/>
      <w:bookmarkStart w:id="4674" w:name="_Toc21468"/>
      <w:bookmarkStart w:id="4675" w:name="_Toc17631"/>
      <w:bookmarkStart w:id="4676" w:name="_Toc1906"/>
      <w:r>
        <w:rPr>
          <w:rFonts w:hint="eastAsia" w:ascii="宋体" w:hAnsi="宋体" w:eastAsia="宋体" w:cs="Times New Roman"/>
          <w:b/>
          <w:bCs/>
          <w:color w:val="auto"/>
          <w:kern w:val="0"/>
          <w:sz w:val="24"/>
          <w:szCs w:val="32"/>
          <w:highlight w:val="none"/>
          <w:lang w:val="en-US" w:eastAsia="zh-CN" w:bidi="ar-SA"/>
        </w:rPr>
        <w:t>32.2 缺陷责任期</w:t>
      </w:r>
      <w:bookmarkEnd w:id="4668"/>
      <w:bookmarkEnd w:id="4669"/>
      <w:bookmarkEnd w:id="4670"/>
      <w:bookmarkEnd w:id="4671"/>
      <w:bookmarkEnd w:id="4672"/>
      <w:bookmarkEnd w:id="4673"/>
      <w:bookmarkEnd w:id="4674"/>
      <w:bookmarkEnd w:id="4675"/>
      <w:bookmarkEnd w:id="4676"/>
    </w:p>
    <w:p w14:paraId="02693DA0">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)本工程缺陷责任期期限为：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6F909CD3">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承包人向发包人发出缺陷责任期届满通知的时间：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7F3126E">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77" w:name="_Toc6868"/>
      <w:bookmarkStart w:id="4678" w:name="_Toc7604"/>
      <w:bookmarkStart w:id="4679" w:name="_Toc3542"/>
      <w:bookmarkStart w:id="4680" w:name="_Toc10818"/>
      <w:bookmarkStart w:id="4681" w:name="_Toc3937"/>
      <w:bookmarkStart w:id="4682" w:name="_Toc15738"/>
      <w:bookmarkStart w:id="4683" w:name="_Toc29339"/>
      <w:bookmarkStart w:id="4684" w:name="_Toc32686"/>
      <w:bookmarkStart w:id="4685" w:name="_Toc8757"/>
      <w:r>
        <w:rPr>
          <w:rFonts w:hint="eastAsia" w:ascii="宋体" w:hAnsi="宋体" w:eastAsia="宋体" w:cs="Times New Roman"/>
          <w:b/>
          <w:bCs/>
          <w:color w:val="auto"/>
          <w:kern w:val="0"/>
          <w:sz w:val="24"/>
          <w:szCs w:val="32"/>
          <w:highlight w:val="none"/>
          <w:lang w:val="en-US" w:eastAsia="zh-CN" w:bidi="ar-SA"/>
        </w:rPr>
        <w:t>32.3 质量保证金</w:t>
      </w:r>
      <w:bookmarkEnd w:id="4677"/>
      <w:bookmarkEnd w:id="4678"/>
      <w:bookmarkEnd w:id="4679"/>
      <w:bookmarkEnd w:id="4680"/>
      <w:bookmarkEnd w:id="4681"/>
      <w:bookmarkEnd w:id="4682"/>
      <w:bookmarkEnd w:id="4683"/>
      <w:bookmarkEnd w:id="4684"/>
      <w:bookmarkEnd w:id="4685"/>
    </w:p>
    <w:p w14:paraId="6E7A9F53">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本工程扣留质量保证金的约定：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5F04BC04">
      <w:pPr>
        <w:adjustRightInd w:val="0"/>
        <w:spacing w:line="360" w:lineRule="auto"/>
        <w:ind w:firstLine="360" w:firstLineChars="15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质量保证金的提供方式为：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61C38C6D">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rPr>
        <w:t>质量保证金的扣留方式为：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AAF3654">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86" w:name="_Toc27069"/>
      <w:bookmarkStart w:id="4687" w:name="_Toc24762"/>
      <w:bookmarkStart w:id="4688" w:name="_Toc1586"/>
      <w:bookmarkStart w:id="4689" w:name="_Toc32107"/>
      <w:bookmarkStart w:id="4690" w:name="_Toc22111"/>
      <w:bookmarkStart w:id="4691" w:name="_Toc14123"/>
      <w:bookmarkStart w:id="4692" w:name="_Toc25666"/>
      <w:bookmarkStart w:id="4693" w:name="_Toc8033"/>
      <w:bookmarkStart w:id="4694" w:name="_Toc6502"/>
      <w:r>
        <w:rPr>
          <w:rFonts w:hint="eastAsia" w:ascii="宋体" w:hAnsi="宋体" w:eastAsia="宋体" w:cs="Times New Roman"/>
          <w:b/>
          <w:bCs/>
          <w:color w:val="auto"/>
          <w:kern w:val="0"/>
          <w:sz w:val="24"/>
          <w:szCs w:val="32"/>
          <w:highlight w:val="none"/>
          <w:lang w:val="en-US" w:eastAsia="zh-CN" w:bidi="ar-SA"/>
        </w:rPr>
        <w:t>32.4 保修责任</w:t>
      </w:r>
      <w:bookmarkEnd w:id="4686"/>
      <w:bookmarkEnd w:id="4687"/>
      <w:bookmarkEnd w:id="4688"/>
      <w:bookmarkEnd w:id="4689"/>
      <w:bookmarkEnd w:id="4690"/>
      <w:bookmarkEnd w:id="4691"/>
      <w:bookmarkEnd w:id="4692"/>
      <w:bookmarkEnd w:id="4693"/>
      <w:bookmarkEnd w:id="4694"/>
    </w:p>
    <w:p w14:paraId="722E79BF">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本工程分部分项工程保修期为：</w:t>
      </w:r>
      <w:r>
        <w:rPr>
          <w:rFonts w:hint="eastAsia" w:ascii="宋体" w:hAnsi="宋体" w:eastAsia="宋体" w:cs="Times New Roman"/>
          <w:color w:val="auto"/>
          <w:sz w:val="24"/>
          <w:szCs w:val="24"/>
          <w:highlight w:val="none"/>
          <w:u w:val="single"/>
        </w:rPr>
        <w:t xml:space="preserve">                                            </w:t>
      </w:r>
    </w:p>
    <w:p w14:paraId="65397D9A">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4495EB65">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7225673D">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95" w:name="_Toc3959"/>
      <w:bookmarkStart w:id="4696" w:name="_Toc24300"/>
      <w:bookmarkStart w:id="4697" w:name="_Toc22005"/>
      <w:bookmarkStart w:id="4698" w:name="_Toc31502"/>
      <w:bookmarkStart w:id="4699" w:name="_Toc4893"/>
      <w:bookmarkStart w:id="4700" w:name="_Toc18664"/>
      <w:bookmarkStart w:id="4701" w:name="_Toc1165"/>
      <w:bookmarkStart w:id="4702" w:name="_Toc14523"/>
      <w:bookmarkStart w:id="4703" w:name="_Toc12003"/>
      <w:r>
        <w:rPr>
          <w:rFonts w:hint="eastAsia" w:ascii="宋体" w:hAnsi="宋体" w:eastAsia="宋体" w:cs="Times New Roman"/>
          <w:b/>
          <w:bCs/>
          <w:color w:val="auto"/>
          <w:kern w:val="0"/>
          <w:sz w:val="24"/>
          <w:szCs w:val="32"/>
          <w:highlight w:val="none"/>
          <w:lang w:val="en-US" w:eastAsia="zh-CN" w:bidi="ar-SA"/>
        </w:rPr>
        <w:t>32.6 修复通知</w:t>
      </w:r>
      <w:bookmarkEnd w:id="4695"/>
      <w:bookmarkEnd w:id="4696"/>
      <w:bookmarkEnd w:id="4697"/>
      <w:bookmarkEnd w:id="4698"/>
      <w:bookmarkEnd w:id="4699"/>
      <w:bookmarkEnd w:id="4700"/>
      <w:bookmarkEnd w:id="4701"/>
      <w:bookmarkEnd w:id="4702"/>
      <w:bookmarkEnd w:id="4703"/>
    </w:p>
    <w:p w14:paraId="72A0E12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承包人收到保修通知并到达工程现场的合理时间为：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3F3BF9B0">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04" w:name="_Toc27171"/>
      <w:bookmarkStart w:id="4705" w:name="_Toc13843"/>
      <w:bookmarkStart w:id="4706" w:name="_Toc29834"/>
      <w:bookmarkStart w:id="4707" w:name="_Toc15951"/>
      <w:bookmarkStart w:id="4708" w:name="_Toc21469"/>
      <w:bookmarkStart w:id="4709" w:name="_Toc31058"/>
      <w:bookmarkStart w:id="4710" w:name="_Toc10921"/>
      <w:bookmarkStart w:id="4711" w:name="_Toc22566"/>
      <w:bookmarkStart w:id="4712" w:name="_Toc6275"/>
      <w:r>
        <w:rPr>
          <w:rFonts w:hint="eastAsia" w:ascii="华文细黑" w:hAnsi="宋体" w:eastAsia="宋体" w:cs="Times New Roman"/>
          <w:b/>
          <w:bCs/>
          <w:snapToGrid w:val="0"/>
          <w:color w:val="auto"/>
          <w:kern w:val="0"/>
          <w:sz w:val="28"/>
          <w:szCs w:val="44"/>
          <w:highlight w:val="none"/>
          <w:lang w:val="en-US" w:eastAsia="zh-CN" w:bidi="ar-SA"/>
        </w:rPr>
        <w:t>33 不可抗力</w:t>
      </w:r>
      <w:bookmarkEnd w:id="4665"/>
      <w:bookmarkEnd w:id="4666"/>
      <w:bookmarkEnd w:id="4667"/>
      <w:bookmarkEnd w:id="4704"/>
      <w:bookmarkEnd w:id="4705"/>
      <w:bookmarkEnd w:id="4706"/>
      <w:bookmarkEnd w:id="4707"/>
      <w:bookmarkEnd w:id="4708"/>
      <w:bookmarkEnd w:id="4709"/>
      <w:bookmarkEnd w:id="4710"/>
      <w:bookmarkEnd w:id="4711"/>
      <w:bookmarkEnd w:id="4712"/>
    </w:p>
    <w:p w14:paraId="20D44B2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13" w:name="_Toc26922"/>
      <w:bookmarkStart w:id="4714" w:name="_Toc11362"/>
      <w:bookmarkStart w:id="4715" w:name="_Toc302636052"/>
      <w:bookmarkStart w:id="4716" w:name="_Toc291"/>
      <w:bookmarkStart w:id="4717" w:name="_Toc305331526"/>
      <w:bookmarkStart w:id="4718" w:name="_Toc28078"/>
      <w:bookmarkStart w:id="4719" w:name="_Toc10495"/>
      <w:bookmarkStart w:id="4720" w:name="_Toc16580"/>
      <w:bookmarkStart w:id="4721" w:name="_Toc16661"/>
      <w:bookmarkStart w:id="4722" w:name="_Toc747"/>
      <w:bookmarkStart w:id="4723" w:name="_Toc2069"/>
      <w:r>
        <w:rPr>
          <w:rFonts w:hint="eastAsia" w:ascii="宋体" w:hAnsi="宋体" w:eastAsia="宋体" w:cs="Times New Roman"/>
          <w:b/>
          <w:bCs/>
          <w:color w:val="auto"/>
          <w:kern w:val="0"/>
          <w:sz w:val="24"/>
          <w:szCs w:val="32"/>
          <w:highlight w:val="none"/>
          <w:lang w:val="en-US" w:eastAsia="zh-CN" w:bidi="ar-SA"/>
        </w:rPr>
        <w:t>33.1 不可抗力包括范围</w:t>
      </w:r>
      <w:bookmarkEnd w:id="4713"/>
      <w:bookmarkEnd w:id="4714"/>
      <w:bookmarkEnd w:id="4715"/>
      <w:bookmarkEnd w:id="4716"/>
      <w:bookmarkEnd w:id="4717"/>
      <w:bookmarkEnd w:id="4718"/>
      <w:bookmarkEnd w:id="4719"/>
      <w:bookmarkEnd w:id="4720"/>
      <w:bookmarkEnd w:id="4721"/>
      <w:bookmarkEnd w:id="4722"/>
      <w:bookmarkEnd w:id="4723"/>
    </w:p>
    <w:p w14:paraId="16EA675F">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发包人与承包人约定的其他不可抗力：</w:t>
      </w:r>
    </w:p>
    <w:p w14:paraId="7CE9F229">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(1)平均风力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级以上的大风(一般为8级)；</w:t>
      </w:r>
    </w:p>
    <w:p w14:paraId="61CFEA4C">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(2)3个小时内降雨量为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以上的暴雨(一般为50mm)；</w:t>
      </w:r>
    </w:p>
    <w:p w14:paraId="07FB3606">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摄氏度以上的高温天气(一般为37摄氏度)；</w:t>
      </w:r>
    </w:p>
    <w:p w14:paraId="60DCAED0">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(4)其它：</w:t>
      </w:r>
      <w:r>
        <w:rPr>
          <w:rFonts w:hint="eastAsia" w:ascii="宋体" w:hAnsi="宋体" w:eastAsia="宋体" w:cs="Times New Roman"/>
          <w:color w:val="auto"/>
          <w:sz w:val="24"/>
          <w:szCs w:val="24"/>
          <w:highlight w:val="none"/>
          <w:u w:val="single"/>
        </w:rPr>
        <w:t xml:space="preserve">                                                               </w:t>
      </w:r>
    </w:p>
    <w:p w14:paraId="18627EB3">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24" w:name="_Toc35656556"/>
      <w:bookmarkStart w:id="4725" w:name="_Toc10186"/>
      <w:bookmarkStart w:id="4726" w:name="_Toc1298"/>
      <w:bookmarkStart w:id="4727" w:name="_Toc12333"/>
      <w:bookmarkStart w:id="4728" w:name="_Toc305331527"/>
      <w:bookmarkStart w:id="4729" w:name="_Toc302636053"/>
      <w:bookmarkStart w:id="4730" w:name="_Toc22283"/>
      <w:bookmarkStart w:id="4731" w:name="_Toc11915"/>
      <w:bookmarkStart w:id="4732" w:name="_Toc22301"/>
      <w:bookmarkStart w:id="4733" w:name="_Toc28063"/>
      <w:bookmarkStart w:id="4734" w:name="_Toc12913"/>
      <w:bookmarkStart w:id="4735" w:name="_Toc28878"/>
      <w:r>
        <w:rPr>
          <w:rFonts w:hint="eastAsia" w:ascii="华文细黑" w:hAnsi="宋体" w:eastAsia="宋体" w:cs="Times New Roman"/>
          <w:b/>
          <w:bCs/>
          <w:snapToGrid w:val="0"/>
          <w:color w:val="auto"/>
          <w:kern w:val="0"/>
          <w:sz w:val="28"/>
          <w:szCs w:val="44"/>
          <w:highlight w:val="none"/>
          <w:lang w:val="en-US" w:eastAsia="zh-CN" w:bidi="ar-SA"/>
        </w:rPr>
        <w:t>34 工程保险</w:t>
      </w:r>
      <w:bookmarkEnd w:id="4724"/>
      <w:bookmarkEnd w:id="4725"/>
      <w:bookmarkEnd w:id="4726"/>
      <w:bookmarkEnd w:id="4727"/>
      <w:bookmarkEnd w:id="4728"/>
      <w:bookmarkEnd w:id="4729"/>
      <w:bookmarkEnd w:id="4730"/>
      <w:bookmarkEnd w:id="4731"/>
      <w:bookmarkEnd w:id="4732"/>
      <w:bookmarkEnd w:id="4733"/>
      <w:bookmarkEnd w:id="4734"/>
      <w:bookmarkEnd w:id="4735"/>
    </w:p>
    <w:p w14:paraId="5664E08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36" w:name="_Toc23468"/>
      <w:bookmarkStart w:id="4737" w:name="_Toc302636054"/>
      <w:bookmarkStart w:id="4738" w:name="_Toc28283"/>
      <w:bookmarkStart w:id="4739" w:name="_Toc2033"/>
      <w:bookmarkStart w:id="4740" w:name="_Toc891"/>
      <w:bookmarkStart w:id="4741" w:name="_Toc14137"/>
      <w:bookmarkStart w:id="4742" w:name="_Toc13198"/>
      <w:bookmarkStart w:id="4743" w:name="_Toc826"/>
      <w:bookmarkStart w:id="4744" w:name="_Toc305331528"/>
      <w:bookmarkStart w:id="4745" w:name="_Toc10443"/>
      <w:bookmarkStart w:id="4746" w:name="_Toc31494"/>
      <w:r>
        <w:rPr>
          <w:rFonts w:hint="eastAsia" w:ascii="宋体" w:hAnsi="宋体" w:eastAsia="宋体" w:cs="Times New Roman"/>
          <w:b/>
          <w:bCs/>
          <w:color w:val="auto"/>
          <w:kern w:val="0"/>
          <w:sz w:val="24"/>
          <w:szCs w:val="32"/>
          <w:highlight w:val="none"/>
          <w:lang w:val="en-US" w:eastAsia="zh-CN" w:bidi="ar-SA"/>
        </w:rPr>
        <w:t>34.1 发包人办理的保险</w:t>
      </w:r>
      <w:bookmarkEnd w:id="4736"/>
      <w:bookmarkEnd w:id="4737"/>
      <w:bookmarkEnd w:id="4738"/>
      <w:bookmarkEnd w:id="4739"/>
      <w:bookmarkEnd w:id="4740"/>
      <w:bookmarkEnd w:id="4741"/>
      <w:bookmarkEnd w:id="4742"/>
      <w:bookmarkEnd w:id="4743"/>
      <w:bookmarkEnd w:id="4744"/>
      <w:bookmarkEnd w:id="4745"/>
      <w:bookmarkEnd w:id="4746"/>
    </w:p>
    <w:p w14:paraId="4F4429DB">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发包人委托承包人办理的保险事项的约定：</w:t>
      </w:r>
      <w:r>
        <w:rPr>
          <w:rFonts w:hint="eastAsia" w:ascii="宋体" w:hAnsi="宋体" w:eastAsia="宋体" w:cs="Times New Roman"/>
          <w:color w:val="auto"/>
          <w:sz w:val="24"/>
          <w:szCs w:val="24"/>
          <w:highlight w:val="none"/>
          <w:u w:val="single"/>
        </w:rPr>
        <w:t xml:space="preserve">                                   </w:t>
      </w:r>
    </w:p>
    <w:p w14:paraId="60657D08">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06FAE830">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5EDEECE7">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本工程发包人委托承包人办理的保险事项：</w:t>
      </w:r>
    </w:p>
    <w:p w14:paraId="0AE17BFC">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11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72"/>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建筑工程一切险；</w:t>
      </w:r>
    </w:p>
    <w:p w14:paraId="1186D5F7">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该项保险保险费：</w:t>
      </w:r>
      <w:r>
        <w:rPr>
          <w:rFonts w:ascii="宋体" w:hAnsi="宋体" w:eastAsia="宋体" w:cs="Times New Roman"/>
          <w:color w:val="auto"/>
          <w:sz w:val="24"/>
          <w:szCs w:val="24"/>
          <w:highlight w:val="none"/>
        </w:rPr>
        <w:drawing>
          <wp:inline distT="0" distB="0" distL="114300" distR="114300">
            <wp:extent cx="152400" cy="142875"/>
            <wp:effectExtent l="0" t="0" r="0" b="9525"/>
            <wp:docPr id="11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73"/>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已包含在投标报价(签约合同价)中，结算时不予调整；</w:t>
      </w:r>
    </w:p>
    <w:p w14:paraId="72F8BF3C">
      <w:pPr>
        <w:spacing w:line="360" w:lineRule="auto"/>
        <w:ind w:firstLine="24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74"/>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未包含在投标报价(签约合同价)中，由发包人另行支付；</w:t>
      </w:r>
    </w:p>
    <w:p w14:paraId="0F8ACA76">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11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75"/>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安装工程一切险；</w:t>
      </w:r>
    </w:p>
    <w:p w14:paraId="70549A9D">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该项保险保险费：</w:t>
      </w:r>
      <w:r>
        <w:rPr>
          <w:rFonts w:ascii="宋体" w:hAnsi="宋体" w:eastAsia="宋体" w:cs="Times New Roman"/>
          <w:color w:val="auto"/>
          <w:sz w:val="24"/>
          <w:szCs w:val="24"/>
          <w:highlight w:val="none"/>
        </w:rPr>
        <w:drawing>
          <wp:inline distT="0" distB="0" distL="114300" distR="114300">
            <wp:extent cx="152400" cy="142875"/>
            <wp:effectExtent l="0" t="0" r="0" b="9525"/>
            <wp:docPr id="11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76"/>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已包含在投标报价中(签约合同价)，结算时不予调整；</w:t>
      </w:r>
    </w:p>
    <w:p w14:paraId="42207AC7">
      <w:pPr>
        <w:spacing w:line="360" w:lineRule="auto"/>
        <w:ind w:firstLine="24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77"/>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未包含在投标报价中(签约合同价)，由发包人另行支付；</w:t>
      </w:r>
    </w:p>
    <w:p w14:paraId="30F41A76">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11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78"/>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第三者责任险；</w:t>
      </w:r>
    </w:p>
    <w:p w14:paraId="5C5FBE71">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该项保险保险费：</w:t>
      </w:r>
      <w:r>
        <w:rPr>
          <w:rFonts w:ascii="宋体" w:hAnsi="宋体" w:eastAsia="宋体" w:cs="Times New Roman"/>
          <w:color w:val="auto"/>
          <w:sz w:val="24"/>
          <w:szCs w:val="24"/>
          <w:highlight w:val="none"/>
        </w:rPr>
        <w:drawing>
          <wp:inline distT="0" distB="0" distL="114300" distR="114300">
            <wp:extent cx="152400" cy="142875"/>
            <wp:effectExtent l="0" t="0" r="0" b="9525"/>
            <wp:docPr id="11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79"/>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已包含在投标报价中(签约合同价)，结算时不予调整；</w:t>
      </w:r>
    </w:p>
    <w:p w14:paraId="1BA5487A">
      <w:pPr>
        <w:spacing w:line="360" w:lineRule="auto"/>
        <w:ind w:firstLine="24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2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80"/>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未包含在投标报价中(签约合同价)，由发包人另行支付；</w:t>
      </w:r>
    </w:p>
    <w:p w14:paraId="18F56E3D">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12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81"/>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kern w:val="0"/>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40088F3C">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47" w:name="_Toc20693"/>
      <w:bookmarkStart w:id="4748" w:name="_Toc30380"/>
      <w:bookmarkStart w:id="4749" w:name="_Toc30381"/>
      <w:bookmarkStart w:id="4750" w:name="_Toc28214"/>
      <w:bookmarkStart w:id="4751" w:name="_Toc31355"/>
      <w:bookmarkStart w:id="4752" w:name="_Toc302636055"/>
      <w:bookmarkStart w:id="4753" w:name="_Toc305331529"/>
      <w:bookmarkStart w:id="4754" w:name="_Toc20670"/>
      <w:bookmarkStart w:id="4755" w:name="_Toc12974"/>
      <w:bookmarkStart w:id="4756" w:name="_Toc27218"/>
      <w:bookmarkStart w:id="4757" w:name="_Toc35656557"/>
      <w:bookmarkStart w:id="4758" w:name="_Toc21245"/>
      <w:r>
        <w:rPr>
          <w:rFonts w:hint="eastAsia" w:ascii="华文细黑" w:hAnsi="宋体" w:eastAsia="宋体" w:cs="Times New Roman"/>
          <w:b/>
          <w:bCs/>
          <w:snapToGrid w:val="0"/>
          <w:color w:val="auto"/>
          <w:kern w:val="0"/>
          <w:sz w:val="28"/>
          <w:szCs w:val="44"/>
          <w:highlight w:val="none"/>
          <w:lang w:val="en-US" w:eastAsia="zh-CN" w:bidi="ar-SA"/>
        </w:rPr>
        <w:t>35 工程担保</w:t>
      </w:r>
      <w:bookmarkEnd w:id="4747"/>
      <w:bookmarkEnd w:id="4748"/>
      <w:bookmarkEnd w:id="4749"/>
      <w:bookmarkEnd w:id="4750"/>
      <w:bookmarkEnd w:id="4751"/>
      <w:bookmarkEnd w:id="4752"/>
      <w:bookmarkEnd w:id="4753"/>
      <w:bookmarkEnd w:id="4754"/>
      <w:bookmarkEnd w:id="4755"/>
      <w:bookmarkEnd w:id="4756"/>
      <w:bookmarkEnd w:id="4757"/>
      <w:bookmarkEnd w:id="4758"/>
    </w:p>
    <w:p w14:paraId="2DE9656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59" w:name="_Toc970"/>
      <w:bookmarkStart w:id="4760" w:name="_Toc18268"/>
      <w:bookmarkStart w:id="4761" w:name="_Toc305331530"/>
      <w:bookmarkStart w:id="4762" w:name="_Toc9001"/>
      <w:bookmarkStart w:id="4763" w:name="_Toc11586"/>
      <w:bookmarkStart w:id="4764" w:name="_Toc13623"/>
      <w:bookmarkStart w:id="4765" w:name="_Toc22807"/>
      <w:bookmarkStart w:id="4766" w:name="_Toc10745"/>
      <w:bookmarkStart w:id="4767" w:name="_Toc11253"/>
      <w:bookmarkStart w:id="4768" w:name="_Toc302636056"/>
      <w:bookmarkStart w:id="4769" w:name="_Toc31436"/>
      <w:r>
        <w:rPr>
          <w:rFonts w:hint="eastAsia" w:ascii="宋体" w:hAnsi="宋体" w:eastAsia="宋体" w:cs="Times New Roman"/>
          <w:b/>
          <w:bCs/>
          <w:color w:val="auto"/>
          <w:kern w:val="0"/>
          <w:sz w:val="24"/>
          <w:szCs w:val="32"/>
          <w:highlight w:val="none"/>
          <w:lang w:val="en-US" w:eastAsia="zh-CN" w:bidi="ar-SA"/>
        </w:rPr>
        <w:t>35.1 履约担保</w:t>
      </w:r>
      <w:bookmarkEnd w:id="4759"/>
      <w:bookmarkEnd w:id="4760"/>
      <w:bookmarkEnd w:id="4761"/>
      <w:bookmarkEnd w:id="4762"/>
      <w:bookmarkEnd w:id="4763"/>
      <w:bookmarkEnd w:id="4764"/>
      <w:bookmarkEnd w:id="4765"/>
      <w:bookmarkEnd w:id="4766"/>
      <w:bookmarkEnd w:id="4767"/>
      <w:bookmarkEnd w:id="4768"/>
      <w:bookmarkEnd w:id="4769"/>
      <w:r>
        <w:rPr>
          <w:rFonts w:hint="eastAsia" w:ascii="宋体" w:hAnsi="宋体" w:eastAsia="宋体" w:cs="Times New Roman"/>
          <w:b/>
          <w:bCs/>
          <w:color w:val="auto"/>
          <w:kern w:val="0"/>
          <w:sz w:val="24"/>
          <w:szCs w:val="32"/>
          <w:highlight w:val="none"/>
          <w:lang w:val="en-US" w:eastAsia="zh-CN" w:bidi="ar-SA"/>
        </w:rPr>
        <w:t xml:space="preserve"> </w:t>
      </w:r>
    </w:p>
    <w:p w14:paraId="327D27A5">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(1)本工程履约担保应采用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的形式，金额为：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6A0ED475">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2EA06246">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70" w:name="_Toc3118"/>
      <w:bookmarkStart w:id="4771" w:name="_Toc16873"/>
      <w:bookmarkStart w:id="4772" w:name="_Toc14585"/>
      <w:bookmarkStart w:id="4773" w:name="_Toc2415"/>
      <w:bookmarkStart w:id="4774" w:name="_Toc32439"/>
      <w:bookmarkStart w:id="4775" w:name="_Toc305331531"/>
      <w:bookmarkStart w:id="4776" w:name="_Toc11155"/>
      <w:bookmarkStart w:id="4777" w:name="_Toc14391"/>
      <w:bookmarkStart w:id="4778" w:name="_Toc19035"/>
      <w:bookmarkStart w:id="4779" w:name="_Toc16679"/>
      <w:bookmarkStart w:id="4780" w:name="_Toc302636057"/>
      <w:r>
        <w:rPr>
          <w:rFonts w:hint="eastAsia" w:ascii="宋体" w:hAnsi="宋体" w:eastAsia="宋体" w:cs="Times New Roman"/>
          <w:b/>
          <w:bCs/>
          <w:color w:val="auto"/>
          <w:kern w:val="0"/>
          <w:sz w:val="24"/>
          <w:szCs w:val="32"/>
          <w:highlight w:val="none"/>
          <w:lang w:val="en-US" w:eastAsia="zh-CN" w:bidi="ar-SA"/>
        </w:rPr>
        <w:t>35.2 支付担保</w:t>
      </w:r>
      <w:bookmarkEnd w:id="4770"/>
      <w:bookmarkEnd w:id="4771"/>
      <w:bookmarkEnd w:id="4772"/>
      <w:bookmarkEnd w:id="4773"/>
      <w:bookmarkEnd w:id="4774"/>
      <w:bookmarkEnd w:id="4775"/>
      <w:bookmarkEnd w:id="4776"/>
      <w:bookmarkEnd w:id="4777"/>
      <w:bookmarkEnd w:id="4778"/>
      <w:bookmarkEnd w:id="4779"/>
      <w:bookmarkEnd w:id="4780"/>
      <w:r>
        <w:rPr>
          <w:rFonts w:hint="eastAsia" w:ascii="宋体" w:hAnsi="宋体" w:eastAsia="宋体" w:cs="Times New Roman"/>
          <w:b/>
          <w:bCs/>
          <w:color w:val="auto"/>
          <w:kern w:val="0"/>
          <w:sz w:val="24"/>
          <w:szCs w:val="32"/>
          <w:highlight w:val="none"/>
          <w:lang w:val="en-US" w:eastAsia="zh-CN" w:bidi="ar-SA"/>
        </w:rPr>
        <w:t xml:space="preserve"> </w:t>
      </w:r>
    </w:p>
    <w:p w14:paraId="4BFEAA2D">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(1)本工程支付担保应采用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的形式，金额为：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14:paraId="4EDEAA6B">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14:paraId="756B0D87">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81" w:name="_Toc25507"/>
      <w:bookmarkStart w:id="4782" w:name="_Toc29325"/>
      <w:bookmarkStart w:id="4783" w:name="_Toc30829"/>
      <w:bookmarkStart w:id="4784" w:name="_Toc9453"/>
      <w:bookmarkStart w:id="4785" w:name="_Toc9392"/>
      <w:bookmarkStart w:id="4786" w:name="_Toc16870"/>
      <w:bookmarkStart w:id="4787" w:name="_Toc22655"/>
      <w:bookmarkStart w:id="4788" w:name="_Toc19770"/>
      <w:bookmarkStart w:id="4789" w:name="_Toc35656559"/>
      <w:bookmarkStart w:id="4790" w:name="_Toc305331532"/>
      <w:bookmarkStart w:id="4791" w:name="_Toc302636058"/>
      <w:bookmarkStart w:id="4792" w:name="_Toc6978"/>
      <w:r>
        <w:rPr>
          <w:rFonts w:hint="eastAsia" w:ascii="华文细黑" w:hAnsi="宋体" w:eastAsia="宋体" w:cs="Times New Roman"/>
          <w:b/>
          <w:bCs/>
          <w:snapToGrid w:val="0"/>
          <w:color w:val="auto"/>
          <w:kern w:val="0"/>
          <w:sz w:val="28"/>
          <w:szCs w:val="44"/>
          <w:highlight w:val="none"/>
          <w:lang w:val="en-US" w:eastAsia="zh-CN" w:bidi="ar-SA"/>
        </w:rPr>
        <w:t>37 合同份数</w:t>
      </w:r>
      <w:bookmarkEnd w:id="4781"/>
      <w:bookmarkEnd w:id="4782"/>
      <w:bookmarkEnd w:id="4783"/>
      <w:bookmarkEnd w:id="4784"/>
      <w:bookmarkEnd w:id="4785"/>
      <w:bookmarkEnd w:id="4786"/>
      <w:bookmarkEnd w:id="4787"/>
      <w:bookmarkEnd w:id="4788"/>
      <w:bookmarkEnd w:id="4789"/>
      <w:bookmarkEnd w:id="4790"/>
      <w:bookmarkEnd w:id="4791"/>
      <w:bookmarkEnd w:id="4792"/>
    </w:p>
    <w:p w14:paraId="6102B72E">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93" w:name="_Toc6916"/>
      <w:bookmarkStart w:id="4794" w:name="_Toc25962"/>
      <w:bookmarkStart w:id="4795" w:name="_Toc5364"/>
      <w:bookmarkStart w:id="4796" w:name="_Toc6106"/>
      <w:bookmarkStart w:id="4797" w:name="_Toc19446"/>
      <w:bookmarkStart w:id="4798" w:name="_Toc30311"/>
      <w:bookmarkStart w:id="4799" w:name="_Toc305331533"/>
      <w:bookmarkStart w:id="4800" w:name="_Toc1506"/>
      <w:bookmarkStart w:id="4801" w:name="_Toc4169"/>
      <w:bookmarkStart w:id="4802" w:name="_Toc302636059"/>
      <w:bookmarkStart w:id="4803" w:name="_Toc7514"/>
      <w:r>
        <w:rPr>
          <w:rFonts w:hint="eastAsia" w:ascii="宋体" w:hAnsi="宋体" w:eastAsia="宋体" w:cs="Times New Roman"/>
          <w:b/>
          <w:bCs/>
          <w:color w:val="auto"/>
          <w:kern w:val="0"/>
          <w:sz w:val="24"/>
          <w:szCs w:val="32"/>
          <w:highlight w:val="none"/>
          <w:lang w:val="en-US" w:eastAsia="zh-CN" w:bidi="ar-SA"/>
        </w:rPr>
        <w:t>37.1 合同份数</w:t>
      </w:r>
      <w:bookmarkEnd w:id="4793"/>
      <w:bookmarkEnd w:id="4794"/>
      <w:bookmarkEnd w:id="4795"/>
      <w:bookmarkEnd w:id="4796"/>
      <w:bookmarkEnd w:id="4797"/>
      <w:bookmarkEnd w:id="4798"/>
      <w:bookmarkEnd w:id="4799"/>
      <w:bookmarkEnd w:id="4800"/>
      <w:bookmarkEnd w:id="4801"/>
      <w:bookmarkEnd w:id="4802"/>
      <w:bookmarkEnd w:id="4803"/>
    </w:p>
    <w:p w14:paraId="77EE0E0E">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(2)合同副本份数：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份，其中发包人：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份，承包人：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份。</w:t>
      </w:r>
    </w:p>
    <w:p w14:paraId="29AF0162">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合同副本其它保存单位及份数：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保存</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份。                                  </w:t>
      </w:r>
    </w:p>
    <w:p w14:paraId="526BF352">
      <w:pPr>
        <w:keepNext w:val="0"/>
        <w:keepLines/>
        <w:widowControl/>
        <w:numPr>
          <w:ilvl w:val="0"/>
          <w:numId w:val="0"/>
        </w:numPr>
        <w:spacing w:before="340" w:after="330"/>
        <w:jc w:val="center"/>
        <w:outlineLvl w:val="0"/>
        <w:rPr>
          <w:rFonts w:hint="eastAsia" w:ascii="宋体" w:hAnsi="宋体" w:eastAsia="宋体" w:cs="Times New Roman"/>
          <w:b/>
          <w:bCs/>
          <w:snapToGrid w:val="0"/>
          <w:color w:val="auto"/>
          <w:kern w:val="0"/>
          <w:sz w:val="32"/>
          <w:szCs w:val="44"/>
          <w:highlight w:val="none"/>
          <w:lang w:val="en-US" w:eastAsia="zh-CN" w:bidi="ar-SA"/>
        </w:rPr>
      </w:pPr>
      <w:bookmarkStart w:id="4804" w:name="_Toc35656560"/>
      <w:r>
        <w:rPr>
          <w:rFonts w:ascii="宋体" w:hAnsi="宋体" w:eastAsia="宋体" w:cs="Times New Roman"/>
          <w:b w:val="0"/>
          <w:bCs/>
          <w:snapToGrid w:val="0"/>
          <w:color w:val="auto"/>
          <w:kern w:val="0"/>
          <w:sz w:val="32"/>
          <w:szCs w:val="32"/>
          <w:highlight w:val="none"/>
          <w:lang w:val="en-US" w:eastAsia="zh-CN" w:bidi="ar-SA"/>
        </w:rPr>
        <w:br w:type="page"/>
      </w:r>
      <w:bookmarkStart w:id="4805" w:name="_Toc20840"/>
      <w:bookmarkStart w:id="4806" w:name="_Toc305331534"/>
      <w:bookmarkStart w:id="4807" w:name="_Toc5435"/>
      <w:bookmarkStart w:id="4808" w:name="_Toc16087"/>
      <w:bookmarkStart w:id="4809" w:name="_Toc716"/>
      <w:bookmarkStart w:id="4810" w:name="_Toc19131"/>
      <w:bookmarkStart w:id="4811" w:name="_Toc9538"/>
      <w:bookmarkStart w:id="4812" w:name="_Toc25983"/>
      <w:bookmarkStart w:id="4813" w:name="_Toc27179"/>
      <w:bookmarkStart w:id="4814" w:name="_Toc302636060"/>
      <w:bookmarkStart w:id="4815" w:name="_Toc23552"/>
      <w:r>
        <w:rPr>
          <w:rFonts w:hint="eastAsia" w:ascii="黑体" w:hAnsi="黑体" w:eastAsia="黑体" w:cs="黑体"/>
          <w:b/>
          <w:bCs w:val="0"/>
          <w:snapToGrid/>
          <w:color w:val="auto"/>
          <w:kern w:val="2"/>
          <w:sz w:val="32"/>
          <w:szCs w:val="32"/>
          <w:highlight w:val="none"/>
          <w:lang w:val="en-US" w:eastAsia="zh-CN" w:bidi="ar-SA"/>
        </w:rPr>
        <w:t>第四部分 补充条款</w:t>
      </w:r>
      <w:bookmarkEnd w:id="4804"/>
      <w:bookmarkEnd w:id="4805"/>
      <w:bookmarkEnd w:id="4806"/>
      <w:bookmarkEnd w:id="4807"/>
      <w:bookmarkEnd w:id="4808"/>
      <w:bookmarkEnd w:id="4809"/>
      <w:bookmarkEnd w:id="4810"/>
      <w:bookmarkEnd w:id="4811"/>
      <w:bookmarkEnd w:id="4812"/>
      <w:bookmarkEnd w:id="4813"/>
      <w:bookmarkEnd w:id="4814"/>
      <w:bookmarkEnd w:id="4815"/>
    </w:p>
    <w:p w14:paraId="4439840C">
      <w:pPr>
        <w:rPr>
          <w:rFonts w:hint="eastAsia" w:ascii="Times New Roman" w:hAnsi="Times New Roman" w:eastAsia="宋体" w:cs="Times New Roman"/>
          <w:color w:val="auto"/>
          <w:szCs w:val="24"/>
          <w:highlight w:val="none"/>
        </w:rPr>
      </w:pPr>
    </w:p>
    <w:p w14:paraId="58E3CB4E">
      <w:pPr>
        <w:adjustRightInd w:val="0"/>
        <w:snapToGrid w:val="0"/>
        <w:spacing w:line="360" w:lineRule="auto"/>
        <w:jc w:val="center"/>
        <w:outlineLvl w:val="0"/>
        <w:rPr>
          <w:rFonts w:hint="eastAsia" w:ascii="黑体" w:hAnsi="黑体" w:eastAsia="黑体" w:cs="黑体"/>
          <w:bCs/>
          <w:color w:val="auto"/>
          <w:sz w:val="32"/>
          <w:szCs w:val="32"/>
          <w:highlight w:val="none"/>
          <w:lang w:eastAsia="zh-CN"/>
        </w:rPr>
      </w:pPr>
      <w:r>
        <w:rPr>
          <w:rFonts w:ascii="宋体" w:hAnsi="宋体" w:eastAsia="宋体" w:cs="Times New Roman"/>
          <w:color w:val="auto"/>
          <w:sz w:val="24"/>
          <w:szCs w:val="24"/>
          <w:highlight w:val="none"/>
        </w:rPr>
        <w:br w:type="page"/>
      </w:r>
      <w:bookmarkStart w:id="4816" w:name="_Toc29172"/>
      <w:bookmarkStart w:id="4817" w:name="_Toc31038"/>
      <w:bookmarkStart w:id="4818" w:name="_Toc17066"/>
      <w:bookmarkStart w:id="4819" w:name="_Toc1883"/>
      <w:bookmarkStart w:id="4820" w:name="_Toc2854"/>
      <w:r>
        <w:rPr>
          <w:rFonts w:hint="eastAsia" w:ascii="黑体" w:hAnsi="黑体" w:eastAsia="黑体" w:cs="黑体"/>
          <w:b/>
          <w:bCs w:val="0"/>
          <w:color w:val="auto"/>
          <w:sz w:val="32"/>
          <w:szCs w:val="32"/>
          <w:highlight w:val="none"/>
        </w:rPr>
        <w:t>第</w:t>
      </w:r>
      <w:r>
        <w:rPr>
          <w:rFonts w:hint="eastAsia" w:ascii="黑体" w:hAnsi="黑体" w:eastAsia="黑体" w:cs="黑体"/>
          <w:b/>
          <w:bCs w:val="0"/>
          <w:color w:val="auto"/>
          <w:sz w:val="32"/>
          <w:szCs w:val="32"/>
          <w:highlight w:val="none"/>
          <w:lang w:eastAsia="zh-CN"/>
        </w:rPr>
        <w:t>五</w:t>
      </w:r>
      <w:r>
        <w:rPr>
          <w:rFonts w:hint="eastAsia" w:ascii="黑体" w:hAnsi="黑体" w:eastAsia="黑体" w:cs="黑体"/>
          <w:b/>
          <w:bCs w:val="0"/>
          <w:color w:val="auto"/>
          <w:sz w:val="32"/>
          <w:szCs w:val="32"/>
          <w:highlight w:val="none"/>
        </w:rPr>
        <w:t xml:space="preserve">章  </w:t>
      </w:r>
      <w:r>
        <w:rPr>
          <w:rFonts w:hint="eastAsia" w:ascii="黑体" w:hAnsi="黑体" w:eastAsia="黑体" w:cs="黑体"/>
          <w:b/>
          <w:bCs w:val="0"/>
          <w:color w:val="auto"/>
          <w:sz w:val="32"/>
          <w:szCs w:val="32"/>
          <w:highlight w:val="none"/>
          <w:lang w:eastAsia="zh-CN"/>
        </w:rPr>
        <w:t>合同附件格式</w:t>
      </w:r>
      <w:bookmarkEnd w:id="4816"/>
      <w:bookmarkEnd w:id="4817"/>
      <w:bookmarkEnd w:id="4818"/>
      <w:bookmarkEnd w:id="4819"/>
      <w:bookmarkEnd w:id="4820"/>
    </w:p>
    <w:p w14:paraId="0E5D98CB">
      <w:pPr>
        <w:keepNext w:val="0"/>
        <w:keepLines w:val="0"/>
        <w:widowControl/>
        <w:numPr>
          <w:ilvl w:val="0"/>
          <w:numId w:val="0"/>
        </w:numPr>
        <w:spacing w:before="120" w:after="120"/>
        <w:jc w:val="center"/>
        <w:outlineLvl w:val="0"/>
        <w:rPr>
          <w:rFonts w:ascii="宋体" w:hAnsi="宋体" w:eastAsia="宋体" w:cs="Times New Roman"/>
          <w:b/>
          <w:bCs w:val="0"/>
          <w:snapToGrid w:val="0"/>
          <w:color w:val="auto"/>
          <w:kern w:val="0"/>
          <w:sz w:val="32"/>
          <w:szCs w:val="32"/>
          <w:highlight w:val="none"/>
          <w:lang w:val="en-US" w:eastAsia="zh-CN" w:bidi="ar-SA"/>
        </w:rPr>
      </w:pPr>
      <w:bookmarkStart w:id="4821" w:name="_Toc30276"/>
      <w:bookmarkStart w:id="4822" w:name="_Toc15969"/>
      <w:bookmarkStart w:id="4823" w:name="_Toc67418424"/>
      <w:bookmarkStart w:id="4824" w:name="_Toc30218"/>
      <w:bookmarkStart w:id="4825" w:name="_Toc7947"/>
      <w:bookmarkStart w:id="4826" w:name="_Toc31510"/>
      <w:bookmarkStart w:id="4827" w:name="_Toc67327371"/>
      <w:bookmarkStart w:id="4828" w:name="_Toc14500"/>
      <w:bookmarkStart w:id="4829" w:name="_Toc453616673"/>
      <w:bookmarkStart w:id="4830" w:name="_Toc302636061"/>
      <w:bookmarkStart w:id="4831" w:name="_Toc16942"/>
      <w:bookmarkStart w:id="4832" w:name="_Toc27921"/>
      <w:bookmarkStart w:id="4833" w:name="_Toc21144"/>
      <w:r>
        <w:rPr>
          <w:rFonts w:hint="eastAsia" w:ascii="宋体" w:hAnsi="宋体" w:eastAsia="宋体" w:cs="Times New Roman"/>
          <w:b/>
          <w:bCs w:val="0"/>
          <w:snapToGrid w:val="0"/>
          <w:color w:val="auto"/>
          <w:kern w:val="0"/>
          <w:sz w:val="32"/>
          <w:szCs w:val="32"/>
          <w:highlight w:val="none"/>
          <w:lang w:val="en-US" w:eastAsia="zh-CN" w:bidi="ar-SA"/>
        </w:rPr>
        <w:t>工程质量保修书</w:t>
      </w:r>
      <w:bookmarkEnd w:id="4821"/>
      <w:bookmarkEnd w:id="4822"/>
      <w:bookmarkEnd w:id="4823"/>
      <w:bookmarkEnd w:id="4824"/>
      <w:bookmarkEnd w:id="4825"/>
      <w:bookmarkEnd w:id="4826"/>
      <w:bookmarkEnd w:id="4827"/>
      <w:bookmarkEnd w:id="4828"/>
      <w:bookmarkEnd w:id="4829"/>
      <w:bookmarkEnd w:id="4830"/>
      <w:bookmarkEnd w:id="4831"/>
      <w:bookmarkEnd w:id="4832"/>
      <w:bookmarkEnd w:id="4833"/>
    </w:p>
    <w:p w14:paraId="24D5CC69">
      <w:pPr>
        <w:spacing w:line="360" w:lineRule="auto"/>
        <w:rPr>
          <w:rFonts w:ascii="宋体" w:hAnsi="宋体" w:eastAsia="宋体" w:cs="Times New Roman"/>
          <w:color w:val="auto"/>
          <w:sz w:val="24"/>
          <w:szCs w:val="24"/>
          <w:highlight w:val="none"/>
        </w:rPr>
      </w:pPr>
    </w:p>
    <w:p w14:paraId="1FE96DBB">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发包人(全称)：</w:t>
      </w:r>
      <w:r>
        <w:rPr>
          <w:rFonts w:hint="eastAsia" w:ascii="宋体" w:hAnsi="宋体" w:eastAsia="宋体" w:cs="Times New Roman"/>
          <w:b/>
          <w:color w:val="auto"/>
          <w:sz w:val="24"/>
          <w:szCs w:val="24"/>
          <w:highlight w:val="none"/>
          <w:u w:val="single"/>
        </w:rPr>
        <w:t xml:space="preserve">                                </w:t>
      </w:r>
    </w:p>
    <w:p w14:paraId="4AF2A514">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承包人(全称)：</w:t>
      </w:r>
      <w:r>
        <w:rPr>
          <w:rFonts w:hint="eastAsia" w:ascii="宋体" w:hAnsi="宋体" w:eastAsia="宋体" w:cs="Times New Roman"/>
          <w:color w:val="auto"/>
          <w:sz w:val="24"/>
          <w:szCs w:val="24"/>
          <w:highlight w:val="none"/>
          <w:u w:val="single"/>
        </w:rPr>
        <w:t xml:space="preserve">                                </w:t>
      </w:r>
    </w:p>
    <w:p w14:paraId="184047CD">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为保证</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工程名称)在合理使用期限内正常使用，发包人和承包人根据《中华人民共和国建筑法》、《建设工程质量管理条例》、《深圳特区建设工程质量管理条例》，经协商一致，签订工程质量保修书。承包人在质量保修期内按照有关规定及双方约定承担工程质量保修责任。</w:t>
      </w:r>
    </w:p>
    <w:p w14:paraId="5AAFC25E">
      <w:pPr>
        <w:spacing w:line="360" w:lineRule="auto"/>
        <w:ind w:firstLine="606"/>
        <w:outlineLvl w:val="0"/>
        <w:rPr>
          <w:rFonts w:ascii="宋体" w:hAnsi="宋体" w:eastAsia="宋体" w:cs="Times New Roman"/>
          <w:b/>
          <w:color w:val="auto"/>
          <w:sz w:val="28"/>
          <w:szCs w:val="24"/>
          <w:highlight w:val="none"/>
        </w:rPr>
      </w:pPr>
      <w:bookmarkStart w:id="4834" w:name="_Toc3872"/>
      <w:bookmarkStart w:id="4835" w:name="_Toc67418425"/>
      <w:bookmarkStart w:id="4836" w:name="_Toc11079"/>
      <w:bookmarkStart w:id="4837" w:name="_Toc16979"/>
      <w:bookmarkStart w:id="4838" w:name="_Toc448494344"/>
      <w:bookmarkStart w:id="4839" w:name="_Toc19108"/>
      <w:bookmarkStart w:id="4840" w:name="_Toc15693"/>
      <w:bookmarkStart w:id="4841" w:name="_Toc453616674"/>
      <w:bookmarkStart w:id="4842" w:name="_Toc15344"/>
      <w:bookmarkStart w:id="4843" w:name="_Toc22031"/>
      <w:bookmarkStart w:id="4844" w:name="_Toc67418858"/>
      <w:bookmarkStart w:id="4845" w:name="_Toc17922"/>
      <w:bookmarkStart w:id="4846" w:name="_Toc448841341"/>
      <w:bookmarkStart w:id="4847" w:name="_Toc22189"/>
      <w:bookmarkStart w:id="4848" w:name="_Toc22340"/>
      <w:bookmarkStart w:id="4849" w:name="_Toc492905339"/>
      <w:bookmarkStart w:id="4850" w:name="_Toc6948"/>
      <w:bookmarkStart w:id="4851" w:name="_Toc67327372"/>
      <w:r>
        <w:rPr>
          <w:rFonts w:hint="eastAsia" w:ascii="宋体" w:hAnsi="宋体" w:eastAsia="宋体" w:cs="Times New Roman"/>
          <w:b/>
          <w:color w:val="auto"/>
          <w:sz w:val="28"/>
          <w:szCs w:val="24"/>
          <w:highlight w:val="none"/>
        </w:rPr>
        <w:t>一、工程质量保修范围</w:t>
      </w:r>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p>
    <w:p w14:paraId="2857716A">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14:paraId="38BA99BF">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具体质量保修范围，双方约定如下：</w:t>
      </w:r>
      <w:r>
        <w:rPr>
          <w:rFonts w:hint="eastAsia" w:ascii="宋体" w:hAnsi="宋体" w:eastAsia="宋体" w:cs="Times New Roman"/>
          <w:color w:val="auto"/>
          <w:sz w:val="24"/>
          <w:szCs w:val="24"/>
          <w:highlight w:val="none"/>
          <w:u w:val="single"/>
        </w:rPr>
        <w:t xml:space="preserve">                                   </w:t>
      </w:r>
    </w:p>
    <w:p w14:paraId="747A07C7">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2E2F3F83">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04E910EE">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4C7B883F">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412CC6CE">
      <w:pPr>
        <w:spacing w:line="360" w:lineRule="auto"/>
        <w:ind w:firstLine="560"/>
        <w:outlineLvl w:val="0"/>
        <w:rPr>
          <w:rFonts w:ascii="宋体" w:hAnsi="宋体" w:eastAsia="宋体" w:cs="Times New Roman"/>
          <w:color w:val="auto"/>
          <w:sz w:val="28"/>
          <w:szCs w:val="24"/>
          <w:highlight w:val="none"/>
        </w:rPr>
      </w:pPr>
      <w:bookmarkStart w:id="4852" w:name="_Toc67418859"/>
      <w:bookmarkStart w:id="4853" w:name="_Toc4831"/>
      <w:bookmarkStart w:id="4854" w:name="_Toc6248"/>
      <w:bookmarkStart w:id="4855" w:name="_Toc67418426"/>
      <w:bookmarkStart w:id="4856" w:name="_Toc30277"/>
      <w:bookmarkStart w:id="4857" w:name="_Toc24359"/>
      <w:bookmarkStart w:id="4858" w:name="_Toc27834"/>
      <w:bookmarkStart w:id="4859" w:name="_Toc448494345"/>
      <w:bookmarkStart w:id="4860" w:name="_Toc10436"/>
      <w:bookmarkStart w:id="4861" w:name="_Toc14046"/>
      <w:bookmarkStart w:id="4862" w:name="_Toc818"/>
      <w:bookmarkStart w:id="4863" w:name="_Toc67327373"/>
      <w:bookmarkStart w:id="4864" w:name="_Toc492905340"/>
      <w:bookmarkStart w:id="4865" w:name="_Toc453616675"/>
      <w:bookmarkStart w:id="4866" w:name="_Toc7144"/>
      <w:bookmarkStart w:id="4867" w:name="_Toc448841342"/>
      <w:bookmarkStart w:id="4868" w:name="_Toc180"/>
      <w:bookmarkStart w:id="4869" w:name="_Toc10193"/>
      <w:r>
        <w:rPr>
          <w:rFonts w:hint="eastAsia" w:ascii="宋体" w:hAnsi="宋体" w:eastAsia="宋体" w:cs="Times New Roman"/>
          <w:color w:val="auto"/>
          <w:sz w:val="28"/>
          <w:szCs w:val="24"/>
          <w:highlight w:val="none"/>
        </w:rPr>
        <w:t>二、工程质量保修期</w:t>
      </w:r>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p>
    <w:p w14:paraId="60BE65AC">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质量保修期从工程实际竣工之日算起。单项竣工验收的工程，按单项工程分别计算质量保修期。</w:t>
      </w:r>
    </w:p>
    <w:p w14:paraId="33B4967D">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双方约定本工程质量保修期如下：</w:t>
      </w:r>
    </w:p>
    <w:p w14:paraId="359EA87E">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82"/>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4"/>
          <w:highlight w:val="none"/>
          <w:lang w:val="en-US" w:eastAsia="zh-CN" w:bidi="ar-SA"/>
        </w:rPr>
        <w:t>地基基础工程、主体结构工程为设计文件规定的合理使用年限；</w:t>
      </w:r>
    </w:p>
    <w:p w14:paraId="32140708">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83"/>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4"/>
          <w:highlight w:val="none"/>
          <w:lang w:val="en-US" w:eastAsia="zh-CN" w:bidi="ar-SA"/>
        </w:rPr>
        <w:t>屋面防水工程、有防水要求的卫生间/房间和外墙面的防渗漏工程为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年(最低为5年)；</w:t>
      </w:r>
    </w:p>
    <w:p w14:paraId="567A10F3">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84"/>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4"/>
          <w:highlight w:val="none"/>
          <w:lang w:val="en-US" w:eastAsia="zh-CN" w:bidi="ar-SA"/>
        </w:rPr>
        <w:t>电气管线工程、给排水管道工程、设备安装工程为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年(最低为2年)；</w:t>
      </w:r>
    </w:p>
    <w:p w14:paraId="00D83FE3">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85"/>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1"/>
          <w:highlight w:val="none"/>
          <w:lang w:val="en-US" w:eastAsia="zh-CN" w:bidi="ar-SA"/>
        </w:rPr>
        <w:t>供热和供冷系统工程</w:t>
      </w:r>
      <w:r>
        <w:rPr>
          <w:rFonts w:hint="eastAsia" w:ascii="宋体" w:hAnsi="宋体" w:eastAsia="宋体" w:cs="Courier New"/>
          <w:color w:val="auto"/>
          <w:kern w:val="2"/>
          <w:sz w:val="24"/>
          <w:szCs w:val="24"/>
          <w:highlight w:val="none"/>
          <w:lang w:val="en-US" w:eastAsia="zh-CN" w:bidi="ar-SA"/>
        </w:rPr>
        <w:t>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个(最低为2个)采暖期、供冷期；</w:t>
      </w:r>
    </w:p>
    <w:p w14:paraId="021C179E">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86"/>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1"/>
          <w:highlight w:val="none"/>
          <w:lang w:val="en-US" w:eastAsia="zh-CN" w:bidi="ar-SA"/>
        </w:rPr>
        <w:t>装饰装修工程为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1"/>
          <w:highlight w:val="none"/>
          <w:lang w:val="en-US" w:eastAsia="zh-CN" w:bidi="ar-SA"/>
        </w:rPr>
        <w:t>年；</w:t>
      </w:r>
    </w:p>
    <w:p w14:paraId="7FCF2BB5">
      <w:pPr>
        <w:widowControl w:val="0"/>
        <w:snapToGrid w:val="0"/>
        <w:spacing w:line="346" w:lineRule="auto"/>
        <w:ind w:firstLine="396"/>
        <w:jc w:val="both"/>
        <w:rPr>
          <w:rFonts w:ascii="宋体" w:hAnsi="宋体" w:eastAsia="宋体" w:cs="Courier New"/>
          <w:color w:val="auto"/>
          <w:kern w:val="2"/>
          <w:sz w:val="24"/>
          <w:szCs w:val="24"/>
          <w:highlight w:val="none"/>
          <w:u w:val="singl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87"/>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1"/>
          <w:highlight w:val="none"/>
          <w:lang w:val="en-US" w:eastAsia="zh-CN" w:bidi="ar-SA"/>
        </w:rPr>
        <w:t>其他项目保修期约定：</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u w:val="single"/>
          <w:lang w:val="en-US" w:eastAsia="zh-CN" w:bidi="ar-SA"/>
        </w:rPr>
        <w:t xml:space="preserve">                                        </w:t>
      </w:r>
    </w:p>
    <w:p w14:paraId="40CA6AE2">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64C588A9">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78E1BEC8">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6BF4142A">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6BFCB766">
      <w:pPr>
        <w:spacing w:line="360" w:lineRule="auto"/>
        <w:ind w:firstLine="606"/>
        <w:outlineLvl w:val="0"/>
        <w:rPr>
          <w:rFonts w:ascii="宋体" w:hAnsi="宋体" w:eastAsia="宋体" w:cs="Times New Roman"/>
          <w:b/>
          <w:color w:val="auto"/>
          <w:sz w:val="28"/>
          <w:szCs w:val="24"/>
          <w:highlight w:val="none"/>
        </w:rPr>
      </w:pPr>
      <w:bookmarkStart w:id="4870" w:name="_Toc15955"/>
      <w:bookmarkStart w:id="4871" w:name="_Toc26473"/>
      <w:bookmarkStart w:id="4872" w:name="_Toc448841343"/>
      <w:bookmarkStart w:id="4873" w:name="_Toc67418427"/>
      <w:bookmarkStart w:id="4874" w:name="_Toc15642"/>
      <w:bookmarkStart w:id="4875" w:name="_Toc30681"/>
      <w:bookmarkStart w:id="4876" w:name="_Toc31802"/>
      <w:bookmarkStart w:id="4877" w:name="_Toc19127"/>
      <w:bookmarkStart w:id="4878" w:name="_Toc983"/>
      <w:bookmarkStart w:id="4879" w:name="_Toc22935"/>
      <w:bookmarkStart w:id="4880" w:name="_Toc30626"/>
      <w:bookmarkStart w:id="4881" w:name="_Toc67327374"/>
      <w:bookmarkStart w:id="4882" w:name="_Toc453616676"/>
      <w:bookmarkStart w:id="4883" w:name="_Toc28587"/>
      <w:bookmarkStart w:id="4884" w:name="_Toc492905341"/>
      <w:bookmarkStart w:id="4885" w:name="_Toc67418860"/>
      <w:bookmarkStart w:id="4886" w:name="_Toc448494346"/>
      <w:bookmarkStart w:id="4887" w:name="_Toc22226"/>
      <w:r>
        <w:rPr>
          <w:rFonts w:hint="eastAsia" w:ascii="宋体" w:hAnsi="宋体" w:eastAsia="宋体" w:cs="Times New Roman"/>
          <w:b/>
          <w:color w:val="auto"/>
          <w:sz w:val="28"/>
          <w:szCs w:val="24"/>
          <w:highlight w:val="none"/>
        </w:rPr>
        <w:t>三、工程质量保修责任</w:t>
      </w:r>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p>
    <w:p w14:paraId="68614E2A">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1.属于保修范围内的项目，在保修期内，承包人应在接到保修通知之日后７天内派人修理。承包人不在约定期限内派人修理，发包人可委托其他人员修理。</w:t>
      </w:r>
    </w:p>
    <w:p w14:paraId="068A3B4D">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2.发生紧急抢修事故的，承包人接到事故通知后，应立即到达事故现场抢修。</w:t>
      </w:r>
    </w:p>
    <w:p w14:paraId="67B71523">
      <w:pPr>
        <w:spacing w:line="360" w:lineRule="auto"/>
        <w:ind w:firstLine="606"/>
        <w:outlineLvl w:val="0"/>
        <w:rPr>
          <w:rFonts w:ascii="宋体" w:hAnsi="宋体" w:eastAsia="宋体" w:cs="Times New Roman"/>
          <w:b/>
          <w:color w:val="auto"/>
          <w:sz w:val="28"/>
          <w:szCs w:val="24"/>
          <w:highlight w:val="none"/>
        </w:rPr>
      </w:pPr>
      <w:bookmarkStart w:id="4888" w:name="_Toc6109"/>
      <w:bookmarkStart w:id="4889" w:name="_Toc67418861"/>
      <w:bookmarkStart w:id="4890" w:name="_Toc19192"/>
      <w:bookmarkStart w:id="4891" w:name="_Toc22456"/>
      <w:bookmarkStart w:id="4892" w:name="_Toc453616677"/>
      <w:bookmarkStart w:id="4893" w:name="_Toc27712"/>
      <w:bookmarkStart w:id="4894" w:name="_Toc448841344"/>
      <w:bookmarkStart w:id="4895" w:name="_Toc12080"/>
      <w:bookmarkStart w:id="4896" w:name="_Toc25270"/>
      <w:bookmarkStart w:id="4897" w:name="_Toc16644"/>
      <w:bookmarkStart w:id="4898" w:name="_Toc30787"/>
      <w:bookmarkStart w:id="4899" w:name="_Toc67327375"/>
      <w:bookmarkStart w:id="4900" w:name="_Toc492905342"/>
      <w:bookmarkStart w:id="4901" w:name="_Toc2474"/>
      <w:bookmarkStart w:id="4902" w:name="_Toc67418428"/>
      <w:bookmarkStart w:id="4903" w:name="_Toc23057"/>
      <w:bookmarkStart w:id="4904" w:name="_Toc448494347"/>
      <w:bookmarkStart w:id="4905" w:name="_Toc6170"/>
      <w:r>
        <w:rPr>
          <w:rFonts w:hint="eastAsia" w:ascii="宋体" w:hAnsi="宋体" w:eastAsia="宋体" w:cs="Times New Roman"/>
          <w:b/>
          <w:color w:val="auto"/>
          <w:sz w:val="28"/>
          <w:szCs w:val="24"/>
          <w:highlight w:val="none"/>
        </w:rPr>
        <w:t>四、工程质量保修费用</w:t>
      </w:r>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p>
    <w:p w14:paraId="48ED1D17">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工程质量保修费用及相关的损害赔偿责任由造成质量缺陷的责任方承担。</w:t>
      </w:r>
    </w:p>
    <w:p w14:paraId="366BC797">
      <w:pPr>
        <w:spacing w:line="360" w:lineRule="auto"/>
        <w:ind w:firstLine="606"/>
        <w:outlineLvl w:val="0"/>
        <w:rPr>
          <w:rFonts w:ascii="宋体" w:hAnsi="宋体" w:eastAsia="宋体" w:cs="Times New Roman"/>
          <w:b/>
          <w:color w:val="auto"/>
          <w:sz w:val="28"/>
          <w:szCs w:val="24"/>
          <w:highlight w:val="none"/>
        </w:rPr>
      </w:pPr>
      <w:bookmarkStart w:id="4906" w:name="_Toc12430"/>
      <w:bookmarkStart w:id="4907" w:name="_Toc17054"/>
      <w:bookmarkStart w:id="4908" w:name="_Toc32691"/>
      <w:bookmarkStart w:id="4909" w:name="_Toc67327376"/>
      <w:bookmarkStart w:id="4910" w:name="_Toc17298"/>
      <w:bookmarkStart w:id="4911" w:name="_Toc453616678"/>
      <w:bookmarkStart w:id="4912" w:name="_Toc25496"/>
      <w:bookmarkStart w:id="4913" w:name="_Toc8792"/>
      <w:bookmarkStart w:id="4914" w:name="_Toc7291"/>
      <w:bookmarkStart w:id="4915" w:name="_Toc448494348"/>
      <w:bookmarkStart w:id="4916" w:name="_Toc25362"/>
      <w:bookmarkStart w:id="4917" w:name="_Toc7167"/>
      <w:bookmarkStart w:id="4918" w:name="_Toc67418429"/>
      <w:bookmarkStart w:id="4919" w:name="_Toc67418862"/>
      <w:bookmarkStart w:id="4920" w:name="_Toc448841345"/>
      <w:bookmarkStart w:id="4921" w:name="_Toc492905343"/>
      <w:bookmarkStart w:id="4922" w:name="_Toc18146"/>
      <w:bookmarkStart w:id="4923" w:name="_Toc24672"/>
      <w:r>
        <w:rPr>
          <w:rFonts w:hint="eastAsia" w:ascii="宋体" w:hAnsi="宋体" w:eastAsia="宋体" w:cs="Times New Roman"/>
          <w:b/>
          <w:color w:val="auto"/>
          <w:sz w:val="28"/>
          <w:szCs w:val="24"/>
          <w:highlight w:val="none"/>
        </w:rPr>
        <w:t>五、工程质量保证方式</w:t>
      </w:r>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p>
    <w:p w14:paraId="3F68D7F7">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工程质量保证方式可采用以下方式：</w:t>
      </w:r>
    </w:p>
    <w:p w14:paraId="49DC953D">
      <w:pPr>
        <w:widowControl w:val="0"/>
        <w:snapToGrid w:val="0"/>
        <w:spacing w:line="346" w:lineRule="auto"/>
        <w:ind w:firstLine="519"/>
        <w:jc w:val="both"/>
        <w:rPr>
          <w:rFonts w:ascii="宋体" w:hAnsi="宋体" w:eastAsia="宋体" w:cs="Courier New"/>
          <w:b/>
          <w:color w:val="auto"/>
          <w:kern w:val="2"/>
          <w:sz w:val="28"/>
          <w:szCs w:val="28"/>
          <w:highlight w:val="none"/>
          <w:lang w:val="en-US" w:eastAsia="zh-CN" w:bidi="ar-SA"/>
        </w:rPr>
      </w:pPr>
      <w:r>
        <w:rPr>
          <w:rFonts w:ascii="宋体" w:hAnsi="宋体" w:eastAsia="宋体" w:cs="Courier New"/>
          <w:b/>
          <w:color w:val="auto"/>
          <w:kern w:val="2"/>
          <w:sz w:val="24"/>
          <w:szCs w:val="21"/>
          <w:highlight w:val="none"/>
          <w:lang w:val="en-US" w:eastAsia="zh-CN" w:bidi="ar-SA"/>
        </w:rPr>
        <w:drawing>
          <wp:inline distT="0" distB="0" distL="114300" distR="114300">
            <wp:extent cx="152400" cy="142875"/>
            <wp:effectExtent l="0" t="0" r="0" b="9525"/>
            <wp:docPr id="12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88"/>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b/>
          <w:color w:val="auto"/>
          <w:kern w:val="2"/>
          <w:sz w:val="28"/>
          <w:szCs w:val="28"/>
          <w:highlight w:val="none"/>
          <w:lang w:val="en-US" w:eastAsia="zh-CN" w:bidi="ar-SA"/>
        </w:rPr>
        <w:t>质量保证金：</w:t>
      </w:r>
    </w:p>
    <w:p w14:paraId="1C0BD275">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质量保证金一般不超过结算合同价格的3％，发包人承包人约定本工程的质量保证金为结算合同价格的</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％，具体为：</w:t>
      </w:r>
    </w:p>
    <w:p w14:paraId="190A0854">
      <w:pPr>
        <w:spacing w:line="360" w:lineRule="auto"/>
        <w:ind w:firstLine="72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币种：</w:t>
      </w:r>
      <w:r>
        <w:rPr>
          <w:rFonts w:hint="eastAsia" w:ascii="宋体" w:hAnsi="宋体" w:eastAsia="宋体" w:cs="Times New Roman"/>
          <w:color w:val="auto"/>
          <w:sz w:val="24"/>
          <w:szCs w:val="24"/>
          <w:highlight w:val="none"/>
          <w:u w:val="single"/>
        </w:rPr>
        <w:t xml:space="preserve">        </w:t>
      </w:r>
    </w:p>
    <w:p w14:paraId="70B26264">
      <w:pPr>
        <w:spacing w:line="360" w:lineRule="auto"/>
        <w:ind w:firstLine="72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金额(大写)：￥</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w:t>
      </w:r>
    </w:p>
    <w:p w14:paraId="7D0C0560">
      <w:pPr>
        <w:spacing w:line="360" w:lineRule="auto"/>
        <w:ind w:firstLine="1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(小写)：￥</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w:t>
      </w:r>
    </w:p>
    <w:p w14:paraId="1562EA96">
      <w:pPr>
        <w:widowControl w:val="0"/>
        <w:snapToGrid w:val="0"/>
        <w:spacing w:line="346" w:lineRule="auto"/>
        <w:ind w:firstLine="644"/>
        <w:jc w:val="both"/>
        <w:rPr>
          <w:rFonts w:ascii="宋体" w:hAnsi="宋体" w:eastAsia="宋体" w:cs="Courier New"/>
          <w:color w:val="auto"/>
          <w:kern w:val="2"/>
          <w:sz w:val="24"/>
          <w:szCs w:val="24"/>
          <w:highlight w:val="none"/>
          <w:u w:val="single"/>
          <w:lang w:val="en-US" w:eastAsia="zh-CN" w:bidi="ar-SA"/>
        </w:rPr>
      </w:pPr>
      <w:r>
        <w:rPr>
          <w:rFonts w:hint="eastAsia" w:ascii="宋体" w:hAnsi="宋体" w:eastAsia="宋体" w:cs="Courier New"/>
          <w:color w:val="auto"/>
          <w:kern w:val="2"/>
          <w:sz w:val="24"/>
          <w:szCs w:val="24"/>
          <w:highlight w:val="none"/>
          <w:lang w:val="en-US" w:eastAsia="zh-CN" w:bidi="ar-SA"/>
        </w:rPr>
        <w:t>质量保证金银行利率为：</w:t>
      </w:r>
      <w:r>
        <w:rPr>
          <w:rFonts w:hint="eastAsia" w:ascii="宋体" w:hAnsi="宋体" w:eastAsia="宋体" w:cs="Courier New"/>
          <w:color w:val="auto"/>
          <w:kern w:val="2"/>
          <w:sz w:val="24"/>
          <w:szCs w:val="21"/>
          <w:highlight w:val="none"/>
          <w:u w:val="single"/>
          <w:lang w:val="en-US" w:eastAsia="zh-CN" w:bidi="ar-SA"/>
        </w:rPr>
        <w:t xml:space="preserve">                    </w:t>
      </w:r>
    </w:p>
    <w:p w14:paraId="30DCA88C">
      <w:pPr>
        <w:widowControl w:val="0"/>
        <w:snapToGrid w:val="0"/>
        <w:spacing w:line="346" w:lineRule="auto"/>
        <w:ind w:firstLine="519"/>
        <w:jc w:val="both"/>
        <w:rPr>
          <w:rFonts w:hint="eastAsia" w:ascii="宋体" w:hAnsi="宋体" w:eastAsia="宋体" w:cs="Courier New"/>
          <w:color w:val="auto"/>
          <w:kern w:val="2"/>
          <w:sz w:val="28"/>
          <w:szCs w:val="21"/>
          <w:highlight w:val="none"/>
          <w:lang w:val="en-US" w:eastAsia="zh-CN" w:bidi="ar-SA"/>
        </w:rPr>
      </w:pPr>
      <w:r>
        <w:rPr>
          <w:rFonts w:ascii="宋体" w:hAnsi="宋体" w:eastAsia="宋体" w:cs="Courier New"/>
          <w:b/>
          <w:color w:val="auto"/>
          <w:kern w:val="2"/>
          <w:sz w:val="24"/>
          <w:szCs w:val="21"/>
          <w:highlight w:val="none"/>
          <w:lang w:val="en-US" w:eastAsia="zh-CN" w:bidi="ar-SA"/>
        </w:rPr>
        <w:drawing>
          <wp:inline distT="0" distB="0" distL="114300" distR="114300">
            <wp:extent cx="152400" cy="142875"/>
            <wp:effectExtent l="0" t="0" r="0" b="9525"/>
            <wp:docPr id="12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89"/>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b/>
          <w:color w:val="auto"/>
          <w:kern w:val="2"/>
          <w:sz w:val="28"/>
          <w:szCs w:val="21"/>
          <w:highlight w:val="none"/>
          <w:lang w:val="en-US" w:eastAsia="zh-CN" w:bidi="ar-SA"/>
        </w:rPr>
        <w:t>工程质量保证担保</w:t>
      </w:r>
      <w:r>
        <w:rPr>
          <w:rFonts w:hint="eastAsia" w:ascii="宋体" w:hAnsi="宋体" w:eastAsia="宋体" w:cs="Courier New"/>
          <w:color w:val="auto"/>
          <w:kern w:val="2"/>
          <w:sz w:val="28"/>
          <w:szCs w:val="21"/>
          <w:highlight w:val="none"/>
          <w:lang w:val="en-US" w:eastAsia="zh-CN" w:bidi="ar-SA"/>
        </w:rPr>
        <w:t>：</w:t>
      </w:r>
    </w:p>
    <w:p w14:paraId="7476488E">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551CA170">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49A278B1">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01878605">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152BEFA1">
      <w:pPr>
        <w:widowControl w:val="0"/>
        <w:snapToGrid w:val="0"/>
        <w:spacing w:line="346" w:lineRule="auto"/>
        <w:ind w:firstLine="519"/>
        <w:jc w:val="both"/>
        <w:rPr>
          <w:rFonts w:hint="eastAsia" w:ascii="宋体" w:hAnsi="宋体" w:eastAsia="宋体" w:cs="Courier New"/>
          <w:color w:val="auto"/>
          <w:kern w:val="2"/>
          <w:sz w:val="28"/>
          <w:szCs w:val="21"/>
          <w:highlight w:val="none"/>
          <w:lang w:val="en-US" w:eastAsia="zh-CN" w:bidi="ar-SA"/>
        </w:rPr>
      </w:pPr>
      <w:r>
        <w:rPr>
          <w:rFonts w:ascii="宋体" w:hAnsi="宋体" w:eastAsia="宋体" w:cs="Courier New"/>
          <w:b/>
          <w:color w:val="auto"/>
          <w:kern w:val="2"/>
          <w:sz w:val="24"/>
          <w:szCs w:val="21"/>
          <w:highlight w:val="none"/>
          <w:lang w:val="en-US" w:eastAsia="zh-CN" w:bidi="ar-SA"/>
        </w:rPr>
        <w:drawing>
          <wp:inline distT="0" distB="0" distL="114300" distR="114300">
            <wp:extent cx="152400" cy="142875"/>
            <wp:effectExtent l="0" t="0" r="0" b="9525"/>
            <wp:docPr id="13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90"/>
                    <pic:cNvPicPr>
                      <a:picLocks noChangeAspect="1"/>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b/>
          <w:color w:val="auto"/>
          <w:kern w:val="2"/>
          <w:sz w:val="28"/>
          <w:szCs w:val="21"/>
          <w:highlight w:val="none"/>
          <w:lang w:val="en-US" w:eastAsia="zh-CN" w:bidi="ar-SA"/>
        </w:rPr>
        <w:t>工程质量保险</w:t>
      </w:r>
      <w:r>
        <w:rPr>
          <w:rFonts w:hint="eastAsia" w:ascii="宋体" w:hAnsi="宋体" w:eastAsia="宋体" w:cs="Courier New"/>
          <w:color w:val="auto"/>
          <w:kern w:val="2"/>
          <w:sz w:val="28"/>
          <w:szCs w:val="21"/>
          <w:highlight w:val="none"/>
          <w:lang w:val="en-US" w:eastAsia="zh-CN" w:bidi="ar-SA"/>
        </w:rPr>
        <w:t>：</w:t>
      </w:r>
    </w:p>
    <w:p w14:paraId="052A1A16">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20DBE6CE">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027DA03A">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1C88EB9C">
      <w:pPr>
        <w:spacing w:line="360" w:lineRule="auto"/>
        <w:ind w:firstLine="606"/>
        <w:outlineLvl w:val="0"/>
        <w:rPr>
          <w:rFonts w:ascii="宋体" w:hAnsi="宋体" w:eastAsia="宋体" w:cs="Times New Roman"/>
          <w:b/>
          <w:color w:val="auto"/>
          <w:sz w:val="28"/>
          <w:szCs w:val="24"/>
          <w:highlight w:val="none"/>
        </w:rPr>
      </w:pPr>
      <w:bookmarkStart w:id="4924" w:name="_Toc14235"/>
      <w:bookmarkStart w:id="4925" w:name="_Toc30286"/>
      <w:bookmarkStart w:id="4926" w:name="_Toc28460"/>
      <w:bookmarkStart w:id="4927" w:name="_Toc18234"/>
      <w:bookmarkStart w:id="4928" w:name="_Toc67327377"/>
      <w:bookmarkStart w:id="4929" w:name="_Toc448841346"/>
      <w:bookmarkStart w:id="4930" w:name="_Toc11745"/>
      <w:bookmarkStart w:id="4931" w:name="_Toc11768"/>
      <w:bookmarkStart w:id="4932" w:name="_Toc8058"/>
      <w:bookmarkStart w:id="4933" w:name="_Toc30614"/>
      <w:bookmarkStart w:id="4934" w:name="_Toc67418430"/>
      <w:bookmarkStart w:id="4935" w:name="_Toc453616679"/>
      <w:bookmarkStart w:id="4936" w:name="_Toc492905344"/>
      <w:bookmarkStart w:id="4937" w:name="_Toc27495"/>
      <w:bookmarkStart w:id="4938" w:name="_Toc2846"/>
      <w:bookmarkStart w:id="4939" w:name="_Toc12941"/>
      <w:bookmarkStart w:id="4940" w:name="_Toc448494349"/>
      <w:bookmarkStart w:id="4941" w:name="_Toc67418863"/>
      <w:r>
        <w:rPr>
          <w:rFonts w:hint="eastAsia" w:ascii="宋体" w:hAnsi="宋体" w:eastAsia="宋体" w:cs="Times New Roman"/>
          <w:b/>
          <w:color w:val="auto"/>
          <w:sz w:val="28"/>
          <w:szCs w:val="24"/>
          <w:highlight w:val="none"/>
        </w:rPr>
        <w:t>六、质量保证金的支付</w:t>
      </w:r>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p>
    <w:p w14:paraId="3C795A07">
      <w:pPr>
        <w:widowControl w:val="0"/>
        <w:snapToGrid w:val="0"/>
        <w:spacing w:line="346" w:lineRule="auto"/>
        <w:ind w:firstLine="480"/>
        <w:jc w:val="both"/>
        <w:rPr>
          <w:rFonts w:hint="eastAsia" w:ascii="宋体" w:hAnsi="宋体" w:eastAsia="宋体" w:cs="Courier New"/>
          <w:color w:val="auto"/>
          <w:kern w:val="2"/>
          <w:sz w:val="24"/>
          <w:szCs w:val="21"/>
          <w:highlight w:val="none"/>
          <w:lang w:val="en-US" w:eastAsia="zh-CN" w:bidi="ar-SA"/>
        </w:rPr>
      </w:pPr>
      <w:r>
        <w:rPr>
          <w:rFonts w:hint="eastAsia" w:ascii="宋体" w:hAnsi="宋体" w:eastAsia="宋体" w:cs="Courier New"/>
          <w:color w:val="auto"/>
          <w:kern w:val="2"/>
          <w:sz w:val="24"/>
          <w:szCs w:val="21"/>
          <w:highlight w:val="none"/>
          <w:lang w:val="en-US" w:eastAsia="zh-CN" w:bidi="ar-SA"/>
        </w:rPr>
        <w:t>采用质量保证金方式时，发包人在工程竣工验收合格满二年后第14天内，将剩余质量保证金和利息支付给承包人，但并不免除承包人在保修期内的保修责任。</w:t>
      </w:r>
    </w:p>
    <w:p w14:paraId="413F91A3">
      <w:pPr>
        <w:widowControl w:val="0"/>
        <w:snapToGrid w:val="0"/>
        <w:spacing w:line="346" w:lineRule="auto"/>
        <w:ind w:firstLine="480"/>
        <w:jc w:val="both"/>
        <w:rPr>
          <w:rFonts w:hint="eastAsia" w:ascii="宋体" w:hAnsi="宋体" w:eastAsia="宋体" w:cs="Courier New"/>
          <w:color w:val="auto"/>
          <w:kern w:val="2"/>
          <w:sz w:val="24"/>
          <w:szCs w:val="21"/>
          <w:highlight w:val="none"/>
          <w:lang w:val="en-US" w:eastAsia="zh-CN" w:bidi="ar-SA"/>
        </w:rPr>
      </w:pPr>
      <w:r>
        <w:rPr>
          <w:rFonts w:hint="eastAsia" w:ascii="宋体" w:hAnsi="宋体" w:eastAsia="宋体" w:cs="Courier New"/>
          <w:color w:val="auto"/>
          <w:kern w:val="2"/>
          <w:sz w:val="24"/>
          <w:szCs w:val="21"/>
          <w:highlight w:val="none"/>
          <w:lang w:val="en-US" w:eastAsia="zh-CN" w:bidi="ar-SA"/>
        </w:rPr>
        <w:t>如发包人不在约定时限内足额向承包人支付剩余质量保证金和利息的，发包人应从约定应付之日起按同期银行贷款利率向承包人支付拖欠款额的贷款利息，并按每延期一天向承包人赔偿拖欠款额的千分之一的标准承担违约责任。</w:t>
      </w:r>
    </w:p>
    <w:p w14:paraId="57901490">
      <w:pPr>
        <w:spacing w:line="360" w:lineRule="auto"/>
        <w:ind w:firstLine="606"/>
        <w:outlineLvl w:val="0"/>
        <w:rPr>
          <w:rFonts w:ascii="宋体" w:hAnsi="宋体" w:eastAsia="宋体" w:cs="Times New Roman"/>
          <w:b/>
          <w:color w:val="auto"/>
          <w:sz w:val="28"/>
          <w:szCs w:val="24"/>
          <w:highlight w:val="none"/>
        </w:rPr>
      </w:pPr>
      <w:bookmarkStart w:id="4942" w:name="_Toc24167"/>
      <w:bookmarkStart w:id="4943" w:name="_Toc26869"/>
      <w:bookmarkStart w:id="4944" w:name="_Toc26219"/>
      <w:bookmarkStart w:id="4945" w:name="_Toc448841347"/>
      <w:bookmarkStart w:id="4946" w:name="_Toc4442"/>
      <w:bookmarkStart w:id="4947" w:name="_Toc67327378"/>
      <w:bookmarkStart w:id="4948" w:name="_Toc16141"/>
      <w:bookmarkStart w:id="4949" w:name="_Toc67418864"/>
      <w:bookmarkStart w:id="4950" w:name="_Toc492905345"/>
      <w:bookmarkStart w:id="4951" w:name="_Toc67418431"/>
      <w:bookmarkStart w:id="4952" w:name="_Toc6432"/>
      <w:bookmarkStart w:id="4953" w:name="_Toc4822"/>
      <w:bookmarkStart w:id="4954" w:name="_Toc3338"/>
      <w:bookmarkStart w:id="4955" w:name="_Toc16741"/>
      <w:bookmarkStart w:id="4956" w:name="_Toc229"/>
      <w:bookmarkStart w:id="4957" w:name="_Toc448494350"/>
      <w:bookmarkStart w:id="4958" w:name="_Toc453616680"/>
      <w:bookmarkStart w:id="4959" w:name="_Toc29549"/>
      <w:r>
        <w:rPr>
          <w:rFonts w:hint="eastAsia" w:ascii="宋体" w:hAnsi="宋体" w:eastAsia="宋体" w:cs="Times New Roman"/>
          <w:b/>
          <w:color w:val="auto"/>
          <w:sz w:val="28"/>
          <w:szCs w:val="24"/>
          <w:highlight w:val="none"/>
        </w:rPr>
        <w:t>七、其他</w:t>
      </w:r>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p>
    <w:p w14:paraId="1F29902C">
      <w:pPr>
        <w:widowControl w:val="0"/>
        <w:snapToGrid w:val="0"/>
        <w:spacing w:line="346" w:lineRule="auto"/>
        <w:ind w:firstLine="480"/>
        <w:jc w:val="both"/>
        <w:rPr>
          <w:rFonts w:ascii="宋体" w:hAnsi="宋体" w:eastAsia="宋体" w:cs="Courier New"/>
          <w:color w:val="auto"/>
          <w:kern w:val="2"/>
          <w:sz w:val="24"/>
          <w:szCs w:val="24"/>
          <w:highlight w:val="none"/>
          <w:u w:val="single"/>
          <w:lang w:val="en-US" w:eastAsia="zh-CN" w:bidi="ar-SA"/>
        </w:rPr>
      </w:pPr>
      <w:r>
        <w:rPr>
          <w:rFonts w:hint="eastAsia" w:ascii="宋体" w:hAnsi="宋体" w:eastAsia="宋体" w:cs="Courier New"/>
          <w:color w:val="auto"/>
          <w:kern w:val="2"/>
          <w:sz w:val="24"/>
          <w:szCs w:val="21"/>
          <w:highlight w:val="none"/>
          <w:lang w:val="en-US" w:eastAsia="zh-CN" w:bidi="ar-SA"/>
        </w:rPr>
        <w:t>发包人承包人约定的其他工程质量保修事项：</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u w:val="single"/>
          <w:lang w:val="en-US" w:eastAsia="zh-CN" w:bidi="ar-SA"/>
        </w:rPr>
        <w:t xml:space="preserve">                     </w:t>
      </w:r>
    </w:p>
    <w:p w14:paraId="623563FD">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1DF27BF4">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62212B08">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7A1A739A">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14:paraId="23E309EE">
      <w:pPr>
        <w:widowControl w:val="0"/>
        <w:snapToGrid w:val="0"/>
        <w:spacing w:line="346" w:lineRule="auto"/>
        <w:ind w:firstLine="644"/>
        <w:jc w:val="both"/>
        <w:rPr>
          <w:rFonts w:hint="eastAsia" w:ascii="宋体" w:hAnsi="宋体" w:eastAsia="宋体" w:cs="Courier New"/>
          <w:color w:val="auto"/>
          <w:kern w:val="2"/>
          <w:sz w:val="24"/>
          <w:szCs w:val="24"/>
          <w:highlight w:val="none"/>
          <w:lang w:val="en-US" w:eastAsia="zh-CN" w:bidi="ar-SA"/>
        </w:rPr>
      </w:pPr>
    </w:p>
    <w:p w14:paraId="43A22821">
      <w:pPr>
        <w:widowControl w:val="0"/>
        <w:snapToGrid w:val="0"/>
        <w:spacing w:line="346" w:lineRule="auto"/>
        <w:ind w:firstLine="644"/>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本</w:t>
      </w:r>
      <w:r>
        <w:rPr>
          <w:rFonts w:hint="eastAsia" w:ascii="宋体" w:hAnsi="宋体" w:eastAsia="宋体" w:cs="Courier New"/>
          <w:color w:val="auto"/>
          <w:kern w:val="2"/>
          <w:sz w:val="24"/>
          <w:szCs w:val="21"/>
          <w:highlight w:val="none"/>
          <w:lang w:val="en-US" w:eastAsia="zh-CN" w:bidi="ar-SA"/>
        </w:rPr>
        <w:t>《</w:t>
      </w:r>
      <w:r>
        <w:rPr>
          <w:rFonts w:hint="eastAsia" w:ascii="宋体" w:hAnsi="宋体" w:eastAsia="宋体" w:cs="Courier New"/>
          <w:color w:val="auto"/>
          <w:kern w:val="2"/>
          <w:sz w:val="24"/>
          <w:szCs w:val="24"/>
          <w:highlight w:val="none"/>
          <w:lang w:val="en-US" w:eastAsia="zh-CN" w:bidi="ar-SA"/>
        </w:rPr>
        <w:t>工程质量保修书</w:t>
      </w:r>
      <w:r>
        <w:rPr>
          <w:rFonts w:hint="eastAsia" w:ascii="宋体" w:hAnsi="宋体" w:eastAsia="宋体" w:cs="Courier New"/>
          <w:color w:val="auto"/>
          <w:kern w:val="2"/>
          <w:sz w:val="24"/>
          <w:szCs w:val="21"/>
          <w:highlight w:val="none"/>
          <w:lang w:val="en-US" w:eastAsia="zh-CN" w:bidi="ar-SA"/>
        </w:rPr>
        <w:t>》</w:t>
      </w:r>
      <w:r>
        <w:rPr>
          <w:rFonts w:hint="eastAsia" w:ascii="宋体" w:hAnsi="宋体" w:eastAsia="宋体" w:cs="Courier New"/>
          <w:color w:val="auto"/>
          <w:kern w:val="2"/>
          <w:sz w:val="24"/>
          <w:szCs w:val="24"/>
          <w:highlight w:val="none"/>
          <w:lang w:val="en-US" w:eastAsia="zh-CN" w:bidi="ar-SA"/>
        </w:rPr>
        <w:t>作为施工合同附件由发包人承包人双方共同签署。</w:t>
      </w:r>
    </w:p>
    <w:p w14:paraId="03821948">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14:paraId="4EC4DEA7">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14:paraId="2950D74F">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14:paraId="23D3A603">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14:paraId="7770F8DC">
      <w:pPr>
        <w:widowControl w:val="0"/>
        <w:snapToGrid w:val="0"/>
        <w:spacing w:line="346" w:lineRule="auto"/>
        <w:jc w:val="both"/>
        <w:rPr>
          <w:rFonts w:ascii="宋体" w:hAnsi="宋体" w:eastAsia="宋体" w:cs="Courier New"/>
          <w:color w:val="auto"/>
          <w:spacing w:val="14"/>
          <w:kern w:val="2"/>
          <w:sz w:val="24"/>
          <w:szCs w:val="21"/>
          <w:highlight w:val="none"/>
          <w:lang w:val="en-US" w:eastAsia="zh-CN" w:bidi="ar-SA"/>
        </w:rPr>
      </w:pPr>
    </w:p>
    <w:p w14:paraId="6CFF993F">
      <w:pPr>
        <w:widowControl w:val="0"/>
        <w:snapToGrid w:val="0"/>
        <w:spacing w:line="346" w:lineRule="auto"/>
        <w:ind w:left="420" w:firstLine="12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发  包  人(公章) ：                   承  包  人(公章)：</w:t>
      </w:r>
    </w:p>
    <w:p w14:paraId="091FA8CD">
      <w:pPr>
        <w:widowControl w:val="0"/>
        <w:snapToGrid w:val="0"/>
        <w:spacing w:line="346" w:lineRule="auto"/>
        <w:jc w:val="both"/>
        <w:rPr>
          <w:rFonts w:ascii="宋体" w:hAnsi="宋体" w:eastAsia="宋体" w:cs="Courier New"/>
          <w:color w:val="auto"/>
          <w:kern w:val="2"/>
          <w:sz w:val="24"/>
          <w:szCs w:val="24"/>
          <w:highlight w:val="none"/>
          <w:lang w:val="en-US" w:eastAsia="zh-CN" w:bidi="ar-SA"/>
        </w:rPr>
      </w:pPr>
    </w:p>
    <w:p w14:paraId="37A5CCB5">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法定代表人(签字) ：                   法定代表人(签字)：</w:t>
      </w:r>
    </w:p>
    <w:p w14:paraId="2B3E90C3">
      <w:pPr>
        <w:widowControl w:val="0"/>
        <w:snapToGrid w:val="0"/>
        <w:spacing w:line="346" w:lineRule="auto"/>
        <w:jc w:val="both"/>
        <w:rPr>
          <w:rFonts w:ascii="宋体" w:hAnsi="宋体" w:eastAsia="宋体" w:cs="Courier New"/>
          <w:color w:val="auto"/>
          <w:kern w:val="2"/>
          <w:sz w:val="24"/>
          <w:szCs w:val="24"/>
          <w:highlight w:val="none"/>
          <w:lang w:val="en-US" w:eastAsia="zh-CN" w:bidi="ar-SA"/>
        </w:rPr>
      </w:pPr>
    </w:p>
    <w:p w14:paraId="4F0298DF">
      <w:pPr>
        <w:widowControl w:val="0"/>
        <w:snapToGrid w:val="0"/>
        <w:spacing w:line="346" w:lineRule="auto"/>
        <w:ind w:firstLine="644"/>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 xml:space="preserve">      年    月   日                        年   月    日</w:t>
      </w:r>
    </w:p>
    <w:p w14:paraId="25209851">
      <w:pPr>
        <w:rPr>
          <w:rFonts w:ascii="Times New Roman" w:hAnsi="Times New Roman" w:eastAsia="宋体" w:cs="Times New Roman"/>
          <w:color w:val="auto"/>
          <w:szCs w:val="24"/>
          <w:highlight w:val="none"/>
        </w:rPr>
      </w:pPr>
    </w:p>
    <w:p w14:paraId="7C28CCBF">
      <w:pPr>
        <w:spacing w:line="360" w:lineRule="auto"/>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 xml:space="preserve"> </w:t>
      </w:r>
    </w:p>
    <w:p w14:paraId="72179D9F">
      <w:pPr>
        <w:spacing w:line="360" w:lineRule="auto"/>
        <w:ind w:firstLine="5292"/>
        <w:rPr>
          <w:rFonts w:hint="eastAsia" w:ascii="宋体" w:hAnsi="宋体" w:eastAsia="宋体" w:cs="Times New Roman"/>
          <w:color w:val="auto"/>
          <w:sz w:val="24"/>
          <w:szCs w:val="24"/>
          <w:highlight w:val="none"/>
        </w:rPr>
      </w:pPr>
    </w:p>
    <w:p w14:paraId="5DA51BD3">
      <w:pPr>
        <w:rPr>
          <w:color w:val="auto"/>
          <w:highlight w:val="none"/>
        </w:rPr>
      </w:pPr>
    </w:p>
    <w:bookmarkEnd w:id="101"/>
    <w:p w14:paraId="52648E2E">
      <w:pPr>
        <w:spacing w:line="360" w:lineRule="auto"/>
        <w:rPr>
          <w:color w:val="auto"/>
          <w:highlight w:val="none"/>
        </w:rPr>
      </w:pPr>
      <w:r>
        <w:rPr>
          <w:color w:val="auto"/>
          <w:highlight w:val="none"/>
        </w:rPr>
        <w:br w:type="page"/>
      </w:r>
    </w:p>
    <w:p w14:paraId="59741CA8">
      <w:pPr>
        <w:adjustRightInd w:val="0"/>
        <w:snapToGrid w:val="0"/>
        <w:spacing w:line="360" w:lineRule="auto"/>
        <w:rPr>
          <w:color w:val="auto"/>
          <w:highlight w:val="none"/>
        </w:rPr>
      </w:pPr>
      <w:r>
        <w:rPr>
          <w:color w:val="auto"/>
          <w:highlight w:val="none"/>
        </w:rPr>
        <w:br w:type="page"/>
      </w:r>
    </w:p>
    <w:p w14:paraId="2DA503EE">
      <w:pPr>
        <w:adjustRightInd w:val="0"/>
        <w:snapToGrid w:val="0"/>
        <w:spacing w:line="360" w:lineRule="auto"/>
        <w:jc w:val="center"/>
        <w:outlineLvl w:val="0"/>
        <w:rPr>
          <w:rFonts w:ascii="黑体" w:hAnsi="黑体" w:eastAsia="黑体" w:cs="黑体"/>
          <w:bCs/>
          <w:color w:val="auto"/>
          <w:sz w:val="32"/>
          <w:szCs w:val="32"/>
          <w:highlight w:val="none"/>
        </w:rPr>
      </w:pPr>
      <w:bookmarkStart w:id="4960" w:name="_Toc1777"/>
      <w:bookmarkStart w:id="4961" w:name="_Toc4197"/>
      <w:bookmarkStart w:id="4962" w:name="_Toc32256"/>
      <w:bookmarkStart w:id="4963" w:name="_Toc14514"/>
      <w:bookmarkStart w:id="4964" w:name="_Toc12794"/>
      <w:bookmarkStart w:id="4965" w:name="_Toc21821"/>
      <w:r>
        <w:rPr>
          <w:rFonts w:hint="eastAsia" w:ascii="黑体" w:hAnsi="黑体" w:eastAsia="黑体" w:cs="黑体"/>
          <w:bCs/>
          <w:color w:val="auto"/>
          <w:sz w:val="32"/>
          <w:szCs w:val="32"/>
          <w:highlight w:val="none"/>
        </w:rPr>
        <w:t>第六章  标准、规范和技术要求</w:t>
      </w:r>
      <w:bookmarkEnd w:id="4960"/>
      <w:bookmarkEnd w:id="4961"/>
      <w:bookmarkEnd w:id="4962"/>
      <w:bookmarkEnd w:id="4963"/>
      <w:bookmarkEnd w:id="4964"/>
      <w:bookmarkEnd w:id="4965"/>
    </w:p>
    <w:p w14:paraId="30236589">
      <w:pPr>
        <w:spacing w:line="360" w:lineRule="auto"/>
        <w:jc w:val="center"/>
        <w:outlineLvl w:val="1"/>
        <w:rPr>
          <w:b/>
          <w:color w:val="auto"/>
          <w:sz w:val="44"/>
          <w:highlight w:val="none"/>
        </w:rPr>
      </w:pPr>
      <w:bookmarkStart w:id="4966" w:name="_Toc21838"/>
      <w:bookmarkStart w:id="4967" w:name="_Toc24551"/>
      <w:bookmarkStart w:id="4968" w:name="_Toc28580"/>
      <w:bookmarkStart w:id="4969" w:name="_Toc16207"/>
      <w:bookmarkStart w:id="4970" w:name="_Toc19162"/>
      <w:bookmarkStart w:id="4971" w:name="_Toc9098"/>
      <w:r>
        <w:rPr>
          <w:rFonts w:hint="eastAsia" w:ascii="黑体" w:hAnsi="黑体" w:eastAsia="黑体" w:cs="黑体"/>
          <w:bCs/>
          <w:color w:val="auto"/>
          <w:sz w:val="32"/>
          <w:szCs w:val="32"/>
          <w:highlight w:val="none"/>
        </w:rPr>
        <w:t>一、一般标准和技术规范</w:t>
      </w:r>
      <w:bookmarkEnd w:id="4966"/>
      <w:bookmarkEnd w:id="4967"/>
      <w:bookmarkEnd w:id="4968"/>
      <w:bookmarkEnd w:id="4969"/>
      <w:bookmarkEnd w:id="4970"/>
      <w:bookmarkEnd w:id="4971"/>
    </w:p>
    <w:p w14:paraId="63AE9CFA">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1.一般标准和技术规范</w:t>
      </w:r>
    </w:p>
    <w:p w14:paraId="0552AE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1.1本招标工程的材料、设备、施工必须符合现行国家、行业及工程所在地地方标准和技术规范的要求。</w:t>
      </w:r>
    </w:p>
    <w:p w14:paraId="27C24C69">
      <w:pPr>
        <w:spacing w:line="360" w:lineRule="auto"/>
        <w:jc w:val="center"/>
        <w:outlineLvl w:val="1"/>
        <w:rPr>
          <w:b/>
          <w:color w:val="auto"/>
          <w:sz w:val="44"/>
          <w:highlight w:val="none"/>
        </w:rPr>
      </w:pPr>
      <w:bookmarkStart w:id="4972" w:name="_Toc23021"/>
      <w:bookmarkStart w:id="4973" w:name="_Toc6918"/>
      <w:bookmarkStart w:id="4974" w:name="_Toc5154"/>
      <w:bookmarkStart w:id="4975" w:name="_Toc19484"/>
      <w:bookmarkStart w:id="4976" w:name="_Toc1017"/>
      <w:bookmarkStart w:id="4977" w:name="_Toc13031"/>
      <w:r>
        <w:rPr>
          <w:rFonts w:hint="eastAsia" w:ascii="黑体" w:hAnsi="黑体" w:eastAsia="黑体" w:cs="黑体"/>
          <w:bCs/>
          <w:color w:val="auto"/>
          <w:sz w:val="32"/>
          <w:szCs w:val="32"/>
          <w:highlight w:val="none"/>
        </w:rPr>
        <w:t>二、特殊标准和技术规范</w:t>
      </w:r>
      <w:bookmarkEnd w:id="4972"/>
      <w:bookmarkEnd w:id="4973"/>
      <w:bookmarkEnd w:id="4974"/>
      <w:bookmarkEnd w:id="4975"/>
      <w:bookmarkEnd w:id="4976"/>
      <w:bookmarkEnd w:id="4977"/>
    </w:p>
    <w:p w14:paraId="1F817901">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2.特殊标准和技术规范</w:t>
      </w:r>
    </w:p>
    <w:p w14:paraId="5598593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2.1根据设计要求，本招标工程中下列材料、设备、施工必须相应符合下列标准和技术规范的要求（列出特殊的材料、设备、施工及相应标准和技术规范名称）：</w:t>
      </w:r>
    </w:p>
    <w:p w14:paraId="7053C82A">
      <w:pPr>
        <w:adjustRightInd w:val="0"/>
        <w:snapToGrid w:val="0"/>
        <w:spacing w:line="360" w:lineRule="auto"/>
        <w:rPr>
          <w:color w:val="auto"/>
          <w:szCs w:val="21"/>
          <w:highlight w:val="none"/>
          <w:u w:val="single"/>
        </w:rPr>
      </w:pPr>
      <w:r>
        <w:rPr>
          <w:rFonts w:hint="eastAsia" w:ascii="宋体" w:hAnsi="宋体" w:eastAsia="宋体" w:cs="宋体"/>
          <w:color w:val="auto"/>
          <w:highlight w:val="none"/>
        </w:rPr>
        <w:t>特殊标准和技术规范</w:t>
      </w:r>
      <w:r>
        <w:rPr>
          <w:color w:val="auto"/>
          <w:highlight w:val="none"/>
        </w:rPr>
        <w:br w:type="page"/>
      </w:r>
    </w:p>
    <w:p w14:paraId="132175C5">
      <w:pPr>
        <w:spacing w:line="360" w:lineRule="auto"/>
        <w:jc w:val="center"/>
        <w:outlineLvl w:val="1"/>
        <w:rPr>
          <w:rFonts w:ascii="黑体" w:hAnsi="黑体" w:eastAsia="黑体" w:cs="黑体"/>
          <w:bCs/>
          <w:color w:val="auto"/>
          <w:sz w:val="32"/>
          <w:szCs w:val="32"/>
          <w:highlight w:val="none"/>
        </w:rPr>
      </w:pPr>
      <w:bookmarkStart w:id="4978" w:name="_Toc16977"/>
      <w:bookmarkStart w:id="4979" w:name="_Toc22470"/>
      <w:bookmarkStart w:id="4980" w:name="_Toc9573"/>
      <w:bookmarkStart w:id="4981" w:name="_Toc21379"/>
      <w:bookmarkStart w:id="4982" w:name="_Toc20792"/>
      <w:bookmarkStart w:id="4983" w:name="_Toc4598"/>
      <w:r>
        <w:rPr>
          <w:rFonts w:hint="eastAsia" w:ascii="黑体" w:hAnsi="黑体" w:eastAsia="黑体" w:cs="黑体"/>
          <w:bCs/>
          <w:color w:val="auto"/>
          <w:sz w:val="32"/>
          <w:szCs w:val="32"/>
          <w:highlight w:val="none"/>
        </w:rPr>
        <w:t>三、工程技术要求</w:t>
      </w:r>
      <w:bookmarkEnd w:id="4978"/>
      <w:bookmarkEnd w:id="4979"/>
      <w:bookmarkEnd w:id="4980"/>
      <w:bookmarkEnd w:id="4981"/>
      <w:bookmarkEnd w:id="4982"/>
      <w:bookmarkEnd w:id="4983"/>
    </w:p>
    <w:p w14:paraId="4B55E6D8">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工程技术要求</w:t>
      </w:r>
      <w:r>
        <w:rPr>
          <w:color w:val="auto"/>
          <w:highlight w:val="none"/>
        </w:rPr>
        <w:br w:type="page"/>
      </w:r>
    </w:p>
    <w:p w14:paraId="06F04464">
      <w:pPr>
        <w:adjustRightInd w:val="0"/>
        <w:snapToGrid w:val="0"/>
        <w:spacing w:line="360" w:lineRule="auto"/>
        <w:jc w:val="center"/>
        <w:outlineLvl w:val="0"/>
        <w:rPr>
          <w:rFonts w:ascii="黑体" w:hAnsi="黑体" w:eastAsia="黑体" w:cs="黑体"/>
          <w:b/>
          <w:color w:val="auto"/>
          <w:sz w:val="32"/>
          <w:szCs w:val="32"/>
          <w:highlight w:val="none"/>
        </w:rPr>
      </w:pPr>
      <w:bookmarkStart w:id="4984" w:name="_Toc28885"/>
      <w:bookmarkStart w:id="4985" w:name="_Toc15927"/>
      <w:bookmarkStart w:id="4986" w:name="_Toc28631"/>
      <w:bookmarkStart w:id="4987" w:name="_Toc22286"/>
      <w:bookmarkStart w:id="4988" w:name="_Toc27841"/>
      <w:bookmarkStart w:id="4989" w:name="_Toc9826"/>
      <w:r>
        <w:rPr>
          <w:rFonts w:hint="eastAsia" w:ascii="黑体" w:hAnsi="黑体" w:eastAsia="黑体" w:cs="黑体"/>
          <w:b/>
          <w:color w:val="auto"/>
          <w:sz w:val="32"/>
          <w:szCs w:val="32"/>
          <w:highlight w:val="none"/>
        </w:rPr>
        <w:t>第七章  图纸</w:t>
      </w:r>
      <w:bookmarkEnd w:id="4984"/>
      <w:bookmarkEnd w:id="4985"/>
      <w:bookmarkEnd w:id="4986"/>
      <w:bookmarkEnd w:id="4987"/>
      <w:bookmarkEnd w:id="4988"/>
      <w:bookmarkEnd w:id="4989"/>
    </w:p>
    <w:p w14:paraId="0A9C9B35">
      <w:pPr>
        <w:spacing w:line="360" w:lineRule="auto"/>
        <w:jc w:val="center"/>
        <w:outlineLvl w:val="1"/>
        <w:rPr>
          <w:rFonts w:ascii="黑体" w:hAnsi="黑体" w:eastAsia="黑体" w:cs="黑体"/>
          <w:b/>
          <w:color w:val="auto"/>
          <w:sz w:val="32"/>
          <w:szCs w:val="32"/>
          <w:highlight w:val="none"/>
        </w:rPr>
      </w:pPr>
      <w:bookmarkStart w:id="4990" w:name="_Toc26963"/>
      <w:bookmarkStart w:id="4991" w:name="_Toc26237"/>
      <w:bookmarkStart w:id="4992" w:name="_Toc1803"/>
      <w:bookmarkStart w:id="4993" w:name="_Toc29501"/>
      <w:bookmarkStart w:id="4994" w:name="_Toc4802"/>
      <w:bookmarkStart w:id="4995" w:name="_Toc32512"/>
      <w:r>
        <w:rPr>
          <w:rFonts w:hint="eastAsia" w:ascii="黑体" w:hAnsi="黑体" w:eastAsia="黑体" w:cs="黑体"/>
          <w:b/>
          <w:color w:val="auto"/>
          <w:sz w:val="32"/>
          <w:szCs w:val="32"/>
          <w:highlight w:val="none"/>
        </w:rPr>
        <w:t>一、图纸清单</w:t>
      </w:r>
      <w:bookmarkEnd w:id="4990"/>
      <w:bookmarkEnd w:id="4991"/>
      <w:bookmarkEnd w:id="4992"/>
      <w:bookmarkEnd w:id="4993"/>
      <w:bookmarkEnd w:id="4994"/>
      <w:bookmarkEnd w:id="4995"/>
    </w:p>
    <w:p w14:paraId="0A227D3B">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图纸清单</w:t>
      </w:r>
      <w:r>
        <w:rPr>
          <w:color w:val="auto"/>
          <w:highlight w:val="none"/>
        </w:rPr>
        <w:br w:type="page"/>
      </w:r>
    </w:p>
    <w:p w14:paraId="01AA0DE6">
      <w:pPr>
        <w:spacing w:line="360" w:lineRule="auto"/>
        <w:jc w:val="center"/>
        <w:outlineLvl w:val="1"/>
        <w:rPr>
          <w:rFonts w:ascii="黑体" w:hAnsi="黑体" w:eastAsia="黑体" w:cs="黑体"/>
          <w:bCs/>
          <w:color w:val="auto"/>
          <w:sz w:val="32"/>
          <w:szCs w:val="32"/>
          <w:highlight w:val="none"/>
        </w:rPr>
      </w:pPr>
      <w:bookmarkStart w:id="4996" w:name="_Toc20106"/>
      <w:bookmarkStart w:id="4997" w:name="_Toc25177"/>
      <w:bookmarkStart w:id="4998" w:name="_Toc24305"/>
      <w:bookmarkStart w:id="4999" w:name="_Toc29236"/>
      <w:bookmarkStart w:id="5000" w:name="_Toc19817"/>
      <w:bookmarkStart w:id="5001" w:name="_Toc12287"/>
      <w:r>
        <w:rPr>
          <w:rFonts w:hint="eastAsia" w:ascii="黑体" w:hAnsi="黑体" w:eastAsia="黑体" w:cs="黑体"/>
          <w:bCs/>
          <w:color w:val="auto"/>
          <w:sz w:val="32"/>
          <w:szCs w:val="32"/>
          <w:highlight w:val="none"/>
        </w:rPr>
        <w:t>二、标准图集清单</w:t>
      </w:r>
      <w:bookmarkEnd w:id="4996"/>
      <w:bookmarkEnd w:id="4997"/>
      <w:bookmarkEnd w:id="4998"/>
      <w:bookmarkEnd w:id="4999"/>
      <w:bookmarkEnd w:id="5000"/>
      <w:bookmarkEnd w:id="5001"/>
    </w:p>
    <w:p w14:paraId="5C5FD7B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以下标准图集，限于招标文件中指明的章节和内容，构成图纸的一部分。</w:t>
      </w:r>
    </w:p>
    <w:p w14:paraId="41982A0B">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标准图集清单</w:t>
      </w:r>
      <w:r>
        <w:rPr>
          <w:rFonts w:hint="eastAsia" w:ascii="宋体" w:hAnsi="宋体" w:eastAsia="宋体" w:cs="宋体"/>
          <w:color w:val="auto"/>
          <w:highlight w:val="none"/>
        </w:rPr>
        <w:br w:type="page"/>
      </w:r>
    </w:p>
    <w:p w14:paraId="5565EEDF">
      <w:pPr>
        <w:adjustRightInd w:val="0"/>
        <w:snapToGrid w:val="0"/>
        <w:spacing w:line="360" w:lineRule="auto"/>
        <w:jc w:val="center"/>
        <w:outlineLvl w:val="0"/>
        <w:rPr>
          <w:rFonts w:ascii="黑体" w:hAnsi="黑体" w:eastAsia="黑体" w:cs="黑体"/>
          <w:bCs/>
          <w:color w:val="auto"/>
          <w:sz w:val="32"/>
          <w:szCs w:val="32"/>
          <w:highlight w:val="none"/>
        </w:rPr>
      </w:pPr>
      <w:bookmarkStart w:id="5002" w:name="_Toc2198"/>
      <w:bookmarkStart w:id="5003" w:name="_Toc10843"/>
      <w:bookmarkStart w:id="5004" w:name="_Toc5243"/>
      <w:bookmarkStart w:id="5005" w:name="_Toc27494"/>
      <w:bookmarkStart w:id="5006" w:name="_Toc28685"/>
      <w:bookmarkStart w:id="5007" w:name="_Toc25330"/>
      <w:r>
        <w:rPr>
          <w:rFonts w:hint="eastAsia" w:ascii="黑体" w:hAnsi="黑体" w:eastAsia="黑体" w:cs="黑体"/>
          <w:bCs/>
          <w:color w:val="auto"/>
          <w:sz w:val="32"/>
          <w:szCs w:val="32"/>
          <w:highlight w:val="none"/>
        </w:rPr>
        <w:t>第八章  工程量清单</w:t>
      </w:r>
      <w:bookmarkEnd w:id="5002"/>
      <w:bookmarkEnd w:id="5003"/>
      <w:bookmarkEnd w:id="5004"/>
      <w:bookmarkEnd w:id="5005"/>
      <w:bookmarkEnd w:id="5006"/>
      <w:bookmarkEnd w:id="5007"/>
    </w:p>
    <w:p w14:paraId="651FA128">
      <w:pPr>
        <w:adjustRightInd w:val="0"/>
        <w:snapToGrid w:val="0"/>
        <w:spacing w:line="360" w:lineRule="auto"/>
        <w:jc w:val="center"/>
        <w:outlineLvl w:val="1"/>
        <w:rPr>
          <w:rFonts w:ascii="黑体" w:hAnsi="黑体" w:eastAsia="黑体" w:cs="黑体"/>
          <w:bCs/>
          <w:color w:val="auto"/>
          <w:sz w:val="32"/>
          <w:szCs w:val="32"/>
          <w:highlight w:val="none"/>
        </w:rPr>
      </w:pPr>
      <w:bookmarkStart w:id="5008" w:name="_Toc3891"/>
      <w:bookmarkStart w:id="5009" w:name="_Toc32656"/>
      <w:bookmarkStart w:id="5010" w:name="_Toc9301"/>
      <w:bookmarkStart w:id="5011" w:name="_Toc30457"/>
      <w:bookmarkStart w:id="5012" w:name="_Toc2822"/>
      <w:bookmarkStart w:id="5013" w:name="_Toc16720"/>
      <w:r>
        <w:rPr>
          <w:rFonts w:hint="eastAsia" w:ascii="黑体" w:hAnsi="黑体" w:eastAsia="黑体" w:cs="黑体"/>
          <w:bCs/>
          <w:color w:val="auto"/>
          <w:sz w:val="32"/>
          <w:szCs w:val="32"/>
          <w:highlight w:val="none"/>
        </w:rPr>
        <w:t>一、工程量清单的说明及投标报价要求</w:t>
      </w:r>
      <w:bookmarkEnd w:id="5008"/>
      <w:bookmarkEnd w:id="5009"/>
      <w:bookmarkEnd w:id="5010"/>
      <w:bookmarkEnd w:id="5011"/>
      <w:bookmarkEnd w:id="5012"/>
      <w:bookmarkEnd w:id="5013"/>
    </w:p>
    <w:p w14:paraId="64830D1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1.工程量清单应与投标须知、合同条件、工程建设标准及技术要求和图纸等文件结合起来理解或解释。</w:t>
      </w:r>
    </w:p>
    <w:p w14:paraId="1D41F15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2.按照《计价规程》、《13清单计价规范》的规定，“工程量清单格式”组成和主要内容如下：</w:t>
      </w:r>
    </w:p>
    <w:p w14:paraId="3B10400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(1)清单封面；</w:t>
      </w:r>
    </w:p>
    <w:p w14:paraId="020C1D3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总说明：应包括工程概况（建设规模、工程招标范围、工程特征、自然地理条件）、工期要求、环境保护要求、工程质量、材料、施工的特殊要求、暂列金额、专业工程暂估价及优质优价奖励费情况、工程清单编制依据等；</w:t>
      </w:r>
    </w:p>
    <w:p w14:paraId="335AB33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(3)工程项目/单项工程汇总表：指本次招标的工程项目所包含的单项工程及每个单项工程所包含的单位工程的汇总，只有一个单位工程时只填写单项工程汇总表。</w:t>
      </w:r>
    </w:p>
    <w:p w14:paraId="132143E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(4)分部分项工程量清单；</w:t>
      </w:r>
    </w:p>
    <w:p w14:paraId="39089FF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(5)措施项目清单汇总表；</w:t>
      </w:r>
    </w:p>
    <w:p w14:paraId="2485B69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(6)措施项目清单（一）：指按分部分项工程量清单的方式采用综合单价计价的措施项目；</w:t>
      </w:r>
    </w:p>
    <w:p w14:paraId="077DEEA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(7)其他项目清单汇总表；</w:t>
      </w:r>
    </w:p>
    <w:p w14:paraId="7B2AA16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(8)材料设备暂估价表；</w:t>
      </w:r>
    </w:p>
    <w:p w14:paraId="37E61B9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(9)计日工表；</w:t>
      </w:r>
    </w:p>
    <w:p w14:paraId="666C58F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(10)总承包服务费表；</w:t>
      </w:r>
    </w:p>
    <w:p w14:paraId="61EF58E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(11)发包人供应材料设备明细表：指招标人计划自行采购的材料设备的数量价格等情况。</w:t>
      </w:r>
    </w:p>
    <w:p w14:paraId="255CEC7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(12)规费、税金项目清单；</w:t>
      </w:r>
    </w:p>
    <w:p w14:paraId="59936C6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(13)暂列金额明细表；</w:t>
      </w:r>
    </w:p>
    <w:p w14:paraId="03198ED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(14)工程建设其他费：指招标人要求投标人完成的工程建设其他费项目。</w:t>
      </w:r>
    </w:p>
    <w:p w14:paraId="3FA8DA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(15)设备及工器具购置费：指招标工程中包含的不计算营业税的设备名称、规格、数量等情况。</w:t>
      </w:r>
    </w:p>
    <w:p w14:paraId="505C72B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3.本工程量清单是根据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（设计院名称）设计的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（工程项目名称）图号为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的设计文件编制的。</w:t>
      </w:r>
    </w:p>
    <w:p w14:paraId="43454CA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4.本工程要求采用的工程量计算规则，应作为本工程招投标双方进行工程招投标和结算计量、计价的共同依据。</w:t>
      </w:r>
    </w:p>
    <w:p w14:paraId="49C17EB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5.本工程要求采用的工程量计算规则是《13清单计价规范》及《13清单计价规范》补充规范（深圳2013）。</w:t>
      </w:r>
    </w:p>
    <w:p w14:paraId="3086864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6.对“分部分项工程量清单”的说明和报价要求：</w:t>
      </w:r>
    </w:p>
    <w:p w14:paraId="1C4F39B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清单所列的工程量系招标人的估算，是临时的，是投标人报价的共同基础。不被理解为是对招标人要求工作内容的全部定义，也不能作为投标人应完成的实际工程量。结算时，应以由发、承包双方在合同中约定应予计量且实际完成的工程量确定。</w:t>
      </w:r>
    </w:p>
    <w:p w14:paraId="16274DC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⑵.该清单中所填入的综合单价和合价应包括人工费、材料费、施工机械使用费和企业管理费与利润，以及一定范围内的风险费用。招标人计划自行采购的材料设备单价不计入综合单价报价中。</w:t>
      </w:r>
    </w:p>
    <w:p w14:paraId="0740264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⑶.该清单中的每一单项均需填写综合单价和合价，对没有填写综合单价和合价的项目，其费用视为已包括在清单的其他综合单价或合价之中，同时投标人应清楚地加以说明。</w:t>
      </w:r>
    </w:p>
    <w:p w14:paraId="7853355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⑷.该清单中不再重复或概括工程及材料的一般说明，在编制和填写工程量清单的每一项的综合单价和合价时应参考投标须知和合同条件的有关条款。</w:t>
      </w:r>
    </w:p>
    <w:p w14:paraId="35D5A59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⑸.针对该清单，要求投标人报价时提供“工程量清单综合单价分析表”。</w:t>
      </w:r>
    </w:p>
    <w:p w14:paraId="1A76B36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7.对“措施项目清单”的说明和报价要求：</w:t>
      </w:r>
    </w:p>
    <w:p w14:paraId="10AA7FC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⑴.该清单所列项目是招标人根据一般情况估计的项目，投标人实际措施项目不同的，可以对具体列项内容进行调整或补充。增补的内容列在措施项目清单“其他”项目中。</w:t>
      </w:r>
    </w:p>
    <w:p w14:paraId="39B9A93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⑵.该清单中以“项”为单位的措施项目，投标人填报的价格应包括除规费、税金外的全部费用。</w:t>
      </w:r>
    </w:p>
    <w:p w14:paraId="1C458B8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措施项目中可以计算工程量的项目，投标人应根据招标人在“措施项目清单（一）”提供的工程量填报综合单价和合价。该清单所列的工程量系招标人的估算，是临时的，是投标人报价的共同基础。不被理解为是对招标人要求工作内容的全部定义，也不能作为投标人应完成的实际工程量。所填入的综合单价和合价应包括人工费、材料费、施工机械使用费和企业管理费与利润，以及一定范围内的风险费用。</w:t>
      </w:r>
    </w:p>
    <w:p w14:paraId="4D7A91E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⑶.针对该清单，要求投标人报价时提供“措施项目清单与计价表（二）”。</w:t>
      </w:r>
    </w:p>
    <w:p w14:paraId="4239799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该清单中列入了“安全文明施工措施费”，该费用包括临时设施费、安全施工费、文明施工费、环境保护费。编制招标控制价时，招标人将按《〈建设工程工程清单计价规范〉补充规范（深圳2013）》中安全文明施工措施费详细清单所列基本项目和现行《深圳市建设工程计价费率标准》中的费率确定“安全文明施工措施费”费用，计入招标控制价，并在公布招标控制价时明确该项费用的具体金额，作为非竞争性费用。不编制招标控制价时，招标人按现行《深圳市建设工程计价费率标准》中的费率确定“安全文明施工措施费”费用。</w:t>
      </w:r>
    </w:p>
    <w:p w14:paraId="2D83E1A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当按照本招标文件的规定，在《〈建设工程工程清单计价规范〉补充规范（深圳2013）》中“安全文明施工措施费详细清单”所列基本项目基础上，结合工程实际及施工组织设计或施工方案，补充所需的特定安全文明施工措施项目，编制“安全文明施工措施费详细清单”，列出项目编码、项目名称、项目特征、计量单位和工程量，填报综合单价，并将该表合价合计金额计入投标总价。</w:t>
      </w:r>
    </w:p>
    <w:p w14:paraId="1600DD3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⑸.计划施工总工期相比按《深圳市建设工程施工工期标准》计算所得标准工期压缩超过30%时，该清单中列入“夜间施工费和赶工措施费”，该费用为工期压缩导致施工投入增加的补偿。编制招标控制价时，招标人将按现行的《深圳市建设工程计价费率标准》中的费率确定“夜间施工费和赶工措施费”费用，计入招标控制价。</w:t>
      </w:r>
    </w:p>
    <w:p w14:paraId="48E2E55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投标人应当按照本招标文件的规定，结合自身实际及施工组织设计或施工方案，确定投标工期，自主填报夜间施工费和赶工措施费，并计入投标总价。</w:t>
      </w:r>
    </w:p>
    <w:p w14:paraId="6DE6322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8.对“其他项目清单”的说明和报价要求：</w:t>
      </w:r>
    </w:p>
    <w:p w14:paraId="03E432D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材料设备暂估价指招标人提供的用于支付必然发生但暂时不能确定价格的材料、设备的清单。投标时，投标人应将材料设备的暂估单价计入分部分项工程量清单综合单价报价中。结算时，按发、承包双方最终确认的价格调整价差，价差部分不计利润。</w:t>
      </w:r>
    </w:p>
    <w:p w14:paraId="2A179EE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(2)计日工指招标人提出的施工图纸以外的零星项目或工作。投标时，投标人应根据招标人提出的计日工表的要求自主确定综合单价，计算汇总后计入其他项目清单汇总表。</w:t>
      </w:r>
    </w:p>
    <w:p w14:paraId="7F6AB97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总承包服务费包括分包管理费、总分包配合费、发包人供应材料设备保管费。投标时，投标人根据招标人提出的分包专业工程内容和供应材料、设备情况，按照招标人提出的协调、配合与服务内容和施工现场管理需要，自主确定总承包服务费各项目费率。其中分包管理费和总分包配合费以分包工程合同造价为计算基数；发包人供应材料设备保管费应根据“发包人供应材料设备明细表”中合计金额为计算基数。</w:t>
      </w:r>
    </w:p>
    <w:p w14:paraId="5B7C59F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9.工程量清单作为本招标文件的组成部分，其准确性和完整性由招标人负责。如发现招标人提供的工程量清单的项目及工程量与图纸实际不符时，除招标文件另有要求外，投标人应在截标前</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天向招标人提出，招标人应进行复核并用书面发出修正，分送所有投标人。如招标人没有做出修正，投标人仍应按原提供的项目及工程量报价。</w:t>
      </w:r>
    </w:p>
    <w:p w14:paraId="14ABD2D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10.所有报价应以本招标文件投标须知前附表约定的币种表示。</w:t>
      </w:r>
    </w:p>
    <w:p w14:paraId="67DA669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11.特别提示：</w:t>
      </w:r>
    </w:p>
    <w:p w14:paraId="486F46D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*规费税金项目应按国家和深圳市法律法规计算，作为非竞争性费用。</w:t>
      </w:r>
    </w:p>
    <w:p w14:paraId="44CFA61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暂列金额是招标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投标时，投标人按照招标人提供的“暂列金额明细表”中所列项目和金额填报，不得修改，且计入投标总价。</w:t>
      </w:r>
    </w:p>
    <w:p w14:paraId="337782E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*专业工程暂估价是招标人提供的用于支付必然发生但暂时不能确定的专业工程金额。投标人按招标人所列金额填报并计入投标总价。</w:t>
      </w:r>
    </w:p>
    <w:p w14:paraId="6BC4B42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*为鼓励承包人提供优质服务、建设优质工程，本招标工程设置优质优价奖励费。招标人按照本招标文件对优质优价工程的评价与奖励标准计算优质优质奖励费。投标时，投标人按招标人列出的金额填写。</w:t>
      </w:r>
    </w:p>
    <w:p w14:paraId="71127C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*投标人按本招标文件要求和招标人提供的工程建设其他费项目内容填报价格。工程建设其他费不作为规费、税金的计算基数，结算时，发、承包双方依据合同约定确定。</w:t>
      </w:r>
    </w:p>
    <w:p w14:paraId="4227758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*投标人按招标人提供的“设备及工器具购置费表”中所列设备名称、型号规格、单位和数量填报价格。设备及工器具购置费不作为规费、税金的计算基数，结算时，发、承包双方依据合同约定计算。</w:t>
      </w:r>
    </w:p>
    <w:p w14:paraId="11BE83D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12.投标人在投标文件中列明的工程机械、装卸机械应满足国家现阶段非道路移动机械用柴油机排放标准，鼓励使用LNG或电动工程机械、装卸机械。</w:t>
      </w:r>
    </w:p>
    <w:p w14:paraId="0831F4CB">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13.其他。</w:t>
      </w:r>
      <w:r>
        <w:rPr>
          <w:color w:val="auto"/>
          <w:highlight w:val="none"/>
        </w:rPr>
        <w:br w:type="page"/>
      </w:r>
    </w:p>
    <w:p w14:paraId="747057CB">
      <w:pPr>
        <w:adjustRightInd w:val="0"/>
        <w:snapToGrid w:val="0"/>
        <w:spacing w:line="360" w:lineRule="auto"/>
        <w:jc w:val="center"/>
        <w:outlineLvl w:val="1"/>
        <w:rPr>
          <w:rFonts w:ascii="黑体" w:hAnsi="黑体" w:eastAsia="黑体" w:cs="黑体"/>
          <w:bCs/>
          <w:color w:val="auto"/>
          <w:sz w:val="32"/>
          <w:szCs w:val="32"/>
          <w:highlight w:val="none"/>
        </w:rPr>
      </w:pPr>
      <w:bookmarkStart w:id="5014" w:name="_Toc11872"/>
      <w:bookmarkStart w:id="5015" w:name="_Toc18054"/>
      <w:bookmarkStart w:id="5016" w:name="_Toc7121"/>
      <w:bookmarkStart w:id="5017" w:name="_Toc27364"/>
      <w:bookmarkStart w:id="5018" w:name="_Toc27190"/>
      <w:bookmarkStart w:id="5019" w:name="_Toc30770"/>
      <w:r>
        <w:rPr>
          <w:rFonts w:hint="eastAsia" w:ascii="黑体" w:hAnsi="黑体" w:eastAsia="黑体" w:cs="黑体"/>
          <w:bCs/>
          <w:color w:val="auto"/>
          <w:sz w:val="32"/>
          <w:szCs w:val="32"/>
          <w:highlight w:val="none"/>
        </w:rPr>
        <w:t>二、工程量清单格式</w:t>
      </w:r>
      <w:bookmarkEnd w:id="5014"/>
      <w:bookmarkEnd w:id="5015"/>
      <w:bookmarkEnd w:id="5016"/>
      <w:bookmarkEnd w:id="5017"/>
      <w:bookmarkEnd w:id="5018"/>
      <w:bookmarkEnd w:id="5019"/>
    </w:p>
    <w:p w14:paraId="2B082E77">
      <w:pPr>
        <w:adjustRightInd w:val="0"/>
        <w:snapToGrid w:val="0"/>
        <w:spacing w:line="360" w:lineRule="auto"/>
        <w:rPr>
          <w:color w:val="auto"/>
          <w:sz w:val="30"/>
          <w:szCs w:val="30"/>
          <w:highlight w:val="none"/>
        </w:rPr>
      </w:pPr>
    </w:p>
    <w:tbl>
      <w:tblPr>
        <w:tblStyle w:val="41"/>
        <w:tblW w:w="92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6"/>
        <w:gridCol w:w="3191"/>
        <w:gridCol w:w="1631"/>
        <w:gridCol w:w="2891"/>
      </w:tblGrid>
      <w:tr w14:paraId="420BE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2E8F3FBB">
            <w:pPr>
              <w:adjustRightInd w:val="0"/>
              <w:snapToGrid w:val="0"/>
              <w:spacing w:line="360" w:lineRule="auto"/>
              <w:jc w:val="center"/>
              <w:rPr>
                <w:rFonts w:ascii="Times New Roman" w:hAnsi="Times New Roman" w:eastAsia="宋体" w:cs="Times New Roman"/>
                <w:b/>
                <w:bCs/>
                <w:color w:val="auto"/>
                <w:kern w:val="0"/>
                <w:sz w:val="20"/>
                <w:szCs w:val="20"/>
                <w:highlight w:val="none"/>
                <w:u w:val="single"/>
              </w:rPr>
            </w:pPr>
            <w:r>
              <w:rPr>
                <w:rFonts w:ascii="Times New Roman" w:hAnsi="Times New Roman" w:eastAsia="宋体" w:cs="Times New Roman"/>
                <w:b/>
                <w:bCs/>
                <w:color w:val="auto"/>
                <w:kern w:val="0"/>
                <w:sz w:val="20"/>
                <w:szCs w:val="20"/>
                <w:highlight w:val="none"/>
                <w:u w:val="single"/>
              </w:rPr>
              <w:t>__________________________________</w:t>
            </w:r>
            <w:r>
              <w:rPr>
                <w:rFonts w:hint="eastAsia" w:ascii="Times New Roman" w:hAnsi="Times New Roman" w:eastAsia="宋体" w:cs="Times New Roman"/>
                <w:b/>
                <w:bCs/>
                <w:color w:val="auto"/>
                <w:kern w:val="0"/>
                <w:sz w:val="20"/>
                <w:szCs w:val="20"/>
                <w:highlight w:val="none"/>
              </w:rPr>
              <w:t>工程</w:t>
            </w:r>
          </w:p>
        </w:tc>
      </w:tr>
      <w:tr w14:paraId="36FF9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618F31E1">
            <w:pPr>
              <w:adjustRightInd w:val="0"/>
              <w:snapToGrid w:val="0"/>
              <w:spacing w:line="360" w:lineRule="auto"/>
              <w:jc w:val="center"/>
              <w:rPr>
                <w:rFonts w:ascii="Times New Roman" w:hAnsi="Times New Roman" w:eastAsia="宋体" w:cs="Times New Roman"/>
                <w:b/>
                <w:bCs/>
                <w:color w:val="auto"/>
                <w:kern w:val="0"/>
                <w:sz w:val="20"/>
                <w:szCs w:val="20"/>
                <w:highlight w:val="none"/>
              </w:rPr>
            </w:pPr>
          </w:p>
        </w:tc>
      </w:tr>
      <w:tr w14:paraId="62997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3F59E30B">
            <w:pPr>
              <w:adjustRightInd w:val="0"/>
              <w:snapToGrid w:val="0"/>
              <w:spacing w:line="360" w:lineRule="auto"/>
              <w:jc w:val="center"/>
              <w:rPr>
                <w:rFonts w:ascii="Times New Roman" w:hAnsi="Times New Roman" w:eastAsia="宋体" w:cs="Times New Roman"/>
                <w:b/>
                <w:bCs/>
                <w:color w:val="auto"/>
                <w:kern w:val="0"/>
                <w:sz w:val="32"/>
                <w:szCs w:val="32"/>
                <w:highlight w:val="none"/>
              </w:rPr>
            </w:pPr>
            <w:r>
              <w:rPr>
                <w:rFonts w:hint="eastAsia" w:ascii="Times New Roman" w:hAnsi="Times New Roman" w:eastAsia="宋体" w:cs="Times New Roman"/>
                <w:b/>
                <w:bCs/>
                <w:color w:val="auto"/>
                <w:kern w:val="0"/>
                <w:sz w:val="32"/>
                <w:szCs w:val="32"/>
                <w:highlight w:val="none"/>
              </w:rPr>
              <w:t>工  程  量  清  单</w:t>
            </w:r>
          </w:p>
        </w:tc>
      </w:tr>
      <w:tr w14:paraId="437C7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024B34A0">
            <w:pPr>
              <w:adjustRightInd w:val="0"/>
              <w:snapToGrid w:val="0"/>
              <w:spacing w:line="360" w:lineRule="auto"/>
              <w:jc w:val="left"/>
              <w:rPr>
                <w:rFonts w:ascii="Times New Roman" w:hAnsi="Times New Roman" w:eastAsia="宋体" w:cs="Times New Roman"/>
                <w:color w:val="auto"/>
                <w:kern w:val="0"/>
                <w:sz w:val="20"/>
                <w:szCs w:val="20"/>
                <w:highlight w:val="none"/>
              </w:rPr>
            </w:pPr>
          </w:p>
        </w:tc>
      </w:tr>
      <w:tr w14:paraId="68BD7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2A6EE658">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3191" w:type="dxa"/>
            <w:shd w:val="clear" w:color="auto" w:fill="auto"/>
            <w:vAlign w:val="center"/>
          </w:tcPr>
          <w:p w14:paraId="20CEB5A3">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1631" w:type="dxa"/>
            <w:shd w:val="clear" w:color="auto" w:fill="auto"/>
            <w:vAlign w:val="center"/>
          </w:tcPr>
          <w:p w14:paraId="565BBAE9">
            <w:pPr>
              <w:adjustRightInd w:val="0"/>
              <w:snapToGrid w:val="0"/>
              <w:spacing w:line="360" w:lineRule="auto"/>
              <w:ind w:firstLine="200" w:firstLineChars="100"/>
              <w:jc w:val="lef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工 程 造 价</w:t>
            </w:r>
          </w:p>
        </w:tc>
        <w:tc>
          <w:tcPr>
            <w:tcW w:w="2891" w:type="dxa"/>
            <w:shd w:val="clear" w:color="auto" w:fill="auto"/>
            <w:vAlign w:val="center"/>
          </w:tcPr>
          <w:p w14:paraId="247DFE8E">
            <w:pPr>
              <w:adjustRightInd w:val="0"/>
              <w:snapToGrid w:val="0"/>
              <w:spacing w:line="360" w:lineRule="auto"/>
              <w:jc w:val="left"/>
              <w:rPr>
                <w:rFonts w:ascii="Times New Roman" w:hAnsi="Times New Roman" w:eastAsia="宋体" w:cs="Times New Roman"/>
                <w:color w:val="auto"/>
                <w:kern w:val="0"/>
                <w:sz w:val="20"/>
                <w:szCs w:val="21"/>
                <w:highlight w:val="none"/>
              </w:rPr>
            </w:pPr>
          </w:p>
        </w:tc>
      </w:tr>
      <w:tr w14:paraId="5EFF0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5C7273E7">
            <w:pPr>
              <w:adjustRightInd w:val="0"/>
              <w:snapToGrid w:val="0"/>
              <w:spacing w:line="360" w:lineRule="auto"/>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招  标  人：</w:t>
            </w:r>
          </w:p>
        </w:tc>
        <w:tc>
          <w:tcPr>
            <w:tcW w:w="3191" w:type="dxa"/>
            <w:shd w:val="clear" w:color="auto" w:fill="auto"/>
            <w:vAlign w:val="center"/>
          </w:tcPr>
          <w:p w14:paraId="38D5523C">
            <w:pPr>
              <w:adjustRightInd w:val="0"/>
              <w:snapToGrid w:val="0"/>
              <w:spacing w:line="360" w:lineRule="auto"/>
              <w:jc w:val="center"/>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c>
          <w:tcPr>
            <w:tcW w:w="1631" w:type="dxa"/>
            <w:shd w:val="clear" w:color="auto" w:fill="auto"/>
            <w:vAlign w:val="center"/>
          </w:tcPr>
          <w:p w14:paraId="2549470C">
            <w:pPr>
              <w:adjustRightInd w:val="0"/>
              <w:snapToGrid w:val="0"/>
              <w:spacing w:line="360" w:lineRule="auto"/>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咨  询  人：</w:t>
            </w:r>
          </w:p>
        </w:tc>
        <w:tc>
          <w:tcPr>
            <w:tcW w:w="2891" w:type="dxa"/>
            <w:shd w:val="clear" w:color="auto" w:fill="auto"/>
            <w:vAlign w:val="center"/>
          </w:tcPr>
          <w:p w14:paraId="1AB3A5BB">
            <w:pPr>
              <w:adjustRightInd w:val="0"/>
              <w:snapToGrid w:val="0"/>
              <w:spacing w:line="360" w:lineRule="auto"/>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r>
      <w:tr w14:paraId="177B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389AD828">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3191" w:type="dxa"/>
            <w:shd w:val="clear" w:color="auto" w:fill="auto"/>
            <w:vAlign w:val="center"/>
          </w:tcPr>
          <w:p w14:paraId="5FAEB829">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15"/>
                <w:szCs w:val="15"/>
                <w:highlight w:val="none"/>
              </w:rPr>
              <w:t>（单位盖章）</w:t>
            </w:r>
          </w:p>
        </w:tc>
        <w:tc>
          <w:tcPr>
            <w:tcW w:w="1631" w:type="dxa"/>
            <w:shd w:val="clear" w:color="auto" w:fill="auto"/>
            <w:vAlign w:val="center"/>
          </w:tcPr>
          <w:p w14:paraId="63F480E3">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2891" w:type="dxa"/>
            <w:shd w:val="clear" w:color="auto" w:fill="auto"/>
            <w:vAlign w:val="center"/>
          </w:tcPr>
          <w:p w14:paraId="0B03CE98">
            <w:pPr>
              <w:adjustRightInd w:val="0"/>
              <w:snapToGrid w:val="0"/>
              <w:spacing w:line="360" w:lineRule="auto"/>
              <w:jc w:val="center"/>
              <w:rPr>
                <w:rFonts w:ascii="Times New Roman" w:hAnsi="Times New Roman" w:eastAsia="宋体" w:cs="Times New Roman"/>
                <w:color w:val="auto"/>
                <w:kern w:val="0"/>
                <w:sz w:val="15"/>
                <w:szCs w:val="15"/>
                <w:highlight w:val="none"/>
              </w:rPr>
            </w:pPr>
            <w:r>
              <w:rPr>
                <w:rFonts w:hint="eastAsia" w:ascii="Times New Roman" w:hAnsi="Times New Roman" w:eastAsia="宋体" w:cs="Times New Roman"/>
                <w:color w:val="auto"/>
                <w:kern w:val="0"/>
                <w:sz w:val="15"/>
                <w:szCs w:val="15"/>
                <w:highlight w:val="none"/>
              </w:rPr>
              <w:t>（单位公章及资质专用章）</w:t>
            </w:r>
          </w:p>
        </w:tc>
      </w:tr>
      <w:tr w14:paraId="4D2E9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631AC5CE">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14:paraId="5C3EB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7586FD9B">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法定代表人</w:t>
            </w:r>
          </w:p>
        </w:tc>
        <w:tc>
          <w:tcPr>
            <w:tcW w:w="3191" w:type="dxa"/>
            <w:shd w:val="clear" w:color="auto" w:fill="auto"/>
            <w:vAlign w:val="center"/>
          </w:tcPr>
          <w:p w14:paraId="484CD735">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1631" w:type="dxa"/>
            <w:shd w:val="clear" w:color="auto" w:fill="auto"/>
            <w:vAlign w:val="center"/>
          </w:tcPr>
          <w:p w14:paraId="3775AED7">
            <w:pPr>
              <w:adjustRightInd w:val="0"/>
              <w:snapToGrid w:val="0"/>
              <w:spacing w:line="360" w:lineRule="auto"/>
              <w:ind w:firstLine="100" w:firstLineChars="50"/>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法定代表人</w:t>
            </w:r>
          </w:p>
        </w:tc>
        <w:tc>
          <w:tcPr>
            <w:tcW w:w="2891" w:type="dxa"/>
            <w:shd w:val="clear" w:color="auto" w:fill="auto"/>
            <w:vAlign w:val="center"/>
          </w:tcPr>
          <w:p w14:paraId="2445A1E0">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14:paraId="0DBB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421C3155">
            <w:pPr>
              <w:adjustRightInd w:val="0"/>
              <w:snapToGrid w:val="0"/>
              <w:spacing w:line="360" w:lineRule="auto"/>
              <w:ind w:right="105"/>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或其授权人：</w:t>
            </w:r>
          </w:p>
        </w:tc>
        <w:tc>
          <w:tcPr>
            <w:tcW w:w="3191" w:type="dxa"/>
            <w:shd w:val="clear" w:color="auto" w:fill="auto"/>
            <w:vAlign w:val="center"/>
          </w:tcPr>
          <w:p w14:paraId="02F6E684">
            <w:pPr>
              <w:adjustRightInd w:val="0"/>
              <w:snapToGrid w:val="0"/>
              <w:spacing w:line="360" w:lineRule="auto"/>
              <w:jc w:val="center"/>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c>
          <w:tcPr>
            <w:tcW w:w="1631" w:type="dxa"/>
            <w:shd w:val="clear" w:color="auto" w:fill="auto"/>
            <w:vAlign w:val="center"/>
          </w:tcPr>
          <w:p w14:paraId="5CB17743">
            <w:pPr>
              <w:adjustRightInd w:val="0"/>
              <w:snapToGrid w:val="0"/>
              <w:spacing w:line="360" w:lineRule="auto"/>
              <w:ind w:right="-164" w:rightChars="-78" w:firstLine="100" w:firstLineChars="50"/>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或其授权人：</w:t>
            </w:r>
          </w:p>
        </w:tc>
        <w:tc>
          <w:tcPr>
            <w:tcW w:w="2891" w:type="dxa"/>
            <w:shd w:val="clear" w:color="auto" w:fill="auto"/>
            <w:vAlign w:val="center"/>
          </w:tcPr>
          <w:p w14:paraId="19D226F5">
            <w:pPr>
              <w:adjustRightInd w:val="0"/>
              <w:snapToGrid w:val="0"/>
              <w:spacing w:line="360" w:lineRule="auto"/>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r>
      <w:tr w14:paraId="4A75F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18212623">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3191" w:type="dxa"/>
            <w:shd w:val="clear" w:color="auto" w:fill="auto"/>
            <w:vAlign w:val="center"/>
          </w:tcPr>
          <w:p w14:paraId="4E32DE9A">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15"/>
                <w:szCs w:val="15"/>
                <w:highlight w:val="none"/>
              </w:rPr>
              <w:t>（签字或盖章）</w:t>
            </w:r>
          </w:p>
        </w:tc>
        <w:tc>
          <w:tcPr>
            <w:tcW w:w="1631" w:type="dxa"/>
            <w:shd w:val="clear" w:color="auto" w:fill="auto"/>
            <w:vAlign w:val="center"/>
          </w:tcPr>
          <w:p w14:paraId="31A1846A">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2891" w:type="dxa"/>
            <w:shd w:val="clear" w:color="auto" w:fill="auto"/>
            <w:vAlign w:val="center"/>
          </w:tcPr>
          <w:p w14:paraId="78A94A6B">
            <w:pPr>
              <w:adjustRightInd w:val="0"/>
              <w:snapToGrid w:val="0"/>
              <w:spacing w:line="360" w:lineRule="auto"/>
              <w:jc w:val="center"/>
              <w:rPr>
                <w:rFonts w:ascii="Times New Roman" w:hAnsi="Times New Roman" w:eastAsia="宋体" w:cs="Times New Roman"/>
                <w:color w:val="auto"/>
                <w:kern w:val="0"/>
                <w:sz w:val="15"/>
                <w:szCs w:val="15"/>
                <w:highlight w:val="none"/>
              </w:rPr>
            </w:pPr>
            <w:r>
              <w:rPr>
                <w:rFonts w:hint="eastAsia" w:ascii="Times New Roman" w:hAnsi="Times New Roman" w:eastAsia="宋体" w:cs="Times New Roman"/>
                <w:color w:val="auto"/>
                <w:kern w:val="0"/>
                <w:sz w:val="15"/>
                <w:szCs w:val="15"/>
                <w:highlight w:val="none"/>
              </w:rPr>
              <w:t>（签字或盖章）</w:t>
            </w:r>
          </w:p>
        </w:tc>
      </w:tr>
      <w:tr w14:paraId="1C871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158D124E">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14:paraId="07F32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2136B424">
            <w:pPr>
              <w:adjustRightInd w:val="0"/>
              <w:snapToGrid w:val="0"/>
              <w:spacing w:line="360" w:lineRule="auto"/>
              <w:ind w:right="105"/>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编  制  人：</w:t>
            </w:r>
          </w:p>
        </w:tc>
        <w:tc>
          <w:tcPr>
            <w:tcW w:w="3191" w:type="dxa"/>
            <w:shd w:val="clear" w:color="auto" w:fill="auto"/>
            <w:vAlign w:val="center"/>
          </w:tcPr>
          <w:p w14:paraId="3A585871">
            <w:pPr>
              <w:adjustRightInd w:val="0"/>
              <w:snapToGrid w:val="0"/>
              <w:spacing w:line="360" w:lineRule="auto"/>
              <w:jc w:val="center"/>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c>
          <w:tcPr>
            <w:tcW w:w="1631" w:type="dxa"/>
            <w:shd w:val="clear" w:color="auto" w:fill="auto"/>
            <w:vAlign w:val="center"/>
          </w:tcPr>
          <w:p w14:paraId="3F298E12">
            <w:pPr>
              <w:adjustRightInd w:val="0"/>
              <w:snapToGrid w:val="0"/>
              <w:spacing w:line="360" w:lineRule="auto"/>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复  核  人：</w:t>
            </w:r>
          </w:p>
        </w:tc>
        <w:tc>
          <w:tcPr>
            <w:tcW w:w="2891" w:type="dxa"/>
            <w:shd w:val="clear" w:color="auto" w:fill="auto"/>
            <w:vAlign w:val="center"/>
          </w:tcPr>
          <w:p w14:paraId="7C59F5C0">
            <w:pPr>
              <w:adjustRightInd w:val="0"/>
              <w:snapToGrid w:val="0"/>
              <w:spacing w:line="360" w:lineRule="auto"/>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r>
      <w:tr w14:paraId="5A698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28BC803C">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3191" w:type="dxa"/>
            <w:shd w:val="clear" w:color="auto" w:fill="auto"/>
            <w:vAlign w:val="center"/>
          </w:tcPr>
          <w:p w14:paraId="26C92C2D">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15"/>
                <w:szCs w:val="15"/>
                <w:highlight w:val="none"/>
              </w:rPr>
              <w:t>（造价人员签字盖专用章）</w:t>
            </w:r>
          </w:p>
        </w:tc>
        <w:tc>
          <w:tcPr>
            <w:tcW w:w="1631" w:type="dxa"/>
            <w:shd w:val="clear" w:color="auto" w:fill="auto"/>
            <w:vAlign w:val="center"/>
          </w:tcPr>
          <w:p w14:paraId="1372DBD7">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2891" w:type="dxa"/>
            <w:shd w:val="clear" w:color="auto" w:fill="auto"/>
            <w:vAlign w:val="center"/>
          </w:tcPr>
          <w:p w14:paraId="2EBB4262">
            <w:pPr>
              <w:adjustRightInd w:val="0"/>
              <w:snapToGrid w:val="0"/>
              <w:spacing w:line="360" w:lineRule="auto"/>
              <w:jc w:val="center"/>
              <w:rPr>
                <w:rFonts w:ascii="Times New Roman" w:hAnsi="Times New Roman" w:eastAsia="宋体" w:cs="Times New Roman"/>
                <w:color w:val="auto"/>
                <w:kern w:val="0"/>
                <w:sz w:val="15"/>
                <w:szCs w:val="15"/>
                <w:highlight w:val="none"/>
              </w:rPr>
            </w:pPr>
            <w:r>
              <w:rPr>
                <w:rFonts w:hint="eastAsia" w:ascii="Times New Roman" w:hAnsi="Times New Roman" w:eastAsia="宋体" w:cs="Times New Roman"/>
                <w:color w:val="auto"/>
                <w:kern w:val="0"/>
                <w:sz w:val="15"/>
                <w:szCs w:val="15"/>
                <w:highlight w:val="none"/>
              </w:rPr>
              <w:t>（造价工程师签字盖专用章）</w:t>
            </w:r>
          </w:p>
        </w:tc>
      </w:tr>
      <w:tr w14:paraId="75191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14:paraId="7C41342E">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14:paraId="02239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14:paraId="1D1B9895">
            <w:pPr>
              <w:adjustRightInd w:val="0"/>
              <w:snapToGrid w:val="0"/>
              <w:spacing w:line="360" w:lineRule="auto"/>
              <w:ind w:right="-212" w:rightChars="-101"/>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编 制 时 间：</w:t>
            </w:r>
          </w:p>
        </w:tc>
        <w:tc>
          <w:tcPr>
            <w:tcW w:w="3191" w:type="dxa"/>
            <w:shd w:val="clear" w:color="auto" w:fill="auto"/>
            <w:vAlign w:val="center"/>
          </w:tcPr>
          <w:p w14:paraId="57A6AF35">
            <w:pPr>
              <w:adjustRightInd w:val="0"/>
              <w:snapToGrid w:val="0"/>
              <w:spacing w:line="360" w:lineRule="auto"/>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 xml:space="preserve">        年     月     日</w:t>
            </w:r>
          </w:p>
        </w:tc>
        <w:tc>
          <w:tcPr>
            <w:tcW w:w="1631" w:type="dxa"/>
            <w:shd w:val="clear" w:color="auto" w:fill="auto"/>
            <w:vAlign w:val="center"/>
          </w:tcPr>
          <w:p w14:paraId="0A554DB9">
            <w:pPr>
              <w:adjustRightInd w:val="0"/>
              <w:snapToGrid w:val="0"/>
              <w:spacing w:line="360" w:lineRule="auto"/>
              <w:ind w:right="-88" w:rightChars="-42"/>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复 核 时 间：</w:t>
            </w:r>
          </w:p>
        </w:tc>
        <w:tc>
          <w:tcPr>
            <w:tcW w:w="2891" w:type="dxa"/>
            <w:shd w:val="clear" w:color="auto" w:fill="auto"/>
            <w:vAlign w:val="center"/>
          </w:tcPr>
          <w:p w14:paraId="6ED95F58">
            <w:pPr>
              <w:adjustRightInd w:val="0"/>
              <w:snapToGrid w:val="0"/>
              <w:spacing w:line="360" w:lineRule="auto"/>
              <w:jc w:val="lef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 xml:space="preserve">        年     月     日</w:t>
            </w:r>
          </w:p>
        </w:tc>
      </w:tr>
    </w:tbl>
    <w:p w14:paraId="1959E9BB">
      <w:pPr>
        <w:spacing w:line="20" w:lineRule="exact"/>
        <w:rPr>
          <w:color w:val="auto"/>
          <w:highlight w:val="none"/>
        </w:rPr>
      </w:pPr>
      <w:r>
        <w:rPr>
          <w:color w:val="auto"/>
          <w:highlight w:val="none"/>
        </w:rPr>
        <w:br w:type="page"/>
      </w:r>
    </w:p>
    <w:p w14:paraId="07E54061">
      <w:pPr>
        <w:adjustRightInd w:val="0"/>
        <w:snapToGrid w:val="0"/>
        <w:spacing w:line="360" w:lineRule="auto"/>
        <w:rPr>
          <w:color w:val="auto"/>
          <w:sz w:val="30"/>
          <w:szCs w:val="30"/>
          <w:highlight w:val="none"/>
        </w:rPr>
      </w:pPr>
    </w:p>
    <w:p w14:paraId="4E0ABDFA">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总   说   明</w:t>
      </w:r>
    </w:p>
    <w:p w14:paraId="7C609570">
      <w:pPr>
        <w:adjustRightInd w:val="0"/>
        <w:snapToGrid w:val="0"/>
        <w:spacing w:line="360" w:lineRule="auto"/>
        <w:rPr>
          <w:rFonts w:ascii="宋体" w:hAnsi="宋体" w:eastAsia="宋体" w:cs="宋体"/>
          <w:color w:val="auto"/>
          <w:sz w:val="30"/>
          <w:szCs w:val="30"/>
          <w:highlight w:val="none"/>
        </w:rPr>
      </w:pPr>
      <w:r>
        <w:rPr>
          <w:rFonts w:hint="eastAsia" w:ascii="宋体" w:hAnsi="宋体" w:eastAsia="宋体" w:cs="宋体"/>
          <w:color w:val="auto"/>
          <w:szCs w:val="21"/>
          <w:highlight w:val="none"/>
        </w:rPr>
        <w:t>工程名称：                                                               第  页 共  页</w:t>
      </w:r>
    </w:p>
    <w:tbl>
      <w:tblPr>
        <w:tblStyle w:val="41"/>
        <w:tblW w:w="8936" w:type="dxa"/>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8936"/>
      </w:tblGrid>
      <w:tr w14:paraId="7F660973">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510" w:hRule="atLeast"/>
          <w:jc w:val="center"/>
        </w:trPr>
        <w:tc>
          <w:tcPr>
            <w:tcW w:w="8936" w:type="dxa"/>
            <w:shd w:val="clear" w:color="auto" w:fill="auto"/>
            <w:vAlign w:val="center"/>
          </w:tcPr>
          <w:p w14:paraId="6CAFB276">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1C2C883F">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2D3FDBCB">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4FD594DF">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29D0E558">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2B4C0557">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65792640">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1E181F1E">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6B291433">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7E99BA00">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421B324B">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471A7689">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0D0BAE38">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025F1CD2">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0F9B3A2B">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7DAE784D">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28D6FDE0">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036208F8">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324111F5">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1C2865B8">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436005B7">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7DA55C66">
            <w:pPr>
              <w:adjustRightInd w:val="0"/>
              <w:snapToGrid w:val="0"/>
              <w:spacing w:line="360" w:lineRule="auto"/>
              <w:jc w:val="left"/>
              <w:rPr>
                <w:rFonts w:ascii="Times New Roman" w:hAnsi="Times New Roman" w:eastAsia="宋体" w:cs="Times New Roman"/>
                <w:color w:val="auto"/>
                <w:kern w:val="0"/>
                <w:sz w:val="20"/>
                <w:szCs w:val="20"/>
                <w:highlight w:val="none"/>
              </w:rPr>
            </w:pPr>
          </w:p>
          <w:p w14:paraId="1F18748D">
            <w:pPr>
              <w:adjustRightInd w:val="0"/>
              <w:snapToGrid w:val="0"/>
              <w:spacing w:line="360" w:lineRule="auto"/>
              <w:jc w:val="left"/>
              <w:rPr>
                <w:rFonts w:ascii="Times New Roman" w:hAnsi="Times New Roman" w:eastAsia="宋体" w:cs="Times New Roman"/>
                <w:color w:val="auto"/>
                <w:kern w:val="0"/>
                <w:sz w:val="20"/>
                <w:szCs w:val="20"/>
                <w:highlight w:val="none"/>
              </w:rPr>
            </w:pPr>
          </w:p>
        </w:tc>
      </w:tr>
    </w:tbl>
    <w:p w14:paraId="28EA9F01">
      <w:pPr>
        <w:spacing w:line="20" w:lineRule="exact"/>
        <w:rPr>
          <w:color w:val="auto"/>
          <w:highlight w:val="none"/>
        </w:rPr>
      </w:pPr>
      <w:r>
        <w:rPr>
          <w:color w:val="auto"/>
          <w:highlight w:val="none"/>
        </w:rPr>
        <w:br w:type="page"/>
      </w:r>
    </w:p>
    <w:p w14:paraId="6D68A010">
      <w:pPr>
        <w:rPr>
          <w:color w:val="auto"/>
          <w:highlight w:val="none"/>
        </w:rPr>
      </w:pPr>
    </w:p>
    <w:p w14:paraId="1137DD6F">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分部分项工程量清单</w:t>
      </w:r>
    </w:p>
    <w:p w14:paraId="465D699A">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135"/>
        <w:gridCol w:w="1275"/>
        <w:gridCol w:w="2112"/>
        <w:gridCol w:w="1151"/>
        <w:gridCol w:w="1558"/>
        <w:gridCol w:w="1087"/>
      </w:tblGrid>
      <w:tr w14:paraId="3832D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4653696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135" w:type="dxa"/>
            <w:shd w:val="clear" w:color="auto" w:fill="auto"/>
            <w:vAlign w:val="center"/>
          </w:tcPr>
          <w:p w14:paraId="03E6BF4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项目编码</w:t>
            </w:r>
          </w:p>
        </w:tc>
        <w:tc>
          <w:tcPr>
            <w:tcW w:w="1275" w:type="dxa"/>
            <w:shd w:val="clear" w:color="auto" w:fill="auto"/>
            <w:vAlign w:val="center"/>
          </w:tcPr>
          <w:p w14:paraId="4552BB5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2112" w:type="dxa"/>
            <w:shd w:val="clear" w:color="auto" w:fill="auto"/>
            <w:vAlign w:val="center"/>
          </w:tcPr>
          <w:p w14:paraId="1BA6CA7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项目特征描述</w:t>
            </w:r>
          </w:p>
        </w:tc>
        <w:tc>
          <w:tcPr>
            <w:tcW w:w="1151" w:type="dxa"/>
            <w:shd w:val="clear" w:color="auto" w:fill="auto"/>
            <w:vAlign w:val="center"/>
          </w:tcPr>
          <w:p w14:paraId="0049E65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计量单位</w:t>
            </w:r>
          </w:p>
        </w:tc>
        <w:tc>
          <w:tcPr>
            <w:tcW w:w="1558" w:type="dxa"/>
            <w:shd w:val="clear" w:color="auto" w:fill="auto"/>
            <w:vAlign w:val="center"/>
          </w:tcPr>
          <w:p w14:paraId="78D43E3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w:t>
            </w:r>
          </w:p>
        </w:tc>
        <w:tc>
          <w:tcPr>
            <w:tcW w:w="1087" w:type="dxa"/>
            <w:shd w:val="clear" w:color="auto" w:fill="auto"/>
            <w:vAlign w:val="center"/>
          </w:tcPr>
          <w:p w14:paraId="0B386BD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5885A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05EA8661">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19757788">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7E6FF889">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3BB8E37E">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06CC3501">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2E72199B">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31631AED">
            <w:pPr>
              <w:adjustRightInd w:val="0"/>
              <w:snapToGrid w:val="0"/>
              <w:rPr>
                <w:rFonts w:ascii="宋体" w:hAnsi="宋体" w:eastAsia="宋体" w:cs="宋体"/>
                <w:color w:val="auto"/>
                <w:kern w:val="0"/>
                <w:szCs w:val="21"/>
                <w:highlight w:val="none"/>
              </w:rPr>
            </w:pPr>
          </w:p>
        </w:tc>
      </w:tr>
      <w:tr w14:paraId="1DFF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56252E4E">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7AD38563">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7BD0C17F">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355CB09E">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62A2E07D">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001C81F0">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5D1FF87D">
            <w:pPr>
              <w:adjustRightInd w:val="0"/>
              <w:snapToGrid w:val="0"/>
              <w:rPr>
                <w:rFonts w:ascii="宋体" w:hAnsi="宋体" w:eastAsia="宋体" w:cs="宋体"/>
                <w:color w:val="auto"/>
                <w:kern w:val="0"/>
                <w:szCs w:val="21"/>
                <w:highlight w:val="none"/>
              </w:rPr>
            </w:pPr>
          </w:p>
        </w:tc>
      </w:tr>
      <w:tr w14:paraId="0C6F9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21CE09C8">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2BD2A252">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473A129B">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745775BF">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26C15EF4">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79C429C4">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6E798200">
            <w:pPr>
              <w:adjustRightInd w:val="0"/>
              <w:snapToGrid w:val="0"/>
              <w:rPr>
                <w:rFonts w:ascii="宋体" w:hAnsi="宋体" w:eastAsia="宋体" w:cs="宋体"/>
                <w:color w:val="auto"/>
                <w:kern w:val="0"/>
                <w:szCs w:val="21"/>
                <w:highlight w:val="none"/>
              </w:rPr>
            </w:pPr>
          </w:p>
        </w:tc>
      </w:tr>
      <w:tr w14:paraId="6EE2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0447943A">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596ECFE3">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42C6E3AD">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2AFF18AD">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65818065">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4316EF9D">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5EB259D1">
            <w:pPr>
              <w:adjustRightInd w:val="0"/>
              <w:snapToGrid w:val="0"/>
              <w:rPr>
                <w:rFonts w:ascii="宋体" w:hAnsi="宋体" w:eastAsia="宋体" w:cs="宋体"/>
                <w:color w:val="auto"/>
                <w:kern w:val="0"/>
                <w:szCs w:val="21"/>
                <w:highlight w:val="none"/>
              </w:rPr>
            </w:pPr>
          </w:p>
        </w:tc>
      </w:tr>
      <w:tr w14:paraId="77A3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2C387A3B">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169F920A">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2F7B799E">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501DC267">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1A1C032D">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317602EF">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7AADC78B">
            <w:pPr>
              <w:adjustRightInd w:val="0"/>
              <w:snapToGrid w:val="0"/>
              <w:rPr>
                <w:rFonts w:ascii="宋体" w:hAnsi="宋体" w:eastAsia="宋体" w:cs="宋体"/>
                <w:color w:val="auto"/>
                <w:kern w:val="0"/>
                <w:szCs w:val="21"/>
                <w:highlight w:val="none"/>
              </w:rPr>
            </w:pPr>
          </w:p>
        </w:tc>
      </w:tr>
      <w:tr w14:paraId="454E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32223F99">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7192917D">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3DF37638">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628870C5">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4F62A901">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7B5A3A80">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3063D456">
            <w:pPr>
              <w:adjustRightInd w:val="0"/>
              <w:snapToGrid w:val="0"/>
              <w:rPr>
                <w:rFonts w:ascii="宋体" w:hAnsi="宋体" w:eastAsia="宋体" w:cs="宋体"/>
                <w:color w:val="auto"/>
                <w:kern w:val="0"/>
                <w:szCs w:val="21"/>
                <w:highlight w:val="none"/>
              </w:rPr>
            </w:pPr>
          </w:p>
        </w:tc>
      </w:tr>
      <w:tr w14:paraId="7EA3A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069D589D">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3BD5EF34">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79DE9384">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728899C5">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0BD37BCA">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6F806F9F">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00942BD6">
            <w:pPr>
              <w:adjustRightInd w:val="0"/>
              <w:snapToGrid w:val="0"/>
              <w:rPr>
                <w:rFonts w:ascii="宋体" w:hAnsi="宋体" w:eastAsia="宋体" w:cs="宋体"/>
                <w:color w:val="auto"/>
                <w:kern w:val="0"/>
                <w:szCs w:val="21"/>
                <w:highlight w:val="none"/>
              </w:rPr>
            </w:pPr>
          </w:p>
        </w:tc>
      </w:tr>
      <w:tr w14:paraId="2ECF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758E1C69">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20D8F52F">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15EB365A">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363BA430">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65F4FCD5">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438A0A96">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1CD0493C">
            <w:pPr>
              <w:adjustRightInd w:val="0"/>
              <w:snapToGrid w:val="0"/>
              <w:rPr>
                <w:rFonts w:ascii="宋体" w:hAnsi="宋体" w:eastAsia="宋体" w:cs="宋体"/>
                <w:color w:val="auto"/>
                <w:kern w:val="0"/>
                <w:szCs w:val="21"/>
                <w:highlight w:val="none"/>
              </w:rPr>
            </w:pPr>
          </w:p>
        </w:tc>
      </w:tr>
      <w:tr w14:paraId="1067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5D788296">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4042CD65">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01D2C5C3">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16CCC0D2">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2B70647C">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675B4132">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0EC1B519">
            <w:pPr>
              <w:adjustRightInd w:val="0"/>
              <w:snapToGrid w:val="0"/>
              <w:rPr>
                <w:rFonts w:ascii="宋体" w:hAnsi="宋体" w:eastAsia="宋体" w:cs="宋体"/>
                <w:color w:val="auto"/>
                <w:kern w:val="0"/>
                <w:szCs w:val="21"/>
                <w:highlight w:val="none"/>
              </w:rPr>
            </w:pPr>
          </w:p>
        </w:tc>
      </w:tr>
      <w:tr w14:paraId="5EDB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410A2262">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35E0C42E">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3487B530">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18DB1709">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7A403172">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233B4DD7">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4BFC9041">
            <w:pPr>
              <w:adjustRightInd w:val="0"/>
              <w:snapToGrid w:val="0"/>
              <w:rPr>
                <w:rFonts w:ascii="宋体" w:hAnsi="宋体" w:eastAsia="宋体" w:cs="宋体"/>
                <w:color w:val="auto"/>
                <w:kern w:val="0"/>
                <w:szCs w:val="21"/>
                <w:highlight w:val="none"/>
              </w:rPr>
            </w:pPr>
          </w:p>
        </w:tc>
      </w:tr>
      <w:tr w14:paraId="172F1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0B2488F4">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6B1E6E58">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60A78D87">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05241B1B">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72ED20BB">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3A7DA38A">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5F30DD3E">
            <w:pPr>
              <w:adjustRightInd w:val="0"/>
              <w:snapToGrid w:val="0"/>
              <w:rPr>
                <w:rFonts w:ascii="宋体" w:hAnsi="宋体" w:eastAsia="宋体" w:cs="宋体"/>
                <w:color w:val="auto"/>
                <w:kern w:val="0"/>
                <w:szCs w:val="21"/>
                <w:highlight w:val="none"/>
              </w:rPr>
            </w:pPr>
          </w:p>
        </w:tc>
      </w:tr>
      <w:tr w14:paraId="62425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6308778E">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576EB5EA">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3BB43783">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6182A342">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0F9A5BAA">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13F80CB0">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63D21C53">
            <w:pPr>
              <w:adjustRightInd w:val="0"/>
              <w:snapToGrid w:val="0"/>
              <w:rPr>
                <w:rFonts w:ascii="宋体" w:hAnsi="宋体" w:eastAsia="宋体" w:cs="宋体"/>
                <w:color w:val="auto"/>
                <w:kern w:val="0"/>
                <w:szCs w:val="21"/>
                <w:highlight w:val="none"/>
              </w:rPr>
            </w:pPr>
          </w:p>
        </w:tc>
      </w:tr>
      <w:tr w14:paraId="0D02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6F3FB2ED">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4D1ECD14">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12ED8E18">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12FB8850">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0BF1C0AA">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46F6DBF9">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143A815D">
            <w:pPr>
              <w:adjustRightInd w:val="0"/>
              <w:snapToGrid w:val="0"/>
              <w:rPr>
                <w:rFonts w:ascii="宋体" w:hAnsi="宋体" w:eastAsia="宋体" w:cs="宋体"/>
                <w:color w:val="auto"/>
                <w:kern w:val="0"/>
                <w:szCs w:val="21"/>
                <w:highlight w:val="none"/>
              </w:rPr>
            </w:pPr>
          </w:p>
        </w:tc>
      </w:tr>
      <w:tr w14:paraId="4905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5DB17CD2">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3415AD26">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098F0659">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5A391A72">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48BC51E6">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524B2DEC">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165FFEBE">
            <w:pPr>
              <w:adjustRightInd w:val="0"/>
              <w:snapToGrid w:val="0"/>
              <w:rPr>
                <w:rFonts w:ascii="宋体" w:hAnsi="宋体" w:eastAsia="宋体" w:cs="宋体"/>
                <w:color w:val="auto"/>
                <w:kern w:val="0"/>
                <w:szCs w:val="21"/>
                <w:highlight w:val="none"/>
              </w:rPr>
            </w:pPr>
          </w:p>
        </w:tc>
      </w:tr>
      <w:tr w14:paraId="1486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6760454F">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78CB33F3">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667C9A1A">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74A36DC1">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2AF44E6C">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4FA70C0D">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667F8B50">
            <w:pPr>
              <w:adjustRightInd w:val="0"/>
              <w:snapToGrid w:val="0"/>
              <w:rPr>
                <w:rFonts w:ascii="宋体" w:hAnsi="宋体" w:eastAsia="宋体" w:cs="宋体"/>
                <w:color w:val="auto"/>
                <w:kern w:val="0"/>
                <w:szCs w:val="21"/>
                <w:highlight w:val="none"/>
              </w:rPr>
            </w:pPr>
          </w:p>
        </w:tc>
      </w:tr>
      <w:tr w14:paraId="1C78C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03A8EF5E">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68244FC8">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2CEA3EE0">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7612921E">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78359D0A">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2EA6284F">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524AF519">
            <w:pPr>
              <w:adjustRightInd w:val="0"/>
              <w:snapToGrid w:val="0"/>
              <w:rPr>
                <w:rFonts w:ascii="宋体" w:hAnsi="宋体" w:eastAsia="宋体" w:cs="宋体"/>
                <w:color w:val="auto"/>
                <w:kern w:val="0"/>
                <w:szCs w:val="21"/>
                <w:highlight w:val="none"/>
              </w:rPr>
            </w:pPr>
          </w:p>
        </w:tc>
      </w:tr>
      <w:tr w14:paraId="7050C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428989B4">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5B05BD8D">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7CA3AFA4">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3B809583">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49C82BBC">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7554AE9B">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2946E5AD">
            <w:pPr>
              <w:adjustRightInd w:val="0"/>
              <w:snapToGrid w:val="0"/>
              <w:rPr>
                <w:rFonts w:ascii="宋体" w:hAnsi="宋体" w:eastAsia="宋体" w:cs="宋体"/>
                <w:color w:val="auto"/>
                <w:kern w:val="0"/>
                <w:szCs w:val="21"/>
                <w:highlight w:val="none"/>
              </w:rPr>
            </w:pPr>
          </w:p>
        </w:tc>
      </w:tr>
      <w:tr w14:paraId="51D87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756DDC45">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3A5AAF4A">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18EDD55E">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5FE4DA43">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0C016EFB">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64EE1EBC">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54B8EE4C">
            <w:pPr>
              <w:adjustRightInd w:val="0"/>
              <w:snapToGrid w:val="0"/>
              <w:rPr>
                <w:rFonts w:ascii="宋体" w:hAnsi="宋体" w:eastAsia="宋体" w:cs="宋体"/>
                <w:color w:val="auto"/>
                <w:kern w:val="0"/>
                <w:szCs w:val="21"/>
                <w:highlight w:val="none"/>
              </w:rPr>
            </w:pPr>
          </w:p>
        </w:tc>
      </w:tr>
      <w:tr w14:paraId="0C229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210E2F26">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0459729D">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6E7166DF">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386FBA9F">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0F7E37B9">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0B808D20">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457E0D18">
            <w:pPr>
              <w:adjustRightInd w:val="0"/>
              <w:snapToGrid w:val="0"/>
              <w:rPr>
                <w:rFonts w:ascii="宋体" w:hAnsi="宋体" w:eastAsia="宋体" w:cs="宋体"/>
                <w:color w:val="auto"/>
                <w:kern w:val="0"/>
                <w:szCs w:val="21"/>
                <w:highlight w:val="none"/>
              </w:rPr>
            </w:pPr>
          </w:p>
        </w:tc>
      </w:tr>
      <w:tr w14:paraId="03E75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14:paraId="4A11D98A">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14:paraId="1CA0C5C0">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14:paraId="43B368CB">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14:paraId="483BDF0C">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14:paraId="5224EDC3">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14:paraId="6C9740EB">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14:paraId="7241667C">
            <w:pPr>
              <w:adjustRightInd w:val="0"/>
              <w:snapToGrid w:val="0"/>
              <w:rPr>
                <w:rFonts w:ascii="宋体" w:hAnsi="宋体" w:eastAsia="宋体" w:cs="宋体"/>
                <w:color w:val="auto"/>
                <w:kern w:val="0"/>
                <w:szCs w:val="21"/>
                <w:highlight w:val="none"/>
              </w:rPr>
            </w:pPr>
          </w:p>
        </w:tc>
      </w:tr>
    </w:tbl>
    <w:p w14:paraId="4CE73AE7">
      <w:pPr>
        <w:spacing w:line="20" w:lineRule="exact"/>
        <w:rPr>
          <w:color w:val="auto"/>
          <w:highlight w:val="none"/>
        </w:rPr>
      </w:pPr>
      <w:r>
        <w:rPr>
          <w:color w:val="auto"/>
          <w:highlight w:val="none"/>
        </w:rPr>
        <w:br w:type="page"/>
      </w:r>
    </w:p>
    <w:p w14:paraId="5788CB5B">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措施项目清单汇总表</w:t>
      </w:r>
    </w:p>
    <w:p w14:paraId="43EBAE35">
      <w:pPr>
        <w:rPr>
          <w:color w:val="auto"/>
          <w:highlight w:val="none"/>
        </w:rPr>
      </w:pPr>
    </w:p>
    <w:p w14:paraId="4066A2DA">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5558"/>
        <w:gridCol w:w="3032"/>
      </w:tblGrid>
      <w:tr w14:paraId="42DC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665A0B9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5558" w:type="dxa"/>
            <w:shd w:val="clear" w:color="auto" w:fill="auto"/>
            <w:vAlign w:val="center"/>
          </w:tcPr>
          <w:p w14:paraId="77DC8FD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3032" w:type="dxa"/>
            <w:shd w:val="clear" w:color="auto" w:fill="auto"/>
            <w:vAlign w:val="center"/>
          </w:tcPr>
          <w:p w14:paraId="39FB299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44A8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6592FE5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5558" w:type="dxa"/>
            <w:shd w:val="clear" w:color="auto" w:fill="auto"/>
            <w:vAlign w:val="center"/>
          </w:tcPr>
          <w:p w14:paraId="621B6094">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安全文明施工措施费</w:t>
            </w:r>
          </w:p>
        </w:tc>
        <w:tc>
          <w:tcPr>
            <w:tcW w:w="3032" w:type="dxa"/>
            <w:shd w:val="clear" w:color="auto" w:fill="auto"/>
            <w:vAlign w:val="center"/>
          </w:tcPr>
          <w:p w14:paraId="3D9A4B30">
            <w:pPr>
              <w:adjustRightInd w:val="0"/>
              <w:snapToGrid w:val="0"/>
              <w:rPr>
                <w:rFonts w:ascii="Times New Roman" w:hAnsi="Times New Roman" w:eastAsia="宋体" w:cs="Times New Roman"/>
                <w:color w:val="auto"/>
                <w:kern w:val="0"/>
                <w:szCs w:val="21"/>
                <w:highlight w:val="none"/>
              </w:rPr>
            </w:pPr>
          </w:p>
        </w:tc>
      </w:tr>
      <w:tr w14:paraId="69AA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5259E964">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14:paraId="7F8FC255">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(1)临时设施费</w:t>
            </w:r>
          </w:p>
        </w:tc>
        <w:tc>
          <w:tcPr>
            <w:tcW w:w="3032" w:type="dxa"/>
            <w:shd w:val="clear" w:color="auto" w:fill="auto"/>
            <w:vAlign w:val="center"/>
          </w:tcPr>
          <w:p w14:paraId="19CB181C">
            <w:pPr>
              <w:adjustRightInd w:val="0"/>
              <w:snapToGrid w:val="0"/>
              <w:jc w:val="left"/>
              <w:rPr>
                <w:rFonts w:ascii="Times New Roman" w:hAnsi="Times New Roman" w:eastAsia="宋体" w:cs="Times New Roman"/>
                <w:color w:val="auto"/>
                <w:kern w:val="0"/>
                <w:szCs w:val="21"/>
                <w:highlight w:val="none"/>
              </w:rPr>
            </w:pPr>
          </w:p>
        </w:tc>
      </w:tr>
      <w:tr w14:paraId="4F94C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022EAF2E">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14:paraId="5C044976">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(2)文明施工费</w:t>
            </w:r>
          </w:p>
        </w:tc>
        <w:tc>
          <w:tcPr>
            <w:tcW w:w="3032" w:type="dxa"/>
            <w:shd w:val="clear" w:color="auto" w:fill="auto"/>
            <w:vAlign w:val="center"/>
          </w:tcPr>
          <w:p w14:paraId="4502838F">
            <w:pPr>
              <w:adjustRightInd w:val="0"/>
              <w:snapToGrid w:val="0"/>
              <w:jc w:val="left"/>
              <w:rPr>
                <w:rFonts w:ascii="Times New Roman" w:hAnsi="Times New Roman" w:eastAsia="宋体" w:cs="Times New Roman"/>
                <w:color w:val="auto"/>
                <w:kern w:val="0"/>
                <w:szCs w:val="21"/>
                <w:highlight w:val="none"/>
              </w:rPr>
            </w:pPr>
          </w:p>
        </w:tc>
      </w:tr>
      <w:tr w14:paraId="4ACD1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655EC5F7">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14:paraId="2AEC0704">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(3)安全施工费</w:t>
            </w:r>
          </w:p>
        </w:tc>
        <w:tc>
          <w:tcPr>
            <w:tcW w:w="3032" w:type="dxa"/>
            <w:shd w:val="clear" w:color="auto" w:fill="auto"/>
            <w:vAlign w:val="center"/>
          </w:tcPr>
          <w:p w14:paraId="3405CA02">
            <w:pPr>
              <w:adjustRightInd w:val="0"/>
              <w:snapToGrid w:val="0"/>
              <w:jc w:val="left"/>
              <w:rPr>
                <w:rFonts w:ascii="Times New Roman" w:hAnsi="Times New Roman" w:eastAsia="宋体" w:cs="Times New Roman"/>
                <w:color w:val="auto"/>
                <w:kern w:val="0"/>
                <w:szCs w:val="21"/>
                <w:highlight w:val="none"/>
              </w:rPr>
            </w:pPr>
          </w:p>
        </w:tc>
      </w:tr>
      <w:tr w14:paraId="3142F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44C1E072">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14:paraId="0F0C3791">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(4)环境保护费</w:t>
            </w:r>
          </w:p>
        </w:tc>
        <w:tc>
          <w:tcPr>
            <w:tcW w:w="3032" w:type="dxa"/>
            <w:shd w:val="clear" w:color="auto" w:fill="auto"/>
            <w:vAlign w:val="center"/>
          </w:tcPr>
          <w:p w14:paraId="54912AEF">
            <w:pPr>
              <w:adjustRightInd w:val="0"/>
              <w:snapToGrid w:val="0"/>
              <w:jc w:val="left"/>
              <w:rPr>
                <w:rFonts w:ascii="Times New Roman" w:hAnsi="Times New Roman" w:eastAsia="宋体" w:cs="Times New Roman"/>
                <w:color w:val="auto"/>
                <w:kern w:val="0"/>
                <w:szCs w:val="21"/>
                <w:highlight w:val="none"/>
              </w:rPr>
            </w:pPr>
          </w:p>
        </w:tc>
      </w:tr>
      <w:tr w14:paraId="3EB4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7081696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5558" w:type="dxa"/>
            <w:shd w:val="clear" w:color="auto" w:fill="auto"/>
            <w:vAlign w:val="center"/>
          </w:tcPr>
          <w:p w14:paraId="1B1370B8">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履约担保手续费</w:t>
            </w:r>
          </w:p>
        </w:tc>
        <w:tc>
          <w:tcPr>
            <w:tcW w:w="3032" w:type="dxa"/>
            <w:shd w:val="clear" w:color="auto" w:fill="auto"/>
            <w:vAlign w:val="center"/>
          </w:tcPr>
          <w:p w14:paraId="3B6D7571">
            <w:pPr>
              <w:adjustRightInd w:val="0"/>
              <w:snapToGrid w:val="0"/>
              <w:jc w:val="left"/>
              <w:rPr>
                <w:rFonts w:ascii="Times New Roman" w:hAnsi="Times New Roman" w:eastAsia="宋体" w:cs="Times New Roman"/>
                <w:color w:val="auto"/>
                <w:kern w:val="0"/>
                <w:szCs w:val="21"/>
                <w:highlight w:val="none"/>
              </w:rPr>
            </w:pPr>
          </w:p>
        </w:tc>
      </w:tr>
      <w:tr w14:paraId="3044C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3295ACB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5558" w:type="dxa"/>
            <w:shd w:val="clear" w:color="auto" w:fill="auto"/>
            <w:vAlign w:val="center"/>
          </w:tcPr>
          <w:p w14:paraId="3987DED6">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夜间施工费</w:t>
            </w:r>
          </w:p>
        </w:tc>
        <w:tc>
          <w:tcPr>
            <w:tcW w:w="3032" w:type="dxa"/>
            <w:shd w:val="clear" w:color="auto" w:fill="auto"/>
            <w:vAlign w:val="center"/>
          </w:tcPr>
          <w:p w14:paraId="1DEE6133">
            <w:pPr>
              <w:adjustRightInd w:val="0"/>
              <w:snapToGrid w:val="0"/>
              <w:jc w:val="left"/>
              <w:rPr>
                <w:rFonts w:ascii="Times New Roman" w:hAnsi="Times New Roman" w:eastAsia="宋体" w:cs="Times New Roman"/>
                <w:color w:val="auto"/>
                <w:kern w:val="0"/>
                <w:szCs w:val="21"/>
                <w:highlight w:val="none"/>
              </w:rPr>
            </w:pPr>
          </w:p>
        </w:tc>
      </w:tr>
      <w:tr w14:paraId="46043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1869630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5558" w:type="dxa"/>
            <w:shd w:val="clear" w:color="auto" w:fill="auto"/>
            <w:vAlign w:val="center"/>
          </w:tcPr>
          <w:p w14:paraId="36EAC505">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赶工措施费</w:t>
            </w:r>
          </w:p>
        </w:tc>
        <w:tc>
          <w:tcPr>
            <w:tcW w:w="3032" w:type="dxa"/>
            <w:shd w:val="clear" w:color="auto" w:fill="auto"/>
            <w:vAlign w:val="center"/>
          </w:tcPr>
          <w:p w14:paraId="295D2B71">
            <w:pPr>
              <w:adjustRightInd w:val="0"/>
              <w:snapToGrid w:val="0"/>
              <w:jc w:val="left"/>
              <w:rPr>
                <w:rFonts w:ascii="Times New Roman" w:hAnsi="Times New Roman" w:eastAsia="宋体" w:cs="Times New Roman"/>
                <w:color w:val="auto"/>
                <w:kern w:val="0"/>
                <w:szCs w:val="21"/>
                <w:highlight w:val="none"/>
              </w:rPr>
            </w:pPr>
          </w:p>
        </w:tc>
      </w:tr>
      <w:tr w14:paraId="2240D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13C61A8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5</w:t>
            </w:r>
          </w:p>
        </w:tc>
        <w:tc>
          <w:tcPr>
            <w:tcW w:w="5558" w:type="dxa"/>
            <w:shd w:val="clear" w:color="auto" w:fill="auto"/>
            <w:vAlign w:val="center"/>
          </w:tcPr>
          <w:p w14:paraId="30ACA0DF">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冬雨季施工费</w:t>
            </w:r>
          </w:p>
        </w:tc>
        <w:tc>
          <w:tcPr>
            <w:tcW w:w="3032" w:type="dxa"/>
            <w:shd w:val="clear" w:color="auto" w:fill="auto"/>
            <w:vAlign w:val="center"/>
          </w:tcPr>
          <w:p w14:paraId="0007B2F7">
            <w:pPr>
              <w:adjustRightInd w:val="0"/>
              <w:snapToGrid w:val="0"/>
              <w:jc w:val="left"/>
              <w:rPr>
                <w:rFonts w:ascii="Times New Roman" w:hAnsi="Times New Roman" w:eastAsia="宋体" w:cs="Times New Roman"/>
                <w:color w:val="auto"/>
                <w:kern w:val="0"/>
                <w:szCs w:val="21"/>
                <w:highlight w:val="none"/>
              </w:rPr>
            </w:pPr>
          </w:p>
        </w:tc>
      </w:tr>
      <w:tr w14:paraId="636B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580D9A5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6</w:t>
            </w:r>
          </w:p>
        </w:tc>
        <w:tc>
          <w:tcPr>
            <w:tcW w:w="5558" w:type="dxa"/>
            <w:shd w:val="clear" w:color="auto" w:fill="auto"/>
            <w:vAlign w:val="center"/>
          </w:tcPr>
          <w:p w14:paraId="5B207A14">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已完工程及设备保护费</w:t>
            </w:r>
          </w:p>
        </w:tc>
        <w:tc>
          <w:tcPr>
            <w:tcW w:w="3032" w:type="dxa"/>
            <w:shd w:val="clear" w:color="auto" w:fill="auto"/>
            <w:vAlign w:val="center"/>
          </w:tcPr>
          <w:p w14:paraId="5DCE9183">
            <w:pPr>
              <w:adjustRightInd w:val="0"/>
              <w:snapToGrid w:val="0"/>
              <w:jc w:val="left"/>
              <w:rPr>
                <w:rFonts w:ascii="Times New Roman" w:hAnsi="Times New Roman" w:eastAsia="宋体" w:cs="Times New Roman"/>
                <w:color w:val="auto"/>
                <w:kern w:val="0"/>
                <w:szCs w:val="21"/>
                <w:highlight w:val="none"/>
              </w:rPr>
            </w:pPr>
          </w:p>
        </w:tc>
      </w:tr>
      <w:tr w14:paraId="528B0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5837B3B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7</w:t>
            </w:r>
          </w:p>
        </w:tc>
        <w:tc>
          <w:tcPr>
            <w:tcW w:w="5558" w:type="dxa"/>
            <w:shd w:val="clear" w:color="auto" w:fill="auto"/>
            <w:vAlign w:val="center"/>
          </w:tcPr>
          <w:p w14:paraId="499C4ABF">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地上地下设施及建筑物的临时保护费</w:t>
            </w:r>
          </w:p>
        </w:tc>
        <w:tc>
          <w:tcPr>
            <w:tcW w:w="3032" w:type="dxa"/>
            <w:shd w:val="clear" w:color="auto" w:fill="auto"/>
            <w:vAlign w:val="center"/>
          </w:tcPr>
          <w:p w14:paraId="21483C89">
            <w:pPr>
              <w:adjustRightInd w:val="0"/>
              <w:snapToGrid w:val="0"/>
              <w:jc w:val="left"/>
              <w:rPr>
                <w:rFonts w:ascii="Times New Roman" w:hAnsi="Times New Roman" w:eastAsia="宋体" w:cs="Times New Roman"/>
                <w:color w:val="auto"/>
                <w:kern w:val="0"/>
                <w:szCs w:val="21"/>
                <w:highlight w:val="none"/>
              </w:rPr>
            </w:pPr>
          </w:p>
        </w:tc>
      </w:tr>
      <w:tr w14:paraId="0DE5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6C0A2F8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8</w:t>
            </w:r>
          </w:p>
        </w:tc>
        <w:tc>
          <w:tcPr>
            <w:tcW w:w="5558" w:type="dxa"/>
            <w:shd w:val="clear" w:color="auto" w:fill="auto"/>
            <w:vAlign w:val="center"/>
          </w:tcPr>
          <w:p w14:paraId="1D2A254E">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混凝土钢筋混凝土模板及支架费</w:t>
            </w:r>
          </w:p>
        </w:tc>
        <w:tc>
          <w:tcPr>
            <w:tcW w:w="3032" w:type="dxa"/>
            <w:shd w:val="clear" w:color="auto" w:fill="auto"/>
            <w:vAlign w:val="center"/>
          </w:tcPr>
          <w:p w14:paraId="4DD6A1CF">
            <w:pPr>
              <w:adjustRightInd w:val="0"/>
              <w:snapToGrid w:val="0"/>
              <w:jc w:val="left"/>
              <w:rPr>
                <w:rFonts w:ascii="Times New Roman" w:hAnsi="Times New Roman" w:eastAsia="宋体" w:cs="Times New Roman"/>
                <w:color w:val="auto"/>
                <w:kern w:val="0"/>
                <w:szCs w:val="21"/>
                <w:highlight w:val="none"/>
              </w:rPr>
            </w:pPr>
          </w:p>
        </w:tc>
      </w:tr>
      <w:tr w14:paraId="29314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7956284F">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9</w:t>
            </w:r>
          </w:p>
        </w:tc>
        <w:tc>
          <w:tcPr>
            <w:tcW w:w="5558" w:type="dxa"/>
            <w:shd w:val="clear" w:color="auto" w:fill="auto"/>
            <w:vAlign w:val="center"/>
          </w:tcPr>
          <w:p w14:paraId="6BEF1B17">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二次搬运费</w:t>
            </w:r>
          </w:p>
        </w:tc>
        <w:tc>
          <w:tcPr>
            <w:tcW w:w="3032" w:type="dxa"/>
            <w:shd w:val="clear" w:color="auto" w:fill="auto"/>
            <w:vAlign w:val="center"/>
          </w:tcPr>
          <w:p w14:paraId="435D5366">
            <w:pPr>
              <w:adjustRightInd w:val="0"/>
              <w:snapToGrid w:val="0"/>
              <w:jc w:val="left"/>
              <w:rPr>
                <w:rFonts w:ascii="Times New Roman" w:hAnsi="Times New Roman" w:eastAsia="宋体" w:cs="Times New Roman"/>
                <w:color w:val="auto"/>
                <w:kern w:val="0"/>
                <w:szCs w:val="21"/>
                <w:highlight w:val="none"/>
              </w:rPr>
            </w:pPr>
          </w:p>
        </w:tc>
      </w:tr>
      <w:tr w14:paraId="02F2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582153C7">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10</w:t>
            </w:r>
          </w:p>
        </w:tc>
        <w:tc>
          <w:tcPr>
            <w:tcW w:w="5558" w:type="dxa"/>
            <w:shd w:val="clear" w:color="auto" w:fill="auto"/>
            <w:vAlign w:val="center"/>
          </w:tcPr>
          <w:p w14:paraId="7ED28A3E">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脚手架费</w:t>
            </w:r>
          </w:p>
        </w:tc>
        <w:tc>
          <w:tcPr>
            <w:tcW w:w="3032" w:type="dxa"/>
            <w:shd w:val="clear" w:color="auto" w:fill="auto"/>
            <w:vAlign w:val="center"/>
          </w:tcPr>
          <w:p w14:paraId="6ECC5700">
            <w:pPr>
              <w:adjustRightInd w:val="0"/>
              <w:snapToGrid w:val="0"/>
              <w:jc w:val="left"/>
              <w:rPr>
                <w:rFonts w:ascii="Times New Roman" w:hAnsi="Times New Roman" w:eastAsia="宋体" w:cs="Times New Roman"/>
                <w:color w:val="auto"/>
                <w:kern w:val="0"/>
                <w:szCs w:val="21"/>
                <w:highlight w:val="none"/>
              </w:rPr>
            </w:pPr>
          </w:p>
        </w:tc>
      </w:tr>
      <w:tr w14:paraId="51A17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43EAD26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11</w:t>
            </w:r>
          </w:p>
        </w:tc>
        <w:tc>
          <w:tcPr>
            <w:tcW w:w="5558" w:type="dxa"/>
            <w:shd w:val="clear" w:color="auto" w:fill="auto"/>
            <w:vAlign w:val="center"/>
          </w:tcPr>
          <w:p w14:paraId="5BA2DF03">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垂直运输机械费</w:t>
            </w:r>
          </w:p>
        </w:tc>
        <w:tc>
          <w:tcPr>
            <w:tcW w:w="3032" w:type="dxa"/>
            <w:shd w:val="clear" w:color="auto" w:fill="auto"/>
            <w:vAlign w:val="center"/>
          </w:tcPr>
          <w:p w14:paraId="2C93435B">
            <w:pPr>
              <w:adjustRightInd w:val="0"/>
              <w:snapToGrid w:val="0"/>
              <w:jc w:val="left"/>
              <w:rPr>
                <w:rFonts w:ascii="Times New Roman" w:hAnsi="Times New Roman" w:eastAsia="宋体" w:cs="Times New Roman"/>
                <w:color w:val="auto"/>
                <w:kern w:val="0"/>
                <w:szCs w:val="21"/>
                <w:highlight w:val="none"/>
              </w:rPr>
            </w:pPr>
          </w:p>
        </w:tc>
      </w:tr>
      <w:tr w14:paraId="3527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2DE1D31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12</w:t>
            </w:r>
          </w:p>
        </w:tc>
        <w:tc>
          <w:tcPr>
            <w:tcW w:w="5558" w:type="dxa"/>
            <w:shd w:val="clear" w:color="auto" w:fill="auto"/>
            <w:vAlign w:val="center"/>
          </w:tcPr>
          <w:p w14:paraId="7E19A430">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大型机械设备进出场及安拆费</w:t>
            </w:r>
          </w:p>
        </w:tc>
        <w:tc>
          <w:tcPr>
            <w:tcW w:w="3032" w:type="dxa"/>
            <w:shd w:val="clear" w:color="auto" w:fill="auto"/>
            <w:vAlign w:val="center"/>
          </w:tcPr>
          <w:p w14:paraId="2B42B9D5">
            <w:pPr>
              <w:adjustRightInd w:val="0"/>
              <w:snapToGrid w:val="0"/>
              <w:jc w:val="left"/>
              <w:rPr>
                <w:rFonts w:ascii="Times New Roman" w:hAnsi="Times New Roman" w:eastAsia="宋体" w:cs="Times New Roman"/>
                <w:color w:val="auto"/>
                <w:kern w:val="0"/>
                <w:szCs w:val="21"/>
                <w:highlight w:val="none"/>
              </w:rPr>
            </w:pPr>
          </w:p>
        </w:tc>
      </w:tr>
      <w:tr w14:paraId="4901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34E2100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13</w:t>
            </w:r>
          </w:p>
        </w:tc>
        <w:tc>
          <w:tcPr>
            <w:tcW w:w="5558" w:type="dxa"/>
            <w:shd w:val="clear" w:color="auto" w:fill="auto"/>
            <w:vAlign w:val="center"/>
          </w:tcPr>
          <w:p w14:paraId="227D081E">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施工排水降水费</w:t>
            </w:r>
          </w:p>
        </w:tc>
        <w:tc>
          <w:tcPr>
            <w:tcW w:w="3032" w:type="dxa"/>
            <w:shd w:val="clear" w:color="auto" w:fill="auto"/>
            <w:vAlign w:val="center"/>
          </w:tcPr>
          <w:p w14:paraId="3547E253">
            <w:pPr>
              <w:adjustRightInd w:val="0"/>
              <w:snapToGrid w:val="0"/>
              <w:jc w:val="left"/>
              <w:rPr>
                <w:rFonts w:ascii="Times New Roman" w:hAnsi="Times New Roman" w:eastAsia="宋体" w:cs="Times New Roman"/>
                <w:color w:val="auto"/>
                <w:kern w:val="0"/>
                <w:szCs w:val="21"/>
                <w:highlight w:val="none"/>
              </w:rPr>
            </w:pPr>
          </w:p>
        </w:tc>
      </w:tr>
      <w:tr w14:paraId="22F49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78A3BDD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14</w:t>
            </w:r>
          </w:p>
        </w:tc>
        <w:tc>
          <w:tcPr>
            <w:tcW w:w="5558" w:type="dxa"/>
            <w:shd w:val="clear" w:color="auto" w:fill="auto"/>
            <w:vAlign w:val="center"/>
          </w:tcPr>
          <w:p w14:paraId="3632BDA8">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其他</w:t>
            </w:r>
          </w:p>
        </w:tc>
        <w:tc>
          <w:tcPr>
            <w:tcW w:w="3032" w:type="dxa"/>
            <w:shd w:val="clear" w:color="auto" w:fill="auto"/>
            <w:vAlign w:val="center"/>
          </w:tcPr>
          <w:p w14:paraId="6739C273">
            <w:pPr>
              <w:adjustRightInd w:val="0"/>
              <w:snapToGrid w:val="0"/>
              <w:jc w:val="left"/>
              <w:rPr>
                <w:rFonts w:ascii="Times New Roman" w:hAnsi="Times New Roman" w:eastAsia="宋体" w:cs="Times New Roman"/>
                <w:color w:val="auto"/>
                <w:kern w:val="0"/>
                <w:szCs w:val="21"/>
                <w:highlight w:val="none"/>
              </w:rPr>
            </w:pPr>
          </w:p>
        </w:tc>
      </w:tr>
      <w:tr w14:paraId="28C7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2D7F5AC7">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14:paraId="01641162">
            <w:pPr>
              <w:adjustRightInd w:val="0"/>
              <w:snapToGrid w:val="0"/>
              <w:jc w:val="center"/>
              <w:rPr>
                <w:rFonts w:ascii="Times New Roman" w:hAnsi="Times New Roman" w:eastAsia="宋体" w:cs="Times New Roman"/>
                <w:color w:val="auto"/>
                <w:kern w:val="0"/>
                <w:szCs w:val="21"/>
                <w:highlight w:val="none"/>
              </w:rPr>
            </w:pPr>
          </w:p>
        </w:tc>
        <w:tc>
          <w:tcPr>
            <w:tcW w:w="3032" w:type="dxa"/>
            <w:shd w:val="clear" w:color="auto" w:fill="auto"/>
            <w:vAlign w:val="center"/>
          </w:tcPr>
          <w:p w14:paraId="26E3AA70">
            <w:pPr>
              <w:adjustRightInd w:val="0"/>
              <w:snapToGrid w:val="0"/>
              <w:jc w:val="left"/>
              <w:rPr>
                <w:rFonts w:ascii="Times New Roman" w:hAnsi="Times New Roman" w:eastAsia="宋体" w:cs="Times New Roman"/>
                <w:color w:val="auto"/>
                <w:kern w:val="0"/>
                <w:szCs w:val="21"/>
                <w:highlight w:val="none"/>
              </w:rPr>
            </w:pPr>
          </w:p>
        </w:tc>
      </w:tr>
      <w:tr w14:paraId="4ABE9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14:paraId="3072E3B9">
            <w:pPr>
              <w:adjustRightInd w:val="0"/>
              <w:snapToGrid w:val="0"/>
              <w:jc w:val="center"/>
              <w:rPr>
                <w:rFonts w:ascii="Times New Roman" w:hAnsi="Times New Roman" w:eastAsia="宋体" w:cs="Times New Roman"/>
                <w:color w:val="auto"/>
                <w:kern w:val="0"/>
                <w:sz w:val="20"/>
                <w:szCs w:val="21"/>
                <w:highlight w:val="none"/>
              </w:rPr>
            </w:pPr>
          </w:p>
        </w:tc>
        <w:tc>
          <w:tcPr>
            <w:tcW w:w="5558" w:type="dxa"/>
            <w:shd w:val="clear" w:color="auto" w:fill="auto"/>
            <w:vAlign w:val="center"/>
          </w:tcPr>
          <w:p w14:paraId="6E9B8DB0">
            <w:pPr>
              <w:adjustRightInd w:val="0"/>
              <w:snapToGrid w:val="0"/>
              <w:jc w:val="center"/>
              <w:rPr>
                <w:rFonts w:ascii="Times New Roman" w:hAnsi="Times New Roman" w:eastAsia="宋体" w:cs="Times New Roman"/>
                <w:color w:val="auto"/>
                <w:kern w:val="0"/>
                <w:sz w:val="20"/>
                <w:szCs w:val="21"/>
                <w:highlight w:val="none"/>
              </w:rPr>
            </w:pPr>
          </w:p>
        </w:tc>
        <w:tc>
          <w:tcPr>
            <w:tcW w:w="3032" w:type="dxa"/>
            <w:shd w:val="clear" w:color="auto" w:fill="auto"/>
            <w:vAlign w:val="center"/>
          </w:tcPr>
          <w:p w14:paraId="3DBD45BA">
            <w:pPr>
              <w:adjustRightInd w:val="0"/>
              <w:snapToGrid w:val="0"/>
              <w:jc w:val="left"/>
              <w:rPr>
                <w:rFonts w:ascii="Times New Roman" w:hAnsi="Times New Roman" w:eastAsia="宋体" w:cs="Times New Roman"/>
                <w:color w:val="auto"/>
                <w:kern w:val="0"/>
                <w:sz w:val="20"/>
                <w:szCs w:val="21"/>
                <w:highlight w:val="none"/>
              </w:rPr>
            </w:pPr>
          </w:p>
        </w:tc>
      </w:tr>
    </w:tbl>
    <w:p w14:paraId="64273133">
      <w:pPr>
        <w:spacing w:line="20" w:lineRule="exact"/>
        <w:rPr>
          <w:color w:val="auto"/>
          <w:highlight w:val="none"/>
        </w:rPr>
      </w:pPr>
      <w:r>
        <w:rPr>
          <w:color w:val="auto"/>
          <w:highlight w:val="none"/>
        </w:rPr>
        <w:br w:type="page"/>
      </w:r>
    </w:p>
    <w:p w14:paraId="272C56B8">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措施项目清单表（一）</w:t>
      </w:r>
    </w:p>
    <w:p w14:paraId="6C657A55">
      <w:pPr>
        <w:rPr>
          <w:color w:val="auto"/>
          <w:highlight w:val="none"/>
        </w:rPr>
      </w:pPr>
    </w:p>
    <w:p w14:paraId="4118B8D7">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4"/>
        <w:gridCol w:w="1451"/>
        <w:gridCol w:w="1934"/>
        <w:gridCol w:w="1185"/>
        <w:gridCol w:w="1276"/>
        <w:gridCol w:w="1384"/>
      </w:tblGrid>
      <w:tr w14:paraId="15297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594A885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1384" w:type="dxa"/>
            <w:shd w:val="clear" w:color="auto" w:fill="auto"/>
            <w:vAlign w:val="center"/>
          </w:tcPr>
          <w:p w14:paraId="3E5E836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项目编码</w:t>
            </w:r>
          </w:p>
        </w:tc>
        <w:tc>
          <w:tcPr>
            <w:tcW w:w="1451" w:type="dxa"/>
            <w:shd w:val="clear" w:color="auto" w:fill="auto"/>
            <w:vAlign w:val="center"/>
          </w:tcPr>
          <w:p w14:paraId="409DCE9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项目名称</w:t>
            </w:r>
          </w:p>
        </w:tc>
        <w:tc>
          <w:tcPr>
            <w:tcW w:w="1934" w:type="dxa"/>
            <w:shd w:val="clear" w:color="auto" w:fill="auto"/>
            <w:vAlign w:val="center"/>
          </w:tcPr>
          <w:p w14:paraId="3118FD8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项目特征描述</w:t>
            </w:r>
          </w:p>
        </w:tc>
        <w:tc>
          <w:tcPr>
            <w:tcW w:w="1185" w:type="dxa"/>
            <w:shd w:val="clear" w:color="auto" w:fill="auto"/>
            <w:vAlign w:val="center"/>
          </w:tcPr>
          <w:p w14:paraId="6BCE839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计量单位</w:t>
            </w:r>
          </w:p>
        </w:tc>
        <w:tc>
          <w:tcPr>
            <w:tcW w:w="1276" w:type="dxa"/>
            <w:shd w:val="clear" w:color="auto" w:fill="auto"/>
            <w:vAlign w:val="center"/>
          </w:tcPr>
          <w:p w14:paraId="19B3184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工程量</w:t>
            </w:r>
          </w:p>
        </w:tc>
        <w:tc>
          <w:tcPr>
            <w:tcW w:w="1384" w:type="dxa"/>
            <w:shd w:val="clear" w:color="auto" w:fill="auto"/>
            <w:vAlign w:val="center"/>
          </w:tcPr>
          <w:p w14:paraId="503BD0D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54732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0EC656DC">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2E237389">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20E0B126">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498D534A">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1A207399">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26A56727">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565C247F">
            <w:pPr>
              <w:adjustRightInd w:val="0"/>
              <w:snapToGrid w:val="0"/>
              <w:jc w:val="center"/>
              <w:rPr>
                <w:rFonts w:ascii="Times New Roman" w:hAnsi="Times New Roman" w:eastAsia="宋体" w:cs="Times New Roman"/>
                <w:color w:val="auto"/>
                <w:kern w:val="0"/>
                <w:sz w:val="20"/>
                <w:szCs w:val="20"/>
                <w:highlight w:val="none"/>
              </w:rPr>
            </w:pPr>
          </w:p>
        </w:tc>
      </w:tr>
      <w:tr w14:paraId="4C86F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473F5D1B">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46704618">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23BD7050">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744C7BAB">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1F963E53">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2D89F908">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831D52A">
            <w:pPr>
              <w:adjustRightInd w:val="0"/>
              <w:snapToGrid w:val="0"/>
              <w:jc w:val="center"/>
              <w:rPr>
                <w:rFonts w:ascii="Times New Roman" w:hAnsi="Times New Roman" w:eastAsia="宋体" w:cs="Times New Roman"/>
                <w:color w:val="auto"/>
                <w:kern w:val="0"/>
                <w:sz w:val="20"/>
                <w:szCs w:val="20"/>
                <w:highlight w:val="none"/>
              </w:rPr>
            </w:pPr>
          </w:p>
        </w:tc>
      </w:tr>
      <w:tr w14:paraId="2DDC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209FCEB2">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75C4CFB9">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2F0B7F73">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58207BA1">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426B4561">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6B9D8857">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1C8666A2">
            <w:pPr>
              <w:adjustRightInd w:val="0"/>
              <w:snapToGrid w:val="0"/>
              <w:jc w:val="center"/>
              <w:rPr>
                <w:rFonts w:ascii="Times New Roman" w:hAnsi="Times New Roman" w:eastAsia="宋体" w:cs="Times New Roman"/>
                <w:color w:val="auto"/>
                <w:kern w:val="0"/>
                <w:sz w:val="20"/>
                <w:szCs w:val="20"/>
                <w:highlight w:val="none"/>
              </w:rPr>
            </w:pPr>
          </w:p>
        </w:tc>
      </w:tr>
      <w:tr w14:paraId="53AE8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3857087A">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D88486B">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7082AD79">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0C20E19E">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5E926465">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68438F5E">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50481358">
            <w:pPr>
              <w:adjustRightInd w:val="0"/>
              <w:snapToGrid w:val="0"/>
              <w:jc w:val="center"/>
              <w:rPr>
                <w:rFonts w:ascii="Times New Roman" w:hAnsi="Times New Roman" w:eastAsia="宋体" w:cs="Times New Roman"/>
                <w:color w:val="auto"/>
                <w:kern w:val="0"/>
                <w:sz w:val="20"/>
                <w:szCs w:val="20"/>
                <w:highlight w:val="none"/>
              </w:rPr>
            </w:pPr>
          </w:p>
        </w:tc>
      </w:tr>
      <w:tr w14:paraId="6C2E7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36DC6A89">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5766970">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350CC2AC">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47466B25">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24C0CA17">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21989E52">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5FEB7FB7">
            <w:pPr>
              <w:adjustRightInd w:val="0"/>
              <w:snapToGrid w:val="0"/>
              <w:jc w:val="center"/>
              <w:rPr>
                <w:rFonts w:ascii="Times New Roman" w:hAnsi="Times New Roman" w:eastAsia="宋体" w:cs="Times New Roman"/>
                <w:color w:val="auto"/>
                <w:kern w:val="0"/>
                <w:sz w:val="20"/>
                <w:szCs w:val="20"/>
                <w:highlight w:val="none"/>
              </w:rPr>
            </w:pPr>
          </w:p>
        </w:tc>
      </w:tr>
      <w:tr w14:paraId="1088C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5581CB3F">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1586AD2C">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603F13E3">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35163BAE">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0C9CE659">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664B0399">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5300E3CC">
            <w:pPr>
              <w:adjustRightInd w:val="0"/>
              <w:snapToGrid w:val="0"/>
              <w:jc w:val="center"/>
              <w:rPr>
                <w:rFonts w:ascii="Times New Roman" w:hAnsi="Times New Roman" w:eastAsia="宋体" w:cs="Times New Roman"/>
                <w:color w:val="auto"/>
                <w:kern w:val="0"/>
                <w:sz w:val="20"/>
                <w:szCs w:val="20"/>
                <w:highlight w:val="none"/>
              </w:rPr>
            </w:pPr>
          </w:p>
        </w:tc>
      </w:tr>
      <w:tr w14:paraId="5A65D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36F162EB">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346DA587">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687BBE76">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65A2246F">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44B2CC80">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3A5EBF40">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16D1C16E">
            <w:pPr>
              <w:adjustRightInd w:val="0"/>
              <w:snapToGrid w:val="0"/>
              <w:jc w:val="center"/>
              <w:rPr>
                <w:rFonts w:ascii="Times New Roman" w:hAnsi="Times New Roman" w:eastAsia="宋体" w:cs="Times New Roman"/>
                <w:color w:val="auto"/>
                <w:kern w:val="0"/>
                <w:sz w:val="20"/>
                <w:szCs w:val="20"/>
                <w:highlight w:val="none"/>
              </w:rPr>
            </w:pPr>
          </w:p>
        </w:tc>
      </w:tr>
      <w:tr w14:paraId="6049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6FE42676">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7E5E1914">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7FDE5B9A">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1A6C7CB9">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76A76CA9">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7FF51757">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725D96BA">
            <w:pPr>
              <w:adjustRightInd w:val="0"/>
              <w:snapToGrid w:val="0"/>
              <w:jc w:val="center"/>
              <w:rPr>
                <w:rFonts w:ascii="Times New Roman" w:hAnsi="Times New Roman" w:eastAsia="宋体" w:cs="Times New Roman"/>
                <w:color w:val="auto"/>
                <w:kern w:val="0"/>
                <w:sz w:val="20"/>
                <w:szCs w:val="20"/>
                <w:highlight w:val="none"/>
              </w:rPr>
            </w:pPr>
          </w:p>
        </w:tc>
      </w:tr>
      <w:tr w14:paraId="1CEAB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2973A423">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619B5C15">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548FEA58">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4CCFD6ED">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7F045F61">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4DCC6FDA">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66BE1B83">
            <w:pPr>
              <w:adjustRightInd w:val="0"/>
              <w:snapToGrid w:val="0"/>
              <w:jc w:val="center"/>
              <w:rPr>
                <w:rFonts w:ascii="Times New Roman" w:hAnsi="Times New Roman" w:eastAsia="宋体" w:cs="Times New Roman"/>
                <w:color w:val="auto"/>
                <w:kern w:val="0"/>
                <w:sz w:val="20"/>
                <w:szCs w:val="20"/>
                <w:highlight w:val="none"/>
              </w:rPr>
            </w:pPr>
          </w:p>
        </w:tc>
      </w:tr>
      <w:tr w14:paraId="106E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0CFD9664">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61B67F70">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507BFA4E">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4C8113D5">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65F6A34E">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5ABBD773">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3ACB9B84">
            <w:pPr>
              <w:adjustRightInd w:val="0"/>
              <w:snapToGrid w:val="0"/>
              <w:jc w:val="center"/>
              <w:rPr>
                <w:rFonts w:ascii="Times New Roman" w:hAnsi="Times New Roman" w:eastAsia="宋体" w:cs="Times New Roman"/>
                <w:color w:val="auto"/>
                <w:kern w:val="0"/>
                <w:sz w:val="20"/>
                <w:szCs w:val="20"/>
                <w:highlight w:val="none"/>
              </w:rPr>
            </w:pPr>
          </w:p>
        </w:tc>
      </w:tr>
      <w:tr w14:paraId="4A1EC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1DE230F3">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E2CA30D">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4A526880">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2F896553">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4B25E636">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20CA7B8B">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167199E8">
            <w:pPr>
              <w:adjustRightInd w:val="0"/>
              <w:snapToGrid w:val="0"/>
              <w:jc w:val="center"/>
              <w:rPr>
                <w:rFonts w:ascii="Times New Roman" w:hAnsi="Times New Roman" w:eastAsia="宋体" w:cs="Times New Roman"/>
                <w:color w:val="auto"/>
                <w:kern w:val="0"/>
                <w:sz w:val="20"/>
                <w:szCs w:val="20"/>
                <w:highlight w:val="none"/>
              </w:rPr>
            </w:pPr>
          </w:p>
        </w:tc>
      </w:tr>
      <w:tr w14:paraId="0364B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59B3A540">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7FB96AAC">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506C2604">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11F3F82F">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5B09BE6A">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436ABB9A">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6FDDCAD5">
            <w:pPr>
              <w:adjustRightInd w:val="0"/>
              <w:snapToGrid w:val="0"/>
              <w:jc w:val="center"/>
              <w:rPr>
                <w:rFonts w:ascii="Times New Roman" w:hAnsi="Times New Roman" w:eastAsia="宋体" w:cs="Times New Roman"/>
                <w:color w:val="auto"/>
                <w:kern w:val="0"/>
                <w:sz w:val="20"/>
                <w:szCs w:val="20"/>
                <w:highlight w:val="none"/>
              </w:rPr>
            </w:pPr>
          </w:p>
        </w:tc>
      </w:tr>
      <w:tr w14:paraId="7DFC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69067A0C">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41E07B03">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6431CF36">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3ACE00C8">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2258B4DC">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3928CBB4">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215B8B4A">
            <w:pPr>
              <w:adjustRightInd w:val="0"/>
              <w:snapToGrid w:val="0"/>
              <w:jc w:val="center"/>
              <w:rPr>
                <w:rFonts w:ascii="Times New Roman" w:hAnsi="Times New Roman" w:eastAsia="宋体" w:cs="Times New Roman"/>
                <w:color w:val="auto"/>
                <w:kern w:val="0"/>
                <w:sz w:val="20"/>
                <w:szCs w:val="20"/>
                <w:highlight w:val="none"/>
              </w:rPr>
            </w:pPr>
          </w:p>
        </w:tc>
      </w:tr>
      <w:tr w14:paraId="0D1C8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044F40A5">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2E2AC1DF">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203B9385">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3F226175">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1D3A59F2">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5B26CA26">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75DEE9FA">
            <w:pPr>
              <w:adjustRightInd w:val="0"/>
              <w:snapToGrid w:val="0"/>
              <w:jc w:val="center"/>
              <w:rPr>
                <w:rFonts w:ascii="Times New Roman" w:hAnsi="Times New Roman" w:eastAsia="宋体" w:cs="Times New Roman"/>
                <w:color w:val="auto"/>
                <w:kern w:val="0"/>
                <w:sz w:val="20"/>
                <w:szCs w:val="20"/>
                <w:highlight w:val="none"/>
              </w:rPr>
            </w:pPr>
          </w:p>
        </w:tc>
      </w:tr>
      <w:tr w14:paraId="5551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57C42369">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5B14941">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69BE100D">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729C5DEF">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491287AD">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7E6F42B9">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213AF852">
            <w:pPr>
              <w:adjustRightInd w:val="0"/>
              <w:snapToGrid w:val="0"/>
              <w:jc w:val="center"/>
              <w:rPr>
                <w:rFonts w:ascii="Times New Roman" w:hAnsi="Times New Roman" w:eastAsia="宋体" w:cs="Times New Roman"/>
                <w:color w:val="auto"/>
                <w:kern w:val="0"/>
                <w:sz w:val="20"/>
                <w:szCs w:val="20"/>
                <w:highlight w:val="none"/>
              </w:rPr>
            </w:pPr>
          </w:p>
        </w:tc>
      </w:tr>
      <w:tr w14:paraId="7C06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573309F5">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55BE456">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5E647CF6">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01C4C49B">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62108050">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35A40B8D">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1D4DE8E8">
            <w:pPr>
              <w:adjustRightInd w:val="0"/>
              <w:snapToGrid w:val="0"/>
              <w:jc w:val="center"/>
              <w:rPr>
                <w:rFonts w:ascii="Times New Roman" w:hAnsi="Times New Roman" w:eastAsia="宋体" w:cs="Times New Roman"/>
                <w:color w:val="auto"/>
                <w:kern w:val="0"/>
                <w:sz w:val="20"/>
                <w:szCs w:val="20"/>
                <w:highlight w:val="none"/>
              </w:rPr>
            </w:pPr>
          </w:p>
        </w:tc>
      </w:tr>
      <w:tr w14:paraId="7FE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42BFCAD7">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250A79CB">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244AEDED">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2D4FAC08">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291F22C6">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3AAD4AB5">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2031E699">
            <w:pPr>
              <w:adjustRightInd w:val="0"/>
              <w:snapToGrid w:val="0"/>
              <w:jc w:val="center"/>
              <w:rPr>
                <w:rFonts w:ascii="Times New Roman" w:hAnsi="Times New Roman" w:eastAsia="宋体" w:cs="Times New Roman"/>
                <w:color w:val="auto"/>
                <w:kern w:val="0"/>
                <w:sz w:val="20"/>
                <w:szCs w:val="20"/>
                <w:highlight w:val="none"/>
              </w:rPr>
            </w:pPr>
          </w:p>
        </w:tc>
      </w:tr>
      <w:tr w14:paraId="206C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44929388">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04BD6109">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2E7137A0">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16F535BD">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34BF1C25">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1BB4E260">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4ABA0A58">
            <w:pPr>
              <w:adjustRightInd w:val="0"/>
              <w:snapToGrid w:val="0"/>
              <w:jc w:val="center"/>
              <w:rPr>
                <w:rFonts w:ascii="Times New Roman" w:hAnsi="Times New Roman" w:eastAsia="宋体" w:cs="Times New Roman"/>
                <w:color w:val="auto"/>
                <w:kern w:val="0"/>
                <w:sz w:val="20"/>
                <w:szCs w:val="20"/>
                <w:highlight w:val="none"/>
              </w:rPr>
            </w:pPr>
          </w:p>
        </w:tc>
      </w:tr>
      <w:tr w14:paraId="2279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1E11A1F4">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37E241E1">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14:paraId="0752A1CE">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14:paraId="2CAA0B57">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14:paraId="2E6D59B4">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14:paraId="134E7F23">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14:paraId="15580C7D">
            <w:pPr>
              <w:adjustRightInd w:val="0"/>
              <w:snapToGrid w:val="0"/>
              <w:jc w:val="center"/>
              <w:rPr>
                <w:rFonts w:ascii="Times New Roman" w:hAnsi="Times New Roman" w:eastAsia="宋体" w:cs="Times New Roman"/>
                <w:color w:val="auto"/>
                <w:kern w:val="0"/>
                <w:sz w:val="20"/>
                <w:szCs w:val="20"/>
                <w:highlight w:val="none"/>
              </w:rPr>
            </w:pPr>
          </w:p>
        </w:tc>
      </w:tr>
    </w:tbl>
    <w:p w14:paraId="788C201F">
      <w:pPr>
        <w:spacing w:line="20" w:lineRule="exact"/>
        <w:rPr>
          <w:color w:val="auto"/>
          <w:highlight w:val="none"/>
        </w:rPr>
      </w:pPr>
      <w:r>
        <w:rPr>
          <w:color w:val="auto"/>
          <w:highlight w:val="none"/>
        </w:rPr>
        <w:br w:type="page"/>
      </w:r>
    </w:p>
    <w:p w14:paraId="226AFB2C">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其他项目清单汇总表</w:t>
      </w:r>
    </w:p>
    <w:p w14:paraId="0F8993F7">
      <w:pPr>
        <w:rPr>
          <w:color w:val="auto"/>
          <w:highlight w:val="none"/>
        </w:rPr>
      </w:pPr>
    </w:p>
    <w:p w14:paraId="4CCFF346">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267"/>
        <w:gridCol w:w="3262"/>
        <w:gridCol w:w="1937"/>
      </w:tblGrid>
      <w:tr w14:paraId="29243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57143A1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267" w:type="dxa"/>
            <w:shd w:val="clear" w:color="auto" w:fill="auto"/>
            <w:vAlign w:val="center"/>
          </w:tcPr>
          <w:p w14:paraId="7354481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3262" w:type="dxa"/>
            <w:shd w:val="clear" w:color="auto" w:fill="auto"/>
            <w:vAlign w:val="center"/>
          </w:tcPr>
          <w:p w14:paraId="23083F5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金额（元）</w:t>
            </w:r>
          </w:p>
        </w:tc>
        <w:tc>
          <w:tcPr>
            <w:tcW w:w="1937" w:type="dxa"/>
            <w:shd w:val="clear" w:color="auto" w:fill="auto"/>
            <w:vAlign w:val="center"/>
          </w:tcPr>
          <w:p w14:paraId="575E538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3174C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614C25F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267" w:type="dxa"/>
            <w:shd w:val="clear" w:color="auto" w:fill="auto"/>
            <w:vAlign w:val="center"/>
          </w:tcPr>
          <w:p w14:paraId="727393AF">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材料设备暂估价</w:t>
            </w:r>
          </w:p>
        </w:tc>
        <w:tc>
          <w:tcPr>
            <w:tcW w:w="3262" w:type="dxa"/>
            <w:shd w:val="clear" w:color="auto" w:fill="auto"/>
            <w:vAlign w:val="center"/>
          </w:tcPr>
          <w:p w14:paraId="74E55BC7">
            <w:pPr>
              <w:adjustRightInd w:val="0"/>
              <w:snapToGrid w:val="0"/>
              <w:jc w:val="left"/>
              <w:rPr>
                <w:rFonts w:ascii="Times New Roman" w:hAnsi="Times New Roman" w:eastAsia="宋体" w:cs="Times New Roman"/>
                <w:color w:val="auto"/>
                <w:kern w:val="0"/>
                <w:szCs w:val="21"/>
                <w:highlight w:val="none"/>
              </w:rPr>
            </w:pPr>
          </w:p>
        </w:tc>
        <w:tc>
          <w:tcPr>
            <w:tcW w:w="1937" w:type="dxa"/>
            <w:shd w:val="clear" w:color="auto" w:fill="auto"/>
            <w:vAlign w:val="center"/>
          </w:tcPr>
          <w:p w14:paraId="103A1ADA">
            <w:pPr>
              <w:adjustRightInd w:val="0"/>
              <w:snapToGrid w:val="0"/>
              <w:jc w:val="center"/>
              <w:rPr>
                <w:rFonts w:ascii="Times New Roman" w:hAnsi="Times New Roman" w:eastAsia="宋体" w:cs="Times New Roman"/>
                <w:color w:val="auto"/>
                <w:kern w:val="0"/>
                <w:szCs w:val="21"/>
                <w:highlight w:val="none"/>
              </w:rPr>
            </w:pPr>
          </w:p>
        </w:tc>
      </w:tr>
      <w:tr w14:paraId="642A7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599E0267">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267" w:type="dxa"/>
            <w:shd w:val="clear" w:color="auto" w:fill="auto"/>
            <w:vAlign w:val="center"/>
          </w:tcPr>
          <w:p w14:paraId="65C23285">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计日工</w:t>
            </w:r>
          </w:p>
        </w:tc>
        <w:tc>
          <w:tcPr>
            <w:tcW w:w="3262" w:type="dxa"/>
            <w:shd w:val="clear" w:color="auto" w:fill="auto"/>
            <w:vAlign w:val="center"/>
          </w:tcPr>
          <w:p w14:paraId="552A8A2A">
            <w:pPr>
              <w:adjustRightInd w:val="0"/>
              <w:snapToGrid w:val="0"/>
              <w:rPr>
                <w:rFonts w:ascii="Times New Roman" w:hAnsi="Times New Roman" w:eastAsia="宋体" w:cs="Times New Roman"/>
                <w:color w:val="auto"/>
                <w:kern w:val="0"/>
                <w:szCs w:val="21"/>
                <w:highlight w:val="none"/>
              </w:rPr>
            </w:pPr>
          </w:p>
        </w:tc>
        <w:tc>
          <w:tcPr>
            <w:tcW w:w="1937" w:type="dxa"/>
            <w:shd w:val="clear" w:color="auto" w:fill="auto"/>
            <w:vAlign w:val="center"/>
          </w:tcPr>
          <w:p w14:paraId="010DB0A3">
            <w:pPr>
              <w:adjustRightInd w:val="0"/>
              <w:snapToGrid w:val="0"/>
              <w:jc w:val="center"/>
              <w:rPr>
                <w:rFonts w:ascii="Times New Roman" w:hAnsi="Times New Roman" w:eastAsia="宋体" w:cs="Times New Roman"/>
                <w:color w:val="auto"/>
                <w:kern w:val="0"/>
                <w:szCs w:val="21"/>
                <w:highlight w:val="none"/>
              </w:rPr>
            </w:pPr>
          </w:p>
        </w:tc>
      </w:tr>
      <w:tr w14:paraId="1FBF6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3CD4D7B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267" w:type="dxa"/>
            <w:shd w:val="clear" w:color="auto" w:fill="auto"/>
            <w:vAlign w:val="center"/>
          </w:tcPr>
          <w:p w14:paraId="400BCE81">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总承包服务费</w:t>
            </w:r>
          </w:p>
        </w:tc>
        <w:tc>
          <w:tcPr>
            <w:tcW w:w="3262" w:type="dxa"/>
            <w:shd w:val="clear" w:color="auto" w:fill="auto"/>
            <w:vAlign w:val="center"/>
          </w:tcPr>
          <w:p w14:paraId="2DCDF8D6">
            <w:pPr>
              <w:adjustRightInd w:val="0"/>
              <w:snapToGrid w:val="0"/>
              <w:jc w:val="left"/>
              <w:rPr>
                <w:rFonts w:ascii="Times New Roman" w:hAnsi="Times New Roman" w:eastAsia="宋体" w:cs="Times New Roman"/>
                <w:color w:val="auto"/>
                <w:kern w:val="0"/>
                <w:szCs w:val="21"/>
                <w:highlight w:val="none"/>
              </w:rPr>
            </w:pPr>
          </w:p>
        </w:tc>
        <w:tc>
          <w:tcPr>
            <w:tcW w:w="1937" w:type="dxa"/>
            <w:shd w:val="clear" w:color="auto" w:fill="auto"/>
            <w:vAlign w:val="center"/>
          </w:tcPr>
          <w:p w14:paraId="67CCA748">
            <w:pPr>
              <w:adjustRightInd w:val="0"/>
              <w:snapToGrid w:val="0"/>
              <w:jc w:val="center"/>
              <w:rPr>
                <w:rFonts w:ascii="Times New Roman" w:hAnsi="Times New Roman" w:eastAsia="宋体" w:cs="Times New Roman"/>
                <w:color w:val="auto"/>
                <w:kern w:val="0"/>
                <w:szCs w:val="21"/>
                <w:highlight w:val="none"/>
              </w:rPr>
            </w:pPr>
          </w:p>
        </w:tc>
      </w:tr>
      <w:tr w14:paraId="78AB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25B9E331">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4689C871">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4B054A0D">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0703304C">
            <w:pPr>
              <w:adjustRightInd w:val="0"/>
              <w:snapToGrid w:val="0"/>
              <w:jc w:val="center"/>
              <w:rPr>
                <w:rFonts w:ascii="Times New Roman" w:hAnsi="Times New Roman" w:eastAsia="宋体" w:cs="Times New Roman"/>
                <w:color w:val="auto"/>
                <w:kern w:val="0"/>
                <w:sz w:val="20"/>
                <w:szCs w:val="20"/>
                <w:highlight w:val="none"/>
              </w:rPr>
            </w:pPr>
          </w:p>
        </w:tc>
      </w:tr>
      <w:tr w14:paraId="16CC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6350F3BE">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607AC39B">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26F5B913">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40A71059">
            <w:pPr>
              <w:adjustRightInd w:val="0"/>
              <w:snapToGrid w:val="0"/>
              <w:jc w:val="center"/>
              <w:rPr>
                <w:rFonts w:ascii="Times New Roman" w:hAnsi="Times New Roman" w:eastAsia="宋体" w:cs="Times New Roman"/>
                <w:color w:val="auto"/>
                <w:kern w:val="0"/>
                <w:sz w:val="20"/>
                <w:szCs w:val="20"/>
                <w:highlight w:val="none"/>
              </w:rPr>
            </w:pPr>
          </w:p>
        </w:tc>
      </w:tr>
      <w:tr w14:paraId="6D05C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7BE82AC5">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38C66BBD">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360E48E4">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2E565760">
            <w:pPr>
              <w:adjustRightInd w:val="0"/>
              <w:snapToGrid w:val="0"/>
              <w:jc w:val="center"/>
              <w:rPr>
                <w:rFonts w:ascii="Times New Roman" w:hAnsi="Times New Roman" w:eastAsia="宋体" w:cs="Times New Roman"/>
                <w:color w:val="auto"/>
                <w:kern w:val="0"/>
                <w:sz w:val="20"/>
                <w:szCs w:val="20"/>
                <w:highlight w:val="none"/>
              </w:rPr>
            </w:pPr>
          </w:p>
        </w:tc>
      </w:tr>
      <w:tr w14:paraId="05B9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54525606">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0CFB6A5E">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4BD112B4">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440E507E">
            <w:pPr>
              <w:adjustRightInd w:val="0"/>
              <w:snapToGrid w:val="0"/>
              <w:jc w:val="center"/>
              <w:rPr>
                <w:rFonts w:ascii="Times New Roman" w:hAnsi="Times New Roman" w:eastAsia="宋体" w:cs="Times New Roman"/>
                <w:color w:val="auto"/>
                <w:kern w:val="0"/>
                <w:sz w:val="20"/>
                <w:szCs w:val="20"/>
                <w:highlight w:val="none"/>
              </w:rPr>
            </w:pPr>
          </w:p>
        </w:tc>
      </w:tr>
      <w:tr w14:paraId="1001A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2164DF01">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28B67994">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1E5C52CD">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4C75A63E">
            <w:pPr>
              <w:adjustRightInd w:val="0"/>
              <w:snapToGrid w:val="0"/>
              <w:jc w:val="center"/>
              <w:rPr>
                <w:rFonts w:ascii="Times New Roman" w:hAnsi="Times New Roman" w:eastAsia="宋体" w:cs="Times New Roman"/>
                <w:color w:val="auto"/>
                <w:kern w:val="0"/>
                <w:sz w:val="20"/>
                <w:szCs w:val="20"/>
                <w:highlight w:val="none"/>
              </w:rPr>
            </w:pPr>
          </w:p>
        </w:tc>
      </w:tr>
      <w:tr w14:paraId="0AC20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5A2DDF4D">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51B42C69">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0A73929B">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76D83B3A">
            <w:pPr>
              <w:adjustRightInd w:val="0"/>
              <w:snapToGrid w:val="0"/>
              <w:jc w:val="center"/>
              <w:rPr>
                <w:rFonts w:ascii="Times New Roman" w:hAnsi="Times New Roman" w:eastAsia="宋体" w:cs="Times New Roman"/>
                <w:color w:val="auto"/>
                <w:kern w:val="0"/>
                <w:sz w:val="20"/>
                <w:szCs w:val="20"/>
                <w:highlight w:val="none"/>
              </w:rPr>
            </w:pPr>
          </w:p>
        </w:tc>
      </w:tr>
      <w:tr w14:paraId="598B8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7B6F5AAF">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002F7D2D">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22796245">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53211AA0">
            <w:pPr>
              <w:adjustRightInd w:val="0"/>
              <w:snapToGrid w:val="0"/>
              <w:jc w:val="center"/>
              <w:rPr>
                <w:rFonts w:ascii="Times New Roman" w:hAnsi="Times New Roman" w:eastAsia="宋体" w:cs="Times New Roman"/>
                <w:color w:val="auto"/>
                <w:kern w:val="0"/>
                <w:sz w:val="20"/>
                <w:szCs w:val="20"/>
                <w:highlight w:val="none"/>
              </w:rPr>
            </w:pPr>
          </w:p>
        </w:tc>
      </w:tr>
      <w:tr w14:paraId="4103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3D00FB94">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4018A60B">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3FA07EAE">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0D9B9733">
            <w:pPr>
              <w:adjustRightInd w:val="0"/>
              <w:snapToGrid w:val="0"/>
              <w:jc w:val="center"/>
              <w:rPr>
                <w:rFonts w:ascii="Times New Roman" w:hAnsi="Times New Roman" w:eastAsia="宋体" w:cs="Times New Roman"/>
                <w:color w:val="auto"/>
                <w:kern w:val="0"/>
                <w:sz w:val="20"/>
                <w:szCs w:val="20"/>
                <w:highlight w:val="none"/>
              </w:rPr>
            </w:pPr>
          </w:p>
        </w:tc>
      </w:tr>
      <w:tr w14:paraId="2CAA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1EA379F8">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08E578B0">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59947243">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73D62C3F">
            <w:pPr>
              <w:adjustRightInd w:val="0"/>
              <w:snapToGrid w:val="0"/>
              <w:jc w:val="center"/>
              <w:rPr>
                <w:rFonts w:ascii="Times New Roman" w:hAnsi="Times New Roman" w:eastAsia="宋体" w:cs="Times New Roman"/>
                <w:color w:val="auto"/>
                <w:kern w:val="0"/>
                <w:sz w:val="20"/>
                <w:szCs w:val="20"/>
                <w:highlight w:val="none"/>
              </w:rPr>
            </w:pPr>
          </w:p>
        </w:tc>
      </w:tr>
      <w:tr w14:paraId="6012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74319643">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41FC1E22">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70916715">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14A4657A">
            <w:pPr>
              <w:adjustRightInd w:val="0"/>
              <w:snapToGrid w:val="0"/>
              <w:jc w:val="center"/>
              <w:rPr>
                <w:rFonts w:ascii="Times New Roman" w:hAnsi="Times New Roman" w:eastAsia="宋体" w:cs="Times New Roman"/>
                <w:color w:val="auto"/>
                <w:kern w:val="0"/>
                <w:sz w:val="20"/>
                <w:szCs w:val="20"/>
                <w:highlight w:val="none"/>
              </w:rPr>
            </w:pPr>
          </w:p>
        </w:tc>
      </w:tr>
      <w:tr w14:paraId="09FA9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7C6ABB74">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228BF65F">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3191E438">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58A4EE14">
            <w:pPr>
              <w:adjustRightInd w:val="0"/>
              <w:snapToGrid w:val="0"/>
              <w:jc w:val="center"/>
              <w:rPr>
                <w:rFonts w:ascii="Times New Roman" w:hAnsi="Times New Roman" w:eastAsia="宋体" w:cs="Times New Roman"/>
                <w:color w:val="auto"/>
                <w:kern w:val="0"/>
                <w:sz w:val="20"/>
                <w:szCs w:val="20"/>
                <w:highlight w:val="none"/>
              </w:rPr>
            </w:pPr>
          </w:p>
        </w:tc>
      </w:tr>
      <w:tr w14:paraId="352D4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20E9BE09">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32AF4A0B">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58753AEA">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04FB28F9">
            <w:pPr>
              <w:adjustRightInd w:val="0"/>
              <w:snapToGrid w:val="0"/>
              <w:jc w:val="center"/>
              <w:rPr>
                <w:rFonts w:ascii="Times New Roman" w:hAnsi="Times New Roman" w:eastAsia="宋体" w:cs="Times New Roman"/>
                <w:color w:val="auto"/>
                <w:kern w:val="0"/>
                <w:sz w:val="20"/>
                <w:szCs w:val="20"/>
                <w:highlight w:val="none"/>
              </w:rPr>
            </w:pPr>
          </w:p>
        </w:tc>
      </w:tr>
      <w:tr w14:paraId="0B708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300518F0">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79D5E9D1">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47911312">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5E457A11">
            <w:pPr>
              <w:adjustRightInd w:val="0"/>
              <w:snapToGrid w:val="0"/>
              <w:jc w:val="center"/>
              <w:rPr>
                <w:rFonts w:ascii="Times New Roman" w:hAnsi="Times New Roman" w:eastAsia="宋体" w:cs="Times New Roman"/>
                <w:color w:val="auto"/>
                <w:kern w:val="0"/>
                <w:sz w:val="20"/>
                <w:szCs w:val="20"/>
                <w:highlight w:val="none"/>
              </w:rPr>
            </w:pPr>
          </w:p>
        </w:tc>
      </w:tr>
      <w:tr w14:paraId="57163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188D01C1">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2A8130D7">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0179F928">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3C06D0FE">
            <w:pPr>
              <w:adjustRightInd w:val="0"/>
              <w:snapToGrid w:val="0"/>
              <w:jc w:val="center"/>
              <w:rPr>
                <w:rFonts w:ascii="Times New Roman" w:hAnsi="Times New Roman" w:eastAsia="宋体" w:cs="Times New Roman"/>
                <w:color w:val="auto"/>
                <w:kern w:val="0"/>
                <w:sz w:val="20"/>
                <w:szCs w:val="20"/>
                <w:highlight w:val="none"/>
              </w:rPr>
            </w:pPr>
          </w:p>
        </w:tc>
      </w:tr>
      <w:tr w14:paraId="6CD41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14:paraId="463F0925">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14:paraId="5CCE4BD9">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14:paraId="6FAE9D46">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14:paraId="1DC95C4A">
            <w:pPr>
              <w:adjustRightInd w:val="0"/>
              <w:snapToGrid w:val="0"/>
              <w:jc w:val="center"/>
              <w:rPr>
                <w:rFonts w:ascii="Times New Roman" w:hAnsi="Times New Roman" w:eastAsia="宋体" w:cs="Times New Roman"/>
                <w:color w:val="auto"/>
                <w:kern w:val="0"/>
                <w:sz w:val="20"/>
                <w:szCs w:val="20"/>
                <w:highlight w:val="none"/>
              </w:rPr>
            </w:pPr>
          </w:p>
        </w:tc>
      </w:tr>
      <w:tr w14:paraId="47BE8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81" w:type="dxa"/>
            <w:gridSpan w:val="2"/>
            <w:shd w:val="clear" w:color="auto" w:fill="auto"/>
            <w:vAlign w:val="center"/>
          </w:tcPr>
          <w:p w14:paraId="73BAF249">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3262" w:type="dxa"/>
            <w:shd w:val="clear" w:color="auto" w:fill="auto"/>
            <w:vAlign w:val="center"/>
          </w:tcPr>
          <w:p w14:paraId="2C727924">
            <w:pPr>
              <w:adjustRightInd w:val="0"/>
              <w:snapToGrid w:val="0"/>
              <w:jc w:val="left"/>
              <w:rPr>
                <w:rFonts w:ascii="Times New Roman" w:hAnsi="Times New Roman" w:eastAsia="宋体" w:cs="Times New Roman"/>
                <w:color w:val="auto"/>
                <w:kern w:val="0"/>
                <w:szCs w:val="21"/>
                <w:highlight w:val="none"/>
              </w:rPr>
            </w:pPr>
          </w:p>
        </w:tc>
        <w:tc>
          <w:tcPr>
            <w:tcW w:w="1937" w:type="dxa"/>
            <w:shd w:val="clear" w:color="auto" w:fill="auto"/>
            <w:vAlign w:val="center"/>
          </w:tcPr>
          <w:p w14:paraId="32081FE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w:t>
            </w:r>
          </w:p>
        </w:tc>
      </w:tr>
    </w:tbl>
    <w:p w14:paraId="4D7FC582">
      <w:pPr>
        <w:spacing w:line="20" w:lineRule="exact"/>
        <w:rPr>
          <w:color w:val="auto"/>
          <w:highlight w:val="none"/>
        </w:rPr>
      </w:pPr>
      <w:r>
        <w:rPr>
          <w:color w:val="auto"/>
          <w:highlight w:val="none"/>
        </w:rPr>
        <w:br w:type="page"/>
      </w:r>
    </w:p>
    <w:p w14:paraId="6CB595AA">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材料设备暂估价表</w:t>
      </w:r>
    </w:p>
    <w:p w14:paraId="62508385">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14"/>
        <w:gridCol w:w="828"/>
        <w:gridCol w:w="711"/>
        <w:gridCol w:w="1326"/>
        <w:gridCol w:w="1800"/>
        <w:gridCol w:w="1294"/>
      </w:tblGrid>
      <w:tr w14:paraId="16A7E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4B22F4A9">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514" w:type="dxa"/>
            <w:shd w:val="clear" w:color="auto" w:fill="auto"/>
            <w:vAlign w:val="center"/>
          </w:tcPr>
          <w:p w14:paraId="5BC1727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材料名称、规格、型号</w:t>
            </w:r>
          </w:p>
        </w:tc>
        <w:tc>
          <w:tcPr>
            <w:tcW w:w="828" w:type="dxa"/>
            <w:shd w:val="clear" w:color="auto" w:fill="auto"/>
            <w:vAlign w:val="center"/>
          </w:tcPr>
          <w:p w14:paraId="09699CA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计量单位</w:t>
            </w:r>
          </w:p>
        </w:tc>
        <w:tc>
          <w:tcPr>
            <w:tcW w:w="711" w:type="dxa"/>
            <w:shd w:val="clear" w:color="auto" w:fill="auto"/>
            <w:vAlign w:val="center"/>
          </w:tcPr>
          <w:p w14:paraId="0CFA9C3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326" w:type="dxa"/>
            <w:shd w:val="clear" w:color="auto" w:fill="auto"/>
            <w:vAlign w:val="center"/>
          </w:tcPr>
          <w:p w14:paraId="0330942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暂估单价</w:t>
            </w:r>
          </w:p>
          <w:p w14:paraId="16CD5D1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（元）</w:t>
            </w:r>
          </w:p>
        </w:tc>
        <w:tc>
          <w:tcPr>
            <w:tcW w:w="1800" w:type="dxa"/>
            <w:shd w:val="clear" w:color="auto" w:fill="auto"/>
            <w:vAlign w:val="center"/>
          </w:tcPr>
          <w:p w14:paraId="40A4E1BF">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暂估合价</w:t>
            </w:r>
          </w:p>
          <w:p w14:paraId="04A940B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（元）</w:t>
            </w:r>
          </w:p>
        </w:tc>
        <w:tc>
          <w:tcPr>
            <w:tcW w:w="1294" w:type="dxa"/>
            <w:shd w:val="clear" w:color="auto" w:fill="auto"/>
            <w:vAlign w:val="center"/>
          </w:tcPr>
          <w:p w14:paraId="107ACD6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58017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56E54896">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6D15E3CA">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38050E5C">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2FB6833E">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7F6E060E">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7276FA42">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4C6E8EAD">
            <w:pPr>
              <w:adjustRightInd w:val="0"/>
              <w:snapToGrid w:val="0"/>
              <w:jc w:val="center"/>
              <w:rPr>
                <w:rFonts w:ascii="Times New Roman" w:hAnsi="Times New Roman" w:eastAsia="宋体" w:cs="Times New Roman"/>
                <w:color w:val="auto"/>
                <w:kern w:val="0"/>
                <w:sz w:val="20"/>
                <w:szCs w:val="20"/>
                <w:highlight w:val="none"/>
              </w:rPr>
            </w:pPr>
          </w:p>
        </w:tc>
      </w:tr>
      <w:tr w14:paraId="45FD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6B2A750F">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3ED90A00">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5CE88657">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2EEAA289">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42CD6CCD">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218DC772">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27FEC52C">
            <w:pPr>
              <w:adjustRightInd w:val="0"/>
              <w:snapToGrid w:val="0"/>
              <w:jc w:val="center"/>
              <w:rPr>
                <w:rFonts w:ascii="Times New Roman" w:hAnsi="Times New Roman" w:eastAsia="宋体" w:cs="Times New Roman"/>
                <w:color w:val="auto"/>
                <w:kern w:val="0"/>
                <w:sz w:val="20"/>
                <w:szCs w:val="20"/>
                <w:highlight w:val="none"/>
              </w:rPr>
            </w:pPr>
          </w:p>
        </w:tc>
      </w:tr>
      <w:tr w14:paraId="38139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4DA6ED8D">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11536949">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629EC0F3">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469F57C3">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5CD58234">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068946DD">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446CC3C9">
            <w:pPr>
              <w:adjustRightInd w:val="0"/>
              <w:snapToGrid w:val="0"/>
              <w:jc w:val="center"/>
              <w:rPr>
                <w:rFonts w:ascii="Times New Roman" w:hAnsi="Times New Roman" w:eastAsia="宋体" w:cs="Times New Roman"/>
                <w:color w:val="auto"/>
                <w:kern w:val="0"/>
                <w:sz w:val="20"/>
                <w:szCs w:val="20"/>
                <w:highlight w:val="none"/>
              </w:rPr>
            </w:pPr>
          </w:p>
        </w:tc>
      </w:tr>
      <w:tr w14:paraId="26B6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11DD6D10">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0B0AC048">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1B1582BA">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59DC3790">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15FD7502">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79466719">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52F4D4F5">
            <w:pPr>
              <w:adjustRightInd w:val="0"/>
              <w:snapToGrid w:val="0"/>
              <w:jc w:val="center"/>
              <w:rPr>
                <w:rFonts w:ascii="Times New Roman" w:hAnsi="Times New Roman" w:eastAsia="宋体" w:cs="Times New Roman"/>
                <w:color w:val="auto"/>
                <w:kern w:val="0"/>
                <w:sz w:val="20"/>
                <w:szCs w:val="20"/>
                <w:highlight w:val="none"/>
              </w:rPr>
            </w:pPr>
          </w:p>
        </w:tc>
      </w:tr>
      <w:tr w14:paraId="72FD1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62416A05">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5279D8A3">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4A9B315E">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3369B725">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00CCE4A3">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614A420E">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3A8319DD">
            <w:pPr>
              <w:adjustRightInd w:val="0"/>
              <w:snapToGrid w:val="0"/>
              <w:jc w:val="center"/>
              <w:rPr>
                <w:rFonts w:ascii="Times New Roman" w:hAnsi="Times New Roman" w:eastAsia="宋体" w:cs="Times New Roman"/>
                <w:color w:val="auto"/>
                <w:kern w:val="0"/>
                <w:sz w:val="20"/>
                <w:szCs w:val="20"/>
                <w:highlight w:val="none"/>
              </w:rPr>
            </w:pPr>
          </w:p>
        </w:tc>
      </w:tr>
      <w:tr w14:paraId="14D73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2C05FBFE">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1F045752">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480D8A33">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6EE81AA2">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07B48139">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70D04E77">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11E9DB0C">
            <w:pPr>
              <w:adjustRightInd w:val="0"/>
              <w:snapToGrid w:val="0"/>
              <w:jc w:val="center"/>
              <w:rPr>
                <w:rFonts w:ascii="Times New Roman" w:hAnsi="Times New Roman" w:eastAsia="宋体" w:cs="Times New Roman"/>
                <w:color w:val="auto"/>
                <w:kern w:val="0"/>
                <w:sz w:val="20"/>
                <w:szCs w:val="20"/>
                <w:highlight w:val="none"/>
              </w:rPr>
            </w:pPr>
          </w:p>
        </w:tc>
      </w:tr>
      <w:tr w14:paraId="46F2E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4C7B77B5">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0EE9F8F1">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1455F4E9">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67AC27A7">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03C9A9D6">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72553395">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67A26B0C">
            <w:pPr>
              <w:adjustRightInd w:val="0"/>
              <w:snapToGrid w:val="0"/>
              <w:jc w:val="center"/>
              <w:rPr>
                <w:rFonts w:ascii="Times New Roman" w:hAnsi="Times New Roman" w:eastAsia="宋体" w:cs="Times New Roman"/>
                <w:color w:val="auto"/>
                <w:kern w:val="0"/>
                <w:sz w:val="20"/>
                <w:szCs w:val="20"/>
                <w:highlight w:val="none"/>
              </w:rPr>
            </w:pPr>
          </w:p>
        </w:tc>
      </w:tr>
      <w:tr w14:paraId="4C47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34DA10F7">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12EEC8D0">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6169E98F">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50C1D9C1">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664E5957">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674EDC5A">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2DB47164">
            <w:pPr>
              <w:adjustRightInd w:val="0"/>
              <w:snapToGrid w:val="0"/>
              <w:jc w:val="center"/>
              <w:rPr>
                <w:rFonts w:ascii="Times New Roman" w:hAnsi="Times New Roman" w:eastAsia="宋体" w:cs="Times New Roman"/>
                <w:color w:val="auto"/>
                <w:kern w:val="0"/>
                <w:sz w:val="20"/>
                <w:szCs w:val="20"/>
                <w:highlight w:val="none"/>
              </w:rPr>
            </w:pPr>
          </w:p>
        </w:tc>
      </w:tr>
      <w:tr w14:paraId="10C85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1EC7AA62">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5B7D1D67">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70F79D7A">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05B36271">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56F8B220">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5CB87E16">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7B4EE5CC">
            <w:pPr>
              <w:adjustRightInd w:val="0"/>
              <w:snapToGrid w:val="0"/>
              <w:jc w:val="center"/>
              <w:rPr>
                <w:rFonts w:ascii="Times New Roman" w:hAnsi="Times New Roman" w:eastAsia="宋体" w:cs="Times New Roman"/>
                <w:color w:val="auto"/>
                <w:kern w:val="0"/>
                <w:sz w:val="20"/>
                <w:szCs w:val="20"/>
                <w:highlight w:val="none"/>
              </w:rPr>
            </w:pPr>
          </w:p>
        </w:tc>
      </w:tr>
      <w:tr w14:paraId="54EF1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0C3F5F1E">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2F7E0A12">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2995638A">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0C3A2686">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3958D815">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6A796D0F">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4909CBF2">
            <w:pPr>
              <w:adjustRightInd w:val="0"/>
              <w:snapToGrid w:val="0"/>
              <w:jc w:val="center"/>
              <w:rPr>
                <w:rFonts w:ascii="Times New Roman" w:hAnsi="Times New Roman" w:eastAsia="宋体" w:cs="Times New Roman"/>
                <w:color w:val="auto"/>
                <w:kern w:val="0"/>
                <w:sz w:val="20"/>
                <w:szCs w:val="20"/>
                <w:highlight w:val="none"/>
              </w:rPr>
            </w:pPr>
          </w:p>
        </w:tc>
      </w:tr>
      <w:tr w14:paraId="61C9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0207ADA9">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38163CCF">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7D7B4B3C">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262AA3CC">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269FB03C">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4EC23DB5">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7056BC30">
            <w:pPr>
              <w:adjustRightInd w:val="0"/>
              <w:snapToGrid w:val="0"/>
              <w:jc w:val="center"/>
              <w:rPr>
                <w:rFonts w:ascii="Times New Roman" w:hAnsi="Times New Roman" w:eastAsia="宋体" w:cs="Times New Roman"/>
                <w:color w:val="auto"/>
                <w:kern w:val="0"/>
                <w:sz w:val="20"/>
                <w:szCs w:val="20"/>
                <w:highlight w:val="none"/>
              </w:rPr>
            </w:pPr>
          </w:p>
        </w:tc>
      </w:tr>
      <w:tr w14:paraId="1890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55C89658">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1206F737">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3C60C6EB">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1DBD4350">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5A19EEC5">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4835700F">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5C883F64">
            <w:pPr>
              <w:adjustRightInd w:val="0"/>
              <w:snapToGrid w:val="0"/>
              <w:jc w:val="center"/>
              <w:rPr>
                <w:rFonts w:ascii="Times New Roman" w:hAnsi="Times New Roman" w:eastAsia="宋体" w:cs="Times New Roman"/>
                <w:color w:val="auto"/>
                <w:kern w:val="0"/>
                <w:sz w:val="20"/>
                <w:szCs w:val="20"/>
                <w:highlight w:val="none"/>
              </w:rPr>
            </w:pPr>
          </w:p>
        </w:tc>
      </w:tr>
      <w:tr w14:paraId="1184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3CA7B194">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3DFFAAF3">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308834E7">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177F6025">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197CA029">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44EE317C">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574905AC">
            <w:pPr>
              <w:adjustRightInd w:val="0"/>
              <w:snapToGrid w:val="0"/>
              <w:jc w:val="center"/>
              <w:rPr>
                <w:rFonts w:ascii="Times New Roman" w:hAnsi="Times New Roman" w:eastAsia="宋体" w:cs="Times New Roman"/>
                <w:color w:val="auto"/>
                <w:kern w:val="0"/>
                <w:sz w:val="20"/>
                <w:szCs w:val="20"/>
                <w:highlight w:val="none"/>
              </w:rPr>
            </w:pPr>
          </w:p>
        </w:tc>
      </w:tr>
      <w:tr w14:paraId="66E6A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03ACF85A">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398A4C5D">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1A2D9440">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45CCE6ED">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385138F7">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4C1C241D">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12D0AF91">
            <w:pPr>
              <w:adjustRightInd w:val="0"/>
              <w:snapToGrid w:val="0"/>
              <w:jc w:val="center"/>
              <w:rPr>
                <w:rFonts w:ascii="Times New Roman" w:hAnsi="Times New Roman" w:eastAsia="宋体" w:cs="Times New Roman"/>
                <w:color w:val="auto"/>
                <w:kern w:val="0"/>
                <w:sz w:val="20"/>
                <w:szCs w:val="20"/>
                <w:highlight w:val="none"/>
              </w:rPr>
            </w:pPr>
          </w:p>
        </w:tc>
      </w:tr>
      <w:tr w14:paraId="48BA0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5CBDCBEE">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10C74262">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6D7F296A">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57FC8089">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5CF1B0D2">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10B1264D">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55DBA1F7">
            <w:pPr>
              <w:adjustRightInd w:val="0"/>
              <w:snapToGrid w:val="0"/>
              <w:jc w:val="center"/>
              <w:rPr>
                <w:rFonts w:ascii="Times New Roman" w:hAnsi="Times New Roman" w:eastAsia="宋体" w:cs="Times New Roman"/>
                <w:color w:val="auto"/>
                <w:kern w:val="0"/>
                <w:sz w:val="20"/>
                <w:szCs w:val="20"/>
                <w:highlight w:val="none"/>
              </w:rPr>
            </w:pPr>
          </w:p>
        </w:tc>
      </w:tr>
      <w:tr w14:paraId="6C6B0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4E7B0A5C">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4D8C76B6">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4427630F">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11273E0A">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1629FEA6">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6E2BB736">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587CF806">
            <w:pPr>
              <w:adjustRightInd w:val="0"/>
              <w:snapToGrid w:val="0"/>
              <w:jc w:val="center"/>
              <w:rPr>
                <w:rFonts w:ascii="Times New Roman" w:hAnsi="Times New Roman" w:eastAsia="宋体" w:cs="Times New Roman"/>
                <w:color w:val="auto"/>
                <w:kern w:val="0"/>
                <w:sz w:val="20"/>
                <w:szCs w:val="20"/>
                <w:highlight w:val="none"/>
              </w:rPr>
            </w:pPr>
          </w:p>
        </w:tc>
      </w:tr>
      <w:tr w14:paraId="603F4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7B1DCD07">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5CCD0921">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3E9169AB">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30C9475D">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10DB88DC">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41848C2D">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3B91CB40">
            <w:pPr>
              <w:adjustRightInd w:val="0"/>
              <w:snapToGrid w:val="0"/>
              <w:jc w:val="center"/>
              <w:rPr>
                <w:rFonts w:ascii="Times New Roman" w:hAnsi="Times New Roman" w:eastAsia="宋体" w:cs="Times New Roman"/>
                <w:color w:val="auto"/>
                <w:kern w:val="0"/>
                <w:sz w:val="20"/>
                <w:szCs w:val="20"/>
                <w:highlight w:val="none"/>
              </w:rPr>
            </w:pPr>
          </w:p>
        </w:tc>
      </w:tr>
      <w:tr w14:paraId="10FA8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14:paraId="600872DB">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14:paraId="288F5980">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14:paraId="1C70D62D">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14:paraId="3731DC5A">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14:paraId="1190A5DF">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14:paraId="3FC57E4C">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14:paraId="28FDD758">
            <w:pPr>
              <w:adjustRightInd w:val="0"/>
              <w:snapToGrid w:val="0"/>
              <w:jc w:val="center"/>
              <w:rPr>
                <w:rFonts w:ascii="Times New Roman" w:hAnsi="Times New Roman" w:eastAsia="宋体" w:cs="Times New Roman"/>
                <w:color w:val="auto"/>
                <w:kern w:val="0"/>
                <w:sz w:val="20"/>
                <w:szCs w:val="20"/>
                <w:highlight w:val="none"/>
              </w:rPr>
            </w:pPr>
          </w:p>
        </w:tc>
      </w:tr>
      <w:tr w14:paraId="64F8F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4" w:type="dxa"/>
            <w:gridSpan w:val="5"/>
            <w:shd w:val="clear" w:color="auto" w:fill="auto"/>
            <w:vAlign w:val="center"/>
          </w:tcPr>
          <w:p w14:paraId="4D28AB3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1800" w:type="dxa"/>
            <w:shd w:val="clear" w:color="auto" w:fill="auto"/>
            <w:vAlign w:val="center"/>
          </w:tcPr>
          <w:p w14:paraId="38265F7D">
            <w:pPr>
              <w:adjustRightInd w:val="0"/>
              <w:snapToGrid w:val="0"/>
              <w:jc w:val="center"/>
              <w:rPr>
                <w:rFonts w:ascii="Times New Roman" w:hAnsi="Times New Roman" w:eastAsia="宋体" w:cs="Times New Roman"/>
                <w:color w:val="auto"/>
                <w:kern w:val="0"/>
                <w:szCs w:val="21"/>
                <w:highlight w:val="none"/>
              </w:rPr>
            </w:pPr>
          </w:p>
        </w:tc>
        <w:tc>
          <w:tcPr>
            <w:tcW w:w="1294" w:type="dxa"/>
            <w:shd w:val="clear" w:color="auto" w:fill="auto"/>
            <w:vAlign w:val="center"/>
          </w:tcPr>
          <w:p w14:paraId="30F09118">
            <w:pPr>
              <w:adjustRightInd w:val="0"/>
              <w:snapToGrid w:val="0"/>
              <w:jc w:val="center"/>
              <w:rPr>
                <w:rFonts w:ascii="Times New Roman" w:hAnsi="Times New Roman" w:eastAsia="宋体" w:cs="Times New Roman"/>
                <w:color w:val="auto"/>
                <w:kern w:val="0"/>
                <w:szCs w:val="21"/>
                <w:highlight w:val="none"/>
              </w:rPr>
            </w:pPr>
          </w:p>
        </w:tc>
      </w:tr>
    </w:tbl>
    <w:p w14:paraId="70E40DA4">
      <w:pPr>
        <w:spacing w:line="20" w:lineRule="exact"/>
        <w:rPr>
          <w:color w:val="auto"/>
          <w:highlight w:val="none"/>
        </w:rPr>
      </w:pPr>
      <w:r>
        <w:rPr>
          <w:color w:val="auto"/>
          <w:highlight w:val="none"/>
        </w:rPr>
        <w:br w:type="page"/>
      </w:r>
    </w:p>
    <w:p w14:paraId="5D3C3594">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计 日 工 表</w:t>
      </w:r>
    </w:p>
    <w:p w14:paraId="43603973">
      <w:pPr>
        <w:rPr>
          <w:color w:val="auto"/>
          <w:highlight w:val="none"/>
        </w:rPr>
      </w:pPr>
    </w:p>
    <w:p w14:paraId="20B8BBD3">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3792"/>
        <w:gridCol w:w="803"/>
        <w:gridCol w:w="1778"/>
        <w:gridCol w:w="1916"/>
      </w:tblGrid>
      <w:tr w14:paraId="1981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64F81EF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编号</w:t>
            </w:r>
          </w:p>
        </w:tc>
        <w:tc>
          <w:tcPr>
            <w:tcW w:w="3792" w:type="dxa"/>
            <w:shd w:val="clear" w:color="auto" w:fill="auto"/>
            <w:vAlign w:val="center"/>
          </w:tcPr>
          <w:p w14:paraId="623426F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803" w:type="dxa"/>
            <w:shd w:val="clear" w:color="auto" w:fill="auto"/>
            <w:vAlign w:val="center"/>
          </w:tcPr>
          <w:p w14:paraId="216B9BD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1778" w:type="dxa"/>
            <w:shd w:val="clear" w:color="auto" w:fill="auto"/>
            <w:vAlign w:val="center"/>
          </w:tcPr>
          <w:p w14:paraId="26A8A20F">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暂定数量</w:t>
            </w:r>
          </w:p>
        </w:tc>
        <w:tc>
          <w:tcPr>
            <w:tcW w:w="1916" w:type="dxa"/>
            <w:shd w:val="clear" w:color="auto" w:fill="auto"/>
            <w:vAlign w:val="center"/>
          </w:tcPr>
          <w:p w14:paraId="03CDF94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51401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5438E08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一</w:t>
            </w:r>
          </w:p>
        </w:tc>
        <w:tc>
          <w:tcPr>
            <w:tcW w:w="3792" w:type="dxa"/>
            <w:shd w:val="clear" w:color="auto" w:fill="auto"/>
            <w:vAlign w:val="center"/>
          </w:tcPr>
          <w:p w14:paraId="3ACA7D4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人    工</w:t>
            </w:r>
          </w:p>
        </w:tc>
        <w:tc>
          <w:tcPr>
            <w:tcW w:w="803" w:type="dxa"/>
            <w:shd w:val="clear" w:color="auto" w:fill="auto"/>
            <w:vAlign w:val="center"/>
          </w:tcPr>
          <w:p w14:paraId="124B0D66">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6C5D08EC">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4A91298B">
            <w:pPr>
              <w:adjustRightInd w:val="0"/>
              <w:snapToGrid w:val="0"/>
              <w:jc w:val="center"/>
              <w:rPr>
                <w:rFonts w:ascii="Times New Roman" w:hAnsi="Times New Roman" w:eastAsia="宋体" w:cs="Times New Roman"/>
                <w:color w:val="auto"/>
                <w:kern w:val="0"/>
                <w:szCs w:val="21"/>
                <w:highlight w:val="none"/>
              </w:rPr>
            </w:pPr>
          </w:p>
        </w:tc>
      </w:tr>
      <w:tr w14:paraId="1BB76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596A949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792" w:type="dxa"/>
            <w:shd w:val="clear" w:color="auto" w:fill="auto"/>
            <w:vAlign w:val="center"/>
          </w:tcPr>
          <w:p w14:paraId="6A820AA3">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20C1C895">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24073E5">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5C3ABE9D">
            <w:pPr>
              <w:adjustRightInd w:val="0"/>
              <w:snapToGrid w:val="0"/>
              <w:jc w:val="center"/>
              <w:rPr>
                <w:rFonts w:ascii="Times New Roman" w:hAnsi="Times New Roman" w:eastAsia="宋体" w:cs="Times New Roman"/>
                <w:color w:val="auto"/>
                <w:kern w:val="0"/>
                <w:szCs w:val="21"/>
                <w:highlight w:val="none"/>
              </w:rPr>
            </w:pPr>
          </w:p>
        </w:tc>
      </w:tr>
      <w:tr w14:paraId="0F44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6D3440F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792" w:type="dxa"/>
            <w:shd w:val="clear" w:color="auto" w:fill="auto"/>
            <w:vAlign w:val="center"/>
          </w:tcPr>
          <w:p w14:paraId="4A38B407">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53259EB6">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66FAAD3">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70001C93">
            <w:pPr>
              <w:adjustRightInd w:val="0"/>
              <w:snapToGrid w:val="0"/>
              <w:jc w:val="center"/>
              <w:rPr>
                <w:rFonts w:ascii="Times New Roman" w:hAnsi="Times New Roman" w:eastAsia="宋体" w:cs="Times New Roman"/>
                <w:color w:val="auto"/>
                <w:kern w:val="0"/>
                <w:szCs w:val="21"/>
                <w:highlight w:val="none"/>
              </w:rPr>
            </w:pPr>
          </w:p>
        </w:tc>
      </w:tr>
      <w:tr w14:paraId="576FF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15F5064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792" w:type="dxa"/>
            <w:shd w:val="clear" w:color="auto" w:fill="auto"/>
            <w:vAlign w:val="center"/>
          </w:tcPr>
          <w:p w14:paraId="6ED71FD0">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33DEC47F">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1FE245CF">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24BE25E0">
            <w:pPr>
              <w:adjustRightInd w:val="0"/>
              <w:snapToGrid w:val="0"/>
              <w:jc w:val="center"/>
              <w:rPr>
                <w:rFonts w:ascii="Times New Roman" w:hAnsi="Times New Roman" w:eastAsia="宋体" w:cs="Times New Roman"/>
                <w:color w:val="auto"/>
                <w:kern w:val="0"/>
                <w:szCs w:val="21"/>
                <w:highlight w:val="none"/>
              </w:rPr>
            </w:pPr>
          </w:p>
        </w:tc>
      </w:tr>
      <w:tr w14:paraId="48F0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08BA4A6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3792" w:type="dxa"/>
            <w:shd w:val="clear" w:color="auto" w:fill="auto"/>
            <w:vAlign w:val="center"/>
          </w:tcPr>
          <w:p w14:paraId="543A9F3B">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71CCBBC7">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04D68FC5">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42A8C78A">
            <w:pPr>
              <w:adjustRightInd w:val="0"/>
              <w:snapToGrid w:val="0"/>
              <w:jc w:val="center"/>
              <w:rPr>
                <w:rFonts w:ascii="Times New Roman" w:hAnsi="Times New Roman" w:eastAsia="宋体" w:cs="Times New Roman"/>
                <w:color w:val="auto"/>
                <w:kern w:val="0"/>
                <w:szCs w:val="21"/>
                <w:highlight w:val="none"/>
              </w:rPr>
            </w:pPr>
          </w:p>
        </w:tc>
      </w:tr>
      <w:tr w14:paraId="7BE2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0FCEABA6">
            <w:pPr>
              <w:adjustRightInd w:val="0"/>
              <w:snapToGrid w:val="0"/>
              <w:jc w:val="center"/>
              <w:rPr>
                <w:rFonts w:ascii="Times New Roman" w:hAnsi="Times New Roman" w:eastAsia="宋体" w:cs="Times New Roman"/>
                <w:color w:val="auto"/>
                <w:kern w:val="0"/>
                <w:szCs w:val="21"/>
                <w:highlight w:val="none"/>
              </w:rPr>
            </w:pPr>
          </w:p>
        </w:tc>
        <w:tc>
          <w:tcPr>
            <w:tcW w:w="3792" w:type="dxa"/>
            <w:shd w:val="clear" w:color="auto" w:fill="auto"/>
            <w:vAlign w:val="center"/>
          </w:tcPr>
          <w:p w14:paraId="0E6B793C">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69304A2C">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46B4A98">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1A3E7C12">
            <w:pPr>
              <w:adjustRightInd w:val="0"/>
              <w:snapToGrid w:val="0"/>
              <w:jc w:val="center"/>
              <w:rPr>
                <w:rFonts w:ascii="Times New Roman" w:hAnsi="Times New Roman" w:eastAsia="宋体" w:cs="Times New Roman"/>
                <w:color w:val="auto"/>
                <w:kern w:val="0"/>
                <w:szCs w:val="21"/>
                <w:highlight w:val="none"/>
              </w:rPr>
            </w:pPr>
          </w:p>
        </w:tc>
      </w:tr>
      <w:tr w14:paraId="0718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69988FF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二</w:t>
            </w:r>
          </w:p>
        </w:tc>
        <w:tc>
          <w:tcPr>
            <w:tcW w:w="3792" w:type="dxa"/>
            <w:shd w:val="clear" w:color="auto" w:fill="auto"/>
            <w:vAlign w:val="center"/>
          </w:tcPr>
          <w:p w14:paraId="24BA5B2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     料</w:t>
            </w:r>
          </w:p>
        </w:tc>
        <w:tc>
          <w:tcPr>
            <w:tcW w:w="803" w:type="dxa"/>
            <w:shd w:val="clear" w:color="auto" w:fill="auto"/>
            <w:vAlign w:val="center"/>
          </w:tcPr>
          <w:p w14:paraId="41949F86">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C0020B2">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196A5312">
            <w:pPr>
              <w:adjustRightInd w:val="0"/>
              <w:snapToGrid w:val="0"/>
              <w:jc w:val="center"/>
              <w:rPr>
                <w:rFonts w:ascii="Times New Roman" w:hAnsi="Times New Roman" w:eastAsia="宋体" w:cs="Times New Roman"/>
                <w:color w:val="auto"/>
                <w:kern w:val="0"/>
                <w:szCs w:val="21"/>
                <w:highlight w:val="none"/>
              </w:rPr>
            </w:pPr>
          </w:p>
        </w:tc>
      </w:tr>
      <w:tr w14:paraId="676B9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521D36B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792" w:type="dxa"/>
            <w:shd w:val="clear" w:color="auto" w:fill="auto"/>
            <w:vAlign w:val="center"/>
          </w:tcPr>
          <w:p w14:paraId="510C5B50">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5FFFCBC2">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0826C586">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19A51D06">
            <w:pPr>
              <w:adjustRightInd w:val="0"/>
              <w:snapToGrid w:val="0"/>
              <w:jc w:val="center"/>
              <w:rPr>
                <w:rFonts w:ascii="Times New Roman" w:hAnsi="Times New Roman" w:eastAsia="宋体" w:cs="Times New Roman"/>
                <w:color w:val="auto"/>
                <w:kern w:val="0"/>
                <w:szCs w:val="21"/>
                <w:highlight w:val="none"/>
              </w:rPr>
            </w:pPr>
          </w:p>
        </w:tc>
      </w:tr>
      <w:tr w14:paraId="33D07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7E77AF7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792" w:type="dxa"/>
            <w:shd w:val="clear" w:color="auto" w:fill="auto"/>
            <w:vAlign w:val="center"/>
          </w:tcPr>
          <w:p w14:paraId="3EF416F3">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240C1976">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369EB02">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6590E171">
            <w:pPr>
              <w:adjustRightInd w:val="0"/>
              <w:snapToGrid w:val="0"/>
              <w:jc w:val="center"/>
              <w:rPr>
                <w:rFonts w:ascii="Times New Roman" w:hAnsi="Times New Roman" w:eastAsia="宋体" w:cs="Times New Roman"/>
                <w:color w:val="auto"/>
                <w:kern w:val="0"/>
                <w:szCs w:val="21"/>
                <w:highlight w:val="none"/>
              </w:rPr>
            </w:pPr>
          </w:p>
        </w:tc>
      </w:tr>
      <w:tr w14:paraId="1C049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5483C35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792" w:type="dxa"/>
            <w:shd w:val="clear" w:color="auto" w:fill="auto"/>
            <w:vAlign w:val="center"/>
          </w:tcPr>
          <w:p w14:paraId="52BB69E7">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5609DDC1">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4030D55A">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0CD36A90">
            <w:pPr>
              <w:adjustRightInd w:val="0"/>
              <w:snapToGrid w:val="0"/>
              <w:jc w:val="center"/>
              <w:rPr>
                <w:rFonts w:ascii="Times New Roman" w:hAnsi="Times New Roman" w:eastAsia="宋体" w:cs="Times New Roman"/>
                <w:color w:val="auto"/>
                <w:kern w:val="0"/>
                <w:szCs w:val="21"/>
                <w:highlight w:val="none"/>
              </w:rPr>
            </w:pPr>
          </w:p>
        </w:tc>
      </w:tr>
      <w:tr w14:paraId="03E7C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70670977">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3792" w:type="dxa"/>
            <w:shd w:val="clear" w:color="auto" w:fill="auto"/>
            <w:vAlign w:val="center"/>
          </w:tcPr>
          <w:p w14:paraId="6235F19E">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31D77173">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12F0CFB7">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571F8E1B">
            <w:pPr>
              <w:adjustRightInd w:val="0"/>
              <w:snapToGrid w:val="0"/>
              <w:jc w:val="center"/>
              <w:rPr>
                <w:rFonts w:ascii="Times New Roman" w:hAnsi="Times New Roman" w:eastAsia="宋体" w:cs="Times New Roman"/>
                <w:color w:val="auto"/>
                <w:kern w:val="0"/>
                <w:szCs w:val="21"/>
                <w:highlight w:val="none"/>
              </w:rPr>
            </w:pPr>
          </w:p>
        </w:tc>
      </w:tr>
      <w:tr w14:paraId="1EEE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04335079">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5</w:t>
            </w:r>
          </w:p>
        </w:tc>
        <w:tc>
          <w:tcPr>
            <w:tcW w:w="3792" w:type="dxa"/>
            <w:shd w:val="clear" w:color="auto" w:fill="auto"/>
            <w:vAlign w:val="center"/>
          </w:tcPr>
          <w:p w14:paraId="124B554A">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51784E52">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028CE0FE">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745DDB60">
            <w:pPr>
              <w:adjustRightInd w:val="0"/>
              <w:snapToGrid w:val="0"/>
              <w:jc w:val="center"/>
              <w:rPr>
                <w:rFonts w:ascii="Times New Roman" w:hAnsi="Times New Roman" w:eastAsia="宋体" w:cs="Times New Roman"/>
                <w:color w:val="auto"/>
                <w:kern w:val="0"/>
                <w:szCs w:val="21"/>
                <w:highlight w:val="none"/>
              </w:rPr>
            </w:pPr>
          </w:p>
        </w:tc>
      </w:tr>
      <w:tr w14:paraId="252B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2075C079">
            <w:pPr>
              <w:adjustRightInd w:val="0"/>
              <w:snapToGrid w:val="0"/>
              <w:jc w:val="center"/>
              <w:rPr>
                <w:rFonts w:ascii="Times New Roman" w:hAnsi="Times New Roman" w:eastAsia="宋体" w:cs="Times New Roman"/>
                <w:color w:val="auto"/>
                <w:kern w:val="0"/>
                <w:szCs w:val="21"/>
                <w:highlight w:val="none"/>
              </w:rPr>
            </w:pPr>
          </w:p>
        </w:tc>
        <w:tc>
          <w:tcPr>
            <w:tcW w:w="3792" w:type="dxa"/>
            <w:shd w:val="clear" w:color="auto" w:fill="auto"/>
            <w:vAlign w:val="center"/>
          </w:tcPr>
          <w:p w14:paraId="1411E9B7">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5099BF55">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61E91F6C">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51AC556D">
            <w:pPr>
              <w:adjustRightInd w:val="0"/>
              <w:snapToGrid w:val="0"/>
              <w:jc w:val="center"/>
              <w:rPr>
                <w:rFonts w:ascii="Times New Roman" w:hAnsi="Times New Roman" w:eastAsia="宋体" w:cs="Times New Roman"/>
                <w:color w:val="auto"/>
                <w:kern w:val="0"/>
                <w:szCs w:val="21"/>
                <w:highlight w:val="none"/>
              </w:rPr>
            </w:pPr>
          </w:p>
        </w:tc>
      </w:tr>
      <w:tr w14:paraId="360F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7857320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三</w:t>
            </w:r>
          </w:p>
        </w:tc>
        <w:tc>
          <w:tcPr>
            <w:tcW w:w="3792" w:type="dxa"/>
            <w:shd w:val="clear" w:color="auto" w:fill="auto"/>
            <w:vAlign w:val="center"/>
          </w:tcPr>
          <w:p w14:paraId="5219B1F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施 工 机 械</w:t>
            </w:r>
          </w:p>
        </w:tc>
        <w:tc>
          <w:tcPr>
            <w:tcW w:w="803" w:type="dxa"/>
            <w:shd w:val="clear" w:color="auto" w:fill="auto"/>
            <w:vAlign w:val="center"/>
          </w:tcPr>
          <w:p w14:paraId="2EFD4B78">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28898EFD">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4A92B886">
            <w:pPr>
              <w:adjustRightInd w:val="0"/>
              <w:snapToGrid w:val="0"/>
              <w:jc w:val="center"/>
              <w:rPr>
                <w:rFonts w:ascii="Times New Roman" w:hAnsi="Times New Roman" w:eastAsia="宋体" w:cs="Times New Roman"/>
                <w:color w:val="auto"/>
                <w:kern w:val="0"/>
                <w:szCs w:val="21"/>
                <w:highlight w:val="none"/>
              </w:rPr>
            </w:pPr>
          </w:p>
        </w:tc>
      </w:tr>
      <w:tr w14:paraId="6530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3E8F1A7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792" w:type="dxa"/>
            <w:shd w:val="clear" w:color="auto" w:fill="auto"/>
            <w:vAlign w:val="center"/>
          </w:tcPr>
          <w:p w14:paraId="2E47C6C2">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505D6E95">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F9CF99C">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6F8F16D0">
            <w:pPr>
              <w:adjustRightInd w:val="0"/>
              <w:snapToGrid w:val="0"/>
              <w:jc w:val="center"/>
              <w:rPr>
                <w:rFonts w:ascii="Times New Roman" w:hAnsi="Times New Roman" w:eastAsia="宋体" w:cs="Times New Roman"/>
                <w:color w:val="auto"/>
                <w:kern w:val="0"/>
                <w:szCs w:val="21"/>
                <w:highlight w:val="none"/>
              </w:rPr>
            </w:pPr>
          </w:p>
        </w:tc>
      </w:tr>
      <w:tr w14:paraId="37B4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5D9AC4D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792" w:type="dxa"/>
            <w:shd w:val="clear" w:color="auto" w:fill="auto"/>
            <w:vAlign w:val="center"/>
          </w:tcPr>
          <w:p w14:paraId="72C255B2">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36CDF840">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2ACB1EF0">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0E1FC0C4">
            <w:pPr>
              <w:adjustRightInd w:val="0"/>
              <w:snapToGrid w:val="0"/>
              <w:jc w:val="center"/>
              <w:rPr>
                <w:rFonts w:ascii="Times New Roman" w:hAnsi="Times New Roman" w:eastAsia="宋体" w:cs="Times New Roman"/>
                <w:color w:val="auto"/>
                <w:kern w:val="0"/>
                <w:szCs w:val="21"/>
                <w:highlight w:val="none"/>
              </w:rPr>
            </w:pPr>
          </w:p>
        </w:tc>
      </w:tr>
      <w:tr w14:paraId="24A5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55F5387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792" w:type="dxa"/>
            <w:shd w:val="clear" w:color="auto" w:fill="auto"/>
            <w:vAlign w:val="center"/>
          </w:tcPr>
          <w:p w14:paraId="4B8F9CE0">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4934C998">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0B3C0331">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674B536A">
            <w:pPr>
              <w:adjustRightInd w:val="0"/>
              <w:snapToGrid w:val="0"/>
              <w:jc w:val="center"/>
              <w:rPr>
                <w:rFonts w:ascii="Times New Roman" w:hAnsi="Times New Roman" w:eastAsia="宋体" w:cs="Times New Roman"/>
                <w:color w:val="auto"/>
                <w:kern w:val="0"/>
                <w:szCs w:val="21"/>
                <w:highlight w:val="none"/>
              </w:rPr>
            </w:pPr>
          </w:p>
        </w:tc>
      </w:tr>
      <w:tr w14:paraId="67DC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10B98C2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3792" w:type="dxa"/>
            <w:shd w:val="clear" w:color="auto" w:fill="auto"/>
            <w:vAlign w:val="center"/>
          </w:tcPr>
          <w:p w14:paraId="1676C083">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6988B078">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44860EC">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3FF6C450">
            <w:pPr>
              <w:adjustRightInd w:val="0"/>
              <w:snapToGrid w:val="0"/>
              <w:jc w:val="left"/>
              <w:rPr>
                <w:rFonts w:ascii="Times New Roman" w:hAnsi="Times New Roman" w:eastAsia="宋体" w:cs="Times New Roman"/>
                <w:color w:val="auto"/>
                <w:kern w:val="0"/>
                <w:szCs w:val="21"/>
                <w:highlight w:val="none"/>
              </w:rPr>
            </w:pPr>
          </w:p>
        </w:tc>
      </w:tr>
      <w:tr w14:paraId="68278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14:paraId="465BFF8D">
            <w:pPr>
              <w:adjustRightInd w:val="0"/>
              <w:snapToGrid w:val="0"/>
              <w:jc w:val="center"/>
              <w:rPr>
                <w:rFonts w:ascii="Times New Roman" w:hAnsi="Times New Roman" w:eastAsia="宋体" w:cs="Times New Roman"/>
                <w:color w:val="auto"/>
                <w:kern w:val="0"/>
                <w:szCs w:val="21"/>
                <w:highlight w:val="none"/>
              </w:rPr>
            </w:pPr>
          </w:p>
        </w:tc>
        <w:tc>
          <w:tcPr>
            <w:tcW w:w="3792" w:type="dxa"/>
            <w:shd w:val="clear" w:color="auto" w:fill="auto"/>
            <w:vAlign w:val="center"/>
          </w:tcPr>
          <w:p w14:paraId="3B454CAE">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14:paraId="786C9FD3">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14:paraId="75B17541">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14:paraId="722E8257">
            <w:pPr>
              <w:adjustRightInd w:val="0"/>
              <w:snapToGrid w:val="0"/>
              <w:jc w:val="left"/>
              <w:rPr>
                <w:rFonts w:ascii="Times New Roman" w:hAnsi="Times New Roman" w:eastAsia="宋体" w:cs="Times New Roman"/>
                <w:color w:val="auto"/>
                <w:kern w:val="0"/>
                <w:szCs w:val="21"/>
                <w:highlight w:val="none"/>
              </w:rPr>
            </w:pPr>
          </w:p>
        </w:tc>
      </w:tr>
    </w:tbl>
    <w:p w14:paraId="003F9357">
      <w:pPr>
        <w:spacing w:line="20" w:lineRule="exact"/>
        <w:rPr>
          <w:color w:val="auto"/>
          <w:highlight w:val="none"/>
        </w:rPr>
      </w:pPr>
      <w:r>
        <w:rPr>
          <w:color w:val="auto"/>
          <w:highlight w:val="none"/>
        </w:rPr>
        <w:br w:type="page"/>
      </w:r>
    </w:p>
    <w:p w14:paraId="503B5ED7">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总承包服务费表</w:t>
      </w:r>
    </w:p>
    <w:p w14:paraId="06BC3A00">
      <w:pPr>
        <w:rPr>
          <w:color w:val="auto"/>
          <w:highlight w:val="none"/>
        </w:rPr>
      </w:pPr>
    </w:p>
    <w:p w14:paraId="57E79396">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3621"/>
        <w:gridCol w:w="2246"/>
        <w:gridCol w:w="2365"/>
      </w:tblGrid>
      <w:tr w14:paraId="08D08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1350CDF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621" w:type="dxa"/>
            <w:shd w:val="clear" w:color="auto" w:fill="auto"/>
            <w:vAlign w:val="center"/>
          </w:tcPr>
          <w:p w14:paraId="7D825D0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 程 名 称</w:t>
            </w:r>
          </w:p>
        </w:tc>
        <w:tc>
          <w:tcPr>
            <w:tcW w:w="2246" w:type="dxa"/>
            <w:shd w:val="clear" w:color="auto" w:fill="auto"/>
            <w:vAlign w:val="center"/>
          </w:tcPr>
          <w:p w14:paraId="20BEF8F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项目价值（元）</w:t>
            </w:r>
          </w:p>
        </w:tc>
        <w:tc>
          <w:tcPr>
            <w:tcW w:w="2365" w:type="dxa"/>
            <w:shd w:val="clear" w:color="auto" w:fill="auto"/>
            <w:vAlign w:val="center"/>
          </w:tcPr>
          <w:p w14:paraId="751EA51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服务内容</w:t>
            </w:r>
          </w:p>
        </w:tc>
      </w:tr>
      <w:tr w14:paraId="76423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32CA7DB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621" w:type="dxa"/>
            <w:shd w:val="clear" w:color="auto" w:fill="auto"/>
            <w:vAlign w:val="center"/>
          </w:tcPr>
          <w:p w14:paraId="157A853F">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分包管理费</w:t>
            </w:r>
          </w:p>
        </w:tc>
        <w:tc>
          <w:tcPr>
            <w:tcW w:w="2246" w:type="dxa"/>
            <w:shd w:val="clear" w:color="auto" w:fill="auto"/>
            <w:vAlign w:val="center"/>
          </w:tcPr>
          <w:p w14:paraId="6D3120A7">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6F053D78">
            <w:pPr>
              <w:adjustRightInd w:val="0"/>
              <w:snapToGrid w:val="0"/>
              <w:rPr>
                <w:rFonts w:ascii="Times New Roman" w:hAnsi="Times New Roman" w:eastAsia="宋体" w:cs="Times New Roman"/>
                <w:color w:val="auto"/>
                <w:kern w:val="0"/>
                <w:szCs w:val="21"/>
                <w:highlight w:val="none"/>
              </w:rPr>
            </w:pPr>
          </w:p>
        </w:tc>
      </w:tr>
      <w:tr w14:paraId="648B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15D5314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1.1</w:t>
            </w:r>
          </w:p>
        </w:tc>
        <w:tc>
          <w:tcPr>
            <w:tcW w:w="3621" w:type="dxa"/>
            <w:shd w:val="clear" w:color="auto" w:fill="auto"/>
            <w:vAlign w:val="center"/>
          </w:tcPr>
          <w:p w14:paraId="34FC1D9A">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1AF61953">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09644F94">
            <w:pPr>
              <w:adjustRightInd w:val="0"/>
              <w:snapToGrid w:val="0"/>
              <w:rPr>
                <w:rFonts w:ascii="Times New Roman" w:hAnsi="Times New Roman" w:eastAsia="宋体" w:cs="Times New Roman"/>
                <w:color w:val="auto"/>
                <w:kern w:val="0"/>
                <w:szCs w:val="21"/>
                <w:highlight w:val="none"/>
              </w:rPr>
            </w:pPr>
          </w:p>
        </w:tc>
      </w:tr>
      <w:tr w14:paraId="69006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1ED12FA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1.2</w:t>
            </w:r>
          </w:p>
        </w:tc>
        <w:tc>
          <w:tcPr>
            <w:tcW w:w="3621" w:type="dxa"/>
            <w:shd w:val="clear" w:color="auto" w:fill="auto"/>
            <w:vAlign w:val="center"/>
          </w:tcPr>
          <w:p w14:paraId="66484CEF">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382C50B0">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4BDD4655">
            <w:pPr>
              <w:adjustRightInd w:val="0"/>
              <w:snapToGrid w:val="0"/>
              <w:rPr>
                <w:rFonts w:ascii="Times New Roman" w:hAnsi="Times New Roman" w:eastAsia="宋体" w:cs="Times New Roman"/>
                <w:color w:val="auto"/>
                <w:kern w:val="0"/>
                <w:szCs w:val="21"/>
                <w:highlight w:val="none"/>
              </w:rPr>
            </w:pPr>
          </w:p>
        </w:tc>
      </w:tr>
      <w:tr w14:paraId="66B51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352FDCA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1.3</w:t>
            </w:r>
          </w:p>
        </w:tc>
        <w:tc>
          <w:tcPr>
            <w:tcW w:w="3621" w:type="dxa"/>
            <w:shd w:val="clear" w:color="auto" w:fill="auto"/>
            <w:vAlign w:val="center"/>
          </w:tcPr>
          <w:p w14:paraId="3560F927">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34099261">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1C82D441">
            <w:pPr>
              <w:adjustRightInd w:val="0"/>
              <w:snapToGrid w:val="0"/>
              <w:rPr>
                <w:rFonts w:ascii="Times New Roman" w:hAnsi="Times New Roman" w:eastAsia="宋体" w:cs="Times New Roman"/>
                <w:color w:val="auto"/>
                <w:kern w:val="0"/>
                <w:szCs w:val="21"/>
                <w:highlight w:val="none"/>
              </w:rPr>
            </w:pPr>
          </w:p>
        </w:tc>
      </w:tr>
      <w:tr w14:paraId="7BFE3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625ADC0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621" w:type="dxa"/>
            <w:shd w:val="clear" w:color="auto" w:fill="auto"/>
            <w:vAlign w:val="center"/>
          </w:tcPr>
          <w:p w14:paraId="6CDA2DB5">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总分包配合费</w:t>
            </w:r>
          </w:p>
        </w:tc>
        <w:tc>
          <w:tcPr>
            <w:tcW w:w="2246" w:type="dxa"/>
            <w:shd w:val="clear" w:color="auto" w:fill="auto"/>
            <w:vAlign w:val="center"/>
          </w:tcPr>
          <w:p w14:paraId="55F294CB">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5A866B31">
            <w:pPr>
              <w:adjustRightInd w:val="0"/>
              <w:snapToGrid w:val="0"/>
              <w:rPr>
                <w:rFonts w:ascii="Times New Roman" w:hAnsi="Times New Roman" w:eastAsia="宋体" w:cs="Times New Roman"/>
                <w:color w:val="auto"/>
                <w:kern w:val="0"/>
                <w:szCs w:val="21"/>
                <w:highlight w:val="none"/>
              </w:rPr>
            </w:pPr>
          </w:p>
        </w:tc>
      </w:tr>
      <w:tr w14:paraId="063C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35D9CF97">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2.1</w:t>
            </w:r>
          </w:p>
        </w:tc>
        <w:tc>
          <w:tcPr>
            <w:tcW w:w="3621" w:type="dxa"/>
            <w:shd w:val="clear" w:color="auto" w:fill="auto"/>
            <w:vAlign w:val="center"/>
          </w:tcPr>
          <w:p w14:paraId="6659C30B">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65A6F147">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6A0FD2F5">
            <w:pPr>
              <w:adjustRightInd w:val="0"/>
              <w:snapToGrid w:val="0"/>
              <w:rPr>
                <w:rFonts w:ascii="Times New Roman" w:hAnsi="Times New Roman" w:eastAsia="宋体" w:cs="Times New Roman"/>
                <w:color w:val="auto"/>
                <w:kern w:val="0"/>
                <w:szCs w:val="21"/>
                <w:highlight w:val="none"/>
              </w:rPr>
            </w:pPr>
          </w:p>
        </w:tc>
      </w:tr>
      <w:tr w14:paraId="7E616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0574B1E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2.2</w:t>
            </w:r>
          </w:p>
        </w:tc>
        <w:tc>
          <w:tcPr>
            <w:tcW w:w="3621" w:type="dxa"/>
            <w:shd w:val="clear" w:color="auto" w:fill="auto"/>
            <w:vAlign w:val="center"/>
          </w:tcPr>
          <w:p w14:paraId="18A8F0DB">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56188905">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2F7CABF3">
            <w:pPr>
              <w:adjustRightInd w:val="0"/>
              <w:snapToGrid w:val="0"/>
              <w:rPr>
                <w:rFonts w:ascii="Times New Roman" w:hAnsi="Times New Roman" w:eastAsia="宋体" w:cs="Times New Roman"/>
                <w:color w:val="auto"/>
                <w:kern w:val="0"/>
                <w:szCs w:val="21"/>
                <w:highlight w:val="none"/>
              </w:rPr>
            </w:pPr>
          </w:p>
        </w:tc>
      </w:tr>
      <w:tr w14:paraId="4AC75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1E91D44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2.3</w:t>
            </w:r>
          </w:p>
        </w:tc>
        <w:tc>
          <w:tcPr>
            <w:tcW w:w="3621" w:type="dxa"/>
            <w:shd w:val="clear" w:color="auto" w:fill="auto"/>
            <w:vAlign w:val="center"/>
          </w:tcPr>
          <w:p w14:paraId="0E517BCB">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54303E3D">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07FC1B19">
            <w:pPr>
              <w:adjustRightInd w:val="0"/>
              <w:snapToGrid w:val="0"/>
              <w:rPr>
                <w:rFonts w:ascii="Times New Roman" w:hAnsi="Times New Roman" w:eastAsia="宋体" w:cs="Times New Roman"/>
                <w:color w:val="auto"/>
                <w:kern w:val="0"/>
                <w:szCs w:val="21"/>
                <w:highlight w:val="none"/>
              </w:rPr>
            </w:pPr>
          </w:p>
        </w:tc>
      </w:tr>
      <w:tr w14:paraId="09326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1851A4A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621" w:type="dxa"/>
            <w:shd w:val="clear" w:color="auto" w:fill="auto"/>
            <w:vAlign w:val="center"/>
          </w:tcPr>
          <w:p w14:paraId="265D5B82">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发包人供应材料设备保管费</w:t>
            </w:r>
          </w:p>
        </w:tc>
        <w:tc>
          <w:tcPr>
            <w:tcW w:w="2246" w:type="dxa"/>
            <w:shd w:val="clear" w:color="auto" w:fill="auto"/>
            <w:vAlign w:val="center"/>
          </w:tcPr>
          <w:p w14:paraId="0A651C32">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51A394C2">
            <w:pPr>
              <w:adjustRightInd w:val="0"/>
              <w:snapToGrid w:val="0"/>
              <w:rPr>
                <w:rFonts w:ascii="Times New Roman" w:hAnsi="Times New Roman" w:eastAsia="宋体" w:cs="Times New Roman"/>
                <w:color w:val="auto"/>
                <w:kern w:val="0"/>
                <w:szCs w:val="21"/>
                <w:highlight w:val="none"/>
              </w:rPr>
            </w:pPr>
          </w:p>
        </w:tc>
      </w:tr>
      <w:tr w14:paraId="3B8CC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385842ED">
            <w:pPr>
              <w:adjustRightInd w:val="0"/>
              <w:snapToGrid w:val="0"/>
              <w:jc w:val="center"/>
              <w:rPr>
                <w:rFonts w:ascii="Times New Roman" w:hAnsi="Times New Roman" w:eastAsia="宋体" w:cs="Times New Roman"/>
                <w:color w:val="auto"/>
                <w:kern w:val="0"/>
                <w:szCs w:val="21"/>
                <w:highlight w:val="none"/>
              </w:rPr>
            </w:pPr>
          </w:p>
        </w:tc>
        <w:tc>
          <w:tcPr>
            <w:tcW w:w="3621" w:type="dxa"/>
            <w:shd w:val="clear" w:color="auto" w:fill="auto"/>
            <w:vAlign w:val="center"/>
          </w:tcPr>
          <w:p w14:paraId="6948CA07">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778EF3A6">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0BCF6881">
            <w:pPr>
              <w:adjustRightInd w:val="0"/>
              <w:snapToGrid w:val="0"/>
              <w:rPr>
                <w:rFonts w:ascii="Times New Roman" w:hAnsi="Times New Roman" w:eastAsia="宋体" w:cs="Times New Roman"/>
                <w:color w:val="auto"/>
                <w:kern w:val="0"/>
                <w:szCs w:val="21"/>
                <w:highlight w:val="none"/>
              </w:rPr>
            </w:pPr>
          </w:p>
        </w:tc>
      </w:tr>
      <w:tr w14:paraId="07F0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14:paraId="5C319F97">
            <w:pPr>
              <w:adjustRightInd w:val="0"/>
              <w:snapToGrid w:val="0"/>
              <w:jc w:val="center"/>
              <w:rPr>
                <w:rFonts w:ascii="Times New Roman" w:hAnsi="Times New Roman" w:eastAsia="宋体" w:cs="Times New Roman"/>
                <w:color w:val="auto"/>
                <w:kern w:val="0"/>
                <w:szCs w:val="21"/>
                <w:highlight w:val="none"/>
              </w:rPr>
            </w:pPr>
          </w:p>
        </w:tc>
        <w:tc>
          <w:tcPr>
            <w:tcW w:w="3621" w:type="dxa"/>
            <w:shd w:val="clear" w:color="auto" w:fill="auto"/>
            <w:vAlign w:val="center"/>
          </w:tcPr>
          <w:p w14:paraId="0BC8E32D">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14:paraId="272CFBCE">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14:paraId="5487EAEA">
            <w:pPr>
              <w:adjustRightInd w:val="0"/>
              <w:snapToGrid w:val="0"/>
              <w:rPr>
                <w:rFonts w:ascii="Times New Roman" w:hAnsi="Times New Roman" w:eastAsia="宋体" w:cs="Times New Roman"/>
                <w:color w:val="auto"/>
                <w:kern w:val="0"/>
                <w:szCs w:val="21"/>
                <w:highlight w:val="none"/>
              </w:rPr>
            </w:pPr>
          </w:p>
        </w:tc>
      </w:tr>
    </w:tbl>
    <w:p w14:paraId="637E2F37">
      <w:pPr>
        <w:spacing w:line="20" w:lineRule="exact"/>
        <w:rPr>
          <w:color w:val="auto"/>
          <w:highlight w:val="none"/>
        </w:rPr>
      </w:pPr>
      <w:r>
        <w:rPr>
          <w:color w:val="auto"/>
          <w:highlight w:val="none"/>
        </w:rPr>
        <w:br w:type="page"/>
      </w:r>
    </w:p>
    <w:p w14:paraId="255869C1">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发包人供应材料设备明细表</w:t>
      </w:r>
    </w:p>
    <w:p w14:paraId="2E6FD400">
      <w:pPr>
        <w:rPr>
          <w:color w:val="auto"/>
          <w:highlight w:val="none"/>
        </w:rPr>
      </w:pPr>
    </w:p>
    <w:p w14:paraId="59DCF55D">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3196"/>
        <w:gridCol w:w="812"/>
        <w:gridCol w:w="912"/>
        <w:gridCol w:w="1070"/>
        <w:gridCol w:w="1468"/>
        <w:gridCol w:w="1061"/>
      </w:tblGrid>
      <w:tr w14:paraId="0EB4F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77358DA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196" w:type="dxa"/>
            <w:shd w:val="clear" w:color="auto" w:fill="auto"/>
            <w:vAlign w:val="center"/>
          </w:tcPr>
          <w:p w14:paraId="1F0FFEF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材料设备名称、规格及型号</w:t>
            </w:r>
          </w:p>
        </w:tc>
        <w:tc>
          <w:tcPr>
            <w:tcW w:w="812" w:type="dxa"/>
            <w:shd w:val="clear" w:color="auto" w:fill="auto"/>
            <w:vAlign w:val="center"/>
          </w:tcPr>
          <w:p w14:paraId="657D23B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912" w:type="dxa"/>
            <w:shd w:val="clear" w:color="auto" w:fill="auto"/>
            <w:vAlign w:val="center"/>
          </w:tcPr>
          <w:p w14:paraId="32FDEBF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070" w:type="dxa"/>
            <w:shd w:val="clear" w:color="auto" w:fill="auto"/>
            <w:vAlign w:val="center"/>
          </w:tcPr>
          <w:p w14:paraId="01E7ABE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单价（元）</w:t>
            </w:r>
          </w:p>
        </w:tc>
        <w:tc>
          <w:tcPr>
            <w:tcW w:w="1468" w:type="dxa"/>
            <w:shd w:val="clear" w:color="auto" w:fill="auto"/>
            <w:vAlign w:val="center"/>
          </w:tcPr>
          <w:p w14:paraId="464FB5F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合价（元）</w:t>
            </w:r>
          </w:p>
        </w:tc>
        <w:tc>
          <w:tcPr>
            <w:tcW w:w="1061" w:type="dxa"/>
            <w:shd w:val="clear" w:color="auto" w:fill="auto"/>
            <w:vAlign w:val="center"/>
          </w:tcPr>
          <w:p w14:paraId="441A0CC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52A2F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52BB1C8A">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66CC7733">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365784C4">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65B9CA3C">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6C914968">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410E8A0D">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4022DBCE">
            <w:pPr>
              <w:adjustRightInd w:val="0"/>
              <w:snapToGrid w:val="0"/>
              <w:jc w:val="center"/>
              <w:rPr>
                <w:rFonts w:ascii="Times New Roman" w:hAnsi="Times New Roman" w:eastAsia="宋体" w:cs="Times New Roman"/>
                <w:color w:val="auto"/>
                <w:kern w:val="0"/>
                <w:szCs w:val="21"/>
                <w:highlight w:val="none"/>
              </w:rPr>
            </w:pPr>
          </w:p>
        </w:tc>
      </w:tr>
      <w:tr w14:paraId="5E36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1F181E4E">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7B99DAC1">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70DE32FC">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08B56AC5">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0C9603BA">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40C6232A">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4307AD7F">
            <w:pPr>
              <w:adjustRightInd w:val="0"/>
              <w:snapToGrid w:val="0"/>
              <w:jc w:val="center"/>
              <w:rPr>
                <w:rFonts w:ascii="Times New Roman" w:hAnsi="Times New Roman" w:eastAsia="宋体" w:cs="Times New Roman"/>
                <w:color w:val="auto"/>
                <w:kern w:val="0"/>
                <w:szCs w:val="21"/>
                <w:highlight w:val="none"/>
              </w:rPr>
            </w:pPr>
          </w:p>
        </w:tc>
      </w:tr>
      <w:tr w14:paraId="73E64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1B95140B">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38665D07">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27CA722B">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10BB4B6E">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1F7EF545">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32A024A0">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0AC8FA83">
            <w:pPr>
              <w:adjustRightInd w:val="0"/>
              <w:snapToGrid w:val="0"/>
              <w:jc w:val="center"/>
              <w:rPr>
                <w:rFonts w:ascii="Times New Roman" w:hAnsi="Times New Roman" w:eastAsia="宋体" w:cs="Times New Roman"/>
                <w:color w:val="auto"/>
                <w:kern w:val="0"/>
                <w:szCs w:val="21"/>
                <w:highlight w:val="none"/>
              </w:rPr>
            </w:pPr>
          </w:p>
        </w:tc>
      </w:tr>
      <w:tr w14:paraId="3180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365A5B93">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0AC63BD8">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7E3584B2">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6C79F007">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2DB5B54B">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15FE0602">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23048E80">
            <w:pPr>
              <w:adjustRightInd w:val="0"/>
              <w:snapToGrid w:val="0"/>
              <w:jc w:val="center"/>
              <w:rPr>
                <w:rFonts w:ascii="Times New Roman" w:hAnsi="Times New Roman" w:eastAsia="宋体" w:cs="Times New Roman"/>
                <w:color w:val="auto"/>
                <w:kern w:val="0"/>
                <w:szCs w:val="21"/>
                <w:highlight w:val="none"/>
              </w:rPr>
            </w:pPr>
          </w:p>
        </w:tc>
      </w:tr>
      <w:tr w14:paraId="49384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5BD7F788">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51D4DD14">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1E3E863B">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7ED45CDF">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36649AB4">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1AA0357F">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54A4652C">
            <w:pPr>
              <w:adjustRightInd w:val="0"/>
              <w:snapToGrid w:val="0"/>
              <w:jc w:val="center"/>
              <w:rPr>
                <w:rFonts w:ascii="Times New Roman" w:hAnsi="Times New Roman" w:eastAsia="宋体" w:cs="Times New Roman"/>
                <w:color w:val="auto"/>
                <w:kern w:val="0"/>
                <w:szCs w:val="21"/>
                <w:highlight w:val="none"/>
              </w:rPr>
            </w:pPr>
          </w:p>
        </w:tc>
      </w:tr>
      <w:tr w14:paraId="154D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4E26B7D3">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32F91713">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210C0F24">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57F05C10">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080C2D29">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594904E2">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315577F6">
            <w:pPr>
              <w:adjustRightInd w:val="0"/>
              <w:snapToGrid w:val="0"/>
              <w:jc w:val="center"/>
              <w:rPr>
                <w:rFonts w:ascii="Times New Roman" w:hAnsi="Times New Roman" w:eastAsia="宋体" w:cs="Times New Roman"/>
                <w:color w:val="auto"/>
                <w:kern w:val="0"/>
                <w:szCs w:val="21"/>
                <w:highlight w:val="none"/>
              </w:rPr>
            </w:pPr>
          </w:p>
        </w:tc>
      </w:tr>
      <w:tr w14:paraId="7310C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1A883E02">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4EFEDCE8">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78934D23">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2CDCA890">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6342D390">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39A4297E">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2F587658">
            <w:pPr>
              <w:adjustRightInd w:val="0"/>
              <w:snapToGrid w:val="0"/>
              <w:jc w:val="center"/>
              <w:rPr>
                <w:rFonts w:ascii="Times New Roman" w:hAnsi="Times New Roman" w:eastAsia="宋体" w:cs="Times New Roman"/>
                <w:color w:val="auto"/>
                <w:kern w:val="0"/>
                <w:szCs w:val="21"/>
                <w:highlight w:val="none"/>
              </w:rPr>
            </w:pPr>
          </w:p>
        </w:tc>
      </w:tr>
      <w:tr w14:paraId="1FE70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544E78C6">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04AD46E5">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5325A7B9">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74062E0C">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1D8461C8">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2FE561A2">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07B8FF67">
            <w:pPr>
              <w:adjustRightInd w:val="0"/>
              <w:snapToGrid w:val="0"/>
              <w:jc w:val="center"/>
              <w:rPr>
                <w:rFonts w:ascii="Times New Roman" w:hAnsi="Times New Roman" w:eastAsia="宋体" w:cs="Times New Roman"/>
                <w:color w:val="auto"/>
                <w:kern w:val="0"/>
                <w:szCs w:val="21"/>
                <w:highlight w:val="none"/>
              </w:rPr>
            </w:pPr>
          </w:p>
        </w:tc>
      </w:tr>
      <w:tr w14:paraId="3B32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62AF2AE3">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0A9BB49B">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0893C2D5">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49F55A78">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6E9A143A">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544EE708">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5A08CBD2">
            <w:pPr>
              <w:adjustRightInd w:val="0"/>
              <w:snapToGrid w:val="0"/>
              <w:jc w:val="center"/>
              <w:rPr>
                <w:rFonts w:ascii="Times New Roman" w:hAnsi="Times New Roman" w:eastAsia="宋体" w:cs="Times New Roman"/>
                <w:color w:val="auto"/>
                <w:kern w:val="0"/>
                <w:szCs w:val="21"/>
                <w:highlight w:val="none"/>
              </w:rPr>
            </w:pPr>
          </w:p>
        </w:tc>
      </w:tr>
      <w:tr w14:paraId="1D07D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7CDD967C">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339994FD">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2EC1D944">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576D554A">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4B58AA39">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3F4F4957">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613DEFED">
            <w:pPr>
              <w:adjustRightInd w:val="0"/>
              <w:snapToGrid w:val="0"/>
              <w:jc w:val="center"/>
              <w:rPr>
                <w:rFonts w:ascii="Times New Roman" w:hAnsi="Times New Roman" w:eastAsia="宋体" w:cs="Times New Roman"/>
                <w:color w:val="auto"/>
                <w:kern w:val="0"/>
                <w:szCs w:val="21"/>
                <w:highlight w:val="none"/>
              </w:rPr>
            </w:pPr>
          </w:p>
        </w:tc>
      </w:tr>
      <w:tr w14:paraId="13DB2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2F76486B">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49A26750">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2993D4D0">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45231AE4">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06BAD554">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0F4DDB7A">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14D31420">
            <w:pPr>
              <w:adjustRightInd w:val="0"/>
              <w:snapToGrid w:val="0"/>
              <w:jc w:val="center"/>
              <w:rPr>
                <w:rFonts w:ascii="Times New Roman" w:hAnsi="Times New Roman" w:eastAsia="宋体" w:cs="Times New Roman"/>
                <w:color w:val="auto"/>
                <w:kern w:val="0"/>
                <w:szCs w:val="21"/>
                <w:highlight w:val="none"/>
              </w:rPr>
            </w:pPr>
          </w:p>
        </w:tc>
      </w:tr>
      <w:tr w14:paraId="730E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78E90AAC">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1967BAA7">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5E091CB4">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3D9DE0A0">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72B6B966">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35A9EF95">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67F7F270">
            <w:pPr>
              <w:adjustRightInd w:val="0"/>
              <w:snapToGrid w:val="0"/>
              <w:jc w:val="center"/>
              <w:rPr>
                <w:rFonts w:ascii="Times New Roman" w:hAnsi="Times New Roman" w:eastAsia="宋体" w:cs="Times New Roman"/>
                <w:color w:val="auto"/>
                <w:kern w:val="0"/>
                <w:szCs w:val="21"/>
                <w:highlight w:val="none"/>
              </w:rPr>
            </w:pPr>
          </w:p>
        </w:tc>
      </w:tr>
      <w:tr w14:paraId="3C84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6C6EA895">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69B24844">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4E9FF2A7">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0CE5441E">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10186BFC">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316BD0A5">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54569C0C">
            <w:pPr>
              <w:adjustRightInd w:val="0"/>
              <w:snapToGrid w:val="0"/>
              <w:jc w:val="center"/>
              <w:rPr>
                <w:rFonts w:ascii="Times New Roman" w:hAnsi="Times New Roman" w:eastAsia="宋体" w:cs="Times New Roman"/>
                <w:color w:val="auto"/>
                <w:kern w:val="0"/>
                <w:szCs w:val="21"/>
                <w:highlight w:val="none"/>
              </w:rPr>
            </w:pPr>
          </w:p>
        </w:tc>
      </w:tr>
      <w:tr w14:paraId="342CB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4D1E9491">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3BB1644E">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12D43DF0">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3E4002FF">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731CB207">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7D50CF76">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43F56F46">
            <w:pPr>
              <w:adjustRightInd w:val="0"/>
              <w:snapToGrid w:val="0"/>
              <w:jc w:val="center"/>
              <w:rPr>
                <w:rFonts w:ascii="Times New Roman" w:hAnsi="Times New Roman" w:eastAsia="宋体" w:cs="Times New Roman"/>
                <w:color w:val="auto"/>
                <w:kern w:val="0"/>
                <w:szCs w:val="21"/>
                <w:highlight w:val="none"/>
              </w:rPr>
            </w:pPr>
          </w:p>
        </w:tc>
      </w:tr>
      <w:tr w14:paraId="7CF2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5C53C987">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5449E8BD">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7C1B12B6">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5F792012">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25B08502">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3DD529DC">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1BD530DF">
            <w:pPr>
              <w:adjustRightInd w:val="0"/>
              <w:snapToGrid w:val="0"/>
              <w:jc w:val="center"/>
              <w:rPr>
                <w:rFonts w:ascii="Times New Roman" w:hAnsi="Times New Roman" w:eastAsia="宋体" w:cs="Times New Roman"/>
                <w:color w:val="auto"/>
                <w:kern w:val="0"/>
                <w:szCs w:val="21"/>
                <w:highlight w:val="none"/>
              </w:rPr>
            </w:pPr>
          </w:p>
        </w:tc>
      </w:tr>
      <w:tr w14:paraId="4528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417D21EA">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4F863036">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3B9D2A47">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0820B696">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0F426741">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40E67C1C">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266E81DF">
            <w:pPr>
              <w:adjustRightInd w:val="0"/>
              <w:snapToGrid w:val="0"/>
              <w:jc w:val="center"/>
              <w:rPr>
                <w:rFonts w:ascii="Times New Roman" w:hAnsi="Times New Roman" w:eastAsia="宋体" w:cs="Times New Roman"/>
                <w:color w:val="auto"/>
                <w:kern w:val="0"/>
                <w:szCs w:val="21"/>
                <w:highlight w:val="none"/>
              </w:rPr>
            </w:pPr>
          </w:p>
        </w:tc>
      </w:tr>
      <w:tr w14:paraId="2741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7572D515">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14:paraId="5AC574C5">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14:paraId="6B4913CC">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14:paraId="03BACAF7">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14:paraId="707C52ED">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14:paraId="7E307AF4">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0CEC5F85">
            <w:pPr>
              <w:adjustRightInd w:val="0"/>
              <w:snapToGrid w:val="0"/>
              <w:jc w:val="center"/>
              <w:rPr>
                <w:rFonts w:ascii="Times New Roman" w:hAnsi="Times New Roman" w:eastAsia="宋体" w:cs="Times New Roman"/>
                <w:color w:val="auto"/>
                <w:kern w:val="0"/>
                <w:szCs w:val="21"/>
                <w:highlight w:val="none"/>
              </w:rPr>
            </w:pPr>
          </w:p>
        </w:tc>
      </w:tr>
      <w:tr w14:paraId="6B46D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14:paraId="041DF93C">
            <w:pPr>
              <w:adjustRightInd w:val="0"/>
              <w:snapToGrid w:val="0"/>
              <w:jc w:val="center"/>
              <w:rPr>
                <w:rFonts w:ascii="Times New Roman" w:hAnsi="Times New Roman" w:eastAsia="宋体" w:cs="Times New Roman"/>
                <w:color w:val="auto"/>
                <w:kern w:val="0"/>
                <w:szCs w:val="21"/>
                <w:highlight w:val="none"/>
              </w:rPr>
            </w:pPr>
          </w:p>
        </w:tc>
        <w:tc>
          <w:tcPr>
            <w:tcW w:w="5990" w:type="dxa"/>
            <w:gridSpan w:val="4"/>
            <w:shd w:val="clear" w:color="auto" w:fill="auto"/>
            <w:vAlign w:val="center"/>
          </w:tcPr>
          <w:p w14:paraId="66B0515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1468" w:type="dxa"/>
            <w:shd w:val="clear" w:color="auto" w:fill="auto"/>
            <w:vAlign w:val="center"/>
          </w:tcPr>
          <w:p w14:paraId="4C7122B0">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14:paraId="3D8BD4C3">
            <w:pPr>
              <w:adjustRightInd w:val="0"/>
              <w:snapToGrid w:val="0"/>
              <w:jc w:val="center"/>
              <w:rPr>
                <w:rFonts w:ascii="Times New Roman" w:hAnsi="Times New Roman" w:eastAsia="宋体" w:cs="Times New Roman"/>
                <w:color w:val="auto"/>
                <w:kern w:val="0"/>
                <w:szCs w:val="21"/>
                <w:highlight w:val="none"/>
              </w:rPr>
            </w:pPr>
          </w:p>
        </w:tc>
      </w:tr>
    </w:tbl>
    <w:p w14:paraId="34FEC6E3">
      <w:pPr>
        <w:spacing w:line="20" w:lineRule="exact"/>
        <w:rPr>
          <w:color w:val="auto"/>
          <w:highlight w:val="none"/>
        </w:rPr>
      </w:pPr>
      <w:r>
        <w:rPr>
          <w:color w:val="auto"/>
          <w:highlight w:val="none"/>
        </w:rPr>
        <w:br w:type="page"/>
      </w:r>
    </w:p>
    <w:p w14:paraId="5546B9E9">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规费税金项目清单</w:t>
      </w:r>
    </w:p>
    <w:p w14:paraId="0FBFF964">
      <w:pPr>
        <w:rPr>
          <w:color w:val="auto"/>
          <w:szCs w:val="21"/>
          <w:highlight w:val="none"/>
        </w:rPr>
      </w:pPr>
    </w:p>
    <w:p w14:paraId="26C33A93">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835"/>
        <w:gridCol w:w="2947"/>
        <w:gridCol w:w="1120"/>
        <w:gridCol w:w="1492"/>
      </w:tblGrid>
      <w:tr w14:paraId="1E7A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895" w:type="dxa"/>
            <w:shd w:val="clear" w:color="auto" w:fill="auto"/>
            <w:vAlign w:val="center"/>
          </w:tcPr>
          <w:p w14:paraId="77A7C40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835" w:type="dxa"/>
            <w:shd w:val="clear" w:color="auto" w:fill="auto"/>
            <w:vAlign w:val="center"/>
          </w:tcPr>
          <w:p w14:paraId="28C3A02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2947" w:type="dxa"/>
            <w:shd w:val="clear" w:color="auto" w:fill="auto"/>
            <w:vAlign w:val="center"/>
          </w:tcPr>
          <w:p w14:paraId="2FA20EB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 算 基 础</w:t>
            </w:r>
          </w:p>
        </w:tc>
        <w:tc>
          <w:tcPr>
            <w:tcW w:w="1120" w:type="dxa"/>
            <w:shd w:val="clear" w:color="auto" w:fill="auto"/>
            <w:vAlign w:val="center"/>
          </w:tcPr>
          <w:p w14:paraId="333B9B5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费率（%）</w:t>
            </w:r>
          </w:p>
        </w:tc>
        <w:tc>
          <w:tcPr>
            <w:tcW w:w="1492" w:type="dxa"/>
            <w:shd w:val="clear" w:color="auto" w:fill="auto"/>
            <w:vAlign w:val="center"/>
          </w:tcPr>
          <w:p w14:paraId="6821370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金额（元）</w:t>
            </w:r>
          </w:p>
        </w:tc>
      </w:tr>
      <w:tr w14:paraId="418E3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5E3E580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2835" w:type="dxa"/>
            <w:shd w:val="clear" w:color="auto" w:fill="auto"/>
            <w:vAlign w:val="center"/>
          </w:tcPr>
          <w:p w14:paraId="671FCFBA">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规费</w:t>
            </w:r>
          </w:p>
        </w:tc>
        <w:tc>
          <w:tcPr>
            <w:tcW w:w="2947" w:type="dxa"/>
            <w:shd w:val="clear" w:color="auto" w:fill="auto"/>
            <w:vAlign w:val="center"/>
          </w:tcPr>
          <w:p w14:paraId="6B8807D1">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72841B4B">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0BBD9BBD">
            <w:pPr>
              <w:adjustRightInd w:val="0"/>
              <w:snapToGrid w:val="0"/>
              <w:rPr>
                <w:rFonts w:ascii="Times New Roman" w:hAnsi="Times New Roman" w:eastAsia="宋体" w:cs="Times New Roman"/>
                <w:color w:val="auto"/>
                <w:kern w:val="0"/>
                <w:szCs w:val="21"/>
                <w:highlight w:val="none"/>
              </w:rPr>
            </w:pPr>
          </w:p>
        </w:tc>
      </w:tr>
      <w:tr w14:paraId="04122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152D510F">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1.1</w:t>
            </w:r>
          </w:p>
        </w:tc>
        <w:tc>
          <w:tcPr>
            <w:tcW w:w="2835" w:type="dxa"/>
            <w:shd w:val="clear" w:color="auto" w:fill="auto"/>
            <w:vAlign w:val="center"/>
          </w:tcPr>
          <w:p w14:paraId="10880855">
            <w:pPr>
              <w:adjustRightInd w:val="0"/>
              <w:snapToGrid w:val="0"/>
              <w:rPr>
                <w:rFonts w:ascii="Times New Roman" w:hAnsi="Times New Roman" w:eastAsia="宋体" w:cs="Times New Roman"/>
                <w:iCs/>
                <w:color w:val="auto"/>
                <w:kern w:val="0"/>
                <w:szCs w:val="21"/>
                <w:highlight w:val="none"/>
              </w:rPr>
            </w:pPr>
            <w:r>
              <w:rPr>
                <w:rFonts w:hint="eastAsia" w:ascii="Times New Roman" w:hAnsi="Times New Roman" w:eastAsia="宋体" w:cs="Times New Roman"/>
                <w:iCs/>
                <w:color w:val="auto"/>
                <w:kern w:val="0"/>
                <w:szCs w:val="21"/>
                <w:highlight w:val="none"/>
              </w:rPr>
              <w:t xml:space="preserve">   社会保障费</w:t>
            </w:r>
          </w:p>
        </w:tc>
        <w:tc>
          <w:tcPr>
            <w:tcW w:w="2947" w:type="dxa"/>
            <w:shd w:val="clear" w:color="auto" w:fill="auto"/>
            <w:vAlign w:val="center"/>
          </w:tcPr>
          <w:p w14:paraId="3745A29B">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1DFB189D">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0DCA720C">
            <w:pPr>
              <w:adjustRightInd w:val="0"/>
              <w:snapToGrid w:val="0"/>
              <w:rPr>
                <w:rFonts w:ascii="Times New Roman" w:hAnsi="Times New Roman" w:eastAsia="宋体" w:cs="Times New Roman"/>
                <w:color w:val="auto"/>
                <w:kern w:val="0"/>
                <w:szCs w:val="21"/>
                <w:highlight w:val="none"/>
              </w:rPr>
            </w:pPr>
          </w:p>
        </w:tc>
      </w:tr>
      <w:tr w14:paraId="444EF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3DA9E17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2835" w:type="dxa"/>
            <w:shd w:val="clear" w:color="auto" w:fill="auto"/>
            <w:vAlign w:val="center"/>
          </w:tcPr>
          <w:p w14:paraId="22F96E45">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失业保险费</w:t>
            </w:r>
          </w:p>
        </w:tc>
        <w:tc>
          <w:tcPr>
            <w:tcW w:w="2947" w:type="dxa"/>
            <w:shd w:val="clear" w:color="auto" w:fill="auto"/>
            <w:vAlign w:val="center"/>
          </w:tcPr>
          <w:p w14:paraId="4051343F">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07B39B74">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55002CF3">
            <w:pPr>
              <w:adjustRightInd w:val="0"/>
              <w:snapToGrid w:val="0"/>
              <w:rPr>
                <w:rFonts w:ascii="Times New Roman" w:hAnsi="Times New Roman" w:eastAsia="宋体" w:cs="Times New Roman"/>
                <w:color w:val="auto"/>
                <w:kern w:val="0"/>
                <w:szCs w:val="21"/>
                <w:highlight w:val="none"/>
              </w:rPr>
            </w:pPr>
          </w:p>
        </w:tc>
      </w:tr>
      <w:tr w14:paraId="27CCD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387A0A2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2835" w:type="dxa"/>
            <w:shd w:val="clear" w:color="auto" w:fill="auto"/>
            <w:vAlign w:val="center"/>
          </w:tcPr>
          <w:p w14:paraId="0FF8E7DB">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养老保险费</w:t>
            </w:r>
          </w:p>
        </w:tc>
        <w:tc>
          <w:tcPr>
            <w:tcW w:w="2947" w:type="dxa"/>
            <w:shd w:val="clear" w:color="auto" w:fill="auto"/>
            <w:vAlign w:val="center"/>
          </w:tcPr>
          <w:p w14:paraId="35B36FFE">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69FB1F17">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0F953F7B">
            <w:pPr>
              <w:adjustRightInd w:val="0"/>
              <w:snapToGrid w:val="0"/>
              <w:rPr>
                <w:rFonts w:ascii="Times New Roman" w:hAnsi="Times New Roman" w:eastAsia="宋体" w:cs="Times New Roman"/>
                <w:color w:val="auto"/>
                <w:kern w:val="0"/>
                <w:szCs w:val="21"/>
                <w:highlight w:val="none"/>
              </w:rPr>
            </w:pPr>
          </w:p>
        </w:tc>
      </w:tr>
      <w:tr w14:paraId="76C9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741E482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2835" w:type="dxa"/>
            <w:shd w:val="clear" w:color="auto" w:fill="auto"/>
            <w:vAlign w:val="center"/>
          </w:tcPr>
          <w:p w14:paraId="686F7482">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工伤保险费</w:t>
            </w:r>
          </w:p>
        </w:tc>
        <w:tc>
          <w:tcPr>
            <w:tcW w:w="2947" w:type="dxa"/>
            <w:shd w:val="clear" w:color="auto" w:fill="auto"/>
            <w:vAlign w:val="center"/>
          </w:tcPr>
          <w:p w14:paraId="19C43EDA">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32FC6BAA">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03380A3E">
            <w:pPr>
              <w:adjustRightInd w:val="0"/>
              <w:snapToGrid w:val="0"/>
              <w:rPr>
                <w:rFonts w:ascii="Times New Roman" w:hAnsi="Times New Roman" w:eastAsia="宋体" w:cs="Times New Roman"/>
                <w:color w:val="auto"/>
                <w:kern w:val="0"/>
                <w:szCs w:val="21"/>
                <w:highlight w:val="none"/>
              </w:rPr>
            </w:pPr>
          </w:p>
        </w:tc>
      </w:tr>
      <w:tr w14:paraId="18747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732E681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2835" w:type="dxa"/>
            <w:shd w:val="clear" w:color="auto" w:fill="auto"/>
            <w:vAlign w:val="center"/>
          </w:tcPr>
          <w:p w14:paraId="79F0E285">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医疗保险费</w:t>
            </w:r>
          </w:p>
        </w:tc>
        <w:tc>
          <w:tcPr>
            <w:tcW w:w="2947" w:type="dxa"/>
            <w:shd w:val="clear" w:color="auto" w:fill="auto"/>
            <w:vAlign w:val="center"/>
          </w:tcPr>
          <w:p w14:paraId="484A2781">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1F6E5B31">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7F96DC61">
            <w:pPr>
              <w:adjustRightInd w:val="0"/>
              <w:snapToGrid w:val="0"/>
              <w:rPr>
                <w:rFonts w:ascii="Times New Roman" w:hAnsi="Times New Roman" w:eastAsia="宋体" w:cs="Times New Roman"/>
                <w:color w:val="auto"/>
                <w:kern w:val="0"/>
                <w:szCs w:val="21"/>
                <w:highlight w:val="none"/>
              </w:rPr>
            </w:pPr>
          </w:p>
        </w:tc>
      </w:tr>
      <w:tr w14:paraId="0FEA1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461FA695">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(5)</w:t>
            </w:r>
          </w:p>
        </w:tc>
        <w:tc>
          <w:tcPr>
            <w:tcW w:w="2835" w:type="dxa"/>
            <w:shd w:val="clear" w:color="auto" w:fill="auto"/>
            <w:vAlign w:val="center"/>
          </w:tcPr>
          <w:p w14:paraId="0D6294E1">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住房公积金</w:t>
            </w:r>
          </w:p>
        </w:tc>
        <w:tc>
          <w:tcPr>
            <w:tcW w:w="2947" w:type="dxa"/>
            <w:shd w:val="clear" w:color="auto" w:fill="auto"/>
            <w:vAlign w:val="center"/>
          </w:tcPr>
          <w:p w14:paraId="4BA8F88F">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004BBA5F">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401AC895">
            <w:pPr>
              <w:adjustRightInd w:val="0"/>
              <w:snapToGrid w:val="0"/>
              <w:rPr>
                <w:rFonts w:ascii="Times New Roman" w:hAnsi="Times New Roman" w:eastAsia="宋体" w:cs="Times New Roman"/>
                <w:color w:val="auto"/>
                <w:kern w:val="0"/>
                <w:szCs w:val="21"/>
                <w:highlight w:val="none"/>
              </w:rPr>
            </w:pPr>
          </w:p>
        </w:tc>
      </w:tr>
      <w:tr w14:paraId="71DF7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60721DDF">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1.2</w:t>
            </w:r>
          </w:p>
        </w:tc>
        <w:tc>
          <w:tcPr>
            <w:tcW w:w="2835" w:type="dxa"/>
            <w:shd w:val="clear" w:color="auto" w:fill="auto"/>
            <w:vAlign w:val="center"/>
          </w:tcPr>
          <w:p w14:paraId="15411AE7">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工程排污费</w:t>
            </w:r>
          </w:p>
        </w:tc>
        <w:tc>
          <w:tcPr>
            <w:tcW w:w="2947" w:type="dxa"/>
            <w:shd w:val="clear" w:color="auto" w:fill="auto"/>
            <w:vAlign w:val="center"/>
          </w:tcPr>
          <w:p w14:paraId="1F47F3CF">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14:paraId="3462B070">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3ABAAC35">
            <w:pPr>
              <w:adjustRightInd w:val="0"/>
              <w:snapToGrid w:val="0"/>
              <w:rPr>
                <w:rFonts w:ascii="Times New Roman" w:hAnsi="Times New Roman" w:eastAsia="宋体" w:cs="Times New Roman"/>
                <w:color w:val="auto"/>
                <w:kern w:val="0"/>
                <w:szCs w:val="21"/>
                <w:highlight w:val="none"/>
              </w:rPr>
            </w:pPr>
          </w:p>
        </w:tc>
      </w:tr>
      <w:tr w14:paraId="0FD5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14:paraId="32F6F2C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2835" w:type="dxa"/>
            <w:shd w:val="clear" w:color="auto" w:fill="auto"/>
            <w:vAlign w:val="center"/>
          </w:tcPr>
          <w:p w14:paraId="51039347">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税金 </w:t>
            </w:r>
          </w:p>
        </w:tc>
        <w:tc>
          <w:tcPr>
            <w:tcW w:w="2947" w:type="dxa"/>
            <w:shd w:val="clear" w:color="auto" w:fill="auto"/>
            <w:vAlign w:val="center"/>
          </w:tcPr>
          <w:p w14:paraId="5BFB618B">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分部分项工程费+措施项目费+其他项目费+规费</w:t>
            </w:r>
          </w:p>
        </w:tc>
        <w:tc>
          <w:tcPr>
            <w:tcW w:w="1120" w:type="dxa"/>
            <w:shd w:val="clear" w:color="auto" w:fill="auto"/>
            <w:vAlign w:val="center"/>
          </w:tcPr>
          <w:p w14:paraId="01DFD2CE">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14:paraId="582636E8">
            <w:pPr>
              <w:adjustRightInd w:val="0"/>
              <w:snapToGrid w:val="0"/>
              <w:rPr>
                <w:rFonts w:ascii="Times New Roman" w:hAnsi="Times New Roman" w:eastAsia="宋体" w:cs="Times New Roman"/>
                <w:color w:val="auto"/>
                <w:kern w:val="0"/>
                <w:szCs w:val="21"/>
                <w:highlight w:val="none"/>
              </w:rPr>
            </w:pPr>
          </w:p>
        </w:tc>
      </w:tr>
      <w:tr w14:paraId="20747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97" w:type="dxa"/>
            <w:gridSpan w:val="4"/>
            <w:shd w:val="clear" w:color="auto" w:fill="auto"/>
            <w:vAlign w:val="center"/>
          </w:tcPr>
          <w:p w14:paraId="585B4E9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1492" w:type="dxa"/>
            <w:shd w:val="clear" w:color="auto" w:fill="auto"/>
            <w:vAlign w:val="center"/>
          </w:tcPr>
          <w:p w14:paraId="117AF4AD">
            <w:pPr>
              <w:adjustRightInd w:val="0"/>
              <w:snapToGrid w:val="0"/>
              <w:rPr>
                <w:rFonts w:ascii="Times New Roman" w:hAnsi="Times New Roman" w:eastAsia="宋体" w:cs="Times New Roman"/>
                <w:color w:val="auto"/>
                <w:kern w:val="0"/>
                <w:szCs w:val="21"/>
                <w:highlight w:val="none"/>
              </w:rPr>
            </w:pPr>
          </w:p>
        </w:tc>
      </w:tr>
    </w:tbl>
    <w:p w14:paraId="57B63590">
      <w:pPr>
        <w:spacing w:line="20" w:lineRule="exact"/>
        <w:rPr>
          <w:color w:val="auto"/>
          <w:highlight w:val="none"/>
        </w:rPr>
      </w:pPr>
      <w:r>
        <w:rPr>
          <w:color w:val="auto"/>
          <w:highlight w:val="none"/>
        </w:rPr>
        <w:br w:type="page"/>
      </w:r>
    </w:p>
    <w:p w14:paraId="668F9D93">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暂列金额明细表</w:t>
      </w:r>
    </w:p>
    <w:p w14:paraId="68AC08BD">
      <w:pPr>
        <w:rPr>
          <w:color w:val="auto"/>
          <w:highlight w:val="none"/>
        </w:rPr>
      </w:pPr>
    </w:p>
    <w:p w14:paraId="79DAB535">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731"/>
        <w:gridCol w:w="1232"/>
        <w:gridCol w:w="2106"/>
        <w:gridCol w:w="1324"/>
      </w:tblGrid>
      <w:tr w14:paraId="5198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48BCFA2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731" w:type="dxa"/>
            <w:shd w:val="clear" w:color="auto" w:fill="auto"/>
            <w:vAlign w:val="center"/>
          </w:tcPr>
          <w:p w14:paraId="2C5C62D7">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1232" w:type="dxa"/>
            <w:shd w:val="clear" w:color="auto" w:fill="auto"/>
            <w:vAlign w:val="center"/>
          </w:tcPr>
          <w:p w14:paraId="72AF73D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计量单位</w:t>
            </w:r>
          </w:p>
        </w:tc>
        <w:tc>
          <w:tcPr>
            <w:tcW w:w="2106" w:type="dxa"/>
            <w:shd w:val="clear" w:color="auto" w:fill="auto"/>
            <w:vAlign w:val="center"/>
          </w:tcPr>
          <w:p w14:paraId="5EF8D1A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暂列金额（元）</w:t>
            </w:r>
          </w:p>
        </w:tc>
        <w:tc>
          <w:tcPr>
            <w:tcW w:w="1324" w:type="dxa"/>
            <w:shd w:val="clear" w:color="auto" w:fill="auto"/>
            <w:vAlign w:val="center"/>
          </w:tcPr>
          <w:p w14:paraId="4851A230">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54837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01E6BE89">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5C4C43A2">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647C8617">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17E0A9EF">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195D2C0C">
            <w:pPr>
              <w:adjustRightInd w:val="0"/>
              <w:snapToGrid w:val="0"/>
              <w:jc w:val="center"/>
              <w:rPr>
                <w:rFonts w:ascii="Times New Roman" w:hAnsi="Times New Roman" w:eastAsia="宋体" w:cs="Times New Roman"/>
                <w:color w:val="auto"/>
                <w:kern w:val="0"/>
                <w:szCs w:val="21"/>
                <w:highlight w:val="none"/>
              </w:rPr>
            </w:pPr>
          </w:p>
        </w:tc>
      </w:tr>
      <w:tr w14:paraId="6AE99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5C4EF084">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5B221869">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608E5B20">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1236868C">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0D2C6019">
            <w:pPr>
              <w:adjustRightInd w:val="0"/>
              <w:snapToGrid w:val="0"/>
              <w:jc w:val="center"/>
              <w:rPr>
                <w:rFonts w:ascii="Times New Roman" w:hAnsi="Times New Roman" w:eastAsia="宋体" w:cs="Times New Roman"/>
                <w:color w:val="auto"/>
                <w:kern w:val="0"/>
                <w:szCs w:val="21"/>
                <w:highlight w:val="none"/>
              </w:rPr>
            </w:pPr>
          </w:p>
        </w:tc>
      </w:tr>
      <w:tr w14:paraId="69315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0C212EBF">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7638BEBE">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7A306380">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132ACBCC">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3821D5C8">
            <w:pPr>
              <w:adjustRightInd w:val="0"/>
              <w:snapToGrid w:val="0"/>
              <w:jc w:val="center"/>
              <w:rPr>
                <w:rFonts w:ascii="Times New Roman" w:hAnsi="Times New Roman" w:eastAsia="宋体" w:cs="Times New Roman"/>
                <w:color w:val="auto"/>
                <w:kern w:val="0"/>
                <w:szCs w:val="21"/>
                <w:highlight w:val="none"/>
              </w:rPr>
            </w:pPr>
          </w:p>
        </w:tc>
      </w:tr>
      <w:tr w14:paraId="003B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41242BBD">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51B21AF2">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687AC5D3">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5D42578F">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2202DDC8">
            <w:pPr>
              <w:adjustRightInd w:val="0"/>
              <w:snapToGrid w:val="0"/>
              <w:jc w:val="center"/>
              <w:rPr>
                <w:rFonts w:ascii="Times New Roman" w:hAnsi="Times New Roman" w:eastAsia="宋体" w:cs="Times New Roman"/>
                <w:color w:val="auto"/>
                <w:kern w:val="0"/>
                <w:szCs w:val="21"/>
                <w:highlight w:val="none"/>
              </w:rPr>
            </w:pPr>
          </w:p>
        </w:tc>
      </w:tr>
      <w:tr w14:paraId="0F7F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199CA3C7">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18A86450">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1F3C13FB">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28D0BC84">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63034EC3">
            <w:pPr>
              <w:adjustRightInd w:val="0"/>
              <w:snapToGrid w:val="0"/>
              <w:jc w:val="center"/>
              <w:rPr>
                <w:rFonts w:ascii="Times New Roman" w:hAnsi="Times New Roman" w:eastAsia="宋体" w:cs="Times New Roman"/>
                <w:color w:val="auto"/>
                <w:kern w:val="0"/>
                <w:szCs w:val="21"/>
                <w:highlight w:val="none"/>
              </w:rPr>
            </w:pPr>
          </w:p>
        </w:tc>
      </w:tr>
      <w:tr w14:paraId="1303D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610D454F">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2D3F0D08">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0ABB3E32">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5364528D">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1B508D44">
            <w:pPr>
              <w:adjustRightInd w:val="0"/>
              <w:snapToGrid w:val="0"/>
              <w:jc w:val="center"/>
              <w:rPr>
                <w:rFonts w:ascii="Times New Roman" w:hAnsi="Times New Roman" w:eastAsia="宋体" w:cs="Times New Roman"/>
                <w:color w:val="auto"/>
                <w:kern w:val="0"/>
                <w:szCs w:val="21"/>
                <w:highlight w:val="none"/>
              </w:rPr>
            </w:pPr>
          </w:p>
        </w:tc>
      </w:tr>
      <w:tr w14:paraId="78EA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64DFBE28">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3D09C6DE">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0E1F73E3">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67FFBD69">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2D786E14">
            <w:pPr>
              <w:adjustRightInd w:val="0"/>
              <w:snapToGrid w:val="0"/>
              <w:jc w:val="center"/>
              <w:rPr>
                <w:rFonts w:ascii="Times New Roman" w:hAnsi="Times New Roman" w:eastAsia="宋体" w:cs="Times New Roman"/>
                <w:color w:val="auto"/>
                <w:kern w:val="0"/>
                <w:szCs w:val="21"/>
                <w:highlight w:val="none"/>
              </w:rPr>
            </w:pPr>
          </w:p>
        </w:tc>
      </w:tr>
      <w:tr w14:paraId="7987E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5534643B">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5EEC1086">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41CF34B6">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24170147">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785D7E07">
            <w:pPr>
              <w:adjustRightInd w:val="0"/>
              <w:snapToGrid w:val="0"/>
              <w:jc w:val="center"/>
              <w:rPr>
                <w:rFonts w:ascii="Times New Roman" w:hAnsi="Times New Roman" w:eastAsia="宋体" w:cs="Times New Roman"/>
                <w:color w:val="auto"/>
                <w:kern w:val="0"/>
                <w:szCs w:val="21"/>
                <w:highlight w:val="none"/>
              </w:rPr>
            </w:pPr>
          </w:p>
        </w:tc>
      </w:tr>
      <w:tr w14:paraId="5FDB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762208CE">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47614934">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302908B4">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3FF2D489">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4E46F7A1">
            <w:pPr>
              <w:adjustRightInd w:val="0"/>
              <w:snapToGrid w:val="0"/>
              <w:jc w:val="center"/>
              <w:rPr>
                <w:rFonts w:ascii="Times New Roman" w:hAnsi="Times New Roman" w:eastAsia="宋体" w:cs="Times New Roman"/>
                <w:color w:val="auto"/>
                <w:kern w:val="0"/>
                <w:szCs w:val="21"/>
                <w:highlight w:val="none"/>
              </w:rPr>
            </w:pPr>
          </w:p>
        </w:tc>
      </w:tr>
      <w:tr w14:paraId="373B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079F717A">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5E670BD3">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44A32E7C">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43232BE8">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17B51191">
            <w:pPr>
              <w:adjustRightInd w:val="0"/>
              <w:snapToGrid w:val="0"/>
              <w:jc w:val="center"/>
              <w:rPr>
                <w:rFonts w:ascii="Times New Roman" w:hAnsi="Times New Roman" w:eastAsia="宋体" w:cs="Times New Roman"/>
                <w:color w:val="auto"/>
                <w:kern w:val="0"/>
                <w:szCs w:val="21"/>
                <w:highlight w:val="none"/>
              </w:rPr>
            </w:pPr>
          </w:p>
        </w:tc>
      </w:tr>
      <w:tr w14:paraId="010F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14:paraId="49FF7C8B">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14:paraId="7871DC07">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14:paraId="740723D8">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14:paraId="3DA9BCA5">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240BBDC8">
            <w:pPr>
              <w:adjustRightInd w:val="0"/>
              <w:snapToGrid w:val="0"/>
              <w:jc w:val="center"/>
              <w:rPr>
                <w:rFonts w:ascii="Times New Roman" w:hAnsi="Times New Roman" w:eastAsia="宋体" w:cs="Times New Roman"/>
                <w:color w:val="auto"/>
                <w:kern w:val="0"/>
                <w:szCs w:val="21"/>
                <w:highlight w:val="none"/>
              </w:rPr>
            </w:pPr>
          </w:p>
        </w:tc>
      </w:tr>
      <w:tr w14:paraId="533A6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59" w:type="dxa"/>
            <w:gridSpan w:val="3"/>
            <w:shd w:val="clear" w:color="auto" w:fill="auto"/>
            <w:vAlign w:val="center"/>
          </w:tcPr>
          <w:p w14:paraId="0688C0C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2106" w:type="dxa"/>
            <w:shd w:val="clear" w:color="auto" w:fill="auto"/>
            <w:vAlign w:val="center"/>
          </w:tcPr>
          <w:p w14:paraId="5A1E3892">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14:paraId="7961B6CD">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w:t>
            </w:r>
          </w:p>
        </w:tc>
      </w:tr>
      <w:tr w14:paraId="02A1D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5"/>
            <w:shd w:val="clear" w:color="auto" w:fill="auto"/>
            <w:vAlign w:val="center"/>
          </w:tcPr>
          <w:p w14:paraId="67B9BF05">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注：本表如不能详列，也可只列暂列金额总额。</w:t>
            </w:r>
          </w:p>
        </w:tc>
      </w:tr>
    </w:tbl>
    <w:p w14:paraId="13660E91">
      <w:pPr>
        <w:spacing w:line="20" w:lineRule="exact"/>
        <w:rPr>
          <w:color w:val="auto"/>
          <w:highlight w:val="none"/>
        </w:rPr>
      </w:pPr>
      <w:r>
        <w:rPr>
          <w:color w:val="auto"/>
          <w:highlight w:val="none"/>
        </w:rPr>
        <w:br w:type="page"/>
      </w:r>
    </w:p>
    <w:p w14:paraId="0EEF4983">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工程建设其他费表</w:t>
      </w:r>
    </w:p>
    <w:p w14:paraId="6438E92A">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46"/>
        <w:gridCol w:w="2657"/>
        <w:gridCol w:w="907"/>
        <w:gridCol w:w="1182"/>
        <w:gridCol w:w="2131"/>
      </w:tblGrid>
      <w:tr w14:paraId="222CD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1F15F4DC">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1746" w:type="dxa"/>
            <w:shd w:val="clear" w:color="auto" w:fill="auto"/>
            <w:vAlign w:val="center"/>
          </w:tcPr>
          <w:p w14:paraId="3E7515B6">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项目名称</w:t>
            </w:r>
          </w:p>
        </w:tc>
        <w:tc>
          <w:tcPr>
            <w:tcW w:w="2657" w:type="dxa"/>
            <w:shd w:val="clear" w:color="auto" w:fill="auto"/>
            <w:vAlign w:val="center"/>
          </w:tcPr>
          <w:p w14:paraId="0F8F323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工作内容</w:t>
            </w:r>
          </w:p>
        </w:tc>
        <w:tc>
          <w:tcPr>
            <w:tcW w:w="907" w:type="dxa"/>
            <w:shd w:val="clear" w:color="auto" w:fill="auto"/>
            <w:vAlign w:val="center"/>
          </w:tcPr>
          <w:p w14:paraId="03AD9EE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w:t>
            </w:r>
          </w:p>
          <w:p w14:paraId="5196F217">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1182" w:type="dxa"/>
            <w:shd w:val="clear" w:color="auto" w:fill="auto"/>
            <w:vAlign w:val="center"/>
          </w:tcPr>
          <w:p w14:paraId="464230E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工程量</w:t>
            </w:r>
          </w:p>
        </w:tc>
        <w:tc>
          <w:tcPr>
            <w:tcW w:w="2131" w:type="dxa"/>
            <w:shd w:val="clear" w:color="auto" w:fill="auto"/>
            <w:vAlign w:val="center"/>
          </w:tcPr>
          <w:p w14:paraId="64208C13">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7843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1F930D69">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51C38E7">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04298E90">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AED9AAC">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3E5DA19A">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3D25813">
            <w:pPr>
              <w:adjustRightInd w:val="0"/>
              <w:snapToGrid w:val="0"/>
              <w:jc w:val="center"/>
              <w:rPr>
                <w:rFonts w:ascii="Times New Roman" w:hAnsi="Times New Roman" w:eastAsia="宋体" w:cs="Times New Roman"/>
                <w:color w:val="auto"/>
                <w:kern w:val="0"/>
                <w:sz w:val="20"/>
                <w:szCs w:val="20"/>
                <w:highlight w:val="none"/>
              </w:rPr>
            </w:pPr>
          </w:p>
        </w:tc>
      </w:tr>
      <w:tr w14:paraId="17D5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521E33D">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7530B784">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BFF54C3">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2FDDA85">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3D85C873">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6C4BC4E">
            <w:pPr>
              <w:adjustRightInd w:val="0"/>
              <w:snapToGrid w:val="0"/>
              <w:jc w:val="center"/>
              <w:rPr>
                <w:rFonts w:ascii="Times New Roman" w:hAnsi="Times New Roman" w:eastAsia="宋体" w:cs="Times New Roman"/>
                <w:color w:val="auto"/>
                <w:kern w:val="0"/>
                <w:sz w:val="20"/>
                <w:szCs w:val="20"/>
                <w:highlight w:val="none"/>
              </w:rPr>
            </w:pPr>
          </w:p>
        </w:tc>
      </w:tr>
      <w:tr w14:paraId="2DE74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29848B73">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FC11EF1">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51F908D8">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348DFD41">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442046DA">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5F2A09A7">
            <w:pPr>
              <w:adjustRightInd w:val="0"/>
              <w:snapToGrid w:val="0"/>
              <w:jc w:val="center"/>
              <w:rPr>
                <w:rFonts w:ascii="Times New Roman" w:hAnsi="Times New Roman" w:eastAsia="宋体" w:cs="Times New Roman"/>
                <w:color w:val="auto"/>
                <w:kern w:val="0"/>
                <w:sz w:val="20"/>
                <w:szCs w:val="20"/>
                <w:highlight w:val="none"/>
              </w:rPr>
            </w:pPr>
          </w:p>
        </w:tc>
      </w:tr>
      <w:tr w14:paraId="1446F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4831C858">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35B2365">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63137B94">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4EF8AEED">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62EAC099">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A5A44EE">
            <w:pPr>
              <w:adjustRightInd w:val="0"/>
              <w:snapToGrid w:val="0"/>
              <w:jc w:val="center"/>
              <w:rPr>
                <w:rFonts w:ascii="Times New Roman" w:hAnsi="Times New Roman" w:eastAsia="宋体" w:cs="Times New Roman"/>
                <w:color w:val="auto"/>
                <w:kern w:val="0"/>
                <w:sz w:val="20"/>
                <w:szCs w:val="20"/>
                <w:highlight w:val="none"/>
              </w:rPr>
            </w:pPr>
          </w:p>
        </w:tc>
      </w:tr>
      <w:tr w14:paraId="34AC6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35AA3DC">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165B29F4">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0E9B3826">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3C545EAB">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577EBED3">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2F01224E">
            <w:pPr>
              <w:adjustRightInd w:val="0"/>
              <w:snapToGrid w:val="0"/>
              <w:jc w:val="center"/>
              <w:rPr>
                <w:rFonts w:ascii="Times New Roman" w:hAnsi="Times New Roman" w:eastAsia="宋体" w:cs="Times New Roman"/>
                <w:color w:val="auto"/>
                <w:kern w:val="0"/>
                <w:sz w:val="20"/>
                <w:szCs w:val="20"/>
                <w:highlight w:val="none"/>
              </w:rPr>
            </w:pPr>
          </w:p>
        </w:tc>
      </w:tr>
      <w:tr w14:paraId="26C7E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B1EFDA4">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36284560">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2A08D8B8">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017D5A1">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5BE72D8F">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0B8E566">
            <w:pPr>
              <w:adjustRightInd w:val="0"/>
              <w:snapToGrid w:val="0"/>
              <w:jc w:val="center"/>
              <w:rPr>
                <w:rFonts w:ascii="Times New Roman" w:hAnsi="Times New Roman" w:eastAsia="宋体" w:cs="Times New Roman"/>
                <w:color w:val="auto"/>
                <w:kern w:val="0"/>
                <w:sz w:val="20"/>
                <w:szCs w:val="20"/>
                <w:highlight w:val="none"/>
              </w:rPr>
            </w:pPr>
          </w:p>
        </w:tc>
      </w:tr>
      <w:tr w14:paraId="1745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CF0954A">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7DEFAD65">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E1DCF01">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7517F4F8">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329839F2">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E06370A">
            <w:pPr>
              <w:adjustRightInd w:val="0"/>
              <w:snapToGrid w:val="0"/>
              <w:jc w:val="center"/>
              <w:rPr>
                <w:rFonts w:ascii="Times New Roman" w:hAnsi="Times New Roman" w:eastAsia="宋体" w:cs="Times New Roman"/>
                <w:color w:val="auto"/>
                <w:kern w:val="0"/>
                <w:sz w:val="20"/>
                <w:szCs w:val="20"/>
                <w:highlight w:val="none"/>
              </w:rPr>
            </w:pPr>
          </w:p>
        </w:tc>
      </w:tr>
      <w:tr w14:paraId="56AE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EEC0A30">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16139271">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61D7D41B">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14817979">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6BEFC534">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BBB13B5">
            <w:pPr>
              <w:adjustRightInd w:val="0"/>
              <w:snapToGrid w:val="0"/>
              <w:jc w:val="center"/>
              <w:rPr>
                <w:rFonts w:ascii="Times New Roman" w:hAnsi="Times New Roman" w:eastAsia="宋体" w:cs="Times New Roman"/>
                <w:color w:val="auto"/>
                <w:kern w:val="0"/>
                <w:sz w:val="20"/>
                <w:szCs w:val="20"/>
                <w:highlight w:val="none"/>
              </w:rPr>
            </w:pPr>
          </w:p>
        </w:tc>
      </w:tr>
      <w:tr w14:paraId="4B75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59A456A6">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8F9C5F6">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1658A4AB">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311799A">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6F02C2CB">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3D49133C">
            <w:pPr>
              <w:adjustRightInd w:val="0"/>
              <w:snapToGrid w:val="0"/>
              <w:jc w:val="center"/>
              <w:rPr>
                <w:rFonts w:ascii="Times New Roman" w:hAnsi="Times New Roman" w:eastAsia="宋体" w:cs="Times New Roman"/>
                <w:color w:val="auto"/>
                <w:kern w:val="0"/>
                <w:sz w:val="20"/>
                <w:szCs w:val="20"/>
                <w:highlight w:val="none"/>
              </w:rPr>
            </w:pPr>
          </w:p>
        </w:tc>
      </w:tr>
      <w:tr w14:paraId="525A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4989E479">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26D05DB">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5496A576">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12E42D42">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426872B6">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496FF1D">
            <w:pPr>
              <w:adjustRightInd w:val="0"/>
              <w:snapToGrid w:val="0"/>
              <w:jc w:val="center"/>
              <w:rPr>
                <w:rFonts w:ascii="Times New Roman" w:hAnsi="Times New Roman" w:eastAsia="宋体" w:cs="Times New Roman"/>
                <w:color w:val="auto"/>
                <w:kern w:val="0"/>
                <w:sz w:val="20"/>
                <w:szCs w:val="20"/>
                <w:highlight w:val="none"/>
              </w:rPr>
            </w:pPr>
          </w:p>
        </w:tc>
      </w:tr>
      <w:tr w14:paraId="065BF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7DDF6A0C">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0EC8564C">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2F40A34F">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169A50E6">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31F15148">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56B6A34D">
            <w:pPr>
              <w:adjustRightInd w:val="0"/>
              <w:snapToGrid w:val="0"/>
              <w:jc w:val="center"/>
              <w:rPr>
                <w:rFonts w:ascii="Times New Roman" w:hAnsi="Times New Roman" w:eastAsia="宋体" w:cs="Times New Roman"/>
                <w:color w:val="auto"/>
                <w:kern w:val="0"/>
                <w:sz w:val="20"/>
                <w:szCs w:val="20"/>
                <w:highlight w:val="none"/>
              </w:rPr>
            </w:pPr>
          </w:p>
        </w:tc>
      </w:tr>
      <w:tr w14:paraId="6786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79EC6E32">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BEC28D8">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1C9F8C85">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9117138">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43793AD7">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28D06897">
            <w:pPr>
              <w:adjustRightInd w:val="0"/>
              <w:snapToGrid w:val="0"/>
              <w:jc w:val="center"/>
              <w:rPr>
                <w:rFonts w:ascii="Times New Roman" w:hAnsi="Times New Roman" w:eastAsia="宋体" w:cs="Times New Roman"/>
                <w:color w:val="auto"/>
                <w:kern w:val="0"/>
                <w:sz w:val="20"/>
                <w:szCs w:val="20"/>
                <w:highlight w:val="none"/>
              </w:rPr>
            </w:pPr>
          </w:p>
        </w:tc>
      </w:tr>
      <w:tr w14:paraId="1FEFD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3A0EE12">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AFD7B21">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F6043C9">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E129741">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3E4A204E">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5FA848B0">
            <w:pPr>
              <w:adjustRightInd w:val="0"/>
              <w:snapToGrid w:val="0"/>
              <w:jc w:val="center"/>
              <w:rPr>
                <w:rFonts w:ascii="Times New Roman" w:hAnsi="Times New Roman" w:eastAsia="宋体" w:cs="Times New Roman"/>
                <w:color w:val="auto"/>
                <w:kern w:val="0"/>
                <w:sz w:val="20"/>
                <w:szCs w:val="20"/>
                <w:highlight w:val="none"/>
              </w:rPr>
            </w:pPr>
          </w:p>
        </w:tc>
      </w:tr>
      <w:tr w14:paraId="44248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6E7E5940">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315ACBD9">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BF112A8">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D5E83CB">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15359028">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471ECC36">
            <w:pPr>
              <w:adjustRightInd w:val="0"/>
              <w:snapToGrid w:val="0"/>
              <w:jc w:val="center"/>
              <w:rPr>
                <w:rFonts w:ascii="Times New Roman" w:hAnsi="Times New Roman" w:eastAsia="宋体" w:cs="Times New Roman"/>
                <w:color w:val="auto"/>
                <w:kern w:val="0"/>
                <w:sz w:val="20"/>
                <w:szCs w:val="20"/>
                <w:highlight w:val="none"/>
              </w:rPr>
            </w:pPr>
          </w:p>
        </w:tc>
      </w:tr>
      <w:tr w14:paraId="161F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029639E">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B6FBDC5">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64CE935">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09EB6538">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79541457">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24FDC0B">
            <w:pPr>
              <w:adjustRightInd w:val="0"/>
              <w:snapToGrid w:val="0"/>
              <w:jc w:val="center"/>
              <w:rPr>
                <w:rFonts w:ascii="Times New Roman" w:hAnsi="Times New Roman" w:eastAsia="宋体" w:cs="Times New Roman"/>
                <w:color w:val="auto"/>
                <w:kern w:val="0"/>
                <w:sz w:val="20"/>
                <w:szCs w:val="20"/>
                <w:highlight w:val="none"/>
              </w:rPr>
            </w:pPr>
          </w:p>
        </w:tc>
      </w:tr>
      <w:tr w14:paraId="758D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7E40412">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75948D83">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02C7C499">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481AACBE">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2E87F2F5">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CDF4552">
            <w:pPr>
              <w:adjustRightInd w:val="0"/>
              <w:snapToGrid w:val="0"/>
              <w:jc w:val="center"/>
              <w:rPr>
                <w:rFonts w:ascii="Times New Roman" w:hAnsi="Times New Roman" w:eastAsia="宋体" w:cs="Times New Roman"/>
                <w:color w:val="auto"/>
                <w:kern w:val="0"/>
                <w:sz w:val="20"/>
                <w:szCs w:val="20"/>
                <w:highlight w:val="none"/>
              </w:rPr>
            </w:pPr>
          </w:p>
        </w:tc>
      </w:tr>
      <w:tr w14:paraId="496C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557CA8D7">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5CAC2D3B">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7A29442E">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7B8D9695">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5696E43D">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2E0BDB9D">
            <w:pPr>
              <w:adjustRightInd w:val="0"/>
              <w:snapToGrid w:val="0"/>
              <w:jc w:val="center"/>
              <w:rPr>
                <w:rFonts w:ascii="Times New Roman" w:hAnsi="Times New Roman" w:eastAsia="宋体" w:cs="Times New Roman"/>
                <w:color w:val="auto"/>
                <w:kern w:val="0"/>
                <w:sz w:val="20"/>
                <w:szCs w:val="20"/>
                <w:highlight w:val="none"/>
              </w:rPr>
            </w:pPr>
          </w:p>
        </w:tc>
      </w:tr>
      <w:tr w14:paraId="20596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8F4C4F6">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36D311EA">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7F81B487">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0B537F2F">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07665E30">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CA6A65A">
            <w:pPr>
              <w:adjustRightInd w:val="0"/>
              <w:snapToGrid w:val="0"/>
              <w:jc w:val="center"/>
              <w:rPr>
                <w:rFonts w:ascii="Times New Roman" w:hAnsi="Times New Roman" w:eastAsia="宋体" w:cs="Times New Roman"/>
                <w:color w:val="auto"/>
                <w:kern w:val="0"/>
                <w:sz w:val="20"/>
                <w:szCs w:val="20"/>
                <w:highlight w:val="none"/>
              </w:rPr>
            </w:pPr>
          </w:p>
        </w:tc>
      </w:tr>
    </w:tbl>
    <w:p w14:paraId="21F4CE47">
      <w:pPr>
        <w:spacing w:line="20" w:lineRule="exact"/>
        <w:rPr>
          <w:color w:val="auto"/>
          <w:highlight w:val="none"/>
        </w:rPr>
      </w:pPr>
      <w:r>
        <w:rPr>
          <w:color w:val="auto"/>
          <w:highlight w:val="none"/>
        </w:rPr>
        <w:br w:type="page"/>
      </w:r>
    </w:p>
    <w:p w14:paraId="0EF3CA34">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设备及工器具购置费表</w:t>
      </w:r>
    </w:p>
    <w:p w14:paraId="6A84DA36">
      <w:pPr>
        <w:rPr>
          <w:color w:val="auto"/>
          <w:highlight w:val="none"/>
        </w:rPr>
      </w:pPr>
    </w:p>
    <w:p w14:paraId="0BC63840">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2493"/>
        <w:gridCol w:w="2228"/>
        <w:gridCol w:w="817"/>
        <w:gridCol w:w="968"/>
        <w:gridCol w:w="1986"/>
      </w:tblGrid>
      <w:tr w14:paraId="74420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687DB504">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493" w:type="dxa"/>
            <w:vAlign w:val="center"/>
          </w:tcPr>
          <w:p w14:paraId="5B9EA1F4">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设备名称</w:t>
            </w:r>
          </w:p>
        </w:tc>
        <w:tc>
          <w:tcPr>
            <w:tcW w:w="2228" w:type="dxa"/>
            <w:vAlign w:val="center"/>
          </w:tcPr>
          <w:p w14:paraId="77467A84">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型号规格</w:t>
            </w:r>
          </w:p>
        </w:tc>
        <w:tc>
          <w:tcPr>
            <w:tcW w:w="817" w:type="dxa"/>
            <w:vAlign w:val="center"/>
          </w:tcPr>
          <w:p w14:paraId="53F65061">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w:t>
            </w:r>
          </w:p>
          <w:p w14:paraId="529CAA59">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968" w:type="dxa"/>
            <w:vAlign w:val="center"/>
          </w:tcPr>
          <w:p w14:paraId="412391F7">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986" w:type="dxa"/>
            <w:vAlign w:val="center"/>
          </w:tcPr>
          <w:p w14:paraId="0458B974">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0E22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7B59F11C">
            <w:pPr>
              <w:jc w:val="center"/>
              <w:rPr>
                <w:rFonts w:ascii="Times New Roman" w:hAnsi="Times New Roman" w:eastAsia="宋体" w:cs="Times New Roman"/>
                <w:color w:val="auto"/>
                <w:kern w:val="0"/>
                <w:szCs w:val="21"/>
                <w:highlight w:val="none"/>
              </w:rPr>
            </w:pPr>
          </w:p>
        </w:tc>
        <w:tc>
          <w:tcPr>
            <w:tcW w:w="2493" w:type="dxa"/>
            <w:vAlign w:val="center"/>
          </w:tcPr>
          <w:p w14:paraId="3BC69D0F">
            <w:pPr>
              <w:jc w:val="center"/>
              <w:rPr>
                <w:rFonts w:ascii="Times New Roman" w:hAnsi="Times New Roman" w:eastAsia="宋体" w:cs="Times New Roman"/>
                <w:color w:val="auto"/>
                <w:kern w:val="0"/>
                <w:szCs w:val="21"/>
                <w:highlight w:val="none"/>
              </w:rPr>
            </w:pPr>
          </w:p>
        </w:tc>
        <w:tc>
          <w:tcPr>
            <w:tcW w:w="2228" w:type="dxa"/>
            <w:vAlign w:val="center"/>
          </w:tcPr>
          <w:p w14:paraId="5B67A3A2">
            <w:pPr>
              <w:jc w:val="center"/>
              <w:rPr>
                <w:rFonts w:ascii="Times New Roman" w:hAnsi="Times New Roman" w:eastAsia="宋体" w:cs="Times New Roman"/>
                <w:color w:val="auto"/>
                <w:kern w:val="0"/>
                <w:szCs w:val="21"/>
                <w:highlight w:val="none"/>
              </w:rPr>
            </w:pPr>
          </w:p>
        </w:tc>
        <w:tc>
          <w:tcPr>
            <w:tcW w:w="817" w:type="dxa"/>
            <w:vAlign w:val="center"/>
          </w:tcPr>
          <w:p w14:paraId="30C1786E">
            <w:pPr>
              <w:jc w:val="center"/>
              <w:rPr>
                <w:rFonts w:ascii="Times New Roman" w:hAnsi="Times New Roman" w:eastAsia="宋体" w:cs="Times New Roman"/>
                <w:color w:val="auto"/>
                <w:kern w:val="0"/>
                <w:szCs w:val="21"/>
                <w:highlight w:val="none"/>
              </w:rPr>
            </w:pPr>
          </w:p>
        </w:tc>
        <w:tc>
          <w:tcPr>
            <w:tcW w:w="968" w:type="dxa"/>
            <w:vAlign w:val="center"/>
          </w:tcPr>
          <w:p w14:paraId="5A5EAE9F">
            <w:pPr>
              <w:jc w:val="center"/>
              <w:rPr>
                <w:rFonts w:ascii="Times New Roman" w:hAnsi="Times New Roman" w:eastAsia="宋体" w:cs="Times New Roman"/>
                <w:color w:val="auto"/>
                <w:kern w:val="0"/>
                <w:szCs w:val="21"/>
                <w:highlight w:val="none"/>
              </w:rPr>
            </w:pPr>
          </w:p>
        </w:tc>
        <w:tc>
          <w:tcPr>
            <w:tcW w:w="1986" w:type="dxa"/>
            <w:vAlign w:val="center"/>
          </w:tcPr>
          <w:p w14:paraId="43C0FE1E">
            <w:pPr>
              <w:jc w:val="center"/>
              <w:rPr>
                <w:rFonts w:ascii="Times New Roman" w:hAnsi="Times New Roman" w:eastAsia="宋体" w:cs="Times New Roman"/>
                <w:color w:val="auto"/>
                <w:kern w:val="0"/>
                <w:szCs w:val="21"/>
                <w:highlight w:val="none"/>
              </w:rPr>
            </w:pPr>
          </w:p>
        </w:tc>
      </w:tr>
      <w:tr w14:paraId="2B207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0AF3BF31">
            <w:pPr>
              <w:jc w:val="center"/>
              <w:rPr>
                <w:rFonts w:ascii="Times New Roman" w:hAnsi="Times New Roman" w:eastAsia="宋体" w:cs="Times New Roman"/>
                <w:color w:val="auto"/>
                <w:kern w:val="0"/>
                <w:sz w:val="20"/>
                <w:szCs w:val="20"/>
                <w:highlight w:val="none"/>
              </w:rPr>
            </w:pPr>
          </w:p>
        </w:tc>
        <w:tc>
          <w:tcPr>
            <w:tcW w:w="2493" w:type="dxa"/>
            <w:vAlign w:val="center"/>
          </w:tcPr>
          <w:p w14:paraId="7A66B61D">
            <w:pPr>
              <w:jc w:val="center"/>
              <w:rPr>
                <w:rFonts w:ascii="Times New Roman" w:hAnsi="Times New Roman" w:eastAsia="宋体" w:cs="Times New Roman"/>
                <w:color w:val="auto"/>
                <w:kern w:val="0"/>
                <w:sz w:val="20"/>
                <w:szCs w:val="20"/>
                <w:highlight w:val="none"/>
              </w:rPr>
            </w:pPr>
          </w:p>
        </w:tc>
        <w:tc>
          <w:tcPr>
            <w:tcW w:w="2228" w:type="dxa"/>
            <w:vAlign w:val="center"/>
          </w:tcPr>
          <w:p w14:paraId="4C65F270">
            <w:pPr>
              <w:jc w:val="center"/>
              <w:rPr>
                <w:rFonts w:ascii="Times New Roman" w:hAnsi="Times New Roman" w:eastAsia="宋体" w:cs="Times New Roman"/>
                <w:color w:val="auto"/>
                <w:kern w:val="0"/>
                <w:sz w:val="20"/>
                <w:szCs w:val="20"/>
                <w:highlight w:val="none"/>
              </w:rPr>
            </w:pPr>
          </w:p>
        </w:tc>
        <w:tc>
          <w:tcPr>
            <w:tcW w:w="817" w:type="dxa"/>
            <w:vAlign w:val="center"/>
          </w:tcPr>
          <w:p w14:paraId="74D8E4E3">
            <w:pPr>
              <w:jc w:val="center"/>
              <w:rPr>
                <w:rFonts w:ascii="Times New Roman" w:hAnsi="Times New Roman" w:eastAsia="宋体" w:cs="Times New Roman"/>
                <w:color w:val="auto"/>
                <w:kern w:val="0"/>
                <w:sz w:val="20"/>
                <w:szCs w:val="20"/>
                <w:highlight w:val="none"/>
              </w:rPr>
            </w:pPr>
          </w:p>
        </w:tc>
        <w:tc>
          <w:tcPr>
            <w:tcW w:w="968" w:type="dxa"/>
            <w:vAlign w:val="center"/>
          </w:tcPr>
          <w:p w14:paraId="7CDD0D80">
            <w:pPr>
              <w:jc w:val="center"/>
              <w:rPr>
                <w:rFonts w:ascii="Times New Roman" w:hAnsi="Times New Roman" w:eastAsia="宋体" w:cs="Times New Roman"/>
                <w:color w:val="auto"/>
                <w:kern w:val="0"/>
                <w:sz w:val="20"/>
                <w:szCs w:val="20"/>
                <w:highlight w:val="none"/>
              </w:rPr>
            </w:pPr>
          </w:p>
        </w:tc>
        <w:tc>
          <w:tcPr>
            <w:tcW w:w="1986" w:type="dxa"/>
            <w:vAlign w:val="center"/>
          </w:tcPr>
          <w:p w14:paraId="733B1542">
            <w:pPr>
              <w:jc w:val="center"/>
              <w:rPr>
                <w:rFonts w:ascii="Times New Roman" w:hAnsi="Times New Roman" w:eastAsia="宋体" w:cs="Times New Roman"/>
                <w:color w:val="auto"/>
                <w:kern w:val="0"/>
                <w:sz w:val="20"/>
                <w:szCs w:val="20"/>
                <w:highlight w:val="none"/>
              </w:rPr>
            </w:pPr>
          </w:p>
        </w:tc>
      </w:tr>
      <w:tr w14:paraId="40991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57830BB">
            <w:pPr>
              <w:jc w:val="center"/>
              <w:rPr>
                <w:rFonts w:ascii="Times New Roman" w:hAnsi="Times New Roman" w:eastAsia="宋体" w:cs="Times New Roman"/>
                <w:color w:val="auto"/>
                <w:kern w:val="0"/>
                <w:sz w:val="20"/>
                <w:szCs w:val="20"/>
                <w:highlight w:val="none"/>
              </w:rPr>
            </w:pPr>
          </w:p>
        </w:tc>
        <w:tc>
          <w:tcPr>
            <w:tcW w:w="2493" w:type="dxa"/>
            <w:vAlign w:val="center"/>
          </w:tcPr>
          <w:p w14:paraId="2E8420B6">
            <w:pPr>
              <w:jc w:val="center"/>
              <w:rPr>
                <w:rFonts w:ascii="Times New Roman" w:hAnsi="Times New Roman" w:eastAsia="宋体" w:cs="Times New Roman"/>
                <w:color w:val="auto"/>
                <w:kern w:val="0"/>
                <w:sz w:val="20"/>
                <w:szCs w:val="20"/>
                <w:highlight w:val="none"/>
              </w:rPr>
            </w:pPr>
          </w:p>
        </w:tc>
        <w:tc>
          <w:tcPr>
            <w:tcW w:w="2228" w:type="dxa"/>
            <w:vAlign w:val="center"/>
          </w:tcPr>
          <w:p w14:paraId="29F84123">
            <w:pPr>
              <w:jc w:val="center"/>
              <w:rPr>
                <w:rFonts w:ascii="Times New Roman" w:hAnsi="Times New Roman" w:eastAsia="宋体" w:cs="Times New Roman"/>
                <w:color w:val="auto"/>
                <w:kern w:val="0"/>
                <w:sz w:val="20"/>
                <w:szCs w:val="20"/>
                <w:highlight w:val="none"/>
              </w:rPr>
            </w:pPr>
          </w:p>
        </w:tc>
        <w:tc>
          <w:tcPr>
            <w:tcW w:w="817" w:type="dxa"/>
            <w:vAlign w:val="center"/>
          </w:tcPr>
          <w:p w14:paraId="2DA02173">
            <w:pPr>
              <w:jc w:val="center"/>
              <w:rPr>
                <w:rFonts w:ascii="Times New Roman" w:hAnsi="Times New Roman" w:eastAsia="宋体" w:cs="Times New Roman"/>
                <w:color w:val="auto"/>
                <w:kern w:val="0"/>
                <w:sz w:val="20"/>
                <w:szCs w:val="20"/>
                <w:highlight w:val="none"/>
              </w:rPr>
            </w:pPr>
          </w:p>
        </w:tc>
        <w:tc>
          <w:tcPr>
            <w:tcW w:w="968" w:type="dxa"/>
            <w:vAlign w:val="center"/>
          </w:tcPr>
          <w:p w14:paraId="7B95CA94">
            <w:pPr>
              <w:jc w:val="center"/>
              <w:rPr>
                <w:rFonts w:ascii="Times New Roman" w:hAnsi="Times New Roman" w:eastAsia="宋体" w:cs="Times New Roman"/>
                <w:color w:val="auto"/>
                <w:kern w:val="0"/>
                <w:sz w:val="20"/>
                <w:szCs w:val="20"/>
                <w:highlight w:val="none"/>
              </w:rPr>
            </w:pPr>
          </w:p>
        </w:tc>
        <w:tc>
          <w:tcPr>
            <w:tcW w:w="1986" w:type="dxa"/>
            <w:vAlign w:val="center"/>
          </w:tcPr>
          <w:p w14:paraId="27176027">
            <w:pPr>
              <w:jc w:val="center"/>
              <w:rPr>
                <w:rFonts w:ascii="Times New Roman" w:hAnsi="Times New Roman" w:eastAsia="宋体" w:cs="Times New Roman"/>
                <w:color w:val="auto"/>
                <w:kern w:val="0"/>
                <w:sz w:val="20"/>
                <w:szCs w:val="20"/>
                <w:highlight w:val="none"/>
              </w:rPr>
            </w:pPr>
          </w:p>
        </w:tc>
      </w:tr>
      <w:tr w14:paraId="6FAE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06B5B017">
            <w:pPr>
              <w:jc w:val="center"/>
              <w:rPr>
                <w:rFonts w:ascii="Times New Roman" w:hAnsi="Times New Roman" w:eastAsia="宋体" w:cs="Times New Roman"/>
                <w:color w:val="auto"/>
                <w:kern w:val="0"/>
                <w:sz w:val="20"/>
                <w:szCs w:val="20"/>
                <w:highlight w:val="none"/>
              </w:rPr>
            </w:pPr>
          </w:p>
        </w:tc>
        <w:tc>
          <w:tcPr>
            <w:tcW w:w="2493" w:type="dxa"/>
            <w:vAlign w:val="center"/>
          </w:tcPr>
          <w:p w14:paraId="30E600B8">
            <w:pPr>
              <w:jc w:val="center"/>
              <w:rPr>
                <w:rFonts w:ascii="Times New Roman" w:hAnsi="Times New Roman" w:eastAsia="宋体" w:cs="Times New Roman"/>
                <w:color w:val="auto"/>
                <w:kern w:val="0"/>
                <w:sz w:val="20"/>
                <w:szCs w:val="20"/>
                <w:highlight w:val="none"/>
              </w:rPr>
            </w:pPr>
          </w:p>
        </w:tc>
        <w:tc>
          <w:tcPr>
            <w:tcW w:w="2228" w:type="dxa"/>
            <w:vAlign w:val="center"/>
          </w:tcPr>
          <w:p w14:paraId="1525CC80">
            <w:pPr>
              <w:jc w:val="center"/>
              <w:rPr>
                <w:rFonts w:ascii="Times New Roman" w:hAnsi="Times New Roman" w:eastAsia="宋体" w:cs="Times New Roman"/>
                <w:color w:val="auto"/>
                <w:kern w:val="0"/>
                <w:sz w:val="20"/>
                <w:szCs w:val="20"/>
                <w:highlight w:val="none"/>
              </w:rPr>
            </w:pPr>
          </w:p>
        </w:tc>
        <w:tc>
          <w:tcPr>
            <w:tcW w:w="817" w:type="dxa"/>
            <w:vAlign w:val="center"/>
          </w:tcPr>
          <w:p w14:paraId="5EDA66B9">
            <w:pPr>
              <w:jc w:val="center"/>
              <w:rPr>
                <w:rFonts w:ascii="Times New Roman" w:hAnsi="Times New Roman" w:eastAsia="宋体" w:cs="Times New Roman"/>
                <w:color w:val="auto"/>
                <w:kern w:val="0"/>
                <w:sz w:val="20"/>
                <w:szCs w:val="20"/>
                <w:highlight w:val="none"/>
              </w:rPr>
            </w:pPr>
          </w:p>
        </w:tc>
        <w:tc>
          <w:tcPr>
            <w:tcW w:w="968" w:type="dxa"/>
            <w:vAlign w:val="center"/>
          </w:tcPr>
          <w:p w14:paraId="622F021D">
            <w:pPr>
              <w:jc w:val="center"/>
              <w:rPr>
                <w:rFonts w:ascii="Times New Roman" w:hAnsi="Times New Roman" w:eastAsia="宋体" w:cs="Times New Roman"/>
                <w:color w:val="auto"/>
                <w:kern w:val="0"/>
                <w:sz w:val="20"/>
                <w:szCs w:val="20"/>
                <w:highlight w:val="none"/>
              </w:rPr>
            </w:pPr>
          </w:p>
        </w:tc>
        <w:tc>
          <w:tcPr>
            <w:tcW w:w="1986" w:type="dxa"/>
            <w:vAlign w:val="center"/>
          </w:tcPr>
          <w:p w14:paraId="693AE59A">
            <w:pPr>
              <w:jc w:val="center"/>
              <w:rPr>
                <w:rFonts w:ascii="Times New Roman" w:hAnsi="Times New Roman" w:eastAsia="宋体" w:cs="Times New Roman"/>
                <w:color w:val="auto"/>
                <w:kern w:val="0"/>
                <w:sz w:val="20"/>
                <w:szCs w:val="20"/>
                <w:highlight w:val="none"/>
              </w:rPr>
            </w:pPr>
          </w:p>
        </w:tc>
      </w:tr>
      <w:tr w14:paraId="51CE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C8907DD">
            <w:pPr>
              <w:jc w:val="center"/>
              <w:rPr>
                <w:rFonts w:ascii="Times New Roman" w:hAnsi="Times New Roman" w:eastAsia="宋体" w:cs="Times New Roman"/>
                <w:color w:val="auto"/>
                <w:kern w:val="0"/>
                <w:sz w:val="20"/>
                <w:szCs w:val="20"/>
                <w:highlight w:val="none"/>
              </w:rPr>
            </w:pPr>
          </w:p>
        </w:tc>
        <w:tc>
          <w:tcPr>
            <w:tcW w:w="2493" w:type="dxa"/>
            <w:vAlign w:val="center"/>
          </w:tcPr>
          <w:p w14:paraId="4F6B3061">
            <w:pPr>
              <w:jc w:val="center"/>
              <w:rPr>
                <w:rFonts w:ascii="Times New Roman" w:hAnsi="Times New Roman" w:eastAsia="宋体" w:cs="Times New Roman"/>
                <w:color w:val="auto"/>
                <w:kern w:val="0"/>
                <w:sz w:val="20"/>
                <w:szCs w:val="20"/>
                <w:highlight w:val="none"/>
              </w:rPr>
            </w:pPr>
          </w:p>
        </w:tc>
        <w:tc>
          <w:tcPr>
            <w:tcW w:w="2228" w:type="dxa"/>
            <w:vAlign w:val="center"/>
          </w:tcPr>
          <w:p w14:paraId="63AB7DA9">
            <w:pPr>
              <w:jc w:val="center"/>
              <w:rPr>
                <w:rFonts w:ascii="Times New Roman" w:hAnsi="Times New Roman" w:eastAsia="宋体" w:cs="Times New Roman"/>
                <w:color w:val="auto"/>
                <w:kern w:val="0"/>
                <w:sz w:val="20"/>
                <w:szCs w:val="20"/>
                <w:highlight w:val="none"/>
              </w:rPr>
            </w:pPr>
          </w:p>
        </w:tc>
        <w:tc>
          <w:tcPr>
            <w:tcW w:w="817" w:type="dxa"/>
            <w:vAlign w:val="center"/>
          </w:tcPr>
          <w:p w14:paraId="743E0075">
            <w:pPr>
              <w:jc w:val="center"/>
              <w:rPr>
                <w:rFonts w:ascii="Times New Roman" w:hAnsi="Times New Roman" w:eastAsia="宋体" w:cs="Times New Roman"/>
                <w:color w:val="auto"/>
                <w:kern w:val="0"/>
                <w:sz w:val="20"/>
                <w:szCs w:val="20"/>
                <w:highlight w:val="none"/>
              </w:rPr>
            </w:pPr>
          </w:p>
        </w:tc>
        <w:tc>
          <w:tcPr>
            <w:tcW w:w="968" w:type="dxa"/>
            <w:vAlign w:val="center"/>
          </w:tcPr>
          <w:p w14:paraId="55243E2B">
            <w:pPr>
              <w:jc w:val="center"/>
              <w:rPr>
                <w:rFonts w:ascii="Times New Roman" w:hAnsi="Times New Roman" w:eastAsia="宋体" w:cs="Times New Roman"/>
                <w:color w:val="auto"/>
                <w:kern w:val="0"/>
                <w:sz w:val="20"/>
                <w:szCs w:val="20"/>
                <w:highlight w:val="none"/>
              </w:rPr>
            </w:pPr>
          </w:p>
        </w:tc>
        <w:tc>
          <w:tcPr>
            <w:tcW w:w="1986" w:type="dxa"/>
            <w:vAlign w:val="center"/>
          </w:tcPr>
          <w:p w14:paraId="2DC0B11C">
            <w:pPr>
              <w:jc w:val="center"/>
              <w:rPr>
                <w:rFonts w:ascii="Times New Roman" w:hAnsi="Times New Roman" w:eastAsia="宋体" w:cs="Times New Roman"/>
                <w:color w:val="auto"/>
                <w:kern w:val="0"/>
                <w:sz w:val="20"/>
                <w:szCs w:val="20"/>
                <w:highlight w:val="none"/>
              </w:rPr>
            </w:pPr>
          </w:p>
        </w:tc>
      </w:tr>
      <w:tr w14:paraId="2E355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B57A9D7">
            <w:pPr>
              <w:jc w:val="center"/>
              <w:rPr>
                <w:rFonts w:ascii="Times New Roman" w:hAnsi="Times New Roman" w:eastAsia="宋体" w:cs="Times New Roman"/>
                <w:color w:val="auto"/>
                <w:kern w:val="0"/>
                <w:sz w:val="20"/>
                <w:szCs w:val="20"/>
                <w:highlight w:val="none"/>
              </w:rPr>
            </w:pPr>
          </w:p>
        </w:tc>
        <w:tc>
          <w:tcPr>
            <w:tcW w:w="2493" w:type="dxa"/>
            <w:vAlign w:val="center"/>
          </w:tcPr>
          <w:p w14:paraId="1BD8131F">
            <w:pPr>
              <w:jc w:val="center"/>
              <w:rPr>
                <w:rFonts w:ascii="Times New Roman" w:hAnsi="Times New Roman" w:eastAsia="宋体" w:cs="Times New Roman"/>
                <w:color w:val="auto"/>
                <w:kern w:val="0"/>
                <w:sz w:val="20"/>
                <w:szCs w:val="20"/>
                <w:highlight w:val="none"/>
              </w:rPr>
            </w:pPr>
          </w:p>
        </w:tc>
        <w:tc>
          <w:tcPr>
            <w:tcW w:w="2228" w:type="dxa"/>
            <w:vAlign w:val="center"/>
          </w:tcPr>
          <w:p w14:paraId="239EB149">
            <w:pPr>
              <w:jc w:val="center"/>
              <w:rPr>
                <w:rFonts w:ascii="Times New Roman" w:hAnsi="Times New Roman" w:eastAsia="宋体" w:cs="Times New Roman"/>
                <w:color w:val="auto"/>
                <w:kern w:val="0"/>
                <w:sz w:val="20"/>
                <w:szCs w:val="20"/>
                <w:highlight w:val="none"/>
              </w:rPr>
            </w:pPr>
          </w:p>
        </w:tc>
        <w:tc>
          <w:tcPr>
            <w:tcW w:w="817" w:type="dxa"/>
            <w:vAlign w:val="center"/>
          </w:tcPr>
          <w:p w14:paraId="7897A621">
            <w:pPr>
              <w:jc w:val="center"/>
              <w:rPr>
                <w:rFonts w:ascii="Times New Roman" w:hAnsi="Times New Roman" w:eastAsia="宋体" w:cs="Times New Roman"/>
                <w:color w:val="auto"/>
                <w:kern w:val="0"/>
                <w:sz w:val="20"/>
                <w:szCs w:val="20"/>
                <w:highlight w:val="none"/>
              </w:rPr>
            </w:pPr>
          </w:p>
        </w:tc>
        <w:tc>
          <w:tcPr>
            <w:tcW w:w="968" w:type="dxa"/>
            <w:vAlign w:val="center"/>
          </w:tcPr>
          <w:p w14:paraId="531CF5D0">
            <w:pPr>
              <w:jc w:val="center"/>
              <w:rPr>
                <w:rFonts w:ascii="Times New Roman" w:hAnsi="Times New Roman" w:eastAsia="宋体" w:cs="Times New Roman"/>
                <w:color w:val="auto"/>
                <w:kern w:val="0"/>
                <w:sz w:val="20"/>
                <w:szCs w:val="20"/>
                <w:highlight w:val="none"/>
              </w:rPr>
            </w:pPr>
          </w:p>
        </w:tc>
        <w:tc>
          <w:tcPr>
            <w:tcW w:w="1986" w:type="dxa"/>
            <w:vAlign w:val="center"/>
          </w:tcPr>
          <w:p w14:paraId="470505A4">
            <w:pPr>
              <w:jc w:val="center"/>
              <w:rPr>
                <w:rFonts w:ascii="Times New Roman" w:hAnsi="Times New Roman" w:eastAsia="宋体" w:cs="Times New Roman"/>
                <w:color w:val="auto"/>
                <w:kern w:val="0"/>
                <w:sz w:val="20"/>
                <w:szCs w:val="20"/>
                <w:highlight w:val="none"/>
              </w:rPr>
            </w:pPr>
          </w:p>
        </w:tc>
      </w:tr>
      <w:tr w14:paraId="714D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531B0C20">
            <w:pPr>
              <w:jc w:val="center"/>
              <w:rPr>
                <w:rFonts w:ascii="Times New Roman" w:hAnsi="Times New Roman" w:eastAsia="宋体" w:cs="Times New Roman"/>
                <w:color w:val="auto"/>
                <w:kern w:val="0"/>
                <w:sz w:val="20"/>
                <w:szCs w:val="20"/>
                <w:highlight w:val="none"/>
              </w:rPr>
            </w:pPr>
          </w:p>
        </w:tc>
        <w:tc>
          <w:tcPr>
            <w:tcW w:w="2493" w:type="dxa"/>
            <w:vAlign w:val="center"/>
          </w:tcPr>
          <w:p w14:paraId="6C57F6BB">
            <w:pPr>
              <w:jc w:val="center"/>
              <w:rPr>
                <w:rFonts w:ascii="Times New Roman" w:hAnsi="Times New Roman" w:eastAsia="宋体" w:cs="Times New Roman"/>
                <w:color w:val="auto"/>
                <w:kern w:val="0"/>
                <w:sz w:val="20"/>
                <w:szCs w:val="20"/>
                <w:highlight w:val="none"/>
              </w:rPr>
            </w:pPr>
          </w:p>
        </w:tc>
        <w:tc>
          <w:tcPr>
            <w:tcW w:w="2228" w:type="dxa"/>
            <w:vAlign w:val="center"/>
          </w:tcPr>
          <w:p w14:paraId="4CA353ED">
            <w:pPr>
              <w:jc w:val="center"/>
              <w:rPr>
                <w:rFonts w:ascii="Times New Roman" w:hAnsi="Times New Roman" w:eastAsia="宋体" w:cs="Times New Roman"/>
                <w:color w:val="auto"/>
                <w:kern w:val="0"/>
                <w:sz w:val="20"/>
                <w:szCs w:val="20"/>
                <w:highlight w:val="none"/>
              </w:rPr>
            </w:pPr>
          </w:p>
        </w:tc>
        <w:tc>
          <w:tcPr>
            <w:tcW w:w="817" w:type="dxa"/>
            <w:vAlign w:val="center"/>
          </w:tcPr>
          <w:p w14:paraId="14CBDD97">
            <w:pPr>
              <w:jc w:val="center"/>
              <w:rPr>
                <w:rFonts w:ascii="Times New Roman" w:hAnsi="Times New Roman" w:eastAsia="宋体" w:cs="Times New Roman"/>
                <w:color w:val="auto"/>
                <w:kern w:val="0"/>
                <w:sz w:val="20"/>
                <w:szCs w:val="20"/>
                <w:highlight w:val="none"/>
              </w:rPr>
            </w:pPr>
          </w:p>
        </w:tc>
        <w:tc>
          <w:tcPr>
            <w:tcW w:w="968" w:type="dxa"/>
            <w:vAlign w:val="center"/>
          </w:tcPr>
          <w:p w14:paraId="62D56698">
            <w:pPr>
              <w:jc w:val="center"/>
              <w:rPr>
                <w:rFonts w:ascii="Times New Roman" w:hAnsi="Times New Roman" w:eastAsia="宋体" w:cs="Times New Roman"/>
                <w:color w:val="auto"/>
                <w:kern w:val="0"/>
                <w:sz w:val="20"/>
                <w:szCs w:val="20"/>
                <w:highlight w:val="none"/>
              </w:rPr>
            </w:pPr>
          </w:p>
        </w:tc>
        <w:tc>
          <w:tcPr>
            <w:tcW w:w="1986" w:type="dxa"/>
            <w:vAlign w:val="center"/>
          </w:tcPr>
          <w:p w14:paraId="429B9DBA">
            <w:pPr>
              <w:jc w:val="center"/>
              <w:rPr>
                <w:rFonts w:ascii="Times New Roman" w:hAnsi="Times New Roman" w:eastAsia="宋体" w:cs="Times New Roman"/>
                <w:color w:val="auto"/>
                <w:kern w:val="0"/>
                <w:sz w:val="20"/>
                <w:szCs w:val="20"/>
                <w:highlight w:val="none"/>
              </w:rPr>
            </w:pPr>
          </w:p>
        </w:tc>
      </w:tr>
      <w:tr w14:paraId="1206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7298F4A">
            <w:pPr>
              <w:jc w:val="center"/>
              <w:rPr>
                <w:rFonts w:ascii="Times New Roman" w:hAnsi="Times New Roman" w:eastAsia="宋体" w:cs="Times New Roman"/>
                <w:color w:val="auto"/>
                <w:kern w:val="0"/>
                <w:sz w:val="20"/>
                <w:szCs w:val="20"/>
                <w:highlight w:val="none"/>
              </w:rPr>
            </w:pPr>
          </w:p>
        </w:tc>
        <w:tc>
          <w:tcPr>
            <w:tcW w:w="2493" w:type="dxa"/>
            <w:vAlign w:val="center"/>
          </w:tcPr>
          <w:p w14:paraId="538D3240">
            <w:pPr>
              <w:jc w:val="center"/>
              <w:rPr>
                <w:rFonts w:ascii="Times New Roman" w:hAnsi="Times New Roman" w:eastAsia="宋体" w:cs="Times New Roman"/>
                <w:color w:val="auto"/>
                <w:kern w:val="0"/>
                <w:sz w:val="20"/>
                <w:szCs w:val="20"/>
                <w:highlight w:val="none"/>
              </w:rPr>
            </w:pPr>
          </w:p>
        </w:tc>
        <w:tc>
          <w:tcPr>
            <w:tcW w:w="2228" w:type="dxa"/>
            <w:vAlign w:val="center"/>
          </w:tcPr>
          <w:p w14:paraId="60262842">
            <w:pPr>
              <w:jc w:val="center"/>
              <w:rPr>
                <w:rFonts w:ascii="Times New Roman" w:hAnsi="Times New Roman" w:eastAsia="宋体" w:cs="Times New Roman"/>
                <w:color w:val="auto"/>
                <w:kern w:val="0"/>
                <w:sz w:val="20"/>
                <w:szCs w:val="20"/>
                <w:highlight w:val="none"/>
              </w:rPr>
            </w:pPr>
          </w:p>
        </w:tc>
        <w:tc>
          <w:tcPr>
            <w:tcW w:w="817" w:type="dxa"/>
            <w:vAlign w:val="center"/>
          </w:tcPr>
          <w:p w14:paraId="043505E2">
            <w:pPr>
              <w:jc w:val="center"/>
              <w:rPr>
                <w:rFonts w:ascii="Times New Roman" w:hAnsi="Times New Roman" w:eastAsia="宋体" w:cs="Times New Roman"/>
                <w:color w:val="auto"/>
                <w:kern w:val="0"/>
                <w:sz w:val="20"/>
                <w:szCs w:val="20"/>
                <w:highlight w:val="none"/>
              </w:rPr>
            </w:pPr>
          </w:p>
        </w:tc>
        <w:tc>
          <w:tcPr>
            <w:tcW w:w="968" w:type="dxa"/>
            <w:vAlign w:val="center"/>
          </w:tcPr>
          <w:p w14:paraId="686FA540">
            <w:pPr>
              <w:jc w:val="center"/>
              <w:rPr>
                <w:rFonts w:ascii="Times New Roman" w:hAnsi="Times New Roman" w:eastAsia="宋体" w:cs="Times New Roman"/>
                <w:color w:val="auto"/>
                <w:kern w:val="0"/>
                <w:sz w:val="20"/>
                <w:szCs w:val="20"/>
                <w:highlight w:val="none"/>
              </w:rPr>
            </w:pPr>
          </w:p>
        </w:tc>
        <w:tc>
          <w:tcPr>
            <w:tcW w:w="1986" w:type="dxa"/>
            <w:vAlign w:val="center"/>
          </w:tcPr>
          <w:p w14:paraId="0B16CF3E">
            <w:pPr>
              <w:jc w:val="center"/>
              <w:rPr>
                <w:rFonts w:ascii="Times New Roman" w:hAnsi="Times New Roman" w:eastAsia="宋体" w:cs="Times New Roman"/>
                <w:color w:val="auto"/>
                <w:kern w:val="0"/>
                <w:sz w:val="20"/>
                <w:szCs w:val="20"/>
                <w:highlight w:val="none"/>
              </w:rPr>
            </w:pPr>
          </w:p>
        </w:tc>
      </w:tr>
      <w:tr w14:paraId="1B534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4078AC2D">
            <w:pPr>
              <w:jc w:val="center"/>
              <w:rPr>
                <w:rFonts w:ascii="Times New Roman" w:hAnsi="Times New Roman" w:eastAsia="宋体" w:cs="Times New Roman"/>
                <w:color w:val="auto"/>
                <w:kern w:val="0"/>
                <w:sz w:val="20"/>
                <w:szCs w:val="20"/>
                <w:highlight w:val="none"/>
              </w:rPr>
            </w:pPr>
          </w:p>
        </w:tc>
        <w:tc>
          <w:tcPr>
            <w:tcW w:w="2493" w:type="dxa"/>
            <w:vAlign w:val="center"/>
          </w:tcPr>
          <w:p w14:paraId="089ABF42">
            <w:pPr>
              <w:jc w:val="center"/>
              <w:rPr>
                <w:rFonts w:ascii="Times New Roman" w:hAnsi="Times New Roman" w:eastAsia="宋体" w:cs="Times New Roman"/>
                <w:color w:val="auto"/>
                <w:kern w:val="0"/>
                <w:sz w:val="20"/>
                <w:szCs w:val="20"/>
                <w:highlight w:val="none"/>
              </w:rPr>
            </w:pPr>
          </w:p>
        </w:tc>
        <w:tc>
          <w:tcPr>
            <w:tcW w:w="2228" w:type="dxa"/>
            <w:vAlign w:val="center"/>
          </w:tcPr>
          <w:p w14:paraId="45A9142D">
            <w:pPr>
              <w:jc w:val="center"/>
              <w:rPr>
                <w:rFonts w:ascii="Times New Roman" w:hAnsi="Times New Roman" w:eastAsia="宋体" w:cs="Times New Roman"/>
                <w:color w:val="auto"/>
                <w:kern w:val="0"/>
                <w:sz w:val="20"/>
                <w:szCs w:val="20"/>
                <w:highlight w:val="none"/>
              </w:rPr>
            </w:pPr>
          </w:p>
        </w:tc>
        <w:tc>
          <w:tcPr>
            <w:tcW w:w="817" w:type="dxa"/>
            <w:vAlign w:val="center"/>
          </w:tcPr>
          <w:p w14:paraId="1C5A2BC0">
            <w:pPr>
              <w:jc w:val="center"/>
              <w:rPr>
                <w:rFonts w:ascii="Times New Roman" w:hAnsi="Times New Roman" w:eastAsia="宋体" w:cs="Times New Roman"/>
                <w:color w:val="auto"/>
                <w:kern w:val="0"/>
                <w:sz w:val="20"/>
                <w:szCs w:val="20"/>
                <w:highlight w:val="none"/>
              </w:rPr>
            </w:pPr>
          </w:p>
        </w:tc>
        <w:tc>
          <w:tcPr>
            <w:tcW w:w="968" w:type="dxa"/>
            <w:vAlign w:val="center"/>
          </w:tcPr>
          <w:p w14:paraId="3602541B">
            <w:pPr>
              <w:jc w:val="center"/>
              <w:rPr>
                <w:rFonts w:ascii="Times New Roman" w:hAnsi="Times New Roman" w:eastAsia="宋体" w:cs="Times New Roman"/>
                <w:color w:val="auto"/>
                <w:kern w:val="0"/>
                <w:sz w:val="20"/>
                <w:szCs w:val="20"/>
                <w:highlight w:val="none"/>
              </w:rPr>
            </w:pPr>
          </w:p>
        </w:tc>
        <w:tc>
          <w:tcPr>
            <w:tcW w:w="1986" w:type="dxa"/>
            <w:vAlign w:val="center"/>
          </w:tcPr>
          <w:p w14:paraId="7080890A">
            <w:pPr>
              <w:jc w:val="center"/>
              <w:rPr>
                <w:rFonts w:ascii="Times New Roman" w:hAnsi="Times New Roman" w:eastAsia="宋体" w:cs="Times New Roman"/>
                <w:color w:val="auto"/>
                <w:kern w:val="0"/>
                <w:sz w:val="20"/>
                <w:szCs w:val="20"/>
                <w:highlight w:val="none"/>
              </w:rPr>
            </w:pPr>
          </w:p>
        </w:tc>
      </w:tr>
      <w:tr w14:paraId="7BF8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53280943">
            <w:pPr>
              <w:jc w:val="center"/>
              <w:rPr>
                <w:rFonts w:ascii="Times New Roman" w:hAnsi="Times New Roman" w:eastAsia="宋体" w:cs="Times New Roman"/>
                <w:color w:val="auto"/>
                <w:kern w:val="0"/>
                <w:sz w:val="20"/>
                <w:szCs w:val="20"/>
                <w:highlight w:val="none"/>
              </w:rPr>
            </w:pPr>
          </w:p>
        </w:tc>
        <w:tc>
          <w:tcPr>
            <w:tcW w:w="2493" w:type="dxa"/>
            <w:vAlign w:val="center"/>
          </w:tcPr>
          <w:p w14:paraId="2AAC0603">
            <w:pPr>
              <w:jc w:val="center"/>
              <w:rPr>
                <w:rFonts w:ascii="Times New Roman" w:hAnsi="Times New Roman" w:eastAsia="宋体" w:cs="Times New Roman"/>
                <w:color w:val="auto"/>
                <w:kern w:val="0"/>
                <w:sz w:val="20"/>
                <w:szCs w:val="20"/>
                <w:highlight w:val="none"/>
              </w:rPr>
            </w:pPr>
          </w:p>
        </w:tc>
        <w:tc>
          <w:tcPr>
            <w:tcW w:w="2228" w:type="dxa"/>
            <w:vAlign w:val="center"/>
          </w:tcPr>
          <w:p w14:paraId="4E318C80">
            <w:pPr>
              <w:jc w:val="center"/>
              <w:rPr>
                <w:rFonts w:ascii="Times New Roman" w:hAnsi="Times New Roman" w:eastAsia="宋体" w:cs="Times New Roman"/>
                <w:color w:val="auto"/>
                <w:kern w:val="0"/>
                <w:sz w:val="20"/>
                <w:szCs w:val="20"/>
                <w:highlight w:val="none"/>
              </w:rPr>
            </w:pPr>
          </w:p>
        </w:tc>
        <w:tc>
          <w:tcPr>
            <w:tcW w:w="817" w:type="dxa"/>
            <w:vAlign w:val="center"/>
          </w:tcPr>
          <w:p w14:paraId="2D180754">
            <w:pPr>
              <w:jc w:val="center"/>
              <w:rPr>
                <w:rFonts w:ascii="Times New Roman" w:hAnsi="Times New Roman" w:eastAsia="宋体" w:cs="Times New Roman"/>
                <w:color w:val="auto"/>
                <w:kern w:val="0"/>
                <w:sz w:val="20"/>
                <w:szCs w:val="20"/>
                <w:highlight w:val="none"/>
              </w:rPr>
            </w:pPr>
          </w:p>
        </w:tc>
        <w:tc>
          <w:tcPr>
            <w:tcW w:w="968" w:type="dxa"/>
            <w:vAlign w:val="center"/>
          </w:tcPr>
          <w:p w14:paraId="60615C18">
            <w:pPr>
              <w:jc w:val="center"/>
              <w:rPr>
                <w:rFonts w:ascii="Times New Roman" w:hAnsi="Times New Roman" w:eastAsia="宋体" w:cs="Times New Roman"/>
                <w:color w:val="auto"/>
                <w:kern w:val="0"/>
                <w:sz w:val="20"/>
                <w:szCs w:val="20"/>
                <w:highlight w:val="none"/>
              </w:rPr>
            </w:pPr>
          </w:p>
        </w:tc>
        <w:tc>
          <w:tcPr>
            <w:tcW w:w="1986" w:type="dxa"/>
            <w:vAlign w:val="center"/>
          </w:tcPr>
          <w:p w14:paraId="5069AB29">
            <w:pPr>
              <w:jc w:val="center"/>
              <w:rPr>
                <w:rFonts w:ascii="Times New Roman" w:hAnsi="Times New Roman" w:eastAsia="宋体" w:cs="Times New Roman"/>
                <w:color w:val="auto"/>
                <w:kern w:val="0"/>
                <w:sz w:val="20"/>
                <w:szCs w:val="20"/>
                <w:highlight w:val="none"/>
              </w:rPr>
            </w:pPr>
          </w:p>
        </w:tc>
      </w:tr>
      <w:tr w14:paraId="45D9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5A86B7FD">
            <w:pPr>
              <w:jc w:val="center"/>
              <w:rPr>
                <w:rFonts w:ascii="Times New Roman" w:hAnsi="Times New Roman" w:eastAsia="宋体" w:cs="Times New Roman"/>
                <w:color w:val="auto"/>
                <w:kern w:val="0"/>
                <w:sz w:val="20"/>
                <w:szCs w:val="20"/>
                <w:highlight w:val="none"/>
              </w:rPr>
            </w:pPr>
          </w:p>
        </w:tc>
        <w:tc>
          <w:tcPr>
            <w:tcW w:w="2493" w:type="dxa"/>
            <w:vAlign w:val="center"/>
          </w:tcPr>
          <w:p w14:paraId="7E391760">
            <w:pPr>
              <w:jc w:val="center"/>
              <w:rPr>
                <w:rFonts w:ascii="Times New Roman" w:hAnsi="Times New Roman" w:eastAsia="宋体" w:cs="Times New Roman"/>
                <w:color w:val="auto"/>
                <w:kern w:val="0"/>
                <w:sz w:val="20"/>
                <w:szCs w:val="20"/>
                <w:highlight w:val="none"/>
              </w:rPr>
            </w:pPr>
          </w:p>
        </w:tc>
        <w:tc>
          <w:tcPr>
            <w:tcW w:w="2228" w:type="dxa"/>
            <w:vAlign w:val="center"/>
          </w:tcPr>
          <w:p w14:paraId="53DB2810">
            <w:pPr>
              <w:jc w:val="center"/>
              <w:rPr>
                <w:rFonts w:ascii="Times New Roman" w:hAnsi="Times New Roman" w:eastAsia="宋体" w:cs="Times New Roman"/>
                <w:color w:val="auto"/>
                <w:kern w:val="0"/>
                <w:sz w:val="20"/>
                <w:szCs w:val="20"/>
                <w:highlight w:val="none"/>
              </w:rPr>
            </w:pPr>
          </w:p>
        </w:tc>
        <w:tc>
          <w:tcPr>
            <w:tcW w:w="817" w:type="dxa"/>
            <w:vAlign w:val="center"/>
          </w:tcPr>
          <w:p w14:paraId="3D63D2ED">
            <w:pPr>
              <w:jc w:val="center"/>
              <w:rPr>
                <w:rFonts w:ascii="Times New Roman" w:hAnsi="Times New Roman" w:eastAsia="宋体" w:cs="Times New Roman"/>
                <w:color w:val="auto"/>
                <w:kern w:val="0"/>
                <w:sz w:val="20"/>
                <w:szCs w:val="20"/>
                <w:highlight w:val="none"/>
              </w:rPr>
            </w:pPr>
          </w:p>
        </w:tc>
        <w:tc>
          <w:tcPr>
            <w:tcW w:w="968" w:type="dxa"/>
            <w:vAlign w:val="center"/>
          </w:tcPr>
          <w:p w14:paraId="7BB71121">
            <w:pPr>
              <w:jc w:val="center"/>
              <w:rPr>
                <w:rFonts w:ascii="Times New Roman" w:hAnsi="Times New Roman" w:eastAsia="宋体" w:cs="Times New Roman"/>
                <w:color w:val="auto"/>
                <w:kern w:val="0"/>
                <w:sz w:val="20"/>
                <w:szCs w:val="20"/>
                <w:highlight w:val="none"/>
              </w:rPr>
            </w:pPr>
          </w:p>
        </w:tc>
        <w:tc>
          <w:tcPr>
            <w:tcW w:w="1986" w:type="dxa"/>
            <w:vAlign w:val="center"/>
          </w:tcPr>
          <w:p w14:paraId="0F552CEB">
            <w:pPr>
              <w:jc w:val="center"/>
              <w:rPr>
                <w:rFonts w:ascii="Times New Roman" w:hAnsi="Times New Roman" w:eastAsia="宋体" w:cs="Times New Roman"/>
                <w:color w:val="auto"/>
                <w:kern w:val="0"/>
                <w:sz w:val="20"/>
                <w:szCs w:val="20"/>
                <w:highlight w:val="none"/>
              </w:rPr>
            </w:pPr>
          </w:p>
        </w:tc>
      </w:tr>
      <w:tr w14:paraId="1170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43C02989">
            <w:pPr>
              <w:jc w:val="center"/>
              <w:rPr>
                <w:rFonts w:ascii="Times New Roman" w:hAnsi="Times New Roman" w:eastAsia="宋体" w:cs="Times New Roman"/>
                <w:color w:val="auto"/>
                <w:kern w:val="0"/>
                <w:sz w:val="20"/>
                <w:szCs w:val="20"/>
                <w:highlight w:val="none"/>
              </w:rPr>
            </w:pPr>
          </w:p>
        </w:tc>
        <w:tc>
          <w:tcPr>
            <w:tcW w:w="2493" w:type="dxa"/>
            <w:vAlign w:val="center"/>
          </w:tcPr>
          <w:p w14:paraId="50232433">
            <w:pPr>
              <w:jc w:val="center"/>
              <w:rPr>
                <w:rFonts w:ascii="Times New Roman" w:hAnsi="Times New Roman" w:eastAsia="宋体" w:cs="Times New Roman"/>
                <w:color w:val="auto"/>
                <w:kern w:val="0"/>
                <w:sz w:val="20"/>
                <w:szCs w:val="20"/>
                <w:highlight w:val="none"/>
              </w:rPr>
            </w:pPr>
          </w:p>
        </w:tc>
        <w:tc>
          <w:tcPr>
            <w:tcW w:w="2228" w:type="dxa"/>
            <w:vAlign w:val="center"/>
          </w:tcPr>
          <w:p w14:paraId="7CD136E6">
            <w:pPr>
              <w:jc w:val="center"/>
              <w:rPr>
                <w:rFonts w:ascii="Times New Roman" w:hAnsi="Times New Roman" w:eastAsia="宋体" w:cs="Times New Roman"/>
                <w:color w:val="auto"/>
                <w:kern w:val="0"/>
                <w:sz w:val="20"/>
                <w:szCs w:val="20"/>
                <w:highlight w:val="none"/>
              </w:rPr>
            </w:pPr>
          </w:p>
        </w:tc>
        <w:tc>
          <w:tcPr>
            <w:tcW w:w="817" w:type="dxa"/>
            <w:vAlign w:val="center"/>
          </w:tcPr>
          <w:p w14:paraId="27DE6475">
            <w:pPr>
              <w:jc w:val="center"/>
              <w:rPr>
                <w:rFonts w:ascii="Times New Roman" w:hAnsi="Times New Roman" w:eastAsia="宋体" w:cs="Times New Roman"/>
                <w:color w:val="auto"/>
                <w:kern w:val="0"/>
                <w:sz w:val="20"/>
                <w:szCs w:val="20"/>
                <w:highlight w:val="none"/>
              </w:rPr>
            </w:pPr>
          </w:p>
        </w:tc>
        <w:tc>
          <w:tcPr>
            <w:tcW w:w="968" w:type="dxa"/>
            <w:vAlign w:val="center"/>
          </w:tcPr>
          <w:p w14:paraId="6F6BE316">
            <w:pPr>
              <w:jc w:val="center"/>
              <w:rPr>
                <w:rFonts w:ascii="Times New Roman" w:hAnsi="Times New Roman" w:eastAsia="宋体" w:cs="Times New Roman"/>
                <w:color w:val="auto"/>
                <w:kern w:val="0"/>
                <w:sz w:val="20"/>
                <w:szCs w:val="20"/>
                <w:highlight w:val="none"/>
              </w:rPr>
            </w:pPr>
          </w:p>
        </w:tc>
        <w:tc>
          <w:tcPr>
            <w:tcW w:w="1986" w:type="dxa"/>
            <w:vAlign w:val="center"/>
          </w:tcPr>
          <w:p w14:paraId="0B22F72D">
            <w:pPr>
              <w:jc w:val="center"/>
              <w:rPr>
                <w:rFonts w:ascii="Times New Roman" w:hAnsi="Times New Roman" w:eastAsia="宋体" w:cs="Times New Roman"/>
                <w:color w:val="auto"/>
                <w:kern w:val="0"/>
                <w:sz w:val="20"/>
                <w:szCs w:val="20"/>
                <w:highlight w:val="none"/>
              </w:rPr>
            </w:pPr>
          </w:p>
        </w:tc>
      </w:tr>
      <w:tr w14:paraId="1634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0B750516">
            <w:pPr>
              <w:jc w:val="center"/>
              <w:rPr>
                <w:rFonts w:ascii="Times New Roman" w:hAnsi="Times New Roman" w:eastAsia="宋体" w:cs="Times New Roman"/>
                <w:color w:val="auto"/>
                <w:kern w:val="0"/>
                <w:sz w:val="20"/>
                <w:szCs w:val="20"/>
                <w:highlight w:val="none"/>
              </w:rPr>
            </w:pPr>
          </w:p>
        </w:tc>
        <w:tc>
          <w:tcPr>
            <w:tcW w:w="2493" w:type="dxa"/>
            <w:vAlign w:val="center"/>
          </w:tcPr>
          <w:p w14:paraId="4EB1F53B">
            <w:pPr>
              <w:jc w:val="center"/>
              <w:rPr>
                <w:rFonts w:ascii="Times New Roman" w:hAnsi="Times New Roman" w:eastAsia="宋体" w:cs="Times New Roman"/>
                <w:color w:val="auto"/>
                <w:kern w:val="0"/>
                <w:sz w:val="20"/>
                <w:szCs w:val="20"/>
                <w:highlight w:val="none"/>
              </w:rPr>
            </w:pPr>
          </w:p>
        </w:tc>
        <w:tc>
          <w:tcPr>
            <w:tcW w:w="2228" w:type="dxa"/>
            <w:vAlign w:val="center"/>
          </w:tcPr>
          <w:p w14:paraId="2214DBCB">
            <w:pPr>
              <w:jc w:val="center"/>
              <w:rPr>
                <w:rFonts w:ascii="Times New Roman" w:hAnsi="Times New Roman" w:eastAsia="宋体" w:cs="Times New Roman"/>
                <w:color w:val="auto"/>
                <w:kern w:val="0"/>
                <w:sz w:val="20"/>
                <w:szCs w:val="20"/>
                <w:highlight w:val="none"/>
              </w:rPr>
            </w:pPr>
          </w:p>
        </w:tc>
        <w:tc>
          <w:tcPr>
            <w:tcW w:w="817" w:type="dxa"/>
            <w:vAlign w:val="center"/>
          </w:tcPr>
          <w:p w14:paraId="44FA4AB3">
            <w:pPr>
              <w:jc w:val="center"/>
              <w:rPr>
                <w:rFonts w:ascii="Times New Roman" w:hAnsi="Times New Roman" w:eastAsia="宋体" w:cs="Times New Roman"/>
                <w:color w:val="auto"/>
                <w:kern w:val="0"/>
                <w:sz w:val="20"/>
                <w:szCs w:val="20"/>
                <w:highlight w:val="none"/>
              </w:rPr>
            </w:pPr>
          </w:p>
        </w:tc>
        <w:tc>
          <w:tcPr>
            <w:tcW w:w="968" w:type="dxa"/>
            <w:vAlign w:val="center"/>
          </w:tcPr>
          <w:p w14:paraId="2B89F602">
            <w:pPr>
              <w:jc w:val="center"/>
              <w:rPr>
                <w:rFonts w:ascii="Times New Roman" w:hAnsi="Times New Roman" w:eastAsia="宋体" w:cs="Times New Roman"/>
                <w:color w:val="auto"/>
                <w:kern w:val="0"/>
                <w:sz w:val="20"/>
                <w:szCs w:val="20"/>
                <w:highlight w:val="none"/>
              </w:rPr>
            </w:pPr>
          </w:p>
        </w:tc>
        <w:tc>
          <w:tcPr>
            <w:tcW w:w="1986" w:type="dxa"/>
            <w:vAlign w:val="center"/>
          </w:tcPr>
          <w:p w14:paraId="34459E49">
            <w:pPr>
              <w:jc w:val="center"/>
              <w:rPr>
                <w:rFonts w:ascii="Times New Roman" w:hAnsi="Times New Roman" w:eastAsia="宋体" w:cs="Times New Roman"/>
                <w:color w:val="auto"/>
                <w:kern w:val="0"/>
                <w:sz w:val="20"/>
                <w:szCs w:val="20"/>
                <w:highlight w:val="none"/>
              </w:rPr>
            </w:pPr>
          </w:p>
        </w:tc>
      </w:tr>
      <w:tr w14:paraId="7970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4730172A">
            <w:pPr>
              <w:jc w:val="center"/>
              <w:rPr>
                <w:rFonts w:ascii="Times New Roman" w:hAnsi="Times New Roman" w:eastAsia="宋体" w:cs="Times New Roman"/>
                <w:color w:val="auto"/>
                <w:kern w:val="0"/>
                <w:sz w:val="20"/>
                <w:szCs w:val="20"/>
                <w:highlight w:val="none"/>
              </w:rPr>
            </w:pPr>
          </w:p>
        </w:tc>
        <w:tc>
          <w:tcPr>
            <w:tcW w:w="2493" w:type="dxa"/>
            <w:vAlign w:val="center"/>
          </w:tcPr>
          <w:p w14:paraId="20DFD404">
            <w:pPr>
              <w:jc w:val="center"/>
              <w:rPr>
                <w:rFonts w:ascii="Times New Roman" w:hAnsi="Times New Roman" w:eastAsia="宋体" w:cs="Times New Roman"/>
                <w:color w:val="auto"/>
                <w:kern w:val="0"/>
                <w:sz w:val="20"/>
                <w:szCs w:val="20"/>
                <w:highlight w:val="none"/>
              </w:rPr>
            </w:pPr>
          </w:p>
        </w:tc>
        <w:tc>
          <w:tcPr>
            <w:tcW w:w="2228" w:type="dxa"/>
            <w:vAlign w:val="center"/>
          </w:tcPr>
          <w:p w14:paraId="2DF11BE2">
            <w:pPr>
              <w:jc w:val="center"/>
              <w:rPr>
                <w:rFonts w:ascii="Times New Roman" w:hAnsi="Times New Roman" w:eastAsia="宋体" w:cs="Times New Roman"/>
                <w:color w:val="auto"/>
                <w:kern w:val="0"/>
                <w:sz w:val="20"/>
                <w:szCs w:val="20"/>
                <w:highlight w:val="none"/>
              </w:rPr>
            </w:pPr>
          </w:p>
        </w:tc>
        <w:tc>
          <w:tcPr>
            <w:tcW w:w="817" w:type="dxa"/>
            <w:vAlign w:val="center"/>
          </w:tcPr>
          <w:p w14:paraId="46A06B43">
            <w:pPr>
              <w:jc w:val="center"/>
              <w:rPr>
                <w:rFonts w:ascii="Times New Roman" w:hAnsi="Times New Roman" w:eastAsia="宋体" w:cs="Times New Roman"/>
                <w:color w:val="auto"/>
                <w:kern w:val="0"/>
                <w:sz w:val="20"/>
                <w:szCs w:val="20"/>
                <w:highlight w:val="none"/>
              </w:rPr>
            </w:pPr>
          </w:p>
        </w:tc>
        <w:tc>
          <w:tcPr>
            <w:tcW w:w="968" w:type="dxa"/>
            <w:vAlign w:val="center"/>
          </w:tcPr>
          <w:p w14:paraId="5F966BC9">
            <w:pPr>
              <w:jc w:val="center"/>
              <w:rPr>
                <w:rFonts w:ascii="Times New Roman" w:hAnsi="Times New Roman" w:eastAsia="宋体" w:cs="Times New Roman"/>
                <w:color w:val="auto"/>
                <w:kern w:val="0"/>
                <w:sz w:val="20"/>
                <w:szCs w:val="20"/>
                <w:highlight w:val="none"/>
              </w:rPr>
            </w:pPr>
          </w:p>
        </w:tc>
        <w:tc>
          <w:tcPr>
            <w:tcW w:w="1986" w:type="dxa"/>
            <w:vAlign w:val="center"/>
          </w:tcPr>
          <w:p w14:paraId="15808366">
            <w:pPr>
              <w:jc w:val="center"/>
              <w:rPr>
                <w:rFonts w:ascii="Times New Roman" w:hAnsi="Times New Roman" w:eastAsia="宋体" w:cs="Times New Roman"/>
                <w:color w:val="auto"/>
                <w:kern w:val="0"/>
                <w:sz w:val="20"/>
                <w:szCs w:val="20"/>
                <w:highlight w:val="none"/>
              </w:rPr>
            </w:pPr>
          </w:p>
        </w:tc>
      </w:tr>
      <w:tr w14:paraId="3DB20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149E7B9">
            <w:pPr>
              <w:jc w:val="center"/>
              <w:rPr>
                <w:rFonts w:ascii="Times New Roman" w:hAnsi="Times New Roman" w:eastAsia="宋体" w:cs="Times New Roman"/>
                <w:color w:val="auto"/>
                <w:kern w:val="0"/>
                <w:sz w:val="20"/>
                <w:szCs w:val="20"/>
                <w:highlight w:val="none"/>
              </w:rPr>
            </w:pPr>
          </w:p>
        </w:tc>
        <w:tc>
          <w:tcPr>
            <w:tcW w:w="2493" w:type="dxa"/>
            <w:vAlign w:val="center"/>
          </w:tcPr>
          <w:p w14:paraId="1C1BF2B0">
            <w:pPr>
              <w:jc w:val="center"/>
              <w:rPr>
                <w:rFonts w:ascii="Times New Roman" w:hAnsi="Times New Roman" w:eastAsia="宋体" w:cs="Times New Roman"/>
                <w:color w:val="auto"/>
                <w:kern w:val="0"/>
                <w:sz w:val="20"/>
                <w:szCs w:val="20"/>
                <w:highlight w:val="none"/>
              </w:rPr>
            </w:pPr>
          </w:p>
        </w:tc>
        <w:tc>
          <w:tcPr>
            <w:tcW w:w="2228" w:type="dxa"/>
            <w:vAlign w:val="center"/>
          </w:tcPr>
          <w:p w14:paraId="449AAC9F">
            <w:pPr>
              <w:jc w:val="center"/>
              <w:rPr>
                <w:rFonts w:ascii="Times New Roman" w:hAnsi="Times New Roman" w:eastAsia="宋体" w:cs="Times New Roman"/>
                <w:color w:val="auto"/>
                <w:kern w:val="0"/>
                <w:sz w:val="20"/>
                <w:szCs w:val="20"/>
                <w:highlight w:val="none"/>
              </w:rPr>
            </w:pPr>
          </w:p>
        </w:tc>
        <w:tc>
          <w:tcPr>
            <w:tcW w:w="817" w:type="dxa"/>
            <w:vAlign w:val="center"/>
          </w:tcPr>
          <w:p w14:paraId="44A0784C">
            <w:pPr>
              <w:jc w:val="center"/>
              <w:rPr>
                <w:rFonts w:ascii="Times New Roman" w:hAnsi="Times New Roman" w:eastAsia="宋体" w:cs="Times New Roman"/>
                <w:color w:val="auto"/>
                <w:kern w:val="0"/>
                <w:sz w:val="20"/>
                <w:szCs w:val="20"/>
                <w:highlight w:val="none"/>
              </w:rPr>
            </w:pPr>
          </w:p>
        </w:tc>
        <w:tc>
          <w:tcPr>
            <w:tcW w:w="968" w:type="dxa"/>
            <w:vAlign w:val="center"/>
          </w:tcPr>
          <w:p w14:paraId="201900AA">
            <w:pPr>
              <w:jc w:val="center"/>
              <w:rPr>
                <w:rFonts w:ascii="Times New Roman" w:hAnsi="Times New Roman" w:eastAsia="宋体" w:cs="Times New Roman"/>
                <w:color w:val="auto"/>
                <w:kern w:val="0"/>
                <w:sz w:val="20"/>
                <w:szCs w:val="20"/>
                <w:highlight w:val="none"/>
              </w:rPr>
            </w:pPr>
          </w:p>
        </w:tc>
        <w:tc>
          <w:tcPr>
            <w:tcW w:w="1986" w:type="dxa"/>
            <w:vAlign w:val="center"/>
          </w:tcPr>
          <w:p w14:paraId="07DA09B2">
            <w:pPr>
              <w:jc w:val="center"/>
              <w:rPr>
                <w:rFonts w:ascii="Times New Roman" w:hAnsi="Times New Roman" w:eastAsia="宋体" w:cs="Times New Roman"/>
                <w:color w:val="auto"/>
                <w:kern w:val="0"/>
                <w:sz w:val="20"/>
                <w:szCs w:val="20"/>
                <w:highlight w:val="none"/>
              </w:rPr>
            </w:pPr>
          </w:p>
        </w:tc>
      </w:tr>
      <w:tr w14:paraId="6FBCC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7B038EC5">
            <w:pPr>
              <w:jc w:val="center"/>
              <w:rPr>
                <w:rFonts w:ascii="Times New Roman" w:hAnsi="Times New Roman" w:eastAsia="宋体" w:cs="Times New Roman"/>
                <w:color w:val="auto"/>
                <w:kern w:val="0"/>
                <w:sz w:val="20"/>
                <w:szCs w:val="20"/>
                <w:highlight w:val="none"/>
              </w:rPr>
            </w:pPr>
          </w:p>
        </w:tc>
        <w:tc>
          <w:tcPr>
            <w:tcW w:w="2493" w:type="dxa"/>
            <w:vAlign w:val="center"/>
          </w:tcPr>
          <w:p w14:paraId="63669AEC">
            <w:pPr>
              <w:jc w:val="center"/>
              <w:rPr>
                <w:rFonts w:ascii="Times New Roman" w:hAnsi="Times New Roman" w:eastAsia="宋体" w:cs="Times New Roman"/>
                <w:color w:val="auto"/>
                <w:kern w:val="0"/>
                <w:sz w:val="20"/>
                <w:szCs w:val="20"/>
                <w:highlight w:val="none"/>
              </w:rPr>
            </w:pPr>
          </w:p>
        </w:tc>
        <w:tc>
          <w:tcPr>
            <w:tcW w:w="2228" w:type="dxa"/>
            <w:vAlign w:val="center"/>
          </w:tcPr>
          <w:p w14:paraId="37B66E81">
            <w:pPr>
              <w:jc w:val="center"/>
              <w:rPr>
                <w:rFonts w:ascii="Times New Roman" w:hAnsi="Times New Roman" w:eastAsia="宋体" w:cs="Times New Roman"/>
                <w:color w:val="auto"/>
                <w:kern w:val="0"/>
                <w:sz w:val="20"/>
                <w:szCs w:val="20"/>
                <w:highlight w:val="none"/>
              </w:rPr>
            </w:pPr>
          </w:p>
        </w:tc>
        <w:tc>
          <w:tcPr>
            <w:tcW w:w="817" w:type="dxa"/>
            <w:vAlign w:val="center"/>
          </w:tcPr>
          <w:p w14:paraId="0C9D7F89">
            <w:pPr>
              <w:jc w:val="center"/>
              <w:rPr>
                <w:rFonts w:ascii="Times New Roman" w:hAnsi="Times New Roman" w:eastAsia="宋体" w:cs="Times New Roman"/>
                <w:color w:val="auto"/>
                <w:kern w:val="0"/>
                <w:sz w:val="20"/>
                <w:szCs w:val="20"/>
                <w:highlight w:val="none"/>
              </w:rPr>
            </w:pPr>
          </w:p>
        </w:tc>
        <w:tc>
          <w:tcPr>
            <w:tcW w:w="968" w:type="dxa"/>
            <w:vAlign w:val="center"/>
          </w:tcPr>
          <w:p w14:paraId="76B35B6E">
            <w:pPr>
              <w:jc w:val="center"/>
              <w:rPr>
                <w:rFonts w:ascii="Times New Roman" w:hAnsi="Times New Roman" w:eastAsia="宋体" w:cs="Times New Roman"/>
                <w:color w:val="auto"/>
                <w:kern w:val="0"/>
                <w:sz w:val="20"/>
                <w:szCs w:val="20"/>
                <w:highlight w:val="none"/>
              </w:rPr>
            </w:pPr>
          </w:p>
        </w:tc>
        <w:tc>
          <w:tcPr>
            <w:tcW w:w="1986" w:type="dxa"/>
            <w:vAlign w:val="center"/>
          </w:tcPr>
          <w:p w14:paraId="7B2FE66F">
            <w:pPr>
              <w:jc w:val="center"/>
              <w:rPr>
                <w:rFonts w:ascii="Times New Roman" w:hAnsi="Times New Roman" w:eastAsia="宋体" w:cs="Times New Roman"/>
                <w:color w:val="auto"/>
                <w:kern w:val="0"/>
                <w:sz w:val="20"/>
                <w:szCs w:val="20"/>
                <w:highlight w:val="none"/>
              </w:rPr>
            </w:pPr>
          </w:p>
        </w:tc>
      </w:tr>
      <w:tr w14:paraId="67119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0ECDDD9F">
            <w:pPr>
              <w:jc w:val="center"/>
              <w:rPr>
                <w:rFonts w:ascii="Times New Roman" w:hAnsi="Times New Roman" w:eastAsia="宋体" w:cs="Times New Roman"/>
                <w:color w:val="auto"/>
                <w:kern w:val="0"/>
                <w:sz w:val="20"/>
                <w:szCs w:val="20"/>
                <w:highlight w:val="none"/>
              </w:rPr>
            </w:pPr>
          </w:p>
        </w:tc>
        <w:tc>
          <w:tcPr>
            <w:tcW w:w="2493" w:type="dxa"/>
            <w:vAlign w:val="center"/>
          </w:tcPr>
          <w:p w14:paraId="0FA64928">
            <w:pPr>
              <w:jc w:val="center"/>
              <w:rPr>
                <w:rFonts w:ascii="Times New Roman" w:hAnsi="Times New Roman" w:eastAsia="宋体" w:cs="Times New Roman"/>
                <w:color w:val="auto"/>
                <w:kern w:val="0"/>
                <w:sz w:val="20"/>
                <w:szCs w:val="20"/>
                <w:highlight w:val="none"/>
              </w:rPr>
            </w:pPr>
          </w:p>
        </w:tc>
        <w:tc>
          <w:tcPr>
            <w:tcW w:w="2228" w:type="dxa"/>
            <w:vAlign w:val="center"/>
          </w:tcPr>
          <w:p w14:paraId="585C57AD">
            <w:pPr>
              <w:jc w:val="center"/>
              <w:rPr>
                <w:rFonts w:ascii="Times New Roman" w:hAnsi="Times New Roman" w:eastAsia="宋体" w:cs="Times New Roman"/>
                <w:color w:val="auto"/>
                <w:kern w:val="0"/>
                <w:sz w:val="20"/>
                <w:szCs w:val="20"/>
                <w:highlight w:val="none"/>
              </w:rPr>
            </w:pPr>
          </w:p>
        </w:tc>
        <w:tc>
          <w:tcPr>
            <w:tcW w:w="817" w:type="dxa"/>
            <w:vAlign w:val="center"/>
          </w:tcPr>
          <w:p w14:paraId="0833A2B4">
            <w:pPr>
              <w:jc w:val="center"/>
              <w:rPr>
                <w:rFonts w:ascii="Times New Roman" w:hAnsi="Times New Roman" w:eastAsia="宋体" w:cs="Times New Roman"/>
                <w:color w:val="auto"/>
                <w:kern w:val="0"/>
                <w:sz w:val="20"/>
                <w:szCs w:val="20"/>
                <w:highlight w:val="none"/>
              </w:rPr>
            </w:pPr>
          </w:p>
        </w:tc>
        <w:tc>
          <w:tcPr>
            <w:tcW w:w="968" w:type="dxa"/>
            <w:vAlign w:val="center"/>
          </w:tcPr>
          <w:p w14:paraId="1A3949F4">
            <w:pPr>
              <w:jc w:val="center"/>
              <w:rPr>
                <w:rFonts w:ascii="Times New Roman" w:hAnsi="Times New Roman" w:eastAsia="宋体" w:cs="Times New Roman"/>
                <w:color w:val="auto"/>
                <w:kern w:val="0"/>
                <w:sz w:val="20"/>
                <w:szCs w:val="20"/>
                <w:highlight w:val="none"/>
              </w:rPr>
            </w:pPr>
          </w:p>
        </w:tc>
        <w:tc>
          <w:tcPr>
            <w:tcW w:w="1986" w:type="dxa"/>
            <w:vAlign w:val="center"/>
          </w:tcPr>
          <w:p w14:paraId="2E3B8193">
            <w:pPr>
              <w:jc w:val="center"/>
              <w:rPr>
                <w:rFonts w:ascii="Times New Roman" w:hAnsi="Times New Roman" w:eastAsia="宋体" w:cs="Times New Roman"/>
                <w:color w:val="auto"/>
                <w:kern w:val="0"/>
                <w:sz w:val="20"/>
                <w:szCs w:val="20"/>
                <w:highlight w:val="none"/>
              </w:rPr>
            </w:pPr>
          </w:p>
        </w:tc>
      </w:tr>
      <w:tr w14:paraId="3A883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36B0DF0">
            <w:pPr>
              <w:jc w:val="center"/>
              <w:rPr>
                <w:rFonts w:ascii="Times New Roman" w:hAnsi="Times New Roman" w:eastAsia="宋体" w:cs="Times New Roman"/>
                <w:color w:val="auto"/>
                <w:kern w:val="0"/>
                <w:sz w:val="20"/>
                <w:szCs w:val="20"/>
                <w:highlight w:val="none"/>
              </w:rPr>
            </w:pPr>
          </w:p>
        </w:tc>
        <w:tc>
          <w:tcPr>
            <w:tcW w:w="2493" w:type="dxa"/>
            <w:vAlign w:val="center"/>
          </w:tcPr>
          <w:p w14:paraId="021CE6A7">
            <w:pPr>
              <w:jc w:val="center"/>
              <w:rPr>
                <w:rFonts w:ascii="Times New Roman" w:hAnsi="Times New Roman" w:eastAsia="宋体" w:cs="Times New Roman"/>
                <w:color w:val="auto"/>
                <w:kern w:val="0"/>
                <w:sz w:val="20"/>
                <w:szCs w:val="20"/>
                <w:highlight w:val="none"/>
              </w:rPr>
            </w:pPr>
          </w:p>
        </w:tc>
        <w:tc>
          <w:tcPr>
            <w:tcW w:w="2228" w:type="dxa"/>
            <w:vAlign w:val="center"/>
          </w:tcPr>
          <w:p w14:paraId="258C238F">
            <w:pPr>
              <w:jc w:val="center"/>
              <w:rPr>
                <w:rFonts w:ascii="Times New Roman" w:hAnsi="Times New Roman" w:eastAsia="宋体" w:cs="Times New Roman"/>
                <w:color w:val="auto"/>
                <w:kern w:val="0"/>
                <w:sz w:val="20"/>
                <w:szCs w:val="20"/>
                <w:highlight w:val="none"/>
              </w:rPr>
            </w:pPr>
          </w:p>
        </w:tc>
        <w:tc>
          <w:tcPr>
            <w:tcW w:w="817" w:type="dxa"/>
            <w:vAlign w:val="center"/>
          </w:tcPr>
          <w:p w14:paraId="3E1F4BBC">
            <w:pPr>
              <w:jc w:val="center"/>
              <w:rPr>
                <w:rFonts w:ascii="Times New Roman" w:hAnsi="Times New Roman" w:eastAsia="宋体" w:cs="Times New Roman"/>
                <w:color w:val="auto"/>
                <w:kern w:val="0"/>
                <w:sz w:val="20"/>
                <w:szCs w:val="20"/>
                <w:highlight w:val="none"/>
              </w:rPr>
            </w:pPr>
          </w:p>
        </w:tc>
        <w:tc>
          <w:tcPr>
            <w:tcW w:w="968" w:type="dxa"/>
            <w:vAlign w:val="center"/>
          </w:tcPr>
          <w:p w14:paraId="1C221B93">
            <w:pPr>
              <w:jc w:val="center"/>
              <w:rPr>
                <w:rFonts w:ascii="Times New Roman" w:hAnsi="Times New Roman" w:eastAsia="宋体" w:cs="Times New Roman"/>
                <w:color w:val="auto"/>
                <w:kern w:val="0"/>
                <w:sz w:val="20"/>
                <w:szCs w:val="20"/>
                <w:highlight w:val="none"/>
              </w:rPr>
            </w:pPr>
          </w:p>
        </w:tc>
        <w:tc>
          <w:tcPr>
            <w:tcW w:w="1986" w:type="dxa"/>
            <w:vAlign w:val="center"/>
          </w:tcPr>
          <w:p w14:paraId="5108CAB7">
            <w:pPr>
              <w:jc w:val="center"/>
              <w:rPr>
                <w:rFonts w:ascii="Times New Roman" w:hAnsi="Times New Roman" w:eastAsia="宋体" w:cs="Times New Roman"/>
                <w:color w:val="auto"/>
                <w:kern w:val="0"/>
                <w:sz w:val="20"/>
                <w:szCs w:val="20"/>
                <w:highlight w:val="none"/>
              </w:rPr>
            </w:pPr>
          </w:p>
        </w:tc>
      </w:tr>
      <w:tr w14:paraId="2076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08A348C5">
            <w:pPr>
              <w:jc w:val="center"/>
              <w:rPr>
                <w:rFonts w:ascii="Times New Roman" w:hAnsi="Times New Roman" w:eastAsia="宋体" w:cs="Times New Roman"/>
                <w:color w:val="auto"/>
                <w:kern w:val="0"/>
                <w:sz w:val="20"/>
                <w:szCs w:val="20"/>
                <w:highlight w:val="none"/>
              </w:rPr>
            </w:pPr>
          </w:p>
        </w:tc>
        <w:tc>
          <w:tcPr>
            <w:tcW w:w="2493" w:type="dxa"/>
            <w:vAlign w:val="center"/>
          </w:tcPr>
          <w:p w14:paraId="5BE5CD5E">
            <w:pPr>
              <w:jc w:val="center"/>
              <w:rPr>
                <w:rFonts w:ascii="Times New Roman" w:hAnsi="Times New Roman" w:eastAsia="宋体" w:cs="Times New Roman"/>
                <w:color w:val="auto"/>
                <w:kern w:val="0"/>
                <w:sz w:val="20"/>
                <w:szCs w:val="20"/>
                <w:highlight w:val="none"/>
              </w:rPr>
            </w:pPr>
          </w:p>
        </w:tc>
        <w:tc>
          <w:tcPr>
            <w:tcW w:w="2228" w:type="dxa"/>
            <w:vAlign w:val="center"/>
          </w:tcPr>
          <w:p w14:paraId="2D13149C">
            <w:pPr>
              <w:jc w:val="center"/>
              <w:rPr>
                <w:rFonts w:ascii="Times New Roman" w:hAnsi="Times New Roman" w:eastAsia="宋体" w:cs="Times New Roman"/>
                <w:color w:val="auto"/>
                <w:kern w:val="0"/>
                <w:sz w:val="20"/>
                <w:szCs w:val="20"/>
                <w:highlight w:val="none"/>
              </w:rPr>
            </w:pPr>
          </w:p>
        </w:tc>
        <w:tc>
          <w:tcPr>
            <w:tcW w:w="817" w:type="dxa"/>
            <w:vAlign w:val="center"/>
          </w:tcPr>
          <w:p w14:paraId="7F86CBFE">
            <w:pPr>
              <w:jc w:val="center"/>
              <w:rPr>
                <w:rFonts w:ascii="Times New Roman" w:hAnsi="Times New Roman" w:eastAsia="宋体" w:cs="Times New Roman"/>
                <w:color w:val="auto"/>
                <w:kern w:val="0"/>
                <w:sz w:val="20"/>
                <w:szCs w:val="20"/>
                <w:highlight w:val="none"/>
              </w:rPr>
            </w:pPr>
          </w:p>
        </w:tc>
        <w:tc>
          <w:tcPr>
            <w:tcW w:w="968" w:type="dxa"/>
            <w:vAlign w:val="center"/>
          </w:tcPr>
          <w:p w14:paraId="1EC009DA">
            <w:pPr>
              <w:jc w:val="center"/>
              <w:rPr>
                <w:rFonts w:ascii="Times New Roman" w:hAnsi="Times New Roman" w:eastAsia="宋体" w:cs="Times New Roman"/>
                <w:color w:val="auto"/>
                <w:kern w:val="0"/>
                <w:sz w:val="20"/>
                <w:szCs w:val="20"/>
                <w:highlight w:val="none"/>
              </w:rPr>
            </w:pPr>
          </w:p>
        </w:tc>
        <w:tc>
          <w:tcPr>
            <w:tcW w:w="1986" w:type="dxa"/>
            <w:vAlign w:val="center"/>
          </w:tcPr>
          <w:p w14:paraId="718D95CF">
            <w:pPr>
              <w:jc w:val="center"/>
              <w:rPr>
                <w:rFonts w:ascii="Times New Roman" w:hAnsi="Times New Roman" w:eastAsia="宋体" w:cs="Times New Roman"/>
                <w:color w:val="auto"/>
                <w:kern w:val="0"/>
                <w:sz w:val="20"/>
                <w:szCs w:val="20"/>
                <w:highlight w:val="none"/>
              </w:rPr>
            </w:pPr>
          </w:p>
        </w:tc>
      </w:tr>
      <w:tr w14:paraId="5A581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33E00110">
            <w:pPr>
              <w:jc w:val="center"/>
              <w:rPr>
                <w:rFonts w:ascii="Times New Roman" w:hAnsi="Times New Roman" w:eastAsia="宋体" w:cs="Times New Roman"/>
                <w:color w:val="auto"/>
                <w:kern w:val="0"/>
                <w:sz w:val="20"/>
                <w:szCs w:val="20"/>
                <w:highlight w:val="none"/>
              </w:rPr>
            </w:pPr>
          </w:p>
        </w:tc>
        <w:tc>
          <w:tcPr>
            <w:tcW w:w="2493" w:type="dxa"/>
            <w:vAlign w:val="center"/>
          </w:tcPr>
          <w:p w14:paraId="4C121D4D">
            <w:pPr>
              <w:jc w:val="center"/>
              <w:rPr>
                <w:rFonts w:ascii="Times New Roman" w:hAnsi="Times New Roman" w:eastAsia="宋体" w:cs="Times New Roman"/>
                <w:color w:val="auto"/>
                <w:kern w:val="0"/>
                <w:sz w:val="20"/>
                <w:szCs w:val="20"/>
                <w:highlight w:val="none"/>
              </w:rPr>
            </w:pPr>
          </w:p>
        </w:tc>
        <w:tc>
          <w:tcPr>
            <w:tcW w:w="2228" w:type="dxa"/>
            <w:vAlign w:val="center"/>
          </w:tcPr>
          <w:p w14:paraId="6A004588">
            <w:pPr>
              <w:jc w:val="center"/>
              <w:rPr>
                <w:rFonts w:ascii="Times New Roman" w:hAnsi="Times New Roman" w:eastAsia="宋体" w:cs="Times New Roman"/>
                <w:color w:val="auto"/>
                <w:kern w:val="0"/>
                <w:sz w:val="20"/>
                <w:szCs w:val="20"/>
                <w:highlight w:val="none"/>
              </w:rPr>
            </w:pPr>
          </w:p>
        </w:tc>
        <w:tc>
          <w:tcPr>
            <w:tcW w:w="817" w:type="dxa"/>
            <w:vAlign w:val="center"/>
          </w:tcPr>
          <w:p w14:paraId="3E153A79">
            <w:pPr>
              <w:jc w:val="center"/>
              <w:rPr>
                <w:rFonts w:ascii="Times New Roman" w:hAnsi="Times New Roman" w:eastAsia="宋体" w:cs="Times New Roman"/>
                <w:color w:val="auto"/>
                <w:kern w:val="0"/>
                <w:sz w:val="20"/>
                <w:szCs w:val="20"/>
                <w:highlight w:val="none"/>
              </w:rPr>
            </w:pPr>
          </w:p>
        </w:tc>
        <w:tc>
          <w:tcPr>
            <w:tcW w:w="968" w:type="dxa"/>
            <w:vAlign w:val="center"/>
          </w:tcPr>
          <w:p w14:paraId="5ADB50D6">
            <w:pPr>
              <w:jc w:val="center"/>
              <w:rPr>
                <w:rFonts w:ascii="Times New Roman" w:hAnsi="Times New Roman" w:eastAsia="宋体" w:cs="Times New Roman"/>
                <w:color w:val="auto"/>
                <w:kern w:val="0"/>
                <w:sz w:val="20"/>
                <w:szCs w:val="20"/>
                <w:highlight w:val="none"/>
              </w:rPr>
            </w:pPr>
          </w:p>
        </w:tc>
        <w:tc>
          <w:tcPr>
            <w:tcW w:w="1986" w:type="dxa"/>
            <w:vAlign w:val="center"/>
          </w:tcPr>
          <w:p w14:paraId="445F9097">
            <w:pPr>
              <w:jc w:val="center"/>
              <w:rPr>
                <w:rFonts w:ascii="Times New Roman" w:hAnsi="Times New Roman" w:eastAsia="宋体" w:cs="Times New Roman"/>
                <w:color w:val="auto"/>
                <w:kern w:val="0"/>
                <w:sz w:val="20"/>
                <w:szCs w:val="20"/>
                <w:highlight w:val="none"/>
              </w:rPr>
            </w:pPr>
          </w:p>
        </w:tc>
      </w:tr>
    </w:tbl>
    <w:p w14:paraId="174A430B">
      <w:pPr>
        <w:spacing w:line="20" w:lineRule="exact"/>
        <w:rPr>
          <w:color w:val="auto"/>
          <w:highlight w:val="none"/>
        </w:rPr>
      </w:pPr>
      <w:r>
        <w:rPr>
          <w:color w:val="auto"/>
          <w:highlight w:val="none"/>
        </w:rPr>
        <w:br w:type="page"/>
      </w:r>
    </w:p>
    <w:p w14:paraId="37E2AF45">
      <w:pPr>
        <w:adjustRightInd w:val="0"/>
        <w:snapToGrid w:val="0"/>
        <w:spacing w:line="360" w:lineRule="auto"/>
        <w:jc w:val="center"/>
        <w:outlineLvl w:val="0"/>
        <w:rPr>
          <w:rFonts w:ascii="黑体" w:hAnsi="黑体" w:eastAsia="黑体" w:cs="黑体"/>
          <w:bCs/>
          <w:color w:val="auto"/>
          <w:sz w:val="32"/>
          <w:szCs w:val="32"/>
          <w:highlight w:val="none"/>
        </w:rPr>
      </w:pPr>
      <w:bookmarkStart w:id="5020" w:name="_Toc12490"/>
      <w:bookmarkStart w:id="5021" w:name="_Toc15633"/>
      <w:bookmarkStart w:id="5022" w:name="_Toc22956"/>
      <w:bookmarkStart w:id="5023" w:name="_Toc2544"/>
      <w:bookmarkStart w:id="5024" w:name="_Toc7987"/>
      <w:bookmarkStart w:id="5025" w:name="_Toc26191"/>
      <w:r>
        <w:rPr>
          <w:rFonts w:hint="eastAsia" w:ascii="黑体" w:hAnsi="黑体" w:eastAsia="黑体" w:cs="黑体"/>
          <w:bCs/>
          <w:color w:val="auto"/>
          <w:sz w:val="32"/>
          <w:szCs w:val="32"/>
          <w:highlight w:val="none"/>
        </w:rPr>
        <w:t>第九章  投标文件格式</w:t>
      </w:r>
      <w:bookmarkEnd w:id="5020"/>
      <w:bookmarkEnd w:id="5021"/>
      <w:bookmarkEnd w:id="5022"/>
      <w:bookmarkEnd w:id="5023"/>
      <w:bookmarkEnd w:id="5024"/>
      <w:bookmarkEnd w:id="5025"/>
    </w:p>
    <w:p w14:paraId="0252CD33">
      <w:pPr>
        <w:rPr>
          <w:color w:val="auto"/>
          <w:highlight w:val="none"/>
        </w:rPr>
      </w:pPr>
      <w:r>
        <w:rPr>
          <w:color w:val="auto"/>
          <w:highlight w:val="none"/>
        </w:rPr>
        <w:br w:type="page"/>
      </w:r>
    </w:p>
    <w:p w14:paraId="4B30321A">
      <w:pPr>
        <w:adjustRightInd w:val="0"/>
        <w:snapToGrid w:val="0"/>
        <w:spacing w:line="360" w:lineRule="auto"/>
        <w:ind w:firstLine="6425" w:firstLineChars="20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color w:val="auto"/>
          <w:sz w:val="32"/>
          <w:szCs w:val="32"/>
          <w:highlight w:val="none"/>
          <w:u w:val="single"/>
        </w:rPr>
        <w:t>_______</w:t>
      </w:r>
    </w:p>
    <w:p w14:paraId="12FEC49B">
      <w:pPr>
        <w:adjustRightInd w:val="0"/>
        <w:snapToGrid w:val="0"/>
        <w:spacing w:line="360" w:lineRule="auto"/>
        <w:rPr>
          <w:rFonts w:ascii="宋体" w:hAnsi="宋体" w:eastAsia="宋体" w:cs="宋体"/>
          <w:b/>
          <w:color w:val="auto"/>
          <w:sz w:val="28"/>
          <w:highlight w:val="none"/>
        </w:rPr>
      </w:pPr>
    </w:p>
    <w:p w14:paraId="3DA52708">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4EEAE409">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395B5DC9">
      <w:pPr>
        <w:adjustRightInd w:val="0"/>
        <w:snapToGrid w:val="0"/>
        <w:spacing w:line="360" w:lineRule="auto"/>
        <w:jc w:val="center"/>
        <w:rPr>
          <w:rFonts w:ascii="华文细黑"/>
          <w:b/>
          <w:color w:val="auto"/>
          <w:sz w:val="72"/>
          <w:highlight w:val="none"/>
        </w:rPr>
      </w:pPr>
    </w:p>
    <w:p w14:paraId="7BBD253D">
      <w:pPr>
        <w:adjustRightInd w:val="0"/>
        <w:snapToGrid w:val="0"/>
        <w:spacing w:line="360" w:lineRule="auto"/>
        <w:jc w:val="center"/>
        <w:rPr>
          <w:rFonts w:ascii="华文细黑"/>
          <w:b/>
          <w:color w:val="auto"/>
          <w:sz w:val="72"/>
          <w:highlight w:val="none"/>
        </w:rPr>
      </w:pPr>
    </w:p>
    <w:p w14:paraId="04EA6025">
      <w:pPr>
        <w:adjustRightInd w:val="0"/>
        <w:snapToGrid w:val="0"/>
        <w:spacing w:line="360" w:lineRule="auto"/>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工程名称：</w:t>
      </w:r>
      <w:r>
        <w:rPr>
          <w:rFonts w:hint="eastAsia" w:ascii="宋体" w:hAnsi="宋体" w:eastAsia="宋体" w:cs="宋体"/>
          <w:b/>
          <w:bCs/>
          <w:color w:val="auto"/>
          <w:sz w:val="32"/>
          <w:szCs w:val="32"/>
          <w:highlight w:val="none"/>
          <w:u w:val="single"/>
        </w:rPr>
        <w:t>_________________________________________</w:t>
      </w:r>
    </w:p>
    <w:p w14:paraId="615D5627">
      <w:pPr>
        <w:adjustRightInd w:val="0"/>
        <w:snapToGrid w:val="0"/>
        <w:spacing w:line="360" w:lineRule="auto"/>
        <w:rPr>
          <w:rFonts w:ascii="宋体" w:hAnsi="宋体" w:eastAsia="宋体" w:cs="宋体"/>
          <w:b/>
          <w:color w:val="auto"/>
          <w:sz w:val="32"/>
          <w:highlight w:val="none"/>
        </w:rPr>
      </w:pPr>
    </w:p>
    <w:p w14:paraId="56F52D49">
      <w:pPr>
        <w:adjustRightInd w:val="0"/>
        <w:snapToGrid w:val="0"/>
        <w:spacing w:line="360" w:lineRule="auto"/>
        <w:rPr>
          <w:rFonts w:ascii="宋体" w:hAnsi="宋体" w:eastAsia="宋体" w:cs="宋体"/>
          <w:b/>
          <w:bCs/>
          <w:color w:val="auto"/>
          <w:sz w:val="32"/>
          <w:szCs w:val="32"/>
          <w:highlight w:val="none"/>
        </w:rPr>
      </w:pPr>
      <w:bookmarkStart w:id="5026" w:name="_Toc12920"/>
      <w:bookmarkStart w:id="5027" w:name="_Toc29899"/>
      <w:bookmarkStart w:id="5028" w:name="_Toc16106"/>
      <w:bookmarkStart w:id="5029" w:name="_Toc13739"/>
      <w:r>
        <w:rPr>
          <w:rFonts w:hint="eastAsia" w:ascii="宋体" w:hAnsi="宋体" w:eastAsia="宋体" w:cs="宋体"/>
          <w:b/>
          <w:bCs/>
          <w:color w:val="auto"/>
          <w:sz w:val="32"/>
          <w:szCs w:val="32"/>
          <w:highlight w:val="none"/>
        </w:rPr>
        <w:t>投标文件内容：</w:t>
      </w:r>
      <w:r>
        <w:rPr>
          <w:rFonts w:hint="eastAsia" w:ascii="宋体" w:hAnsi="宋体" w:eastAsia="宋体" w:cs="宋体"/>
          <w:b/>
          <w:bCs/>
          <w:color w:val="auto"/>
          <w:sz w:val="32"/>
          <w:szCs w:val="32"/>
          <w:highlight w:val="none"/>
          <w:u w:val="single"/>
        </w:rPr>
        <w:t>______    资格审查文件    __________</w:t>
      </w:r>
    </w:p>
    <w:bookmarkEnd w:id="5026"/>
    <w:bookmarkEnd w:id="5027"/>
    <w:bookmarkEnd w:id="5028"/>
    <w:bookmarkEnd w:id="5029"/>
    <w:p w14:paraId="70EC20B4">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bCs/>
          <w:color w:val="auto"/>
          <w:sz w:val="32"/>
          <w:szCs w:val="32"/>
          <w:highlight w:val="none"/>
          <w:u w:val="none"/>
        </w:rPr>
        <w:t xml:space="preserve">  </w:t>
      </w:r>
    </w:p>
    <w:p w14:paraId="3023DF89">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14:paraId="008E8F2E">
      <w:pPr>
        <w:adjustRightInd w:val="0"/>
        <w:snapToGrid w:val="0"/>
        <w:spacing w:line="360" w:lineRule="auto"/>
        <w:rPr>
          <w:rFonts w:ascii="宋体" w:hAnsi="宋体" w:eastAsia="宋体" w:cs="宋体"/>
          <w:b/>
          <w:color w:val="auto"/>
          <w:sz w:val="32"/>
          <w:highlight w:val="none"/>
        </w:rPr>
      </w:pPr>
    </w:p>
    <w:p w14:paraId="1E51A461">
      <w:pPr>
        <w:adjustRightInd w:val="0"/>
        <w:snapToGrid w:val="0"/>
        <w:spacing w:line="360" w:lineRule="auto"/>
        <w:rPr>
          <w:rFonts w:ascii="宋体" w:hAnsi="宋体" w:eastAsia="宋体" w:cs="宋体"/>
          <w:b/>
          <w:color w:val="auto"/>
          <w:sz w:val="32"/>
          <w:highlight w:val="none"/>
        </w:rPr>
      </w:pPr>
    </w:p>
    <w:p w14:paraId="79265BC6">
      <w:pPr>
        <w:adjustRightInd w:val="0"/>
        <w:snapToGrid w:val="0"/>
        <w:spacing w:line="360" w:lineRule="auto"/>
        <w:rPr>
          <w:color w:val="auto"/>
          <w:highlight w:val="none"/>
        </w:rPr>
      </w:pPr>
      <w:r>
        <w:rPr>
          <w:rFonts w:hint="eastAsia" w:ascii="宋体" w:hAnsi="宋体" w:eastAsia="宋体" w:cs="宋体"/>
          <w:b/>
          <w:color w:val="auto"/>
          <w:sz w:val="32"/>
          <w:highlight w:val="none"/>
        </w:rPr>
        <w:t>日期：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14:paraId="71E84BA7">
      <w:pPr>
        <w:adjustRightInd w:val="0"/>
        <w:snapToGrid w:val="0"/>
        <w:spacing w:after="156" w:afterLines="50" w:line="360" w:lineRule="auto"/>
        <w:jc w:val="center"/>
        <w:rPr>
          <w:b/>
          <w:color w:val="auto"/>
          <w:sz w:val="32"/>
          <w:highlight w:val="none"/>
        </w:rPr>
      </w:pPr>
    </w:p>
    <w:p w14:paraId="767F5C6B">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资格审查文件目录</w:t>
      </w:r>
    </w:p>
    <w:p w14:paraId="085098F2">
      <w:pPr>
        <w:adjustRightInd w:val="0"/>
        <w:snapToGrid w:val="0"/>
        <w:spacing w:line="360" w:lineRule="auto"/>
        <w:ind w:firstLine="420" w:firstLineChars="200"/>
        <w:rPr>
          <w:rFonts w:ascii="宋体" w:hAnsi="宋体" w:eastAsia="宋体" w:cs="宋体"/>
          <w:color w:val="auto"/>
          <w:highlight w:val="none"/>
        </w:rPr>
      </w:pPr>
    </w:p>
    <w:p w14:paraId="4305210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1、投标人营业执照（扫描件）；</w:t>
      </w:r>
    </w:p>
    <w:p w14:paraId="2921DDB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2、投标人资质证书（扫描件）；</w:t>
      </w:r>
    </w:p>
    <w:p w14:paraId="2F81E9C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3、投标人安全生产许可证证明以及拟派项目经理的安全生产考核合格证证明（扫描件）；</w:t>
      </w:r>
    </w:p>
    <w:p w14:paraId="651E32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4、投标人拟派出的项目经理的《注册建造师证》的扫描件；</w:t>
      </w:r>
    </w:p>
    <w:p w14:paraId="3D5DDC2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5、投标担保证明文件扫描件（如银行保函、保证金、投标保证保险合同或保险单</w:t>
      </w:r>
      <w:r>
        <w:rPr>
          <w:rFonts w:hint="eastAsia" w:ascii="宋体" w:hAnsi="宋体" w:eastAsia="宋体" w:cs="宋体"/>
          <w:color w:val="auto"/>
          <w:szCs w:val="21"/>
          <w:highlight w:val="none"/>
          <w:lang w:eastAsia="zh-CN"/>
        </w:rPr>
        <w:t>、投标保证金承诺函</w:t>
      </w:r>
      <w:r>
        <w:rPr>
          <w:rFonts w:hint="eastAsia" w:ascii="宋体" w:hAnsi="宋体" w:eastAsia="宋体" w:cs="宋体"/>
          <w:color w:val="auto"/>
          <w:szCs w:val="21"/>
          <w:highlight w:val="none"/>
        </w:rPr>
        <w:t>等）；</w:t>
      </w:r>
    </w:p>
    <w:p w14:paraId="4B95329F">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6、中小企业声明函；</w:t>
      </w:r>
    </w:p>
    <w:p w14:paraId="3C044FF4">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、招标人要求提供的与投标人条件审查有关的其他资格证明材料：（必须详细、明确、足以证明资格条件）。所有扫描件格式为jpg格式，且图片的分辨率小于100dpi</w:t>
      </w:r>
      <w:r>
        <w:rPr>
          <w:rFonts w:hint="eastAsia" w:ascii="宋体" w:hAnsi="宋体" w:eastAsia="宋体" w:cs="宋体"/>
          <w:color w:val="auto"/>
          <w:szCs w:val="21"/>
          <w:highlight w:val="none"/>
          <w:lang w:eastAsia="zh-CN"/>
        </w:rPr>
        <w:t>；</w:t>
      </w:r>
    </w:p>
    <w:p w14:paraId="28DF9DFA">
      <w:pPr>
        <w:adjustRightInd w:val="0"/>
        <w:snapToGrid w:val="0"/>
        <w:spacing w:line="360" w:lineRule="auto"/>
        <w:ind w:firstLine="411" w:firstLineChars="196"/>
        <w:rPr>
          <w:rFonts w:ascii="宋体" w:hAnsi="宋体" w:eastAsia="宋体" w:cs="宋体"/>
          <w:color w:val="auto"/>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rPr>
        <w:br w:type="page"/>
      </w:r>
    </w:p>
    <w:p w14:paraId="3A38F3ED">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投标保函</w:t>
      </w:r>
    </w:p>
    <w:p w14:paraId="25C4493C">
      <w:pPr>
        <w:adjustRightInd w:val="0"/>
        <w:snapToGrid w:val="0"/>
        <w:ind w:firstLine="5670" w:firstLineChars="27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color w:val="auto"/>
          <w:szCs w:val="21"/>
          <w:highlight w:val="none"/>
          <w:u w:val="single"/>
        </w:rPr>
        <w:t>__________</w:t>
      </w:r>
    </w:p>
    <w:p w14:paraId="4D3018A4">
      <w:pPr>
        <w:adjustRightInd w:val="0"/>
        <w:snapToGrid w:val="0"/>
        <w:spacing w:line="360" w:lineRule="exact"/>
        <w:rPr>
          <w:rFonts w:ascii="宋体" w:hAnsi="宋体" w:eastAsia="宋体" w:cs="宋体"/>
          <w:color w:val="auto"/>
          <w:szCs w:val="21"/>
          <w:highlight w:val="none"/>
        </w:rPr>
      </w:pPr>
    </w:p>
    <w:p w14:paraId="0CE6D536">
      <w:pPr>
        <w:adjustRightInd w:val="0"/>
        <w:snapToGrid w:val="0"/>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______________________________</w:t>
      </w:r>
      <w:r>
        <w:rPr>
          <w:rFonts w:hint="eastAsia" w:ascii="宋体" w:hAnsi="宋体" w:eastAsia="宋体" w:cs="宋体"/>
          <w:color w:val="auto"/>
          <w:szCs w:val="21"/>
          <w:highlight w:val="none"/>
        </w:rPr>
        <w:t>（下称受益人）：</w:t>
      </w:r>
    </w:p>
    <w:p w14:paraId="224CB7B1">
      <w:pPr>
        <w:adjustRightInd w:val="0"/>
        <w:snapToGrid w:val="0"/>
        <w:spacing w:line="36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_____________________________</w:t>
      </w:r>
      <w:r>
        <w:rPr>
          <w:rFonts w:hint="eastAsia" w:ascii="宋体" w:hAnsi="宋体" w:eastAsia="宋体" w:cs="宋体"/>
          <w:color w:val="auto"/>
          <w:szCs w:val="21"/>
          <w:highlight w:val="none"/>
        </w:rPr>
        <w:t>（下称被保证人）将参加贵方标段编号为</w:t>
      </w:r>
      <w:r>
        <w:rPr>
          <w:rFonts w:hint="eastAsia" w:ascii="宋体" w:hAnsi="宋体" w:eastAsia="宋体" w:cs="宋体"/>
          <w:color w:val="auto"/>
          <w:szCs w:val="21"/>
          <w:highlight w:val="none"/>
          <w:u w:val="single"/>
        </w:rPr>
        <w:t>______________</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u w:val="single"/>
        </w:rPr>
        <w:t>____________________________________</w:t>
      </w:r>
      <w:r>
        <w:rPr>
          <w:rFonts w:hint="eastAsia" w:ascii="宋体" w:hAnsi="宋体" w:eastAsia="宋体" w:cs="宋体"/>
          <w:color w:val="auto"/>
          <w:szCs w:val="21"/>
          <w:highlight w:val="none"/>
        </w:rPr>
        <w:t>工程的投标，我方接受被保证人的委托，在此向受益人提供不可撤销的投标保证：</w:t>
      </w:r>
    </w:p>
    <w:p w14:paraId="4C2E92F4">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一、本保证担保的担保金额为</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（币种）</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元（小写）</w:t>
      </w:r>
      <w:r>
        <w:rPr>
          <w:rFonts w:hint="eastAsia" w:ascii="宋体" w:hAnsi="宋体" w:eastAsia="宋体" w:cs="宋体"/>
          <w:color w:val="auto"/>
          <w:szCs w:val="21"/>
          <w:highlight w:val="none"/>
          <w:u w:val="single"/>
        </w:rPr>
        <w:t>_____________</w:t>
      </w:r>
      <w:r>
        <w:rPr>
          <w:rFonts w:hint="eastAsia" w:ascii="宋体" w:hAnsi="宋体" w:eastAsia="宋体" w:cs="宋体"/>
          <w:color w:val="auto"/>
          <w:szCs w:val="21"/>
          <w:highlight w:val="none"/>
        </w:rPr>
        <w:t>（大写）。</w:t>
      </w:r>
    </w:p>
    <w:p w14:paraId="180411DF">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二、本保证担保的保证期间为该工程的投标有效期（或延长的投标有效期）后28日（含28日），延长投标有效期无须通知我方。</w:t>
      </w:r>
    </w:p>
    <w:p w14:paraId="7B6ECA56">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三、在本保证担保的保证期间内，如果被保证人出现下列情形之一，受益人可以向我方提起索赔：</w:t>
      </w:r>
    </w:p>
    <w:p w14:paraId="4F34F502">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1.被保证人在招标文件规定的投标有效期内撤回其投标；</w:t>
      </w:r>
    </w:p>
    <w:p w14:paraId="57050342">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2.被保证人在投标有效期内收到受益人发出的中标通知书后，不能或拒绝按招标文件的要求签署施工合同；</w:t>
      </w:r>
    </w:p>
    <w:p w14:paraId="3D322E00">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3.被保证人在投标有效期内收到受益人发出的中标通知书后，不能或拒绝按招标文件的规定提交履约担保。</w:t>
      </w:r>
    </w:p>
    <w:p w14:paraId="389E9A79">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0A70D1EB">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五、受益人的索赔通知应当说明索赔理由，并必须在本保证担保的保证期间内以专人送达或邮寄送达的方式送达我方。</w:t>
      </w:r>
    </w:p>
    <w:p w14:paraId="658F1EB0">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六、本保证担保项下的权利不得转让。</w:t>
      </w:r>
    </w:p>
    <w:p w14:paraId="6D5B6D55">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七、本保证担保的保证期间届满，或我方已向受益人支付本保证担保的担保金额，我方的保证责任免除。</w:t>
      </w:r>
    </w:p>
    <w:p w14:paraId="46754245">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14:paraId="25A98A0A">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九、本保证担保以中文文本为准，涂改无效。</w:t>
      </w:r>
    </w:p>
    <w:p w14:paraId="5EE28EFB">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保证人（盖章）：</w:t>
      </w:r>
      <w:r>
        <w:rPr>
          <w:rFonts w:hint="eastAsia" w:ascii="宋体" w:hAnsi="宋体" w:eastAsia="宋体" w:cs="宋体"/>
          <w:color w:val="auto"/>
          <w:szCs w:val="21"/>
          <w:highlight w:val="none"/>
          <w:u w:val="single"/>
        </w:rPr>
        <w:t>___________________________________________________</w:t>
      </w:r>
    </w:p>
    <w:p w14:paraId="6B37F516">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color w:val="auto"/>
          <w:szCs w:val="21"/>
          <w:highlight w:val="none"/>
          <w:u w:val="single"/>
        </w:rPr>
        <w:t>_______________________</w:t>
      </w:r>
    </w:p>
    <w:p w14:paraId="5FEA9390">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________________________________________________________</w:t>
      </w:r>
    </w:p>
    <w:p w14:paraId="0A7EF6CA">
      <w:pPr>
        <w:adjustRightInd w:val="0"/>
        <w:snapToGrid w:val="0"/>
        <w:spacing w:line="360" w:lineRule="exact"/>
        <w:ind w:firstLine="480"/>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___________</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_________________</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________________</w:t>
      </w:r>
    </w:p>
    <w:p w14:paraId="7B74E0DF">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__________</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日</w:t>
      </w:r>
    </w:p>
    <w:p w14:paraId="4FA31C32">
      <w:pPr>
        <w:tabs>
          <w:tab w:val="right" w:pos="8730"/>
        </w:tabs>
        <w:adjustRightInd w:val="0"/>
        <w:snapToGrid w:val="0"/>
        <w:spacing w:line="360" w:lineRule="exact"/>
        <w:rPr>
          <w:rFonts w:ascii="宋体" w:hAnsi="宋体" w:eastAsia="宋体" w:cs="宋体"/>
          <w:color w:val="auto"/>
          <w:szCs w:val="21"/>
          <w:highlight w:val="none"/>
        </w:rPr>
      </w:pPr>
    </w:p>
    <w:p w14:paraId="49BAD064">
      <w:pPr>
        <w:adjustRightInd w:val="0"/>
        <w:snapToGrid w:val="0"/>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（本保函失效后，请将原件退回我方注销）</w:t>
      </w:r>
    </w:p>
    <w:p w14:paraId="33EF4D25">
      <w:pPr>
        <w:adjustRightInd w:val="0"/>
        <w:snapToGrid w:val="0"/>
        <w:spacing w:line="360" w:lineRule="exact"/>
        <w:rPr>
          <w:rFonts w:ascii="宋体" w:hAnsi="宋体" w:eastAsia="宋体" w:cs="宋体"/>
          <w:color w:val="auto"/>
          <w:szCs w:val="21"/>
          <w:highlight w:val="none"/>
        </w:rPr>
      </w:pPr>
    </w:p>
    <w:p w14:paraId="707CD037">
      <w:pPr>
        <w:adjustRightInd w:val="0"/>
        <w:snapToGrid w:val="0"/>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注：如果投标人不采用以上投标保函格式，拟采用的投标保函格式须经招标人确认。</w:t>
      </w:r>
    </w:p>
    <w:p w14:paraId="5235C2D1">
      <w:pPr>
        <w:adjustRightInd w:val="0"/>
        <w:snapToGrid w:val="0"/>
        <w:spacing w:line="360" w:lineRule="exact"/>
        <w:jc w:val="center"/>
        <w:rPr>
          <w:rFonts w:ascii="宋体" w:hAnsi="宋体" w:eastAsia="宋体" w:cs="宋体"/>
          <w:color w:val="auto"/>
          <w:szCs w:val="21"/>
          <w:highlight w:val="none"/>
        </w:rPr>
      </w:pPr>
    </w:p>
    <w:p w14:paraId="68A47D66">
      <w:pPr>
        <w:adjustRightInd w:val="0"/>
        <w:snapToGrid w:val="0"/>
        <w:spacing w:line="360" w:lineRule="exact"/>
        <w:jc w:val="center"/>
        <w:rPr>
          <w:rFonts w:ascii="宋体" w:hAnsi="宋体" w:eastAsia="宋体" w:cs="宋体"/>
          <w:color w:val="auto"/>
          <w:szCs w:val="21"/>
          <w:highlight w:val="none"/>
        </w:rPr>
      </w:pPr>
    </w:p>
    <w:p w14:paraId="5BA090AF">
      <w:pPr>
        <w:adjustRightInd w:val="0"/>
        <w:snapToGrid w:val="0"/>
        <w:spacing w:line="360" w:lineRule="auto"/>
        <w:jc w:val="center"/>
        <w:rPr>
          <w:rFonts w:ascii="宋体" w:hAnsi="宋体" w:eastAsia="宋体" w:cs="宋体"/>
          <w:color w:val="auto"/>
          <w:sz w:val="44"/>
          <w:highlight w:val="none"/>
        </w:rPr>
      </w:pPr>
      <w:bookmarkStart w:id="5030" w:name="_Hlk86676344"/>
      <w:r>
        <w:rPr>
          <w:rFonts w:hint="eastAsia" w:ascii="宋体" w:hAnsi="宋体" w:eastAsia="宋体" w:cs="宋体"/>
          <w:color w:val="auto"/>
          <w:sz w:val="44"/>
          <w:highlight w:val="none"/>
        </w:rPr>
        <w:t>投标保证保险保险凭证</w:t>
      </w:r>
    </w:p>
    <w:p w14:paraId="241D2097">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1E480067">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789EC10F">
      <w:pPr>
        <w:pStyle w:val="97"/>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265E6E6D">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6E95B8BA">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0EF01F67">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13A21A41">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2.投标人中标后因自身原因未在招标文件规定的时间内与贵方签订施工合同；</w:t>
      </w:r>
    </w:p>
    <w:p w14:paraId="07E3DAD2">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16FD6F10">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1A7F1FF0">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2CAD1FCA">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6CACE7AB">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09484475">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36B351EC">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4E1B68A2">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72CE10D0">
      <w:pPr>
        <w:pStyle w:val="97"/>
        <w:spacing w:before="0" w:beforeAutospacing="0" w:after="0" w:afterAutospacing="0" w:line="360" w:lineRule="auto"/>
        <w:rPr>
          <w:color w:val="auto"/>
          <w:kern w:val="2"/>
          <w:sz w:val="21"/>
          <w:szCs w:val="21"/>
          <w:highlight w:val="none"/>
        </w:rPr>
      </w:pPr>
    </w:p>
    <w:p w14:paraId="14C7C5A3">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4F760383">
      <w:pPr>
        <w:pStyle w:val="9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17901F6D">
      <w:pPr>
        <w:pStyle w:val="9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35D2D2C1">
      <w:pPr>
        <w:pStyle w:val="97"/>
        <w:spacing w:before="0" w:beforeAutospacing="0" w:after="0" w:afterAutospacing="0" w:line="360" w:lineRule="auto"/>
        <w:rPr>
          <w:rFonts w:hint="eastAsia"/>
          <w:color w:val="auto"/>
          <w:kern w:val="2"/>
          <w:sz w:val="21"/>
          <w:szCs w:val="21"/>
          <w:highlight w:val="none"/>
        </w:rPr>
      </w:pPr>
      <w:r>
        <w:rPr>
          <w:rFonts w:hint="eastAsia"/>
          <w:color w:val="auto"/>
          <w:kern w:val="2"/>
          <w:sz w:val="21"/>
          <w:szCs w:val="21"/>
          <w:highlight w:val="none"/>
        </w:rPr>
        <w:t xml:space="preserve">                                                年   月   日</w:t>
      </w:r>
    </w:p>
    <w:p w14:paraId="053B11E0">
      <w:pPr>
        <w:pStyle w:val="97"/>
        <w:spacing w:before="0" w:beforeAutospacing="0" w:after="0" w:afterAutospacing="0" w:line="360" w:lineRule="auto"/>
        <w:rPr>
          <w:rFonts w:hint="eastAsia"/>
          <w:color w:val="auto"/>
          <w:kern w:val="2"/>
          <w:sz w:val="21"/>
          <w:szCs w:val="21"/>
          <w:highlight w:val="none"/>
        </w:rPr>
      </w:pPr>
    </w:p>
    <w:p w14:paraId="0A34443D">
      <w:pPr>
        <w:pStyle w:val="97"/>
        <w:spacing w:before="0" w:beforeAutospacing="0" w:after="0" w:afterAutospacing="0" w:line="360" w:lineRule="auto"/>
        <w:ind w:firstLine="2640" w:firstLineChars="600"/>
        <w:rPr>
          <w:rFonts w:hint="default" w:ascii="宋体" w:hAnsi="宋体" w:eastAsia="宋体" w:cs="宋体"/>
          <w:color w:val="auto"/>
          <w:kern w:val="2"/>
          <w:sz w:val="21"/>
          <w:szCs w:val="21"/>
          <w:highlight w:val="none"/>
          <w:u w:val="none"/>
          <w:lang w:val="en-US" w:eastAsia="zh-CN"/>
        </w:rPr>
      </w:pPr>
      <w:r>
        <w:rPr>
          <w:rFonts w:hint="eastAsia" w:cs="宋体"/>
          <w:color w:val="auto"/>
          <w:kern w:val="2"/>
          <w:sz w:val="44"/>
          <w:szCs w:val="22"/>
          <w:highlight w:val="none"/>
          <w:lang w:val="en-US" w:eastAsia="zh-CN"/>
        </w:rPr>
        <w:t>投标保证金承诺函</w:t>
      </w:r>
    </w:p>
    <w:p w14:paraId="213D21A2">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default" w:ascii="宋体" w:hAnsi="宋体" w:eastAsia="宋体" w:cs="宋体"/>
          <w:b w:val="0"/>
          <w:bCs w:val="0"/>
          <w:color w:val="auto"/>
          <w:spacing w:val="0"/>
          <w:sz w:val="21"/>
          <w:szCs w:val="21"/>
          <w:highlight w:val="none"/>
          <w:lang w:eastAsia="zh-CN"/>
        </w:rPr>
      </w:pPr>
      <w:r>
        <w:rPr>
          <w:rFonts w:hint="default" w:ascii="宋体" w:hAnsi="宋体" w:eastAsia="宋体" w:cs="宋体"/>
          <w:b w:val="0"/>
          <w:bCs w:val="0"/>
          <w:color w:val="auto"/>
          <w:spacing w:val="0"/>
          <w:sz w:val="21"/>
          <w:szCs w:val="21"/>
          <w:highlight w:val="none"/>
          <w:lang w:eastAsia="zh-CN"/>
        </w:rPr>
        <w:t>（招标单位名称）：</w:t>
      </w:r>
    </w:p>
    <w:p w14:paraId="2BF2D385">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单位名称</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7A991B90">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统一社会信用代码：</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20C3E334">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法定代表人</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0C2E53FE">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为维护公平、公正、公开的</w:t>
      </w:r>
      <w:r>
        <w:rPr>
          <w:rFonts w:hint="default" w:ascii="宋体" w:hAnsi="宋体" w:eastAsia="宋体" w:cs="宋体"/>
          <w:b w:val="0"/>
          <w:bCs w:val="0"/>
          <w:color w:val="auto"/>
          <w:spacing w:val="0"/>
          <w:kern w:val="2"/>
          <w:sz w:val="21"/>
          <w:szCs w:val="21"/>
          <w:highlight w:val="none"/>
          <w:lang w:val="en-US" w:eastAsia="zh-CN"/>
        </w:rPr>
        <w:t>招标投标</w:t>
      </w:r>
      <w:r>
        <w:rPr>
          <w:rFonts w:hint="default" w:ascii="宋体" w:hAnsi="宋体" w:eastAsia="宋体" w:cs="宋体"/>
          <w:b w:val="0"/>
          <w:bCs w:val="0"/>
          <w:color w:val="auto"/>
          <w:spacing w:val="0"/>
          <w:kern w:val="2"/>
          <w:sz w:val="21"/>
          <w:szCs w:val="21"/>
          <w:highlight w:val="none"/>
          <w:lang w:eastAsia="zh-CN"/>
        </w:rPr>
        <w:t xml:space="preserve">市场秩序，树立诚实守信的投标人形象，在投标有效期内我单位自愿作出以下承诺： </w:t>
      </w:r>
    </w:p>
    <w:p w14:paraId="35697D8E">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一、我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具备承担</w:t>
      </w:r>
      <w:r>
        <w:rPr>
          <w:rFonts w:hint="default" w:ascii="宋体" w:hAnsi="宋体" w:eastAsia="宋体" w:cs="宋体"/>
          <w:b w:val="0"/>
          <w:bCs w:val="0"/>
          <w:color w:val="auto"/>
          <w:spacing w:val="0"/>
          <w:kern w:val="2"/>
          <w:sz w:val="21"/>
          <w:szCs w:val="21"/>
          <w:highlight w:val="none"/>
          <w:lang w:val="en-US" w:eastAsia="zh-CN"/>
        </w:rPr>
        <w:t xml:space="preserve"> </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（招标工程项目名称）</w:t>
      </w:r>
      <w:r>
        <w:rPr>
          <w:rFonts w:hint="default" w:ascii="宋体" w:hAnsi="宋体" w:eastAsia="宋体" w:cs="宋体"/>
          <w:b w:val="0"/>
          <w:bCs w:val="0"/>
          <w:color w:val="auto"/>
          <w:spacing w:val="0"/>
          <w:kern w:val="2"/>
          <w:sz w:val="21"/>
          <w:szCs w:val="21"/>
          <w:highlight w:val="none"/>
          <w:lang w:eastAsia="zh-CN"/>
        </w:rPr>
        <w:t>的能力，自愿参加该项目投标活动，严格遵守《招标投标法》及相关法律法规、</w:t>
      </w:r>
      <w:r>
        <w:rPr>
          <w:rFonts w:hint="default" w:ascii="宋体" w:hAnsi="宋体" w:eastAsia="宋体" w:cs="宋体"/>
          <w:b w:val="0"/>
          <w:bCs w:val="0"/>
          <w:color w:val="auto"/>
          <w:spacing w:val="0"/>
          <w:kern w:val="2"/>
          <w:sz w:val="21"/>
          <w:szCs w:val="21"/>
          <w:highlight w:val="none"/>
          <w:lang w:val="en-US" w:eastAsia="zh-CN"/>
        </w:rPr>
        <w:t>招标文件的规定</w:t>
      </w:r>
      <w:r>
        <w:rPr>
          <w:rFonts w:hint="default" w:ascii="宋体" w:hAnsi="宋体" w:eastAsia="宋体" w:cs="宋体"/>
          <w:b w:val="0"/>
          <w:bCs w:val="0"/>
          <w:color w:val="auto"/>
          <w:spacing w:val="0"/>
          <w:kern w:val="2"/>
          <w:sz w:val="21"/>
          <w:szCs w:val="21"/>
          <w:highlight w:val="none"/>
          <w:lang w:eastAsia="zh-CN"/>
        </w:rPr>
        <w:t>。</w:t>
      </w:r>
    </w:p>
    <w:p w14:paraId="3EB71403">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二、我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在“信用中国”中未被列入“严重失信主体名单”、没有因招标投标违法行为被行政处罚的记录，在“中国执行信息公开网”中企业及法定代表人没有被列入“失信被执行人”，</w:t>
      </w:r>
      <w:r>
        <w:rPr>
          <w:rFonts w:hint="default" w:ascii="宋体" w:hAnsi="宋体" w:eastAsia="宋体" w:cs="宋体"/>
          <w:b w:val="0"/>
          <w:bCs w:val="0"/>
          <w:color w:val="auto"/>
          <w:spacing w:val="0"/>
          <w:kern w:val="2"/>
          <w:sz w:val="21"/>
          <w:szCs w:val="21"/>
          <w:highlight w:val="none"/>
          <w:lang w:val="en-US" w:eastAsia="zh-CN"/>
        </w:rPr>
        <w:t>在</w:t>
      </w:r>
      <w:r>
        <w:rPr>
          <w:rFonts w:hint="default" w:ascii="宋体" w:hAnsi="宋体" w:eastAsia="宋体" w:cs="宋体"/>
          <w:b w:val="0"/>
          <w:bCs w:val="0"/>
          <w:color w:val="auto"/>
          <w:spacing w:val="0"/>
          <w:kern w:val="2"/>
          <w:sz w:val="21"/>
          <w:szCs w:val="21"/>
          <w:highlight w:val="none"/>
          <w:lang w:eastAsia="zh-CN"/>
        </w:rPr>
        <w:t>深圳公共资源交易公共服务平台</w:t>
      </w:r>
      <w:r>
        <w:rPr>
          <w:rFonts w:hint="default" w:ascii="宋体" w:hAnsi="宋体" w:eastAsia="宋体" w:cs="宋体"/>
          <w:b w:val="0"/>
          <w:bCs w:val="0"/>
          <w:color w:val="auto"/>
          <w:spacing w:val="0"/>
          <w:kern w:val="2"/>
          <w:sz w:val="21"/>
          <w:szCs w:val="21"/>
          <w:highlight w:val="none"/>
          <w:lang w:val="en-US" w:eastAsia="zh-CN"/>
        </w:rPr>
        <w:t>上没有因违反招标投标有关规定被通报、处罚等</w:t>
      </w:r>
      <w:r>
        <w:rPr>
          <w:rFonts w:hint="default" w:ascii="宋体" w:hAnsi="宋体" w:eastAsia="宋体" w:cs="宋体"/>
          <w:b w:val="0"/>
          <w:bCs w:val="0"/>
          <w:color w:val="auto"/>
          <w:spacing w:val="0"/>
          <w:kern w:val="2"/>
          <w:sz w:val="21"/>
          <w:szCs w:val="21"/>
          <w:highlight w:val="none"/>
          <w:lang w:eastAsia="zh-CN"/>
        </w:rPr>
        <w:t>不良信用记录。</w:t>
      </w:r>
    </w:p>
    <w:p w14:paraId="4A187D84">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ascii="宋体" w:hAnsi="宋体" w:eastAsia="宋体" w:cs="宋体"/>
          <w:b w:val="0"/>
          <w:bCs w:val="0"/>
          <w:color w:val="auto"/>
          <w:spacing w:val="0"/>
          <w:kern w:val="2"/>
          <w:sz w:val="21"/>
          <w:szCs w:val="21"/>
          <w:highlight w:val="none"/>
          <w:lang w:val="en-US" w:eastAsia="zh-CN"/>
        </w:rPr>
        <w:t>我公司从业人员</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人，营业收入为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万元，资产总额为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万元，根据《关于印发中小企业划型标准规定的通知》（工信部联企业〔2011〕300号）的划分标准，属于</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eastAsia" w:cs="宋体"/>
          <w:color w:val="auto"/>
          <w:kern w:val="2"/>
          <w:sz w:val="21"/>
          <w:szCs w:val="21"/>
          <w:highlight w:val="none"/>
          <w:u w:val="single"/>
          <w:lang w:val="en-US" w:eastAsia="zh-CN"/>
        </w:rPr>
        <w:t>（本招标项目所属行业）</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 xml:space="preserve">行业的 </w:t>
      </w:r>
      <w:r>
        <w:rPr>
          <w:rFonts w:hint="default" w:ascii="宋体" w:hAnsi="宋体" w:eastAsia="宋体" w:cs="宋体"/>
          <w:b w:val="0"/>
          <w:bCs w:val="0"/>
          <w:color w:val="auto"/>
          <w:spacing w:val="0"/>
          <w:kern w:val="2"/>
          <w:sz w:val="21"/>
          <w:szCs w:val="21"/>
          <w:highlight w:val="none"/>
          <w:u w:val="single"/>
          <w:lang w:val="en-US" w:eastAsia="zh-CN"/>
        </w:rPr>
        <w:t xml:space="preserve">    （中型企业、小型企业、微型企业） </w:t>
      </w:r>
      <w:r>
        <w:rPr>
          <w:rFonts w:hint="default" w:ascii="宋体" w:hAnsi="宋体" w:eastAsia="宋体" w:cs="宋体"/>
          <w:b w:val="0"/>
          <w:bCs w:val="0"/>
          <w:color w:val="auto"/>
          <w:spacing w:val="0"/>
          <w:kern w:val="2"/>
          <w:sz w:val="21"/>
          <w:szCs w:val="21"/>
          <w:highlight w:val="none"/>
          <w:u w:val="none"/>
          <w:lang w:val="en-US" w:eastAsia="zh-CN"/>
        </w:rPr>
        <w:t>，自愿使用承诺函替代投标保证金。</w:t>
      </w:r>
    </w:p>
    <w:p w14:paraId="6F2C69CA">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color w:val="auto"/>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在本项目投标截止日，在深圳市建筑市场主体信用管理系统中信用等级为A，自愿使用承诺函替代投标保证金。</w:t>
      </w:r>
    </w:p>
    <w:p w14:paraId="68D715E6">
      <w:pPr>
        <w:pStyle w:val="97"/>
        <w:spacing w:before="0" w:beforeAutospacing="0" w:after="0" w:afterAutospacing="0" w:line="240" w:lineRule="auto"/>
        <w:ind w:firstLine="420" w:firstLineChars="200"/>
        <w:rPr>
          <w:rFonts w:hint="default"/>
          <w:color w:val="auto"/>
          <w:kern w:val="2"/>
          <w:sz w:val="21"/>
          <w:szCs w:val="21"/>
          <w:highlight w:val="none"/>
          <w:lang w:val="en-US" w:eastAsia="zh-CN"/>
        </w:rPr>
      </w:pPr>
      <w:r>
        <w:rPr>
          <w:rFonts w:hint="eastAsia" w:cs="宋体"/>
          <w:color w:val="auto"/>
          <w:spacing w:val="0"/>
          <w:kern w:val="2"/>
          <w:sz w:val="21"/>
          <w:szCs w:val="21"/>
          <w:highlight w:val="none"/>
          <w:lang w:val="en-US" w:eastAsia="zh-CN"/>
        </w:rPr>
        <w:t>□</w:t>
      </w:r>
      <w:r>
        <w:rPr>
          <w:rFonts w:hint="default" w:ascii="宋体" w:hAnsi="宋体" w:eastAsia="宋体" w:cs="宋体"/>
          <w:color w:val="auto"/>
          <w:spacing w:val="0"/>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w:t>
      </w:r>
      <w:r>
        <w:rPr>
          <w:rFonts w:hint="default"/>
          <w:color w:val="auto"/>
          <w:kern w:val="2"/>
          <w:sz w:val="21"/>
          <w:szCs w:val="21"/>
          <w:highlight w:val="none"/>
          <w:lang w:val="en-US" w:eastAsia="zh-CN"/>
        </w:rPr>
        <w:t>信用等级为B+，</w:t>
      </w:r>
      <w:r>
        <w:rPr>
          <w:rFonts w:hint="default" w:ascii="宋体" w:hAnsi="宋体" w:eastAsia="宋体" w:cs="宋体"/>
          <w:b w:val="0"/>
          <w:bCs w:val="0"/>
          <w:color w:val="auto"/>
          <w:spacing w:val="0"/>
          <w:kern w:val="2"/>
          <w:sz w:val="21"/>
          <w:szCs w:val="21"/>
          <w:highlight w:val="none"/>
          <w:u w:val="none"/>
          <w:lang w:val="en-US" w:eastAsia="zh-CN"/>
        </w:rPr>
        <w:t>自愿使用承诺函，并</w:t>
      </w:r>
      <w:r>
        <w:rPr>
          <w:rFonts w:hint="default"/>
          <w:color w:val="auto"/>
          <w:kern w:val="2"/>
          <w:sz w:val="21"/>
          <w:szCs w:val="21"/>
          <w:highlight w:val="none"/>
          <w:lang w:val="en-US" w:eastAsia="zh-CN"/>
        </w:rPr>
        <w:t>减半缴纳投标保证金</w:t>
      </w:r>
      <w:r>
        <w:rPr>
          <w:rFonts w:hint="default" w:ascii="宋体" w:hAnsi="宋体" w:eastAsia="宋体" w:cs="宋体"/>
          <w:color w:val="auto"/>
          <w:spacing w:val="0"/>
          <w:kern w:val="2"/>
          <w:sz w:val="21"/>
          <w:szCs w:val="21"/>
          <w:highlight w:val="none"/>
          <w:u w:val="none"/>
          <w:lang w:val="en-US" w:eastAsia="zh-CN"/>
        </w:rPr>
        <w:t>。</w:t>
      </w:r>
    </w:p>
    <w:p w14:paraId="18992B17">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eastAsia="宋体" w:cs="宋体"/>
          <w:color w:val="auto"/>
          <w:spacing w:val="0"/>
          <w:kern w:val="2"/>
          <w:sz w:val="21"/>
          <w:szCs w:val="21"/>
          <w:highlight w:val="none"/>
          <w:u w:val="none"/>
          <w:lang w:val="en-US" w:eastAsia="zh-CN"/>
        </w:rPr>
      </w:pPr>
      <w:bookmarkStart w:id="5031" w:name="_Toc10704"/>
      <w:r>
        <w:rPr>
          <w:rFonts w:hint="eastAsia" w:cs="宋体"/>
          <w:color w:val="auto"/>
          <w:spacing w:val="0"/>
          <w:kern w:val="2"/>
          <w:sz w:val="21"/>
          <w:szCs w:val="21"/>
          <w:highlight w:val="none"/>
          <w:lang w:val="en-US" w:eastAsia="zh-CN"/>
        </w:rPr>
        <w:t>□</w:t>
      </w:r>
      <w:r>
        <w:rPr>
          <w:rFonts w:hint="default" w:eastAsia="宋体" w:cs="宋体"/>
          <w:color w:val="auto"/>
          <w:spacing w:val="0"/>
          <w:kern w:val="2"/>
          <w:sz w:val="21"/>
          <w:szCs w:val="21"/>
          <w:highlight w:val="none"/>
          <w:lang w:val="en-US" w:eastAsia="zh-CN"/>
        </w:rPr>
        <w:t xml:space="preserve"> </w:t>
      </w:r>
      <w:r>
        <w:rPr>
          <w:rFonts w:hint="default" w:eastAsia="宋体" w:cs="宋体"/>
          <w:color w:val="auto"/>
          <w:spacing w:val="0"/>
          <w:kern w:val="2"/>
          <w:sz w:val="21"/>
          <w:szCs w:val="21"/>
          <w:highlight w:val="none"/>
          <w:u w:val="single"/>
          <w:lang w:val="en-US" w:eastAsia="zh-CN"/>
        </w:rPr>
        <w:t xml:space="preserve">                       （招标文件规定的其他情形）</w:t>
      </w:r>
      <w:bookmarkEnd w:id="5031"/>
    </w:p>
    <w:p w14:paraId="703AF190">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2" w:name="_Toc20330"/>
      <w:r>
        <w:rPr>
          <w:rFonts w:hint="eastAsia" w:ascii="宋体" w:hAnsi="宋体" w:eastAsia="宋体" w:cs="宋体"/>
          <w:b w:val="0"/>
          <w:bCs w:val="0"/>
          <w:color w:val="auto"/>
          <w:spacing w:val="0"/>
          <w:kern w:val="2"/>
          <w:sz w:val="21"/>
          <w:szCs w:val="21"/>
          <w:highlight w:val="none"/>
          <w:lang w:val="en-US" w:eastAsia="zh-CN"/>
        </w:rPr>
        <w:t>三、</w:t>
      </w:r>
      <w:r>
        <w:rPr>
          <w:rFonts w:hint="eastAsia" w:ascii="宋体" w:hAnsi="宋体" w:eastAsia="宋体" w:cs="宋体"/>
          <w:b w:val="0"/>
          <w:bCs w:val="0"/>
          <w:color w:val="auto"/>
          <w:spacing w:val="0"/>
          <w:kern w:val="2"/>
          <w:sz w:val="21"/>
          <w:szCs w:val="21"/>
          <w:highlight w:val="none"/>
          <w:lang w:eastAsia="zh-CN"/>
        </w:rPr>
        <w:t>如有发生下述任何一种违约行为，自愿承担相关法律责任，</w:t>
      </w:r>
      <w:r>
        <w:rPr>
          <w:rFonts w:hint="eastAsia" w:ascii="宋体" w:hAnsi="宋体" w:eastAsia="宋体" w:cs="宋体"/>
          <w:b w:val="0"/>
          <w:bCs w:val="0"/>
          <w:color w:val="auto"/>
          <w:spacing w:val="0"/>
          <w:kern w:val="2"/>
          <w:sz w:val="21"/>
          <w:szCs w:val="21"/>
          <w:highlight w:val="none"/>
          <w:lang w:val="en-US" w:eastAsia="zh-CN"/>
        </w:rPr>
        <w:t>并愿意</w:t>
      </w:r>
      <w:r>
        <w:rPr>
          <w:rFonts w:hint="eastAsia" w:ascii="宋体" w:hAnsi="宋体" w:eastAsia="宋体" w:cs="宋体"/>
          <w:b w:val="0"/>
          <w:bCs w:val="0"/>
          <w:color w:val="auto"/>
          <w:spacing w:val="0"/>
          <w:kern w:val="2"/>
          <w:sz w:val="21"/>
          <w:szCs w:val="21"/>
          <w:highlight w:val="none"/>
          <w:lang w:eastAsia="zh-CN"/>
        </w:rPr>
        <w:t>按所投项目招标文件约定的投标保证金金额以现金方式</w:t>
      </w:r>
      <w:r>
        <w:rPr>
          <w:rFonts w:hint="eastAsia" w:cs="宋体"/>
          <w:b w:val="0"/>
          <w:bCs w:val="0"/>
          <w:color w:val="auto"/>
          <w:spacing w:val="0"/>
          <w:kern w:val="2"/>
          <w:sz w:val="21"/>
          <w:szCs w:val="21"/>
          <w:highlight w:val="none"/>
          <w:lang w:val="en-US" w:eastAsia="zh-CN"/>
        </w:rPr>
        <w:t>补缴</w:t>
      </w:r>
      <w:r>
        <w:rPr>
          <w:rFonts w:hint="eastAsia" w:ascii="宋体" w:hAnsi="宋体" w:eastAsia="宋体" w:cs="宋体"/>
          <w:b w:val="0"/>
          <w:bCs w:val="0"/>
          <w:color w:val="auto"/>
          <w:spacing w:val="0"/>
          <w:kern w:val="2"/>
          <w:sz w:val="21"/>
          <w:szCs w:val="21"/>
          <w:highlight w:val="none"/>
          <w:lang w:eastAsia="zh-CN"/>
        </w:rPr>
        <w:t>。如不按时补缴，愿意接受行政监督部门实施的信用联合惩戒。</w:t>
      </w:r>
      <w:bookmarkEnd w:id="5032"/>
    </w:p>
    <w:p w14:paraId="1C212C55">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3" w:name="_Toc4073"/>
      <w:r>
        <w:rPr>
          <w:rFonts w:hint="eastAsia" w:ascii="宋体" w:hAnsi="宋体" w:eastAsia="宋体" w:cs="宋体"/>
          <w:b w:val="0"/>
          <w:bCs w:val="0"/>
          <w:color w:val="auto"/>
          <w:spacing w:val="0"/>
          <w:kern w:val="2"/>
          <w:sz w:val="21"/>
          <w:szCs w:val="21"/>
          <w:highlight w:val="none"/>
          <w:lang w:eastAsia="zh-CN"/>
        </w:rPr>
        <w:t>1.在招标文件中规定的投标有效期内撤销投标文件；</w:t>
      </w:r>
      <w:bookmarkEnd w:id="5033"/>
    </w:p>
    <w:p w14:paraId="0B9660A5">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4" w:name="_Toc19954"/>
      <w:r>
        <w:rPr>
          <w:rFonts w:hint="eastAsia" w:ascii="宋体" w:hAnsi="宋体" w:eastAsia="宋体" w:cs="宋体"/>
          <w:b w:val="0"/>
          <w:bCs w:val="0"/>
          <w:color w:val="auto"/>
          <w:spacing w:val="0"/>
          <w:kern w:val="2"/>
          <w:sz w:val="21"/>
          <w:szCs w:val="21"/>
          <w:highlight w:val="none"/>
          <w:lang w:eastAsia="zh-CN"/>
        </w:rPr>
        <w:t>2.中标后在规定期限内无正当理由不与招标人签订合同或在签订合同时向招标人提出附加条件、或未按招标文件规定提交履约保证金；</w:t>
      </w:r>
      <w:bookmarkEnd w:id="5034"/>
    </w:p>
    <w:p w14:paraId="48E1FDA9">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5" w:name="_Toc6903"/>
      <w:r>
        <w:rPr>
          <w:rFonts w:hint="eastAsia" w:ascii="宋体" w:hAnsi="宋体" w:eastAsia="宋体" w:cs="宋体"/>
          <w:b w:val="0"/>
          <w:bCs w:val="0"/>
          <w:color w:val="auto"/>
          <w:spacing w:val="0"/>
          <w:kern w:val="2"/>
          <w:sz w:val="21"/>
          <w:szCs w:val="21"/>
          <w:highlight w:val="none"/>
          <w:lang w:eastAsia="zh-CN"/>
        </w:rPr>
        <w:t>3.法律、法规规定不予退还投标保证金的其他情形。</w:t>
      </w:r>
      <w:bookmarkEnd w:id="5035"/>
    </w:p>
    <w:p w14:paraId="130FC0AB">
      <w:pPr>
        <w:pStyle w:val="97"/>
        <w:spacing w:before="0" w:beforeAutospacing="0" w:after="0" w:afterAutospacing="0" w:line="240" w:lineRule="auto"/>
        <w:ind w:firstLine="420" w:firstLineChars="200"/>
        <w:rPr>
          <w:rFonts w:hint="default"/>
          <w:color w:val="auto"/>
          <w:kern w:val="2"/>
          <w:sz w:val="21"/>
          <w:szCs w:val="21"/>
          <w:highlight w:val="none"/>
          <w:lang w:val="en-US" w:eastAsia="zh-CN"/>
        </w:rPr>
      </w:pPr>
    </w:p>
    <w:p w14:paraId="33AB7A29">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D1945B4">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承诺人（盖公章）：</w:t>
      </w:r>
    </w:p>
    <w:p w14:paraId="1E19523C">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法定代表人（印章或签字）：</w:t>
      </w:r>
    </w:p>
    <w:p w14:paraId="2F6AAED4">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日期：</w:t>
      </w:r>
    </w:p>
    <w:p w14:paraId="00025BB8">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EACE098">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DB881D3">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0F5D9EF">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9003BD2">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99ACFEF">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7B42355">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D0E38CB">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AC2A5F1">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97181FF">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8412C02">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F67A097">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3DCFD44">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1EAB3E8">
      <w:pPr>
        <w:pStyle w:val="97"/>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29E7917A">
      <w:pPr>
        <w:pStyle w:val="97"/>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3FB3CF31">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7D4AACC8">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活动，工程的施工单位全部为符合政策要求的中小企业（或者：服务全部由符合政策要求的中小企业承接）。相关企业（含联合体中的中小企业）的具体情况如下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7EC0BD8A">
      <w:pPr>
        <w:pStyle w:val="97"/>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0B2865D6">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3F9A2922">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0F94D0D7">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115E6ED0">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1195139C">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211F983F">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30C0E1ED">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381F7D1D">
      <w:pPr>
        <w:pStyle w:val="97"/>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75EDE23E">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83BC115">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6F071D2">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4301BBD">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817807C">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2DC797C">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9EF7E7C">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8187F5F">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7FA6989">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9B64642">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F8EEBFE">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C07F38A">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2886105">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AA80658">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DB2CFC0">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1E3EEB9">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4CFE438">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999A12A">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BB0EA12">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23C70DF">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0625A8F">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1A07F26">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D7930CE">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10D40DE">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3854799">
      <w:pPr>
        <w:pStyle w:val="97"/>
        <w:spacing w:before="0" w:beforeAutospacing="0" w:after="0" w:afterAutospacing="0" w:line="360" w:lineRule="auto"/>
        <w:rPr>
          <w:rFonts w:hint="eastAsia" w:ascii="宋体" w:hAnsi="宋体" w:eastAsia="宋体" w:cs="宋体"/>
          <w:b w:val="0"/>
          <w:bCs w:val="0"/>
          <w:color w:val="auto"/>
          <w:spacing w:val="3"/>
          <w:sz w:val="21"/>
          <w:szCs w:val="21"/>
          <w:highlight w:val="none"/>
          <w:lang w:eastAsia="zh-CN"/>
        </w:rPr>
      </w:pPr>
    </w:p>
    <w:bookmarkEnd w:id="5030"/>
    <w:p w14:paraId="6B60DB2F">
      <w:pPr>
        <w:adjustRightInd w:val="0"/>
        <w:snapToGrid w:val="0"/>
        <w:spacing w:line="360" w:lineRule="exact"/>
        <w:jc w:val="center"/>
        <w:rPr>
          <w:color w:val="auto"/>
          <w:highlight w:val="none"/>
        </w:rPr>
      </w:pPr>
    </w:p>
    <w:p w14:paraId="01F3CB9F">
      <w:pPr>
        <w:adjustRightInd w:val="0"/>
        <w:snapToGrid w:val="0"/>
        <w:spacing w:line="360" w:lineRule="auto"/>
        <w:ind w:firstLine="5140" w:firstLineChars="16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_____________</w:t>
      </w:r>
    </w:p>
    <w:p w14:paraId="7F6C553E">
      <w:pPr>
        <w:adjustRightInd w:val="0"/>
        <w:snapToGrid w:val="0"/>
        <w:spacing w:line="360" w:lineRule="auto"/>
        <w:rPr>
          <w:rFonts w:ascii="宋体" w:hAnsi="宋体" w:eastAsia="宋体" w:cs="宋体"/>
          <w:b/>
          <w:bCs/>
          <w:color w:val="auto"/>
          <w:sz w:val="28"/>
          <w:highlight w:val="none"/>
        </w:rPr>
      </w:pPr>
    </w:p>
    <w:p w14:paraId="29C0D1E1">
      <w:pPr>
        <w:adjustRightInd w:val="0"/>
        <w:snapToGrid w:val="0"/>
        <w:spacing w:line="360" w:lineRule="auto"/>
        <w:rPr>
          <w:rFonts w:ascii="宋体" w:hAnsi="宋体" w:eastAsia="宋体" w:cs="宋体"/>
          <w:b/>
          <w:bCs/>
          <w:color w:val="auto"/>
          <w:sz w:val="28"/>
          <w:highlight w:val="none"/>
        </w:rPr>
      </w:pPr>
    </w:p>
    <w:p w14:paraId="0A0663C0">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72882F39">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5FF000F8">
      <w:pPr>
        <w:adjustRightInd w:val="0"/>
        <w:snapToGrid w:val="0"/>
        <w:spacing w:line="360" w:lineRule="auto"/>
        <w:jc w:val="center"/>
        <w:rPr>
          <w:rFonts w:ascii="宋体" w:hAnsi="宋体" w:eastAsia="宋体" w:cs="宋体"/>
          <w:b/>
          <w:color w:val="auto"/>
          <w:sz w:val="72"/>
          <w:highlight w:val="none"/>
        </w:rPr>
      </w:pPr>
    </w:p>
    <w:p w14:paraId="0186F473">
      <w:pPr>
        <w:adjustRightInd w:val="0"/>
        <w:snapToGrid w:val="0"/>
        <w:spacing w:line="360" w:lineRule="auto"/>
        <w:jc w:val="center"/>
        <w:rPr>
          <w:rFonts w:ascii="宋体" w:hAnsi="宋体" w:eastAsia="宋体" w:cs="宋体"/>
          <w:b/>
          <w:color w:val="auto"/>
          <w:sz w:val="72"/>
          <w:highlight w:val="none"/>
        </w:rPr>
      </w:pPr>
    </w:p>
    <w:p w14:paraId="1A34F594">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14:paraId="5E0B752E">
      <w:pPr>
        <w:adjustRightInd w:val="0"/>
        <w:snapToGrid w:val="0"/>
        <w:spacing w:line="360" w:lineRule="auto"/>
        <w:rPr>
          <w:rFonts w:ascii="宋体" w:hAnsi="宋体" w:eastAsia="宋体" w:cs="宋体"/>
          <w:b/>
          <w:color w:val="auto"/>
          <w:sz w:val="32"/>
          <w:highlight w:val="none"/>
        </w:rPr>
      </w:pPr>
    </w:p>
    <w:p w14:paraId="145DB0F3">
      <w:pPr>
        <w:adjustRightInd w:val="0"/>
        <w:snapToGrid w:val="0"/>
        <w:spacing w:line="360" w:lineRule="auto"/>
        <w:outlineLvl w:val="1"/>
        <w:rPr>
          <w:rFonts w:ascii="宋体" w:hAnsi="宋体" w:eastAsia="宋体" w:cs="宋体"/>
          <w:b/>
          <w:color w:val="auto"/>
          <w:sz w:val="32"/>
          <w:highlight w:val="none"/>
        </w:rPr>
      </w:pPr>
      <w:bookmarkStart w:id="5036" w:name="_Toc19837"/>
      <w:bookmarkStart w:id="5037" w:name="_Toc32533"/>
      <w:bookmarkStart w:id="5038" w:name="_Toc12476"/>
      <w:bookmarkStart w:id="5039" w:name="_Toc23925"/>
      <w:bookmarkStart w:id="5040" w:name="_Toc20398"/>
      <w:bookmarkStart w:id="5041" w:name="_Toc26088"/>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商务标部分</w:t>
      </w:r>
      <w:bookmarkEnd w:id="5036"/>
      <w:bookmarkEnd w:id="5037"/>
      <w:bookmarkEnd w:id="5038"/>
      <w:bookmarkEnd w:id="5039"/>
      <w:bookmarkEnd w:id="5040"/>
      <w:bookmarkEnd w:id="5041"/>
      <w:r>
        <w:rPr>
          <w:rFonts w:hint="eastAsia" w:ascii="宋体" w:hAnsi="宋体" w:eastAsia="宋体" w:cs="宋体"/>
          <w:b/>
          <w:color w:val="auto"/>
          <w:sz w:val="52"/>
          <w:highlight w:val="none"/>
          <w:u w:val="single"/>
        </w:rPr>
        <w:t xml:space="preserve">       </w:t>
      </w:r>
    </w:p>
    <w:p w14:paraId="4DB49C07">
      <w:pPr>
        <w:adjustRightInd w:val="0"/>
        <w:snapToGrid w:val="0"/>
        <w:spacing w:line="360" w:lineRule="auto"/>
        <w:rPr>
          <w:rFonts w:ascii="宋体" w:hAnsi="宋体" w:eastAsia="宋体" w:cs="宋体"/>
          <w:b/>
          <w:color w:val="auto"/>
          <w:sz w:val="32"/>
          <w:highlight w:val="none"/>
        </w:rPr>
      </w:pPr>
    </w:p>
    <w:p w14:paraId="20E68923">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14:paraId="056231CA">
      <w:pPr>
        <w:adjustRightInd w:val="0"/>
        <w:snapToGrid w:val="0"/>
        <w:spacing w:line="360" w:lineRule="auto"/>
        <w:rPr>
          <w:rFonts w:ascii="宋体" w:hAnsi="宋体" w:eastAsia="宋体" w:cs="宋体"/>
          <w:b/>
          <w:color w:val="auto"/>
          <w:sz w:val="32"/>
          <w:highlight w:val="none"/>
        </w:rPr>
      </w:pPr>
    </w:p>
    <w:p w14:paraId="3B7D5FF8">
      <w:pPr>
        <w:adjustRightInd w:val="0"/>
        <w:snapToGrid w:val="0"/>
        <w:spacing w:line="360" w:lineRule="auto"/>
        <w:rPr>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14:paraId="108EF235">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一、工程量清单报价表的说明</w:t>
      </w:r>
    </w:p>
    <w:p w14:paraId="7FD286E0">
      <w:pPr>
        <w:adjustRightInd w:val="0"/>
        <w:snapToGrid w:val="0"/>
        <w:spacing w:line="360" w:lineRule="auto"/>
        <w:ind w:firstLine="420" w:firstLineChars="200"/>
        <w:rPr>
          <w:color w:val="auto"/>
          <w:highlight w:val="none"/>
        </w:rPr>
      </w:pPr>
    </w:p>
    <w:p w14:paraId="2F4EA4D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1.本投标报价是依据本工程招标文件的投标须知、工程量清单、合同条件、工程建设标准及技术要求和图纸等文件进行编制的。</w:t>
      </w:r>
    </w:p>
    <w:p w14:paraId="3A705FF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2.“工程量清单报价表”包括以下几个部分：</w:t>
      </w:r>
    </w:p>
    <w:p w14:paraId="76E1C4C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(1)投标总价；</w:t>
      </w:r>
    </w:p>
    <w:p w14:paraId="7D679C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(2)工程项目投标价汇总表；</w:t>
      </w:r>
    </w:p>
    <w:p w14:paraId="233B952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(3)单项工程投标价汇总表；</w:t>
      </w:r>
    </w:p>
    <w:p w14:paraId="48D637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(4)单位工程投标价汇总表；</w:t>
      </w:r>
    </w:p>
    <w:p w14:paraId="3525346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(5)分部分项工程清单与计价表；</w:t>
      </w:r>
    </w:p>
    <w:p w14:paraId="586023A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(6)措施项目清单与计价汇总表；</w:t>
      </w:r>
    </w:p>
    <w:p w14:paraId="171F343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(7)措施项目清单与计价表（一）；</w:t>
      </w:r>
    </w:p>
    <w:p w14:paraId="46D5AB5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(8)安全文明施工措施费详细清单与计价表</w:t>
      </w:r>
    </w:p>
    <w:p w14:paraId="5B8827B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(9)其他项目清单与计价汇总表；</w:t>
      </w:r>
    </w:p>
    <w:p w14:paraId="7B9B194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(10)材料设备暂估价计价表；</w:t>
      </w:r>
    </w:p>
    <w:p w14:paraId="31FAB94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(11)计日工表</w:t>
      </w:r>
    </w:p>
    <w:p w14:paraId="621148E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(12)总承包服务费计价表；</w:t>
      </w:r>
    </w:p>
    <w:p w14:paraId="71D04FD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(13)发包人供应材料设备明细表；</w:t>
      </w:r>
    </w:p>
    <w:p w14:paraId="0991A15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(14)规费税金项目清单与计价表；</w:t>
      </w:r>
    </w:p>
    <w:p w14:paraId="69D6084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(15)暂列金额明细表；</w:t>
      </w:r>
    </w:p>
    <w:p w14:paraId="498803C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(16)工程建设其他费计价表；</w:t>
      </w:r>
    </w:p>
    <w:p w14:paraId="73890DA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(17)设备及工器具购置费计价表。</w:t>
      </w:r>
    </w:p>
    <w:p w14:paraId="3029133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3.本投标报价是按照招标文件中要求采用的工程量计算规则，根据本企业自身的情况、拟订的施工组织设计和施工方案，分析市场情况完成的，该报价不低于本企业完成该招标工程的成本。</w:t>
      </w:r>
    </w:p>
    <w:p w14:paraId="6198E8E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4.对“分部分项工程量清单计价表”的说明：</w:t>
      </w:r>
    </w:p>
    <w:p w14:paraId="1F55457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⑴.我方确认“分部分项工程量清单”中所列的工程量系招标人的估算，是临时的，结算时，应以由发、承包双方在合同中约定应予计量且实际完成的工程量确定。</w:t>
      </w:r>
    </w:p>
    <w:p w14:paraId="62DABF5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⑵.该计价表中所填入的综合单价和合价已包括人工费、材料费、施工机械使用费和企业管理费与利润，以及一定范围内的风险费用。招标人计划自行采购的材料设备单价未计入综合单价报价中。</w:t>
      </w:r>
    </w:p>
    <w:p w14:paraId="3B1F1CB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⑶.该计价表中没有填写综合单价和合价或者价格为零的项目，其费用已包括在工程量清单的其他综合单价或合价之中，备注中已有明确说明。</w:t>
      </w:r>
    </w:p>
    <w:p w14:paraId="2C182CB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□⑷.根据招标人的要求，我方提供了“工程量清单综合单价分析表”。</w:t>
      </w:r>
    </w:p>
    <w:p w14:paraId="5E10FE9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5.对“措施项目清单计价表”的说明：</w:t>
      </w:r>
    </w:p>
    <w:p w14:paraId="72D0A9B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⑴.该计价表是根据招标人提供的“措施项目清单”填报的，我方根据自身的情况对有关项目进行了调整，包含了完成该招标工程所需发生的全部措施费用。</w:t>
      </w:r>
    </w:p>
    <w:p w14:paraId="155F5DC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⑵.该计价表中以“项”为单位的措施项目，我方填报的价格已包括除规费、税金外的全部费用。</w:t>
      </w:r>
    </w:p>
    <w:p w14:paraId="5C7A534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□⑶.根据招标人的要求，我方提供了“措施项目清单与计价表（二）”。</w:t>
      </w:r>
    </w:p>
    <w:p w14:paraId="4E1D3D5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6.对“其他项目清单计价表”的说明：</w:t>
      </w:r>
    </w:p>
    <w:p w14:paraId="22D307C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计价表中材料设备暂估价根据招标人提供的“材料设备暂估价表”计算汇总填写。表中所列材料设备的暂估单价已计入相应清单项目综合单价报价中，结算时，按发、承包双方最终确认的价格调整价差，价差部分不计利润。</w:t>
      </w:r>
    </w:p>
    <w:p w14:paraId="4D619CD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⑵.该计价表中计日工是根据招标人提出的“计日工表”的要求填报单价，结算时，按合同约定的方式确认工程量。</w:t>
      </w:r>
    </w:p>
    <w:p w14:paraId="7FB79E1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⑶．该计价表中总承包服务费是根据招标人提出的内容和要求，以招标人提供“总承包服务费表”中“项目价值”为基数自主确定费率计算的。</w:t>
      </w:r>
    </w:p>
    <w:p w14:paraId="4EA1469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7.我方接受招标人在合同条款和合同格式部分提出的要约，特别是对工程变更价款、暂列金额、专业工程暂估价、工程建设其他费和设备及工器具购置费的确定和结算方式。</w:t>
      </w:r>
    </w:p>
    <w:p w14:paraId="65BBCD97">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8.其他。</w:t>
      </w:r>
      <w:r>
        <w:rPr>
          <w:rFonts w:hint="eastAsia" w:ascii="宋体" w:hAnsi="宋体" w:eastAsia="宋体" w:cs="宋体"/>
          <w:color w:val="auto"/>
          <w:highlight w:val="none"/>
        </w:rPr>
        <w:br w:type="page"/>
      </w:r>
    </w:p>
    <w:p w14:paraId="1441C7E8">
      <w:pPr>
        <w:adjustRightInd w:val="0"/>
        <w:snapToGrid w:val="0"/>
        <w:spacing w:line="360" w:lineRule="auto"/>
        <w:jc w:val="center"/>
        <w:rPr>
          <w:color w:val="auto"/>
          <w:highlight w:val="none"/>
        </w:rPr>
      </w:pPr>
    </w:p>
    <w:p w14:paraId="51E3ED41">
      <w:pPr>
        <w:adjustRightInd w:val="0"/>
        <w:snapToGrid w:val="0"/>
        <w:spacing w:line="360" w:lineRule="auto"/>
        <w:jc w:val="center"/>
        <w:rPr>
          <w:color w:val="auto"/>
          <w:highlight w:val="none"/>
        </w:rPr>
      </w:pPr>
    </w:p>
    <w:p w14:paraId="6CDF7CBF">
      <w:pPr>
        <w:adjustRightInd w:val="0"/>
        <w:snapToGrid w:val="0"/>
        <w:spacing w:line="360" w:lineRule="auto"/>
        <w:jc w:val="center"/>
        <w:rPr>
          <w:rFonts w:ascii="黑体" w:hAnsi="黑体" w:eastAsia="黑体" w:cs="黑体"/>
          <w:b/>
          <w:color w:val="auto"/>
          <w:sz w:val="32"/>
          <w:szCs w:val="32"/>
          <w:highlight w:val="none"/>
        </w:rPr>
      </w:pPr>
      <w:r>
        <w:rPr>
          <w:rFonts w:hint="eastAsia" w:ascii="黑体" w:hAnsi="黑体" w:eastAsia="黑体" w:cs="黑体"/>
          <w:b/>
          <w:color w:val="auto"/>
          <w:sz w:val="32"/>
          <w:szCs w:val="32"/>
          <w:highlight w:val="none"/>
        </w:rPr>
        <w:t>二、商务标部分</w:t>
      </w:r>
    </w:p>
    <w:p w14:paraId="300B05A9">
      <w:pPr>
        <w:adjustRightInd w:val="0"/>
        <w:snapToGrid w:val="0"/>
        <w:spacing w:line="360" w:lineRule="auto"/>
        <w:jc w:val="center"/>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（格式同计算机编制软件）</w:t>
      </w:r>
    </w:p>
    <w:p w14:paraId="06A022FF">
      <w:pPr>
        <w:adjustRightInd w:val="0"/>
        <w:snapToGrid w:val="0"/>
        <w:spacing w:line="360" w:lineRule="auto"/>
        <w:jc w:val="center"/>
        <w:rPr>
          <w:rFonts w:ascii="黑体" w:hAnsi="黑体" w:eastAsia="黑体" w:cs="黑体"/>
          <w:color w:val="auto"/>
          <w:sz w:val="32"/>
          <w:szCs w:val="32"/>
          <w:highlight w:val="none"/>
        </w:rPr>
      </w:pPr>
    </w:p>
    <w:p w14:paraId="27FA041D">
      <w:pPr>
        <w:adjustRightInd w:val="0"/>
        <w:snapToGrid w:val="0"/>
        <w:spacing w:line="360" w:lineRule="auto"/>
        <w:jc w:val="center"/>
        <w:rPr>
          <w:color w:val="auto"/>
          <w:highlight w:val="none"/>
        </w:rPr>
      </w:pPr>
      <w:r>
        <w:rPr>
          <w:rFonts w:hint="eastAsia" w:ascii="黑体" w:hAnsi="黑体" w:eastAsia="黑体" w:cs="黑体"/>
          <w:b/>
          <w:color w:val="auto"/>
          <w:sz w:val="32"/>
          <w:szCs w:val="32"/>
          <w:highlight w:val="none"/>
        </w:rPr>
        <w:t>三、施工投标承诺函</w:t>
      </w:r>
      <w:r>
        <w:rPr>
          <w:color w:val="auto"/>
          <w:highlight w:val="none"/>
        </w:rPr>
        <w:br w:type="page"/>
      </w:r>
    </w:p>
    <w:p w14:paraId="7FA0F599">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提示：本承诺函明确除标明由</w:t>
      </w:r>
      <w:r>
        <w:rPr>
          <w:rFonts w:hint="eastAsia" w:ascii="宋体" w:hAnsi="宋体" w:eastAsia="宋体" w:cs="宋体"/>
          <w:bCs/>
          <w:color w:val="auto"/>
          <w:szCs w:val="21"/>
          <w:highlight w:val="none"/>
        </w:rPr>
        <w:t>“投标人填写”外，其余空格全部应由招标人填写完整。一旦投标人中标后，该承诺函将提交质监、安监、造价、审计等部门作为后续监管的依据。</w:t>
      </w:r>
    </w:p>
    <w:p w14:paraId="0DAAC642">
      <w:pPr>
        <w:adjustRightInd w:val="0"/>
        <w:snapToGrid w:val="0"/>
        <w:spacing w:line="360" w:lineRule="auto"/>
        <w:jc w:val="center"/>
        <w:rPr>
          <w:rFonts w:ascii="宋体" w:hAnsi="宋体" w:eastAsia="宋体" w:cs="宋体"/>
          <w:color w:val="auto"/>
          <w:highlight w:val="none"/>
        </w:rPr>
      </w:pPr>
    </w:p>
    <w:p w14:paraId="4781A872">
      <w:pPr>
        <w:adjustRightInd w:val="0"/>
        <w:snapToGrid w:val="0"/>
        <w:spacing w:line="360" w:lineRule="auto"/>
        <w:jc w:val="center"/>
        <w:rPr>
          <w:rFonts w:ascii="宋体" w:hAnsi="宋体" w:eastAsia="宋体" w:cs="宋体"/>
          <w:color w:val="auto"/>
          <w:sz w:val="44"/>
          <w:szCs w:val="44"/>
          <w:highlight w:val="none"/>
        </w:rPr>
      </w:pPr>
      <w:r>
        <w:rPr>
          <w:rFonts w:hint="eastAsia" w:ascii="宋体" w:hAnsi="宋体" w:eastAsia="宋体" w:cs="宋体"/>
          <w:color w:val="auto"/>
          <w:sz w:val="44"/>
          <w:szCs w:val="44"/>
          <w:highlight w:val="none"/>
        </w:rPr>
        <w:t>施工投标承诺函</w:t>
      </w:r>
    </w:p>
    <w:p w14:paraId="427ABB91">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致招标人：</w:t>
      </w:r>
      <w:r>
        <w:rPr>
          <w:rFonts w:hint="eastAsia" w:ascii="宋体" w:hAnsi="宋体" w:eastAsia="宋体" w:cs="宋体"/>
          <w:bCs/>
          <w:color w:val="auto"/>
          <w:szCs w:val="21"/>
          <w:highlight w:val="none"/>
          <w:u w:val="single"/>
        </w:rPr>
        <w:t>____________________</w:t>
      </w:r>
    </w:p>
    <w:p w14:paraId="519C661E">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为了确保本工程招标投标工作顺利进行，同时保证优质高效、文明施工，我方将严格执行建设工程管理的法律法规，并完全接受</w:t>
      </w:r>
      <w:r>
        <w:rPr>
          <w:rFonts w:hint="eastAsia" w:ascii="宋体" w:hAnsi="宋体" w:eastAsia="宋体" w:cs="宋体"/>
          <w:bCs/>
          <w:color w:val="auto"/>
          <w:szCs w:val="21"/>
          <w:highlight w:val="none"/>
          <w:u w:val="single"/>
        </w:rPr>
        <w:t>_____________</w:t>
      </w:r>
      <w:r>
        <w:rPr>
          <w:rFonts w:hint="eastAsia" w:ascii="宋体" w:hAnsi="宋体" w:eastAsia="宋体" w:cs="宋体"/>
          <w:bCs/>
          <w:color w:val="auto"/>
          <w:szCs w:val="21"/>
          <w:highlight w:val="none"/>
        </w:rPr>
        <w:t>工程的招标文件所有内容，为此作出如下承诺：</w:t>
      </w:r>
    </w:p>
    <w:p w14:paraId="5F1B594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1、根</w:t>
      </w:r>
      <w:r>
        <w:rPr>
          <w:rFonts w:hint="eastAsia" w:ascii="宋体" w:hAnsi="宋体" w:eastAsia="宋体" w:cs="宋体"/>
          <w:color w:val="auto"/>
          <w:szCs w:val="21"/>
          <w:highlight w:val="none"/>
        </w:rPr>
        <w:t>据企业自身情况，理性报价，不会以低于成本的报价竞标，并愿以投标总报价</w:t>
      </w:r>
    </w:p>
    <w:p w14:paraId="1A2E0F11">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________</w:t>
      </w:r>
      <w:r>
        <w:rPr>
          <w:rFonts w:hint="eastAsia" w:ascii="宋体" w:hAnsi="宋体" w:eastAsia="宋体" w:cs="宋体"/>
          <w:color w:val="auto"/>
          <w:szCs w:val="21"/>
          <w:highlight w:val="none"/>
        </w:rPr>
        <w:t>万元，按招标文件要求承包本工程的施工、竣工并修补其任何缺陷。否则，我方愿意承担任何风险。（投标人填写）</w:t>
      </w:r>
    </w:p>
    <w:p w14:paraId="000E6F1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14:paraId="1A3D295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3、我方保证所提交的保证金是从我公司基本账户汇出，银行保函是由我公司基本账户开户银行所在网点或其上级银行机构出具，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szCs w:val="21"/>
          <w:highlight w:val="none"/>
        </w:rPr>
        <w:t>保证保险的保费是通过我公司基本账户支付。否则，招标人有权取消我公司的中标资格或单方面终止合同，因此造成的责任由我公司承担。</w:t>
      </w:r>
    </w:p>
    <w:p w14:paraId="7B395B3A">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4、我方完全理解和接受招标文件招投标须知正文第40条的规定，并承诺一旦我方的投标出现该条列举的严重违规或涉嫌串通投标的情形而被评标委员会废标的，将自觉接受贵方暂停或者取消今后我方参加贵方其他任何工程投标资格的处理。</w:t>
      </w:r>
    </w:p>
    <w:p w14:paraId="40ECEE9D">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5、</w:t>
      </w:r>
      <w:r>
        <w:rPr>
          <w:rFonts w:ascii="宋体" w:hAnsi="宋体" w:eastAsia="宋体" w:cs="宋体"/>
          <w:bCs/>
          <w:color w:val="auto"/>
          <w:szCs w:val="21"/>
          <w:highlight w:val="none"/>
        </w:rPr>
        <w:t>一旦我方中标，将保证在中标通知书发出之日起30日内，与贵方按招标文件、中标通知书中的内容签定施工合同，否则，视为我方自愿放弃中标资格。</w:t>
      </w:r>
    </w:p>
    <w:p w14:paraId="29A36FFF">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color w:val="auto"/>
          <w:szCs w:val="21"/>
          <w:highlight w:val="none"/>
        </w:rPr>
        <w:t>6、除非另外达成协议并生效，贵方的中标通知书和本投标文件将成为约束双方的合同文件的组成部分。</w:t>
      </w:r>
    </w:p>
    <w:p w14:paraId="00728B50">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7、按规定完成施工合同承包范围</w:t>
      </w:r>
      <w:r>
        <w:rPr>
          <w:rFonts w:hint="eastAsia" w:ascii="宋体" w:hAnsi="宋体" w:eastAsia="宋体" w:cs="宋体"/>
          <w:bCs/>
          <w:color w:val="auto"/>
          <w:szCs w:val="21"/>
          <w:highlight w:val="none"/>
          <w:u w:val="single"/>
        </w:rPr>
        <w:t>___________________________________________</w:t>
      </w:r>
    </w:p>
    <w:p w14:paraId="5F0410A4">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u w:val="single"/>
        </w:rPr>
        <w:t>___________________________________________________________________________</w:t>
      </w:r>
    </w:p>
    <w:p w14:paraId="23CDCF0F">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（与招标范围一致）的全部内容，质量达到合格标准的要求，质量目标为</w:t>
      </w:r>
      <w:r>
        <w:rPr>
          <w:rFonts w:hint="eastAsia" w:ascii="宋体" w:hAnsi="宋体" w:eastAsia="宋体" w:cs="宋体"/>
          <w:bCs/>
          <w:color w:val="auto"/>
          <w:szCs w:val="21"/>
          <w:highlight w:val="none"/>
          <w:u w:val="single"/>
        </w:rPr>
        <w:t>______</w:t>
      </w:r>
      <w:r>
        <w:rPr>
          <w:rFonts w:hint="eastAsia" w:ascii="宋体" w:hAnsi="宋体" w:eastAsia="宋体" w:cs="宋体"/>
          <w:bCs/>
          <w:color w:val="auto"/>
          <w:szCs w:val="21"/>
          <w:highlight w:val="none"/>
        </w:rPr>
        <w:t>。</w:t>
      </w:r>
    </w:p>
    <w:p w14:paraId="41B59541">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8、建立完善的质量安全保证体系，配备与投标文件相一致且满足工程建设规模、技术要求、安全要求的项目管理机构和施工管理人员，并确保常驻现场。我方在本工程中配备的项目管理机构和施工管理人员详见《项目管理机构配备情况表》（投标人填写）。撤换上述人员前，必须征得贵方及建设行政主管部门批准同意。否则，招标人有权取消我公司的中标资格或单方面终止合同，由此造成的违约责任由我公司承担。</w:t>
      </w:r>
    </w:p>
    <w:p w14:paraId="062CA398">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9、我方在本工程中投入的主要机械设备详见附件《主要机械设备表》。所使用的工程机械、装卸机械满足国家现阶段非道路移动机械用柴油机排放标准。（投标人填写）</w:t>
      </w:r>
    </w:p>
    <w:p w14:paraId="007E8B0A">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10、我方保证在收到中标通知书后</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日内，递交经贵方认可的履约担保，履约担保金额为</w:t>
      </w:r>
      <w:r>
        <w:rPr>
          <w:rFonts w:hint="eastAsia" w:ascii="宋体" w:hAnsi="宋体" w:eastAsia="宋体" w:cs="宋体"/>
          <w:bCs/>
          <w:color w:val="auto"/>
          <w:szCs w:val="21"/>
          <w:highlight w:val="none"/>
          <w:u w:val="single"/>
        </w:rPr>
        <w:t>________</w:t>
      </w:r>
      <w:r>
        <w:rPr>
          <w:rFonts w:hint="eastAsia" w:ascii="宋体" w:hAnsi="宋体" w:eastAsia="宋体" w:cs="宋体"/>
          <w:bCs/>
          <w:color w:val="auto"/>
          <w:szCs w:val="21"/>
          <w:highlight w:val="none"/>
        </w:rPr>
        <w:t>万元，否则，贵方可取消我方中标资格。</w:t>
      </w:r>
    </w:p>
    <w:p w14:paraId="1D78E1AB">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我方</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编制商务标书的，按照规定递交委托协议，商务标</w:t>
      </w:r>
      <w:r>
        <w:rPr>
          <w:rFonts w:hint="eastAsia" w:ascii="宋体" w:hAnsi="宋体" w:eastAsia="宋体" w:cs="宋体"/>
          <w:color w:val="auto"/>
          <w:szCs w:val="21"/>
          <w:highlight w:val="none"/>
        </w:rPr>
        <w:t>加签工程造价咨询企业造价工程师个人数字证书</w:t>
      </w:r>
      <w:r>
        <w:rPr>
          <w:rFonts w:hint="eastAsia" w:ascii="宋体" w:hAnsi="宋体" w:eastAsia="宋体" w:cs="宋体"/>
          <w:color w:val="auto"/>
          <w:szCs w:val="21"/>
          <w:highlight w:val="none"/>
          <w:lang w:val="en-US" w:eastAsia="zh-CN"/>
        </w:rPr>
        <w:t>。</w:t>
      </w:r>
    </w:p>
    <w:p w14:paraId="01023D79">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12、为确保施工安全，我方保证在签定施工合同</w:t>
      </w:r>
      <w:r>
        <w:rPr>
          <w:rFonts w:hint="eastAsia" w:ascii="宋体" w:hAnsi="宋体" w:eastAsia="宋体" w:cs="宋体"/>
          <w:bCs/>
          <w:color w:val="auto"/>
          <w:szCs w:val="21"/>
          <w:highlight w:val="none"/>
          <w:u w:val="single"/>
        </w:rPr>
        <w:t>___</w:t>
      </w:r>
      <w:r>
        <w:rPr>
          <w:rFonts w:hint="eastAsia" w:ascii="宋体" w:hAnsi="宋体" w:eastAsia="宋体" w:cs="宋体"/>
          <w:bCs/>
          <w:color w:val="auto"/>
          <w:szCs w:val="21"/>
          <w:highlight w:val="none"/>
        </w:rPr>
        <w:t>日后，提交施工作业范围内的市政基础设施管线防护措施，按照《深圳市建设工程安全文明施工标准》，落实安全防护、环境保护、安全培训和信息化管理等要求，安全文明施工措施费专款专用。</w:t>
      </w:r>
    </w:p>
    <w:p w14:paraId="38669CD6">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13、我方保证在</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日内（或于</w:t>
      </w:r>
      <w:r>
        <w:rPr>
          <w:rFonts w:hint="eastAsia" w:ascii="宋体" w:hAnsi="宋体" w:eastAsia="宋体" w:cs="宋体"/>
          <w:bCs/>
          <w:color w:val="auto"/>
          <w:szCs w:val="21"/>
          <w:highlight w:val="none"/>
          <w:u w:val="single"/>
        </w:rPr>
        <w:t>_____</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日前）完成并移交本工程（非我方造成的工期延误除外）。（投标人填写）</w:t>
      </w:r>
    </w:p>
    <w:p w14:paraId="2A3C7E5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14、对在工程实施过程中发生的工程变更，严格按照双方合同的有关规定计量和计价，我方保证接受贵方要求完成变更的工程内容。</w:t>
      </w:r>
    </w:p>
    <w:p w14:paraId="328450B6">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15、按照施工合同约定的质量缺陷保修范围和相应的保修期，我方保证在接到保修通知后</w:t>
      </w:r>
      <w:r>
        <w:rPr>
          <w:rFonts w:hint="eastAsia" w:ascii="宋体" w:hAnsi="宋体" w:eastAsia="宋体" w:cs="宋体"/>
          <w:bCs/>
          <w:color w:val="auto"/>
          <w:szCs w:val="21"/>
          <w:highlight w:val="none"/>
          <w:u w:val="single"/>
        </w:rPr>
        <w:t>_______</w:t>
      </w:r>
      <w:r>
        <w:rPr>
          <w:rFonts w:hint="eastAsia" w:ascii="宋体" w:hAnsi="宋体" w:eastAsia="宋体" w:cs="宋体"/>
          <w:bCs/>
          <w:color w:val="auto"/>
          <w:szCs w:val="21"/>
          <w:highlight w:val="none"/>
        </w:rPr>
        <w:t>日内派人维修，直到达到合格的质量标准。</w:t>
      </w:r>
    </w:p>
    <w:p w14:paraId="0429EA70">
      <w:pPr>
        <w:adjustRightInd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16、招标文件规定的其他主要承诺事项：</w:t>
      </w:r>
    </w:p>
    <w:p w14:paraId="4B3AF91F">
      <w:pPr>
        <w:adjustRightInd w:val="0"/>
        <w:snapToGrid w:val="0"/>
        <w:spacing w:line="360" w:lineRule="auto"/>
        <w:ind w:firstLine="420" w:firstLineChars="200"/>
        <w:rPr>
          <w:rFonts w:hint="default" w:ascii="宋体" w:hAnsi="宋体" w:eastAsia="宋体" w:cs="宋体"/>
          <w:bCs/>
          <w:color w:val="auto"/>
          <w:szCs w:val="21"/>
          <w:highlight w:val="none"/>
          <w:lang w:val="en-US"/>
        </w:rPr>
      </w:pPr>
      <w:r>
        <w:rPr>
          <w:rFonts w:hint="eastAsia" w:ascii="宋体" w:hAnsi="宋体" w:eastAsia="宋体" w:cs="宋体"/>
          <w:bCs/>
          <w:color w:val="auto"/>
          <w:szCs w:val="21"/>
          <w:highlight w:val="none"/>
          <w:u w:val="single"/>
          <w:lang w:val="en-US" w:eastAsia="zh-CN"/>
        </w:rPr>
        <w:t>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14:paraId="009AC89C">
      <w:pPr>
        <w:numPr>
          <w:ilvl w:val="255"/>
          <w:numId w:val="0"/>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17、我方保证在本次投标中无弄虚作假行为，且未与其他投标人、招标人及评标专家串通投标等违规行为。否则，将接受取消投标资格、取消中标资格、解除合同、已进场施工的无条件退场、记录不良行为、暂停一年至三年在我市参加建设工程投标的资格等处理，涉嫌构成犯罪的，将依法追究刑事责任并移送公安机关查处。</w:t>
      </w:r>
    </w:p>
    <w:p w14:paraId="5B2D9E29">
      <w:pPr>
        <w:numPr>
          <w:ilvl w:val="0"/>
          <w:numId w:val="4"/>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我方保证中标后不转包或违法分包，依法按照国家、省、市有关规定发包劳务或使用自有劳务队伍，按时足额支付工程款给分包单位（如有）。</w:t>
      </w:r>
    </w:p>
    <w:p w14:paraId="133F4E1B">
      <w:pPr>
        <w:numPr>
          <w:ilvl w:val="0"/>
          <w:numId w:val="4"/>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方保证中标后切实落实用工实名制和分账制管理的各项规定，利用信息技术手段对施工现场人员建立基本信息档案，采用人脸识别、扫码等技术实施考勤管理；开设工人工资专用账户，保证工人工资按月足额发放。我方接受招标人及建设行政主管部门的监督、检查。</w:t>
      </w:r>
    </w:p>
    <w:p w14:paraId="6D9261CD">
      <w:pPr>
        <w:adjustRightInd w:val="0"/>
        <w:snapToGrid w:val="0"/>
        <w:spacing w:line="360" w:lineRule="auto"/>
        <w:ind w:firstLine="525" w:firstLineChars="250"/>
        <w:rPr>
          <w:rFonts w:ascii="宋体" w:hAnsi="宋体" w:eastAsia="宋体" w:cs="宋体"/>
          <w:bCs/>
          <w:color w:val="auto"/>
          <w:szCs w:val="21"/>
          <w:highlight w:val="none"/>
        </w:rPr>
      </w:pPr>
      <w:r>
        <w:rPr>
          <w:rFonts w:hint="eastAsia" w:ascii="宋体" w:hAnsi="宋体" w:eastAsia="宋体" w:cs="宋体"/>
          <w:bCs/>
          <w:color w:val="auto"/>
          <w:szCs w:val="21"/>
          <w:highlight w:val="none"/>
        </w:rPr>
        <w:t>20、如果违反本承诺书中任何条款，我方愿意接受：</w:t>
      </w:r>
    </w:p>
    <w:p w14:paraId="3B344E69">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(1)视作我方单方面违约，并按照合同规定向贵方支付违约金或解除合同；</w:t>
      </w:r>
    </w:p>
    <w:p w14:paraId="1D1326D4">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(2)履约评价评定为合格及以下；</w:t>
      </w:r>
    </w:p>
    <w:p w14:paraId="248798C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(3)本工程招标人今后可拒绝我方参与投标；</w:t>
      </w:r>
    </w:p>
    <w:p w14:paraId="6718B911">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(4)建设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行政主管部门或相关主管部门的不良行为记录、行政处罚。</w:t>
      </w:r>
    </w:p>
    <w:p w14:paraId="2CB6E4D0">
      <w:pPr>
        <w:adjustRightInd w:val="0"/>
        <w:snapToGrid w:val="0"/>
        <w:spacing w:line="360" w:lineRule="auto"/>
        <w:rPr>
          <w:rFonts w:ascii="宋体" w:hAnsi="宋体" w:eastAsia="宋体" w:cs="宋体"/>
          <w:bCs/>
          <w:color w:val="auto"/>
          <w:szCs w:val="21"/>
          <w:highlight w:val="none"/>
        </w:rPr>
      </w:pPr>
    </w:p>
    <w:p w14:paraId="5BB48202">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投标人（单位公章）：</w:t>
      </w:r>
      <w:r>
        <w:rPr>
          <w:rFonts w:hint="eastAsia" w:ascii="宋体" w:hAnsi="宋体" w:eastAsia="宋体" w:cs="宋体"/>
          <w:color w:val="auto"/>
          <w:szCs w:val="21"/>
          <w:highlight w:val="none"/>
          <w:u w:val="single"/>
        </w:rPr>
        <w:t>__________________________________________</w:t>
      </w:r>
    </w:p>
    <w:p w14:paraId="2380A895">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___________________________________________________</w:t>
      </w:r>
    </w:p>
    <w:p w14:paraId="4176A6C8">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______________</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____________</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____________</w:t>
      </w:r>
    </w:p>
    <w:p w14:paraId="60B16EBA">
      <w:pPr>
        <w:adjustRightInd w:val="0"/>
        <w:snapToGrid w:val="0"/>
        <w:spacing w:line="360" w:lineRule="auto"/>
        <w:rPr>
          <w:rFonts w:ascii="宋体" w:hAnsi="宋体" w:eastAsia="宋体" w:cs="宋体"/>
          <w:bCs/>
          <w:color w:val="auto"/>
          <w:szCs w:val="21"/>
          <w:highlight w:val="none"/>
        </w:rPr>
      </w:pPr>
    </w:p>
    <w:p w14:paraId="786EB194">
      <w:pPr>
        <w:adjustRightInd w:val="0"/>
        <w:snapToGrid w:val="0"/>
        <w:spacing w:line="360" w:lineRule="auto"/>
        <w:ind w:firstLine="4200" w:firstLineChars="2000"/>
        <w:rPr>
          <w:rFonts w:ascii="宋体" w:hAnsi="宋体" w:eastAsia="宋体" w:cs="宋体"/>
          <w:bCs/>
          <w:color w:val="auto"/>
          <w:szCs w:val="21"/>
          <w:highlight w:val="none"/>
        </w:rPr>
      </w:pPr>
      <w:r>
        <w:rPr>
          <w:rFonts w:hint="eastAsia" w:ascii="宋体" w:hAnsi="宋体" w:eastAsia="宋体" w:cs="宋体"/>
          <w:bCs/>
          <w:color w:val="auto"/>
          <w:szCs w:val="21"/>
          <w:highlight w:val="none"/>
        </w:rPr>
        <w:t>年   月   日</w:t>
      </w:r>
    </w:p>
    <w:p w14:paraId="0FC06434">
      <w:pPr>
        <w:adjustRightInd w:val="0"/>
        <w:snapToGrid w:val="0"/>
        <w:spacing w:line="360" w:lineRule="auto"/>
        <w:rPr>
          <w:rFonts w:ascii="宋体" w:hAnsi="宋体" w:eastAsia="宋体" w:cs="宋体"/>
          <w:bCs/>
          <w:color w:val="auto"/>
          <w:szCs w:val="21"/>
          <w:highlight w:val="none"/>
        </w:rPr>
      </w:pPr>
    </w:p>
    <w:p w14:paraId="681A92B0">
      <w:pPr>
        <w:adjustRightInd w:val="0"/>
        <w:snapToGrid w:val="0"/>
        <w:spacing w:line="360" w:lineRule="auto"/>
        <w:rPr>
          <w:rFonts w:ascii="宋体" w:hAnsi="宋体" w:eastAsia="宋体" w:cs="宋体"/>
          <w:bCs/>
          <w:color w:val="auto"/>
          <w:szCs w:val="21"/>
          <w:highlight w:val="none"/>
        </w:rPr>
      </w:pPr>
    </w:p>
    <w:p w14:paraId="18218DFA">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附件：</w:t>
      </w:r>
    </w:p>
    <w:p w14:paraId="1AADD36E">
      <w:pPr>
        <w:adjustRightInd w:val="0"/>
        <w:snapToGrid w:val="0"/>
        <w:spacing w:line="360" w:lineRule="auto"/>
        <w:rPr>
          <w:bCs/>
          <w:color w:val="auto"/>
          <w:highlight w:val="none"/>
        </w:rPr>
      </w:pPr>
      <w:r>
        <w:rPr>
          <w:rFonts w:hint="eastAsia" w:ascii="宋体" w:hAnsi="宋体" w:eastAsia="宋体" w:cs="宋体"/>
          <w:bCs/>
          <w:color w:val="auto"/>
          <w:szCs w:val="21"/>
          <w:highlight w:val="none"/>
        </w:rPr>
        <w:t>《项目管理机构配备情况表》、《主要机械设备表》（投标人填写）</w:t>
      </w:r>
      <w:r>
        <w:rPr>
          <w:bCs/>
          <w:color w:val="auto"/>
          <w:highlight w:val="none"/>
        </w:rPr>
        <w:br w:type="page"/>
      </w:r>
    </w:p>
    <w:p w14:paraId="084F9776">
      <w:pPr>
        <w:adjustRightInd w:val="0"/>
        <w:snapToGrid w:val="0"/>
        <w:spacing w:line="360" w:lineRule="auto"/>
        <w:ind w:firstLine="602" w:firstLineChars="20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项目管理机构配备情况表（与技术标书一致）</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159"/>
        <w:gridCol w:w="1093"/>
        <w:gridCol w:w="1456"/>
        <w:gridCol w:w="1093"/>
        <w:gridCol w:w="1639"/>
        <w:gridCol w:w="1822"/>
      </w:tblGrid>
      <w:tr w14:paraId="3ED3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vMerge w:val="restart"/>
            <w:shd w:val="clear" w:color="auto" w:fill="auto"/>
            <w:vAlign w:val="center"/>
          </w:tcPr>
          <w:p w14:paraId="5F177F1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59" w:type="dxa"/>
            <w:vMerge w:val="restart"/>
            <w:shd w:val="clear" w:color="auto" w:fill="auto"/>
            <w:vAlign w:val="center"/>
          </w:tcPr>
          <w:p w14:paraId="5EDB6EC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093" w:type="dxa"/>
            <w:vMerge w:val="restart"/>
            <w:shd w:val="clear" w:color="auto" w:fill="auto"/>
            <w:vAlign w:val="center"/>
          </w:tcPr>
          <w:p w14:paraId="1E62B74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010" w:type="dxa"/>
            <w:gridSpan w:val="4"/>
            <w:shd w:val="clear" w:color="auto" w:fill="auto"/>
            <w:vAlign w:val="center"/>
          </w:tcPr>
          <w:p w14:paraId="381C70F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上岗资格证明</w:t>
            </w:r>
          </w:p>
        </w:tc>
      </w:tr>
      <w:tr w14:paraId="70F1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vMerge w:val="continue"/>
            <w:shd w:val="clear" w:color="auto" w:fill="auto"/>
            <w:vAlign w:val="center"/>
          </w:tcPr>
          <w:p w14:paraId="55251CD8">
            <w:pPr>
              <w:adjustRightInd w:val="0"/>
              <w:snapToGrid w:val="0"/>
              <w:jc w:val="center"/>
              <w:rPr>
                <w:rFonts w:ascii="宋体" w:hAnsi="宋体" w:eastAsia="宋体" w:cs="宋体"/>
                <w:color w:val="auto"/>
                <w:kern w:val="0"/>
                <w:szCs w:val="21"/>
                <w:highlight w:val="none"/>
              </w:rPr>
            </w:pPr>
          </w:p>
        </w:tc>
        <w:tc>
          <w:tcPr>
            <w:tcW w:w="1159" w:type="dxa"/>
            <w:vMerge w:val="continue"/>
            <w:shd w:val="clear" w:color="auto" w:fill="auto"/>
            <w:vAlign w:val="center"/>
          </w:tcPr>
          <w:p w14:paraId="05910E95">
            <w:pPr>
              <w:adjustRightInd w:val="0"/>
              <w:snapToGrid w:val="0"/>
              <w:jc w:val="center"/>
              <w:rPr>
                <w:rFonts w:ascii="宋体" w:hAnsi="宋体" w:eastAsia="宋体" w:cs="宋体"/>
                <w:color w:val="auto"/>
                <w:kern w:val="0"/>
                <w:szCs w:val="21"/>
                <w:highlight w:val="none"/>
              </w:rPr>
            </w:pPr>
          </w:p>
        </w:tc>
        <w:tc>
          <w:tcPr>
            <w:tcW w:w="1093" w:type="dxa"/>
            <w:vMerge w:val="continue"/>
            <w:shd w:val="clear" w:color="auto" w:fill="auto"/>
            <w:vAlign w:val="center"/>
          </w:tcPr>
          <w:p w14:paraId="152A7A1B">
            <w:pPr>
              <w:adjustRightInd w:val="0"/>
              <w:snapToGrid w:val="0"/>
              <w:jc w:val="center"/>
              <w:rPr>
                <w:rFonts w:ascii="宋体" w:hAnsi="宋体" w:eastAsia="宋体" w:cs="宋体"/>
                <w:color w:val="auto"/>
                <w:kern w:val="0"/>
                <w:szCs w:val="21"/>
                <w:highlight w:val="none"/>
              </w:rPr>
            </w:pPr>
          </w:p>
        </w:tc>
        <w:tc>
          <w:tcPr>
            <w:tcW w:w="1456" w:type="dxa"/>
            <w:shd w:val="clear" w:color="auto" w:fill="auto"/>
            <w:vAlign w:val="center"/>
          </w:tcPr>
          <w:p w14:paraId="7D236C7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1093" w:type="dxa"/>
            <w:shd w:val="clear" w:color="auto" w:fill="auto"/>
            <w:vAlign w:val="center"/>
          </w:tcPr>
          <w:p w14:paraId="438F977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1639" w:type="dxa"/>
            <w:shd w:val="clear" w:color="auto" w:fill="auto"/>
            <w:vAlign w:val="center"/>
          </w:tcPr>
          <w:p w14:paraId="7B66482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1822" w:type="dxa"/>
            <w:shd w:val="clear" w:color="auto" w:fill="auto"/>
            <w:vAlign w:val="center"/>
          </w:tcPr>
          <w:p w14:paraId="4243A0F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r>
      <w:tr w14:paraId="3FBC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577CFDE">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F87C98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14D9B383">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F62CFC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7E22D27">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51532570">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5CA2289">
            <w:pPr>
              <w:adjustRightInd w:val="0"/>
              <w:snapToGrid w:val="0"/>
              <w:spacing w:line="360" w:lineRule="auto"/>
              <w:jc w:val="center"/>
              <w:rPr>
                <w:rFonts w:ascii="宋体" w:hAnsi="宋体" w:eastAsia="宋体" w:cs="宋体"/>
                <w:color w:val="auto"/>
                <w:kern w:val="0"/>
                <w:sz w:val="20"/>
                <w:szCs w:val="20"/>
                <w:highlight w:val="none"/>
              </w:rPr>
            </w:pPr>
          </w:p>
        </w:tc>
      </w:tr>
      <w:tr w14:paraId="651E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36D5A79B">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87EB1C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6844678">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7784BDF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C4D836B">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34C9F941">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04C3B07">
            <w:pPr>
              <w:adjustRightInd w:val="0"/>
              <w:snapToGrid w:val="0"/>
              <w:spacing w:line="360" w:lineRule="auto"/>
              <w:jc w:val="center"/>
              <w:rPr>
                <w:rFonts w:ascii="宋体" w:hAnsi="宋体" w:eastAsia="宋体" w:cs="宋体"/>
                <w:color w:val="auto"/>
                <w:kern w:val="0"/>
                <w:sz w:val="20"/>
                <w:szCs w:val="20"/>
                <w:highlight w:val="none"/>
              </w:rPr>
            </w:pPr>
          </w:p>
        </w:tc>
      </w:tr>
      <w:tr w14:paraId="72453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79B3116">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222E1070">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E434DC0">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7131634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10BDF47E">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616A6BB2">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18D4B933">
            <w:pPr>
              <w:adjustRightInd w:val="0"/>
              <w:snapToGrid w:val="0"/>
              <w:spacing w:line="360" w:lineRule="auto"/>
              <w:jc w:val="center"/>
              <w:rPr>
                <w:rFonts w:ascii="宋体" w:hAnsi="宋体" w:eastAsia="宋体" w:cs="宋体"/>
                <w:color w:val="auto"/>
                <w:kern w:val="0"/>
                <w:sz w:val="20"/>
                <w:szCs w:val="20"/>
                <w:highlight w:val="none"/>
              </w:rPr>
            </w:pPr>
          </w:p>
        </w:tc>
      </w:tr>
      <w:tr w14:paraId="3783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4E88B851">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41B34054">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631CD18">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4C77F3B8">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1DA3946B">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682DD1A6">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031955FB">
            <w:pPr>
              <w:adjustRightInd w:val="0"/>
              <w:snapToGrid w:val="0"/>
              <w:spacing w:line="360" w:lineRule="auto"/>
              <w:jc w:val="center"/>
              <w:rPr>
                <w:rFonts w:ascii="宋体" w:hAnsi="宋体" w:eastAsia="宋体" w:cs="宋体"/>
                <w:color w:val="auto"/>
                <w:kern w:val="0"/>
                <w:sz w:val="20"/>
                <w:szCs w:val="20"/>
                <w:highlight w:val="none"/>
              </w:rPr>
            </w:pPr>
          </w:p>
        </w:tc>
      </w:tr>
      <w:tr w14:paraId="4D2C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80F63D8">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67A30D3E">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44C66CE">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5EA74F50">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D9A1C59">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6609730F">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5E324583">
            <w:pPr>
              <w:adjustRightInd w:val="0"/>
              <w:snapToGrid w:val="0"/>
              <w:spacing w:line="360" w:lineRule="auto"/>
              <w:jc w:val="center"/>
              <w:rPr>
                <w:rFonts w:ascii="宋体" w:hAnsi="宋体" w:eastAsia="宋体" w:cs="宋体"/>
                <w:color w:val="auto"/>
                <w:kern w:val="0"/>
                <w:sz w:val="20"/>
                <w:szCs w:val="20"/>
                <w:highlight w:val="none"/>
              </w:rPr>
            </w:pPr>
          </w:p>
        </w:tc>
      </w:tr>
      <w:tr w14:paraId="2F59E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E0636F0">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5DE5A788">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7CE0DFC">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1F1EE04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2BDB041">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569F5EB5">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1EA5B01E">
            <w:pPr>
              <w:adjustRightInd w:val="0"/>
              <w:snapToGrid w:val="0"/>
              <w:spacing w:line="360" w:lineRule="auto"/>
              <w:jc w:val="center"/>
              <w:rPr>
                <w:rFonts w:ascii="宋体" w:hAnsi="宋体" w:eastAsia="宋体" w:cs="宋体"/>
                <w:color w:val="auto"/>
                <w:kern w:val="0"/>
                <w:sz w:val="20"/>
                <w:szCs w:val="20"/>
                <w:highlight w:val="none"/>
              </w:rPr>
            </w:pPr>
          </w:p>
        </w:tc>
      </w:tr>
      <w:tr w14:paraId="635F0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2C6856B">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1003FD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1689FEC">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3FA0298E">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C65ADEA">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3B9BB4D6">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33FFEA57">
            <w:pPr>
              <w:adjustRightInd w:val="0"/>
              <w:snapToGrid w:val="0"/>
              <w:spacing w:line="360" w:lineRule="auto"/>
              <w:jc w:val="center"/>
              <w:rPr>
                <w:rFonts w:ascii="宋体" w:hAnsi="宋体" w:eastAsia="宋体" w:cs="宋体"/>
                <w:color w:val="auto"/>
                <w:kern w:val="0"/>
                <w:sz w:val="20"/>
                <w:szCs w:val="20"/>
                <w:highlight w:val="none"/>
              </w:rPr>
            </w:pPr>
          </w:p>
        </w:tc>
      </w:tr>
      <w:tr w14:paraId="7B60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30E0A4B">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021400D5">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9B2FD69">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561E24D0">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27EE073">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4D93AAF8">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71ADE7C7">
            <w:pPr>
              <w:adjustRightInd w:val="0"/>
              <w:snapToGrid w:val="0"/>
              <w:spacing w:line="360" w:lineRule="auto"/>
              <w:jc w:val="center"/>
              <w:rPr>
                <w:rFonts w:ascii="宋体" w:hAnsi="宋体" w:eastAsia="宋体" w:cs="宋体"/>
                <w:color w:val="auto"/>
                <w:kern w:val="0"/>
                <w:sz w:val="20"/>
                <w:szCs w:val="20"/>
                <w:highlight w:val="none"/>
              </w:rPr>
            </w:pPr>
          </w:p>
        </w:tc>
      </w:tr>
      <w:tr w14:paraId="7E28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6BB21FC">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649B4510">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795C2051">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45599F64">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93BCF77">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2CA62596">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4D613646">
            <w:pPr>
              <w:adjustRightInd w:val="0"/>
              <w:snapToGrid w:val="0"/>
              <w:spacing w:line="360" w:lineRule="auto"/>
              <w:jc w:val="center"/>
              <w:rPr>
                <w:rFonts w:ascii="宋体" w:hAnsi="宋体" w:eastAsia="宋体" w:cs="宋体"/>
                <w:color w:val="auto"/>
                <w:kern w:val="0"/>
                <w:sz w:val="20"/>
                <w:szCs w:val="20"/>
                <w:highlight w:val="none"/>
              </w:rPr>
            </w:pPr>
          </w:p>
        </w:tc>
      </w:tr>
      <w:tr w14:paraId="4D7F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91431EB">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8A325C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9F15B63">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792DEFF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CF2B436">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4D056417">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1511BDC">
            <w:pPr>
              <w:adjustRightInd w:val="0"/>
              <w:snapToGrid w:val="0"/>
              <w:spacing w:line="360" w:lineRule="auto"/>
              <w:jc w:val="center"/>
              <w:rPr>
                <w:rFonts w:ascii="宋体" w:hAnsi="宋体" w:eastAsia="宋体" w:cs="宋体"/>
                <w:color w:val="auto"/>
                <w:kern w:val="0"/>
                <w:sz w:val="20"/>
                <w:szCs w:val="20"/>
                <w:highlight w:val="none"/>
              </w:rPr>
            </w:pPr>
          </w:p>
        </w:tc>
      </w:tr>
      <w:tr w14:paraId="7E404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5CB0AC5">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598759A8">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A889A61">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65C0F006">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E41CAEE">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4F6ABF76">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DC410D5">
            <w:pPr>
              <w:adjustRightInd w:val="0"/>
              <w:snapToGrid w:val="0"/>
              <w:spacing w:line="360" w:lineRule="auto"/>
              <w:jc w:val="center"/>
              <w:rPr>
                <w:rFonts w:ascii="宋体" w:hAnsi="宋体" w:eastAsia="宋体" w:cs="宋体"/>
                <w:color w:val="auto"/>
                <w:kern w:val="0"/>
                <w:sz w:val="20"/>
                <w:szCs w:val="20"/>
                <w:highlight w:val="none"/>
              </w:rPr>
            </w:pPr>
          </w:p>
        </w:tc>
      </w:tr>
      <w:tr w14:paraId="5C0A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3786839">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7389B681">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D0B9523">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44BDF824">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08F9BCA">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703FCC7A">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7E47AA53">
            <w:pPr>
              <w:adjustRightInd w:val="0"/>
              <w:snapToGrid w:val="0"/>
              <w:spacing w:line="360" w:lineRule="auto"/>
              <w:jc w:val="center"/>
              <w:rPr>
                <w:rFonts w:ascii="宋体" w:hAnsi="宋体" w:eastAsia="宋体" w:cs="宋体"/>
                <w:color w:val="auto"/>
                <w:kern w:val="0"/>
                <w:sz w:val="20"/>
                <w:szCs w:val="20"/>
                <w:highlight w:val="none"/>
              </w:rPr>
            </w:pPr>
          </w:p>
        </w:tc>
      </w:tr>
      <w:tr w14:paraId="4474B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2ADCF896">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089CB5D7">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53013C8">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27F93491">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72632CDD">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55487331">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88130E5">
            <w:pPr>
              <w:adjustRightInd w:val="0"/>
              <w:snapToGrid w:val="0"/>
              <w:spacing w:line="360" w:lineRule="auto"/>
              <w:jc w:val="center"/>
              <w:rPr>
                <w:rFonts w:ascii="宋体" w:hAnsi="宋体" w:eastAsia="宋体" w:cs="宋体"/>
                <w:color w:val="auto"/>
                <w:kern w:val="0"/>
                <w:sz w:val="20"/>
                <w:szCs w:val="20"/>
                <w:highlight w:val="none"/>
              </w:rPr>
            </w:pPr>
          </w:p>
        </w:tc>
      </w:tr>
      <w:tr w14:paraId="7CBE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3F742AC">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F2D3D5E">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127765C">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294D107B">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884EDD5">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027EA9B0">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2C3E06C7">
            <w:pPr>
              <w:adjustRightInd w:val="0"/>
              <w:snapToGrid w:val="0"/>
              <w:spacing w:line="360" w:lineRule="auto"/>
              <w:jc w:val="center"/>
              <w:rPr>
                <w:rFonts w:ascii="宋体" w:hAnsi="宋体" w:eastAsia="宋体" w:cs="宋体"/>
                <w:color w:val="auto"/>
                <w:kern w:val="0"/>
                <w:sz w:val="20"/>
                <w:szCs w:val="20"/>
                <w:highlight w:val="none"/>
              </w:rPr>
            </w:pPr>
          </w:p>
        </w:tc>
      </w:tr>
      <w:tr w14:paraId="7BEF0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1DD280D">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036CC1E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4364683">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7565CAE2">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5A16500">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095550CE">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1FCEADC4">
            <w:pPr>
              <w:adjustRightInd w:val="0"/>
              <w:snapToGrid w:val="0"/>
              <w:spacing w:line="360" w:lineRule="auto"/>
              <w:jc w:val="center"/>
              <w:rPr>
                <w:rFonts w:ascii="宋体" w:hAnsi="宋体" w:eastAsia="宋体" w:cs="宋体"/>
                <w:color w:val="auto"/>
                <w:kern w:val="0"/>
                <w:sz w:val="20"/>
                <w:szCs w:val="20"/>
                <w:highlight w:val="none"/>
              </w:rPr>
            </w:pPr>
          </w:p>
        </w:tc>
      </w:tr>
      <w:tr w14:paraId="16373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A66EF4D">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79911D32">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15B6987">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6C11AFF">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1D30A576">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1AFC51C0">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2B6417F">
            <w:pPr>
              <w:adjustRightInd w:val="0"/>
              <w:snapToGrid w:val="0"/>
              <w:spacing w:line="360" w:lineRule="auto"/>
              <w:jc w:val="center"/>
              <w:rPr>
                <w:rFonts w:ascii="宋体" w:hAnsi="宋体" w:eastAsia="宋体" w:cs="宋体"/>
                <w:color w:val="auto"/>
                <w:kern w:val="0"/>
                <w:sz w:val="20"/>
                <w:szCs w:val="20"/>
                <w:highlight w:val="none"/>
              </w:rPr>
            </w:pPr>
          </w:p>
        </w:tc>
      </w:tr>
      <w:tr w14:paraId="73B5B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30B682E1">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2F440D0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0F69F47D">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08F12EF">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1C3A692">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5DEFF243">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36E88019">
            <w:pPr>
              <w:adjustRightInd w:val="0"/>
              <w:snapToGrid w:val="0"/>
              <w:spacing w:line="360" w:lineRule="auto"/>
              <w:jc w:val="center"/>
              <w:rPr>
                <w:rFonts w:ascii="宋体" w:hAnsi="宋体" w:eastAsia="宋体" w:cs="宋体"/>
                <w:color w:val="auto"/>
                <w:kern w:val="0"/>
                <w:sz w:val="20"/>
                <w:szCs w:val="20"/>
                <w:highlight w:val="none"/>
              </w:rPr>
            </w:pPr>
          </w:p>
        </w:tc>
      </w:tr>
    </w:tbl>
    <w:p w14:paraId="4751AAE7">
      <w:pPr>
        <w:spacing w:line="20" w:lineRule="exact"/>
        <w:rPr>
          <w:color w:val="auto"/>
          <w:highlight w:val="none"/>
        </w:rPr>
      </w:pPr>
      <w:r>
        <w:rPr>
          <w:color w:val="auto"/>
          <w:highlight w:val="none"/>
        </w:rPr>
        <w:br w:type="page"/>
      </w:r>
    </w:p>
    <w:p w14:paraId="2B5A1F15">
      <w:pPr>
        <w:adjustRightInd w:val="0"/>
        <w:snapToGrid w:val="0"/>
        <w:spacing w:line="360" w:lineRule="auto"/>
        <w:ind w:firstLine="48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主要施工机械设备表（与技术标书一致）</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14:paraId="0368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0CD1F3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722" w:type="dxa"/>
            <w:shd w:val="clear" w:color="auto" w:fill="auto"/>
            <w:vAlign w:val="center"/>
          </w:tcPr>
          <w:p w14:paraId="6A726A4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机械设备名称</w:t>
            </w:r>
          </w:p>
        </w:tc>
        <w:tc>
          <w:tcPr>
            <w:tcW w:w="1072" w:type="dxa"/>
            <w:shd w:val="clear" w:color="auto" w:fill="auto"/>
            <w:vAlign w:val="center"/>
          </w:tcPr>
          <w:p w14:paraId="03C20F2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w:t>
            </w:r>
          </w:p>
          <w:p w14:paraId="73E94B9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规格</w:t>
            </w:r>
          </w:p>
        </w:tc>
        <w:tc>
          <w:tcPr>
            <w:tcW w:w="858" w:type="dxa"/>
            <w:shd w:val="clear" w:color="auto" w:fill="auto"/>
            <w:vAlign w:val="center"/>
          </w:tcPr>
          <w:p w14:paraId="0B54436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数量</w:t>
            </w:r>
          </w:p>
        </w:tc>
        <w:tc>
          <w:tcPr>
            <w:tcW w:w="858" w:type="dxa"/>
            <w:shd w:val="clear" w:color="auto" w:fill="auto"/>
            <w:vAlign w:val="center"/>
          </w:tcPr>
          <w:p w14:paraId="1ECB241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国别</w:t>
            </w:r>
          </w:p>
          <w:p w14:paraId="059A65B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产地</w:t>
            </w:r>
          </w:p>
        </w:tc>
        <w:tc>
          <w:tcPr>
            <w:tcW w:w="834" w:type="dxa"/>
            <w:shd w:val="clear" w:color="auto" w:fill="auto"/>
            <w:vAlign w:val="center"/>
          </w:tcPr>
          <w:p w14:paraId="2B4C46C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w:t>
            </w:r>
          </w:p>
          <w:p w14:paraId="297CCC6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年份</w:t>
            </w:r>
          </w:p>
        </w:tc>
        <w:tc>
          <w:tcPr>
            <w:tcW w:w="1095" w:type="dxa"/>
            <w:shd w:val="clear" w:color="auto" w:fill="auto"/>
            <w:vAlign w:val="center"/>
          </w:tcPr>
          <w:p w14:paraId="50EABA6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额定功率（KW）</w:t>
            </w:r>
          </w:p>
        </w:tc>
        <w:tc>
          <w:tcPr>
            <w:tcW w:w="1104" w:type="dxa"/>
            <w:shd w:val="clear" w:color="auto" w:fill="auto"/>
            <w:vAlign w:val="center"/>
          </w:tcPr>
          <w:p w14:paraId="397AC34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w:t>
            </w:r>
          </w:p>
          <w:p w14:paraId="298B25B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能力</w:t>
            </w:r>
          </w:p>
        </w:tc>
        <w:tc>
          <w:tcPr>
            <w:tcW w:w="1072" w:type="dxa"/>
            <w:shd w:val="clear" w:color="auto" w:fill="auto"/>
            <w:vAlign w:val="center"/>
          </w:tcPr>
          <w:p w14:paraId="0DAE607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0300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553E5C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D4FF59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AEB188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971E8C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03FCEF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F6D4B2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30073A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5390DB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CF9696D">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4AA4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90A7C1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C94D9F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4CA158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F1C7A8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46EAEF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63D667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069EEB1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3C4B38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8D44C2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8AF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205203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B40F43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7084A8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3C643D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B3E6B9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789864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B795EB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00EE1A6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DB3533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8AEC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B8FCBE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8E71EE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390A79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924EA7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285EC1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5FC0BB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B0FAFC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BBD60C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D00267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5F2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B81C10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B759BD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B998C0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ACA1D7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C5AC03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375F0E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FEA0C4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2A077D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1E8D85C">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1CAA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851D56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107DF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3B828D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A6076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088E47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0F211B3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D8C3F3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5AB007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E9B0B9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F796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DBD396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F1D6BE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BB14E6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3667F8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513F58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4365E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EECF7A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B4BCE2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47B26B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583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D10895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0C09CBA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CB0D5F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F482FD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27AF53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E03F23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2211D8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AAA6FD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48D106A">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780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D022FD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DEB728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DA6847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8E41DC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6EBE38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3154EC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479E1C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8BF9CE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71D486F">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25D2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17FE6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B744BC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F75CD9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FAEB31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267F2A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4E19B2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D707D0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C29304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8B43D5D">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1109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4AA2C7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A366CE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A3A68F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71243E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FD2188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D954B9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35CCBE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80399B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1B1540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27B6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6F2678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91C593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8DD08B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F246DA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8DBF41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5D524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7E62A1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B249E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18F2951">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B855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A97806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E511CD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21E6BA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47F6B8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31050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FBA243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F03C5A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9E5A59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8E2412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629F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678274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527989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41C0A6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78DCA6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5181DD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08FAEF2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28EFD7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E3BABB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12EB8A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3879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9EE11B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5156E4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86D9BA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9BF86C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BF73D6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48A532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B06F32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2DB1DC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396302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C1A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4ED7DB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D61A6B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48DC7C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5BC010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C615EA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B93830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9EFFC9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07ADDD7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8BB2DD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E81E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019A6A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06050A3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610EF7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74B10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9BA06E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700F80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264ECE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818231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4EAE19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C1F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9D2B72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090A2B5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11E159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BDDB8A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7783EA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B5CD2A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5BB8F2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434344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95FDB55">
            <w:pPr>
              <w:adjustRightInd w:val="0"/>
              <w:snapToGrid w:val="0"/>
              <w:spacing w:line="360" w:lineRule="auto"/>
              <w:jc w:val="center"/>
              <w:rPr>
                <w:rFonts w:ascii="Times New Roman" w:hAnsi="Times New Roman" w:eastAsia="宋体" w:cs="Courier New"/>
                <w:color w:val="auto"/>
                <w:kern w:val="0"/>
                <w:sz w:val="20"/>
                <w:szCs w:val="20"/>
                <w:highlight w:val="none"/>
              </w:rPr>
            </w:pPr>
          </w:p>
        </w:tc>
      </w:tr>
    </w:tbl>
    <w:p w14:paraId="57E6277C">
      <w:pPr>
        <w:spacing w:line="20" w:lineRule="exact"/>
        <w:rPr>
          <w:color w:val="auto"/>
          <w:highlight w:val="none"/>
        </w:rPr>
      </w:pPr>
      <w:r>
        <w:rPr>
          <w:color w:val="auto"/>
          <w:highlight w:val="none"/>
        </w:rPr>
        <w:br w:type="page"/>
      </w:r>
    </w:p>
    <w:p w14:paraId="4C6836F0">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四、招标文件要求提交的其他资料</w:t>
      </w:r>
    </w:p>
    <w:p w14:paraId="4294F1A4">
      <w:pPr>
        <w:adjustRightInd w:val="0"/>
        <w:snapToGrid w:val="0"/>
        <w:spacing w:line="360" w:lineRule="auto"/>
        <w:ind w:firstLine="420" w:firstLineChars="200"/>
        <w:rPr>
          <w:color w:val="auto"/>
          <w:highlight w:val="none"/>
        </w:rPr>
      </w:pPr>
    </w:p>
    <w:p w14:paraId="09830D3E">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1．其他资料</w:t>
      </w:r>
      <w:r>
        <w:rPr>
          <w:color w:val="auto"/>
          <w:highlight w:val="none"/>
        </w:rPr>
        <w:br w:type="page"/>
      </w:r>
    </w:p>
    <w:p w14:paraId="17E67501">
      <w:pPr>
        <w:adjustRightInd w:val="0"/>
        <w:snapToGrid w:val="0"/>
        <w:spacing w:line="360" w:lineRule="auto"/>
        <w:ind w:firstLine="6425" w:firstLineChars="2000"/>
        <w:rPr>
          <w:rFonts w:ascii="宋体" w:hAnsi="宋体" w:eastAsia="宋体" w:cs="宋体"/>
          <w:b/>
          <w:bCs/>
          <w:color w:val="auto"/>
          <w:sz w:val="32"/>
          <w:szCs w:val="32"/>
          <w:highlight w:val="none"/>
          <w:u w:val="singl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w:t>
      </w:r>
    </w:p>
    <w:p w14:paraId="52875BF8">
      <w:pPr>
        <w:adjustRightInd w:val="0"/>
        <w:snapToGrid w:val="0"/>
        <w:spacing w:line="360" w:lineRule="auto"/>
        <w:rPr>
          <w:rFonts w:ascii="宋体" w:hAnsi="宋体" w:eastAsia="宋体" w:cs="宋体"/>
          <w:b/>
          <w:color w:val="auto"/>
          <w:sz w:val="32"/>
          <w:szCs w:val="32"/>
          <w:highlight w:val="none"/>
        </w:rPr>
      </w:pPr>
    </w:p>
    <w:p w14:paraId="4093B25C">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6C4C27E4">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69788480">
      <w:pPr>
        <w:adjustRightInd w:val="0"/>
        <w:snapToGrid w:val="0"/>
        <w:spacing w:line="360" w:lineRule="auto"/>
        <w:jc w:val="center"/>
        <w:rPr>
          <w:rFonts w:ascii="宋体" w:hAnsi="宋体" w:eastAsia="宋体" w:cs="宋体"/>
          <w:b/>
          <w:color w:val="auto"/>
          <w:sz w:val="72"/>
          <w:highlight w:val="none"/>
        </w:rPr>
      </w:pPr>
    </w:p>
    <w:p w14:paraId="741F870A">
      <w:pPr>
        <w:adjustRightInd w:val="0"/>
        <w:snapToGrid w:val="0"/>
        <w:spacing w:line="360" w:lineRule="auto"/>
        <w:jc w:val="center"/>
        <w:rPr>
          <w:rFonts w:ascii="宋体" w:hAnsi="宋体" w:eastAsia="宋体" w:cs="宋体"/>
          <w:b/>
          <w:color w:val="auto"/>
          <w:sz w:val="72"/>
          <w:highlight w:val="none"/>
        </w:rPr>
      </w:pPr>
    </w:p>
    <w:p w14:paraId="1A445A75">
      <w:pPr>
        <w:adjustRightInd w:val="0"/>
        <w:snapToGrid w:val="0"/>
        <w:spacing w:line="360" w:lineRule="auto"/>
        <w:jc w:val="center"/>
        <w:rPr>
          <w:rFonts w:ascii="宋体" w:hAnsi="宋体" w:eastAsia="宋体" w:cs="宋体"/>
          <w:b/>
          <w:color w:val="auto"/>
          <w:sz w:val="72"/>
          <w:highlight w:val="none"/>
        </w:rPr>
      </w:pPr>
    </w:p>
    <w:p w14:paraId="37D0CEDA">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14:paraId="098BBDAF">
      <w:pPr>
        <w:adjustRightInd w:val="0"/>
        <w:snapToGrid w:val="0"/>
        <w:spacing w:line="360" w:lineRule="auto"/>
        <w:rPr>
          <w:rFonts w:ascii="宋体" w:hAnsi="宋体" w:eastAsia="宋体" w:cs="宋体"/>
          <w:b/>
          <w:color w:val="auto"/>
          <w:sz w:val="32"/>
          <w:highlight w:val="none"/>
        </w:rPr>
      </w:pPr>
    </w:p>
    <w:p w14:paraId="6C318FA6">
      <w:pPr>
        <w:adjustRightInd w:val="0"/>
        <w:snapToGrid w:val="0"/>
        <w:spacing w:line="360" w:lineRule="auto"/>
        <w:outlineLvl w:val="1"/>
        <w:rPr>
          <w:rFonts w:ascii="宋体" w:hAnsi="宋体" w:eastAsia="宋体" w:cs="宋体"/>
          <w:b/>
          <w:color w:val="auto"/>
          <w:sz w:val="32"/>
          <w:highlight w:val="none"/>
        </w:rPr>
      </w:pPr>
      <w:bookmarkStart w:id="5042" w:name="_Toc15897"/>
      <w:bookmarkStart w:id="5043" w:name="_Toc7265"/>
      <w:bookmarkStart w:id="5044" w:name="_Toc19094"/>
      <w:bookmarkStart w:id="5045" w:name="_Toc32075"/>
      <w:bookmarkStart w:id="5046" w:name="_Toc8543"/>
      <w:bookmarkStart w:id="5047" w:name="_Toc3789"/>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技术标部分</w:t>
      </w:r>
      <w:bookmarkEnd w:id="5042"/>
      <w:bookmarkEnd w:id="5043"/>
      <w:bookmarkEnd w:id="5044"/>
      <w:bookmarkEnd w:id="5045"/>
      <w:bookmarkEnd w:id="5046"/>
      <w:bookmarkEnd w:id="5047"/>
      <w:r>
        <w:rPr>
          <w:rFonts w:hint="eastAsia" w:ascii="宋体" w:hAnsi="宋体" w:eastAsia="宋体" w:cs="宋体"/>
          <w:b/>
          <w:color w:val="auto"/>
          <w:sz w:val="52"/>
          <w:highlight w:val="none"/>
          <w:u w:val="single"/>
        </w:rPr>
        <w:t xml:space="preserve">       </w:t>
      </w:r>
    </w:p>
    <w:p w14:paraId="7F3719AB">
      <w:pPr>
        <w:adjustRightInd w:val="0"/>
        <w:snapToGrid w:val="0"/>
        <w:spacing w:line="360" w:lineRule="auto"/>
        <w:rPr>
          <w:rFonts w:ascii="宋体" w:hAnsi="宋体" w:eastAsia="宋体" w:cs="宋体"/>
          <w:b/>
          <w:color w:val="auto"/>
          <w:sz w:val="32"/>
          <w:highlight w:val="none"/>
        </w:rPr>
      </w:pPr>
    </w:p>
    <w:p w14:paraId="2BC7DD73">
      <w:pPr>
        <w:adjustRightInd w:val="0"/>
        <w:snapToGrid w:val="0"/>
        <w:spacing w:line="360" w:lineRule="auto"/>
        <w:rPr>
          <w:rFonts w:ascii="宋体" w:hAnsi="宋体" w:eastAsia="宋体" w:cs="宋体"/>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rFonts w:hint="eastAsia" w:ascii="宋体" w:hAnsi="宋体" w:eastAsia="宋体" w:cs="宋体"/>
          <w:color w:val="auto"/>
          <w:highlight w:val="none"/>
        </w:rPr>
        <w:br w:type="page"/>
      </w:r>
    </w:p>
    <w:p w14:paraId="58C7A001">
      <w:pPr>
        <w:adjustRightInd w:val="0"/>
        <w:snapToGrid w:val="0"/>
        <w:spacing w:line="360" w:lineRule="auto"/>
        <w:jc w:val="center"/>
        <w:rPr>
          <w:rFonts w:ascii="宋体" w:hAnsi="宋体" w:eastAsia="宋体" w:cs="宋体"/>
          <w:b/>
          <w:color w:val="auto"/>
          <w:sz w:val="44"/>
          <w:szCs w:val="44"/>
          <w:highlight w:val="none"/>
        </w:rPr>
      </w:pPr>
      <w:r>
        <w:rPr>
          <w:rFonts w:hint="eastAsia" w:ascii="宋体" w:hAnsi="宋体" w:eastAsia="宋体" w:cs="宋体"/>
          <w:b/>
          <w:color w:val="auto"/>
          <w:sz w:val="44"/>
          <w:szCs w:val="44"/>
          <w:highlight w:val="none"/>
        </w:rPr>
        <w:t>技术标编写目录及要求</w:t>
      </w:r>
    </w:p>
    <w:p w14:paraId="30A2EEB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14:paraId="465254EA">
      <w:pPr>
        <w:adjustRightInd w:val="0"/>
        <w:snapToGrid w:val="0"/>
        <w:spacing w:line="360" w:lineRule="auto"/>
        <w:jc w:val="center"/>
        <w:rPr>
          <w:rFonts w:ascii="宋体" w:hAnsi="宋体" w:eastAsia="宋体" w:cs="宋体"/>
          <w:b/>
          <w:color w:val="auto"/>
          <w:sz w:val="32"/>
          <w:highlight w:val="none"/>
        </w:rPr>
      </w:pPr>
      <w:r>
        <w:rPr>
          <w:rFonts w:hint="eastAsia" w:ascii="宋体" w:hAnsi="宋体" w:eastAsia="宋体" w:cs="宋体"/>
          <w:b/>
          <w:color w:val="auto"/>
          <w:sz w:val="32"/>
          <w:highlight w:val="none"/>
        </w:rPr>
        <w:t>本节编写指南</w:t>
      </w:r>
    </w:p>
    <w:p w14:paraId="5AF98E8F">
      <w:pPr>
        <w:adjustRightInd w:val="0"/>
        <w:snapToGrid w:val="0"/>
        <w:spacing w:line="360" w:lineRule="auto"/>
        <w:ind w:firstLine="1365" w:firstLineChars="650"/>
        <w:rPr>
          <w:rFonts w:ascii="宋体" w:hAnsi="宋体" w:eastAsia="宋体" w:cs="宋体"/>
          <w:color w:val="auto"/>
          <w:szCs w:val="21"/>
          <w:highlight w:val="none"/>
        </w:rPr>
      </w:pPr>
      <w:r>
        <w:rPr>
          <w:rFonts w:hint="eastAsia" w:ascii="宋体" w:hAnsi="宋体" w:eastAsia="宋体" w:cs="宋体"/>
          <w:color w:val="auto"/>
          <w:szCs w:val="21"/>
          <w:highlight w:val="none"/>
        </w:rPr>
        <w:t>（仅供参考，不作评审依据，技术标需评审的内容详见“评审项目”）</w:t>
      </w:r>
    </w:p>
    <w:p w14:paraId="11DD93FB">
      <w:pPr>
        <w:adjustRightInd w:val="0"/>
        <w:snapToGrid w:val="0"/>
        <w:spacing w:line="360" w:lineRule="auto"/>
        <w:rPr>
          <w:rFonts w:ascii="宋体" w:hAnsi="宋体" w:eastAsia="宋体" w:cs="宋体"/>
          <w:b/>
          <w:color w:val="auto"/>
          <w:sz w:val="30"/>
          <w:highlight w:val="none"/>
        </w:rPr>
      </w:pPr>
      <w:r>
        <w:rPr>
          <w:rFonts w:hint="eastAsia" w:ascii="宋体" w:hAnsi="宋体" w:eastAsia="宋体" w:cs="宋体"/>
          <w:b/>
          <w:color w:val="auto"/>
          <w:sz w:val="30"/>
          <w:highlight w:val="none"/>
        </w:rPr>
        <w:t>第一篇  明标评审部分</w:t>
      </w:r>
    </w:p>
    <w:p w14:paraId="6A51871F">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第一章  项目管理机构人员配备及业绩</w:t>
      </w:r>
    </w:p>
    <w:p w14:paraId="7E579C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提出施工组织架构设想与施工管理人员配置计划，绘制投标人拟组建的项目管理部组织系统框图，并简述拟派驻本工程主要施工管理人员的学历、专业技术任职资格、项目管理任职资格、专业技术工作经历与类似工程项目经验。对于项目经理（建造师）、技术负责人、质量负责人、安全负责人、安全员、劳资专管员等，尚需提供相应资格证书（或上岗证书）、个人类似工程业绩证明文件和社保证明。提供同类工程业绩。（请将此部分证明资料在资信标中提交）</w:t>
      </w:r>
    </w:p>
    <w:p w14:paraId="38097CBF">
      <w:pPr>
        <w:adjustRightInd w:val="0"/>
        <w:snapToGrid w:val="0"/>
        <w:spacing w:line="360" w:lineRule="auto"/>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第二篇  明标评审部分</w:t>
      </w:r>
    </w:p>
    <w:p w14:paraId="7835B917">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第一章  施工管理重点、难点分析及应对措施</w:t>
      </w:r>
    </w:p>
    <w:p w14:paraId="7B3923F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描述本工程特点，分析关键性专业工程的施工特点与难点，并对本工程质量、进度、造价和安全文明施工具有控制性影响的工程（工作）内容进行必要的、简要的描述。</w:t>
      </w:r>
    </w:p>
    <w:p w14:paraId="03A05388">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第二章  施工总体部署、施工总平面布置图及相关说明</w:t>
      </w:r>
    </w:p>
    <w:p w14:paraId="06994ED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施工总体部署应包括：对施工标段进行合理的分片分区安排；对各片区的主要人员及机械设备进行配置；对各片区的主要施工方法和施工工艺进行简要说明；对应工期安排和场地布置，简要说明总的施工流向、施工程序及施工顺序。</w:t>
      </w:r>
    </w:p>
    <w:p w14:paraId="61284B9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施工总平面布置图应包括主要机械设备、堆场、加工场、临时道路、临时供水供电、临时排水排污设施等的布局；主要施工阶段总平面图齐全合理。</w:t>
      </w:r>
    </w:p>
    <w:p w14:paraId="368D2961">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第三章  施工进度网络图或带关键线路的横道图及相关说明</w:t>
      </w:r>
    </w:p>
    <w:p w14:paraId="6D5761D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根据招标人的工期要求和投标人的施工总体安排，规划施工关键线路，明确进度控制时间参数，绘制本工程施工总进度控制计划网络图（规定采用时标双代号网络图）和横道图，提出本工程总工期和关键节点工期控制措施，以及关键节点工期延误的回补措施。</w:t>
      </w:r>
    </w:p>
    <w:p w14:paraId="0A02215D">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第四章  主要机械设备需求计划表及相关说明</w:t>
      </w:r>
    </w:p>
    <w:p w14:paraId="114E8EF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主要机械设备配置数量合理且性能恰当。</w:t>
      </w:r>
    </w:p>
    <w:p w14:paraId="26341BC7">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第五章  劳动力需求计划表及相关说明</w:t>
      </w:r>
    </w:p>
    <w:p w14:paraId="35B3C8E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主要施工阶段各工种人数合理且劳动力用工动态曲线变化规律合理。</w:t>
      </w:r>
    </w:p>
    <w:p w14:paraId="791A52F1">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第六章  周转材料需求计划表及相关说明</w:t>
      </w:r>
    </w:p>
    <w:p w14:paraId="4E5EB34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主要周转材料品种、数量满足施工要求。</w:t>
      </w:r>
    </w:p>
    <w:p w14:paraId="78EC9F38">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第七章  招标人要求编制的专项施工技术方案</w:t>
      </w:r>
    </w:p>
    <w:p w14:paraId="09E7E11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由招标人根据本身对本工程各分部分项（或专业）工程的注重程度，择选主要分部分项（或专业）工程，要求投标人分别提出简要的专项施工技术方案。当招标人未有择选时，由投标人无需编制。</w:t>
      </w:r>
    </w:p>
    <w:p w14:paraId="1172269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招标人择选的主要分部分项（或专业）工程：</w:t>
      </w:r>
    </w:p>
    <w:p w14:paraId="5FA12D5A">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38EBF283">
      <w:pPr>
        <w:adjustRightInd w:val="0"/>
        <w:snapToGrid w:val="0"/>
        <w:spacing w:line="360" w:lineRule="auto"/>
        <w:ind w:firstLine="420" w:firstLineChars="200"/>
        <w:rPr>
          <w:rFonts w:ascii="宋体" w:hAnsi="宋体" w:eastAsia="宋体" w:cs="宋体"/>
          <w:color w:val="auto"/>
          <w:szCs w:val="21"/>
          <w:highlight w:val="none"/>
          <w:u w:val="single"/>
        </w:rPr>
      </w:pPr>
    </w:p>
    <w:p w14:paraId="7F381125">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第八章  危大工程清单及安全管理措施（如有）</w:t>
      </w:r>
    </w:p>
    <w:p w14:paraId="0589B85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招标人列出危大工程清单，投标人在投标时根据工程实际特点补充完善危大工程清单，并明确相应的安全管理措施。</w:t>
      </w:r>
    </w:p>
    <w:p w14:paraId="1F198436">
      <w:pPr>
        <w:adjustRightInd w:val="0"/>
        <w:snapToGrid w:val="0"/>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危大工程清单</w:t>
      </w:r>
    </w:p>
    <w:tbl>
      <w:tblPr>
        <w:tblStyle w:val="41"/>
        <w:tblW w:w="9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4615"/>
        <w:gridCol w:w="3970"/>
      </w:tblGrid>
      <w:tr w14:paraId="06005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82" w:type="dxa"/>
            <w:vAlign w:val="center"/>
          </w:tcPr>
          <w:p w14:paraId="4971C6D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4615" w:type="dxa"/>
            <w:vAlign w:val="center"/>
          </w:tcPr>
          <w:p w14:paraId="7CEDCF5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危大工程</w:t>
            </w:r>
          </w:p>
        </w:tc>
        <w:tc>
          <w:tcPr>
            <w:tcW w:w="3970" w:type="dxa"/>
            <w:vAlign w:val="center"/>
          </w:tcPr>
          <w:p w14:paraId="1045A58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相关要求或说明</w:t>
            </w:r>
          </w:p>
        </w:tc>
      </w:tr>
      <w:tr w14:paraId="02DB9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82" w:type="dxa"/>
            <w:vAlign w:val="center"/>
          </w:tcPr>
          <w:p w14:paraId="249B5B49">
            <w:pPr>
              <w:adjustRightInd w:val="0"/>
              <w:snapToGrid w:val="0"/>
              <w:jc w:val="center"/>
              <w:rPr>
                <w:rFonts w:ascii="宋体" w:hAnsi="宋体" w:eastAsia="宋体" w:cs="宋体"/>
                <w:color w:val="auto"/>
                <w:kern w:val="0"/>
                <w:szCs w:val="21"/>
                <w:highlight w:val="none"/>
              </w:rPr>
            </w:pPr>
          </w:p>
        </w:tc>
        <w:tc>
          <w:tcPr>
            <w:tcW w:w="4615" w:type="dxa"/>
            <w:vAlign w:val="center"/>
          </w:tcPr>
          <w:p w14:paraId="6160F59A">
            <w:pPr>
              <w:adjustRightInd w:val="0"/>
              <w:snapToGrid w:val="0"/>
              <w:jc w:val="center"/>
              <w:rPr>
                <w:rFonts w:ascii="宋体" w:hAnsi="宋体" w:eastAsia="宋体" w:cs="宋体"/>
                <w:color w:val="auto"/>
                <w:kern w:val="0"/>
                <w:szCs w:val="21"/>
                <w:highlight w:val="none"/>
              </w:rPr>
            </w:pPr>
          </w:p>
        </w:tc>
        <w:tc>
          <w:tcPr>
            <w:tcW w:w="3970" w:type="dxa"/>
            <w:vAlign w:val="center"/>
          </w:tcPr>
          <w:p w14:paraId="2546C95C">
            <w:pPr>
              <w:adjustRightInd w:val="0"/>
              <w:snapToGrid w:val="0"/>
              <w:jc w:val="center"/>
              <w:rPr>
                <w:rFonts w:ascii="宋体" w:hAnsi="宋体" w:eastAsia="宋体" w:cs="宋体"/>
                <w:color w:val="auto"/>
                <w:kern w:val="0"/>
                <w:szCs w:val="21"/>
                <w:highlight w:val="none"/>
              </w:rPr>
            </w:pPr>
          </w:p>
        </w:tc>
      </w:tr>
    </w:tbl>
    <w:p w14:paraId="2C00D5FB">
      <w:pPr>
        <w:adjustRightInd w:val="0"/>
        <w:snapToGrid w:val="0"/>
        <w:spacing w:line="360" w:lineRule="auto"/>
        <w:ind w:left="1260" w:leftChars="200" w:hanging="840" w:hangingChars="400"/>
        <w:rPr>
          <w:rFonts w:ascii="宋体" w:hAnsi="宋体" w:eastAsia="宋体" w:cs="宋体"/>
          <w:color w:val="auto"/>
          <w:szCs w:val="21"/>
          <w:highlight w:val="none"/>
        </w:rPr>
      </w:pPr>
      <w:r>
        <w:rPr>
          <w:rFonts w:hint="eastAsia" w:ascii="宋体" w:hAnsi="宋体" w:eastAsia="宋体" w:cs="宋体"/>
          <w:color w:val="auto"/>
          <w:szCs w:val="21"/>
          <w:highlight w:val="none"/>
        </w:rPr>
        <w:t>备注：1.危险性较大的分部分项工程（简称危大工程）范围，详见《广东省住房和城乡建设厅关于印发房屋市政工程危险性较大的分部分项工程安全管理实施细则的通知》（粤建规范〔2019〕2号）；</w:t>
      </w:r>
    </w:p>
    <w:p w14:paraId="04B936BB">
      <w:pPr>
        <w:adjustRightInd w:val="0"/>
        <w:snapToGrid w:val="0"/>
        <w:spacing w:line="360" w:lineRule="auto"/>
        <w:ind w:firstLine="1050" w:firstLineChars="500"/>
        <w:rPr>
          <w:rFonts w:ascii="宋体" w:hAnsi="宋体" w:eastAsia="宋体" w:cs="宋体"/>
          <w:color w:val="auto"/>
          <w:szCs w:val="21"/>
          <w:highlight w:val="none"/>
        </w:rPr>
      </w:pPr>
      <w:r>
        <w:rPr>
          <w:rFonts w:hint="eastAsia" w:ascii="宋体" w:hAnsi="宋体" w:eastAsia="宋体" w:cs="宋体"/>
          <w:color w:val="auto"/>
          <w:szCs w:val="21"/>
          <w:highlight w:val="none"/>
        </w:rPr>
        <w:t>2.招标人填写本清单，投标人根据工程实际特点补充完善并明确相应的安全管理措施。</w:t>
      </w:r>
    </w:p>
    <w:p w14:paraId="5836B8DF">
      <w:pPr>
        <w:adjustRightInd w:val="0"/>
        <w:snapToGrid w:val="0"/>
        <w:spacing w:line="360" w:lineRule="auto"/>
        <w:ind w:firstLine="1050" w:firstLineChars="500"/>
        <w:rPr>
          <w:rFonts w:ascii="宋体" w:hAnsi="宋体" w:eastAsia="宋体" w:cs="宋体"/>
          <w:color w:val="auto"/>
          <w:szCs w:val="21"/>
          <w:highlight w:val="none"/>
        </w:rPr>
      </w:pPr>
    </w:p>
    <w:p w14:paraId="2F309886">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“项目管理机构配备”作为明标评审部分，需按照“电子投标文件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”中【明标编辑】的要求以独立文件形式编制。</w:t>
      </w:r>
      <w:r>
        <w:rPr>
          <w:rFonts w:hint="eastAsia" w:ascii="宋体" w:hAnsi="宋体" w:eastAsia="宋体" w:cs="宋体"/>
          <w:color w:val="auto"/>
          <w:highlight w:val="none"/>
        </w:rPr>
        <w:br w:type="page"/>
      </w:r>
    </w:p>
    <w:p w14:paraId="400CE170">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2.投入本招标工程的主要施工机械设备表</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14:paraId="6595E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E5A9C38">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序号</w:t>
            </w:r>
          </w:p>
        </w:tc>
        <w:tc>
          <w:tcPr>
            <w:tcW w:w="1722" w:type="dxa"/>
            <w:shd w:val="clear" w:color="auto" w:fill="auto"/>
            <w:vAlign w:val="center"/>
          </w:tcPr>
          <w:p w14:paraId="4F739502">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机械设备名称</w:t>
            </w:r>
          </w:p>
        </w:tc>
        <w:tc>
          <w:tcPr>
            <w:tcW w:w="1072" w:type="dxa"/>
            <w:shd w:val="clear" w:color="auto" w:fill="auto"/>
            <w:vAlign w:val="center"/>
          </w:tcPr>
          <w:p w14:paraId="1B9EA118">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型号</w:t>
            </w:r>
          </w:p>
          <w:p w14:paraId="00D0BC75">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规格</w:t>
            </w:r>
          </w:p>
        </w:tc>
        <w:tc>
          <w:tcPr>
            <w:tcW w:w="858" w:type="dxa"/>
            <w:shd w:val="clear" w:color="auto" w:fill="auto"/>
            <w:vAlign w:val="center"/>
          </w:tcPr>
          <w:p w14:paraId="68C6D52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数量</w:t>
            </w:r>
          </w:p>
        </w:tc>
        <w:tc>
          <w:tcPr>
            <w:tcW w:w="858" w:type="dxa"/>
            <w:shd w:val="clear" w:color="auto" w:fill="auto"/>
            <w:vAlign w:val="center"/>
          </w:tcPr>
          <w:p w14:paraId="49ACB838">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国别</w:t>
            </w:r>
          </w:p>
          <w:p w14:paraId="6D9F0E9E">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产地</w:t>
            </w:r>
          </w:p>
        </w:tc>
        <w:tc>
          <w:tcPr>
            <w:tcW w:w="834" w:type="dxa"/>
            <w:shd w:val="clear" w:color="auto" w:fill="auto"/>
            <w:vAlign w:val="center"/>
          </w:tcPr>
          <w:p w14:paraId="2AE691C7">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制造</w:t>
            </w:r>
          </w:p>
          <w:p w14:paraId="36116511">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年份</w:t>
            </w:r>
          </w:p>
        </w:tc>
        <w:tc>
          <w:tcPr>
            <w:tcW w:w="1095" w:type="dxa"/>
            <w:shd w:val="clear" w:color="auto" w:fill="auto"/>
            <w:vAlign w:val="center"/>
          </w:tcPr>
          <w:p w14:paraId="0D515034">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额定功率（KW）</w:t>
            </w:r>
          </w:p>
        </w:tc>
        <w:tc>
          <w:tcPr>
            <w:tcW w:w="1104" w:type="dxa"/>
            <w:shd w:val="clear" w:color="auto" w:fill="auto"/>
            <w:vAlign w:val="center"/>
          </w:tcPr>
          <w:p w14:paraId="4AB69183">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生产</w:t>
            </w:r>
          </w:p>
          <w:p w14:paraId="5863939D">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能力</w:t>
            </w:r>
          </w:p>
        </w:tc>
        <w:tc>
          <w:tcPr>
            <w:tcW w:w="1072" w:type="dxa"/>
            <w:shd w:val="clear" w:color="auto" w:fill="auto"/>
            <w:vAlign w:val="center"/>
          </w:tcPr>
          <w:p w14:paraId="4599ADA3">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备注</w:t>
            </w:r>
          </w:p>
        </w:tc>
      </w:tr>
      <w:tr w14:paraId="6BBD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29B258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BDE156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9CA550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24421F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3C9B08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D675B1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0A3A36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C01FF5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5541C6F">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2232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8A02A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E6C60E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7B3010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9CB55A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6F3002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9D2C85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813AF1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0479EA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5DF5FCB">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A71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8116BA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629C40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A3D5E9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D67F52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66DE8E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3DCF47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2E0012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D272B5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ED12F21">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B5A7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BD952F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A886C6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65D9FD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4A5BF0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12CEAB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1054C4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AA4B84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499075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3290400">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BBDB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ADFD1F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6F596B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FB8D33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3EEC43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E733F2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AA0E1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57BB55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0D6BE9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BAA892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836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6432DD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6FDE2F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E5DCCF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9553EE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7BA082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0ED1707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9CF029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061A2A1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C01285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6C1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EB3A01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DAFEE4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DCAE9A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636499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D89597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6CA92F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05A604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81EB71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9ECF88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D45A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677356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B600F3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1BA022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0EAC96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22C283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F3A530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567D55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BB3B99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1919B6F">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80E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C225AF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2F3C7B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060585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011BFB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FDB026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03F2B2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2BFDF6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166C29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BF91FEC">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AACC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E13863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3D3A98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A4D32E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D958EF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6F19D7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FB6CCF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C0C681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982FB7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DA6BE6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28CF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9D82B0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232308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0D562C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D06FA7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3E3885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D4C0C4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067A7D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8F9354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A7F775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DB12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661CB8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D266EE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2038AC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A28411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0F7204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E4B954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CF7DA9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F825D2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7DC7F0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65F8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9E2836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B98A5D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DEB976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DF00F9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D88773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8169E5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0846CC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E1EE9A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645CBBF">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B26A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E3AA93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FC3D1C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F18AFB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A9D4E9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724EE8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B509A2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622DAC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2C5425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77C86C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8915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974272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B78E4D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C3FF99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1CD338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0EBC32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FC093C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0D955A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D5D76D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B410306">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6E1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394E86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410AC9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5878CB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604325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3C8E42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09761A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3DC29D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571BEE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830A8E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9D46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F54B4C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5BF827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5866B0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1DBB8B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0299B9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ED4BDB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463E70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CD0FDC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13C970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C9B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9F816C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A1A48B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4F2748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5E54AB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EB8F07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535C89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ECCB64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0AF8A2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F3ECE7D">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9CC1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DF84BE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750839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97FB59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D559E1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3D30CB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E07139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526F57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73A570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74D2E4F">
            <w:pPr>
              <w:adjustRightInd w:val="0"/>
              <w:snapToGrid w:val="0"/>
              <w:spacing w:line="360" w:lineRule="auto"/>
              <w:jc w:val="center"/>
              <w:rPr>
                <w:rFonts w:ascii="Times New Roman" w:hAnsi="Times New Roman" w:eastAsia="宋体" w:cs="Courier New"/>
                <w:color w:val="auto"/>
                <w:kern w:val="0"/>
                <w:sz w:val="20"/>
                <w:szCs w:val="20"/>
                <w:highlight w:val="none"/>
              </w:rPr>
            </w:pPr>
          </w:p>
        </w:tc>
      </w:tr>
    </w:tbl>
    <w:p w14:paraId="102A02B9">
      <w:pPr>
        <w:spacing w:line="20" w:lineRule="exact"/>
        <w:rPr>
          <w:color w:val="auto"/>
          <w:highlight w:val="none"/>
        </w:rPr>
      </w:pPr>
      <w:r>
        <w:rPr>
          <w:color w:val="auto"/>
          <w:highlight w:val="none"/>
        </w:rPr>
        <w:br w:type="page"/>
      </w:r>
    </w:p>
    <w:p w14:paraId="32E432DD">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3.劳动力安排计划表</w:t>
      </w:r>
    </w:p>
    <w:p w14:paraId="110EF3E4">
      <w:pPr>
        <w:adjustRightInd w:val="0"/>
        <w:snapToGrid w:val="0"/>
        <w:spacing w:line="360" w:lineRule="auto"/>
        <w:ind w:firstLine="8085" w:firstLineChars="3850"/>
        <w:rPr>
          <w:rFonts w:ascii="宋体" w:hAnsi="宋体" w:eastAsia="宋体" w:cs="宋体"/>
          <w:color w:val="auto"/>
          <w:szCs w:val="21"/>
          <w:highlight w:val="none"/>
        </w:rPr>
      </w:pPr>
      <w:r>
        <w:rPr>
          <w:rFonts w:hint="eastAsia" w:ascii="宋体" w:hAnsi="宋体" w:eastAsia="宋体" w:cs="宋体"/>
          <w:color w:val="auto"/>
          <w:szCs w:val="21"/>
          <w:highlight w:val="none"/>
        </w:rPr>
        <w:t>单位：人</w:t>
      </w:r>
    </w:p>
    <w:tbl>
      <w:tblPr>
        <w:tblStyle w:val="41"/>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59"/>
        <w:gridCol w:w="1161"/>
        <w:gridCol w:w="1161"/>
        <w:gridCol w:w="1161"/>
        <w:gridCol w:w="1161"/>
        <w:gridCol w:w="1161"/>
        <w:gridCol w:w="1159"/>
      </w:tblGrid>
      <w:tr w14:paraId="1B579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restart"/>
            <w:shd w:val="clear" w:color="auto" w:fill="auto"/>
            <w:vAlign w:val="center"/>
          </w:tcPr>
          <w:p w14:paraId="1E1FB329">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工 种</w:t>
            </w:r>
          </w:p>
          <w:p w14:paraId="6956FE1D">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级 别</w:t>
            </w:r>
          </w:p>
        </w:tc>
        <w:tc>
          <w:tcPr>
            <w:tcW w:w="8123" w:type="dxa"/>
            <w:gridSpan w:val="7"/>
            <w:shd w:val="clear" w:color="auto" w:fill="auto"/>
            <w:vAlign w:val="center"/>
          </w:tcPr>
          <w:p w14:paraId="58062F87">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按工程施工阶段投入劳动力情况</w:t>
            </w:r>
          </w:p>
        </w:tc>
      </w:tr>
      <w:tr w14:paraId="315D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continue"/>
            <w:shd w:val="clear" w:color="auto" w:fill="auto"/>
            <w:vAlign w:val="center"/>
          </w:tcPr>
          <w:p w14:paraId="4286BC88">
            <w:pPr>
              <w:adjustRightInd w:val="0"/>
              <w:snapToGrid w:val="0"/>
              <w:jc w:val="center"/>
              <w:rPr>
                <w:rFonts w:ascii="Times New Roman" w:hAnsi="Times New Roman" w:eastAsia="宋体" w:cs="Courier New"/>
                <w:color w:val="auto"/>
                <w:kern w:val="0"/>
                <w:szCs w:val="21"/>
                <w:highlight w:val="none"/>
              </w:rPr>
            </w:pPr>
          </w:p>
        </w:tc>
        <w:tc>
          <w:tcPr>
            <w:tcW w:w="1159" w:type="dxa"/>
            <w:shd w:val="clear" w:color="auto" w:fill="auto"/>
            <w:vAlign w:val="center"/>
          </w:tcPr>
          <w:p w14:paraId="2EAFFAC4">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7513BB08">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4B041AA8">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19F5313C">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487707D3">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34AD63A1">
            <w:pPr>
              <w:adjustRightInd w:val="0"/>
              <w:snapToGrid w:val="0"/>
              <w:jc w:val="center"/>
              <w:rPr>
                <w:rFonts w:ascii="Times New Roman" w:hAnsi="Times New Roman" w:eastAsia="宋体" w:cs="Courier New"/>
                <w:color w:val="auto"/>
                <w:kern w:val="0"/>
                <w:szCs w:val="21"/>
                <w:highlight w:val="none"/>
              </w:rPr>
            </w:pPr>
          </w:p>
        </w:tc>
        <w:tc>
          <w:tcPr>
            <w:tcW w:w="1159" w:type="dxa"/>
            <w:shd w:val="clear" w:color="auto" w:fill="auto"/>
            <w:vAlign w:val="center"/>
          </w:tcPr>
          <w:p w14:paraId="304F3A65">
            <w:pPr>
              <w:adjustRightInd w:val="0"/>
              <w:snapToGrid w:val="0"/>
              <w:jc w:val="center"/>
              <w:rPr>
                <w:rFonts w:ascii="Times New Roman" w:hAnsi="Times New Roman" w:eastAsia="宋体" w:cs="Courier New"/>
                <w:color w:val="auto"/>
                <w:kern w:val="0"/>
                <w:szCs w:val="21"/>
                <w:highlight w:val="none"/>
              </w:rPr>
            </w:pPr>
          </w:p>
        </w:tc>
      </w:tr>
      <w:tr w14:paraId="63DD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27C9D66F">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A5B858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E14326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B37193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889E45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998626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7666316">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B7597D2">
            <w:pPr>
              <w:adjustRightInd w:val="0"/>
              <w:snapToGrid w:val="0"/>
              <w:spacing w:line="360" w:lineRule="auto"/>
              <w:rPr>
                <w:rFonts w:ascii="Times New Roman" w:hAnsi="Times New Roman" w:eastAsia="宋体" w:cs="Courier New"/>
                <w:color w:val="auto"/>
                <w:kern w:val="0"/>
                <w:sz w:val="20"/>
                <w:szCs w:val="20"/>
                <w:highlight w:val="none"/>
              </w:rPr>
            </w:pPr>
          </w:p>
        </w:tc>
      </w:tr>
      <w:tr w14:paraId="391A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1232348A">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2EBB4D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B7263B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869EA5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639E5B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225F62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8EF8C9F">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D19B203">
            <w:pPr>
              <w:adjustRightInd w:val="0"/>
              <w:snapToGrid w:val="0"/>
              <w:spacing w:line="360" w:lineRule="auto"/>
              <w:rPr>
                <w:rFonts w:ascii="Times New Roman" w:hAnsi="Times New Roman" w:eastAsia="宋体" w:cs="Courier New"/>
                <w:color w:val="auto"/>
                <w:kern w:val="0"/>
                <w:sz w:val="20"/>
                <w:szCs w:val="20"/>
                <w:highlight w:val="none"/>
              </w:rPr>
            </w:pPr>
          </w:p>
        </w:tc>
      </w:tr>
      <w:tr w14:paraId="173D9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687DEBC4">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AB88DD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01FFE5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8DEC69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865764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1ECA82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39D7FC8">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A595A5D">
            <w:pPr>
              <w:adjustRightInd w:val="0"/>
              <w:snapToGrid w:val="0"/>
              <w:spacing w:line="360" w:lineRule="auto"/>
              <w:rPr>
                <w:rFonts w:ascii="Times New Roman" w:hAnsi="Times New Roman" w:eastAsia="宋体" w:cs="Courier New"/>
                <w:color w:val="auto"/>
                <w:kern w:val="0"/>
                <w:sz w:val="20"/>
                <w:szCs w:val="20"/>
                <w:highlight w:val="none"/>
              </w:rPr>
            </w:pPr>
          </w:p>
        </w:tc>
      </w:tr>
      <w:tr w14:paraId="0008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0D30F68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100EEE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ADABD7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EF6B43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676A87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ECD492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41F588D">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A27E38D">
            <w:pPr>
              <w:adjustRightInd w:val="0"/>
              <w:snapToGrid w:val="0"/>
              <w:spacing w:line="360" w:lineRule="auto"/>
              <w:rPr>
                <w:rFonts w:ascii="Times New Roman" w:hAnsi="Times New Roman" w:eastAsia="宋体" w:cs="Courier New"/>
                <w:color w:val="auto"/>
                <w:kern w:val="0"/>
                <w:sz w:val="20"/>
                <w:szCs w:val="20"/>
                <w:highlight w:val="none"/>
              </w:rPr>
            </w:pPr>
          </w:p>
        </w:tc>
      </w:tr>
      <w:tr w14:paraId="0BC93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1CD9B54E">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D56373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17CA3F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ACB6D2D">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534AFC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AEFD36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7AFA2B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213D767">
            <w:pPr>
              <w:adjustRightInd w:val="0"/>
              <w:snapToGrid w:val="0"/>
              <w:spacing w:line="360" w:lineRule="auto"/>
              <w:rPr>
                <w:rFonts w:ascii="Times New Roman" w:hAnsi="Times New Roman" w:eastAsia="宋体" w:cs="Courier New"/>
                <w:color w:val="auto"/>
                <w:kern w:val="0"/>
                <w:sz w:val="20"/>
                <w:szCs w:val="20"/>
                <w:highlight w:val="none"/>
              </w:rPr>
            </w:pPr>
          </w:p>
        </w:tc>
      </w:tr>
      <w:tr w14:paraId="2BD4C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04BD34E8">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17DE2F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04357DD">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90212E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F033B9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1972CD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E5C607E">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5044D56">
            <w:pPr>
              <w:adjustRightInd w:val="0"/>
              <w:snapToGrid w:val="0"/>
              <w:spacing w:line="360" w:lineRule="auto"/>
              <w:rPr>
                <w:rFonts w:ascii="Times New Roman" w:hAnsi="Times New Roman" w:eastAsia="宋体" w:cs="Courier New"/>
                <w:color w:val="auto"/>
                <w:kern w:val="0"/>
                <w:sz w:val="20"/>
                <w:szCs w:val="20"/>
                <w:highlight w:val="none"/>
              </w:rPr>
            </w:pPr>
          </w:p>
        </w:tc>
      </w:tr>
      <w:tr w14:paraId="786A8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2A57B88B">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26C740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DE6691D">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235F3D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EE356F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EB11BD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A2F18C9">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F1ED065">
            <w:pPr>
              <w:adjustRightInd w:val="0"/>
              <w:snapToGrid w:val="0"/>
              <w:spacing w:line="360" w:lineRule="auto"/>
              <w:rPr>
                <w:rFonts w:ascii="Times New Roman" w:hAnsi="Times New Roman" w:eastAsia="宋体" w:cs="Courier New"/>
                <w:color w:val="auto"/>
                <w:kern w:val="0"/>
                <w:sz w:val="20"/>
                <w:szCs w:val="20"/>
                <w:highlight w:val="none"/>
              </w:rPr>
            </w:pPr>
          </w:p>
        </w:tc>
      </w:tr>
      <w:tr w14:paraId="111B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73C26629">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18EB95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9A0D82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B20F7E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5E9530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EDEAA4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15D9C9F">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57720CF">
            <w:pPr>
              <w:adjustRightInd w:val="0"/>
              <w:snapToGrid w:val="0"/>
              <w:spacing w:line="360" w:lineRule="auto"/>
              <w:rPr>
                <w:rFonts w:ascii="Times New Roman" w:hAnsi="Times New Roman" w:eastAsia="宋体" w:cs="Courier New"/>
                <w:color w:val="auto"/>
                <w:kern w:val="0"/>
                <w:sz w:val="20"/>
                <w:szCs w:val="20"/>
                <w:highlight w:val="none"/>
              </w:rPr>
            </w:pPr>
          </w:p>
        </w:tc>
      </w:tr>
      <w:tr w14:paraId="4082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75E49072">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A188A7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3415BC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97ED8A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DD3D96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16F365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E8C897B">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D23AFF8">
            <w:pPr>
              <w:adjustRightInd w:val="0"/>
              <w:snapToGrid w:val="0"/>
              <w:spacing w:line="360" w:lineRule="auto"/>
              <w:rPr>
                <w:rFonts w:ascii="Times New Roman" w:hAnsi="Times New Roman" w:eastAsia="宋体" w:cs="Courier New"/>
                <w:color w:val="auto"/>
                <w:kern w:val="0"/>
                <w:sz w:val="20"/>
                <w:szCs w:val="20"/>
                <w:highlight w:val="none"/>
              </w:rPr>
            </w:pPr>
          </w:p>
        </w:tc>
      </w:tr>
      <w:tr w14:paraId="3A21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4118C0D2">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E09F00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64877A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D22735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5749CE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12FCA9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C06CFCF">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6406A31">
            <w:pPr>
              <w:adjustRightInd w:val="0"/>
              <w:snapToGrid w:val="0"/>
              <w:spacing w:line="360" w:lineRule="auto"/>
              <w:rPr>
                <w:rFonts w:ascii="Times New Roman" w:hAnsi="Times New Roman" w:eastAsia="宋体" w:cs="Courier New"/>
                <w:color w:val="auto"/>
                <w:kern w:val="0"/>
                <w:sz w:val="20"/>
                <w:szCs w:val="20"/>
                <w:highlight w:val="none"/>
              </w:rPr>
            </w:pPr>
          </w:p>
        </w:tc>
      </w:tr>
      <w:tr w14:paraId="29ACC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47872F6B">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0E8330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540345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7AD738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31B43C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9361A8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8867009">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EBF45D1">
            <w:pPr>
              <w:adjustRightInd w:val="0"/>
              <w:snapToGrid w:val="0"/>
              <w:spacing w:line="360" w:lineRule="auto"/>
              <w:rPr>
                <w:rFonts w:ascii="Times New Roman" w:hAnsi="Times New Roman" w:eastAsia="宋体" w:cs="Courier New"/>
                <w:color w:val="auto"/>
                <w:kern w:val="0"/>
                <w:sz w:val="20"/>
                <w:szCs w:val="20"/>
                <w:highlight w:val="none"/>
              </w:rPr>
            </w:pPr>
          </w:p>
        </w:tc>
      </w:tr>
      <w:tr w14:paraId="3A2B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10CCAFA7">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9CA664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738509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543F92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C6094A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1C150D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3CCB2B5">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5E05915">
            <w:pPr>
              <w:adjustRightInd w:val="0"/>
              <w:snapToGrid w:val="0"/>
              <w:spacing w:line="360" w:lineRule="auto"/>
              <w:rPr>
                <w:rFonts w:ascii="Times New Roman" w:hAnsi="Times New Roman" w:eastAsia="宋体" w:cs="Courier New"/>
                <w:color w:val="auto"/>
                <w:kern w:val="0"/>
                <w:sz w:val="20"/>
                <w:szCs w:val="20"/>
                <w:highlight w:val="none"/>
              </w:rPr>
            </w:pPr>
          </w:p>
        </w:tc>
      </w:tr>
      <w:tr w14:paraId="40054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5B871B30">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F1DBDF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13D350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725A94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5DF4FD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D8CF5B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FE0C530">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BF8776D">
            <w:pPr>
              <w:adjustRightInd w:val="0"/>
              <w:snapToGrid w:val="0"/>
              <w:spacing w:line="360" w:lineRule="auto"/>
              <w:rPr>
                <w:rFonts w:ascii="Times New Roman" w:hAnsi="Times New Roman" w:eastAsia="宋体" w:cs="Courier New"/>
                <w:color w:val="auto"/>
                <w:kern w:val="0"/>
                <w:sz w:val="20"/>
                <w:szCs w:val="20"/>
                <w:highlight w:val="none"/>
              </w:rPr>
            </w:pPr>
          </w:p>
        </w:tc>
      </w:tr>
      <w:tr w14:paraId="090C3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2BFA2F54">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884DC6F">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B862AED">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7F48B7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D8640A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74BF80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F64C796">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2C4E60F">
            <w:pPr>
              <w:adjustRightInd w:val="0"/>
              <w:snapToGrid w:val="0"/>
              <w:spacing w:line="360" w:lineRule="auto"/>
              <w:rPr>
                <w:rFonts w:ascii="Times New Roman" w:hAnsi="Times New Roman" w:eastAsia="宋体" w:cs="Courier New"/>
                <w:color w:val="auto"/>
                <w:kern w:val="0"/>
                <w:sz w:val="20"/>
                <w:szCs w:val="20"/>
                <w:highlight w:val="none"/>
              </w:rPr>
            </w:pPr>
          </w:p>
        </w:tc>
      </w:tr>
      <w:tr w14:paraId="3E0F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5E846AA4">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8DB59D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3392C0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3213B3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2EFA71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6FA1AE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C51ECF0">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1CC898F">
            <w:pPr>
              <w:adjustRightInd w:val="0"/>
              <w:snapToGrid w:val="0"/>
              <w:spacing w:line="360" w:lineRule="auto"/>
              <w:rPr>
                <w:rFonts w:ascii="Times New Roman" w:hAnsi="Times New Roman" w:eastAsia="宋体" w:cs="Courier New"/>
                <w:color w:val="auto"/>
                <w:kern w:val="0"/>
                <w:sz w:val="20"/>
                <w:szCs w:val="20"/>
                <w:highlight w:val="none"/>
              </w:rPr>
            </w:pPr>
          </w:p>
        </w:tc>
      </w:tr>
      <w:tr w14:paraId="54C6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4E818E9B">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79067D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C3848B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CDD650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DD9C84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44D1FD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33639C7">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B871BF9">
            <w:pPr>
              <w:adjustRightInd w:val="0"/>
              <w:snapToGrid w:val="0"/>
              <w:spacing w:line="360" w:lineRule="auto"/>
              <w:rPr>
                <w:rFonts w:ascii="Times New Roman" w:hAnsi="Times New Roman" w:eastAsia="宋体" w:cs="Courier New"/>
                <w:color w:val="auto"/>
                <w:kern w:val="0"/>
                <w:sz w:val="20"/>
                <w:szCs w:val="20"/>
                <w:highlight w:val="none"/>
              </w:rPr>
            </w:pPr>
          </w:p>
        </w:tc>
      </w:tr>
      <w:tr w14:paraId="6E877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2E1F6991">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8A114C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9D8EFF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E85A03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52E794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BD8639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61F7E4E">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02AF869">
            <w:pPr>
              <w:adjustRightInd w:val="0"/>
              <w:snapToGrid w:val="0"/>
              <w:spacing w:line="360" w:lineRule="auto"/>
              <w:rPr>
                <w:rFonts w:ascii="Times New Roman" w:hAnsi="Times New Roman" w:eastAsia="宋体" w:cs="Courier New"/>
                <w:color w:val="auto"/>
                <w:kern w:val="0"/>
                <w:sz w:val="20"/>
                <w:szCs w:val="20"/>
                <w:highlight w:val="none"/>
              </w:rPr>
            </w:pPr>
          </w:p>
        </w:tc>
      </w:tr>
    </w:tbl>
    <w:p w14:paraId="6BE2E12B">
      <w:pPr>
        <w:adjustRightInd w:val="0"/>
        <w:snapToGrid w:val="0"/>
        <w:spacing w:line="360" w:lineRule="auto"/>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注：投标人应接所列格式提交包括分包人在内的估计的劳动力计划表；</w:t>
      </w:r>
    </w:p>
    <w:p w14:paraId="4D4A2D98">
      <w:pPr>
        <w:adjustRightInd w:val="0"/>
        <w:snapToGrid w:val="0"/>
        <w:spacing w:line="360" w:lineRule="auto"/>
        <w:ind w:firstLine="420" w:firstLineChars="200"/>
        <w:rPr>
          <w:rFonts w:ascii="楷体_GB2312" w:eastAsia="楷体_GB2312"/>
          <w:color w:val="auto"/>
          <w:highlight w:val="none"/>
        </w:rPr>
      </w:pPr>
      <w:r>
        <w:rPr>
          <w:rFonts w:hint="eastAsia" w:ascii="楷体_GB2312" w:hAnsi="楷体_GB2312" w:eastAsia="楷体_GB2312" w:cs="楷体_GB2312"/>
          <w:color w:val="auto"/>
          <w:szCs w:val="21"/>
          <w:highlight w:val="none"/>
        </w:rPr>
        <w:t>本计划表是以每班八小时工作制为基础的。</w:t>
      </w:r>
      <w:r>
        <w:rPr>
          <w:rFonts w:ascii="楷体_GB2312" w:eastAsia="楷体_GB2312"/>
          <w:color w:val="auto"/>
          <w:highlight w:val="none"/>
        </w:rPr>
        <w:br w:type="page"/>
      </w:r>
    </w:p>
    <w:p w14:paraId="65312F87">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4.计划开、竣工日期和施工进度网络图</w:t>
      </w:r>
    </w:p>
    <w:p w14:paraId="358C98F1">
      <w:pPr>
        <w:adjustRightInd w:val="0"/>
        <w:snapToGrid w:val="0"/>
        <w:spacing w:line="360" w:lineRule="auto"/>
        <w:ind w:firstLine="480"/>
        <w:rPr>
          <w:color w:val="auto"/>
          <w:highlight w:val="none"/>
        </w:rPr>
      </w:pPr>
      <w:r>
        <w:rPr>
          <w:rFonts w:hint="eastAsia"/>
          <w:color w:val="auto"/>
          <w:highlight w:val="none"/>
        </w:rPr>
        <w:t>…………</w:t>
      </w:r>
    </w:p>
    <w:p w14:paraId="717916E6">
      <w:pPr>
        <w:adjustRightInd w:val="0"/>
        <w:snapToGrid w:val="0"/>
        <w:spacing w:line="360" w:lineRule="auto"/>
        <w:ind w:firstLine="480"/>
        <w:rPr>
          <w:color w:val="auto"/>
          <w:highlight w:val="none"/>
        </w:rPr>
      </w:pPr>
    </w:p>
    <w:p w14:paraId="12E8A471">
      <w:pPr>
        <w:adjustRightInd w:val="0"/>
        <w:snapToGrid w:val="0"/>
        <w:spacing w:line="360" w:lineRule="auto"/>
        <w:ind w:firstLine="420" w:firstLineChars="200"/>
        <w:rPr>
          <w:rFonts w:ascii="楷体_GB2312" w:eastAsia="楷体_GB2312"/>
          <w:color w:val="auto"/>
          <w:szCs w:val="21"/>
          <w:highlight w:val="none"/>
        </w:rPr>
      </w:pPr>
      <w:r>
        <w:rPr>
          <w:rFonts w:hint="eastAsia" w:ascii="楷体_GB2312" w:eastAsia="楷体_GB2312"/>
          <w:color w:val="auto"/>
          <w:szCs w:val="21"/>
          <w:highlight w:val="none"/>
        </w:rPr>
        <w:t>注：投标人应提交的施工进度网络图或施工进度表，说明按招标文件要求的工期进行施工的各个关键日期。中标的投标人还要按合同条件有关条款的要求提交详细的施工进度计划。</w:t>
      </w:r>
    </w:p>
    <w:p w14:paraId="6C95A34F">
      <w:pPr>
        <w:adjustRightInd w:val="0"/>
        <w:snapToGrid w:val="0"/>
        <w:spacing w:line="360" w:lineRule="auto"/>
        <w:ind w:firstLine="420" w:firstLineChars="200"/>
        <w:rPr>
          <w:rFonts w:ascii="楷体_GB2312" w:eastAsia="楷体_GB2312"/>
          <w:color w:val="auto"/>
          <w:szCs w:val="21"/>
          <w:highlight w:val="none"/>
        </w:rPr>
      </w:pPr>
      <w:r>
        <w:rPr>
          <w:rFonts w:hint="eastAsia" w:ascii="楷体_GB2312" w:eastAsia="楷体_GB2312"/>
          <w:color w:val="auto"/>
          <w:szCs w:val="21"/>
          <w:highlight w:val="none"/>
        </w:rPr>
        <w:t>施工进度表可采用关键线路网络图（或横道图）表示，说明计划开工日期和各分项工程各阶段的完工日期和分包合同签订的日期。</w:t>
      </w:r>
    </w:p>
    <w:p w14:paraId="151A7E44">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施工进度计划应与施工组织设计或施工方案相适应。</w:t>
      </w:r>
      <w:r>
        <w:rPr>
          <w:rFonts w:ascii="楷体_GB2312" w:eastAsia="楷体_GB2312"/>
          <w:color w:val="auto"/>
          <w:highlight w:val="none"/>
        </w:rPr>
        <w:br w:type="page"/>
      </w:r>
    </w:p>
    <w:p w14:paraId="3F9E24D9">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5.施工总平面布置图</w:t>
      </w:r>
    </w:p>
    <w:p w14:paraId="525E3368">
      <w:pPr>
        <w:adjustRightInd w:val="0"/>
        <w:snapToGrid w:val="0"/>
        <w:spacing w:line="360" w:lineRule="auto"/>
        <w:ind w:firstLine="420" w:firstLineChars="200"/>
        <w:rPr>
          <w:color w:val="auto"/>
          <w:highlight w:val="none"/>
        </w:rPr>
      </w:pPr>
      <w:r>
        <w:rPr>
          <w:rFonts w:hint="eastAsia"/>
          <w:color w:val="auto"/>
          <w:highlight w:val="none"/>
        </w:rPr>
        <w:t>…………</w:t>
      </w:r>
    </w:p>
    <w:p w14:paraId="0CF664D4">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注：投标人应提交一份施工总平面图，给出现场临时设施布置图表并附文字说明，说明临时设施、加工车间、现场办公、设备及仓储、供电、供水、卫生、生活等设施的情况和布置。</w:t>
      </w:r>
      <w:r>
        <w:rPr>
          <w:rFonts w:ascii="楷体_GB2312" w:eastAsia="楷体_GB2312"/>
          <w:color w:val="auto"/>
          <w:highlight w:val="none"/>
        </w:rPr>
        <w:br w:type="page"/>
      </w:r>
    </w:p>
    <w:p w14:paraId="65FA9CFF">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6.临时用地表</w:t>
      </w:r>
    </w:p>
    <w:tbl>
      <w:tblPr>
        <w:tblStyle w:val="4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2268"/>
        <w:gridCol w:w="2352"/>
        <w:gridCol w:w="2352"/>
      </w:tblGrid>
      <w:tr w14:paraId="0912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43453C7C">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用  途</w:t>
            </w:r>
          </w:p>
        </w:tc>
        <w:tc>
          <w:tcPr>
            <w:tcW w:w="2268" w:type="dxa"/>
            <w:shd w:val="clear" w:color="auto" w:fill="auto"/>
            <w:vAlign w:val="center"/>
          </w:tcPr>
          <w:p w14:paraId="02DD90E4">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面积（平方米）</w:t>
            </w:r>
          </w:p>
        </w:tc>
        <w:tc>
          <w:tcPr>
            <w:tcW w:w="2352" w:type="dxa"/>
            <w:shd w:val="clear" w:color="auto" w:fill="auto"/>
            <w:vAlign w:val="center"/>
          </w:tcPr>
          <w:p w14:paraId="3105F0D1">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位  置</w:t>
            </w:r>
          </w:p>
        </w:tc>
        <w:tc>
          <w:tcPr>
            <w:tcW w:w="2352" w:type="dxa"/>
            <w:shd w:val="clear" w:color="auto" w:fill="auto"/>
            <w:vAlign w:val="center"/>
          </w:tcPr>
          <w:p w14:paraId="28EE623A">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需用时间</w:t>
            </w:r>
          </w:p>
        </w:tc>
      </w:tr>
      <w:tr w14:paraId="23DCD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5E890DD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6D73EEC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00C8006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0A0537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A9B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4B1DFCD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F1BBCB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82DCE7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025E74E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FD0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CC996B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0CE071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23225E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9666A7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DA3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590C80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38C26FB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29B7E1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DF1A91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6B31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2DB7E87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4323046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B8553B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5602D2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F67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7C99169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58A7136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BD313C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D5CAC6E">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07F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32DDF03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37A8389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3E2233B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F1B09A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AC9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1AFD27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5A76F7B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0F792A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076BC3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3E4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5C51AB1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3FCC70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3F74762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6B3ED66">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A78F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5EE050E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71578BA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4F9A59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D10B89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E838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2DD50D5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686536D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9BDD73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6F360E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A94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17C4705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3F69903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DEACB4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29FA32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D154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C5153E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60EF744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A80E4D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BDC136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4EC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755F887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1C5D251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8EF78B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EFE728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59C9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ED5C9F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74AE99A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B9E68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1CFE4F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D77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62DF4E0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C32C52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BF2BFF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CAEAC71">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A5B3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1B026E6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1B189B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38A46E8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5DF673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95F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52BB96C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26F345A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573E20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06FDED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24C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473E73B3">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合    计</w:t>
            </w:r>
          </w:p>
        </w:tc>
        <w:tc>
          <w:tcPr>
            <w:tcW w:w="2268" w:type="dxa"/>
            <w:shd w:val="clear" w:color="auto" w:fill="auto"/>
            <w:vAlign w:val="center"/>
          </w:tcPr>
          <w:p w14:paraId="5DC7B296">
            <w:pPr>
              <w:adjustRightInd w:val="0"/>
              <w:snapToGrid w:val="0"/>
              <w:jc w:val="center"/>
              <w:rPr>
                <w:rFonts w:ascii="Times New Roman" w:hAnsi="Times New Roman" w:eastAsia="宋体" w:cs="Courier New"/>
                <w:color w:val="auto"/>
                <w:kern w:val="0"/>
                <w:szCs w:val="21"/>
                <w:highlight w:val="none"/>
              </w:rPr>
            </w:pPr>
          </w:p>
        </w:tc>
        <w:tc>
          <w:tcPr>
            <w:tcW w:w="2352" w:type="dxa"/>
            <w:shd w:val="clear" w:color="auto" w:fill="auto"/>
            <w:vAlign w:val="center"/>
          </w:tcPr>
          <w:p w14:paraId="2477C841">
            <w:pPr>
              <w:adjustRightInd w:val="0"/>
              <w:snapToGrid w:val="0"/>
              <w:jc w:val="center"/>
              <w:rPr>
                <w:rFonts w:ascii="Times New Roman" w:hAnsi="Times New Roman" w:eastAsia="宋体" w:cs="Courier New"/>
                <w:color w:val="auto"/>
                <w:kern w:val="0"/>
                <w:szCs w:val="21"/>
                <w:highlight w:val="none"/>
              </w:rPr>
            </w:pPr>
          </w:p>
        </w:tc>
        <w:tc>
          <w:tcPr>
            <w:tcW w:w="2352" w:type="dxa"/>
            <w:shd w:val="clear" w:color="auto" w:fill="auto"/>
            <w:vAlign w:val="center"/>
          </w:tcPr>
          <w:p w14:paraId="545FA05D">
            <w:pPr>
              <w:adjustRightInd w:val="0"/>
              <w:snapToGrid w:val="0"/>
              <w:jc w:val="center"/>
              <w:rPr>
                <w:rFonts w:ascii="Times New Roman" w:hAnsi="Times New Roman" w:eastAsia="宋体" w:cs="Courier New"/>
                <w:color w:val="auto"/>
                <w:kern w:val="0"/>
                <w:szCs w:val="21"/>
                <w:highlight w:val="none"/>
              </w:rPr>
            </w:pPr>
          </w:p>
        </w:tc>
      </w:tr>
    </w:tbl>
    <w:p w14:paraId="47B49590">
      <w:pPr>
        <w:adjustRightInd w:val="0"/>
        <w:snapToGrid w:val="0"/>
        <w:spacing w:line="360" w:lineRule="auto"/>
        <w:rPr>
          <w:rFonts w:ascii="楷体_GB2312" w:eastAsia="楷体_GB2312"/>
          <w:color w:val="auto"/>
          <w:highlight w:val="none"/>
        </w:rPr>
      </w:pPr>
      <w:r>
        <w:rPr>
          <w:rFonts w:hint="eastAsia" w:ascii="楷体_GB2312" w:eastAsia="楷体_GB2312"/>
          <w:color w:val="auto"/>
          <w:szCs w:val="21"/>
          <w:highlight w:val="none"/>
        </w:rPr>
        <w:t>注：投标人应逐项填写本表，指出全部临时设施用地面积以及详细用途。</w:t>
      </w:r>
      <w:r>
        <w:rPr>
          <w:rFonts w:ascii="楷体_GB2312" w:eastAsia="楷体_GB2312"/>
          <w:color w:val="auto"/>
          <w:highlight w:val="none"/>
        </w:rPr>
        <w:br w:type="page"/>
      </w:r>
    </w:p>
    <w:p w14:paraId="76AE299C">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二、项目管理机构配备情况</w:t>
      </w:r>
    </w:p>
    <w:p w14:paraId="032E1A14">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1.项目管理机构配备情况表</w:t>
      </w:r>
    </w:p>
    <w:tbl>
      <w:tblPr>
        <w:tblStyle w:val="41"/>
        <w:tblpPr w:leftFromText="180" w:rightFromText="180" w:vertAnchor="text" w:horzAnchor="page" w:tblpX="1432" w:tblpY="90"/>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759"/>
        <w:gridCol w:w="758"/>
        <w:gridCol w:w="1137"/>
        <w:gridCol w:w="758"/>
        <w:gridCol w:w="758"/>
        <w:gridCol w:w="758"/>
        <w:gridCol w:w="1518"/>
        <w:gridCol w:w="947"/>
        <w:gridCol w:w="1135"/>
      </w:tblGrid>
      <w:tr w14:paraId="60BFF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vMerge w:val="restart"/>
            <w:shd w:val="clear" w:color="auto" w:fill="auto"/>
            <w:vAlign w:val="center"/>
          </w:tcPr>
          <w:p w14:paraId="2EA67B6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59" w:type="dxa"/>
            <w:vMerge w:val="restart"/>
            <w:shd w:val="clear" w:color="auto" w:fill="auto"/>
            <w:vAlign w:val="center"/>
          </w:tcPr>
          <w:p w14:paraId="055EA08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58" w:type="dxa"/>
            <w:vMerge w:val="restart"/>
            <w:shd w:val="clear" w:color="auto" w:fill="auto"/>
            <w:vAlign w:val="center"/>
          </w:tcPr>
          <w:p w14:paraId="228A7EB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4929" w:type="dxa"/>
            <w:gridSpan w:val="5"/>
            <w:shd w:val="clear" w:color="auto" w:fill="auto"/>
            <w:vAlign w:val="center"/>
          </w:tcPr>
          <w:p w14:paraId="2B23FDD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上岗资格证明</w:t>
            </w:r>
          </w:p>
        </w:tc>
        <w:tc>
          <w:tcPr>
            <w:tcW w:w="2082" w:type="dxa"/>
            <w:gridSpan w:val="2"/>
            <w:shd w:val="clear" w:color="auto" w:fill="auto"/>
            <w:vAlign w:val="center"/>
          </w:tcPr>
          <w:p w14:paraId="5F42CD7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已承担在建工程</w:t>
            </w:r>
          </w:p>
          <w:p w14:paraId="350ADED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情  况</w:t>
            </w:r>
          </w:p>
        </w:tc>
      </w:tr>
      <w:tr w14:paraId="0C27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vMerge w:val="continue"/>
            <w:shd w:val="clear" w:color="auto" w:fill="auto"/>
            <w:vAlign w:val="center"/>
          </w:tcPr>
          <w:p w14:paraId="66225261">
            <w:pPr>
              <w:adjustRightInd w:val="0"/>
              <w:snapToGrid w:val="0"/>
              <w:jc w:val="center"/>
              <w:rPr>
                <w:rFonts w:ascii="宋体" w:hAnsi="宋体" w:eastAsia="宋体" w:cs="宋体"/>
                <w:color w:val="auto"/>
                <w:kern w:val="0"/>
                <w:szCs w:val="21"/>
                <w:highlight w:val="none"/>
              </w:rPr>
            </w:pPr>
          </w:p>
        </w:tc>
        <w:tc>
          <w:tcPr>
            <w:tcW w:w="759" w:type="dxa"/>
            <w:vMerge w:val="continue"/>
            <w:shd w:val="clear" w:color="auto" w:fill="auto"/>
            <w:vAlign w:val="center"/>
          </w:tcPr>
          <w:p w14:paraId="16CC040D">
            <w:pPr>
              <w:adjustRightInd w:val="0"/>
              <w:snapToGrid w:val="0"/>
              <w:jc w:val="center"/>
              <w:rPr>
                <w:rFonts w:ascii="宋体" w:hAnsi="宋体" w:eastAsia="宋体" w:cs="宋体"/>
                <w:color w:val="auto"/>
                <w:kern w:val="0"/>
                <w:szCs w:val="21"/>
                <w:highlight w:val="none"/>
              </w:rPr>
            </w:pPr>
          </w:p>
        </w:tc>
        <w:tc>
          <w:tcPr>
            <w:tcW w:w="758" w:type="dxa"/>
            <w:vMerge w:val="continue"/>
            <w:shd w:val="clear" w:color="auto" w:fill="auto"/>
            <w:vAlign w:val="center"/>
          </w:tcPr>
          <w:p w14:paraId="12C87086">
            <w:pPr>
              <w:adjustRightInd w:val="0"/>
              <w:snapToGrid w:val="0"/>
              <w:jc w:val="center"/>
              <w:rPr>
                <w:rFonts w:ascii="宋体" w:hAnsi="宋体" w:eastAsia="宋体" w:cs="宋体"/>
                <w:color w:val="auto"/>
                <w:kern w:val="0"/>
                <w:szCs w:val="21"/>
                <w:highlight w:val="none"/>
              </w:rPr>
            </w:pPr>
          </w:p>
        </w:tc>
        <w:tc>
          <w:tcPr>
            <w:tcW w:w="1137" w:type="dxa"/>
            <w:shd w:val="clear" w:color="auto" w:fill="auto"/>
            <w:vAlign w:val="center"/>
          </w:tcPr>
          <w:p w14:paraId="14D4686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58" w:type="dxa"/>
            <w:shd w:val="clear" w:color="auto" w:fill="auto"/>
            <w:vAlign w:val="center"/>
          </w:tcPr>
          <w:p w14:paraId="5AC1F50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58" w:type="dxa"/>
            <w:shd w:val="clear" w:color="auto" w:fill="auto"/>
            <w:vAlign w:val="center"/>
          </w:tcPr>
          <w:p w14:paraId="7460B3C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58" w:type="dxa"/>
            <w:shd w:val="clear" w:color="auto" w:fill="auto"/>
            <w:vAlign w:val="center"/>
          </w:tcPr>
          <w:p w14:paraId="5881B88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1518" w:type="dxa"/>
            <w:shd w:val="clear" w:color="auto" w:fill="auto"/>
            <w:vAlign w:val="center"/>
          </w:tcPr>
          <w:p w14:paraId="4DCF6D1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原服务单位</w:t>
            </w:r>
          </w:p>
        </w:tc>
        <w:tc>
          <w:tcPr>
            <w:tcW w:w="947" w:type="dxa"/>
            <w:shd w:val="clear" w:color="auto" w:fill="auto"/>
            <w:vAlign w:val="center"/>
          </w:tcPr>
          <w:p w14:paraId="785CB58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项目数</w:t>
            </w:r>
          </w:p>
        </w:tc>
        <w:tc>
          <w:tcPr>
            <w:tcW w:w="1135" w:type="dxa"/>
            <w:shd w:val="clear" w:color="auto" w:fill="auto"/>
            <w:vAlign w:val="center"/>
          </w:tcPr>
          <w:p w14:paraId="27FD7AE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r>
      <w:tr w14:paraId="142A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4F797DAD">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4689F5C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07D6680">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2252E04D">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E4C7A8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4F98BB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433137A">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30468529">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6B40F1BA">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10EC5BB8">
            <w:pPr>
              <w:adjustRightInd w:val="0"/>
              <w:snapToGrid w:val="0"/>
              <w:spacing w:line="360" w:lineRule="auto"/>
              <w:jc w:val="center"/>
              <w:rPr>
                <w:rFonts w:ascii="宋体" w:hAnsi="宋体" w:eastAsia="宋体" w:cs="宋体"/>
                <w:color w:val="auto"/>
                <w:kern w:val="0"/>
                <w:sz w:val="20"/>
                <w:szCs w:val="21"/>
                <w:highlight w:val="none"/>
              </w:rPr>
            </w:pPr>
          </w:p>
        </w:tc>
      </w:tr>
      <w:tr w14:paraId="16F31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7271854B">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0461545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51A2BB6">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05B2332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5D5A91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0488F6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094B192">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1ED913DC">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F875188">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3A547280">
            <w:pPr>
              <w:adjustRightInd w:val="0"/>
              <w:snapToGrid w:val="0"/>
              <w:spacing w:line="360" w:lineRule="auto"/>
              <w:jc w:val="center"/>
              <w:rPr>
                <w:rFonts w:ascii="宋体" w:hAnsi="宋体" w:eastAsia="宋体" w:cs="宋体"/>
                <w:color w:val="auto"/>
                <w:kern w:val="0"/>
                <w:sz w:val="20"/>
                <w:szCs w:val="21"/>
                <w:highlight w:val="none"/>
              </w:rPr>
            </w:pPr>
          </w:p>
        </w:tc>
      </w:tr>
      <w:tr w14:paraId="7022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BFC692B">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15B13BC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1BA222C">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6D2FFF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ABB6B91">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2F82E2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F1EFB0A">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2A72C543">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336E2E84">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1554F3D1">
            <w:pPr>
              <w:adjustRightInd w:val="0"/>
              <w:snapToGrid w:val="0"/>
              <w:spacing w:line="360" w:lineRule="auto"/>
              <w:jc w:val="center"/>
              <w:rPr>
                <w:rFonts w:ascii="宋体" w:hAnsi="宋体" w:eastAsia="宋体" w:cs="宋体"/>
                <w:color w:val="auto"/>
                <w:kern w:val="0"/>
                <w:sz w:val="20"/>
                <w:szCs w:val="21"/>
                <w:highlight w:val="none"/>
              </w:rPr>
            </w:pPr>
          </w:p>
        </w:tc>
      </w:tr>
      <w:tr w14:paraId="6966B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130DC508">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75F4409D">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498D321">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33B3D53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6DFC863">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C3BDFB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F67F4E7">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D85BC43">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298B4C42">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50B89747">
            <w:pPr>
              <w:adjustRightInd w:val="0"/>
              <w:snapToGrid w:val="0"/>
              <w:spacing w:line="360" w:lineRule="auto"/>
              <w:jc w:val="center"/>
              <w:rPr>
                <w:rFonts w:ascii="宋体" w:hAnsi="宋体" w:eastAsia="宋体" w:cs="宋体"/>
                <w:color w:val="auto"/>
                <w:kern w:val="0"/>
                <w:sz w:val="20"/>
                <w:szCs w:val="21"/>
                <w:highlight w:val="none"/>
              </w:rPr>
            </w:pPr>
          </w:p>
        </w:tc>
      </w:tr>
      <w:tr w14:paraId="28A7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F42790F">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141E4F5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2973771">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BB1A99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BB605A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A3FC1A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0AC66EB">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0EE981C6">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29C8EF39">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6AFE5DBB">
            <w:pPr>
              <w:adjustRightInd w:val="0"/>
              <w:snapToGrid w:val="0"/>
              <w:spacing w:line="360" w:lineRule="auto"/>
              <w:jc w:val="center"/>
              <w:rPr>
                <w:rFonts w:ascii="宋体" w:hAnsi="宋体" w:eastAsia="宋体" w:cs="宋体"/>
                <w:color w:val="auto"/>
                <w:kern w:val="0"/>
                <w:sz w:val="20"/>
                <w:szCs w:val="21"/>
                <w:highlight w:val="none"/>
              </w:rPr>
            </w:pPr>
          </w:p>
        </w:tc>
      </w:tr>
      <w:tr w14:paraId="0CEC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5DB0579B">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426A5420">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B0329A2">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9C28A1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C14481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C5B9733">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1C16FC7">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3DF7071">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61B1C3E1">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0AF2DFC8">
            <w:pPr>
              <w:adjustRightInd w:val="0"/>
              <w:snapToGrid w:val="0"/>
              <w:spacing w:line="360" w:lineRule="auto"/>
              <w:jc w:val="center"/>
              <w:rPr>
                <w:rFonts w:ascii="宋体" w:hAnsi="宋体" w:eastAsia="宋体" w:cs="宋体"/>
                <w:color w:val="auto"/>
                <w:kern w:val="0"/>
                <w:sz w:val="20"/>
                <w:szCs w:val="21"/>
                <w:highlight w:val="none"/>
              </w:rPr>
            </w:pPr>
          </w:p>
        </w:tc>
      </w:tr>
      <w:tr w14:paraId="0A8A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2C32E926">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566017B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B5B32CA">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02A3D6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BF5761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6265A4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7327A54">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3E915A2">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2C76FB3">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18C114A9">
            <w:pPr>
              <w:adjustRightInd w:val="0"/>
              <w:snapToGrid w:val="0"/>
              <w:spacing w:line="360" w:lineRule="auto"/>
              <w:jc w:val="center"/>
              <w:rPr>
                <w:rFonts w:ascii="宋体" w:hAnsi="宋体" w:eastAsia="宋体" w:cs="宋体"/>
                <w:color w:val="auto"/>
                <w:kern w:val="0"/>
                <w:sz w:val="20"/>
                <w:szCs w:val="21"/>
                <w:highlight w:val="none"/>
              </w:rPr>
            </w:pPr>
          </w:p>
        </w:tc>
      </w:tr>
      <w:tr w14:paraId="3056E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38585B12">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4F859CA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EC9CF54">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05D926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E65E56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53B3E8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10185C4">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3F105F10">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42EC74D8">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61D7B858">
            <w:pPr>
              <w:adjustRightInd w:val="0"/>
              <w:snapToGrid w:val="0"/>
              <w:spacing w:line="360" w:lineRule="auto"/>
              <w:jc w:val="center"/>
              <w:rPr>
                <w:rFonts w:ascii="宋体" w:hAnsi="宋体" w:eastAsia="宋体" w:cs="宋体"/>
                <w:color w:val="auto"/>
                <w:kern w:val="0"/>
                <w:sz w:val="20"/>
                <w:szCs w:val="21"/>
                <w:highlight w:val="none"/>
              </w:rPr>
            </w:pPr>
          </w:p>
        </w:tc>
      </w:tr>
      <w:tr w14:paraId="22AB7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380F37D">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4DF1AF4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7684BAE">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25D7CD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072387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46E0D80">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B3C1DF4">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0D6DC590">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6DD0811C">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73F71748">
            <w:pPr>
              <w:adjustRightInd w:val="0"/>
              <w:snapToGrid w:val="0"/>
              <w:spacing w:line="360" w:lineRule="auto"/>
              <w:jc w:val="center"/>
              <w:rPr>
                <w:rFonts w:ascii="宋体" w:hAnsi="宋体" w:eastAsia="宋体" w:cs="宋体"/>
                <w:color w:val="auto"/>
                <w:kern w:val="0"/>
                <w:sz w:val="20"/>
                <w:szCs w:val="21"/>
                <w:highlight w:val="none"/>
              </w:rPr>
            </w:pPr>
          </w:p>
        </w:tc>
      </w:tr>
      <w:tr w14:paraId="5000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0DD20C56">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680D162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797B57E">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786D9E01">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40679C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0F1FA0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329DFD6">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176847A5">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19EC6E4D">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2FF504F4">
            <w:pPr>
              <w:adjustRightInd w:val="0"/>
              <w:snapToGrid w:val="0"/>
              <w:spacing w:line="360" w:lineRule="auto"/>
              <w:jc w:val="center"/>
              <w:rPr>
                <w:rFonts w:ascii="宋体" w:hAnsi="宋体" w:eastAsia="宋体" w:cs="宋体"/>
                <w:color w:val="auto"/>
                <w:kern w:val="0"/>
                <w:sz w:val="20"/>
                <w:szCs w:val="21"/>
                <w:highlight w:val="none"/>
              </w:rPr>
            </w:pPr>
          </w:p>
        </w:tc>
      </w:tr>
      <w:tr w14:paraId="2797D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7377C6A1">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770486D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F43EAA4">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0D2271C">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FE488F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29E2D9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4F278C8">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768DC0F4">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302B5BBE">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2EEFB2C5">
            <w:pPr>
              <w:adjustRightInd w:val="0"/>
              <w:snapToGrid w:val="0"/>
              <w:spacing w:line="360" w:lineRule="auto"/>
              <w:jc w:val="center"/>
              <w:rPr>
                <w:rFonts w:ascii="宋体" w:hAnsi="宋体" w:eastAsia="宋体" w:cs="宋体"/>
                <w:color w:val="auto"/>
                <w:kern w:val="0"/>
                <w:sz w:val="20"/>
                <w:szCs w:val="21"/>
                <w:highlight w:val="none"/>
              </w:rPr>
            </w:pPr>
          </w:p>
        </w:tc>
      </w:tr>
      <w:tr w14:paraId="39E6D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496A4E64">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11AFC50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ED2F8D7">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251410D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1B757AC">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C89977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9C6B354">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68A660B2">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00527DD7">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7D61C90A">
            <w:pPr>
              <w:adjustRightInd w:val="0"/>
              <w:snapToGrid w:val="0"/>
              <w:spacing w:line="360" w:lineRule="auto"/>
              <w:jc w:val="center"/>
              <w:rPr>
                <w:rFonts w:ascii="宋体" w:hAnsi="宋体" w:eastAsia="宋体" w:cs="宋体"/>
                <w:color w:val="auto"/>
                <w:kern w:val="0"/>
                <w:sz w:val="20"/>
                <w:szCs w:val="21"/>
                <w:highlight w:val="none"/>
              </w:rPr>
            </w:pPr>
          </w:p>
        </w:tc>
      </w:tr>
      <w:tr w14:paraId="19C26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1E18A825">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7BD39F8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D893A3D">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4A0892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BBC2570">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A45618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22AEC4D">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6A8AB00D">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6D57AA9A">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3F57C82F">
            <w:pPr>
              <w:adjustRightInd w:val="0"/>
              <w:snapToGrid w:val="0"/>
              <w:spacing w:line="360" w:lineRule="auto"/>
              <w:jc w:val="center"/>
              <w:rPr>
                <w:rFonts w:ascii="宋体" w:hAnsi="宋体" w:eastAsia="宋体" w:cs="宋体"/>
                <w:color w:val="auto"/>
                <w:kern w:val="0"/>
                <w:sz w:val="20"/>
                <w:szCs w:val="21"/>
                <w:highlight w:val="none"/>
              </w:rPr>
            </w:pPr>
          </w:p>
        </w:tc>
      </w:tr>
      <w:tr w14:paraId="57749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4D2BEFF1">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14E7C9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E2303F0">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78AD993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CE0136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89ACD63">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518AD66">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4AE43126">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1F6F0150">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5B3B32A3">
            <w:pPr>
              <w:adjustRightInd w:val="0"/>
              <w:snapToGrid w:val="0"/>
              <w:spacing w:line="360" w:lineRule="auto"/>
              <w:jc w:val="center"/>
              <w:rPr>
                <w:rFonts w:ascii="宋体" w:hAnsi="宋体" w:eastAsia="宋体" w:cs="宋体"/>
                <w:color w:val="auto"/>
                <w:kern w:val="0"/>
                <w:sz w:val="20"/>
                <w:szCs w:val="21"/>
                <w:highlight w:val="none"/>
              </w:rPr>
            </w:pPr>
          </w:p>
        </w:tc>
      </w:tr>
      <w:tr w14:paraId="466B9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22F26BF">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792FA02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A870FF9">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68C7927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F2A43D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E0E4B0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BC43F1E">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932E28E">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45781628">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4EB0DB7B">
            <w:pPr>
              <w:adjustRightInd w:val="0"/>
              <w:snapToGrid w:val="0"/>
              <w:spacing w:line="360" w:lineRule="auto"/>
              <w:jc w:val="center"/>
              <w:rPr>
                <w:rFonts w:ascii="宋体" w:hAnsi="宋体" w:eastAsia="宋体" w:cs="宋体"/>
                <w:color w:val="auto"/>
                <w:kern w:val="0"/>
                <w:sz w:val="20"/>
                <w:szCs w:val="21"/>
                <w:highlight w:val="none"/>
              </w:rPr>
            </w:pPr>
          </w:p>
        </w:tc>
      </w:tr>
    </w:tbl>
    <w:p w14:paraId="2934C792">
      <w:pPr>
        <w:spacing w:line="20" w:lineRule="exact"/>
        <w:rPr>
          <w:color w:val="auto"/>
          <w:highlight w:val="none"/>
        </w:rPr>
      </w:pPr>
    </w:p>
    <w:p w14:paraId="1DFA9B90">
      <w:pPr>
        <w:adjustRightInd w:val="0"/>
        <w:snapToGrid w:val="0"/>
        <w:spacing w:line="360" w:lineRule="auto"/>
        <w:ind w:firstLine="420" w:firstLineChars="200"/>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注：1.项目管理机构包括：（1）必填项：项目经理、技术负责人、质量负责人、安全负责人、安全员、劳资专管员；（2）选填项：项目副经理、土建工程师、强电工程师、弱电工程师、暖通工程师、给排水工程师、造价工程师、测量工程师、BIM工程师、质量员、施工员、材料员、预算员、资料员、其他施工管理人员；</w:t>
      </w:r>
    </w:p>
    <w:p w14:paraId="332AA019">
      <w:pPr>
        <w:adjustRightInd w:val="0"/>
        <w:snapToGrid w:val="0"/>
        <w:spacing w:line="360" w:lineRule="auto"/>
        <w:ind w:firstLine="420" w:firstLineChars="200"/>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2.本表填报项目管理机构应与提交投标文件时投标子系统填报一致。</w:t>
      </w:r>
    </w:p>
    <w:p w14:paraId="2265D950">
      <w:pPr>
        <w:rPr>
          <w:b/>
          <w:bCs/>
          <w:color w:val="auto"/>
          <w:sz w:val="28"/>
          <w:highlight w:val="none"/>
        </w:rPr>
      </w:pPr>
      <w:r>
        <w:rPr>
          <w:rFonts w:hint="eastAsia"/>
          <w:b/>
          <w:bCs/>
          <w:color w:val="auto"/>
          <w:sz w:val="28"/>
          <w:highlight w:val="none"/>
        </w:rPr>
        <w:br w:type="page"/>
      </w:r>
    </w:p>
    <w:p w14:paraId="068530CF">
      <w:pPr>
        <w:adjustRightInd w:val="0"/>
        <w:snapToGrid w:val="0"/>
        <w:spacing w:line="360" w:lineRule="auto"/>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2.项目经理（建造师）简历表</w:t>
      </w:r>
      <w:r>
        <w:rPr>
          <w:rFonts w:hint="eastAsia" w:ascii="宋体" w:hAnsi="宋体" w:eastAsia="宋体" w:cs="宋体"/>
          <w:color w:val="auto"/>
          <w:highlight w:val="none"/>
        </w:rPr>
        <w:t>（每个项目只能一个，必填项）</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580"/>
        <w:gridCol w:w="470"/>
        <w:gridCol w:w="887"/>
        <w:gridCol w:w="194"/>
        <w:gridCol w:w="1397"/>
        <w:gridCol w:w="1975"/>
        <w:gridCol w:w="970"/>
        <w:gridCol w:w="496"/>
        <w:gridCol w:w="1354"/>
      </w:tblGrid>
      <w:tr w14:paraId="0C128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14:paraId="0587620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2131" w:type="dxa"/>
            <w:gridSpan w:val="4"/>
            <w:shd w:val="clear" w:color="auto" w:fill="auto"/>
            <w:vAlign w:val="center"/>
          </w:tcPr>
          <w:p w14:paraId="4836AC0C">
            <w:pPr>
              <w:adjustRightInd w:val="0"/>
              <w:snapToGrid w:val="0"/>
              <w:ind w:left="-107" w:leftChars="-51" w:right="-107" w:rightChars="-51"/>
              <w:rPr>
                <w:rFonts w:ascii="宋体" w:hAnsi="宋体" w:eastAsia="宋体" w:cs="宋体"/>
                <w:color w:val="auto"/>
                <w:kern w:val="0"/>
                <w:szCs w:val="21"/>
                <w:highlight w:val="none"/>
              </w:rPr>
            </w:pPr>
          </w:p>
        </w:tc>
        <w:tc>
          <w:tcPr>
            <w:tcW w:w="1397" w:type="dxa"/>
            <w:shd w:val="clear" w:color="auto" w:fill="auto"/>
            <w:vAlign w:val="center"/>
          </w:tcPr>
          <w:p w14:paraId="70116C9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1975" w:type="dxa"/>
            <w:shd w:val="clear" w:color="auto" w:fill="auto"/>
            <w:vAlign w:val="center"/>
          </w:tcPr>
          <w:p w14:paraId="3BC28C6C">
            <w:pPr>
              <w:adjustRightInd w:val="0"/>
              <w:snapToGrid w:val="0"/>
              <w:ind w:left="-107" w:leftChars="-51" w:right="-107" w:rightChars="-51"/>
              <w:rPr>
                <w:rFonts w:ascii="宋体" w:hAnsi="宋体" w:eastAsia="宋体" w:cs="宋体"/>
                <w:color w:val="auto"/>
                <w:kern w:val="0"/>
                <w:szCs w:val="21"/>
                <w:highlight w:val="none"/>
              </w:rPr>
            </w:pPr>
          </w:p>
        </w:tc>
        <w:tc>
          <w:tcPr>
            <w:tcW w:w="970" w:type="dxa"/>
            <w:shd w:val="clear" w:color="auto" w:fill="auto"/>
            <w:vAlign w:val="center"/>
          </w:tcPr>
          <w:p w14:paraId="2813482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shd w:val="clear" w:color="auto" w:fill="auto"/>
            <w:vAlign w:val="center"/>
          </w:tcPr>
          <w:p w14:paraId="4C7D1110">
            <w:pPr>
              <w:adjustRightInd w:val="0"/>
              <w:snapToGrid w:val="0"/>
              <w:ind w:left="-107" w:leftChars="-51" w:right="-107" w:rightChars="-51"/>
              <w:rPr>
                <w:rFonts w:ascii="宋体" w:hAnsi="宋体" w:eastAsia="宋体" w:cs="宋体"/>
                <w:color w:val="auto"/>
                <w:kern w:val="0"/>
                <w:szCs w:val="21"/>
                <w:highlight w:val="none"/>
              </w:rPr>
            </w:pPr>
          </w:p>
        </w:tc>
      </w:tr>
      <w:tr w14:paraId="5EC1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14:paraId="5A042874">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2131" w:type="dxa"/>
            <w:gridSpan w:val="4"/>
            <w:shd w:val="clear" w:color="auto" w:fill="auto"/>
            <w:vAlign w:val="center"/>
          </w:tcPr>
          <w:p w14:paraId="3C22E6B7">
            <w:pPr>
              <w:adjustRightInd w:val="0"/>
              <w:snapToGrid w:val="0"/>
              <w:ind w:left="-107" w:leftChars="-51" w:right="-107" w:rightChars="-51"/>
              <w:rPr>
                <w:rFonts w:ascii="宋体" w:hAnsi="宋体" w:eastAsia="宋体" w:cs="宋体"/>
                <w:color w:val="auto"/>
                <w:kern w:val="0"/>
                <w:szCs w:val="21"/>
                <w:highlight w:val="none"/>
              </w:rPr>
            </w:pPr>
          </w:p>
        </w:tc>
        <w:tc>
          <w:tcPr>
            <w:tcW w:w="1397" w:type="dxa"/>
            <w:shd w:val="clear" w:color="auto" w:fill="auto"/>
            <w:vAlign w:val="center"/>
          </w:tcPr>
          <w:p w14:paraId="68A4126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1975" w:type="dxa"/>
            <w:shd w:val="clear" w:color="auto" w:fill="auto"/>
            <w:vAlign w:val="center"/>
          </w:tcPr>
          <w:p w14:paraId="43D90C74">
            <w:pPr>
              <w:adjustRightInd w:val="0"/>
              <w:snapToGrid w:val="0"/>
              <w:ind w:left="-107" w:leftChars="-51" w:right="-107" w:rightChars="-51"/>
              <w:rPr>
                <w:rFonts w:ascii="宋体" w:hAnsi="宋体" w:eastAsia="宋体" w:cs="宋体"/>
                <w:color w:val="auto"/>
                <w:kern w:val="0"/>
                <w:szCs w:val="21"/>
                <w:highlight w:val="none"/>
              </w:rPr>
            </w:pPr>
          </w:p>
        </w:tc>
        <w:tc>
          <w:tcPr>
            <w:tcW w:w="970" w:type="dxa"/>
            <w:shd w:val="clear" w:color="auto" w:fill="auto"/>
            <w:vAlign w:val="center"/>
          </w:tcPr>
          <w:p w14:paraId="00D1C51A">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shd w:val="clear" w:color="auto" w:fill="auto"/>
            <w:vAlign w:val="center"/>
          </w:tcPr>
          <w:p w14:paraId="53836388">
            <w:pPr>
              <w:adjustRightInd w:val="0"/>
              <w:snapToGrid w:val="0"/>
              <w:ind w:left="-107" w:leftChars="-51" w:right="-107" w:rightChars="-51"/>
              <w:rPr>
                <w:rFonts w:ascii="宋体" w:hAnsi="宋体" w:eastAsia="宋体" w:cs="宋体"/>
                <w:color w:val="auto"/>
                <w:kern w:val="0"/>
                <w:szCs w:val="21"/>
                <w:highlight w:val="none"/>
              </w:rPr>
            </w:pPr>
          </w:p>
        </w:tc>
      </w:tr>
      <w:tr w14:paraId="4DDFE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14:paraId="66DE836D">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证件类型</w:t>
            </w:r>
          </w:p>
        </w:tc>
        <w:tc>
          <w:tcPr>
            <w:tcW w:w="2131" w:type="dxa"/>
            <w:gridSpan w:val="4"/>
            <w:shd w:val="clear" w:color="auto" w:fill="auto"/>
            <w:vAlign w:val="center"/>
          </w:tcPr>
          <w:p w14:paraId="0A635529">
            <w:pPr>
              <w:adjustRightInd w:val="0"/>
              <w:snapToGrid w:val="0"/>
              <w:ind w:left="-107" w:leftChars="-51" w:right="-107" w:rightChars="-51"/>
              <w:rPr>
                <w:rFonts w:ascii="宋体" w:hAnsi="宋体" w:eastAsia="宋体" w:cs="宋体"/>
                <w:color w:val="auto"/>
                <w:kern w:val="0"/>
                <w:sz w:val="20"/>
                <w:szCs w:val="21"/>
                <w:highlight w:val="none"/>
              </w:rPr>
            </w:pPr>
          </w:p>
        </w:tc>
        <w:tc>
          <w:tcPr>
            <w:tcW w:w="1397" w:type="dxa"/>
            <w:shd w:val="clear" w:color="auto" w:fill="auto"/>
            <w:vAlign w:val="center"/>
          </w:tcPr>
          <w:p w14:paraId="3B288AB3">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证件号码</w:t>
            </w:r>
          </w:p>
        </w:tc>
        <w:tc>
          <w:tcPr>
            <w:tcW w:w="1975" w:type="dxa"/>
            <w:shd w:val="clear" w:color="auto" w:fill="auto"/>
            <w:vAlign w:val="center"/>
          </w:tcPr>
          <w:p w14:paraId="01BE80E6">
            <w:pPr>
              <w:adjustRightInd w:val="0"/>
              <w:snapToGrid w:val="0"/>
              <w:ind w:left="-107" w:leftChars="-51" w:right="-107" w:rightChars="-51"/>
              <w:rPr>
                <w:rFonts w:ascii="宋体" w:hAnsi="宋体" w:eastAsia="宋体" w:cs="宋体"/>
                <w:color w:val="auto"/>
                <w:kern w:val="0"/>
                <w:sz w:val="20"/>
                <w:szCs w:val="21"/>
                <w:highlight w:val="none"/>
              </w:rPr>
            </w:pPr>
          </w:p>
        </w:tc>
        <w:tc>
          <w:tcPr>
            <w:tcW w:w="970" w:type="dxa"/>
            <w:shd w:val="clear" w:color="auto" w:fill="auto"/>
            <w:vAlign w:val="center"/>
          </w:tcPr>
          <w:p w14:paraId="02A45A9B">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手机号码</w:t>
            </w:r>
          </w:p>
        </w:tc>
        <w:tc>
          <w:tcPr>
            <w:tcW w:w="1850" w:type="dxa"/>
            <w:gridSpan w:val="2"/>
            <w:shd w:val="clear" w:color="auto" w:fill="auto"/>
            <w:vAlign w:val="center"/>
          </w:tcPr>
          <w:p w14:paraId="6BF4DD0B">
            <w:pPr>
              <w:adjustRightInd w:val="0"/>
              <w:snapToGrid w:val="0"/>
              <w:ind w:left="-107" w:leftChars="-51" w:right="-107" w:rightChars="-51"/>
              <w:rPr>
                <w:rFonts w:ascii="宋体" w:hAnsi="宋体" w:eastAsia="宋体" w:cs="宋体"/>
                <w:color w:val="auto"/>
                <w:kern w:val="0"/>
                <w:sz w:val="20"/>
                <w:szCs w:val="21"/>
                <w:highlight w:val="none"/>
              </w:rPr>
            </w:pPr>
          </w:p>
        </w:tc>
      </w:tr>
      <w:tr w14:paraId="55D08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7" w:type="dxa"/>
            <w:gridSpan w:val="3"/>
            <w:shd w:val="clear" w:color="auto" w:fill="auto"/>
            <w:vAlign w:val="center"/>
          </w:tcPr>
          <w:p w14:paraId="069E0E6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2478" w:type="dxa"/>
            <w:gridSpan w:val="3"/>
            <w:shd w:val="clear" w:color="auto" w:fill="auto"/>
            <w:vAlign w:val="center"/>
          </w:tcPr>
          <w:p w14:paraId="7CDDEE8D">
            <w:pPr>
              <w:adjustRightInd w:val="0"/>
              <w:snapToGrid w:val="0"/>
              <w:ind w:left="-107" w:leftChars="-51" w:right="-107" w:rightChars="-51"/>
              <w:rPr>
                <w:rFonts w:ascii="宋体" w:hAnsi="宋体" w:eastAsia="宋体" w:cs="宋体"/>
                <w:color w:val="auto"/>
                <w:kern w:val="0"/>
                <w:szCs w:val="21"/>
                <w:highlight w:val="none"/>
              </w:rPr>
            </w:pPr>
          </w:p>
        </w:tc>
        <w:tc>
          <w:tcPr>
            <w:tcW w:w="2945" w:type="dxa"/>
            <w:gridSpan w:val="2"/>
            <w:shd w:val="clear" w:color="auto" w:fill="auto"/>
            <w:vAlign w:val="center"/>
          </w:tcPr>
          <w:p w14:paraId="28D01633">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从事项目经理（建造师）年限</w:t>
            </w:r>
          </w:p>
        </w:tc>
        <w:tc>
          <w:tcPr>
            <w:tcW w:w="1850" w:type="dxa"/>
            <w:gridSpan w:val="2"/>
            <w:shd w:val="clear" w:color="auto" w:fill="auto"/>
            <w:vAlign w:val="center"/>
          </w:tcPr>
          <w:p w14:paraId="4BC515E4">
            <w:pPr>
              <w:adjustRightInd w:val="0"/>
              <w:snapToGrid w:val="0"/>
              <w:ind w:left="-107" w:leftChars="-51" w:right="-107" w:rightChars="-51"/>
              <w:rPr>
                <w:rFonts w:ascii="宋体" w:hAnsi="宋体" w:eastAsia="宋体" w:cs="宋体"/>
                <w:color w:val="auto"/>
                <w:kern w:val="0"/>
                <w:szCs w:val="21"/>
                <w:highlight w:val="none"/>
              </w:rPr>
            </w:pPr>
          </w:p>
        </w:tc>
      </w:tr>
      <w:tr w14:paraId="3E7A7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shd w:val="clear" w:color="auto" w:fill="auto"/>
            <w:vAlign w:val="center"/>
          </w:tcPr>
          <w:p w14:paraId="41436D70">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项目经理（建造师）</w:t>
            </w:r>
          </w:p>
          <w:p w14:paraId="42AD3ED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6" w:type="dxa"/>
            <w:gridSpan w:val="6"/>
            <w:shd w:val="clear" w:color="auto" w:fill="auto"/>
            <w:vAlign w:val="center"/>
          </w:tcPr>
          <w:p w14:paraId="381E68F1">
            <w:pPr>
              <w:adjustRightInd w:val="0"/>
              <w:snapToGrid w:val="0"/>
              <w:ind w:left="-107" w:leftChars="-51" w:right="-107" w:rightChars="-51"/>
              <w:rPr>
                <w:rFonts w:ascii="宋体" w:hAnsi="宋体" w:eastAsia="宋体" w:cs="宋体"/>
                <w:color w:val="auto"/>
                <w:kern w:val="0"/>
                <w:szCs w:val="21"/>
                <w:highlight w:val="none"/>
              </w:rPr>
            </w:pPr>
          </w:p>
        </w:tc>
      </w:tr>
      <w:tr w14:paraId="150C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0" w:type="dxa"/>
            <w:gridSpan w:val="10"/>
            <w:shd w:val="clear" w:color="auto" w:fill="auto"/>
            <w:vAlign w:val="center"/>
          </w:tcPr>
          <w:p w14:paraId="183925E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3A8B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1295AB9B">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551" w:type="dxa"/>
            <w:gridSpan w:val="3"/>
            <w:shd w:val="clear" w:color="auto" w:fill="auto"/>
            <w:vAlign w:val="center"/>
          </w:tcPr>
          <w:p w14:paraId="613A909E">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397" w:type="dxa"/>
            <w:shd w:val="clear" w:color="auto" w:fill="auto"/>
            <w:vAlign w:val="center"/>
          </w:tcPr>
          <w:p w14:paraId="02E8161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建设规模</w:t>
            </w:r>
          </w:p>
        </w:tc>
        <w:tc>
          <w:tcPr>
            <w:tcW w:w="1975" w:type="dxa"/>
            <w:shd w:val="clear" w:color="auto" w:fill="auto"/>
            <w:vAlign w:val="center"/>
          </w:tcPr>
          <w:p w14:paraId="122D79F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shd w:val="clear" w:color="auto" w:fill="auto"/>
            <w:vAlign w:val="center"/>
          </w:tcPr>
          <w:p w14:paraId="479C7C7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shd w:val="clear" w:color="auto" w:fill="auto"/>
            <w:vAlign w:val="center"/>
          </w:tcPr>
          <w:p w14:paraId="3860319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59258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7245295B">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5EE120E9">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E685D56">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291AC6A9">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38D2FB6C">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21D8748A">
            <w:pPr>
              <w:adjustRightInd w:val="0"/>
              <w:snapToGrid w:val="0"/>
              <w:spacing w:line="360" w:lineRule="auto"/>
              <w:rPr>
                <w:rFonts w:ascii="宋体" w:hAnsi="宋体" w:eastAsia="宋体" w:cs="宋体"/>
                <w:color w:val="auto"/>
                <w:kern w:val="0"/>
                <w:sz w:val="20"/>
                <w:szCs w:val="20"/>
                <w:highlight w:val="none"/>
              </w:rPr>
            </w:pPr>
          </w:p>
        </w:tc>
      </w:tr>
      <w:tr w14:paraId="6603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7EBEDDB9">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7C3889AA">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80CD6A7">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55041EF7">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3D660093">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4DFAD264">
            <w:pPr>
              <w:adjustRightInd w:val="0"/>
              <w:snapToGrid w:val="0"/>
              <w:spacing w:line="360" w:lineRule="auto"/>
              <w:rPr>
                <w:rFonts w:ascii="宋体" w:hAnsi="宋体" w:eastAsia="宋体" w:cs="宋体"/>
                <w:color w:val="auto"/>
                <w:kern w:val="0"/>
                <w:sz w:val="20"/>
                <w:szCs w:val="20"/>
                <w:highlight w:val="none"/>
              </w:rPr>
            </w:pPr>
          </w:p>
        </w:tc>
      </w:tr>
      <w:tr w14:paraId="0001D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5B1BA65">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1BEFBCE5">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022CF3D">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67F9E4DA">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1CC0023D">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31F1414D">
            <w:pPr>
              <w:adjustRightInd w:val="0"/>
              <w:snapToGrid w:val="0"/>
              <w:spacing w:line="360" w:lineRule="auto"/>
              <w:rPr>
                <w:rFonts w:ascii="宋体" w:hAnsi="宋体" w:eastAsia="宋体" w:cs="宋体"/>
                <w:color w:val="auto"/>
                <w:kern w:val="0"/>
                <w:sz w:val="20"/>
                <w:szCs w:val="20"/>
                <w:highlight w:val="none"/>
              </w:rPr>
            </w:pPr>
          </w:p>
        </w:tc>
      </w:tr>
      <w:tr w14:paraId="42E0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2FE3F9FC">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77330426">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7B6C6430">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13745642">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20D95338">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1708F4D0">
            <w:pPr>
              <w:adjustRightInd w:val="0"/>
              <w:snapToGrid w:val="0"/>
              <w:spacing w:line="360" w:lineRule="auto"/>
              <w:rPr>
                <w:rFonts w:ascii="宋体" w:hAnsi="宋体" w:eastAsia="宋体" w:cs="宋体"/>
                <w:color w:val="auto"/>
                <w:kern w:val="0"/>
                <w:sz w:val="20"/>
                <w:szCs w:val="20"/>
                <w:highlight w:val="none"/>
              </w:rPr>
            </w:pPr>
          </w:p>
        </w:tc>
      </w:tr>
      <w:tr w14:paraId="6E050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FE2823C">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66663A03">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81822DF">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66572310">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17C6EECF">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2A04E48C">
            <w:pPr>
              <w:adjustRightInd w:val="0"/>
              <w:snapToGrid w:val="0"/>
              <w:spacing w:line="360" w:lineRule="auto"/>
              <w:rPr>
                <w:rFonts w:ascii="宋体" w:hAnsi="宋体" w:eastAsia="宋体" w:cs="宋体"/>
                <w:color w:val="auto"/>
                <w:kern w:val="0"/>
                <w:sz w:val="20"/>
                <w:szCs w:val="20"/>
                <w:highlight w:val="none"/>
              </w:rPr>
            </w:pPr>
          </w:p>
        </w:tc>
      </w:tr>
      <w:tr w14:paraId="4F47D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C3E4F7A">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51D1217E">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772AC564">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78055AFD">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16BA8C2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725204FD">
            <w:pPr>
              <w:adjustRightInd w:val="0"/>
              <w:snapToGrid w:val="0"/>
              <w:spacing w:line="360" w:lineRule="auto"/>
              <w:rPr>
                <w:rFonts w:ascii="宋体" w:hAnsi="宋体" w:eastAsia="宋体" w:cs="宋体"/>
                <w:color w:val="auto"/>
                <w:kern w:val="0"/>
                <w:sz w:val="20"/>
                <w:szCs w:val="20"/>
                <w:highlight w:val="none"/>
              </w:rPr>
            </w:pPr>
          </w:p>
        </w:tc>
      </w:tr>
      <w:tr w14:paraId="08F0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1EA0E23D">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4658D0C2">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2A7178F">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5246D732">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2FE1E83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671870A6">
            <w:pPr>
              <w:adjustRightInd w:val="0"/>
              <w:snapToGrid w:val="0"/>
              <w:spacing w:line="360" w:lineRule="auto"/>
              <w:rPr>
                <w:rFonts w:ascii="宋体" w:hAnsi="宋体" w:eastAsia="宋体" w:cs="宋体"/>
                <w:color w:val="auto"/>
                <w:kern w:val="0"/>
                <w:sz w:val="20"/>
                <w:szCs w:val="20"/>
                <w:highlight w:val="none"/>
              </w:rPr>
            </w:pPr>
          </w:p>
        </w:tc>
      </w:tr>
      <w:tr w14:paraId="31EA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B690BB7">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49604C0F">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5962D8B">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0C331D57">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2C611850">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759473C0">
            <w:pPr>
              <w:adjustRightInd w:val="0"/>
              <w:snapToGrid w:val="0"/>
              <w:spacing w:line="360" w:lineRule="auto"/>
              <w:rPr>
                <w:rFonts w:ascii="宋体" w:hAnsi="宋体" w:eastAsia="宋体" w:cs="宋体"/>
                <w:color w:val="auto"/>
                <w:kern w:val="0"/>
                <w:sz w:val="20"/>
                <w:szCs w:val="20"/>
                <w:highlight w:val="none"/>
              </w:rPr>
            </w:pPr>
          </w:p>
        </w:tc>
      </w:tr>
      <w:tr w14:paraId="4189A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762974AB">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6B29CDA8">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0E02232">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55CD9BAE">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0D865868">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21C48F17">
            <w:pPr>
              <w:adjustRightInd w:val="0"/>
              <w:snapToGrid w:val="0"/>
              <w:spacing w:line="360" w:lineRule="auto"/>
              <w:rPr>
                <w:rFonts w:ascii="宋体" w:hAnsi="宋体" w:eastAsia="宋体" w:cs="宋体"/>
                <w:color w:val="auto"/>
                <w:kern w:val="0"/>
                <w:sz w:val="20"/>
                <w:szCs w:val="20"/>
                <w:highlight w:val="none"/>
              </w:rPr>
            </w:pPr>
          </w:p>
        </w:tc>
      </w:tr>
      <w:tr w14:paraId="171AD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2A84BCC4">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139BA74A">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378759C">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2F688AAE">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1B185150">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018CD824">
            <w:pPr>
              <w:adjustRightInd w:val="0"/>
              <w:snapToGrid w:val="0"/>
              <w:spacing w:line="360" w:lineRule="auto"/>
              <w:rPr>
                <w:rFonts w:ascii="宋体" w:hAnsi="宋体" w:eastAsia="宋体" w:cs="宋体"/>
                <w:color w:val="auto"/>
                <w:kern w:val="0"/>
                <w:sz w:val="20"/>
                <w:szCs w:val="20"/>
                <w:highlight w:val="none"/>
              </w:rPr>
            </w:pPr>
          </w:p>
        </w:tc>
      </w:tr>
      <w:tr w14:paraId="0EBE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0E56E02">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71FCED0E">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CA96915">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3903BB59">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1DFD6611">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63A7AFC9">
            <w:pPr>
              <w:adjustRightInd w:val="0"/>
              <w:snapToGrid w:val="0"/>
              <w:spacing w:line="360" w:lineRule="auto"/>
              <w:rPr>
                <w:rFonts w:ascii="宋体" w:hAnsi="宋体" w:eastAsia="宋体" w:cs="宋体"/>
                <w:color w:val="auto"/>
                <w:kern w:val="0"/>
                <w:sz w:val="20"/>
                <w:szCs w:val="20"/>
                <w:highlight w:val="none"/>
              </w:rPr>
            </w:pPr>
          </w:p>
        </w:tc>
      </w:tr>
      <w:tr w14:paraId="24E7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8ED7361">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734E350D">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4A3377C">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1B2284C0">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0A93F1D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27E18BEE">
            <w:pPr>
              <w:adjustRightInd w:val="0"/>
              <w:snapToGrid w:val="0"/>
              <w:spacing w:line="360" w:lineRule="auto"/>
              <w:rPr>
                <w:rFonts w:ascii="宋体" w:hAnsi="宋体" w:eastAsia="宋体" w:cs="宋体"/>
                <w:color w:val="auto"/>
                <w:kern w:val="0"/>
                <w:sz w:val="20"/>
                <w:szCs w:val="20"/>
                <w:highlight w:val="none"/>
              </w:rPr>
            </w:pPr>
          </w:p>
        </w:tc>
      </w:tr>
      <w:tr w14:paraId="7B72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832F587">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44A0BD0F">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688BE3A5">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0BEBB8E2">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6EB6895B">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1385CC14">
            <w:pPr>
              <w:adjustRightInd w:val="0"/>
              <w:snapToGrid w:val="0"/>
              <w:spacing w:line="360" w:lineRule="auto"/>
              <w:rPr>
                <w:rFonts w:ascii="宋体" w:hAnsi="宋体" w:eastAsia="宋体" w:cs="宋体"/>
                <w:color w:val="auto"/>
                <w:kern w:val="0"/>
                <w:sz w:val="20"/>
                <w:szCs w:val="20"/>
                <w:highlight w:val="none"/>
              </w:rPr>
            </w:pPr>
          </w:p>
        </w:tc>
      </w:tr>
      <w:tr w14:paraId="23023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563F2F09">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4A63853D">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60F1B033">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4D53C432">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3E88BB8A">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68FD741E">
            <w:pPr>
              <w:adjustRightInd w:val="0"/>
              <w:snapToGrid w:val="0"/>
              <w:spacing w:line="360" w:lineRule="auto"/>
              <w:rPr>
                <w:rFonts w:ascii="宋体" w:hAnsi="宋体" w:eastAsia="宋体" w:cs="宋体"/>
                <w:color w:val="auto"/>
                <w:kern w:val="0"/>
                <w:sz w:val="20"/>
                <w:szCs w:val="20"/>
                <w:highlight w:val="none"/>
              </w:rPr>
            </w:pPr>
          </w:p>
        </w:tc>
      </w:tr>
      <w:tr w14:paraId="3BFB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5744948E">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37A68A14">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4A3F2492">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2347811E">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06D8CF7E">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6B8E1144">
            <w:pPr>
              <w:adjustRightInd w:val="0"/>
              <w:snapToGrid w:val="0"/>
              <w:spacing w:line="360" w:lineRule="auto"/>
              <w:rPr>
                <w:rFonts w:ascii="宋体" w:hAnsi="宋体" w:eastAsia="宋体" w:cs="宋体"/>
                <w:color w:val="auto"/>
                <w:kern w:val="0"/>
                <w:sz w:val="20"/>
                <w:szCs w:val="20"/>
                <w:highlight w:val="none"/>
              </w:rPr>
            </w:pPr>
          </w:p>
        </w:tc>
      </w:tr>
    </w:tbl>
    <w:p w14:paraId="56BACE6E">
      <w:pPr>
        <w:spacing w:line="20" w:lineRule="exact"/>
        <w:rPr>
          <w:rFonts w:ascii="宋体" w:hAnsi="宋体" w:eastAsia="宋体" w:cs="宋体"/>
          <w:color w:val="auto"/>
          <w:highlight w:val="none"/>
        </w:rPr>
      </w:pPr>
      <w:r>
        <w:rPr>
          <w:rFonts w:hint="eastAsia" w:ascii="宋体" w:hAnsi="宋体" w:eastAsia="宋体" w:cs="宋体"/>
          <w:color w:val="auto"/>
          <w:highlight w:val="none"/>
        </w:rPr>
        <w:br w:type="page"/>
      </w:r>
    </w:p>
    <w:p w14:paraId="1557C839">
      <w:pPr>
        <w:adjustRightInd w:val="0"/>
        <w:snapToGrid w:val="0"/>
        <w:spacing w:line="360" w:lineRule="auto"/>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3.技术负责人简历表</w:t>
      </w:r>
      <w:r>
        <w:rPr>
          <w:rFonts w:hint="eastAsia" w:ascii="宋体" w:hAnsi="宋体" w:eastAsia="宋体" w:cs="宋体"/>
          <w:color w:val="auto"/>
          <w:highlight w:val="none"/>
        </w:rPr>
        <w:t>（每个项目只能一个，必填项）</w:t>
      </w:r>
    </w:p>
    <w:tbl>
      <w:tblPr>
        <w:tblStyle w:val="41"/>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21"/>
        <w:gridCol w:w="580"/>
        <w:gridCol w:w="1003"/>
        <w:gridCol w:w="1458"/>
        <w:gridCol w:w="1975"/>
        <w:gridCol w:w="178"/>
        <w:gridCol w:w="581"/>
        <w:gridCol w:w="505"/>
        <w:gridCol w:w="281"/>
        <w:gridCol w:w="1362"/>
      </w:tblGrid>
      <w:tr w14:paraId="68632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14:paraId="7440689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704" w:type="dxa"/>
            <w:gridSpan w:val="3"/>
            <w:shd w:val="clear" w:color="auto" w:fill="auto"/>
            <w:vAlign w:val="center"/>
          </w:tcPr>
          <w:p w14:paraId="2DB86CEC">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9C16DB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153" w:type="dxa"/>
            <w:gridSpan w:val="2"/>
            <w:shd w:val="clear" w:color="auto" w:fill="auto"/>
            <w:vAlign w:val="center"/>
          </w:tcPr>
          <w:p w14:paraId="56CD6BA4">
            <w:pPr>
              <w:adjustRightInd w:val="0"/>
              <w:snapToGrid w:val="0"/>
              <w:jc w:val="center"/>
              <w:rPr>
                <w:rFonts w:ascii="宋体" w:hAnsi="宋体" w:eastAsia="宋体" w:cs="宋体"/>
                <w:color w:val="auto"/>
                <w:kern w:val="0"/>
                <w:szCs w:val="21"/>
                <w:highlight w:val="none"/>
              </w:rPr>
            </w:pPr>
          </w:p>
        </w:tc>
        <w:tc>
          <w:tcPr>
            <w:tcW w:w="1086" w:type="dxa"/>
            <w:gridSpan w:val="2"/>
            <w:shd w:val="clear" w:color="auto" w:fill="auto"/>
            <w:vAlign w:val="center"/>
          </w:tcPr>
          <w:p w14:paraId="236F92A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643" w:type="dxa"/>
            <w:gridSpan w:val="2"/>
            <w:shd w:val="clear" w:color="auto" w:fill="auto"/>
            <w:vAlign w:val="center"/>
          </w:tcPr>
          <w:p w14:paraId="3E279EBF">
            <w:pPr>
              <w:adjustRightInd w:val="0"/>
              <w:snapToGrid w:val="0"/>
              <w:jc w:val="center"/>
              <w:rPr>
                <w:rFonts w:ascii="宋体" w:hAnsi="宋体" w:eastAsia="宋体" w:cs="宋体"/>
                <w:color w:val="auto"/>
                <w:kern w:val="0"/>
                <w:szCs w:val="21"/>
                <w:highlight w:val="none"/>
              </w:rPr>
            </w:pPr>
          </w:p>
        </w:tc>
      </w:tr>
      <w:tr w14:paraId="2605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14:paraId="317D80C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704" w:type="dxa"/>
            <w:gridSpan w:val="3"/>
            <w:shd w:val="clear" w:color="auto" w:fill="auto"/>
            <w:vAlign w:val="center"/>
          </w:tcPr>
          <w:p w14:paraId="0FAC93D8">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24BA2E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153" w:type="dxa"/>
            <w:gridSpan w:val="2"/>
            <w:shd w:val="clear" w:color="auto" w:fill="auto"/>
            <w:vAlign w:val="center"/>
          </w:tcPr>
          <w:p w14:paraId="2B2A8D50">
            <w:pPr>
              <w:adjustRightInd w:val="0"/>
              <w:snapToGrid w:val="0"/>
              <w:jc w:val="center"/>
              <w:rPr>
                <w:rFonts w:ascii="宋体" w:hAnsi="宋体" w:eastAsia="宋体" w:cs="宋体"/>
                <w:color w:val="auto"/>
                <w:kern w:val="0"/>
                <w:szCs w:val="21"/>
                <w:highlight w:val="none"/>
              </w:rPr>
            </w:pPr>
          </w:p>
        </w:tc>
        <w:tc>
          <w:tcPr>
            <w:tcW w:w="1086" w:type="dxa"/>
            <w:gridSpan w:val="2"/>
            <w:shd w:val="clear" w:color="auto" w:fill="auto"/>
            <w:vAlign w:val="center"/>
          </w:tcPr>
          <w:p w14:paraId="152773C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643" w:type="dxa"/>
            <w:gridSpan w:val="2"/>
            <w:shd w:val="clear" w:color="auto" w:fill="auto"/>
            <w:vAlign w:val="center"/>
          </w:tcPr>
          <w:p w14:paraId="6FAA4A82">
            <w:pPr>
              <w:adjustRightInd w:val="0"/>
              <w:snapToGrid w:val="0"/>
              <w:jc w:val="center"/>
              <w:rPr>
                <w:rFonts w:ascii="宋体" w:hAnsi="宋体" w:eastAsia="宋体" w:cs="宋体"/>
                <w:color w:val="auto"/>
                <w:kern w:val="0"/>
                <w:szCs w:val="21"/>
                <w:highlight w:val="none"/>
              </w:rPr>
            </w:pPr>
          </w:p>
        </w:tc>
      </w:tr>
      <w:tr w14:paraId="05336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14:paraId="6E6FEE28">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704" w:type="dxa"/>
            <w:gridSpan w:val="3"/>
            <w:shd w:val="clear" w:color="auto" w:fill="auto"/>
            <w:vAlign w:val="center"/>
          </w:tcPr>
          <w:p w14:paraId="2A52CAE1">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22B2DE7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4882" w:type="dxa"/>
            <w:gridSpan w:val="6"/>
            <w:shd w:val="clear" w:color="auto" w:fill="auto"/>
            <w:vAlign w:val="center"/>
          </w:tcPr>
          <w:p w14:paraId="136B2D40">
            <w:pPr>
              <w:adjustRightInd w:val="0"/>
              <w:snapToGrid w:val="0"/>
              <w:jc w:val="center"/>
              <w:rPr>
                <w:rFonts w:ascii="宋体" w:hAnsi="宋体" w:eastAsia="宋体" w:cs="宋体"/>
                <w:color w:val="auto"/>
                <w:kern w:val="0"/>
                <w:szCs w:val="21"/>
                <w:highlight w:val="none"/>
              </w:rPr>
            </w:pPr>
          </w:p>
        </w:tc>
      </w:tr>
      <w:tr w14:paraId="75211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14:paraId="09C5A73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2461" w:type="dxa"/>
            <w:gridSpan w:val="2"/>
            <w:shd w:val="clear" w:color="auto" w:fill="auto"/>
            <w:vAlign w:val="center"/>
          </w:tcPr>
          <w:p w14:paraId="52A4D16A">
            <w:pPr>
              <w:adjustRightInd w:val="0"/>
              <w:snapToGrid w:val="0"/>
              <w:jc w:val="center"/>
              <w:rPr>
                <w:rFonts w:ascii="宋体" w:hAnsi="宋体" w:eastAsia="宋体" w:cs="宋体"/>
                <w:color w:val="auto"/>
                <w:kern w:val="0"/>
                <w:szCs w:val="21"/>
                <w:highlight w:val="none"/>
              </w:rPr>
            </w:pPr>
          </w:p>
        </w:tc>
        <w:tc>
          <w:tcPr>
            <w:tcW w:w="2734" w:type="dxa"/>
            <w:gridSpan w:val="3"/>
            <w:shd w:val="clear" w:color="auto" w:fill="auto"/>
            <w:vAlign w:val="center"/>
          </w:tcPr>
          <w:p w14:paraId="4AF6616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证件号（职称证书编号）</w:t>
            </w:r>
          </w:p>
        </w:tc>
        <w:tc>
          <w:tcPr>
            <w:tcW w:w="2148" w:type="dxa"/>
            <w:gridSpan w:val="3"/>
            <w:shd w:val="clear" w:color="auto" w:fill="auto"/>
            <w:vAlign w:val="center"/>
          </w:tcPr>
          <w:p w14:paraId="2923C228">
            <w:pPr>
              <w:adjustRightInd w:val="0"/>
              <w:snapToGrid w:val="0"/>
              <w:jc w:val="center"/>
              <w:rPr>
                <w:rFonts w:ascii="宋体" w:hAnsi="宋体" w:eastAsia="宋体" w:cs="宋体"/>
                <w:color w:val="auto"/>
                <w:kern w:val="0"/>
                <w:szCs w:val="21"/>
                <w:highlight w:val="none"/>
              </w:rPr>
            </w:pPr>
          </w:p>
        </w:tc>
      </w:tr>
      <w:tr w14:paraId="6B4C3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14:paraId="1D8CB71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2461" w:type="dxa"/>
            <w:gridSpan w:val="2"/>
            <w:shd w:val="clear" w:color="auto" w:fill="auto"/>
            <w:vAlign w:val="center"/>
          </w:tcPr>
          <w:p w14:paraId="0BCFE5B3">
            <w:pPr>
              <w:adjustRightInd w:val="0"/>
              <w:snapToGrid w:val="0"/>
              <w:jc w:val="center"/>
              <w:rPr>
                <w:rFonts w:ascii="宋体" w:hAnsi="宋体" w:eastAsia="宋体" w:cs="宋体"/>
                <w:color w:val="auto"/>
                <w:kern w:val="0"/>
                <w:szCs w:val="21"/>
                <w:highlight w:val="none"/>
              </w:rPr>
            </w:pPr>
          </w:p>
        </w:tc>
        <w:tc>
          <w:tcPr>
            <w:tcW w:w="2734" w:type="dxa"/>
            <w:gridSpan w:val="3"/>
            <w:shd w:val="clear" w:color="auto" w:fill="auto"/>
            <w:vAlign w:val="center"/>
          </w:tcPr>
          <w:p w14:paraId="3AD5349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从事技术负责人年限</w:t>
            </w:r>
          </w:p>
        </w:tc>
        <w:tc>
          <w:tcPr>
            <w:tcW w:w="2148" w:type="dxa"/>
            <w:gridSpan w:val="3"/>
            <w:shd w:val="clear" w:color="auto" w:fill="auto"/>
            <w:vAlign w:val="center"/>
          </w:tcPr>
          <w:p w14:paraId="7B52B2D7">
            <w:pPr>
              <w:adjustRightInd w:val="0"/>
              <w:snapToGrid w:val="0"/>
              <w:jc w:val="center"/>
              <w:rPr>
                <w:rFonts w:ascii="宋体" w:hAnsi="宋体" w:eastAsia="宋体" w:cs="宋体"/>
                <w:color w:val="auto"/>
                <w:kern w:val="0"/>
                <w:szCs w:val="21"/>
                <w:highlight w:val="none"/>
              </w:rPr>
            </w:pPr>
          </w:p>
        </w:tc>
      </w:tr>
      <w:tr w14:paraId="48CC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7" w:type="dxa"/>
            <w:gridSpan w:val="11"/>
            <w:shd w:val="clear" w:color="auto" w:fill="auto"/>
            <w:vAlign w:val="center"/>
          </w:tcPr>
          <w:p w14:paraId="467FA5F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6B20B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10826C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583" w:type="dxa"/>
            <w:gridSpan w:val="2"/>
            <w:shd w:val="clear" w:color="auto" w:fill="auto"/>
            <w:vAlign w:val="center"/>
          </w:tcPr>
          <w:p w14:paraId="7E584BC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458" w:type="dxa"/>
            <w:shd w:val="clear" w:color="auto" w:fill="auto"/>
            <w:vAlign w:val="center"/>
          </w:tcPr>
          <w:p w14:paraId="7F9DEED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建设规模</w:t>
            </w:r>
          </w:p>
        </w:tc>
        <w:tc>
          <w:tcPr>
            <w:tcW w:w="1975" w:type="dxa"/>
            <w:shd w:val="clear" w:color="auto" w:fill="auto"/>
            <w:vAlign w:val="center"/>
          </w:tcPr>
          <w:p w14:paraId="355A04C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545" w:type="dxa"/>
            <w:gridSpan w:val="4"/>
            <w:shd w:val="clear" w:color="auto" w:fill="auto"/>
            <w:vAlign w:val="center"/>
          </w:tcPr>
          <w:p w14:paraId="0D3AB0D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62" w:type="dxa"/>
            <w:shd w:val="clear" w:color="auto" w:fill="auto"/>
            <w:vAlign w:val="center"/>
          </w:tcPr>
          <w:p w14:paraId="41CC0C2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2906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4CF00F53">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2912DC4">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101D0197">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3DBCC3BF">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3A53C7C9">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6C407E29">
            <w:pPr>
              <w:adjustRightInd w:val="0"/>
              <w:snapToGrid w:val="0"/>
              <w:jc w:val="center"/>
              <w:rPr>
                <w:rFonts w:ascii="宋体" w:hAnsi="宋体" w:eastAsia="宋体" w:cs="宋体"/>
                <w:color w:val="auto"/>
                <w:kern w:val="0"/>
                <w:szCs w:val="21"/>
                <w:highlight w:val="none"/>
              </w:rPr>
            </w:pPr>
          </w:p>
        </w:tc>
      </w:tr>
      <w:tr w14:paraId="43610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1E68849E">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11DBE454">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66EE1DBD">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00772D79">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6236BDBF">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BD971DB">
            <w:pPr>
              <w:adjustRightInd w:val="0"/>
              <w:snapToGrid w:val="0"/>
              <w:jc w:val="center"/>
              <w:rPr>
                <w:rFonts w:ascii="宋体" w:hAnsi="宋体" w:eastAsia="宋体" w:cs="宋体"/>
                <w:color w:val="auto"/>
                <w:kern w:val="0"/>
                <w:szCs w:val="21"/>
                <w:highlight w:val="none"/>
              </w:rPr>
            </w:pPr>
          </w:p>
        </w:tc>
      </w:tr>
      <w:tr w14:paraId="39D1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48140FB0">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67F64112">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73BF27D0">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3110C5C2">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59A1F3CB">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720E06A">
            <w:pPr>
              <w:adjustRightInd w:val="0"/>
              <w:snapToGrid w:val="0"/>
              <w:jc w:val="center"/>
              <w:rPr>
                <w:rFonts w:ascii="宋体" w:hAnsi="宋体" w:eastAsia="宋体" w:cs="宋体"/>
                <w:color w:val="auto"/>
                <w:kern w:val="0"/>
                <w:szCs w:val="21"/>
                <w:highlight w:val="none"/>
              </w:rPr>
            </w:pPr>
          </w:p>
        </w:tc>
      </w:tr>
      <w:tr w14:paraId="6B358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648F336B">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6FB95A70">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69391536">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72983993">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7219627A">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2B065363">
            <w:pPr>
              <w:adjustRightInd w:val="0"/>
              <w:snapToGrid w:val="0"/>
              <w:jc w:val="center"/>
              <w:rPr>
                <w:rFonts w:ascii="宋体" w:hAnsi="宋体" w:eastAsia="宋体" w:cs="宋体"/>
                <w:color w:val="auto"/>
                <w:kern w:val="0"/>
                <w:szCs w:val="21"/>
                <w:highlight w:val="none"/>
              </w:rPr>
            </w:pPr>
          </w:p>
        </w:tc>
      </w:tr>
      <w:tr w14:paraId="3728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2A7095B">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6941BBE4">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7F724C7">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4BB4C979">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481B7920">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40ACFE71">
            <w:pPr>
              <w:adjustRightInd w:val="0"/>
              <w:snapToGrid w:val="0"/>
              <w:jc w:val="center"/>
              <w:rPr>
                <w:rFonts w:ascii="宋体" w:hAnsi="宋体" w:eastAsia="宋体" w:cs="宋体"/>
                <w:color w:val="auto"/>
                <w:kern w:val="0"/>
                <w:szCs w:val="21"/>
                <w:highlight w:val="none"/>
              </w:rPr>
            </w:pPr>
          </w:p>
        </w:tc>
      </w:tr>
      <w:tr w14:paraId="0C85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365D7DE9">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78A3E15A">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51F84A43">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08EC4AED">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5C89F4B8">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18E9B4D4">
            <w:pPr>
              <w:adjustRightInd w:val="0"/>
              <w:snapToGrid w:val="0"/>
              <w:jc w:val="center"/>
              <w:rPr>
                <w:rFonts w:ascii="宋体" w:hAnsi="宋体" w:eastAsia="宋体" w:cs="宋体"/>
                <w:color w:val="auto"/>
                <w:kern w:val="0"/>
                <w:szCs w:val="21"/>
                <w:highlight w:val="none"/>
              </w:rPr>
            </w:pPr>
          </w:p>
        </w:tc>
      </w:tr>
      <w:tr w14:paraId="5338C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F49E91A">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00B64D15">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5FC01AA3">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7C4DE608">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3B4813A">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51ED4904">
            <w:pPr>
              <w:adjustRightInd w:val="0"/>
              <w:snapToGrid w:val="0"/>
              <w:jc w:val="center"/>
              <w:rPr>
                <w:rFonts w:ascii="宋体" w:hAnsi="宋体" w:eastAsia="宋体" w:cs="宋体"/>
                <w:color w:val="auto"/>
                <w:kern w:val="0"/>
                <w:szCs w:val="21"/>
                <w:highlight w:val="none"/>
              </w:rPr>
            </w:pPr>
          </w:p>
        </w:tc>
      </w:tr>
      <w:tr w14:paraId="041C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21F7022">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7E484C4F">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F2CAA1C">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5575946C">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6BE3A0B">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12D9E416">
            <w:pPr>
              <w:adjustRightInd w:val="0"/>
              <w:snapToGrid w:val="0"/>
              <w:jc w:val="center"/>
              <w:rPr>
                <w:rFonts w:ascii="宋体" w:hAnsi="宋体" w:eastAsia="宋体" w:cs="宋体"/>
                <w:color w:val="auto"/>
                <w:kern w:val="0"/>
                <w:szCs w:val="21"/>
                <w:highlight w:val="none"/>
              </w:rPr>
            </w:pPr>
          </w:p>
        </w:tc>
      </w:tr>
      <w:tr w14:paraId="25424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7B13F494">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104BF0F4">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188B74F3">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2AB59C60">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631D0899">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9734AA5">
            <w:pPr>
              <w:adjustRightInd w:val="0"/>
              <w:snapToGrid w:val="0"/>
              <w:jc w:val="center"/>
              <w:rPr>
                <w:rFonts w:ascii="宋体" w:hAnsi="宋体" w:eastAsia="宋体" w:cs="宋体"/>
                <w:color w:val="auto"/>
                <w:kern w:val="0"/>
                <w:szCs w:val="21"/>
                <w:highlight w:val="none"/>
              </w:rPr>
            </w:pPr>
          </w:p>
        </w:tc>
      </w:tr>
      <w:tr w14:paraId="12BE5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4A460109">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9840E9E">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23F8147">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3F291EDC">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5DA3BDF5">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5FE1AE15">
            <w:pPr>
              <w:adjustRightInd w:val="0"/>
              <w:snapToGrid w:val="0"/>
              <w:jc w:val="center"/>
              <w:rPr>
                <w:rFonts w:ascii="宋体" w:hAnsi="宋体" w:eastAsia="宋体" w:cs="宋体"/>
                <w:color w:val="auto"/>
                <w:kern w:val="0"/>
                <w:szCs w:val="21"/>
                <w:highlight w:val="none"/>
              </w:rPr>
            </w:pPr>
          </w:p>
        </w:tc>
      </w:tr>
      <w:tr w14:paraId="3313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948018B">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11FA6833">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986C287">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598949C0">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4DC888FF">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16B2139F">
            <w:pPr>
              <w:adjustRightInd w:val="0"/>
              <w:snapToGrid w:val="0"/>
              <w:jc w:val="center"/>
              <w:rPr>
                <w:rFonts w:ascii="宋体" w:hAnsi="宋体" w:eastAsia="宋体" w:cs="宋体"/>
                <w:color w:val="auto"/>
                <w:kern w:val="0"/>
                <w:szCs w:val="21"/>
                <w:highlight w:val="none"/>
              </w:rPr>
            </w:pPr>
          </w:p>
        </w:tc>
      </w:tr>
      <w:tr w14:paraId="172C5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0B739AC">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9187C98">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7016AEBA">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578CDF1C">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2461CC10">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3B45F074">
            <w:pPr>
              <w:adjustRightInd w:val="0"/>
              <w:snapToGrid w:val="0"/>
              <w:jc w:val="center"/>
              <w:rPr>
                <w:rFonts w:ascii="宋体" w:hAnsi="宋体" w:eastAsia="宋体" w:cs="宋体"/>
                <w:color w:val="auto"/>
                <w:kern w:val="0"/>
                <w:szCs w:val="21"/>
                <w:highlight w:val="none"/>
              </w:rPr>
            </w:pPr>
          </w:p>
        </w:tc>
      </w:tr>
      <w:tr w14:paraId="0B603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3656B6A">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2D77FF2F">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67BFD32C">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70606A93">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531D66C">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46DD7B28">
            <w:pPr>
              <w:adjustRightInd w:val="0"/>
              <w:snapToGrid w:val="0"/>
              <w:jc w:val="center"/>
              <w:rPr>
                <w:rFonts w:ascii="宋体" w:hAnsi="宋体" w:eastAsia="宋体" w:cs="宋体"/>
                <w:color w:val="auto"/>
                <w:kern w:val="0"/>
                <w:szCs w:val="21"/>
                <w:highlight w:val="none"/>
              </w:rPr>
            </w:pPr>
          </w:p>
        </w:tc>
      </w:tr>
      <w:tr w14:paraId="5D683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BAF1A72">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6813E1E9">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30E38802">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1D0181AC">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47D8F43F">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17166687">
            <w:pPr>
              <w:adjustRightInd w:val="0"/>
              <w:snapToGrid w:val="0"/>
              <w:jc w:val="center"/>
              <w:rPr>
                <w:rFonts w:ascii="宋体" w:hAnsi="宋体" w:eastAsia="宋体" w:cs="宋体"/>
                <w:color w:val="auto"/>
                <w:kern w:val="0"/>
                <w:szCs w:val="21"/>
                <w:highlight w:val="none"/>
              </w:rPr>
            </w:pPr>
          </w:p>
        </w:tc>
      </w:tr>
      <w:tr w14:paraId="2227F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40B7387">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AFDEF8E">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38142A7B">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278C4ED0">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2B37F589">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49166512">
            <w:pPr>
              <w:adjustRightInd w:val="0"/>
              <w:snapToGrid w:val="0"/>
              <w:jc w:val="center"/>
              <w:rPr>
                <w:rFonts w:ascii="宋体" w:hAnsi="宋体" w:eastAsia="宋体" w:cs="宋体"/>
                <w:color w:val="auto"/>
                <w:kern w:val="0"/>
                <w:szCs w:val="21"/>
                <w:highlight w:val="none"/>
              </w:rPr>
            </w:pPr>
          </w:p>
        </w:tc>
      </w:tr>
      <w:tr w14:paraId="3A538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34639FA3">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7B75D56A">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300CA853">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64D6630A">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40752C4E">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08E0B5A1">
            <w:pPr>
              <w:adjustRightInd w:val="0"/>
              <w:snapToGrid w:val="0"/>
              <w:jc w:val="center"/>
              <w:rPr>
                <w:rFonts w:ascii="宋体" w:hAnsi="宋体" w:eastAsia="宋体" w:cs="宋体"/>
                <w:color w:val="auto"/>
                <w:kern w:val="0"/>
                <w:szCs w:val="21"/>
                <w:highlight w:val="none"/>
              </w:rPr>
            </w:pPr>
          </w:p>
        </w:tc>
      </w:tr>
    </w:tbl>
    <w:p w14:paraId="7DB2B132">
      <w:pPr>
        <w:spacing w:line="20" w:lineRule="exact"/>
        <w:rPr>
          <w:rFonts w:ascii="宋体" w:hAnsi="宋体" w:eastAsia="宋体" w:cs="宋体"/>
          <w:color w:val="auto"/>
          <w:highlight w:val="none"/>
        </w:rPr>
      </w:pPr>
      <w:r>
        <w:rPr>
          <w:rFonts w:hint="eastAsia" w:ascii="宋体" w:hAnsi="宋体" w:eastAsia="宋体" w:cs="宋体"/>
          <w:color w:val="auto"/>
          <w:highlight w:val="none"/>
        </w:rPr>
        <w:br w:type="page"/>
      </w:r>
    </w:p>
    <w:p w14:paraId="63C24748">
      <w:pPr>
        <w:adjustRightInd w:val="0"/>
        <w:snapToGrid w:val="0"/>
        <w:spacing w:line="360" w:lineRule="auto"/>
        <w:ind w:firstLine="705"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4.质量负责人信息表</w:t>
      </w:r>
      <w:r>
        <w:rPr>
          <w:rFonts w:hint="eastAsia" w:ascii="宋体" w:hAnsi="宋体" w:eastAsia="宋体" w:cs="宋体"/>
          <w:color w:val="auto"/>
          <w:highlight w:val="none"/>
        </w:rPr>
        <w:t>（每个项目只能一个，必填项）</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65"/>
        <w:gridCol w:w="1200"/>
        <w:gridCol w:w="2606"/>
      </w:tblGrid>
      <w:tr w14:paraId="6041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4A91775F">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602324E7">
            <w:pPr>
              <w:adjustRightInd w:val="0"/>
              <w:snapToGrid w:val="0"/>
              <w:jc w:val="center"/>
              <w:rPr>
                <w:rFonts w:ascii="宋体" w:hAnsi="宋体" w:eastAsia="宋体" w:cs="宋体"/>
                <w:color w:val="auto"/>
                <w:szCs w:val="21"/>
                <w:highlight w:val="none"/>
              </w:rPr>
            </w:pPr>
          </w:p>
        </w:tc>
        <w:tc>
          <w:tcPr>
            <w:tcW w:w="1178" w:type="dxa"/>
            <w:vAlign w:val="center"/>
          </w:tcPr>
          <w:p w14:paraId="11736B7D">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65" w:type="dxa"/>
            <w:vAlign w:val="center"/>
          </w:tcPr>
          <w:p w14:paraId="78F8AB58">
            <w:pPr>
              <w:adjustRightInd w:val="0"/>
              <w:snapToGrid w:val="0"/>
              <w:jc w:val="center"/>
              <w:rPr>
                <w:rFonts w:ascii="宋体" w:hAnsi="宋体" w:eastAsia="宋体" w:cs="宋体"/>
                <w:color w:val="auto"/>
                <w:szCs w:val="21"/>
                <w:highlight w:val="none"/>
              </w:rPr>
            </w:pPr>
          </w:p>
        </w:tc>
        <w:tc>
          <w:tcPr>
            <w:tcW w:w="1200" w:type="dxa"/>
            <w:vAlign w:val="center"/>
          </w:tcPr>
          <w:p w14:paraId="439AE3B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606" w:type="dxa"/>
            <w:vAlign w:val="center"/>
          </w:tcPr>
          <w:p w14:paraId="7A7E9D01">
            <w:pPr>
              <w:adjustRightInd w:val="0"/>
              <w:snapToGrid w:val="0"/>
              <w:jc w:val="center"/>
              <w:rPr>
                <w:rFonts w:ascii="宋体" w:hAnsi="宋体" w:eastAsia="宋体" w:cs="宋体"/>
                <w:color w:val="auto"/>
                <w:szCs w:val="21"/>
                <w:highlight w:val="none"/>
              </w:rPr>
            </w:pPr>
          </w:p>
        </w:tc>
      </w:tr>
      <w:tr w14:paraId="2E8D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15868996">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71CF954B">
            <w:pPr>
              <w:adjustRightInd w:val="0"/>
              <w:snapToGrid w:val="0"/>
              <w:jc w:val="center"/>
              <w:rPr>
                <w:rFonts w:ascii="宋体" w:hAnsi="宋体" w:eastAsia="宋体" w:cs="宋体"/>
                <w:color w:val="auto"/>
                <w:szCs w:val="21"/>
                <w:highlight w:val="none"/>
              </w:rPr>
            </w:pPr>
          </w:p>
        </w:tc>
        <w:tc>
          <w:tcPr>
            <w:tcW w:w="2565" w:type="dxa"/>
            <w:gridSpan w:val="2"/>
            <w:vAlign w:val="center"/>
          </w:tcPr>
          <w:p w14:paraId="17252869">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证件号（质量员证编号）</w:t>
            </w:r>
          </w:p>
        </w:tc>
        <w:tc>
          <w:tcPr>
            <w:tcW w:w="2606" w:type="dxa"/>
            <w:vAlign w:val="center"/>
          </w:tcPr>
          <w:p w14:paraId="26C6DF55">
            <w:pPr>
              <w:adjustRightInd w:val="0"/>
              <w:snapToGrid w:val="0"/>
              <w:jc w:val="center"/>
              <w:rPr>
                <w:rFonts w:ascii="宋体" w:hAnsi="宋体" w:eastAsia="宋体" w:cs="宋体"/>
                <w:color w:val="auto"/>
                <w:szCs w:val="21"/>
                <w:highlight w:val="none"/>
              </w:rPr>
            </w:pPr>
          </w:p>
        </w:tc>
      </w:tr>
    </w:tbl>
    <w:p w14:paraId="7ACEAD6E">
      <w:pPr>
        <w:adjustRightInd w:val="0"/>
        <w:snapToGrid w:val="0"/>
        <w:spacing w:line="360" w:lineRule="auto"/>
        <w:ind w:firstLine="658" w:firstLineChars="234"/>
        <w:rPr>
          <w:rFonts w:ascii="宋体" w:hAnsi="宋体" w:eastAsia="宋体" w:cs="宋体"/>
          <w:b/>
          <w:bCs/>
          <w:color w:val="auto"/>
          <w:sz w:val="28"/>
          <w:highlight w:val="none"/>
        </w:rPr>
      </w:pPr>
    </w:p>
    <w:p w14:paraId="77639ACB">
      <w:pPr>
        <w:adjustRightInd w:val="0"/>
        <w:snapToGrid w:val="0"/>
        <w:spacing w:line="360" w:lineRule="auto"/>
        <w:ind w:firstLine="705"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5.安全负责人信息表</w:t>
      </w:r>
      <w:r>
        <w:rPr>
          <w:rFonts w:hint="eastAsia" w:ascii="宋体" w:hAnsi="宋体" w:eastAsia="宋体" w:cs="宋体"/>
          <w:color w:val="auto"/>
          <w:highlight w:val="none"/>
        </w:rPr>
        <w:t>（每个项目只能一个，必填项）</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00"/>
        <w:gridCol w:w="2591"/>
      </w:tblGrid>
      <w:tr w14:paraId="404B9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6B1FEE9A">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36C98F24">
            <w:pPr>
              <w:adjustRightInd w:val="0"/>
              <w:snapToGrid w:val="0"/>
              <w:jc w:val="center"/>
              <w:rPr>
                <w:rFonts w:ascii="宋体" w:hAnsi="宋体" w:eastAsia="宋体" w:cs="宋体"/>
                <w:color w:val="auto"/>
                <w:szCs w:val="21"/>
                <w:highlight w:val="none"/>
              </w:rPr>
            </w:pPr>
          </w:p>
        </w:tc>
        <w:tc>
          <w:tcPr>
            <w:tcW w:w="1178" w:type="dxa"/>
            <w:vAlign w:val="center"/>
          </w:tcPr>
          <w:p w14:paraId="71EE4FD7">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14:paraId="41F9C963">
            <w:pPr>
              <w:adjustRightInd w:val="0"/>
              <w:snapToGrid w:val="0"/>
              <w:jc w:val="center"/>
              <w:rPr>
                <w:rFonts w:ascii="宋体" w:hAnsi="宋体" w:eastAsia="宋体" w:cs="宋体"/>
                <w:color w:val="auto"/>
                <w:szCs w:val="21"/>
                <w:highlight w:val="none"/>
              </w:rPr>
            </w:pPr>
          </w:p>
        </w:tc>
        <w:tc>
          <w:tcPr>
            <w:tcW w:w="1200" w:type="dxa"/>
            <w:vAlign w:val="center"/>
          </w:tcPr>
          <w:p w14:paraId="78CF1CD4">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91" w:type="dxa"/>
            <w:vAlign w:val="center"/>
          </w:tcPr>
          <w:p w14:paraId="0C4A8ED3">
            <w:pPr>
              <w:adjustRightInd w:val="0"/>
              <w:snapToGrid w:val="0"/>
              <w:jc w:val="center"/>
              <w:rPr>
                <w:rFonts w:ascii="宋体" w:hAnsi="宋体" w:eastAsia="宋体" w:cs="宋体"/>
                <w:color w:val="auto"/>
                <w:szCs w:val="21"/>
                <w:highlight w:val="none"/>
              </w:rPr>
            </w:pPr>
          </w:p>
        </w:tc>
      </w:tr>
      <w:tr w14:paraId="4BA25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25F8DFB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3D65908B">
            <w:pPr>
              <w:adjustRightInd w:val="0"/>
              <w:snapToGrid w:val="0"/>
              <w:jc w:val="center"/>
              <w:rPr>
                <w:rFonts w:ascii="宋体" w:hAnsi="宋体" w:eastAsia="宋体" w:cs="宋体"/>
                <w:color w:val="auto"/>
                <w:szCs w:val="21"/>
                <w:highlight w:val="none"/>
              </w:rPr>
            </w:pPr>
          </w:p>
        </w:tc>
        <w:tc>
          <w:tcPr>
            <w:tcW w:w="2580" w:type="dxa"/>
            <w:gridSpan w:val="2"/>
            <w:vAlign w:val="center"/>
          </w:tcPr>
          <w:p w14:paraId="6E2A58F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证件号（C证编号）</w:t>
            </w:r>
          </w:p>
        </w:tc>
        <w:tc>
          <w:tcPr>
            <w:tcW w:w="2591" w:type="dxa"/>
            <w:vAlign w:val="center"/>
          </w:tcPr>
          <w:p w14:paraId="453F89A6">
            <w:pPr>
              <w:adjustRightInd w:val="0"/>
              <w:snapToGrid w:val="0"/>
              <w:jc w:val="center"/>
              <w:rPr>
                <w:rFonts w:ascii="宋体" w:hAnsi="宋体" w:eastAsia="宋体" w:cs="宋体"/>
                <w:color w:val="auto"/>
                <w:szCs w:val="21"/>
                <w:highlight w:val="none"/>
              </w:rPr>
            </w:pPr>
          </w:p>
        </w:tc>
      </w:tr>
    </w:tbl>
    <w:p w14:paraId="344DD7D0">
      <w:pPr>
        <w:adjustRightInd w:val="0"/>
        <w:snapToGrid w:val="0"/>
        <w:spacing w:line="360" w:lineRule="auto"/>
        <w:ind w:firstLine="658" w:firstLineChars="234"/>
        <w:rPr>
          <w:rFonts w:ascii="宋体" w:hAnsi="宋体" w:eastAsia="宋体" w:cs="宋体"/>
          <w:b/>
          <w:bCs/>
          <w:color w:val="auto"/>
          <w:sz w:val="28"/>
          <w:highlight w:val="none"/>
        </w:rPr>
      </w:pPr>
    </w:p>
    <w:p w14:paraId="71802925">
      <w:pPr>
        <w:adjustRightInd w:val="0"/>
        <w:snapToGrid w:val="0"/>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6.安全员信息表</w:t>
      </w:r>
      <w:r>
        <w:rPr>
          <w:rFonts w:hint="eastAsia" w:ascii="宋体" w:hAnsi="宋体" w:eastAsia="宋体" w:cs="宋体"/>
          <w:color w:val="auto"/>
          <w:highlight w:val="none"/>
        </w:rPr>
        <w:t>（每个项目可多个，必</w:t>
      </w:r>
      <w:r>
        <w:rPr>
          <w:rFonts w:hint="eastAsia" w:ascii="宋体" w:hAnsi="宋体" w:eastAsia="宋体" w:cs="宋体"/>
          <w:color w:val="auto"/>
          <w:szCs w:val="21"/>
          <w:highlight w:val="none"/>
        </w:rPr>
        <w:t>填项</w:t>
      </w:r>
      <w:r>
        <w:rPr>
          <w:rFonts w:hint="eastAsia" w:ascii="宋体" w:hAnsi="宋体" w:eastAsia="宋体" w:cs="宋体"/>
          <w:color w:val="auto"/>
          <w:highlight w:val="none"/>
        </w:rPr>
        <w:t>）</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14:paraId="46FE5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5FD707A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55A8FC86">
            <w:pPr>
              <w:adjustRightInd w:val="0"/>
              <w:snapToGrid w:val="0"/>
              <w:jc w:val="center"/>
              <w:rPr>
                <w:rFonts w:ascii="宋体" w:hAnsi="宋体" w:eastAsia="宋体" w:cs="宋体"/>
                <w:color w:val="auto"/>
                <w:szCs w:val="21"/>
                <w:highlight w:val="none"/>
              </w:rPr>
            </w:pPr>
          </w:p>
        </w:tc>
        <w:tc>
          <w:tcPr>
            <w:tcW w:w="1178" w:type="dxa"/>
            <w:vAlign w:val="center"/>
          </w:tcPr>
          <w:p w14:paraId="2F2799B8">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14:paraId="1E87A121">
            <w:pPr>
              <w:adjustRightInd w:val="0"/>
              <w:snapToGrid w:val="0"/>
              <w:jc w:val="center"/>
              <w:rPr>
                <w:rFonts w:ascii="宋体" w:hAnsi="宋体" w:eastAsia="宋体" w:cs="宋体"/>
                <w:color w:val="auto"/>
                <w:szCs w:val="21"/>
                <w:highlight w:val="none"/>
              </w:rPr>
            </w:pPr>
          </w:p>
        </w:tc>
        <w:tc>
          <w:tcPr>
            <w:tcW w:w="1215" w:type="dxa"/>
            <w:vAlign w:val="center"/>
          </w:tcPr>
          <w:p w14:paraId="3AF67405">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76" w:type="dxa"/>
            <w:vAlign w:val="center"/>
          </w:tcPr>
          <w:p w14:paraId="68359EE0">
            <w:pPr>
              <w:adjustRightInd w:val="0"/>
              <w:snapToGrid w:val="0"/>
              <w:jc w:val="center"/>
              <w:rPr>
                <w:rFonts w:ascii="宋体" w:hAnsi="宋体" w:eastAsia="宋体" w:cs="宋体"/>
                <w:color w:val="auto"/>
                <w:szCs w:val="21"/>
                <w:highlight w:val="none"/>
              </w:rPr>
            </w:pPr>
          </w:p>
        </w:tc>
      </w:tr>
      <w:tr w14:paraId="78E2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6FB11FFE">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7CB9A480">
            <w:pPr>
              <w:adjustRightInd w:val="0"/>
              <w:snapToGrid w:val="0"/>
              <w:jc w:val="center"/>
              <w:rPr>
                <w:rFonts w:ascii="宋体" w:hAnsi="宋体" w:eastAsia="宋体" w:cs="宋体"/>
                <w:color w:val="auto"/>
                <w:szCs w:val="21"/>
                <w:highlight w:val="none"/>
              </w:rPr>
            </w:pPr>
          </w:p>
        </w:tc>
        <w:tc>
          <w:tcPr>
            <w:tcW w:w="2595" w:type="dxa"/>
            <w:gridSpan w:val="2"/>
            <w:vAlign w:val="center"/>
          </w:tcPr>
          <w:p w14:paraId="1E560800">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证件号（C证编号）</w:t>
            </w:r>
          </w:p>
        </w:tc>
        <w:tc>
          <w:tcPr>
            <w:tcW w:w="2576" w:type="dxa"/>
            <w:vAlign w:val="center"/>
          </w:tcPr>
          <w:p w14:paraId="23962FF2">
            <w:pPr>
              <w:adjustRightInd w:val="0"/>
              <w:snapToGrid w:val="0"/>
              <w:jc w:val="center"/>
              <w:rPr>
                <w:rFonts w:ascii="宋体" w:hAnsi="宋体" w:eastAsia="宋体" w:cs="宋体"/>
                <w:color w:val="auto"/>
                <w:szCs w:val="21"/>
                <w:highlight w:val="none"/>
              </w:rPr>
            </w:pPr>
          </w:p>
        </w:tc>
      </w:tr>
    </w:tbl>
    <w:p w14:paraId="021E4075">
      <w:pPr>
        <w:adjustRightInd w:val="0"/>
        <w:snapToGrid w:val="0"/>
        <w:spacing w:line="360" w:lineRule="auto"/>
        <w:ind w:firstLine="658" w:firstLineChars="234"/>
        <w:rPr>
          <w:rFonts w:ascii="宋体" w:hAnsi="宋体" w:eastAsia="宋体" w:cs="宋体"/>
          <w:b/>
          <w:bCs/>
          <w:color w:val="auto"/>
          <w:sz w:val="28"/>
          <w:highlight w:val="none"/>
        </w:rPr>
      </w:pPr>
    </w:p>
    <w:p w14:paraId="552E4290">
      <w:pPr>
        <w:adjustRightInd w:val="0"/>
        <w:snapToGrid w:val="0"/>
        <w:spacing w:line="360" w:lineRule="auto"/>
        <w:ind w:firstLine="705"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7.劳资专管员信息表</w:t>
      </w:r>
      <w:r>
        <w:rPr>
          <w:rFonts w:hint="eastAsia" w:ascii="宋体" w:hAnsi="宋体" w:eastAsia="宋体" w:cs="宋体"/>
          <w:color w:val="auto"/>
          <w:highlight w:val="none"/>
        </w:rPr>
        <w:t>（每个项目可多个，</w:t>
      </w:r>
      <w:r>
        <w:rPr>
          <w:rFonts w:hint="eastAsia" w:ascii="宋体" w:hAnsi="宋体" w:eastAsia="宋体" w:cs="宋体"/>
          <w:color w:val="auto"/>
          <w:szCs w:val="21"/>
          <w:highlight w:val="none"/>
        </w:rPr>
        <w:t>必填项</w:t>
      </w:r>
      <w:r>
        <w:rPr>
          <w:rFonts w:hint="eastAsia" w:ascii="宋体" w:hAnsi="宋体" w:eastAsia="宋体" w:cs="宋体"/>
          <w:color w:val="auto"/>
          <w:highlight w:val="none"/>
        </w:rPr>
        <w:t>）</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14:paraId="1166A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2F9DF6D2">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5ADE7B8E">
            <w:pPr>
              <w:adjustRightInd w:val="0"/>
              <w:snapToGrid w:val="0"/>
              <w:jc w:val="center"/>
              <w:rPr>
                <w:rFonts w:ascii="宋体" w:hAnsi="宋体" w:eastAsia="宋体" w:cs="宋体"/>
                <w:color w:val="auto"/>
                <w:szCs w:val="21"/>
                <w:highlight w:val="none"/>
              </w:rPr>
            </w:pPr>
          </w:p>
        </w:tc>
        <w:tc>
          <w:tcPr>
            <w:tcW w:w="1178" w:type="dxa"/>
            <w:vAlign w:val="center"/>
          </w:tcPr>
          <w:p w14:paraId="71CC848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14:paraId="3064AE77">
            <w:pPr>
              <w:adjustRightInd w:val="0"/>
              <w:snapToGrid w:val="0"/>
              <w:jc w:val="center"/>
              <w:rPr>
                <w:rFonts w:ascii="宋体" w:hAnsi="宋体" w:eastAsia="宋体" w:cs="宋体"/>
                <w:color w:val="auto"/>
                <w:szCs w:val="21"/>
                <w:highlight w:val="none"/>
              </w:rPr>
            </w:pPr>
          </w:p>
        </w:tc>
        <w:tc>
          <w:tcPr>
            <w:tcW w:w="1215" w:type="dxa"/>
            <w:vAlign w:val="center"/>
          </w:tcPr>
          <w:p w14:paraId="4132D1B6">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76" w:type="dxa"/>
            <w:vAlign w:val="center"/>
          </w:tcPr>
          <w:p w14:paraId="4815A620">
            <w:pPr>
              <w:adjustRightInd w:val="0"/>
              <w:snapToGrid w:val="0"/>
              <w:jc w:val="center"/>
              <w:rPr>
                <w:rFonts w:ascii="宋体" w:hAnsi="宋体" w:eastAsia="宋体" w:cs="宋体"/>
                <w:color w:val="auto"/>
                <w:szCs w:val="21"/>
                <w:highlight w:val="none"/>
              </w:rPr>
            </w:pPr>
          </w:p>
        </w:tc>
      </w:tr>
      <w:tr w14:paraId="1E758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24891A42">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4CE90BB5">
            <w:pPr>
              <w:adjustRightInd w:val="0"/>
              <w:snapToGrid w:val="0"/>
              <w:jc w:val="center"/>
              <w:rPr>
                <w:rFonts w:ascii="宋体" w:hAnsi="宋体" w:eastAsia="宋体" w:cs="宋体"/>
                <w:color w:val="auto"/>
                <w:szCs w:val="21"/>
                <w:highlight w:val="none"/>
              </w:rPr>
            </w:pPr>
          </w:p>
        </w:tc>
        <w:tc>
          <w:tcPr>
            <w:tcW w:w="2595" w:type="dxa"/>
            <w:gridSpan w:val="2"/>
            <w:vAlign w:val="center"/>
          </w:tcPr>
          <w:p w14:paraId="57563B0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w:t>
            </w:r>
          </w:p>
        </w:tc>
        <w:tc>
          <w:tcPr>
            <w:tcW w:w="2576" w:type="dxa"/>
            <w:vAlign w:val="center"/>
          </w:tcPr>
          <w:p w14:paraId="5FC79D9F">
            <w:pPr>
              <w:adjustRightInd w:val="0"/>
              <w:snapToGrid w:val="0"/>
              <w:jc w:val="center"/>
              <w:rPr>
                <w:rFonts w:ascii="宋体" w:hAnsi="宋体" w:eastAsia="宋体" w:cs="宋体"/>
                <w:color w:val="auto"/>
                <w:szCs w:val="21"/>
                <w:highlight w:val="none"/>
              </w:rPr>
            </w:pPr>
          </w:p>
        </w:tc>
      </w:tr>
    </w:tbl>
    <w:p w14:paraId="7E415E6E">
      <w:pPr>
        <w:adjustRightInd w:val="0"/>
        <w:snapToGrid w:val="0"/>
        <w:spacing w:line="360" w:lineRule="auto"/>
        <w:ind w:firstLine="658" w:firstLineChars="234"/>
        <w:rPr>
          <w:rFonts w:ascii="宋体" w:hAnsi="宋体" w:eastAsia="宋体" w:cs="宋体"/>
          <w:b/>
          <w:bCs/>
          <w:color w:val="auto"/>
          <w:sz w:val="28"/>
          <w:highlight w:val="none"/>
        </w:rPr>
      </w:pPr>
    </w:p>
    <w:p w14:paraId="2310A61E">
      <w:pPr>
        <w:adjustRightInd w:val="0"/>
        <w:snapToGrid w:val="0"/>
        <w:spacing w:line="360" w:lineRule="auto"/>
        <w:ind w:firstLine="705" w:firstLineChars="234"/>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8.项目管理机构情况辅助证明材料</w:t>
      </w:r>
    </w:p>
    <w:p w14:paraId="18B8A883">
      <w:pPr>
        <w:adjustRightInd w:val="0"/>
        <w:snapToGrid w:val="0"/>
        <w:spacing w:line="360" w:lineRule="auto"/>
        <w:ind w:firstLine="420" w:firstLineChars="200"/>
        <w:rPr>
          <w:color w:val="auto"/>
          <w:highlight w:val="none"/>
        </w:rPr>
      </w:pPr>
      <w:r>
        <w:rPr>
          <w:rFonts w:hint="eastAsia"/>
          <w:color w:val="auto"/>
          <w:highlight w:val="none"/>
        </w:rPr>
        <w:t>…………</w:t>
      </w:r>
    </w:p>
    <w:p w14:paraId="126AE044">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注：辅助证明材料主要包括管理机构设置、职责分工、有关社保证明等复印证明资料以及投标人认为有必要提供的资料，辅助说明资料格式不做统一规定，由投标人自行设计。</w:t>
      </w:r>
      <w:r>
        <w:rPr>
          <w:rFonts w:ascii="楷体_GB2312" w:eastAsia="楷体_GB2312"/>
          <w:color w:val="auto"/>
          <w:highlight w:val="none"/>
        </w:rPr>
        <w:br w:type="page"/>
      </w:r>
    </w:p>
    <w:p w14:paraId="6E0A4A6C">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三、项目拟分包情况</w:t>
      </w:r>
    </w:p>
    <w:p w14:paraId="5CAAB88F">
      <w:pPr>
        <w:adjustRightInd w:val="0"/>
        <w:snapToGrid w:val="0"/>
        <w:spacing w:line="360" w:lineRule="auto"/>
        <w:jc w:val="center"/>
        <w:rPr>
          <w:b/>
          <w:bCs/>
          <w:color w:val="auto"/>
          <w:sz w:val="28"/>
          <w:highlight w:val="none"/>
        </w:rPr>
      </w:pPr>
      <w:r>
        <w:rPr>
          <w:rFonts w:hint="eastAsia" w:ascii="宋体" w:hAnsi="宋体" w:eastAsia="宋体" w:cs="宋体"/>
          <w:b/>
          <w:bCs/>
          <w:color w:val="auto"/>
          <w:sz w:val="30"/>
          <w:szCs w:val="30"/>
          <w:highlight w:val="none"/>
        </w:rPr>
        <w:t>项目分包情况表</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9"/>
        <w:gridCol w:w="2129"/>
        <w:gridCol w:w="2904"/>
        <w:gridCol w:w="1548"/>
      </w:tblGrid>
      <w:tr w14:paraId="11F7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0EE8A947">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分包的工程项目</w:t>
            </w:r>
          </w:p>
        </w:tc>
        <w:tc>
          <w:tcPr>
            <w:tcW w:w="2129" w:type="dxa"/>
            <w:shd w:val="clear" w:color="auto" w:fill="auto"/>
            <w:vAlign w:val="center"/>
          </w:tcPr>
          <w:p w14:paraId="44F57FB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分包人名称</w:t>
            </w:r>
          </w:p>
        </w:tc>
        <w:tc>
          <w:tcPr>
            <w:tcW w:w="2904" w:type="dxa"/>
            <w:shd w:val="clear" w:color="auto" w:fill="auto"/>
            <w:vAlign w:val="center"/>
          </w:tcPr>
          <w:p w14:paraId="6396B592">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分包项目造价（万元）</w:t>
            </w:r>
          </w:p>
        </w:tc>
        <w:tc>
          <w:tcPr>
            <w:tcW w:w="1548" w:type="dxa"/>
            <w:shd w:val="clear" w:color="auto" w:fill="auto"/>
            <w:vAlign w:val="center"/>
          </w:tcPr>
          <w:p w14:paraId="38ED28D3">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备注</w:t>
            </w:r>
          </w:p>
        </w:tc>
      </w:tr>
      <w:tr w14:paraId="3AA25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2B86F1C">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5F1742D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07F58DA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27C7331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99D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6422CB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19B949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10C155A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415E016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47956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7B16C81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58390B3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26FEF49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74C52FD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63AF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0A7D8A7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09B90FF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371C1F3C">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41E6172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6AA13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634764F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763B93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3AE9A55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16B49362">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AD6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1419215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CE1D54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B59E01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6D0BB68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5D8A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491C6FB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0BC06A1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121AF2B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366B1DC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2AA9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731ED6B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771936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DFBF75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753E676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41216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3356FDB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69F8EF82">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0E9DF51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B85011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F5E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083A747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3F2AD97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35B14281">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37675E2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45B1C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0C4916A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4A2814E2">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17D4725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1B6CCB3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0E5F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5527F95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5508727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ACF987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1D942D8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409D2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E917611">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DF17E7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04065B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748989A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669D2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0308FD0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66F7DA4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07E452A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F2F74F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7FEF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9072FB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115ED14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30FBE5F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259A2D1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7116B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3A4C6C3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A04A53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214157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42EEF5C2">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E3D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1C46B70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34CCA59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7346D9D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4945E6E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6D8A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761BF33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5357E4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5D466DD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51B1349D">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bl>
    <w:p w14:paraId="4F8BF97E">
      <w:pPr>
        <w:spacing w:line="20" w:lineRule="exact"/>
        <w:rPr>
          <w:color w:val="auto"/>
          <w:highlight w:val="none"/>
        </w:rPr>
      </w:pPr>
    </w:p>
    <w:p w14:paraId="59DCAE57">
      <w:pPr>
        <w:spacing w:line="20" w:lineRule="exact"/>
        <w:rPr>
          <w:color w:val="auto"/>
          <w:highlight w:val="none"/>
        </w:rPr>
      </w:pPr>
    </w:p>
    <w:p w14:paraId="12CD5301">
      <w:pPr>
        <w:spacing w:line="20" w:lineRule="exact"/>
        <w:rPr>
          <w:color w:val="auto"/>
          <w:highlight w:val="none"/>
        </w:rPr>
      </w:pPr>
    </w:p>
    <w:p w14:paraId="1BFEE088">
      <w:pPr>
        <w:spacing w:line="20" w:lineRule="exact"/>
        <w:rPr>
          <w:color w:val="auto"/>
          <w:highlight w:val="none"/>
        </w:rPr>
        <w:sectPr>
          <w:pgSz w:w="11907" w:h="16840"/>
          <w:pgMar w:top="1417" w:right="1417" w:bottom="1417" w:left="1417" w:header="851" w:footer="851" w:gutter="0"/>
          <w:pgNumType w:fmt="decimal"/>
          <w:cols w:space="425" w:num="1"/>
          <w:docGrid w:type="lines" w:linePitch="312" w:charSpace="0"/>
        </w:sectPr>
      </w:pPr>
    </w:p>
    <w:p w14:paraId="31CAE280">
      <w:pPr>
        <w:adjustRightInd w:val="0"/>
        <w:snapToGrid w:val="0"/>
        <w:spacing w:line="360" w:lineRule="auto"/>
        <w:ind w:firstLine="5140" w:firstLineChars="16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_____________</w:t>
      </w:r>
    </w:p>
    <w:p w14:paraId="36E5C38F">
      <w:pPr>
        <w:adjustRightInd w:val="0"/>
        <w:snapToGrid w:val="0"/>
        <w:spacing w:line="360" w:lineRule="auto"/>
        <w:rPr>
          <w:rFonts w:ascii="宋体" w:hAnsi="宋体" w:eastAsia="宋体" w:cs="宋体"/>
          <w:b/>
          <w:bCs/>
          <w:color w:val="auto"/>
          <w:sz w:val="28"/>
          <w:highlight w:val="none"/>
        </w:rPr>
      </w:pPr>
    </w:p>
    <w:p w14:paraId="529FF572">
      <w:pPr>
        <w:adjustRightInd w:val="0"/>
        <w:snapToGrid w:val="0"/>
        <w:spacing w:line="360" w:lineRule="auto"/>
        <w:rPr>
          <w:rFonts w:ascii="宋体" w:hAnsi="宋体" w:eastAsia="宋体" w:cs="宋体"/>
          <w:b/>
          <w:bCs/>
          <w:color w:val="auto"/>
          <w:sz w:val="28"/>
          <w:highlight w:val="none"/>
        </w:rPr>
      </w:pPr>
    </w:p>
    <w:p w14:paraId="4EFB00F4">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5D09E08B">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6669DE44">
      <w:pPr>
        <w:adjustRightInd w:val="0"/>
        <w:snapToGrid w:val="0"/>
        <w:spacing w:line="360" w:lineRule="auto"/>
        <w:jc w:val="center"/>
        <w:rPr>
          <w:rFonts w:ascii="宋体" w:hAnsi="宋体" w:eastAsia="宋体" w:cs="宋体"/>
          <w:b/>
          <w:color w:val="auto"/>
          <w:sz w:val="72"/>
          <w:highlight w:val="none"/>
        </w:rPr>
      </w:pPr>
    </w:p>
    <w:p w14:paraId="04E84886">
      <w:pPr>
        <w:adjustRightInd w:val="0"/>
        <w:snapToGrid w:val="0"/>
        <w:spacing w:line="360" w:lineRule="auto"/>
        <w:jc w:val="center"/>
        <w:rPr>
          <w:rFonts w:ascii="宋体" w:hAnsi="宋体" w:eastAsia="宋体" w:cs="宋体"/>
          <w:b/>
          <w:color w:val="auto"/>
          <w:sz w:val="72"/>
          <w:highlight w:val="none"/>
        </w:rPr>
      </w:pPr>
    </w:p>
    <w:p w14:paraId="6A401BEC">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14:paraId="0981EBA6">
      <w:pPr>
        <w:adjustRightInd w:val="0"/>
        <w:snapToGrid w:val="0"/>
        <w:spacing w:line="360" w:lineRule="auto"/>
        <w:rPr>
          <w:rFonts w:ascii="宋体" w:hAnsi="宋体" w:eastAsia="宋体" w:cs="宋体"/>
          <w:b/>
          <w:color w:val="auto"/>
          <w:sz w:val="32"/>
          <w:highlight w:val="none"/>
        </w:rPr>
      </w:pPr>
    </w:p>
    <w:p w14:paraId="371960F9">
      <w:pPr>
        <w:adjustRightInd w:val="0"/>
        <w:snapToGrid w:val="0"/>
        <w:spacing w:line="360" w:lineRule="auto"/>
        <w:outlineLvl w:val="1"/>
        <w:rPr>
          <w:rFonts w:ascii="宋体" w:hAnsi="宋体" w:eastAsia="宋体" w:cs="宋体"/>
          <w:b/>
          <w:color w:val="auto"/>
          <w:sz w:val="32"/>
          <w:highlight w:val="none"/>
        </w:rPr>
      </w:pPr>
      <w:bookmarkStart w:id="5048" w:name="_Toc820"/>
      <w:bookmarkStart w:id="5049" w:name="_Toc17383"/>
      <w:bookmarkStart w:id="5050" w:name="_Toc27938"/>
      <w:bookmarkStart w:id="5051" w:name="_Toc12915"/>
      <w:bookmarkStart w:id="5052" w:name="_Toc24917"/>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BIM标部分</w:t>
      </w:r>
      <w:bookmarkEnd w:id="5048"/>
      <w:bookmarkEnd w:id="5049"/>
      <w:bookmarkEnd w:id="5050"/>
      <w:bookmarkEnd w:id="5051"/>
      <w:bookmarkEnd w:id="5052"/>
      <w:r>
        <w:rPr>
          <w:rFonts w:hint="eastAsia" w:ascii="宋体" w:hAnsi="宋体" w:eastAsia="宋体" w:cs="宋体"/>
          <w:b/>
          <w:color w:val="auto"/>
          <w:sz w:val="52"/>
          <w:highlight w:val="none"/>
          <w:u w:val="single"/>
        </w:rPr>
        <w:t xml:space="preserve">       </w:t>
      </w:r>
    </w:p>
    <w:p w14:paraId="1001EB37">
      <w:pPr>
        <w:adjustRightInd w:val="0"/>
        <w:snapToGrid w:val="0"/>
        <w:spacing w:line="360" w:lineRule="auto"/>
        <w:rPr>
          <w:rFonts w:ascii="宋体" w:hAnsi="宋体" w:eastAsia="宋体" w:cs="宋体"/>
          <w:b/>
          <w:color w:val="auto"/>
          <w:sz w:val="32"/>
          <w:highlight w:val="none"/>
        </w:rPr>
      </w:pPr>
    </w:p>
    <w:p w14:paraId="4F7F6123">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14:paraId="602CD951">
      <w:pPr>
        <w:adjustRightInd w:val="0"/>
        <w:snapToGrid w:val="0"/>
        <w:spacing w:line="360" w:lineRule="auto"/>
        <w:rPr>
          <w:rFonts w:ascii="宋体" w:hAnsi="宋体" w:eastAsia="宋体" w:cs="宋体"/>
          <w:b/>
          <w:color w:val="auto"/>
          <w:sz w:val="32"/>
          <w:highlight w:val="none"/>
        </w:rPr>
      </w:pPr>
    </w:p>
    <w:p w14:paraId="2C58F4E6">
      <w:pPr>
        <w:adjustRightInd w:val="0"/>
        <w:snapToGrid w:val="0"/>
        <w:spacing w:line="360" w:lineRule="auto"/>
        <w:rPr>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14:paraId="4B167567">
      <w:pPr>
        <w:adjustRightInd w:val="0"/>
        <w:snapToGrid w:val="0"/>
        <w:spacing w:line="360" w:lineRule="auto"/>
        <w:rPr>
          <w:rFonts w:ascii="宋体"/>
          <w:color w:val="auto"/>
          <w:highlight w:val="none"/>
        </w:rPr>
      </w:pPr>
    </w:p>
    <w:p w14:paraId="67BF6609">
      <w:pPr>
        <w:adjustRightInd w:val="0"/>
        <w:snapToGrid w:val="0"/>
        <w:spacing w:line="360" w:lineRule="auto"/>
        <w:ind w:firstLine="880" w:firstLineChars="200"/>
        <w:jc w:val="center"/>
        <w:rPr>
          <w:rFonts w:hAnsi="宋体"/>
          <w:b/>
          <w:color w:val="auto"/>
          <w:kern w:val="0"/>
          <w:sz w:val="44"/>
          <w:szCs w:val="44"/>
          <w:highlight w:val="none"/>
        </w:rPr>
      </w:pPr>
      <w:r>
        <w:rPr>
          <w:rFonts w:hint="eastAsia" w:hAnsi="宋体"/>
          <w:b/>
          <w:color w:val="auto"/>
          <w:kern w:val="0"/>
          <w:sz w:val="44"/>
          <w:szCs w:val="44"/>
          <w:highlight w:val="none"/>
        </w:rPr>
        <w:t>BIM标编写目录及要求</w:t>
      </w:r>
    </w:p>
    <w:p w14:paraId="617DCDFE">
      <w:pPr>
        <w:adjustRightInd w:val="0"/>
        <w:snapToGrid w:val="0"/>
        <w:spacing w:line="360" w:lineRule="auto"/>
        <w:rPr>
          <w:rFonts w:ascii="宋体"/>
          <w:b/>
          <w:color w:val="auto"/>
          <w:kern w:val="0"/>
          <w:sz w:val="28"/>
          <w:highlight w:val="none"/>
        </w:rPr>
      </w:pPr>
    </w:p>
    <w:p w14:paraId="57F94C65">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招标人要求投标人编制BIM标书的，应在招标文件中明确列出BIM标部分要求，包括</w:t>
      </w:r>
      <w:bookmarkStart w:id="5053" w:name="_Hlk520143922"/>
      <w:r>
        <w:rPr>
          <w:rFonts w:hint="eastAsia" w:ascii="宋体" w:hAnsi="宋体"/>
          <w:color w:val="auto"/>
          <w:kern w:val="0"/>
          <w:szCs w:val="21"/>
          <w:highlight w:val="none"/>
        </w:rPr>
        <w:t>BIM实施方案评审、模型、进度、场布、工艺、资金资源、清单、直接费等的编制要求。</w:t>
      </w:r>
      <w:bookmarkEnd w:id="5053"/>
      <w:r>
        <w:rPr>
          <w:rFonts w:hint="eastAsia" w:ascii="宋体" w:hAnsi="宋体"/>
          <w:color w:val="auto"/>
          <w:kern w:val="0"/>
          <w:szCs w:val="21"/>
          <w:highlight w:val="none"/>
        </w:rPr>
        <w:t>招标人可以限制B</w:t>
      </w:r>
      <w:r>
        <w:rPr>
          <w:rFonts w:ascii="宋体" w:hAnsi="宋体"/>
          <w:color w:val="auto"/>
          <w:kern w:val="0"/>
          <w:szCs w:val="21"/>
          <w:highlight w:val="none"/>
        </w:rPr>
        <w:t>IM</w:t>
      </w:r>
      <w:r>
        <w:rPr>
          <w:rFonts w:hint="eastAsia" w:ascii="宋体" w:hAnsi="宋体"/>
          <w:color w:val="auto"/>
          <w:kern w:val="0"/>
          <w:szCs w:val="21"/>
          <w:highlight w:val="none"/>
        </w:rPr>
        <w:t>标部分的最大文件存储量。</w:t>
      </w:r>
    </w:p>
    <w:p w14:paraId="08F80102">
      <w:pPr>
        <w:adjustRightInd w:val="0"/>
        <w:snapToGrid w:val="0"/>
        <w:spacing w:line="360" w:lineRule="auto"/>
        <w:jc w:val="center"/>
        <w:rPr>
          <w:rFonts w:ascii="宋体" w:hAnsi="宋体"/>
          <w:color w:val="auto"/>
          <w:kern w:val="0"/>
          <w:sz w:val="32"/>
          <w:highlight w:val="none"/>
        </w:rPr>
      </w:pPr>
    </w:p>
    <w:p w14:paraId="13A46B6D">
      <w:pPr>
        <w:adjustRightInd w:val="0"/>
        <w:snapToGrid w:val="0"/>
        <w:spacing w:line="360" w:lineRule="auto"/>
        <w:jc w:val="center"/>
        <w:rPr>
          <w:rFonts w:ascii="宋体"/>
          <w:b/>
          <w:color w:val="auto"/>
          <w:kern w:val="0"/>
          <w:sz w:val="32"/>
          <w:highlight w:val="none"/>
        </w:rPr>
      </w:pPr>
      <w:r>
        <w:rPr>
          <w:rFonts w:hint="eastAsia" w:ascii="宋体"/>
          <w:b/>
          <w:color w:val="auto"/>
          <w:kern w:val="0"/>
          <w:sz w:val="32"/>
          <w:highlight w:val="none"/>
        </w:rPr>
        <w:t>本节编写指南</w:t>
      </w:r>
    </w:p>
    <w:p w14:paraId="395BF2F7">
      <w:pPr>
        <w:adjustRightInd w:val="0"/>
        <w:snapToGrid w:val="0"/>
        <w:spacing w:line="360" w:lineRule="auto"/>
        <w:ind w:firstLine="1365" w:firstLineChars="650"/>
        <w:rPr>
          <w:rFonts w:ascii="宋体" w:hAnsi="宋体"/>
          <w:color w:val="auto"/>
          <w:kern w:val="0"/>
          <w:szCs w:val="21"/>
          <w:highlight w:val="none"/>
        </w:rPr>
      </w:pPr>
      <w:r>
        <w:rPr>
          <w:rFonts w:hint="eastAsia" w:ascii="宋体" w:hAnsi="宋体"/>
          <w:color w:val="auto"/>
          <w:kern w:val="0"/>
          <w:szCs w:val="21"/>
          <w:highlight w:val="none"/>
        </w:rPr>
        <w:t>（仅供参考，不作评审依据，评审的内容详见“评审项目”）</w:t>
      </w:r>
    </w:p>
    <w:p w14:paraId="66D912BD">
      <w:pPr>
        <w:adjustRightInd w:val="0"/>
        <w:snapToGrid w:val="0"/>
        <w:spacing w:line="360" w:lineRule="auto"/>
        <w:rPr>
          <w:rFonts w:ascii="宋体"/>
          <w:b/>
          <w:color w:val="auto"/>
          <w:kern w:val="0"/>
          <w:szCs w:val="21"/>
          <w:highlight w:val="none"/>
        </w:rPr>
      </w:pPr>
      <w:r>
        <w:rPr>
          <w:rFonts w:hint="eastAsia" w:ascii="宋体"/>
          <w:b/>
          <w:color w:val="auto"/>
          <w:kern w:val="0"/>
          <w:szCs w:val="21"/>
          <w:highlight w:val="none"/>
        </w:rPr>
        <w:t xml:space="preserve">第一章 </w:t>
      </w:r>
      <w:r>
        <w:rPr>
          <w:rFonts w:ascii="宋体"/>
          <w:b/>
          <w:color w:val="auto"/>
          <w:kern w:val="0"/>
          <w:szCs w:val="21"/>
          <w:highlight w:val="none"/>
        </w:rPr>
        <w:t xml:space="preserve"> </w:t>
      </w:r>
      <w:r>
        <w:rPr>
          <w:rFonts w:hint="eastAsia" w:ascii="宋体"/>
          <w:b/>
          <w:color w:val="auto"/>
          <w:kern w:val="0"/>
          <w:szCs w:val="21"/>
          <w:highlight w:val="none"/>
        </w:rPr>
        <w:t>BIM实施方案</w:t>
      </w:r>
    </w:p>
    <w:p w14:paraId="740FB8B4">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该部分考察投标人的</w:t>
      </w:r>
      <w:r>
        <w:rPr>
          <w:rFonts w:ascii="宋体" w:hAnsi="宋体"/>
          <w:color w:val="auto"/>
          <w:kern w:val="0"/>
          <w:szCs w:val="21"/>
          <w:highlight w:val="none"/>
        </w:rPr>
        <w:t>BIM</w:t>
      </w:r>
      <w:r>
        <w:rPr>
          <w:rFonts w:hint="eastAsia" w:ascii="宋体" w:hAnsi="宋体"/>
          <w:color w:val="auto"/>
          <w:kern w:val="0"/>
          <w:szCs w:val="21"/>
          <w:highlight w:val="none"/>
        </w:rPr>
        <w:t>综合应用能力。</w:t>
      </w:r>
    </w:p>
    <w:p w14:paraId="43EA5562">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BIM应用实施方案应包括以下内容：</w:t>
      </w:r>
      <w:r>
        <w:rPr>
          <w:rFonts w:ascii="宋体" w:hAnsi="宋体"/>
          <w:color w:val="auto"/>
          <w:kern w:val="0"/>
          <w:szCs w:val="21"/>
          <w:highlight w:val="none"/>
        </w:rPr>
        <w:t xml:space="preserve"> </w:t>
      </w:r>
    </w:p>
    <w:p w14:paraId="0AC79AFD">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1 工程概况； </w:t>
      </w:r>
    </w:p>
    <w:p w14:paraId="0C9CE7D9">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2 编制依据； </w:t>
      </w:r>
    </w:p>
    <w:p w14:paraId="58BCF260">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3 应用预期目标和效益； </w:t>
      </w:r>
    </w:p>
    <w:p w14:paraId="7322D441">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4 应用内容和范围； </w:t>
      </w:r>
    </w:p>
    <w:p w14:paraId="6C0D20EB">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5 应用人员组织和相应职责； </w:t>
      </w:r>
    </w:p>
    <w:p w14:paraId="147A3E65">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6 应用流程； </w:t>
      </w:r>
    </w:p>
    <w:p w14:paraId="62CBDE9F">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7 模型创建、使用和管理要求； </w:t>
      </w:r>
    </w:p>
    <w:p w14:paraId="21680A12">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8 信息交换要求； </w:t>
      </w:r>
    </w:p>
    <w:p w14:paraId="093CF0C9">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9 模型质量控制规则； </w:t>
      </w:r>
    </w:p>
    <w:p w14:paraId="16CB6269">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10 进度计划和模型交付要求； </w:t>
      </w:r>
    </w:p>
    <w:p w14:paraId="2CC4D9C8">
      <w:pPr>
        <w:adjustRightInd w:val="0"/>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11 应用基础技术条件要求，包括软硬件的选择，以及软件版本。</w:t>
      </w:r>
    </w:p>
    <w:p w14:paraId="360F8FEB">
      <w:pPr>
        <w:adjustRightInd w:val="0"/>
        <w:snapToGrid w:val="0"/>
        <w:spacing w:line="360" w:lineRule="auto"/>
        <w:ind w:firstLine="420" w:firstLineChars="200"/>
        <w:rPr>
          <w:rFonts w:hint="eastAsia" w:ascii="宋体" w:hAnsi="宋体"/>
          <w:color w:val="auto"/>
          <w:kern w:val="0"/>
          <w:szCs w:val="21"/>
          <w:highlight w:val="none"/>
        </w:rPr>
      </w:pPr>
    </w:p>
    <w:p w14:paraId="1C0F1152">
      <w:pPr>
        <w:widowControl/>
        <w:jc w:val="left"/>
        <w:rPr>
          <w:rFonts w:hint="eastAsia" w:ascii="宋体" w:hAnsi="宋体"/>
          <w:color w:val="auto"/>
          <w:kern w:val="0"/>
          <w:szCs w:val="21"/>
          <w:highlight w:val="none"/>
        </w:rPr>
      </w:pPr>
      <w:r>
        <w:rPr>
          <w:rFonts w:hint="eastAsia" w:ascii="宋体" w:hAnsi="宋体"/>
          <w:color w:val="auto"/>
          <w:kern w:val="0"/>
          <w:szCs w:val="21"/>
          <w:highlight w:val="none"/>
        </w:rPr>
        <w:br w:type="page"/>
      </w:r>
    </w:p>
    <w:p w14:paraId="3E0AC6D9">
      <w:pPr>
        <w:spacing w:line="20" w:lineRule="exact"/>
        <w:rPr>
          <w:rFonts w:hint="eastAsia" w:ascii="宋体" w:hAnsi="宋体"/>
          <w:color w:val="auto"/>
          <w:kern w:val="0"/>
          <w:szCs w:val="21"/>
          <w:highlight w:val="none"/>
        </w:rPr>
        <w:sectPr>
          <w:pgSz w:w="11907" w:h="16840"/>
          <w:pgMar w:top="1417" w:right="1417" w:bottom="1417" w:left="1417" w:header="851" w:footer="851" w:gutter="0"/>
          <w:pgNumType w:fmt="decimal"/>
          <w:cols w:space="425" w:num="1"/>
          <w:docGrid w:type="lines" w:linePitch="312" w:charSpace="0"/>
        </w:sectPr>
      </w:pPr>
    </w:p>
    <w:p w14:paraId="1DC69267">
      <w:pPr>
        <w:spacing w:line="20" w:lineRule="exact"/>
        <w:rPr>
          <w:color w:val="auto"/>
          <w:highlight w:val="none"/>
        </w:rPr>
      </w:pPr>
    </w:p>
    <w:p w14:paraId="4EBC979C">
      <w:pPr>
        <w:adjustRightInd w:val="0"/>
        <w:snapToGrid w:val="0"/>
        <w:spacing w:line="360" w:lineRule="auto"/>
        <w:jc w:val="center"/>
        <w:outlineLvl w:val="0"/>
        <w:rPr>
          <w:rFonts w:ascii="黑体" w:hAnsi="黑体" w:eastAsia="黑体" w:cs="黑体"/>
          <w:bCs/>
          <w:color w:val="auto"/>
          <w:sz w:val="32"/>
          <w:szCs w:val="32"/>
          <w:highlight w:val="none"/>
        </w:rPr>
      </w:pPr>
      <w:bookmarkStart w:id="5054" w:name="_Toc20318"/>
      <w:bookmarkStart w:id="5055" w:name="_Toc10054"/>
      <w:bookmarkStart w:id="5056" w:name="_Toc19950"/>
      <w:bookmarkStart w:id="5057" w:name="_Toc24860"/>
      <w:bookmarkStart w:id="5058" w:name="_Toc13871"/>
      <w:bookmarkStart w:id="5059" w:name="_Toc4697"/>
      <w:r>
        <w:rPr>
          <w:rFonts w:hint="eastAsia" w:ascii="黑体" w:hAnsi="黑体" w:eastAsia="黑体" w:cs="黑体"/>
          <w:bCs/>
          <w:color w:val="auto"/>
          <w:sz w:val="32"/>
          <w:szCs w:val="32"/>
          <w:highlight w:val="none"/>
        </w:rPr>
        <w:t>第十章  担保书格式</w:t>
      </w:r>
      <w:bookmarkEnd w:id="5054"/>
      <w:bookmarkEnd w:id="5055"/>
      <w:bookmarkEnd w:id="5056"/>
      <w:bookmarkEnd w:id="5057"/>
      <w:bookmarkEnd w:id="5058"/>
      <w:bookmarkEnd w:id="5059"/>
    </w:p>
    <w:p w14:paraId="66176140">
      <w:pPr>
        <w:adjustRightInd w:val="0"/>
        <w:snapToGrid w:val="0"/>
        <w:spacing w:line="360" w:lineRule="auto"/>
        <w:jc w:val="center"/>
        <w:outlineLvl w:val="0"/>
        <w:rPr>
          <w:rFonts w:ascii="黑体" w:hAnsi="黑体" w:eastAsia="黑体" w:cs="黑体"/>
          <w:bCs/>
          <w:color w:val="auto"/>
          <w:sz w:val="32"/>
          <w:szCs w:val="32"/>
          <w:highlight w:val="none"/>
        </w:rPr>
      </w:pPr>
    </w:p>
    <w:p w14:paraId="26030B0B">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不可撤销支付保函</w:t>
      </w:r>
    </w:p>
    <w:p w14:paraId="2BE5303F">
      <w:pPr>
        <w:adjustRightInd w:val="0"/>
        <w:snapToGrid w:val="0"/>
        <w:spacing w:line="360" w:lineRule="auto"/>
        <w:ind w:firstLine="5460" w:firstLineChars="26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color w:val="auto"/>
          <w:szCs w:val="21"/>
          <w:highlight w:val="none"/>
          <w:u w:val="single"/>
        </w:rPr>
        <w:t xml:space="preserve">      </w:t>
      </w:r>
    </w:p>
    <w:p w14:paraId="0339EAE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（下称受益人）：</w:t>
      </w:r>
    </w:p>
    <w:p w14:paraId="32D6EA9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（下称被保证人）已与贵方签订了工程编号为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w:t>
      </w:r>
    </w:p>
    <w:p w14:paraId="5CE2BA1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工程的施工合同（下称合同），工期自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。我方接受被保证人的委托，在此向受益人提供不可撤销的工程款支付保证：</w:t>
      </w:r>
    </w:p>
    <w:p w14:paraId="07CF705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一、本保证担保的最高担保金额为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（币种）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元（小写）</w:t>
      </w:r>
    </w:p>
    <w:p w14:paraId="194B5A0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（大写）。</w:t>
      </w:r>
    </w:p>
    <w:p w14:paraId="24D3FA2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6AF7B8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三、在本保证担保的保证期间内，我方将在收到受益人经法定代表人或其授权委托代理人签字并加盖公章的书面索赔通知后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个工作日内，不争辩、不挑剔、不可撤销地向受益人支付索赔款，直至本保证担保的最高担保金额。</w:t>
      </w:r>
    </w:p>
    <w:p w14:paraId="271C480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四、索赔通知应当说明索赔理由，并必须在本保证担保的保证期间内送达我方。</w:t>
      </w:r>
    </w:p>
    <w:p w14:paraId="1DD1F56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五、本保证担保项下的权利不得转让。</w:t>
      </w:r>
    </w:p>
    <w:p w14:paraId="1536D50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六、我方提供本保证担保后，受益人与被保证人对合同进行修订的，应当将修订后的合同原件送我方备案。</w:t>
      </w:r>
    </w:p>
    <w:p w14:paraId="2806DB4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七、本保证担保的保证期间届满，或我方向受益人支付的索赔款已达本保证担保的最高担保金额，我方的保证责任免除。</w:t>
      </w:r>
    </w:p>
    <w:p w14:paraId="599E021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14:paraId="5482369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九、本保证担保以中文文本为准，涂改无效。</w:t>
      </w:r>
    </w:p>
    <w:p w14:paraId="2A085AFE">
      <w:pPr>
        <w:adjustRightInd w:val="0"/>
        <w:snapToGrid w:val="0"/>
        <w:spacing w:line="360" w:lineRule="auto"/>
        <w:ind w:firstLine="420" w:firstLineChars="200"/>
        <w:rPr>
          <w:rFonts w:ascii="宋体" w:hAnsi="宋体" w:eastAsia="宋体" w:cs="宋体"/>
          <w:color w:val="auto"/>
          <w:szCs w:val="21"/>
          <w:highlight w:val="none"/>
        </w:rPr>
      </w:pPr>
    </w:p>
    <w:p w14:paraId="47E14EB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（盖章）</w:t>
      </w:r>
    </w:p>
    <w:p w14:paraId="55E41A7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color w:val="auto"/>
          <w:szCs w:val="21"/>
          <w:highlight w:val="none"/>
          <w:u w:val="single"/>
        </w:rPr>
        <w:t xml:space="preserve">      </w:t>
      </w:r>
    </w:p>
    <w:p w14:paraId="5C9FE27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 xml:space="preserve">      </w:t>
      </w:r>
    </w:p>
    <w:p w14:paraId="672F703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 xml:space="preserve">      </w:t>
      </w:r>
    </w:p>
    <w:p w14:paraId="11D9BF2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w:t>
      </w:r>
    </w:p>
    <w:p w14:paraId="5885DC9D">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（本保函失效后，请将原件退回我方注销）</w:t>
      </w:r>
      <w:r>
        <w:rPr>
          <w:rFonts w:hint="eastAsia" w:ascii="宋体" w:hAnsi="宋体" w:eastAsia="宋体" w:cs="宋体"/>
          <w:color w:val="auto"/>
          <w:highlight w:val="none"/>
        </w:rPr>
        <w:br w:type="page"/>
      </w:r>
    </w:p>
    <w:p w14:paraId="62EA78FB">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不可撤销履约保函</w:t>
      </w:r>
    </w:p>
    <w:p w14:paraId="08950402">
      <w:pPr>
        <w:adjustRightInd w:val="0"/>
        <w:snapToGrid w:val="0"/>
        <w:spacing w:line="360" w:lineRule="auto"/>
        <w:ind w:firstLine="5460" w:firstLineChars="26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bCs/>
          <w:color w:val="auto"/>
          <w:szCs w:val="21"/>
          <w:highlight w:val="none"/>
          <w:u w:val="single"/>
        </w:rPr>
        <w:t xml:space="preserve">      </w:t>
      </w:r>
    </w:p>
    <w:p w14:paraId="7A4C0D7F">
      <w:pPr>
        <w:adjustRightInd w:val="0"/>
        <w:snapToGrid w:val="0"/>
        <w:spacing w:line="440" w:lineRule="exact"/>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（下称受益人）：</w:t>
      </w:r>
    </w:p>
    <w:p w14:paraId="5AD31594">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（下称被保证人）已与贵方签订了工程编号为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的</w:t>
      </w:r>
    </w:p>
    <w:p w14:paraId="16FB63B5">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工程的施工合同（下称合同），工期自</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。我方接受被保证人的委托，在此向受益人提供不可撤销的履约保证：</w:t>
      </w:r>
    </w:p>
    <w:p w14:paraId="349AD9A1">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一、本保证担保的最高担保金额为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（币种）</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元（小写）</w:t>
      </w:r>
    </w:p>
    <w:p w14:paraId="60CF6531">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（大写）。</w:t>
      </w:r>
    </w:p>
    <w:p w14:paraId="79A9E8C9">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二、本保证担保的保证期间自</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w:t>
      </w:r>
    </w:p>
    <w:p w14:paraId="6050B85D">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三、在本保证担保的保证期间内，我方将在收到受益人、该工程监理公司（全称：</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）两方法定代表人或其授权委托代理人签字确认并加盖公章的书面索赔通知后</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个工作日内，不争辩、不挑剔、不可撤销地向受益人支付索赔款，直至本保证担保的最高担保金额。</w:t>
      </w:r>
    </w:p>
    <w:p w14:paraId="23C9AE4F">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四、索赔通知应当说明索赔理由、索赔款额的计算方法，并必须在本保证担保的保证期间内送达我方。</w:t>
      </w:r>
    </w:p>
    <w:p w14:paraId="37AF445B">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五、本保证担保项下的权利不得转让。</w:t>
      </w:r>
    </w:p>
    <w:p w14:paraId="3B726CBD">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六、我方提供本保证担保后，受益人与被保证人对合同进行修订的，应当将修订后的合同原件送我方备案。</w:t>
      </w:r>
    </w:p>
    <w:p w14:paraId="21C53FCE">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七、本保证担保的保证期间届满，或我方向受益人支付的索赔款已达本保证担保的最高担保金额，我方的保证责任免除。</w:t>
      </w:r>
    </w:p>
    <w:p w14:paraId="5290DFDE">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14:paraId="7CA8CD66">
      <w:pPr>
        <w:adjustRightInd w:val="0"/>
        <w:snapToGrid w:val="0"/>
        <w:spacing w:line="440" w:lineRule="exact"/>
        <w:ind w:firstLine="420" w:firstLineChars="200"/>
        <w:rPr>
          <w:rFonts w:ascii="宋体" w:hAnsi="宋体" w:eastAsia="宋体" w:cs="宋体"/>
          <w:b/>
          <w:bCs/>
          <w:color w:val="auto"/>
          <w:szCs w:val="21"/>
          <w:highlight w:val="none"/>
        </w:rPr>
      </w:pPr>
      <w:r>
        <w:rPr>
          <w:rFonts w:hint="eastAsia" w:ascii="宋体" w:hAnsi="宋体" w:eastAsia="宋体" w:cs="宋体"/>
          <w:color w:val="auto"/>
          <w:szCs w:val="21"/>
          <w:highlight w:val="none"/>
        </w:rPr>
        <w:t>九、本保证担保以中文文本为准，涂改无效。</w:t>
      </w:r>
    </w:p>
    <w:p w14:paraId="5B1E0E77">
      <w:pPr>
        <w:adjustRightInd w:val="0"/>
        <w:snapToGrid w:val="0"/>
        <w:spacing w:line="440" w:lineRule="exact"/>
        <w:rPr>
          <w:rFonts w:ascii="宋体" w:hAnsi="宋体" w:eastAsia="宋体" w:cs="宋体"/>
          <w:color w:val="auto"/>
          <w:szCs w:val="21"/>
          <w:highlight w:val="none"/>
        </w:rPr>
      </w:pPr>
    </w:p>
    <w:p w14:paraId="254E54C4">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（盖章）</w:t>
      </w:r>
    </w:p>
    <w:p w14:paraId="510CF46E">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bCs/>
          <w:color w:val="auto"/>
          <w:szCs w:val="21"/>
          <w:highlight w:val="none"/>
          <w:u w:val="single"/>
        </w:rPr>
        <w:t xml:space="preserve">      </w:t>
      </w:r>
    </w:p>
    <w:p w14:paraId="059DFF81">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bCs/>
          <w:color w:val="auto"/>
          <w:szCs w:val="21"/>
          <w:highlight w:val="none"/>
          <w:u w:val="single"/>
        </w:rPr>
        <w:t xml:space="preserve">      </w:t>
      </w:r>
    </w:p>
    <w:p w14:paraId="70FF6421">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bCs/>
          <w:color w:val="auto"/>
          <w:szCs w:val="21"/>
          <w:highlight w:val="none"/>
          <w:u w:val="single"/>
        </w:rPr>
        <w:t xml:space="preserve">      </w:t>
      </w:r>
    </w:p>
    <w:p w14:paraId="255FAD7D">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bCs/>
          <w:color w:val="auto"/>
          <w:szCs w:val="21"/>
          <w:highlight w:val="none"/>
          <w:u w:val="single"/>
        </w:rPr>
        <w:t xml:space="preserve">      </w:t>
      </w:r>
    </w:p>
    <w:p w14:paraId="008EE943">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（本保函失效后，请将原件退回我方注销）</w:t>
      </w:r>
    </w:p>
    <w:p w14:paraId="0F818B10">
      <w:pPr>
        <w:adjustRightInd w:val="0"/>
        <w:snapToGrid w:val="0"/>
        <w:spacing w:line="440" w:lineRule="exact"/>
        <w:ind w:firstLine="420" w:firstLineChars="200"/>
        <w:rPr>
          <w:rFonts w:ascii="宋体" w:hAnsi="宋体" w:eastAsia="宋体" w:cs="宋体"/>
          <w:color w:val="auto"/>
          <w:szCs w:val="21"/>
          <w:highlight w:val="none"/>
        </w:rPr>
      </w:pPr>
    </w:p>
    <w:p w14:paraId="7BA2D813">
      <w:pPr>
        <w:spacing w:line="600" w:lineRule="exact"/>
        <w:rPr>
          <w:rFonts w:asciiTheme="minorEastAsia" w:hAnsiTheme="minorEastAsia"/>
          <w:b/>
          <w:color w:val="auto"/>
          <w:sz w:val="30"/>
          <w:szCs w:val="30"/>
          <w:highlight w:val="none"/>
        </w:rPr>
      </w:pPr>
    </w:p>
    <w:p w14:paraId="289DBB9E">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建设工程施工合同履约保证保险保险凭证</w:t>
      </w:r>
    </w:p>
    <w:p w14:paraId="258FBDBE">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5BAC3C5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721C8352">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工程的施工合同，工期自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。我方已接受被保证人的请求，并出具《建设工程施工合同履约保证保险》保险单。   </w:t>
      </w:r>
    </w:p>
    <w:p w14:paraId="2C38723C">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1ECD98CB">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FCE86AC">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23264A9E">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因自身原因未按照与招标人（被保险人）签订的《建设工程施工合同》（合同编号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）履行相关义务，导致工程竣工延误或工程质量不符合建设工程施工合同要求，给被保险人造成损失的，被保险人可向保险人提出索赔，保险人按照保险合同的约定承担损失赔偿责任。</w:t>
      </w:r>
    </w:p>
    <w:p w14:paraId="4F90C7DF">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4A9D398F">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78778D27">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3249C551">
      <w:pPr>
        <w:numPr>
          <w:ilvl w:val="0"/>
          <w:numId w:val="5"/>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6C84BB7C">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370C34C5">
      <w:pPr>
        <w:widowControl/>
        <w:spacing w:line="360" w:lineRule="auto"/>
        <w:ind w:firstLine="420" w:firstLineChars="200"/>
        <w:jc w:val="left"/>
        <w:rPr>
          <w:rFonts w:ascii="宋体" w:hAnsi="宋体" w:eastAsia="宋体" w:cs="宋体"/>
          <w:color w:val="auto"/>
          <w:kern w:val="0"/>
          <w:szCs w:val="21"/>
          <w:highlight w:val="none"/>
        </w:rPr>
      </w:pPr>
    </w:p>
    <w:p w14:paraId="7A382E1E">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XXX保险有限公司建设工程施工合同履约保证保险（X款）条款》及保单</w:t>
      </w:r>
    </w:p>
    <w:p w14:paraId="60AFAE5D">
      <w:pPr>
        <w:widowControl/>
        <w:spacing w:line="360" w:lineRule="auto"/>
        <w:ind w:firstLine="420" w:firstLineChars="200"/>
        <w:jc w:val="left"/>
        <w:rPr>
          <w:rFonts w:ascii="宋体" w:hAnsi="宋体" w:eastAsia="宋体" w:cs="宋体"/>
          <w:color w:val="auto"/>
          <w:kern w:val="0"/>
          <w:szCs w:val="21"/>
          <w:highlight w:val="none"/>
        </w:rPr>
      </w:pPr>
    </w:p>
    <w:p w14:paraId="50151A4E">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26B07FBE">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4730BC13">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2D3884C3">
      <w:pPr>
        <w:rPr>
          <w:rFonts w:ascii="宋体" w:hAnsi="宋体" w:eastAsia="宋体" w:cs="宋体"/>
          <w:color w:val="auto"/>
          <w:szCs w:val="21"/>
          <w:highlight w:val="none"/>
        </w:rPr>
      </w:pPr>
    </w:p>
    <w:sectPr>
      <w:pgSz w:w="11907" w:h="16840"/>
      <w:pgMar w:top="1417" w:right="1417" w:bottom="1417" w:left="1417" w:header="851" w:footer="85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方正书宋简体">
    <w:altName w:val="宋体"/>
    <w:panose1 w:val="00000000000000000000"/>
    <w:charset w:val="00"/>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0BE74">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p>
  <w:p w14:paraId="3A0F0C96">
    <w:pPr>
      <w:pStyle w:val="25"/>
      <w:jc w:val="lef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0DA4B4">
                          <w:pPr>
                            <w:pStyle w:val="25"/>
                          </w:pPr>
                          <w:r>
                            <w:fldChar w:fldCharType="begin"/>
                          </w:r>
                          <w:r>
                            <w:instrText xml:space="preserve"> PAGE  \* MERGEFORMAT </w:instrText>
                          </w:r>
                          <w:r>
                            <w:fldChar w:fldCharType="separate"/>
                          </w:r>
                          <w:r>
                            <w:t>１</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80DA4B4">
                    <w:pPr>
                      <w:pStyle w:val="25"/>
                    </w:pPr>
                    <w:r>
                      <w:fldChar w:fldCharType="begin"/>
                    </w:r>
                    <w:r>
                      <w:instrText xml:space="preserve"> PAGE  \* MERGEFORMAT </w:instrText>
                    </w:r>
                    <w:r>
                      <w:fldChar w:fldCharType="separate"/>
                    </w:r>
                    <w:r>
                      <w:t>１</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6329"/>
                          </w:sdtPr>
                          <w:sdtContent>
                            <w:p w14:paraId="0844057A">
                              <w:pPr>
                                <w:pStyle w:val="25"/>
                                <w:jc w:val="left"/>
                              </w:pPr>
                            </w:p>
                          </w:sdtContent>
                        </w:sdt>
                        <w:p w14:paraId="5990F1B8"/>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56329"/>
                    </w:sdtPr>
                    <w:sdtContent>
                      <w:p w14:paraId="0844057A">
                        <w:pPr>
                          <w:pStyle w:val="25"/>
                          <w:jc w:val="left"/>
                        </w:pPr>
                      </w:p>
                    </w:sdtContent>
                  </w:sdt>
                  <w:p w14:paraId="5990F1B8"/>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C2F5D">
    <w:pPr>
      <w:widowControl w:val="0"/>
      <w:snapToGrid w:val="0"/>
      <w:ind w:right="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5B8032">
                          <w:pPr>
                            <w:pStyle w:val="2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15B8032">
                    <w:pPr>
                      <w:pStyle w:val="25"/>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3CECD">
    <w:pPr>
      <w:framePr w:wrap="around" w:vAnchor="text" w:hAnchor="margin" w:xAlign="right" w:y="1"/>
      <w:widowControl w:val="0"/>
      <w:snapToGrid w:val="0"/>
      <w:jc w:val="left"/>
      <w:rPr>
        <w:rStyle w:val="44"/>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Style w:val="44"/>
        <w:rFonts w:ascii="Times New Roman" w:hAnsi="Times New Roman" w:eastAsia="宋体" w:cs="Times New Roman"/>
        <w:kern w:val="2"/>
        <w:sz w:val="18"/>
        <w:szCs w:val="18"/>
        <w:lang w:val="en-US" w:eastAsia="zh-CN" w:bidi="ar-SA"/>
      </w:rPr>
      <w:instrText xml:space="preserve">PAGE  </w:instrText>
    </w:r>
    <w:r>
      <w:rPr>
        <w:rFonts w:ascii="Times New Roman" w:hAnsi="Times New Roman" w:eastAsia="宋体" w:cs="Times New Roman"/>
        <w:kern w:val="2"/>
        <w:sz w:val="18"/>
        <w:szCs w:val="18"/>
        <w:lang w:val="en-US" w:eastAsia="zh-CN" w:bidi="ar-SA"/>
      </w:rPr>
      <w:fldChar w:fldCharType="end"/>
    </w:r>
  </w:p>
  <w:p w14:paraId="67C09240">
    <w:pPr>
      <w:widowControl w:val="0"/>
      <w:snapToGrid w:val="0"/>
      <w:ind w:right="36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AEA2D">
    <w:pPr>
      <w:pStyle w:val="25"/>
      <w:jc w:val="left"/>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AED4BE">
                          <w:pPr>
                            <w:pStyle w:val="2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2AED4BE">
                    <w:pPr>
                      <w:pStyle w:val="25"/>
                    </w:pPr>
                    <w:r>
                      <w:fldChar w:fldCharType="begin"/>
                    </w:r>
                    <w:r>
                      <w:instrText xml:space="preserve"> PAGE  \* MERGEFORMAT </w:instrText>
                    </w:r>
                    <w:r>
                      <w:fldChar w:fldCharType="separate"/>
                    </w:r>
                    <w:r>
                      <w:t>42</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3F6FE9">
                          <w:pPr>
                            <w:pStyle w:val="25"/>
                            <w:jc w:val="left"/>
                          </w:pPr>
                        </w:p>
                        <w:p w14:paraId="690B831A"/>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23F6FE9">
                    <w:pPr>
                      <w:pStyle w:val="25"/>
                      <w:jc w:val="left"/>
                    </w:pPr>
                  </w:p>
                  <w:p w14:paraId="690B831A"/>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r>
        <w:separator/>
      </w:r>
    </w:p>
  </w:footnote>
  <w:footnote w:type="continuationSeparator" w:id="23">
    <w:p>
      <w:r>
        <w:continuationSeparator/>
      </w:r>
    </w:p>
  </w:footnote>
  <w:footnote w:id="0">
    <w:p w14:paraId="2EEBADF4">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03624348">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[2]的具体要求源自《深圳市人民政府关于进一步规范建设工程招标投标活动的通知》(深府规〔2024〕8号)第八条。</w:t>
      </w:r>
    </w:p>
    <w:p w14:paraId="3A4900CC">
      <w:pPr>
        <w:pStyle w:val="29"/>
        <w:snapToGrid w:val="0"/>
      </w:pPr>
    </w:p>
  </w:footnote>
  <w:footnote w:id="2">
    <w:p w14:paraId="0BB85C7D">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[3]的具体要求源自《深圳市住房和建设局关于推行差异化缴纳投标保证金进一步降低招标投标交易成本的通知》（深建市场〔2023〕2号）第一条。</w:t>
      </w:r>
    </w:p>
    <w:p w14:paraId="1B777258">
      <w:pPr>
        <w:pStyle w:val="29"/>
        <w:snapToGrid w:val="0"/>
      </w:pPr>
    </w:p>
  </w:footnote>
  <w:footnote w:id="3">
    <w:p w14:paraId="61B2FDAE">
      <w:pPr>
        <w:adjustRightInd w:val="0"/>
        <w:snapToGrid w:val="0"/>
        <w:ind w:firstLine="420" w:firstLineChars="200"/>
        <w:rPr>
          <w:highlight w:val="none"/>
        </w:rPr>
      </w:pPr>
      <w:r>
        <w:rPr>
          <w:rFonts w:hint="eastAsia" w:ascii="宋体" w:hAnsi="宋体" w:eastAsia="宋体" w:cs="宋体"/>
          <w:color w:val="000000" w:themeColor="text1"/>
          <w:szCs w:val="21"/>
          <w:highlight w:val="none"/>
          <w:lang w:val="en-US" w:eastAsia="zh-CN"/>
          <w14:textFill>
            <w14:solidFill>
              <w14:schemeClr w14:val="tx1"/>
            </w14:solidFill>
          </w14:textFill>
        </w:rPr>
        <w:t>[4]、[5]的具体要求源自《深圳市人民政府关于进一步规范建设工程招标投标活动的通知》(深府规〔2024〕8号)第三、四条。</w:t>
      </w:r>
    </w:p>
  </w:footnote>
  <w:footnote w:id="4">
    <w:p w14:paraId="08B19DF9">
      <w:pPr>
        <w:pStyle w:val="29"/>
        <w:snapToGrid w:val="0"/>
      </w:pPr>
    </w:p>
  </w:footnote>
  <w:footnote w:id="5">
    <w:p w14:paraId="3B3601F9">
      <w:pPr>
        <w:adjustRightInd w:val="0"/>
        <w:snapToGrid w:val="0"/>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[6]的具体要求源自《深圳市人民政府关于进一步规范建设工程招标投标活动的通知》(深府规〔2024〕8号)第七条。</w:t>
      </w:r>
    </w:p>
    <w:p w14:paraId="66E18E94">
      <w:pPr>
        <w:pStyle w:val="29"/>
        <w:snapToGrid w:val="0"/>
      </w:pPr>
    </w:p>
  </w:footnote>
  <w:footnote w:id="6">
    <w:p w14:paraId="2F663B7C">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[7]的具体要求源自《深圳市住房和建设局关于进一步规范招标投标有关事宜的通知》（深建市场〔2022〕4号）第三条。</w:t>
      </w:r>
    </w:p>
    <w:p w14:paraId="36345B56">
      <w:pPr>
        <w:pStyle w:val="29"/>
        <w:snapToGrid w:val="0"/>
      </w:pPr>
    </w:p>
  </w:footnote>
  <w:footnote w:id="7">
    <w:p w14:paraId="74E4E47F">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[8]的具体要求源自《深圳市人民政府关于进一步规范建设工程招标投标活动的通知》(深府规〔2024〕8号)第九条。</w:t>
      </w:r>
    </w:p>
    <w:p w14:paraId="6ABE2690">
      <w:pPr>
        <w:pStyle w:val="29"/>
        <w:snapToGrid w:val="0"/>
      </w:pPr>
    </w:p>
  </w:footnote>
  <w:footnote w:id="8">
    <w:p w14:paraId="4A508584">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[9]-[11]的具体要求源自《深圳市人民政府关于进一步规范建设工程招标投标活动的通知》(深</w:t>
      </w:r>
    </w:p>
    <w:p w14:paraId="06E6BCB7">
      <w:pPr>
        <w:adjustRightInd w:val="0"/>
        <w:snapToGrid w:val="0"/>
        <w:ind w:firstLine="0" w:firstLineChars="0"/>
        <w:rPr>
          <w:rFonts w:hint="default"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府规〔2024〕8号)第五、七、九条，以及《深圳市人民政府印发关于建设工程招标投标改革若干规</w:t>
      </w:r>
    </w:p>
  </w:footnote>
  <w:footnote w:id="9">
    <w:p w14:paraId="2505B442">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定的通知》（深府〔2015〕73号）第四十七条。</w:t>
      </w:r>
    </w:p>
  </w:footnote>
  <w:footnote w:id="10">
    <w:p w14:paraId="44FA32D5">
      <w:pPr>
        <w:pStyle w:val="29"/>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37176">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082C0">
    <w:pPr>
      <w:widowControl w:val="0"/>
      <w:pBdr>
        <w:bottom w:val="none" w:color="auto" w:sz="0" w:space="0"/>
      </w:pBdr>
      <w:snapToGrid w:val="0"/>
      <w:spacing w:line="240" w:lineRule="atLeast"/>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8E111">
    <w:pPr>
      <w:pStyle w:val="2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6px;height:15px" o:bullet="t">
        <v:imagedata r:id="rId1" o:title=""/>
      </v:shape>
    </w:pict>
  </w:numPicBullet>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1B0E1F07"/>
    <w:multiLevelType w:val="multilevel"/>
    <w:tmpl w:val="1B0E1F07"/>
    <w:lvl w:ilvl="0" w:tentative="0">
      <w:start w:val="1"/>
      <w:numFmt w:val="bullet"/>
      <w:lvlText w:val=""/>
      <w:lvlPicBulletId w:val="0"/>
      <w:lvlJc w:val="left"/>
      <w:pPr>
        <w:tabs>
          <w:tab w:val="left" w:pos="420"/>
        </w:tabs>
        <w:ind w:left="420" w:firstLine="0"/>
      </w:pPr>
      <w:rPr>
        <w:rFonts w:hint="default" w:ascii="Symbol" w:hAnsi="Symbol"/>
      </w:rPr>
    </w:lvl>
    <w:lvl w:ilvl="1" w:tentative="0">
      <w:start w:val="1"/>
      <w:numFmt w:val="bullet"/>
      <w:lvlText w:val=""/>
      <w:lvlJc w:val="left"/>
      <w:pPr>
        <w:tabs>
          <w:tab w:val="left" w:pos="840"/>
        </w:tabs>
        <w:ind w:left="840" w:firstLine="0"/>
      </w:pPr>
      <w:rPr>
        <w:rFonts w:hint="default" w:ascii="Symbol" w:hAnsi="Symbol"/>
      </w:rPr>
    </w:lvl>
    <w:lvl w:ilvl="2" w:tentative="0">
      <w:start w:val="1"/>
      <w:numFmt w:val="bullet"/>
      <w:lvlText w:val=""/>
      <w:lvlJc w:val="left"/>
      <w:pPr>
        <w:tabs>
          <w:tab w:val="left" w:pos="1260"/>
        </w:tabs>
        <w:ind w:left="1260" w:firstLine="0"/>
      </w:pPr>
      <w:rPr>
        <w:rFonts w:hint="default" w:ascii="Symbol" w:hAnsi="Symbol"/>
      </w:rPr>
    </w:lvl>
    <w:lvl w:ilvl="3" w:tentative="0">
      <w:start w:val="1"/>
      <w:numFmt w:val="bullet"/>
      <w:lvlText w:val=""/>
      <w:lvlJc w:val="left"/>
      <w:pPr>
        <w:tabs>
          <w:tab w:val="left" w:pos="1680"/>
        </w:tabs>
        <w:ind w:left="1680" w:firstLine="0"/>
      </w:pPr>
      <w:rPr>
        <w:rFonts w:hint="default" w:ascii="Symbol" w:hAnsi="Symbol"/>
      </w:rPr>
    </w:lvl>
    <w:lvl w:ilvl="4" w:tentative="0">
      <w:start w:val="1"/>
      <w:numFmt w:val="bullet"/>
      <w:lvlText w:val=""/>
      <w:lvlJc w:val="left"/>
      <w:pPr>
        <w:tabs>
          <w:tab w:val="left" w:pos="2100"/>
        </w:tabs>
        <w:ind w:left="2100" w:firstLine="0"/>
      </w:pPr>
      <w:rPr>
        <w:rFonts w:hint="default" w:ascii="Symbol" w:hAnsi="Symbol"/>
      </w:rPr>
    </w:lvl>
    <w:lvl w:ilvl="5" w:tentative="0">
      <w:start w:val="1"/>
      <w:numFmt w:val="bullet"/>
      <w:lvlText w:val=""/>
      <w:lvlJc w:val="left"/>
      <w:pPr>
        <w:tabs>
          <w:tab w:val="left" w:pos="2520"/>
        </w:tabs>
        <w:ind w:left="2520" w:firstLine="0"/>
      </w:pPr>
      <w:rPr>
        <w:rFonts w:hint="default" w:ascii="Symbol" w:hAnsi="Symbol"/>
      </w:rPr>
    </w:lvl>
    <w:lvl w:ilvl="6" w:tentative="0">
      <w:start w:val="1"/>
      <w:numFmt w:val="bullet"/>
      <w:lvlText w:val=""/>
      <w:lvlJc w:val="left"/>
      <w:pPr>
        <w:tabs>
          <w:tab w:val="left" w:pos="2940"/>
        </w:tabs>
        <w:ind w:left="2940" w:firstLine="0"/>
      </w:pPr>
      <w:rPr>
        <w:rFonts w:hint="default" w:ascii="Symbol" w:hAnsi="Symbol"/>
      </w:rPr>
    </w:lvl>
    <w:lvl w:ilvl="7" w:tentative="0">
      <w:start w:val="1"/>
      <w:numFmt w:val="bullet"/>
      <w:lvlText w:val=""/>
      <w:lvlJc w:val="left"/>
      <w:pPr>
        <w:tabs>
          <w:tab w:val="left" w:pos="3360"/>
        </w:tabs>
        <w:ind w:left="3360" w:firstLine="0"/>
      </w:pPr>
      <w:rPr>
        <w:rFonts w:hint="default" w:ascii="Symbol" w:hAnsi="Symbol"/>
      </w:rPr>
    </w:lvl>
    <w:lvl w:ilvl="8" w:tentative="0">
      <w:start w:val="1"/>
      <w:numFmt w:val="bullet"/>
      <w:lvlText w:val=""/>
      <w:lvlJc w:val="left"/>
      <w:pPr>
        <w:tabs>
          <w:tab w:val="left" w:pos="3780"/>
        </w:tabs>
        <w:ind w:left="3780" w:firstLine="0"/>
      </w:pPr>
      <w:rPr>
        <w:rFonts w:hint="default" w:ascii="Symbol" w:hAnsi="Symbol"/>
      </w:rPr>
    </w:lvl>
  </w:abstractNum>
  <w:abstractNum w:abstractNumId="2">
    <w:nsid w:val="22091C47"/>
    <w:multiLevelType w:val="singleLevel"/>
    <w:tmpl w:val="22091C47"/>
    <w:lvl w:ilvl="0" w:tentative="0">
      <w:start w:val="18"/>
      <w:numFmt w:val="decimal"/>
      <w:suff w:val="nothing"/>
      <w:lvlText w:val="%1、"/>
      <w:lvlJc w:val="left"/>
    </w:lvl>
  </w:abstractNum>
  <w:abstractNum w:abstractNumId="3">
    <w:nsid w:val="45C42C9A"/>
    <w:multiLevelType w:val="multilevel"/>
    <w:tmpl w:val="45C42C9A"/>
    <w:lvl w:ilvl="0" w:tentative="0">
      <w:start w:val="1"/>
      <w:numFmt w:val="decimal"/>
      <w:lvlText w:val="%1"/>
      <w:lvlJc w:val="left"/>
      <w:pPr>
        <w:tabs>
          <w:tab w:val="left" w:pos="4032"/>
        </w:tabs>
        <w:ind w:left="4032" w:hanging="432"/>
      </w:pPr>
    </w:lvl>
    <w:lvl w:ilvl="1" w:tentative="0">
      <w:start w:val="1"/>
      <w:numFmt w:val="decimal"/>
      <w:lvlText w:val="%1.%2"/>
      <w:lvlJc w:val="left"/>
      <w:pPr>
        <w:tabs>
          <w:tab w:val="left" w:pos="576"/>
        </w:tabs>
        <w:ind w:left="576" w:hanging="576"/>
      </w:pPr>
      <w:rPr>
        <w:strike w:val="0"/>
        <w:color w:val="auto"/>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22"/>
    <w:footnote w:id="2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54b5509e-139f-42dd-8581-25ef069bea78"/>
  </w:docVars>
  <w:rsids>
    <w:rsidRoot w:val="00172A27"/>
    <w:rsid w:val="00005A05"/>
    <w:rsid w:val="000437E3"/>
    <w:rsid w:val="000566C2"/>
    <w:rsid w:val="000B5DA1"/>
    <w:rsid w:val="000C2473"/>
    <w:rsid w:val="00166598"/>
    <w:rsid w:val="00172A27"/>
    <w:rsid w:val="00172FAD"/>
    <w:rsid w:val="002242AA"/>
    <w:rsid w:val="002A04EC"/>
    <w:rsid w:val="002D0A40"/>
    <w:rsid w:val="003047FA"/>
    <w:rsid w:val="003E55F7"/>
    <w:rsid w:val="0040553E"/>
    <w:rsid w:val="005651E2"/>
    <w:rsid w:val="00572956"/>
    <w:rsid w:val="005F00B1"/>
    <w:rsid w:val="006906B2"/>
    <w:rsid w:val="006F4B83"/>
    <w:rsid w:val="00743E1E"/>
    <w:rsid w:val="0085539A"/>
    <w:rsid w:val="008A73D1"/>
    <w:rsid w:val="0095694B"/>
    <w:rsid w:val="00977503"/>
    <w:rsid w:val="00A01960"/>
    <w:rsid w:val="00A235C6"/>
    <w:rsid w:val="00A51EB6"/>
    <w:rsid w:val="00A714A7"/>
    <w:rsid w:val="00B661C3"/>
    <w:rsid w:val="00BA24BC"/>
    <w:rsid w:val="00BB4731"/>
    <w:rsid w:val="00C42408"/>
    <w:rsid w:val="00C55466"/>
    <w:rsid w:val="00C6526C"/>
    <w:rsid w:val="00CC2F4C"/>
    <w:rsid w:val="00CE4FC5"/>
    <w:rsid w:val="00CE6753"/>
    <w:rsid w:val="00D80F4E"/>
    <w:rsid w:val="00DC3998"/>
    <w:rsid w:val="00DC4494"/>
    <w:rsid w:val="00DE537A"/>
    <w:rsid w:val="00DF73EB"/>
    <w:rsid w:val="00E1509A"/>
    <w:rsid w:val="00E70338"/>
    <w:rsid w:val="00E870A6"/>
    <w:rsid w:val="00F3646D"/>
    <w:rsid w:val="00FF2678"/>
    <w:rsid w:val="010D7DD7"/>
    <w:rsid w:val="01140B7E"/>
    <w:rsid w:val="018922E6"/>
    <w:rsid w:val="018A1C98"/>
    <w:rsid w:val="01976F9D"/>
    <w:rsid w:val="01AC2232"/>
    <w:rsid w:val="01F56E3F"/>
    <w:rsid w:val="0209750F"/>
    <w:rsid w:val="02355C61"/>
    <w:rsid w:val="02436620"/>
    <w:rsid w:val="025178BC"/>
    <w:rsid w:val="02617B60"/>
    <w:rsid w:val="026F3433"/>
    <w:rsid w:val="028A2DD8"/>
    <w:rsid w:val="029501E3"/>
    <w:rsid w:val="029D33DC"/>
    <w:rsid w:val="02C32E43"/>
    <w:rsid w:val="02DA018C"/>
    <w:rsid w:val="02E903CF"/>
    <w:rsid w:val="02F30791"/>
    <w:rsid w:val="03323413"/>
    <w:rsid w:val="03461F14"/>
    <w:rsid w:val="034C1B99"/>
    <w:rsid w:val="03682087"/>
    <w:rsid w:val="039B7AAF"/>
    <w:rsid w:val="03B37755"/>
    <w:rsid w:val="03CD1237"/>
    <w:rsid w:val="03E07A24"/>
    <w:rsid w:val="04004BE4"/>
    <w:rsid w:val="043E5A69"/>
    <w:rsid w:val="044C50BA"/>
    <w:rsid w:val="044D4127"/>
    <w:rsid w:val="0450785F"/>
    <w:rsid w:val="049238FB"/>
    <w:rsid w:val="049A6784"/>
    <w:rsid w:val="04C658A8"/>
    <w:rsid w:val="04C93CBC"/>
    <w:rsid w:val="04CA305F"/>
    <w:rsid w:val="051300AE"/>
    <w:rsid w:val="051B6CA7"/>
    <w:rsid w:val="05AF5900"/>
    <w:rsid w:val="061170EC"/>
    <w:rsid w:val="06286C84"/>
    <w:rsid w:val="063E052E"/>
    <w:rsid w:val="06491FB0"/>
    <w:rsid w:val="06D94C3D"/>
    <w:rsid w:val="070F34A1"/>
    <w:rsid w:val="0750494E"/>
    <w:rsid w:val="07615C0D"/>
    <w:rsid w:val="0772426A"/>
    <w:rsid w:val="07BF3919"/>
    <w:rsid w:val="07C21D59"/>
    <w:rsid w:val="07CE6DE2"/>
    <w:rsid w:val="07DB4BD0"/>
    <w:rsid w:val="07E4566F"/>
    <w:rsid w:val="07EE3A1A"/>
    <w:rsid w:val="0815364B"/>
    <w:rsid w:val="082C5F73"/>
    <w:rsid w:val="08324F0A"/>
    <w:rsid w:val="08356D17"/>
    <w:rsid w:val="085F032A"/>
    <w:rsid w:val="088E3F38"/>
    <w:rsid w:val="08BB636A"/>
    <w:rsid w:val="09160E7D"/>
    <w:rsid w:val="09463445"/>
    <w:rsid w:val="09481CE7"/>
    <w:rsid w:val="095036F0"/>
    <w:rsid w:val="0970101E"/>
    <w:rsid w:val="097142C6"/>
    <w:rsid w:val="09825509"/>
    <w:rsid w:val="09836E38"/>
    <w:rsid w:val="098E7C10"/>
    <w:rsid w:val="099F7A3A"/>
    <w:rsid w:val="09BE73EA"/>
    <w:rsid w:val="09C01C5E"/>
    <w:rsid w:val="09CB68FE"/>
    <w:rsid w:val="09D253DD"/>
    <w:rsid w:val="09E4408E"/>
    <w:rsid w:val="09FB4338"/>
    <w:rsid w:val="0A2A19F9"/>
    <w:rsid w:val="0A6F39F4"/>
    <w:rsid w:val="0A7C2223"/>
    <w:rsid w:val="0A9925EA"/>
    <w:rsid w:val="0AA9774E"/>
    <w:rsid w:val="0ABF65E6"/>
    <w:rsid w:val="0AC172C9"/>
    <w:rsid w:val="0AE25CA4"/>
    <w:rsid w:val="0B0D03D6"/>
    <w:rsid w:val="0B372897"/>
    <w:rsid w:val="0B38066E"/>
    <w:rsid w:val="0B6F6F8A"/>
    <w:rsid w:val="0BCC3C32"/>
    <w:rsid w:val="0BFA42A8"/>
    <w:rsid w:val="0C0E259A"/>
    <w:rsid w:val="0C7255AB"/>
    <w:rsid w:val="0CBA669D"/>
    <w:rsid w:val="0CD611D6"/>
    <w:rsid w:val="0D145641"/>
    <w:rsid w:val="0D1A1613"/>
    <w:rsid w:val="0D1A285D"/>
    <w:rsid w:val="0D2D40C0"/>
    <w:rsid w:val="0D904269"/>
    <w:rsid w:val="0D9A0C44"/>
    <w:rsid w:val="0DA1511D"/>
    <w:rsid w:val="0DBB629A"/>
    <w:rsid w:val="0DD44DAA"/>
    <w:rsid w:val="0DF44A78"/>
    <w:rsid w:val="0E027B39"/>
    <w:rsid w:val="0E0A4988"/>
    <w:rsid w:val="0E1E1875"/>
    <w:rsid w:val="0E27365D"/>
    <w:rsid w:val="0E2E5C98"/>
    <w:rsid w:val="0E564CA2"/>
    <w:rsid w:val="0E740472"/>
    <w:rsid w:val="0E9206A6"/>
    <w:rsid w:val="0E924011"/>
    <w:rsid w:val="0EA6783D"/>
    <w:rsid w:val="0EAD49F3"/>
    <w:rsid w:val="0EC24061"/>
    <w:rsid w:val="0ECF2B6F"/>
    <w:rsid w:val="0EED7DDA"/>
    <w:rsid w:val="0F137FFB"/>
    <w:rsid w:val="0F36499C"/>
    <w:rsid w:val="0F523506"/>
    <w:rsid w:val="0F890F70"/>
    <w:rsid w:val="0FE34B24"/>
    <w:rsid w:val="0FE97C61"/>
    <w:rsid w:val="0FEE19ED"/>
    <w:rsid w:val="0FF15984"/>
    <w:rsid w:val="1004651E"/>
    <w:rsid w:val="107D490A"/>
    <w:rsid w:val="109B53FF"/>
    <w:rsid w:val="10C46F42"/>
    <w:rsid w:val="10E210C9"/>
    <w:rsid w:val="110E0962"/>
    <w:rsid w:val="111C79B0"/>
    <w:rsid w:val="113F0B6A"/>
    <w:rsid w:val="1148213C"/>
    <w:rsid w:val="11492BA1"/>
    <w:rsid w:val="1198193E"/>
    <w:rsid w:val="119D71B4"/>
    <w:rsid w:val="11BA18B5"/>
    <w:rsid w:val="121B502E"/>
    <w:rsid w:val="12971C13"/>
    <w:rsid w:val="12B85D17"/>
    <w:rsid w:val="13086525"/>
    <w:rsid w:val="133A3813"/>
    <w:rsid w:val="135D5B9B"/>
    <w:rsid w:val="136C6BDF"/>
    <w:rsid w:val="137A0DF2"/>
    <w:rsid w:val="139E4801"/>
    <w:rsid w:val="13AB5E31"/>
    <w:rsid w:val="13F74301"/>
    <w:rsid w:val="140C2617"/>
    <w:rsid w:val="141938DC"/>
    <w:rsid w:val="1495096B"/>
    <w:rsid w:val="14D44BA1"/>
    <w:rsid w:val="14F10DAB"/>
    <w:rsid w:val="151E647C"/>
    <w:rsid w:val="15421DCB"/>
    <w:rsid w:val="15761F97"/>
    <w:rsid w:val="157E2C40"/>
    <w:rsid w:val="1594241D"/>
    <w:rsid w:val="15F72014"/>
    <w:rsid w:val="16084351"/>
    <w:rsid w:val="160A4023"/>
    <w:rsid w:val="161746E1"/>
    <w:rsid w:val="161C715F"/>
    <w:rsid w:val="1649379C"/>
    <w:rsid w:val="167800B5"/>
    <w:rsid w:val="16792604"/>
    <w:rsid w:val="16A426B5"/>
    <w:rsid w:val="16BF3D30"/>
    <w:rsid w:val="16DB7867"/>
    <w:rsid w:val="16FA0481"/>
    <w:rsid w:val="171657DF"/>
    <w:rsid w:val="17C3523B"/>
    <w:rsid w:val="17C6497F"/>
    <w:rsid w:val="17DA6BEB"/>
    <w:rsid w:val="17EC3CD3"/>
    <w:rsid w:val="17F32E73"/>
    <w:rsid w:val="18100480"/>
    <w:rsid w:val="18104644"/>
    <w:rsid w:val="18292BCD"/>
    <w:rsid w:val="183F48C2"/>
    <w:rsid w:val="18400B20"/>
    <w:rsid w:val="189A1F0B"/>
    <w:rsid w:val="18B03A11"/>
    <w:rsid w:val="18CB5A3D"/>
    <w:rsid w:val="18DD49B1"/>
    <w:rsid w:val="18E214FB"/>
    <w:rsid w:val="19197809"/>
    <w:rsid w:val="19314B52"/>
    <w:rsid w:val="19664A1B"/>
    <w:rsid w:val="19936DE4"/>
    <w:rsid w:val="199447DA"/>
    <w:rsid w:val="19B906A4"/>
    <w:rsid w:val="19CE5C9A"/>
    <w:rsid w:val="19D43730"/>
    <w:rsid w:val="1A042A30"/>
    <w:rsid w:val="1A114259"/>
    <w:rsid w:val="1A274FFA"/>
    <w:rsid w:val="1A277F18"/>
    <w:rsid w:val="1A537DB8"/>
    <w:rsid w:val="1A5D700A"/>
    <w:rsid w:val="1A88649F"/>
    <w:rsid w:val="1AA024D3"/>
    <w:rsid w:val="1AC35E60"/>
    <w:rsid w:val="1AC50222"/>
    <w:rsid w:val="1ACD08AB"/>
    <w:rsid w:val="1AE94FB9"/>
    <w:rsid w:val="1B8B45D4"/>
    <w:rsid w:val="1B926277"/>
    <w:rsid w:val="1BCB6ED2"/>
    <w:rsid w:val="1BEF177D"/>
    <w:rsid w:val="1BFF5BC7"/>
    <w:rsid w:val="1C0C427F"/>
    <w:rsid w:val="1C1147C7"/>
    <w:rsid w:val="1C12025D"/>
    <w:rsid w:val="1C272F53"/>
    <w:rsid w:val="1C2A78F2"/>
    <w:rsid w:val="1C3630BE"/>
    <w:rsid w:val="1C5A0E01"/>
    <w:rsid w:val="1C5F1E78"/>
    <w:rsid w:val="1C7C46B6"/>
    <w:rsid w:val="1C81712F"/>
    <w:rsid w:val="1CA1494D"/>
    <w:rsid w:val="1CC21806"/>
    <w:rsid w:val="1CFE4A96"/>
    <w:rsid w:val="1D0D31E0"/>
    <w:rsid w:val="1D251D75"/>
    <w:rsid w:val="1D446615"/>
    <w:rsid w:val="1D62363A"/>
    <w:rsid w:val="1D657A0F"/>
    <w:rsid w:val="1D7348AC"/>
    <w:rsid w:val="1E0817C1"/>
    <w:rsid w:val="1E325A17"/>
    <w:rsid w:val="1E407D36"/>
    <w:rsid w:val="1E594203"/>
    <w:rsid w:val="1E7F2D4B"/>
    <w:rsid w:val="1E8B641B"/>
    <w:rsid w:val="1EDF4BC2"/>
    <w:rsid w:val="1EE933B9"/>
    <w:rsid w:val="1EF9536B"/>
    <w:rsid w:val="1F0C13AB"/>
    <w:rsid w:val="1F2936B5"/>
    <w:rsid w:val="1F2E743E"/>
    <w:rsid w:val="1F32379A"/>
    <w:rsid w:val="1F846356"/>
    <w:rsid w:val="1FA12306"/>
    <w:rsid w:val="1FED7370"/>
    <w:rsid w:val="20057A01"/>
    <w:rsid w:val="20526627"/>
    <w:rsid w:val="2054286A"/>
    <w:rsid w:val="20743960"/>
    <w:rsid w:val="207F03EA"/>
    <w:rsid w:val="20954F3F"/>
    <w:rsid w:val="209E24B7"/>
    <w:rsid w:val="20BA3849"/>
    <w:rsid w:val="20D44015"/>
    <w:rsid w:val="20DF525D"/>
    <w:rsid w:val="20E57FD0"/>
    <w:rsid w:val="21000FF2"/>
    <w:rsid w:val="214B21A5"/>
    <w:rsid w:val="216B660D"/>
    <w:rsid w:val="216C24A0"/>
    <w:rsid w:val="217F273B"/>
    <w:rsid w:val="218422E4"/>
    <w:rsid w:val="21CE19D0"/>
    <w:rsid w:val="21F42BC1"/>
    <w:rsid w:val="220A1F47"/>
    <w:rsid w:val="22197F6A"/>
    <w:rsid w:val="22322DDE"/>
    <w:rsid w:val="223E3B2E"/>
    <w:rsid w:val="22473317"/>
    <w:rsid w:val="224A27E1"/>
    <w:rsid w:val="2250591D"/>
    <w:rsid w:val="22696DE5"/>
    <w:rsid w:val="22AE55CF"/>
    <w:rsid w:val="22DF491E"/>
    <w:rsid w:val="22FD63CE"/>
    <w:rsid w:val="23342EDF"/>
    <w:rsid w:val="2355768F"/>
    <w:rsid w:val="237C5F92"/>
    <w:rsid w:val="240E3AF8"/>
    <w:rsid w:val="2415201E"/>
    <w:rsid w:val="241B036A"/>
    <w:rsid w:val="2485631A"/>
    <w:rsid w:val="248D5CD9"/>
    <w:rsid w:val="24BC4213"/>
    <w:rsid w:val="24CA19B7"/>
    <w:rsid w:val="24D46CDA"/>
    <w:rsid w:val="24DE3063"/>
    <w:rsid w:val="252A2616"/>
    <w:rsid w:val="252B2EA9"/>
    <w:rsid w:val="252D4CAB"/>
    <w:rsid w:val="25315EDA"/>
    <w:rsid w:val="25401543"/>
    <w:rsid w:val="261738A3"/>
    <w:rsid w:val="262E63AD"/>
    <w:rsid w:val="266E11AF"/>
    <w:rsid w:val="26716A8E"/>
    <w:rsid w:val="26832765"/>
    <w:rsid w:val="26963338"/>
    <w:rsid w:val="26B14AD3"/>
    <w:rsid w:val="26B15ECB"/>
    <w:rsid w:val="27176EF9"/>
    <w:rsid w:val="27455C6D"/>
    <w:rsid w:val="27871DE1"/>
    <w:rsid w:val="27B801ED"/>
    <w:rsid w:val="27D24D61"/>
    <w:rsid w:val="281049A4"/>
    <w:rsid w:val="281713B7"/>
    <w:rsid w:val="2818190D"/>
    <w:rsid w:val="281B36D9"/>
    <w:rsid w:val="2826133D"/>
    <w:rsid w:val="28311ADD"/>
    <w:rsid w:val="285370EA"/>
    <w:rsid w:val="285A12A4"/>
    <w:rsid w:val="286914E7"/>
    <w:rsid w:val="28B704A4"/>
    <w:rsid w:val="28EF7C3E"/>
    <w:rsid w:val="29115E06"/>
    <w:rsid w:val="29130717"/>
    <w:rsid w:val="291E643B"/>
    <w:rsid w:val="296F1CD7"/>
    <w:rsid w:val="29902933"/>
    <w:rsid w:val="29916BD3"/>
    <w:rsid w:val="29C966E1"/>
    <w:rsid w:val="2A2A5EFE"/>
    <w:rsid w:val="2A2E677F"/>
    <w:rsid w:val="2A3864F7"/>
    <w:rsid w:val="2A4F59B8"/>
    <w:rsid w:val="2AB32EED"/>
    <w:rsid w:val="2AC82E3D"/>
    <w:rsid w:val="2AED28A3"/>
    <w:rsid w:val="2AF505D0"/>
    <w:rsid w:val="2B3C3F46"/>
    <w:rsid w:val="2B8C5236"/>
    <w:rsid w:val="2B953A99"/>
    <w:rsid w:val="2BFB58D0"/>
    <w:rsid w:val="2C262A94"/>
    <w:rsid w:val="2C4D0C76"/>
    <w:rsid w:val="2C4E236D"/>
    <w:rsid w:val="2C700D67"/>
    <w:rsid w:val="2C805C39"/>
    <w:rsid w:val="2CA945A8"/>
    <w:rsid w:val="2CBE44F7"/>
    <w:rsid w:val="2CC73B34"/>
    <w:rsid w:val="2CF41AC6"/>
    <w:rsid w:val="2CFF4C74"/>
    <w:rsid w:val="2D187E6E"/>
    <w:rsid w:val="2DB476A8"/>
    <w:rsid w:val="2DCA4350"/>
    <w:rsid w:val="2DCD5785"/>
    <w:rsid w:val="2E0A3DAE"/>
    <w:rsid w:val="2E2F38A3"/>
    <w:rsid w:val="2E734E6D"/>
    <w:rsid w:val="2E924C57"/>
    <w:rsid w:val="2E9A30C2"/>
    <w:rsid w:val="2EC1207D"/>
    <w:rsid w:val="2EF32025"/>
    <w:rsid w:val="2F226F83"/>
    <w:rsid w:val="2F542EF1"/>
    <w:rsid w:val="2F613983"/>
    <w:rsid w:val="2F9A1FFC"/>
    <w:rsid w:val="2FE11BBB"/>
    <w:rsid w:val="2FE127DD"/>
    <w:rsid w:val="2FE204FD"/>
    <w:rsid w:val="2FE907EA"/>
    <w:rsid w:val="30222BBD"/>
    <w:rsid w:val="302C23C8"/>
    <w:rsid w:val="30311398"/>
    <w:rsid w:val="30462F67"/>
    <w:rsid w:val="305C7EB4"/>
    <w:rsid w:val="306D33F8"/>
    <w:rsid w:val="3072600F"/>
    <w:rsid w:val="3097123F"/>
    <w:rsid w:val="30D67594"/>
    <w:rsid w:val="31534274"/>
    <w:rsid w:val="3155021B"/>
    <w:rsid w:val="315C4A76"/>
    <w:rsid w:val="319770C5"/>
    <w:rsid w:val="31BF2E81"/>
    <w:rsid w:val="31C6045D"/>
    <w:rsid w:val="31E2246F"/>
    <w:rsid w:val="3203548E"/>
    <w:rsid w:val="320E76D0"/>
    <w:rsid w:val="321C37E8"/>
    <w:rsid w:val="3230145A"/>
    <w:rsid w:val="324D574B"/>
    <w:rsid w:val="32577A48"/>
    <w:rsid w:val="328C46E6"/>
    <w:rsid w:val="328C68A8"/>
    <w:rsid w:val="33055436"/>
    <w:rsid w:val="330E13A4"/>
    <w:rsid w:val="33661445"/>
    <w:rsid w:val="33947DCC"/>
    <w:rsid w:val="33F464DE"/>
    <w:rsid w:val="340422A7"/>
    <w:rsid w:val="34160775"/>
    <w:rsid w:val="34264730"/>
    <w:rsid w:val="342C7F98"/>
    <w:rsid w:val="34407838"/>
    <w:rsid w:val="348B41BE"/>
    <w:rsid w:val="34954B08"/>
    <w:rsid w:val="352D670F"/>
    <w:rsid w:val="35633E2F"/>
    <w:rsid w:val="35956B7D"/>
    <w:rsid w:val="35A45588"/>
    <w:rsid w:val="35B2788E"/>
    <w:rsid w:val="35F05311"/>
    <w:rsid w:val="3614429B"/>
    <w:rsid w:val="36277986"/>
    <w:rsid w:val="367114E0"/>
    <w:rsid w:val="3678231E"/>
    <w:rsid w:val="3679346B"/>
    <w:rsid w:val="370033CB"/>
    <w:rsid w:val="37D168FA"/>
    <w:rsid w:val="37DF5322"/>
    <w:rsid w:val="37F60FE9"/>
    <w:rsid w:val="386A4F0E"/>
    <w:rsid w:val="3886378E"/>
    <w:rsid w:val="38C567F6"/>
    <w:rsid w:val="38D03AA3"/>
    <w:rsid w:val="38F00061"/>
    <w:rsid w:val="38F11F24"/>
    <w:rsid w:val="38FF3BAA"/>
    <w:rsid w:val="39506D9D"/>
    <w:rsid w:val="397573A2"/>
    <w:rsid w:val="398A718D"/>
    <w:rsid w:val="39AD6EE2"/>
    <w:rsid w:val="39AE1450"/>
    <w:rsid w:val="39C54A80"/>
    <w:rsid w:val="39CA6EC6"/>
    <w:rsid w:val="39EE4921"/>
    <w:rsid w:val="3A0704AB"/>
    <w:rsid w:val="3A105C66"/>
    <w:rsid w:val="3A333EAD"/>
    <w:rsid w:val="3A7C08E8"/>
    <w:rsid w:val="3A8C79E3"/>
    <w:rsid w:val="3AB72586"/>
    <w:rsid w:val="3AFB7815"/>
    <w:rsid w:val="3B2B1DF2"/>
    <w:rsid w:val="3B5441F0"/>
    <w:rsid w:val="3B8406BA"/>
    <w:rsid w:val="3B9D3C7E"/>
    <w:rsid w:val="3BED3F86"/>
    <w:rsid w:val="3BFA33C2"/>
    <w:rsid w:val="3C0A39AE"/>
    <w:rsid w:val="3C336FAE"/>
    <w:rsid w:val="3C396C88"/>
    <w:rsid w:val="3C5A58BF"/>
    <w:rsid w:val="3C8612EC"/>
    <w:rsid w:val="3CAB5E72"/>
    <w:rsid w:val="3CF8074C"/>
    <w:rsid w:val="3D5266A0"/>
    <w:rsid w:val="3D6B7851"/>
    <w:rsid w:val="3D7A6BFB"/>
    <w:rsid w:val="3D7C34EE"/>
    <w:rsid w:val="3DB771A5"/>
    <w:rsid w:val="3DCC50B9"/>
    <w:rsid w:val="3DD84CED"/>
    <w:rsid w:val="3E3059B2"/>
    <w:rsid w:val="3E481E73"/>
    <w:rsid w:val="3E4C6995"/>
    <w:rsid w:val="3E9522AF"/>
    <w:rsid w:val="3EA47CEA"/>
    <w:rsid w:val="3EBE5DC6"/>
    <w:rsid w:val="3F043B7A"/>
    <w:rsid w:val="3F0B4C4E"/>
    <w:rsid w:val="3F0F3EA5"/>
    <w:rsid w:val="3F2E2A49"/>
    <w:rsid w:val="3F3F5061"/>
    <w:rsid w:val="3F4C4DAE"/>
    <w:rsid w:val="3F9A2B87"/>
    <w:rsid w:val="3FA00753"/>
    <w:rsid w:val="3FA621E7"/>
    <w:rsid w:val="3FB52ADC"/>
    <w:rsid w:val="3FBB3274"/>
    <w:rsid w:val="3FC30D60"/>
    <w:rsid w:val="3FFC69ED"/>
    <w:rsid w:val="40424496"/>
    <w:rsid w:val="40525B09"/>
    <w:rsid w:val="4054107D"/>
    <w:rsid w:val="40542A66"/>
    <w:rsid w:val="406D317B"/>
    <w:rsid w:val="406E0E6B"/>
    <w:rsid w:val="407F76A2"/>
    <w:rsid w:val="40A8309D"/>
    <w:rsid w:val="40BE0DAC"/>
    <w:rsid w:val="40CC5A15"/>
    <w:rsid w:val="40D95DE4"/>
    <w:rsid w:val="40DE011C"/>
    <w:rsid w:val="40EB11DB"/>
    <w:rsid w:val="41E1555C"/>
    <w:rsid w:val="42467F67"/>
    <w:rsid w:val="425E287D"/>
    <w:rsid w:val="426D12D2"/>
    <w:rsid w:val="427063C3"/>
    <w:rsid w:val="42C23871"/>
    <w:rsid w:val="42D251E4"/>
    <w:rsid w:val="42D743BD"/>
    <w:rsid w:val="43341F66"/>
    <w:rsid w:val="434A52AA"/>
    <w:rsid w:val="434C2AE2"/>
    <w:rsid w:val="43787D7B"/>
    <w:rsid w:val="43895548"/>
    <w:rsid w:val="43A33313"/>
    <w:rsid w:val="43C41293"/>
    <w:rsid w:val="43D815DD"/>
    <w:rsid w:val="440C7115"/>
    <w:rsid w:val="442742D8"/>
    <w:rsid w:val="44441214"/>
    <w:rsid w:val="44652850"/>
    <w:rsid w:val="44840FB9"/>
    <w:rsid w:val="44902013"/>
    <w:rsid w:val="449049E4"/>
    <w:rsid w:val="44B007B1"/>
    <w:rsid w:val="44D62F03"/>
    <w:rsid w:val="44DD0967"/>
    <w:rsid w:val="44E328F5"/>
    <w:rsid w:val="44E623E5"/>
    <w:rsid w:val="45031765"/>
    <w:rsid w:val="450B35E8"/>
    <w:rsid w:val="450B50C0"/>
    <w:rsid w:val="450D709C"/>
    <w:rsid w:val="451204A4"/>
    <w:rsid w:val="45323980"/>
    <w:rsid w:val="456F23DB"/>
    <w:rsid w:val="45734BDC"/>
    <w:rsid w:val="45765517"/>
    <w:rsid w:val="45AD246B"/>
    <w:rsid w:val="45B10B6C"/>
    <w:rsid w:val="45D07F9D"/>
    <w:rsid w:val="45E03102"/>
    <w:rsid w:val="460C19D8"/>
    <w:rsid w:val="463E0334"/>
    <w:rsid w:val="464E3D9E"/>
    <w:rsid w:val="46612F50"/>
    <w:rsid w:val="46625A9C"/>
    <w:rsid w:val="466931C7"/>
    <w:rsid w:val="46956DE4"/>
    <w:rsid w:val="46CD53A0"/>
    <w:rsid w:val="46D559CF"/>
    <w:rsid w:val="472C7B08"/>
    <w:rsid w:val="47840359"/>
    <w:rsid w:val="47AE24AF"/>
    <w:rsid w:val="47C104A9"/>
    <w:rsid w:val="47FE3E4D"/>
    <w:rsid w:val="4817163E"/>
    <w:rsid w:val="481C6889"/>
    <w:rsid w:val="48480CC1"/>
    <w:rsid w:val="48807FB7"/>
    <w:rsid w:val="488F50E1"/>
    <w:rsid w:val="48CE5B46"/>
    <w:rsid w:val="491D5918"/>
    <w:rsid w:val="49651F36"/>
    <w:rsid w:val="496626B7"/>
    <w:rsid w:val="498C3FC4"/>
    <w:rsid w:val="49D239FC"/>
    <w:rsid w:val="49D81FE8"/>
    <w:rsid w:val="49E82D66"/>
    <w:rsid w:val="49F2622A"/>
    <w:rsid w:val="4A0065AD"/>
    <w:rsid w:val="4A583773"/>
    <w:rsid w:val="4A632324"/>
    <w:rsid w:val="4A7142E8"/>
    <w:rsid w:val="4A7D6156"/>
    <w:rsid w:val="4A7E09CA"/>
    <w:rsid w:val="4A7E1C85"/>
    <w:rsid w:val="4A93629D"/>
    <w:rsid w:val="4AAB216E"/>
    <w:rsid w:val="4AC078AE"/>
    <w:rsid w:val="4AC62BC0"/>
    <w:rsid w:val="4AC7629A"/>
    <w:rsid w:val="4AEE5B50"/>
    <w:rsid w:val="4B0372DA"/>
    <w:rsid w:val="4B7FFABB"/>
    <w:rsid w:val="4BA16207"/>
    <w:rsid w:val="4BDE3E16"/>
    <w:rsid w:val="4BE020B6"/>
    <w:rsid w:val="4C300CB9"/>
    <w:rsid w:val="4C616EE1"/>
    <w:rsid w:val="4C7F2566"/>
    <w:rsid w:val="4C895736"/>
    <w:rsid w:val="4CA22024"/>
    <w:rsid w:val="4CA90414"/>
    <w:rsid w:val="4CC144F9"/>
    <w:rsid w:val="4D023454"/>
    <w:rsid w:val="4D1B0CBC"/>
    <w:rsid w:val="4D4279BA"/>
    <w:rsid w:val="4D4934F5"/>
    <w:rsid w:val="4D5325E2"/>
    <w:rsid w:val="4D58437F"/>
    <w:rsid w:val="4DAA59D6"/>
    <w:rsid w:val="4DAC274C"/>
    <w:rsid w:val="4DE97FDF"/>
    <w:rsid w:val="4DEB0F27"/>
    <w:rsid w:val="4E1213C3"/>
    <w:rsid w:val="4E1E674C"/>
    <w:rsid w:val="4E540359"/>
    <w:rsid w:val="4E5C7274"/>
    <w:rsid w:val="4E7775F6"/>
    <w:rsid w:val="4EBB45F9"/>
    <w:rsid w:val="4EDC52DF"/>
    <w:rsid w:val="4EEA3E4F"/>
    <w:rsid w:val="4EFF315F"/>
    <w:rsid w:val="4F2401F2"/>
    <w:rsid w:val="4F310701"/>
    <w:rsid w:val="4F94394C"/>
    <w:rsid w:val="4FB370C6"/>
    <w:rsid w:val="4FD334F0"/>
    <w:rsid w:val="4FD47AE7"/>
    <w:rsid w:val="4FDF4EFA"/>
    <w:rsid w:val="500D205E"/>
    <w:rsid w:val="5035297F"/>
    <w:rsid w:val="50566671"/>
    <w:rsid w:val="50635071"/>
    <w:rsid w:val="508947C0"/>
    <w:rsid w:val="50A045B3"/>
    <w:rsid w:val="50B138A7"/>
    <w:rsid w:val="50F96C53"/>
    <w:rsid w:val="515254C7"/>
    <w:rsid w:val="516665D2"/>
    <w:rsid w:val="517C698E"/>
    <w:rsid w:val="51816E8F"/>
    <w:rsid w:val="518D4C8D"/>
    <w:rsid w:val="51B24DEB"/>
    <w:rsid w:val="51D14E4E"/>
    <w:rsid w:val="51D169A5"/>
    <w:rsid w:val="51F13A71"/>
    <w:rsid w:val="523E7D99"/>
    <w:rsid w:val="52667708"/>
    <w:rsid w:val="52754DA9"/>
    <w:rsid w:val="52F451C8"/>
    <w:rsid w:val="532A44BF"/>
    <w:rsid w:val="535C1148"/>
    <w:rsid w:val="535F2819"/>
    <w:rsid w:val="53647D73"/>
    <w:rsid w:val="53807561"/>
    <w:rsid w:val="53AA4A52"/>
    <w:rsid w:val="53E44745"/>
    <w:rsid w:val="53ED1419"/>
    <w:rsid w:val="543A0058"/>
    <w:rsid w:val="543F11CA"/>
    <w:rsid w:val="54596975"/>
    <w:rsid w:val="545C3AE1"/>
    <w:rsid w:val="545F186C"/>
    <w:rsid w:val="547F60BF"/>
    <w:rsid w:val="550D12C8"/>
    <w:rsid w:val="55266256"/>
    <w:rsid w:val="552739D6"/>
    <w:rsid w:val="552B2255"/>
    <w:rsid w:val="553F3638"/>
    <w:rsid w:val="555320AF"/>
    <w:rsid w:val="55624EAE"/>
    <w:rsid w:val="558A14E6"/>
    <w:rsid w:val="55E9386B"/>
    <w:rsid w:val="55F2238E"/>
    <w:rsid w:val="55F63D2B"/>
    <w:rsid w:val="55FA5A26"/>
    <w:rsid w:val="56355871"/>
    <w:rsid w:val="56A4002C"/>
    <w:rsid w:val="56BF76F4"/>
    <w:rsid w:val="56CB3090"/>
    <w:rsid w:val="56DE778F"/>
    <w:rsid w:val="56EF6FF2"/>
    <w:rsid w:val="572A7F10"/>
    <w:rsid w:val="5738773E"/>
    <w:rsid w:val="574D0586"/>
    <w:rsid w:val="57835872"/>
    <w:rsid w:val="57DB745C"/>
    <w:rsid w:val="57EF662B"/>
    <w:rsid w:val="57F35A67"/>
    <w:rsid w:val="57F7487B"/>
    <w:rsid w:val="57F97599"/>
    <w:rsid w:val="57FA697D"/>
    <w:rsid w:val="58457365"/>
    <w:rsid w:val="58524FB0"/>
    <w:rsid w:val="5873383F"/>
    <w:rsid w:val="589D4DFF"/>
    <w:rsid w:val="58A23BE3"/>
    <w:rsid w:val="58DB417A"/>
    <w:rsid w:val="58DE45DD"/>
    <w:rsid w:val="59162881"/>
    <w:rsid w:val="591E1186"/>
    <w:rsid w:val="59275315"/>
    <w:rsid w:val="59306CDC"/>
    <w:rsid w:val="594E11CF"/>
    <w:rsid w:val="59BB5797"/>
    <w:rsid w:val="59BF6BB7"/>
    <w:rsid w:val="59D16E7F"/>
    <w:rsid w:val="59E52814"/>
    <w:rsid w:val="59ED3476"/>
    <w:rsid w:val="59FB3737"/>
    <w:rsid w:val="5A0D113D"/>
    <w:rsid w:val="5A1F57EA"/>
    <w:rsid w:val="5A272C1B"/>
    <w:rsid w:val="5A4F72BC"/>
    <w:rsid w:val="5A560F28"/>
    <w:rsid w:val="5A717777"/>
    <w:rsid w:val="5A897B09"/>
    <w:rsid w:val="5A8A42B8"/>
    <w:rsid w:val="5AA5183D"/>
    <w:rsid w:val="5AE2331B"/>
    <w:rsid w:val="5B1F3B03"/>
    <w:rsid w:val="5B3841D2"/>
    <w:rsid w:val="5B3F0314"/>
    <w:rsid w:val="5B607711"/>
    <w:rsid w:val="5B90055D"/>
    <w:rsid w:val="5B9F052D"/>
    <w:rsid w:val="5BB11832"/>
    <w:rsid w:val="5BD94EAB"/>
    <w:rsid w:val="5BDE8098"/>
    <w:rsid w:val="5C472EC2"/>
    <w:rsid w:val="5C512216"/>
    <w:rsid w:val="5C6003F8"/>
    <w:rsid w:val="5C7A5696"/>
    <w:rsid w:val="5C7B40D3"/>
    <w:rsid w:val="5C7F5B00"/>
    <w:rsid w:val="5C9D76D9"/>
    <w:rsid w:val="5CBB0364"/>
    <w:rsid w:val="5CBB055D"/>
    <w:rsid w:val="5CE6401F"/>
    <w:rsid w:val="5D2B2E6F"/>
    <w:rsid w:val="5D4360AF"/>
    <w:rsid w:val="5D6B1282"/>
    <w:rsid w:val="5D702069"/>
    <w:rsid w:val="5DCF3690"/>
    <w:rsid w:val="5DE17E9F"/>
    <w:rsid w:val="5DEA0C4B"/>
    <w:rsid w:val="5E4B70D3"/>
    <w:rsid w:val="5E6A4C3B"/>
    <w:rsid w:val="5E7833BE"/>
    <w:rsid w:val="5E7F5C4A"/>
    <w:rsid w:val="5E8E6FD6"/>
    <w:rsid w:val="5EE52F14"/>
    <w:rsid w:val="5EF318B9"/>
    <w:rsid w:val="5EF61EC8"/>
    <w:rsid w:val="5F00021A"/>
    <w:rsid w:val="5F030830"/>
    <w:rsid w:val="5F0674B4"/>
    <w:rsid w:val="5F2711D9"/>
    <w:rsid w:val="5F496BD7"/>
    <w:rsid w:val="5F73007F"/>
    <w:rsid w:val="5F896AA6"/>
    <w:rsid w:val="5F976E27"/>
    <w:rsid w:val="5F9A5869"/>
    <w:rsid w:val="5FA83300"/>
    <w:rsid w:val="5FAF18FA"/>
    <w:rsid w:val="5FC658EF"/>
    <w:rsid w:val="5FDF66CA"/>
    <w:rsid w:val="600739C7"/>
    <w:rsid w:val="60146320"/>
    <w:rsid w:val="602D5997"/>
    <w:rsid w:val="608B73CF"/>
    <w:rsid w:val="60965B1F"/>
    <w:rsid w:val="610B3822"/>
    <w:rsid w:val="61250D22"/>
    <w:rsid w:val="61400C90"/>
    <w:rsid w:val="618B0D89"/>
    <w:rsid w:val="61C40340"/>
    <w:rsid w:val="61C55405"/>
    <w:rsid w:val="61DFB1D3"/>
    <w:rsid w:val="61E3588B"/>
    <w:rsid w:val="622D0305"/>
    <w:rsid w:val="6240065E"/>
    <w:rsid w:val="62431503"/>
    <w:rsid w:val="624F2A51"/>
    <w:rsid w:val="62B17F61"/>
    <w:rsid w:val="62C42828"/>
    <w:rsid w:val="62E306B6"/>
    <w:rsid w:val="630F0D31"/>
    <w:rsid w:val="63330FFD"/>
    <w:rsid w:val="63585BC8"/>
    <w:rsid w:val="636E5628"/>
    <w:rsid w:val="63D96148"/>
    <w:rsid w:val="63FE517A"/>
    <w:rsid w:val="641E4D72"/>
    <w:rsid w:val="644E500A"/>
    <w:rsid w:val="645046EA"/>
    <w:rsid w:val="64DD02EE"/>
    <w:rsid w:val="64E605D2"/>
    <w:rsid w:val="64F16511"/>
    <w:rsid w:val="65071890"/>
    <w:rsid w:val="657A6B85"/>
    <w:rsid w:val="65B80DDC"/>
    <w:rsid w:val="65F77A0A"/>
    <w:rsid w:val="661B7E6F"/>
    <w:rsid w:val="662D17CA"/>
    <w:rsid w:val="66D57047"/>
    <w:rsid w:val="670375C4"/>
    <w:rsid w:val="67390C13"/>
    <w:rsid w:val="67445AE1"/>
    <w:rsid w:val="676A47D3"/>
    <w:rsid w:val="67774CB6"/>
    <w:rsid w:val="67A37331"/>
    <w:rsid w:val="67BC2E06"/>
    <w:rsid w:val="67CE63F2"/>
    <w:rsid w:val="67E9057B"/>
    <w:rsid w:val="67EB04CB"/>
    <w:rsid w:val="67F73609"/>
    <w:rsid w:val="67FF12D2"/>
    <w:rsid w:val="680F45AC"/>
    <w:rsid w:val="685A7E7B"/>
    <w:rsid w:val="68620F9E"/>
    <w:rsid w:val="68721717"/>
    <w:rsid w:val="68757459"/>
    <w:rsid w:val="687B40BB"/>
    <w:rsid w:val="687E0F07"/>
    <w:rsid w:val="68835638"/>
    <w:rsid w:val="68AB4C28"/>
    <w:rsid w:val="68BA4A5A"/>
    <w:rsid w:val="68C77CB4"/>
    <w:rsid w:val="68E5037D"/>
    <w:rsid w:val="691B37EA"/>
    <w:rsid w:val="69212641"/>
    <w:rsid w:val="69501F9D"/>
    <w:rsid w:val="69526A95"/>
    <w:rsid w:val="696B101F"/>
    <w:rsid w:val="69787F3C"/>
    <w:rsid w:val="698A2F37"/>
    <w:rsid w:val="699D1260"/>
    <w:rsid w:val="69A000B1"/>
    <w:rsid w:val="69CE0BCF"/>
    <w:rsid w:val="69D56D6D"/>
    <w:rsid w:val="6A2F646E"/>
    <w:rsid w:val="6A357864"/>
    <w:rsid w:val="6A3A3016"/>
    <w:rsid w:val="6A93051A"/>
    <w:rsid w:val="6B424146"/>
    <w:rsid w:val="6B5477F9"/>
    <w:rsid w:val="6B5B627C"/>
    <w:rsid w:val="6B8A6D77"/>
    <w:rsid w:val="6BDA50C7"/>
    <w:rsid w:val="6BE071F2"/>
    <w:rsid w:val="6BE45C10"/>
    <w:rsid w:val="6BEF0421"/>
    <w:rsid w:val="6BF03018"/>
    <w:rsid w:val="6C0C1173"/>
    <w:rsid w:val="6C20045E"/>
    <w:rsid w:val="6C5172C5"/>
    <w:rsid w:val="6C7800AB"/>
    <w:rsid w:val="6C85495B"/>
    <w:rsid w:val="6C994AB5"/>
    <w:rsid w:val="6C9A1DC5"/>
    <w:rsid w:val="6CAF3ECE"/>
    <w:rsid w:val="6CD233A2"/>
    <w:rsid w:val="6CE8644B"/>
    <w:rsid w:val="6D101512"/>
    <w:rsid w:val="6D461C71"/>
    <w:rsid w:val="6D96027F"/>
    <w:rsid w:val="6D9E0895"/>
    <w:rsid w:val="6DB602F7"/>
    <w:rsid w:val="6DD615C2"/>
    <w:rsid w:val="6DDB7AFB"/>
    <w:rsid w:val="6DED394A"/>
    <w:rsid w:val="6E0D7171"/>
    <w:rsid w:val="6E272FA3"/>
    <w:rsid w:val="6E3B0D05"/>
    <w:rsid w:val="6E4331B0"/>
    <w:rsid w:val="6E8403F6"/>
    <w:rsid w:val="6E8946B1"/>
    <w:rsid w:val="6E990CC2"/>
    <w:rsid w:val="6EB524F6"/>
    <w:rsid w:val="6F165CDC"/>
    <w:rsid w:val="6F2D580C"/>
    <w:rsid w:val="6F3516F0"/>
    <w:rsid w:val="6F437D66"/>
    <w:rsid w:val="6F5A5A96"/>
    <w:rsid w:val="6F6B6EC0"/>
    <w:rsid w:val="6F6D34B7"/>
    <w:rsid w:val="6F7467D2"/>
    <w:rsid w:val="6F924BE8"/>
    <w:rsid w:val="6F9E39D8"/>
    <w:rsid w:val="6FBE1176"/>
    <w:rsid w:val="6FC7680C"/>
    <w:rsid w:val="6FE86762"/>
    <w:rsid w:val="7023779A"/>
    <w:rsid w:val="70712387"/>
    <w:rsid w:val="707B2A75"/>
    <w:rsid w:val="70F11AA2"/>
    <w:rsid w:val="70F33FC7"/>
    <w:rsid w:val="71105F71"/>
    <w:rsid w:val="711D2771"/>
    <w:rsid w:val="715B7722"/>
    <w:rsid w:val="71761AC1"/>
    <w:rsid w:val="718B5C17"/>
    <w:rsid w:val="719855A4"/>
    <w:rsid w:val="719C7804"/>
    <w:rsid w:val="719E357C"/>
    <w:rsid w:val="71E665A2"/>
    <w:rsid w:val="71FC02A3"/>
    <w:rsid w:val="720C498A"/>
    <w:rsid w:val="72167BCC"/>
    <w:rsid w:val="722A4E10"/>
    <w:rsid w:val="72D35F3E"/>
    <w:rsid w:val="7320549F"/>
    <w:rsid w:val="7339278B"/>
    <w:rsid w:val="733A73BE"/>
    <w:rsid w:val="733C5B10"/>
    <w:rsid w:val="734212B5"/>
    <w:rsid w:val="734B14EC"/>
    <w:rsid w:val="734B3290"/>
    <w:rsid w:val="73536105"/>
    <w:rsid w:val="73742B86"/>
    <w:rsid w:val="73782FDA"/>
    <w:rsid w:val="738549F4"/>
    <w:rsid w:val="7386251A"/>
    <w:rsid w:val="73EF43E7"/>
    <w:rsid w:val="73F45B3F"/>
    <w:rsid w:val="742B392C"/>
    <w:rsid w:val="74310977"/>
    <w:rsid w:val="746959DD"/>
    <w:rsid w:val="746960C4"/>
    <w:rsid w:val="747B4B56"/>
    <w:rsid w:val="748005A0"/>
    <w:rsid w:val="748144D9"/>
    <w:rsid w:val="748B539F"/>
    <w:rsid w:val="749C4C03"/>
    <w:rsid w:val="74E02B7D"/>
    <w:rsid w:val="74ED2619"/>
    <w:rsid w:val="7557416E"/>
    <w:rsid w:val="75872BE3"/>
    <w:rsid w:val="758E3908"/>
    <w:rsid w:val="758F6280"/>
    <w:rsid w:val="75C17239"/>
    <w:rsid w:val="75D4368B"/>
    <w:rsid w:val="763C2050"/>
    <w:rsid w:val="764C1E75"/>
    <w:rsid w:val="76533A8D"/>
    <w:rsid w:val="766C15EB"/>
    <w:rsid w:val="766F3F6E"/>
    <w:rsid w:val="7671171A"/>
    <w:rsid w:val="767659EC"/>
    <w:rsid w:val="76767CB4"/>
    <w:rsid w:val="769629FC"/>
    <w:rsid w:val="76BA2238"/>
    <w:rsid w:val="76CE760F"/>
    <w:rsid w:val="772C321F"/>
    <w:rsid w:val="772F38AF"/>
    <w:rsid w:val="775739FD"/>
    <w:rsid w:val="776675AD"/>
    <w:rsid w:val="776E0238"/>
    <w:rsid w:val="778244CA"/>
    <w:rsid w:val="77BC29AE"/>
    <w:rsid w:val="77C00385"/>
    <w:rsid w:val="77D347C5"/>
    <w:rsid w:val="77DB069D"/>
    <w:rsid w:val="77F33DE0"/>
    <w:rsid w:val="781B44A5"/>
    <w:rsid w:val="78226B1D"/>
    <w:rsid w:val="786F2C57"/>
    <w:rsid w:val="786F7A21"/>
    <w:rsid w:val="7893036A"/>
    <w:rsid w:val="78A22EC5"/>
    <w:rsid w:val="795C61F7"/>
    <w:rsid w:val="797823BC"/>
    <w:rsid w:val="79B95FCE"/>
    <w:rsid w:val="79E5020B"/>
    <w:rsid w:val="79FB7A95"/>
    <w:rsid w:val="79FC3536"/>
    <w:rsid w:val="7A0D5743"/>
    <w:rsid w:val="7A1E2B0D"/>
    <w:rsid w:val="7A2A7C69"/>
    <w:rsid w:val="7A307C99"/>
    <w:rsid w:val="7A6922EE"/>
    <w:rsid w:val="7A754F04"/>
    <w:rsid w:val="7A835A05"/>
    <w:rsid w:val="7A92797C"/>
    <w:rsid w:val="7AA87312"/>
    <w:rsid w:val="7AC34EAD"/>
    <w:rsid w:val="7AF00FB6"/>
    <w:rsid w:val="7AFD437D"/>
    <w:rsid w:val="7B022D7E"/>
    <w:rsid w:val="7B193091"/>
    <w:rsid w:val="7B243FFA"/>
    <w:rsid w:val="7B294AE0"/>
    <w:rsid w:val="7B705BD1"/>
    <w:rsid w:val="7B81739D"/>
    <w:rsid w:val="7B8B0A14"/>
    <w:rsid w:val="7BF5096A"/>
    <w:rsid w:val="7BFE1246"/>
    <w:rsid w:val="7C483CF1"/>
    <w:rsid w:val="7C7E7A0B"/>
    <w:rsid w:val="7C8735D6"/>
    <w:rsid w:val="7C8B30E4"/>
    <w:rsid w:val="7C8D4989"/>
    <w:rsid w:val="7CC9653E"/>
    <w:rsid w:val="7CFFB006"/>
    <w:rsid w:val="7D5E0064"/>
    <w:rsid w:val="7DB223A6"/>
    <w:rsid w:val="7DFD676A"/>
    <w:rsid w:val="7E043B92"/>
    <w:rsid w:val="7E152AB0"/>
    <w:rsid w:val="7E3F39F1"/>
    <w:rsid w:val="7E433943"/>
    <w:rsid w:val="7E57717E"/>
    <w:rsid w:val="7E8F3772"/>
    <w:rsid w:val="7EF22A12"/>
    <w:rsid w:val="7F372BCA"/>
    <w:rsid w:val="7F4A74CC"/>
    <w:rsid w:val="7F537FF4"/>
    <w:rsid w:val="7F6F69B9"/>
    <w:rsid w:val="7F8B7CC9"/>
    <w:rsid w:val="7FB06469"/>
    <w:rsid w:val="7FC43F12"/>
    <w:rsid w:val="7FC70AC0"/>
    <w:rsid w:val="7FC7340B"/>
    <w:rsid w:val="7FD250FB"/>
    <w:rsid w:val="7FD91071"/>
    <w:rsid w:val="7FFB67DC"/>
    <w:rsid w:val="8CE75E2E"/>
    <w:rsid w:val="9DFF67BB"/>
    <w:rsid w:val="9EFF0E4F"/>
    <w:rsid w:val="A9FD584C"/>
    <w:rsid w:val="ABFA8B79"/>
    <w:rsid w:val="AFDF796E"/>
    <w:rsid w:val="BF69C393"/>
    <w:rsid w:val="BFBFA16D"/>
    <w:rsid w:val="BFFF8741"/>
    <w:rsid w:val="D65FE300"/>
    <w:rsid w:val="DFD5520C"/>
    <w:rsid w:val="FDBF44BA"/>
    <w:rsid w:val="FDEFD271"/>
    <w:rsid w:val="FED93BFC"/>
    <w:rsid w:val="FFAD3DAA"/>
    <w:rsid w:val="FFD70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0"/>
    <w:qFormat/>
    <w:uiPriority w:val="0"/>
    <w:pPr>
      <w:keepNext/>
      <w:keepLines/>
      <w:widowControl/>
      <w:spacing w:before="340" w:after="330"/>
      <w:jc w:val="left"/>
      <w:outlineLvl w:val="0"/>
    </w:pPr>
    <w:rPr>
      <w:rFonts w:ascii="华文细黑" w:hAnsi="宋体" w:eastAsia="宋体" w:cs="宋体"/>
      <w:b/>
      <w:bCs/>
      <w:snapToGrid w:val="0"/>
      <w:kern w:val="0"/>
      <w:sz w:val="28"/>
      <w:szCs w:val="44"/>
      <w:lang w:val="zh-CN"/>
    </w:rPr>
  </w:style>
  <w:style w:type="paragraph" w:styleId="3">
    <w:name w:val="heading 2"/>
    <w:basedOn w:val="1"/>
    <w:next w:val="1"/>
    <w:link w:val="51"/>
    <w:qFormat/>
    <w:uiPriority w:val="0"/>
    <w:pPr>
      <w:widowControl/>
      <w:spacing w:before="260" w:after="260"/>
      <w:jc w:val="center"/>
      <w:outlineLvl w:val="1"/>
    </w:pPr>
    <w:rPr>
      <w:rFonts w:ascii="华文细黑" w:hAnsi="Arial" w:eastAsia="宋体" w:cs="宋体"/>
      <w:b/>
      <w:bCs/>
      <w:kern w:val="0"/>
      <w:sz w:val="44"/>
      <w:szCs w:val="32"/>
      <w:lang w:val="zh-CN"/>
    </w:rPr>
  </w:style>
  <w:style w:type="paragraph" w:styleId="4">
    <w:name w:val="heading 3"/>
    <w:basedOn w:val="5"/>
    <w:next w:val="5"/>
    <w:link w:val="52"/>
    <w:qFormat/>
    <w:uiPriority w:val="0"/>
    <w:pPr>
      <w:keepNext/>
      <w:keepLines/>
      <w:widowControl/>
      <w:spacing w:before="260" w:after="260" w:line="416" w:lineRule="auto"/>
      <w:jc w:val="left"/>
      <w:outlineLvl w:val="2"/>
    </w:pPr>
    <w:rPr>
      <w:rFonts w:ascii="宋体" w:hAnsi="宋体" w:eastAsia="华文细黑" w:cs="宋体"/>
      <w:bCs/>
      <w:kern w:val="0"/>
      <w:sz w:val="36"/>
      <w:szCs w:val="32"/>
      <w:lang w:val="zh-CN"/>
    </w:rPr>
  </w:style>
  <w:style w:type="paragraph" w:styleId="6">
    <w:name w:val="heading 4"/>
    <w:basedOn w:val="1"/>
    <w:next w:val="1"/>
    <w:link w:val="53"/>
    <w:qFormat/>
    <w:uiPriority w:val="0"/>
    <w:pPr>
      <w:keepNext/>
      <w:keepLines/>
      <w:widowControl/>
      <w:spacing w:before="280" w:after="290" w:line="376" w:lineRule="auto"/>
      <w:jc w:val="left"/>
      <w:outlineLvl w:val="3"/>
    </w:pPr>
    <w:rPr>
      <w:rFonts w:ascii="Arial" w:hAnsi="Arial" w:eastAsia="黑体" w:cs="宋体"/>
      <w:b/>
      <w:bCs/>
      <w:kern w:val="0"/>
      <w:sz w:val="28"/>
      <w:szCs w:val="28"/>
      <w:lang w:val="zh-CN"/>
    </w:rPr>
  </w:style>
  <w:style w:type="paragraph" w:styleId="7">
    <w:name w:val="heading 5"/>
    <w:basedOn w:val="1"/>
    <w:next w:val="1"/>
    <w:link w:val="54"/>
    <w:qFormat/>
    <w:uiPriority w:val="0"/>
    <w:pPr>
      <w:keepNext/>
      <w:keepLines/>
      <w:widowControl/>
      <w:spacing w:before="280" w:after="290" w:line="376" w:lineRule="auto"/>
      <w:jc w:val="left"/>
      <w:outlineLvl w:val="4"/>
    </w:pPr>
    <w:rPr>
      <w:rFonts w:ascii="宋体" w:hAnsi="宋体" w:eastAsia="宋体" w:cs="宋体"/>
      <w:b/>
      <w:bCs/>
      <w:kern w:val="0"/>
      <w:sz w:val="28"/>
      <w:szCs w:val="28"/>
      <w:lang w:val="zh-CN"/>
    </w:rPr>
  </w:style>
  <w:style w:type="paragraph" w:styleId="8">
    <w:name w:val="heading 6"/>
    <w:basedOn w:val="1"/>
    <w:next w:val="1"/>
    <w:link w:val="55"/>
    <w:qFormat/>
    <w:uiPriority w:val="0"/>
    <w:pPr>
      <w:keepNext/>
      <w:keepLines/>
      <w:widowControl/>
      <w:spacing w:before="240" w:after="64" w:line="320" w:lineRule="auto"/>
      <w:jc w:val="left"/>
      <w:outlineLvl w:val="5"/>
    </w:pPr>
    <w:rPr>
      <w:rFonts w:ascii="Arial" w:hAnsi="Arial" w:eastAsia="黑体" w:cs="宋体"/>
      <w:b/>
      <w:bCs/>
      <w:kern w:val="0"/>
      <w:sz w:val="24"/>
      <w:szCs w:val="24"/>
      <w:lang w:val="zh-CN"/>
    </w:rPr>
  </w:style>
  <w:style w:type="paragraph" w:styleId="9">
    <w:name w:val="heading 7"/>
    <w:basedOn w:val="1"/>
    <w:next w:val="1"/>
    <w:link w:val="56"/>
    <w:qFormat/>
    <w:uiPriority w:val="0"/>
    <w:pPr>
      <w:keepNext/>
      <w:keepLines/>
      <w:widowControl/>
      <w:spacing w:before="240" w:after="64" w:line="320" w:lineRule="auto"/>
      <w:jc w:val="left"/>
      <w:outlineLvl w:val="6"/>
    </w:pPr>
    <w:rPr>
      <w:rFonts w:ascii="宋体" w:hAnsi="宋体" w:eastAsia="宋体" w:cs="宋体"/>
      <w:b/>
      <w:bCs/>
      <w:kern w:val="0"/>
      <w:sz w:val="24"/>
      <w:szCs w:val="24"/>
      <w:lang w:val="zh-CN"/>
    </w:rPr>
  </w:style>
  <w:style w:type="paragraph" w:styleId="10">
    <w:name w:val="heading 8"/>
    <w:basedOn w:val="1"/>
    <w:next w:val="1"/>
    <w:link w:val="57"/>
    <w:qFormat/>
    <w:uiPriority w:val="0"/>
    <w:pPr>
      <w:keepNext/>
      <w:keepLines/>
      <w:widowControl/>
      <w:spacing w:before="240" w:after="64" w:line="320" w:lineRule="auto"/>
      <w:jc w:val="left"/>
      <w:outlineLvl w:val="7"/>
    </w:pPr>
    <w:rPr>
      <w:rFonts w:ascii="Arial" w:hAnsi="Arial" w:eastAsia="黑体" w:cs="宋体"/>
      <w:kern w:val="0"/>
      <w:sz w:val="24"/>
      <w:szCs w:val="24"/>
      <w:lang w:val="zh-CN"/>
    </w:rPr>
  </w:style>
  <w:style w:type="paragraph" w:styleId="11">
    <w:name w:val="heading 9"/>
    <w:basedOn w:val="1"/>
    <w:next w:val="1"/>
    <w:link w:val="58"/>
    <w:qFormat/>
    <w:uiPriority w:val="0"/>
    <w:pPr>
      <w:keepNext/>
      <w:keepLines/>
      <w:widowControl/>
      <w:spacing w:before="240" w:after="64" w:line="320" w:lineRule="auto"/>
      <w:jc w:val="left"/>
      <w:outlineLvl w:val="8"/>
    </w:pPr>
    <w:rPr>
      <w:rFonts w:ascii="Arial" w:hAnsi="Arial" w:eastAsia="黑体" w:cs="宋体"/>
      <w:kern w:val="0"/>
      <w:sz w:val="24"/>
      <w:szCs w:val="21"/>
      <w:lang w:val="zh-CN"/>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toc 7"/>
    <w:basedOn w:val="1"/>
    <w:next w:val="1"/>
    <w:qFormat/>
    <w:uiPriority w:val="39"/>
    <w:pPr>
      <w:widowControl/>
      <w:ind w:left="1440"/>
      <w:jc w:val="left"/>
    </w:pPr>
    <w:rPr>
      <w:rFonts w:ascii="宋体" w:hAnsi="宋体" w:eastAsia="宋体" w:cs="宋体"/>
      <w:kern w:val="0"/>
      <w:sz w:val="18"/>
      <w:szCs w:val="18"/>
    </w:rPr>
  </w:style>
  <w:style w:type="paragraph" w:styleId="13">
    <w:name w:val="Normal Indent"/>
    <w:basedOn w:val="1"/>
    <w:qFormat/>
    <w:uiPriority w:val="0"/>
    <w:pPr>
      <w:widowControl/>
      <w:ind w:firstLine="420"/>
      <w:jc w:val="left"/>
    </w:pPr>
    <w:rPr>
      <w:rFonts w:ascii="宋体" w:hAnsi="宋体" w:eastAsia="宋体" w:cs="宋体"/>
      <w:kern w:val="0"/>
      <w:sz w:val="24"/>
      <w:szCs w:val="20"/>
    </w:rPr>
  </w:style>
  <w:style w:type="paragraph" w:styleId="14">
    <w:name w:val="Document Map"/>
    <w:basedOn w:val="1"/>
    <w:link w:val="63"/>
    <w:qFormat/>
    <w:uiPriority w:val="0"/>
    <w:pPr>
      <w:widowControl/>
      <w:shd w:val="clear" w:color="auto" w:fill="000080"/>
      <w:jc w:val="left"/>
    </w:pPr>
    <w:rPr>
      <w:rFonts w:ascii="Times New Roman" w:hAnsi="Times New Roman"/>
      <w:sz w:val="24"/>
      <w:szCs w:val="24"/>
    </w:rPr>
  </w:style>
  <w:style w:type="paragraph" w:styleId="15">
    <w:name w:val="annotation text"/>
    <w:basedOn w:val="1"/>
    <w:link w:val="59"/>
    <w:qFormat/>
    <w:uiPriority w:val="0"/>
    <w:pPr>
      <w:widowControl/>
      <w:jc w:val="left"/>
    </w:pPr>
    <w:rPr>
      <w:rFonts w:ascii="Times New Roman" w:hAnsi="Times New Roman"/>
      <w:szCs w:val="24"/>
    </w:rPr>
  </w:style>
  <w:style w:type="paragraph" w:styleId="16">
    <w:name w:val="Body Text"/>
    <w:basedOn w:val="1"/>
    <w:link w:val="73"/>
    <w:qFormat/>
    <w:uiPriority w:val="0"/>
    <w:pPr>
      <w:widowControl/>
      <w:spacing w:line="320" w:lineRule="exact"/>
      <w:jc w:val="left"/>
    </w:pPr>
    <w:rPr>
      <w:rFonts w:ascii="宋体" w:hAnsi="宋体" w:eastAsia="宋体" w:cs="宋体"/>
      <w:b/>
      <w:bCs/>
      <w:kern w:val="0"/>
      <w:sz w:val="24"/>
      <w:szCs w:val="24"/>
    </w:rPr>
  </w:style>
  <w:style w:type="paragraph" w:styleId="17">
    <w:name w:val="Body Text Indent"/>
    <w:basedOn w:val="1"/>
    <w:link w:val="75"/>
    <w:qFormat/>
    <w:uiPriority w:val="0"/>
    <w:pPr>
      <w:widowControl/>
      <w:spacing w:line="360" w:lineRule="auto"/>
      <w:ind w:firstLine="630"/>
      <w:jc w:val="left"/>
    </w:pPr>
    <w:rPr>
      <w:rFonts w:ascii="宋体" w:hAnsi="宋体" w:eastAsia="宋体" w:cs="宋体"/>
      <w:kern w:val="0"/>
      <w:sz w:val="24"/>
      <w:szCs w:val="20"/>
    </w:rPr>
  </w:style>
  <w:style w:type="paragraph" w:styleId="18">
    <w:name w:val="toc 5"/>
    <w:basedOn w:val="1"/>
    <w:next w:val="1"/>
    <w:qFormat/>
    <w:uiPriority w:val="39"/>
    <w:pPr>
      <w:widowControl/>
      <w:ind w:left="960"/>
      <w:jc w:val="left"/>
    </w:pPr>
    <w:rPr>
      <w:rFonts w:ascii="宋体" w:hAnsi="宋体" w:eastAsia="宋体" w:cs="宋体"/>
      <w:kern w:val="0"/>
      <w:sz w:val="18"/>
      <w:szCs w:val="18"/>
    </w:rPr>
  </w:style>
  <w:style w:type="paragraph" w:styleId="19">
    <w:name w:val="toc 3"/>
    <w:basedOn w:val="1"/>
    <w:next w:val="1"/>
    <w:qFormat/>
    <w:uiPriority w:val="39"/>
    <w:pPr>
      <w:widowControl/>
      <w:ind w:left="480"/>
      <w:jc w:val="left"/>
    </w:pPr>
    <w:rPr>
      <w:rFonts w:ascii="宋体" w:hAnsi="宋体" w:eastAsia="宋体" w:cs="宋体"/>
      <w:i/>
      <w:iCs/>
      <w:kern w:val="0"/>
      <w:sz w:val="20"/>
      <w:szCs w:val="20"/>
    </w:rPr>
  </w:style>
  <w:style w:type="paragraph" w:styleId="20">
    <w:name w:val="Plain Text"/>
    <w:basedOn w:val="1"/>
    <w:link w:val="72"/>
    <w:qFormat/>
    <w:uiPriority w:val="0"/>
    <w:pPr>
      <w:widowControl/>
      <w:jc w:val="left"/>
    </w:pPr>
    <w:rPr>
      <w:rFonts w:ascii="宋体" w:hAnsi="Courier New" w:eastAsia="宋体" w:cs="Courier New"/>
      <w:kern w:val="0"/>
      <w:sz w:val="24"/>
      <w:szCs w:val="21"/>
    </w:rPr>
  </w:style>
  <w:style w:type="paragraph" w:styleId="21">
    <w:name w:val="toc 8"/>
    <w:basedOn w:val="1"/>
    <w:next w:val="1"/>
    <w:qFormat/>
    <w:uiPriority w:val="39"/>
    <w:pPr>
      <w:widowControl/>
      <w:ind w:left="1680"/>
      <w:jc w:val="left"/>
    </w:pPr>
    <w:rPr>
      <w:rFonts w:ascii="宋体" w:hAnsi="宋体" w:eastAsia="宋体" w:cs="宋体"/>
      <w:kern w:val="0"/>
      <w:sz w:val="18"/>
      <w:szCs w:val="18"/>
    </w:rPr>
  </w:style>
  <w:style w:type="paragraph" w:styleId="22">
    <w:name w:val="Date"/>
    <w:basedOn w:val="1"/>
    <w:next w:val="1"/>
    <w:link w:val="78"/>
    <w:qFormat/>
    <w:uiPriority w:val="0"/>
    <w:pPr>
      <w:widowControl/>
      <w:ind w:left="100" w:leftChars="2500"/>
      <w:jc w:val="left"/>
    </w:pPr>
    <w:rPr>
      <w:szCs w:val="24"/>
    </w:rPr>
  </w:style>
  <w:style w:type="paragraph" w:styleId="23">
    <w:name w:val="Body Text Indent 2"/>
    <w:basedOn w:val="1"/>
    <w:link w:val="74"/>
    <w:qFormat/>
    <w:uiPriority w:val="0"/>
    <w:pPr>
      <w:widowControl/>
      <w:ind w:firstLine="640" w:firstLineChars="200"/>
      <w:jc w:val="left"/>
    </w:pPr>
    <w:rPr>
      <w:rFonts w:ascii="宋体" w:hAnsi="宋体" w:eastAsia="仿宋_GB2312" w:cs="宋体"/>
      <w:kern w:val="0"/>
      <w:sz w:val="32"/>
      <w:szCs w:val="24"/>
    </w:rPr>
  </w:style>
  <w:style w:type="paragraph" w:styleId="24">
    <w:name w:val="Balloon Text"/>
    <w:basedOn w:val="1"/>
    <w:link w:val="62"/>
    <w:qFormat/>
    <w:uiPriority w:val="0"/>
    <w:pPr>
      <w:widowControl/>
      <w:jc w:val="left"/>
    </w:pPr>
    <w:rPr>
      <w:rFonts w:ascii="宋体" w:hAnsi="宋体" w:eastAsia="宋体" w:cs="宋体"/>
      <w:kern w:val="0"/>
      <w:sz w:val="18"/>
      <w:szCs w:val="18"/>
      <w:lang w:val="zh-CN"/>
    </w:rPr>
  </w:style>
  <w:style w:type="paragraph" w:styleId="25">
    <w:name w:val="footer"/>
    <w:basedOn w:val="1"/>
    <w:link w:val="68"/>
    <w:unhideWhenUsed/>
    <w:qFormat/>
    <w:uiPriority w:val="99"/>
    <w:pPr>
      <w:widowControl/>
      <w:tabs>
        <w:tab w:val="center" w:pos="4153"/>
        <w:tab w:val="right" w:pos="8306"/>
      </w:tabs>
      <w:snapToGrid w:val="0"/>
      <w:jc w:val="left"/>
    </w:pPr>
    <w:rPr>
      <w:rFonts w:ascii="宋体" w:hAnsi="宋体" w:eastAsia="宋体" w:cs="宋体"/>
      <w:kern w:val="0"/>
      <w:sz w:val="18"/>
      <w:szCs w:val="18"/>
    </w:rPr>
  </w:style>
  <w:style w:type="paragraph" w:styleId="26">
    <w:name w:val="header"/>
    <w:basedOn w:val="1"/>
    <w:link w:val="66"/>
    <w:unhideWhenUsed/>
    <w:qFormat/>
    <w:uiPriority w:val="0"/>
    <w:pPr>
      <w:widowControl/>
      <w:pBdr>
        <w:bottom w:val="single" w:color="auto" w:sz="6" w:space="1"/>
      </w:pBdr>
      <w:tabs>
        <w:tab w:val="center" w:pos="4153"/>
        <w:tab w:val="right" w:pos="8306"/>
      </w:tabs>
      <w:snapToGrid w:val="0"/>
      <w:jc w:val="center"/>
    </w:pPr>
    <w:rPr>
      <w:rFonts w:ascii="宋体" w:hAnsi="宋体" w:eastAsia="宋体" w:cs="宋体"/>
      <w:kern w:val="0"/>
      <w:sz w:val="18"/>
      <w:szCs w:val="18"/>
    </w:rPr>
  </w:style>
  <w:style w:type="paragraph" w:styleId="27">
    <w:name w:val="toc 1"/>
    <w:basedOn w:val="1"/>
    <w:next w:val="1"/>
    <w:qFormat/>
    <w:uiPriority w:val="39"/>
    <w:pPr>
      <w:widowControl/>
      <w:spacing w:before="120" w:after="120"/>
      <w:jc w:val="left"/>
    </w:pPr>
    <w:rPr>
      <w:rFonts w:ascii="宋体" w:hAnsi="宋体" w:eastAsia="宋体" w:cs="宋体"/>
      <w:b/>
      <w:bCs/>
      <w:caps/>
      <w:kern w:val="0"/>
      <w:sz w:val="20"/>
      <w:szCs w:val="20"/>
    </w:rPr>
  </w:style>
  <w:style w:type="paragraph" w:styleId="28">
    <w:name w:val="toc 4"/>
    <w:basedOn w:val="1"/>
    <w:next w:val="1"/>
    <w:qFormat/>
    <w:uiPriority w:val="39"/>
    <w:pPr>
      <w:widowControl/>
      <w:ind w:left="720"/>
      <w:jc w:val="left"/>
    </w:pPr>
    <w:rPr>
      <w:rFonts w:ascii="宋体" w:hAnsi="宋体" w:eastAsia="宋体" w:cs="宋体"/>
      <w:kern w:val="0"/>
      <w:sz w:val="18"/>
      <w:szCs w:val="18"/>
    </w:rPr>
  </w:style>
  <w:style w:type="paragraph" w:styleId="29">
    <w:name w:val="footnote text"/>
    <w:basedOn w:val="1"/>
    <w:qFormat/>
    <w:uiPriority w:val="0"/>
    <w:pPr>
      <w:snapToGrid w:val="0"/>
      <w:jc w:val="left"/>
    </w:pPr>
    <w:rPr>
      <w:rFonts w:ascii="Times New Roman" w:hAnsi="Times New Roman" w:cs="Times New Roman"/>
      <w:sz w:val="18"/>
    </w:rPr>
  </w:style>
  <w:style w:type="paragraph" w:styleId="30">
    <w:name w:val="toc 6"/>
    <w:basedOn w:val="1"/>
    <w:next w:val="1"/>
    <w:qFormat/>
    <w:uiPriority w:val="39"/>
    <w:pPr>
      <w:widowControl/>
      <w:ind w:left="1200"/>
      <w:jc w:val="left"/>
    </w:pPr>
    <w:rPr>
      <w:rFonts w:ascii="宋体" w:hAnsi="宋体" w:eastAsia="宋体" w:cs="宋体"/>
      <w:kern w:val="0"/>
      <w:sz w:val="18"/>
      <w:szCs w:val="18"/>
    </w:rPr>
  </w:style>
  <w:style w:type="paragraph" w:styleId="31">
    <w:name w:val="List 5"/>
    <w:basedOn w:val="1"/>
    <w:qFormat/>
    <w:uiPriority w:val="0"/>
    <w:pPr>
      <w:widowControl/>
      <w:ind w:left="2100" w:hanging="420"/>
      <w:jc w:val="left"/>
    </w:pPr>
    <w:rPr>
      <w:rFonts w:ascii="宋体" w:hAnsi="宋体" w:eastAsia="宋体" w:cs="宋体"/>
      <w:kern w:val="0"/>
      <w:sz w:val="24"/>
      <w:szCs w:val="20"/>
    </w:rPr>
  </w:style>
  <w:style w:type="paragraph" w:styleId="32">
    <w:name w:val="Body Text Indent 3"/>
    <w:basedOn w:val="1"/>
    <w:link w:val="76"/>
    <w:qFormat/>
    <w:uiPriority w:val="0"/>
    <w:pPr>
      <w:widowControl/>
      <w:spacing w:line="400" w:lineRule="exact"/>
      <w:ind w:firstLine="630"/>
      <w:jc w:val="left"/>
    </w:pPr>
    <w:rPr>
      <w:rFonts w:ascii="宋体" w:hAnsi="宋体" w:eastAsia="宋体" w:cs="宋体"/>
      <w:kern w:val="0"/>
      <w:sz w:val="24"/>
      <w:szCs w:val="24"/>
    </w:rPr>
  </w:style>
  <w:style w:type="paragraph" w:styleId="33">
    <w:name w:val="toc 2"/>
    <w:basedOn w:val="1"/>
    <w:next w:val="1"/>
    <w:qFormat/>
    <w:uiPriority w:val="39"/>
    <w:pPr>
      <w:widowControl/>
      <w:ind w:left="240"/>
      <w:jc w:val="left"/>
    </w:pPr>
    <w:rPr>
      <w:rFonts w:ascii="宋体" w:hAnsi="宋体" w:eastAsia="宋体" w:cs="宋体"/>
      <w:smallCaps/>
      <w:kern w:val="0"/>
      <w:sz w:val="20"/>
      <w:szCs w:val="20"/>
    </w:rPr>
  </w:style>
  <w:style w:type="paragraph" w:styleId="34">
    <w:name w:val="toc 9"/>
    <w:basedOn w:val="1"/>
    <w:next w:val="1"/>
    <w:qFormat/>
    <w:uiPriority w:val="39"/>
    <w:pPr>
      <w:widowControl/>
      <w:ind w:left="1920"/>
      <w:jc w:val="left"/>
    </w:pPr>
    <w:rPr>
      <w:rFonts w:ascii="宋体" w:hAnsi="宋体" w:eastAsia="宋体" w:cs="宋体"/>
      <w:kern w:val="0"/>
      <w:sz w:val="18"/>
      <w:szCs w:val="18"/>
    </w:rPr>
  </w:style>
  <w:style w:type="paragraph" w:styleId="35">
    <w:name w:val="Body Text 2"/>
    <w:basedOn w:val="1"/>
    <w:link w:val="77"/>
    <w:qFormat/>
    <w:uiPriority w:val="0"/>
    <w:pPr>
      <w:widowControl/>
      <w:jc w:val="left"/>
    </w:pPr>
    <w:rPr>
      <w:rFonts w:ascii="楷体_GB2312" w:hAnsi="宋体" w:eastAsia="楷体_GB2312" w:cs="宋体"/>
      <w:color w:val="000000"/>
      <w:kern w:val="0"/>
      <w:sz w:val="24"/>
      <w:szCs w:val="21"/>
    </w:rPr>
  </w:style>
  <w:style w:type="paragraph" w:styleId="3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37">
    <w:name w:val="index 1"/>
    <w:basedOn w:val="1"/>
    <w:next w:val="1"/>
    <w:qFormat/>
    <w:uiPriority w:val="0"/>
    <w:pPr>
      <w:widowControl/>
      <w:spacing w:line="360" w:lineRule="auto"/>
      <w:jc w:val="left"/>
    </w:pPr>
    <w:rPr>
      <w:rFonts w:ascii="宋体" w:hAnsi="宋体" w:eastAsia="宋体" w:cs="宋体"/>
      <w:b/>
      <w:color w:val="0000FF"/>
      <w:kern w:val="0"/>
      <w:sz w:val="24"/>
      <w:szCs w:val="24"/>
    </w:rPr>
  </w:style>
  <w:style w:type="paragraph" w:styleId="38">
    <w:name w:val="Title"/>
    <w:basedOn w:val="1"/>
    <w:next w:val="1"/>
    <w:link w:val="86"/>
    <w:qFormat/>
    <w:uiPriority w:val="0"/>
    <w:pPr>
      <w:widowControl/>
      <w:spacing w:before="240" w:after="60"/>
      <w:jc w:val="center"/>
      <w:outlineLvl w:val="0"/>
    </w:pPr>
    <w:rPr>
      <w:rFonts w:ascii="Cambria" w:hAnsi="Cambria" w:eastAsia="宋体" w:cs="宋体"/>
      <w:b/>
      <w:bCs/>
      <w:kern w:val="0"/>
      <w:sz w:val="32"/>
      <w:szCs w:val="32"/>
    </w:rPr>
  </w:style>
  <w:style w:type="paragraph" w:styleId="39">
    <w:name w:val="annotation subject"/>
    <w:basedOn w:val="15"/>
    <w:next w:val="15"/>
    <w:link w:val="69"/>
    <w:unhideWhenUsed/>
    <w:qFormat/>
    <w:uiPriority w:val="0"/>
    <w:rPr>
      <w:b/>
      <w:bCs/>
    </w:rPr>
  </w:style>
  <w:style w:type="table" w:styleId="41">
    <w:name w:val="Table Grid"/>
    <w:basedOn w:val="4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basedOn w:val="42"/>
    <w:qFormat/>
    <w:uiPriority w:val="0"/>
  </w:style>
  <w:style w:type="character" w:styleId="45">
    <w:name w:val="FollowedHyperlink"/>
    <w:unhideWhenUsed/>
    <w:qFormat/>
    <w:uiPriority w:val="99"/>
    <w:rPr>
      <w:color w:val="800080"/>
      <w:u w:val="single"/>
    </w:rPr>
  </w:style>
  <w:style w:type="character" w:styleId="46">
    <w:name w:val="Emphasis"/>
    <w:basedOn w:val="42"/>
    <w:qFormat/>
    <w:uiPriority w:val="20"/>
    <w:rPr>
      <w:i/>
    </w:rPr>
  </w:style>
  <w:style w:type="character" w:styleId="47">
    <w:name w:val="Hyperlink"/>
    <w:qFormat/>
    <w:uiPriority w:val="99"/>
    <w:rPr>
      <w:color w:val="0000FF"/>
      <w:u w:val="single"/>
    </w:rPr>
  </w:style>
  <w:style w:type="character" w:styleId="48">
    <w:name w:val="annotation reference"/>
    <w:unhideWhenUsed/>
    <w:qFormat/>
    <w:uiPriority w:val="99"/>
    <w:rPr>
      <w:sz w:val="21"/>
      <w:szCs w:val="21"/>
    </w:rPr>
  </w:style>
  <w:style w:type="character" w:styleId="49">
    <w:name w:val="footnote reference"/>
    <w:basedOn w:val="42"/>
    <w:semiHidden/>
    <w:unhideWhenUsed/>
    <w:qFormat/>
    <w:uiPriority w:val="99"/>
    <w:rPr>
      <w:vertAlign w:val="superscript"/>
    </w:rPr>
  </w:style>
  <w:style w:type="character" w:customStyle="1" w:styleId="50">
    <w:name w:val="标题 1 字符"/>
    <w:basedOn w:val="42"/>
    <w:link w:val="2"/>
    <w:qFormat/>
    <w:uiPriority w:val="0"/>
    <w:rPr>
      <w:rFonts w:ascii="华文细黑" w:hAnsi="宋体" w:eastAsia="宋体" w:cs="宋体"/>
      <w:b/>
      <w:bCs/>
      <w:snapToGrid w:val="0"/>
      <w:kern w:val="0"/>
      <w:sz w:val="28"/>
      <w:szCs w:val="44"/>
      <w:lang w:val="zh-CN" w:eastAsia="zh-CN"/>
    </w:rPr>
  </w:style>
  <w:style w:type="character" w:customStyle="1" w:styleId="51">
    <w:name w:val="标题 2 字符"/>
    <w:basedOn w:val="42"/>
    <w:link w:val="3"/>
    <w:qFormat/>
    <w:uiPriority w:val="0"/>
    <w:rPr>
      <w:rFonts w:ascii="华文细黑" w:hAnsi="Arial" w:eastAsia="宋体" w:cs="宋体"/>
      <w:b/>
      <w:bCs/>
      <w:kern w:val="0"/>
      <w:sz w:val="44"/>
      <w:szCs w:val="32"/>
      <w:lang w:val="zh-CN" w:eastAsia="zh-CN"/>
    </w:rPr>
  </w:style>
  <w:style w:type="character" w:customStyle="1" w:styleId="52">
    <w:name w:val="标题 3 字符"/>
    <w:basedOn w:val="42"/>
    <w:link w:val="4"/>
    <w:qFormat/>
    <w:uiPriority w:val="0"/>
    <w:rPr>
      <w:rFonts w:ascii="宋体" w:hAnsi="宋体" w:eastAsia="华文细黑" w:cs="宋体"/>
      <w:bCs/>
      <w:kern w:val="0"/>
      <w:sz w:val="36"/>
      <w:szCs w:val="32"/>
      <w:lang w:val="zh-CN" w:eastAsia="zh-CN"/>
    </w:rPr>
  </w:style>
  <w:style w:type="character" w:customStyle="1" w:styleId="53">
    <w:name w:val="标题 4 字符"/>
    <w:basedOn w:val="42"/>
    <w:link w:val="6"/>
    <w:qFormat/>
    <w:uiPriority w:val="0"/>
    <w:rPr>
      <w:rFonts w:ascii="Arial" w:hAnsi="Arial" w:eastAsia="黑体" w:cs="宋体"/>
      <w:b/>
      <w:bCs/>
      <w:kern w:val="0"/>
      <w:sz w:val="28"/>
      <w:szCs w:val="28"/>
      <w:lang w:val="zh-CN" w:eastAsia="zh-CN"/>
    </w:rPr>
  </w:style>
  <w:style w:type="character" w:customStyle="1" w:styleId="54">
    <w:name w:val="标题 5 字符"/>
    <w:basedOn w:val="42"/>
    <w:link w:val="7"/>
    <w:qFormat/>
    <w:uiPriority w:val="0"/>
    <w:rPr>
      <w:rFonts w:ascii="宋体" w:hAnsi="宋体" w:eastAsia="宋体" w:cs="宋体"/>
      <w:b/>
      <w:bCs/>
      <w:kern w:val="0"/>
      <w:sz w:val="28"/>
      <w:szCs w:val="28"/>
      <w:lang w:val="zh-CN" w:eastAsia="zh-CN"/>
    </w:rPr>
  </w:style>
  <w:style w:type="character" w:customStyle="1" w:styleId="55">
    <w:name w:val="标题 6 字符"/>
    <w:basedOn w:val="42"/>
    <w:link w:val="8"/>
    <w:qFormat/>
    <w:uiPriority w:val="0"/>
    <w:rPr>
      <w:rFonts w:ascii="Arial" w:hAnsi="Arial" w:eastAsia="黑体" w:cs="宋体"/>
      <w:b/>
      <w:bCs/>
      <w:kern w:val="0"/>
      <w:sz w:val="24"/>
      <w:szCs w:val="24"/>
      <w:lang w:val="zh-CN" w:eastAsia="zh-CN"/>
    </w:rPr>
  </w:style>
  <w:style w:type="character" w:customStyle="1" w:styleId="56">
    <w:name w:val="标题 7 字符"/>
    <w:basedOn w:val="42"/>
    <w:link w:val="9"/>
    <w:qFormat/>
    <w:uiPriority w:val="0"/>
    <w:rPr>
      <w:rFonts w:ascii="宋体" w:hAnsi="宋体" w:eastAsia="宋体" w:cs="宋体"/>
      <w:b/>
      <w:bCs/>
      <w:kern w:val="0"/>
      <w:sz w:val="24"/>
      <w:szCs w:val="24"/>
      <w:lang w:val="zh-CN" w:eastAsia="zh-CN"/>
    </w:rPr>
  </w:style>
  <w:style w:type="character" w:customStyle="1" w:styleId="57">
    <w:name w:val="标题 8 字符"/>
    <w:basedOn w:val="42"/>
    <w:link w:val="10"/>
    <w:qFormat/>
    <w:uiPriority w:val="0"/>
    <w:rPr>
      <w:rFonts w:ascii="Arial" w:hAnsi="Arial" w:eastAsia="黑体" w:cs="宋体"/>
      <w:kern w:val="0"/>
      <w:sz w:val="24"/>
      <w:szCs w:val="24"/>
      <w:lang w:val="zh-CN" w:eastAsia="zh-CN"/>
    </w:rPr>
  </w:style>
  <w:style w:type="character" w:customStyle="1" w:styleId="58">
    <w:name w:val="标题 9 字符"/>
    <w:basedOn w:val="42"/>
    <w:link w:val="11"/>
    <w:qFormat/>
    <w:uiPriority w:val="0"/>
    <w:rPr>
      <w:rFonts w:ascii="Arial" w:hAnsi="Arial" w:eastAsia="黑体" w:cs="宋体"/>
      <w:kern w:val="0"/>
      <w:sz w:val="24"/>
      <w:szCs w:val="21"/>
      <w:lang w:val="zh-CN" w:eastAsia="zh-CN"/>
    </w:rPr>
  </w:style>
  <w:style w:type="character" w:customStyle="1" w:styleId="59">
    <w:name w:val="批注文字 字符"/>
    <w:link w:val="15"/>
    <w:qFormat/>
    <w:uiPriority w:val="0"/>
    <w:rPr>
      <w:rFonts w:ascii="Times New Roman" w:hAnsi="Times New Roman"/>
      <w:szCs w:val="24"/>
    </w:rPr>
  </w:style>
  <w:style w:type="character" w:customStyle="1" w:styleId="60">
    <w:name w:val="批注文字 字符1"/>
    <w:basedOn w:val="42"/>
    <w:semiHidden/>
    <w:qFormat/>
    <w:uiPriority w:val="99"/>
  </w:style>
  <w:style w:type="character" w:customStyle="1" w:styleId="61">
    <w:name w:val="批注文字 Char1"/>
    <w:basedOn w:val="42"/>
    <w:qFormat/>
    <w:uiPriority w:val="0"/>
    <w:rPr>
      <w:rFonts w:ascii="Times New Roman" w:hAnsi="Times New Roman" w:eastAsia="宋体" w:cs="Times New Roman"/>
      <w:szCs w:val="24"/>
    </w:rPr>
  </w:style>
  <w:style w:type="character" w:customStyle="1" w:styleId="62">
    <w:name w:val="批注框文本 字符"/>
    <w:basedOn w:val="42"/>
    <w:link w:val="24"/>
    <w:qFormat/>
    <w:uiPriority w:val="0"/>
    <w:rPr>
      <w:rFonts w:ascii="宋体" w:hAnsi="宋体" w:eastAsia="宋体" w:cs="宋体"/>
      <w:kern w:val="0"/>
      <w:sz w:val="18"/>
      <w:szCs w:val="18"/>
      <w:lang w:val="zh-CN" w:eastAsia="zh-CN"/>
    </w:rPr>
  </w:style>
  <w:style w:type="character" w:customStyle="1" w:styleId="63">
    <w:name w:val="文档结构图 字符"/>
    <w:link w:val="14"/>
    <w:qFormat/>
    <w:uiPriority w:val="0"/>
    <w:rPr>
      <w:rFonts w:ascii="Times New Roman" w:hAnsi="Times New Roman"/>
      <w:sz w:val="24"/>
      <w:szCs w:val="24"/>
      <w:shd w:val="clear" w:color="auto" w:fill="000080"/>
    </w:rPr>
  </w:style>
  <w:style w:type="character" w:customStyle="1" w:styleId="64">
    <w:name w:val="文档结构图 字符1"/>
    <w:basedOn w:val="42"/>
    <w:semiHidden/>
    <w:qFormat/>
    <w:uiPriority w:val="99"/>
    <w:rPr>
      <w:rFonts w:ascii="Microsoft YaHei UI" w:eastAsia="Microsoft YaHei UI"/>
      <w:sz w:val="18"/>
      <w:szCs w:val="18"/>
    </w:rPr>
  </w:style>
  <w:style w:type="character" w:customStyle="1" w:styleId="65">
    <w:name w:val="文档结构图 Char1"/>
    <w:basedOn w:val="42"/>
    <w:qFormat/>
    <w:uiPriority w:val="0"/>
    <w:rPr>
      <w:rFonts w:ascii="宋体" w:hAnsi="Times New Roman" w:eastAsia="宋体" w:cs="Times New Roman"/>
      <w:sz w:val="18"/>
      <w:szCs w:val="18"/>
    </w:rPr>
  </w:style>
  <w:style w:type="character" w:customStyle="1" w:styleId="66">
    <w:name w:val="页眉 字符"/>
    <w:basedOn w:val="42"/>
    <w:link w:val="26"/>
    <w:qFormat/>
    <w:uiPriority w:val="0"/>
    <w:rPr>
      <w:rFonts w:ascii="宋体" w:hAnsi="宋体" w:eastAsia="宋体" w:cs="宋体"/>
      <w:kern w:val="0"/>
      <w:sz w:val="18"/>
      <w:szCs w:val="18"/>
    </w:rPr>
  </w:style>
  <w:style w:type="character" w:customStyle="1" w:styleId="67">
    <w:name w:val="日期 Char1"/>
    <w:basedOn w:val="42"/>
    <w:qFormat/>
    <w:uiPriority w:val="0"/>
    <w:rPr>
      <w:rFonts w:ascii="Times New Roman" w:hAnsi="Times New Roman" w:eastAsia="宋体" w:cs="Times New Roman"/>
      <w:szCs w:val="24"/>
    </w:rPr>
  </w:style>
  <w:style w:type="character" w:customStyle="1" w:styleId="68">
    <w:name w:val="页脚 字符"/>
    <w:basedOn w:val="42"/>
    <w:link w:val="25"/>
    <w:qFormat/>
    <w:uiPriority w:val="99"/>
    <w:rPr>
      <w:rFonts w:ascii="宋体" w:hAnsi="宋体" w:eastAsia="宋体" w:cs="宋体"/>
      <w:kern w:val="0"/>
      <w:sz w:val="18"/>
      <w:szCs w:val="18"/>
    </w:rPr>
  </w:style>
  <w:style w:type="character" w:customStyle="1" w:styleId="69">
    <w:name w:val="批注主题 字符"/>
    <w:basedOn w:val="60"/>
    <w:link w:val="39"/>
    <w:qFormat/>
    <w:uiPriority w:val="0"/>
    <w:rPr>
      <w:rFonts w:ascii="Times New Roman" w:hAnsi="Times New Roman"/>
      <w:b/>
      <w:bCs/>
      <w:szCs w:val="24"/>
    </w:rPr>
  </w:style>
  <w:style w:type="paragraph" w:customStyle="1" w:styleId="70">
    <w:name w:val="修订1"/>
    <w:hidden/>
    <w:qFormat/>
    <w:uiPriority w:val="71"/>
    <w:rPr>
      <w:rFonts w:ascii="Times New Roman" w:hAnsi="Times New Roman" w:eastAsia="宋体" w:cs="Times New Roman"/>
      <w:kern w:val="2"/>
      <w:sz w:val="21"/>
      <w:szCs w:val="24"/>
      <w:lang w:val="en-US" w:eastAsia="zh-CN" w:bidi="ar-SA"/>
    </w:rPr>
  </w:style>
  <w:style w:type="paragraph" w:customStyle="1" w:styleId="71">
    <w:name w:val="彩色底纹 - 强调文字颜色 11"/>
    <w:hidden/>
    <w:semiHidden/>
    <w:qFormat/>
    <w:uiPriority w:val="99"/>
    <w:rPr>
      <w:rFonts w:ascii="Times New Roman" w:hAnsi="Times New Roman" w:eastAsia="宋体" w:cs="Times New Roman"/>
      <w:kern w:val="2"/>
      <w:sz w:val="21"/>
      <w:szCs w:val="24"/>
      <w:lang w:val="en-US" w:eastAsia="zh-CN" w:bidi="ar-SA"/>
    </w:rPr>
  </w:style>
  <w:style w:type="character" w:customStyle="1" w:styleId="72">
    <w:name w:val="纯文本 字符"/>
    <w:basedOn w:val="42"/>
    <w:link w:val="20"/>
    <w:qFormat/>
    <w:uiPriority w:val="0"/>
    <w:rPr>
      <w:rFonts w:ascii="宋体" w:hAnsi="Courier New" w:eastAsia="宋体" w:cs="Courier New"/>
      <w:kern w:val="0"/>
      <w:sz w:val="24"/>
      <w:szCs w:val="21"/>
    </w:rPr>
  </w:style>
  <w:style w:type="character" w:customStyle="1" w:styleId="73">
    <w:name w:val="正文文本 字符"/>
    <w:basedOn w:val="42"/>
    <w:link w:val="16"/>
    <w:qFormat/>
    <w:uiPriority w:val="0"/>
    <w:rPr>
      <w:rFonts w:ascii="宋体" w:hAnsi="宋体" w:eastAsia="宋体" w:cs="宋体"/>
      <w:b/>
      <w:bCs/>
      <w:kern w:val="0"/>
      <w:sz w:val="24"/>
      <w:szCs w:val="24"/>
    </w:rPr>
  </w:style>
  <w:style w:type="character" w:customStyle="1" w:styleId="74">
    <w:name w:val="正文文本缩进 2 字符"/>
    <w:basedOn w:val="42"/>
    <w:link w:val="23"/>
    <w:qFormat/>
    <w:uiPriority w:val="0"/>
    <w:rPr>
      <w:rFonts w:ascii="宋体" w:hAnsi="宋体" w:eastAsia="仿宋_GB2312" w:cs="宋体"/>
      <w:kern w:val="0"/>
      <w:sz w:val="32"/>
      <w:szCs w:val="24"/>
    </w:rPr>
  </w:style>
  <w:style w:type="character" w:customStyle="1" w:styleId="75">
    <w:name w:val="正文文本缩进 字符"/>
    <w:basedOn w:val="42"/>
    <w:link w:val="17"/>
    <w:qFormat/>
    <w:uiPriority w:val="0"/>
    <w:rPr>
      <w:rFonts w:ascii="宋体" w:hAnsi="宋体" w:eastAsia="宋体" w:cs="宋体"/>
      <w:kern w:val="0"/>
      <w:sz w:val="24"/>
      <w:szCs w:val="20"/>
    </w:rPr>
  </w:style>
  <w:style w:type="character" w:customStyle="1" w:styleId="76">
    <w:name w:val="正文文本缩进 3 字符"/>
    <w:basedOn w:val="42"/>
    <w:link w:val="32"/>
    <w:qFormat/>
    <w:uiPriority w:val="0"/>
    <w:rPr>
      <w:rFonts w:ascii="宋体" w:hAnsi="宋体" w:eastAsia="宋体" w:cs="宋体"/>
      <w:kern w:val="0"/>
      <w:sz w:val="24"/>
      <w:szCs w:val="24"/>
    </w:rPr>
  </w:style>
  <w:style w:type="character" w:customStyle="1" w:styleId="77">
    <w:name w:val="正文文本 2 字符"/>
    <w:basedOn w:val="42"/>
    <w:link w:val="35"/>
    <w:qFormat/>
    <w:uiPriority w:val="0"/>
    <w:rPr>
      <w:rFonts w:ascii="楷体_GB2312" w:hAnsi="宋体" w:eastAsia="楷体_GB2312" w:cs="宋体"/>
      <w:color w:val="000000"/>
      <w:kern w:val="0"/>
      <w:sz w:val="24"/>
      <w:szCs w:val="21"/>
    </w:rPr>
  </w:style>
  <w:style w:type="character" w:customStyle="1" w:styleId="78">
    <w:name w:val="日期 字符"/>
    <w:link w:val="22"/>
    <w:qFormat/>
    <w:uiPriority w:val="0"/>
    <w:rPr>
      <w:szCs w:val="24"/>
    </w:rPr>
  </w:style>
  <w:style w:type="character" w:customStyle="1" w:styleId="79">
    <w:name w:val="日期 字符1"/>
    <w:basedOn w:val="42"/>
    <w:semiHidden/>
    <w:qFormat/>
    <w:uiPriority w:val="99"/>
  </w:style>
  <w:style w:type="character" w:customStyle="1" w:styleId="80">
    <w:name w:val="日期 Char2"/>
    <w:basedOn w:val="42"/>
    <w:semiHidden/>
    <w:qFormat/>
    <w:uiPriority w:val="0"/>
    <w:rPr>
      <w:rFonts w:ascii="Times New Roman" w:hAnsi="Times New Roman" w:eastAsia="宋体" w:cs="Times New Roman"/>
      <w:szCs w:val="24"/>
    </w:rPr>
  </w:style>
  <w:style w:type="paragraph" w:customStyle="1" w:styleId="81">
    <w:name w:val="Char"/>
    <w:basedOn w:val="1"/>
    <w:qFormat/>
    <w:uiPriority w:val="0"/>
    <w:pPr>
      <w:widowControl/>
      <w:tabs>
        <w:tab w:val="left" w:pos="360"/>
      </w:tabs>
      <w:jc w:val="left"/>
    </w:pPr>
    <w:rPr>
      <w:rFonts w:ascii="宋体" w:hAnsi="宋体" w:eastAsia="宋体" w:cs="宋体"/>
      <w:kern w:val="0"/>
      <w:sz w:val="24"/>
      <w:szCs w:val="24"/>
    </w:rPr>
  </w:style>
  <w:style w:type="paragraph" w:customStyle="1" w:styleId="82">
    <w:name w:val="彩色列表 - 强调文字颜色 11"/>
    <w:basedOn w:val="1"/>
    <w:qFormat/>
    <w:uiPriority w:val="0"/>
    <w:pPr>
      <w:widowControl/>
      <w:ind w:firstLine="420" w:firstLineChars="200"/>
      <w:jc w:val="left"/>
    </w:pPr>
    <w:rPr>
      <w:rFonts w:ascii="Calibri" w:hAnsi="Calibri" w:eastAsia="宋体" w:cs="宋体"/>
      <w:kern w:val="0"/>
      <w:sz w:val="24"/>
    </w:rPr>
  </w:style>
  <w:style w:type="paragraph" w:customStyle="1" w:styleId="83">
    <w:name w:val="Char Char Char Char"/>
    <w:basedOn w:val="1"/>
    <w:qFormat/>
    <w:uiPriority w:val="0"/>
    <w:pPr>
      <w:widowControl/>
      <w:tabs>
        <w:tab w:val="left" w:pos="360"/>
      </w:tabs>
      <w:jc w:val="left"/>
    </w:pPr>
    <w:rPr>
      <w:rFonts w:ascii="宋体" w:hAnsi="宋体" w:eastAsia="宋体" w:cs="宋体"/>
      <w:kern w:val="0"/>
      <w:sz w:val="24"/>
      <w:szCs w:val="24"/>
    </w:rPr>
  </w:style>
  <w:style w:type="paragraph" w:customStyle="1" w:styleId="84">
    <w:name w:val="Char1"/>
    <w:basedOn w:val="1"/>
    <w:qFormat/>
    <w:uiPriority w:val="0"/>
    <w:pPr>
      <w:widowControl/>
      <w:tabs>
        <w:tab w:val="left" w:pos="360"/>
      </w:tabs>
      <w:jc w:val="left"/>
    </w:pPr>
    <w:rPr>
      <w:rFonts w:ascii="宋体" w:hAnsi="宋体" w:eastAsia="宋体" w:cs="宋体"/>
      <w:kern w:val="0"/>
      <w:sz w:val="24"/>
      <w:szCs w:val="24"/>
    </w:rPr>
  </w:style>
  <w:style w:type="character" w:customStyle="1" w:styleId="85">
    <w:name w:val="defaultfont1"/>
    <w:basedOn w:val="42"/>
    <w:qFormat/>
    <w:uiPriority w:val="0"/>
  </w:style>
  <w:style w:type="character" w:customStyle="1" w:styleId="86">
    <w:name w:val="标题 字符"/>
    <w:basedOn w:val="42"/>
    <w:link w:val="38"/>
    <w:qFormat/>
    <w:uiPriority w:val="0"/>
    <w:rPr>
      <w:rFonts w:ascii="Cambria" w:hAnsi="Cambria" w:eastAsia="宋体" w:cs="宋体"/>
      <w:b/>
      <w:bCs/>
      <w:kern w:val="0"/>
      <w:sz w:val="32"/>
      <w:szCs w:val="32"/>
    </w:rPr>
  </w:style>
  <w:style w:type="character" w:customStyle="1" w:styleId="87">
    <w:name w:val="Char Char16"/>
    <w:qFormat/>
    <w:uiPriority w:val="0"/>
    <w:rPr>
      <w:rFonts w:ascii="华文细黑" w:hAnsi="Arial" w:eastAsia="宋体"/>
      <w:b/>
      <w:bCs/>
      <w:sz w:val="44"/>
      <w:szCs w:val="32"/>
      <w:lang w:val="en-US" w:eastAsia="zh-CN" w:bidi="ar-SA"/>
    </w:rPr>
  </w:style>
  <w:style w:type="character" w:customStyle="1" w:styleId="88">
    <w:name w:val="正文文本 (32) + 10.5 pt5"/>
    <w:qFormat/>
    <w:uiPriority w:val="99"/>
    <w:rPr>
      <w:rFonts w:ascii="MingLiU" w:eastAsia="MingLiU" w:cs="MingLiU"/>
      <w:sz w:val="21"/>
      <w:szCs w:val="21"/>
      <w:u w:val="none"/>
    </w:rPr>
  </w:style>
  <w:style w:type="character" w:customStyle="1" w:styleId="89">
    <w:name w:val="正文文本 (2)_"/>
    <w:link w:val="90"/>
    <w:qFormat/>
    <w:uiPriority w:val="99"/>
    <w:rPr>
      <w:rFonts w:ascii="MingLiU" w:eastAsia="MingLiU" w:cs="MingLiU"/>
      <w:spacing w:val="20"/>
      <w:sz w:val="19"/>
      <w:szCs w:val="19"/>
      <w:shd w:val="clear" w:color="auto" w:fill="FFFFFF"/>
    </w:rPr>
  </w:style>
  <w:style w:type="paragraph" w:customStyle="1" w:styleId="90">
    <w:name w:val="正文文本 (2)1"/>
    <w:basedOn w:val="1"/>
    <w:link w:val="89"/>
    <w:qFormat/>
    <w:uiPriority w:val="99"/>
    <w:pPr>
      <w:widowControl/>
      <w:shd w:val="clear" w:color="auto" w:fill="FFFFFF"/>
      <w:spacing w:after="1320" w:line="240" w:lineRule="atLeast"/>
      <w:jc w:val="left"/>
    </w:pPr>
    <w:rPr>
      <w:rFonts w:ascii="MingLiU" w:eastAsia="MingLiU" w:cs="MingLiU"/>
      <w:spacing w:val="20"/>
      <w:sz w:val="19"/>
      <w:szCs w:val="19"/>
    </w:rPr>
  </w:style>
  <w:style w:type="character" w:customStyle="1" w:styleId="91">
    <w:name w:val="正文文本 (32) + 10.5 pt"/>
    <w:qFormat/>
    <w:uiPriority w:val="99"/>
    <w:rPr>
      <w:rFonts w:ascii="MingLiU" w:eastAsia="MingLiU" w:cs="MingLiU"/>
      <w:sz w:val="21"/>
      <w:szCs w:val="21"/>
      <w:u w:val="none"/>
    </w:rPr>
  </w:style>
  <w:style w:type="character" w:customStyle="1" w:styleId="92">
    <w:name w:val="正文文本 (2) + 6 pt"/>
    <w:qFormat/>
    <w:uiPriority w:val="99"/>
    <w:rPr>
      <w:rFonts w:ascii="MingLiU" w:eastAsia="MingLiU" w:cs="MingLiU"/>
      <w:spacing w:val="0"/>
      <w:sz w:val="12"/>
      <w:szCs w:val="12"/>
      <w:u w:val="none"/>
      <w:shd w:val="clear" w:color="auto" w:fill="FFFFFF"/>
    </w:rPr>
  </w:style>
  <w:style w:type="paragraph" w:customStyle="1" w:styleId="9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94">
    <w:name w:val="reader-word-layer reader-word-s1-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5">
    <w:name w:val="reader-word-layer reader-word-s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6">
    <w:name w:val="reader-word-layer reader-word-s1-7"/>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wmf"/><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195</Pages>
  <Words>1457</Words>
  <Characters>1610</Characters>
  <Lines>1047</Lines>
  <Paragraphs>294</Paragraphs>
  <TotalTime>5</TotalTime>
  <ScaleCrop>false</ScaleCrop>
  <LinksUpToDate>false</LinksUpToDate>
  <CharactersWithSpaces>1714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2021-11-03T08:06:00Z</dcterms:created>
  <dc:creator>靳 欢</dc:creator>
  <cp:lastModifiedBy>LINHENG</cp:lastModifiedBy>
  <cp:lastPrinted>2021-03-19T08:59:00Z</cp:lastPrinted>
  <dcterms:modified xsi:type="dcterms:W3CDTF">2025-01-21T02:46:20Z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87189F7C6F164319A49942336A76FC4B_13</vt:lpwstr>
  </property>
  <property fmtid="{D5CDD505-2E9C-101B-9397-08002B2CF9AE}" pid="4" name="KSOTemplateDocerSaveRecord">
    <vt:lpwstr>eyJoZGlkIjoiMjgxNDIzNjM1OWU4NDRiM2NkZjUzMDIwMzcyZjAzYmEiLCJ1c2VySWQiOiIzMTY4Njk4MDUifQ==</vt:lpwstr>
  </property>
</Properties>
</file>