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宋体"/>
        </w:rPr>
      </w:pPr>
      <w:bookmarkStart w:id="0" w:name="_Toc516492151"/>
      <w:bookmarkStart w:id="1" w:name="_Toc516492150"/>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spacing w:line="360" w:lineRule="auto"/>
        <w:rPr>
          <w:rFonts w:ascii="宋体"/>
        </w:rPr>
      </w:pPr>
    </w:p>
    <w:p>
      <w:pPr>
        <w:spacing w:after="156" w:afterLines="50" w:line="360" w:lineRule="auto"/>
        <w:jc w:val="center"/>
        <w:rPr>
          <w:rFonts w:ascii="黑体" w:eastAsia="黑体"/>
          <w:sz w:val="44"/>
          <w:szCs w:val="48"/>
        </w:rPr>
      </w:pPr>
      <w:r>
        <w:rPr>
          <w:rFonts w:hint="eastAsia" w:ascii="黑体" w:eastAsia="黑体"/>
          <w:sz w:val="44"/>
          <w:szCs w:val="48"/>
        </w:rPr>
        <w:t>深圳市</w:t>
      </w:r>
      <w:bookmarkStart w:id="2" w:name="_Toc157504062"/>
      <w:bookmarkStart w:id="3" w:name="_Toc158556264"/>
      <w:bookmarkStart w:id="4" w:name="_Toc156833842"/>
      <w:r>
        <w:rPr>
          <w:rFonts w:ascii="黑体" w:eastAsia="黑体"/>
          <w:sz w:val="44"/>
          <w:szCs w:val="48"/>
        </w:rPr>
        <w:t>201</w:t>
      </w:r>
      <w:r>
        <w:rPr>
          <w:rFonts w:hint="eastAsia" w:ascii="黑体" w:eastAsia="黑体"/>
          <w:sz w:val="44"/>
          <w:szCs w:val="48"/>
        </w:rPr>
        <w:t>9</w:t>
      </w:r>
      <w:bookmarkEnd w:id="2"/>
      <w:bookmarkEnd w:id="3"/>
      <w:bookmarkEnd w:id="4"/>
      <w:r>
        <w:rPr>
          <w:rFonts w:hint="eastAsia" w:ascii="黑体" w:eastAsia="黑体"/>
          <w:sz w:val="44"/>
          <w:szCs w:val="48"/>
        </w:rPr>
        <w:t>年度城市更新和土地整备计划</w:t>
      </w: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rPr>
          <w:rFonts w:ascii="宋体"/>
        </w:rPr>
      </w:pPr>
    </w:p>
    <w:p>
      <w:pPr>
        <w:jc w:val="center"/>
        <w:rPr>
          <w:rFonts w:ascii="仿宋_GB2312" w:eastAsia="仿宋_GB2312"/>
          <w:b/>
          <w:sz w:val="32"/>
          <w:szCs w:val="32"/>
        </w:rPr>
      </w:pPr>
      <w:r>
        <w:rPr>
          <w:rFonts w:hint="eastAsia" w:ascii="仿宋_GB2312" w:eastAsia="仿宋_GB2312"/>
          <w:b/>
          <w:sz w:val="32"/>
          <w:szCs w:val="32"/>
        </w:rPr>
        <w:t xml:space="preserve"> </w:t>
      </w:r>
    </w:p>
    <w:p>
      <w:pPr>
        <w:jc w:val="center"/>
        <w:rPr>
          <w:rFonts w:ascii="仿宋_GB2312" w:eastAsia="仿宋_GB2312"/>
          <w:b/>
          <w:sz w:val="32"/>
          <w:szCs w:val="32"/>
        </w:rPr>
      </w:pPr>
    </w:p>
    <w:p>
      <w:pPr>
        <w:jc w:val="center"/>
        <w:rPr>
          <w:rFonts w:ascii="仿宋_GB2312" w:eastAsia="仿宋_GB2312"/>
          <w:b/>
          <w:sz w:val="32"/>
          <w:szCs w:val="32"/>
        </w:rPr>
      </w:pPr>
    </w:p>
    <w:p>
      <w:pPr>
        <w:jc w:val="center"/>
        <w:rPr>
          <w:rFonts w:ascii="仿宋_GB2312" w:eastAsia="仿宋_GB2312"/>
          <w:b/>
          <w:sz w:val="32"/>
          <w:szCs w:val="32"/>
        </w:rPr>
      </w:pPr>
    </w:p>
    <w:p>
      <w:pPr>
        <w:jc w:val="center"/>
        <w:rPr>
          <w:rFonts w:ascii="仿宋_GB2312" w:eastAsia="仿宋_GB2312"/>
          <w:b/>
          <w:sz w:val="32"/>
          <w:szCs w:val="32"/>
        </w:rPr>
      </w:pPr>
    </w:p>
    <w:p>
      <w:pPr>
        <w:jc w:val="center"/>
        <w:rPr>
          <w:rFonts w:ascii="仿宋_GB2312" w:eastAsia="仿宋_GB2312"/>
          <w:b/>
          <w:sz w:val="32"/>
          <w:szCs w:val="32"/>
        </w:rPr>
      </w:pPr>
      <w:bookmarkStart w:id="5" w:name="OLE_LINK6"/>
      <w:r>
        <w:rPr>
          <w:rFonts w:hint="eastAsia" w:ascii="仿宋_GB2312" w:eastAsia="仿宋_GB2312"/>
          <w:b/>
          <w:sz w:val="32"/>
          <w:szCs w:val="32"/>
        </w:rPr>
        <w:t>深圳市规划和自然资源局</w:t>
      </w:r>
    </w:p>
    <w:bookmarkEnd w:id="5"/>
    <w:p>
      <w:pPr>
        <w:jc w:val="center"/>
        <w:rPr>
          <w:rFonts w:ascii="仿宋_GB2312" w:eastAsia="仿宋_GB2312"/>
          <w:b/>
          <w:sz w:val="32"/>
          <w:szCs w:val="32"/>
        </w:rPr>
        <w:sectPr>
          <w:headerReference r:id="rId4" w:type="default"/>
          <w:footerReference r:id="rId6" w:type="default"/>
          <w:headerReference r:id="rId5" w:type="even"/>
          <w:pgSz w:w="11906" w:h="16838"/>
          <w:pgMar w:top="1440" w:right="1800" w:bottom="1440" w:left="1800" w:header="851" w:footer="992" w:gutter="0"/>
          <w:cols w:space="425" w:num="1"/>
          <w:titlePg/>
          <w:docGrid w:type="lines" w:linePitch="312" w:charSpace="0"/>
        </w:sectPr>
      </w:pPr>
    </w:p>
    <w:p>
      <w:pPr>
        <w:jc w:val="center"/>
        <w:rPr>
          <w:rFonts w:ascii="仿宋_GB2312" w:eastAsia="仿宋_GB2312"/>
          <w:b/>
          <w:sz w:val="32"/>
          <w:szCs w:val="32"/>
        </w:rPr>
        <w:sectPr>
          <w:pgSz w:w="11906" w:h="16838"/>
          <w:pgMar w:top="1440" w:right="1800" w:bottom="1440" w:left="1800" w:header="851" w:footer="992" w:gutter="0"/>
          <w:pgNumType w:start="0"/>
          <w:cols w:space="425" w:num="1"/>
          <w:docGrid w:type="lines" w:linePitch="312" w:charSpace="0"/>
        </w:sectPr>
      </w:pPr>
    </w:p>
    <w:p>
      <w:pPr>
        <w:pStyle w:val="32"/>
        <w:jc w:val="center"/>
        <w:rPr>
          <w:b/>
          <w:sz w:val="40"/>
        </w:rPr>
      </w:pPr>
      <w:r>
        <w:rPr>
          <w:rFonts w:hint="eastAsia"/>
          <w:b/>
          <w:sz w:val="40"/>
        </w:rPr>
        <w:t>目  录</w:t>
      </w:r>
    </w:p>
    <w:p/>
    <w:p>
      <w:pPr>
        <w:pStyle w:val="32"/>
        <w:tabs>
          <w:tab w:val="right" w:leader="dot" w:pos="8296"/>
        </w:tabs>
        <w:rPr>
          <w:rFonts w:asciiTheme="minorHAnsi" w:hAnsiTheme="minorHAnsi" w:eastAsiaTheme="minorEastAsia" w:cstheme="minorBidi"/>
          <w:bCs w:val="0"/>
          <w:caps w:val="0"/>
          <w:sz w:val="21"/>
          <w:szCs w:val="22"/>
        </w:rPr>
      </w:pPr>
      <w:r>
        <w:rPr>
          <w:rStyle w:val="56"/>
          <w:rFonts w:hint="eastAsia"/>
          <w:color w:val="auto"/>
        </w:rPr>
        <w:fldChar w:fldCharType="begin"/>
      </w:r>
      <w:r>
        <w:rPr>
          <w:rStyle w:val="56"/>
          <w:rFonts w:hint="eastAsia"/>
          <w:color w:val="auto"/>
        </w:rPr>
        <w:instrText xml:space="preserve"> TOC \o "1-2" \h \z \u </w:instrText>
      </w:r>
      <w:r>
        <w:rPr>
          <w:rStyle w:val="56"/>
          <w:rFonts w:hint="eastAsia"/>
          <w:color w:val="auto"/>
        </w:rPr>
        <w:fldChar w:fldCharType="separate"/>
      </w:r>
      <w:r>
        <w:fldChar w:fldCharType="begin"/>
      </w:r>
      <w:r>
        <w:instrText xml:space="preserve"> HYPERLINK \l "_Toc5979734" </w:instrText>
      </w:r>
      <w:r>
        <w:fldChar w:fldCharType="separate"/>
      </w:r>
      <w:r>
        <w:rPr>
          <w:rStyle w:val="56"/>
          <w:rFonts w:hint="eastAsia"/>
          <w:color w:val="auto"/>
        </w:rPr>
        <w:t>一、</w:t>
      </w:r>
      <w:r>
        <w:rPr>
          <w:rStyle w:val="56"/>
          <w:color w:val="auto"/>
        </w:rPr>
        <w:t>2018</w:t>
      </w:r>
      <w:r>
        <w:rPr>
          <w:rStyle w:val="56"/>
          <w:rFonts w:hint="eastAsia"/>
          <w:color w:val="auto"/>
        </w:rPr>
        <w:t>年度计划执行情况</w:t>
      </w:r>
      <w:r>
        <w:tab/>
      </w:r>
      <w:r>
        <w:fldChar w:fldCharType="begin"/>
      </w:r>
      <w:r>
        <w:instrText xml:space="preserve"> PAGEREF _Toc5979734 \h </w:instrText>
      </w:r>
      <w:r>
        <w:fldChar w:fldCharType="separate"/>
      </w:r>
      <w:r>
        <w:t>1</w:t>
      </w:r>
      <w:r>
        <w:fldChar w:fldCharType="end"/>
      </w:r>
      <w:r>
        <w:fldChar w:fldCharType="end"/>
      </w:r>
    </w:p>
    <w:p>
      <w:pPr>
        <w:pStyle w:val="32"/>
        <w:tabs>
          <w:tab w:val="right" w:leader="dot" w:pos="8296"/>
        </w:tabs>
        <w:rPr>
          <w:rFonts w:asciiTheme="minorHAnsi" w:hAnsiTheme="minorHAnsi" w:eastAsiaTheme="minorEastAsia" w:cstheme="minorBidi"/>
          <w:bCs w:val="0"/>
          <w:caps w:val="0"/>
          <w:sz w:val="21"/>
          <w:szCs w:val="22"/>
        </w:rPr>
      </w:pPr>
      <w:r>
        <w:fldChar w:fldCharType="begin"/>
      </w:r>
      <w:r>
        <w:instrText xml:space="preserve"> HYPERLINK \l "_Toc5979735" </w:instrText>
      </w:r>
      <w:r>
        <w:fldChar w:fldCharType="separate"/>
      </w:r>
      <w:r>
        <w:rPr>
          <w:rStyle w:val="56"/>
          <w:rFonts w:hint="eastAsia"/>
          <w:color w:val="auto"/>
        </w:rPr>
        <w:t>二、</w:t>
      </w:r>
      <w:r>
        <w:rPr>
          <w:rStyle w:val="56"/>
          <w:color w:val="auto"/>
        </w:rPr>
        <w:t>2019</w:t>
      </w:r>
      <w:r>
        <w:rPr>
          <w:rStyle w:val="56"/>
          <w:rFonts w:hint="eastAsia"/>
          <w:color w:val="auto"/>
        </w:rPr>
        <w:t>年度计划编制情况</w:t>
      </w:r>
      <w:r>
        <w:tab/>
      </w:r>
      <w:r>
        <w:fldChar w:fldCharType="begin"/>
      </w:r>
      <w:r>
        <w:instrText xml:space="preserve"> PAGEREF _Toc5979735 \h </w:instrText>
      </w:r>
      <w:r>
        <w:fldChar w:fldCharType="separate"/>
      </w:r>
      <w:r>
        <w:t>3</w:t>
      </w:r>
      <w:r>
        <w:fldChar w:fldCharType="end"/>
      </w:r>
      <w:r>
        <w:fldChar w:fldCharType="end"/>
      </w:r>
    </w:p>
    <w:p>
      <w:pPr>
        <w:pStyle w:val="32"/>
        <w:tabs>
          <w:tab w:val="right" w:leader="dot" w:pos="8296"/>
        </w:tabs>
        <w:rPr>
          <w:rFonts w:asciiTheme="minorHAnsi" w:hAnsiTheme="minorHAnsi" w:eastAsiaTheme="minorEastAsia" w:cstheme="minorBidi"/>
          <w:bCs w:val="0"/>
          <w:caps w:val="0"/>
          <w:sz w:val="21"/>
          <w:szCs w:val="22"/>
        </w:rPr>
      </w:pPr>
      <w:r>
        <w:fldChar w:fldCharType="begin"/>
      </w:r>
      <w:r>
        <w:instrText xml:space="preserve"> HYPERLINK \l "_Toc5979736" </w:instrText>
      </w:r>
      <w:r>
        <w:fldChar w:fldCharType="separate"/>
      </w:r>
      <w:r>
        <w:rPr>
          <w:rStyle w:val="56"/>
          <w:rFonts w:hint="eastAsia"/>
          <w:color w:val="auto"/>
        </w:rPr>
        <w:t>三、</w:t>
      </w:r>
      <w:r>
        <w:rPr>
          <w:rStyle w:val="56"/>
          <w:color w:val="auto"/>
        </w:rPr>
        <w:t>2019</w:t>
      </w:r>
      <w:r>
        <w:rPr>
          <w:rStyle w:val="56"/>
          <w:rFonts w:hint="eastAsia"/>
          <w:color w:val="auto"/>
        </w:rPr>
        <w:t>年度计划总体任务</w:t>
      </w:r>
      <w:r>
        <w:tab/>
      </w:r>
      <w:r>
        <w:fldChar w:fldCharType="begin"/>
      </w:r>
      <w:r>
        <w:instrText xml:space="preserve"> PAGEREF _Toc5979736 \h </w:instrText>
      </w:r>
      <w:r>
        <w:fldChar w:fldCharType="separate"/>
      </w:r>
      <w:r>
        <w:t>6</w:t>
      </w:r>
      <w:r>
        <w:fldChar w:fldCharType="end"/>
      </w:r>
      <w:r>
        <w:fldChar w:fldCharType="end"/>
      </w:r>
    </w:p>
    <w:p>
      <w:pPr>
        <w:pStyle w:val="32"/>
        <w:tabs>
          <w:tab w:val="right" w:leader="dot" w:pos="8296"/>
        </w:tabs>
        <w:rPr>
          <w:rFonts w:asciiTheme="minorHAnsi" w:hAnsiTheme="minorHAnsi" w:eastAsiaTheme="minorEastAsia" w:cstheme="minorBidi"/>
          <w:bCs w:val="0"/>
          <w:caps w:val="0"/>
          <w:sz w:val="21"/>
          <w:szCs w:val="22"/>
        </w:rPr>
      </w:pPr>
      <w:r>
        <w:fldChar w:fldCharType="begin"/>
      </w:r>
      <w:r>
        <w:instrText xml:space="preserve"> HYPERLINK \l "_Toc5979737" </w:instrText>
      </w:r>
      <w:r>
        <w:fldChar w:fldCharType="separate"/>
      </w:r>
      <w:r>
        <w:rPr>
          <w:rStyle w:val="56"/>
          <w:rFonts w:hint="eastAsia"/>
          <w:color w:val="auto"/>
        </w:rPr>
        <w:t>四、</w:t>
      </w:r>
      <w:r>
        <w:rPr>
          <w:rStyle w:val="56"/>
          <w:color w:val="auto"/>
        </w:rPr>
        <w:t>2019</w:t>
      </w:r>
      <w:r>
        <w:rPr>
          <w:rStyle w:val="56"/>
          <w:rFonts w:hint="eastAsia"/>
          <w:color w:val="auto"/>
        </w:rPr>
        <w:t>年度专项计划内容</w:t>
      </w:r>
      <w:r>
        <w:tab/>
      </w:r>
      <w:r>
        <w:fldChar w:fldCharType="begin"/>
      </w:r>
      <w:r>
        <w:instrText xml:space="preserve"> PAGEREF _Toc5979737 \h </w:instrText>
      </w:r>
      <w:r>
        <w:fldChar w:fldCharType="separate"/>
      </w:r>
      <w:r>
        <w:t>8</w:t>
      </w:r>
      <w:r>
        <w:fldChar w:fldCharType="end"/>
      </w:r>
      <w:r>
        <w:fldChar w:fldCharType="end"/>
      </w:r>
    </w:p>
    <w:p>
      <w:pPr>
        <w:pStyle w:val="32"/>
        <w:tabs>
          <w:tab w:val="right" w:leader="dot" w:pos="8296"/>
        </w:tabs>
        <w:rPr>
          <w:rFonts w:asciiTheme="minorHAnsi" w:hAnsiTheme="minorHAnsi" w:eastAsiaTheme="minorEastAsia" w:cstheme="minorBidi"/>
          <w:bCs w:val="0"/>
          <w:caps w:val="0"/>
          <w:sz w:val="21"/>
          <w:szCs w:val="22"/>
        </w:rPr>
      </w:pPr>
      <w:r>
        <w:fldChar w:fldCharType="begin"/>
      </w:r>
      <w:r>
        <w:instrText xml:space="preserve"> HYPERLINK \l "_Toc5979738" </w:instrText>
      </w:r>
      <w:r>
        <w:fldChar w:fldCharType="separate"/>
      </w:r>
      <w:r>
        <w:rPr>
          <w:rStyle w:val="56"/>
          <w:rFonts w:hint="eastAsia"/>
          <w:color w:val="auto"/>
        </w:rPr>
        <w:t>五、实施保障机制</w:t>
      </w:r>
      <w:r>
        <w:tab/>
      </w:r>
      <w:r>
        <w:fldChar w:fldCharType="begin"/>
      </w:r>
      <w:r>
        <w:instrText xml:space="preserve"> PAGEREF _Toc5979738 \h </w:instrText>
      </w:r>
      <w:r>
        <w:fldChar w:fldCharType="separate"/>
      </w:r>
      <w:r>
        <w:t>11</w:t>
      </w:r>
      <w:r>
        <w:fldChar w:fldCharType="end"/>
      </w:r>
      <w:r>
        <w:fldChar w:fldCharType="end"/>
      </w:r>
    </w:p>
    <w:p>
      <w:pPr>
        <w:pStyle w:val="32"/>
        <w:tabs>
          <w:tab w:val="right" w:leader="dot" w:pos="8296"/>
        </w:tabs>
        <w:rPr>
          <w:rFonts w:asciiTheme="minorHAnsi" w:hAnsiTheme="minorHAnsi" w:eastAsiaTheme="minorEastAsia" w:cstheme="minorBidi"/>
          <w:bCs w:val="0"/>
          <w:caps w:val="0"/>
          <w:sz w:val="21"/>
          <w:szCs w:val="22"/>
        </w:rPr>
      </w:pPr>
      <w:r>
        <w:fldChar w:fldCharType="begin"/>
      </w:r>
      <w:r>
        <w:instrText xml:space="preserve"> HYPERLINK \l "_Toc5979739" </w:instrText>
      </w:r>
      <w:r>
        <w:fldChar w:fldCharType="separate"/>
      </w:r>
      <w:r>
        <w:rPr>
          <w:rStyle w:val="56"/>
          <w:rFonts w:hint="eastAsia"/>
          <w:color w:val="auto"/>
        </w:rPr>
        <w:t>六、其他说明</w:t>
      </w:r>
      <w:r>
        <w:tab/>
      </w:r>
      <w:r>
        <w:fldChar w:fldCharType="begin"/>
      </w:r>
      <w:r>
        <w:instrText xml:space="preserve"> PAGEREF _Toc5979739 \h </w:instrText>
      </w:r>
      <w:r>
        <w:fldChar w:fldCharType="separate"/>
      </w:r>
      <w:r>
        <w:t>14</w:t>
      </w:r>
      <w:r>
        <w:fldChar w:fldCharType="end"/>
      </w:r>
      <w:r>
        <w:fldChar w:fldCharType="end"/>
      </w:r>
    </w:p>
    <w:p>
      <w:pPr>
        <w:pStyle w:val="32"/>
        <w:tabs>
          <w:tab w:val="right" w:leader="dot" w:pos="8296"/>
        </w:tabs>
        <w:rPr>
          <w:rStyle w:val="56"/>
          <w:color w:val="auto"/>
          <w:sz w:val="22"/>
          <w:u w:val="none"/>
        </w:rPr>
      </w:pPr>
      <w:r>
        <w:rPr>
          <w:rStyle w:val="56"/>
          <w:rFonts w:hint="eastAsia"/>
          <w:color w:val="auto"/>
          <w:sz w:val="22"/>
          <w:u w:val="none"/>
        </w:rPr>
        <w:t>附表：</w:t>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"_Toc5979740" </w:instrText>
      </w:r>
      <w:r>
        <w:fldChar w:fldCharType="separate"/>
      </w:r>
      <w:r>
        <w:rPr>
          <w:rStyle w:val="56"/>
          <w:rFonts w:hint="eastAsia"/>
          <w:color w:val="auto"/>
          <w:sz w:val="22"/>
        </w:rPr>
        <w:t>表</w:t>
      </w:r>
      <w:r>
        <w:rPr>
          <w:rStyle w:val="56"/>
          <w:color w:val="auto"/>
          <w:sz w:val="22"/>
        </w:rPr>
        <w:t>1</w:t>
      </w:r>
      <w:r>
        <w:rPr>
          <w:rStyle w:val="56"/>
          <w:rFonts w:hint="eastAsia"/>
          <w:color w:val="auto"/>
          <w:sz w:val="22"/>
        </w:rPr>
        <w:t>：深圳市</w:t>
      </w:r>
      <w:r>
        <w:rPr>
          <w:rStyle w:val="56"/>
          <w:color w:val="auto"/>
          <w:sz w:val="22"/>
        </w:rPr>
        <w:t>2019</w:t>
      </w:r>
      <w:r>
        <w:rPr>
          <w:rStyle w:val="56"/>
          <w:rFonts w:hint="eastAsia"/>
          <w:color w:val="auto"/>
          <w:sz w:val="22"/>
        </w:rPr>
        <w:t>年度各区城市更新任务规模安排表</w:t>
      </w:r>
      <w:r>
        <w:rPr>
          <w:sz w:val="22"/>
        </w:rPr>
        <w:tab/>
      </w:r>
      <w:r>
        <w:rPr>
          <w:sz w:val="22"/>
        </w:rPr>
        <w:fldChar w:fldCharType="begin"/>
      </w:r>
      <w:r>
        <w:rPr>
          <w:sz w:val="22"/>
        </w:rPr>
        <w:instrText xml:space="preserve"> PAGEREF _Toc5979740 \h </w:instrText>
      </w:r>
      <w:r>
        <w:rPr>
          <w:sz w:val="22"/>
        </w:rPr>
        <w:fldChar w:fldCharType="separate"/>
      </w:r>
      <w:r>
        <w:rPr>
          <w:sz w:val="22"/>
        </w:rPr>
        <w:t>16</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"_Toc5979741" </w:instrText>
      </w:r>
      <w:r>
        <w:fldChar w:fldCharType="separate"/>
      </w:r>
      <w:r>
        <w:rPr>
          <w:rStyle w:val="56"/>
          <w:rFonts w:hint="eastAsia"/>
          <w:color w:val="auto"/>
          <w:sz w:val="22"/>
        </w:rPr>
        <w:t>表</w:t>
      </w:r>
      <w:r>
        <w:rPr>
          <w:rStyle w:val="56"/>
          <w:color w:val="auto"/>
          <w:sz w:val="22"/>
        </w:rPr>
        <w:t>2</w:t>
      </w:r>
      <w:r>
        <w:rPr>
          <w:rStyle w:val="56"/>
          <w:rFonts w:hint="eastAsia"/>
          <w:color w:val="auto"/>
          <w:sz w:val="22"/>
        </w:rPr>
        <w:t>：深圳市</w:t>
      </w:r>
      <w:r>
        <w:rPr>
          <w:rStyle w:val="56"/>
          <w:color w:val="auto"/>
          <w:sz w:val="22"/>
        </w:rPr>
        <w:t>2019</w:t>
      </w:r>
      <w:r>
        <w:rPr>
          <w:rStyle w:val="56"/>
          <w:rFonts w:hint="eastAsia"/>
          <w:color w:val="auto"/>
          <w:sz w:val="22"/>
        </w:rPr>
        <w:t>年度各区土地整备任务规模安排表</w:t>
      </w:r>
      <w:r>
        <w:rPr>
          <w:sz w:val="22"/>
        </w:rPr>
        <w:tab/>
      </w:r>
      <w:r>
        <w:rPr>
          <w:sz w:val="22"/>
        </w:rPr>
        <w:fldChar w:fldCharType="begin"/>
      </w:r>
      <w:r>
        <w:rPr>
          <w:sz w:val="22"/>
        </w:rPr>
        <w:instrText xml:space="preserve"> PAGEREF _Toc5979741 \h </w:instrText>
      </w:r>
      <w:r>
        <w:rPr>
          <w:sz w:val="22"/>
        </w:rPr>
        <w:fldChar w:fldCharType="separate"/>
      </w:r>
      <w:r>
        <w:rPr>
          <w:sz w:val="22"/>
        </w:rPr>
        <w:t>16</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"_Toc5979742" </w:instrText>
      </w:r>
      <w:r>
        <w:fldChar w:fldCharType="separate"/>
      </w:r>
      <w:r>
        <w:rPr>
          <w:rStyle w:val="56"/>
          <w:rFonts w:hint="eastAsia"/>
          <w:color w:val="auto"/>
          <w:sz w:val="22"/>
        </w:rPr>
        <w:t>表</w:t>
      </w:r>
      <w:r>
        <w:rPr>
          <w:rStyle w:val="56"/>
          <w:color w:val="auto"/>
          <w:sz w:val="22"/>
        </w:rPr>
        <w:t>3</w:t>
      </w:r>
      <w:r>
        <w:rPr>
          <w:rStyle w:val="56"/>
          <w:rFonts w:hint="eastAsia"/>
          <w:color w:val="auto"/>
          <w:sz w:val="22"/>
        </w:rPr>
        <w:t>：深圳市</w:t>
      </w:r>
      <w:r>
        <w:rPr>
          <w:rStyle w:val="56"/>
          <w:color w:val="auto"/>
          <w:sz w:val="22"/>
        </w:rPr>
        <w:t>2019</w:t>
      </w:r>
      <w:r>
        <w:rPr>
          <w:rStyle w:val="56"/>
          <w:rFonts w:hint="eastAsia"/>
          <w:color w:val="auto"/>
          <w:sz w:val="22"/>
        </w:rPr>
        <w:t>年度各区用地供应任务规模安排表</w:t>
      </w:r>
      <w:r>
        <w:rPr>
          <w:sz w:val="22"/>
        </w:rPr>
        <w:tab/>
      </w:r>
      <w:r>
        <w:rPr>
          <w:sz w:val="22"/>
        </w:rPr>
        <w:fldChar w:fldCharType="begin"/>
      </w:r>
      <w:r>
        <w:rPr>
          <w:sz w:val="22"/>
        </w:rPr>
        <w:instrText xml:space="preserve"> PAGEREF _Toc5979742 \h </w:instrText>
      </w:r>
      <w:r>
        <w:rPr>
          <w:sz w:val="22"/>
        </w:rPr>
        <w:fldChar w:fldCharType="separate"/>
      </w:r>
      <w:r>
        <w:rPr>
          <w:sz w:val="22"/>
        </w:rPr>
        <w:t>17</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"_Toc5979743" </w:instrText>
      </w:r>
      <w:r>
        <w:fldChar w:fldCharType="separate"/>
      </w:r>
      <w:r>
        <w:rPr>
          <w:rStyle w:val="56"/>
          <w:rFonts w:hint="eastAsia"/>
          <w:color w:val="auto"/>
          <w:sz w:val="22"/>
        </w:rPr>
        <w:t>表</w:t>
      </w:r>
      <w:r>
        <w:rPr>
          <w:rStyle w:val="56"/>
          <w:color w:val="auto"/>
          <w:sz w:val="22"/>
        </w:rPr>
        <w:t>4</w:t>
      </w:r>
      <w:r>
        <w:rPr>
          <w:rStyle w:val="56"/>
          <w:rFonts w:hint="eastAsia"/>
          <w:color w:val="auto"/>
          <w:sz w:val="22"/>
        </w:rPr>
        <w:t>：深圳市</w:t>
      </w:r>
      <w:r>
        <w:rPr>
          <w:rStyle w:val="56"/>
          <w:color w:val="auto"/>
          <w:sz w:val="22"/>
        </w:rPr>
        <w:t>2019</w:t>
      </w:r>
      <w:r>
        <w:rPr>
          <w:rStyle w:val="56"/>
          <w:rFonts w:hint="eastAsia"/>
          <w:color w:val="auto"/>
          <w:sz w:val="22"/>
        </w:rPr>
        <w:t>年度各区城市更新“十三五”规划考核任务规模安排表</w:t>
      </w:r>
      <w:r>
        <w:rPr>
          <w:sz w:val="22"/>
        </w:rPr>
        <w:tab/>
      </w:r>
      <w:r>
        <w:rPr>
          <w:sz w:val="22"/>
        </w:rPr>
        <w:fldChar w:fldCharType="begin"/>
      </w:r>
      <w:r>
        <w:rPr>
          <w:sz w:val="22"/>
        </w:rPr>
        <w:instrText xml:space="preserve"> PAGEREF _Toc5979743 \h </w:instrText>
      </w:r>
      <w:r>
        <w:rPr>
          <w:sz w:val="22"/>
        </w:rPr>
        <w:fldChar w:fldCharType="separate"/>
      </w:r>
      <w:r>
        <w:rPr>
          <w:sz w:val="22"/>
        </w:rPr>
        <w:t>18</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"_Toc5979744" </w:instrText>
      </w:r>
      <w:r>
        <w:fldChar w:fldCharType="separate"/>
      </w:r>
      <w:r>
        <w:rPr>
          <w:rStyle w:val="56"/>
          <w:rFonts w:hint="eastAsia"/>
          <w:color w:val="auto"/>
          <w:sz w:val="22"/>
        </w:rPr>
        <w:t>表</w:t>
      </w:r>
      <w:r>
        <w:rPr>
          <w:rStyle w:val="56"/>
          <w:color w:val="auto"/>
          <w:sz w:val="22"/>
        </w:rPr>
        <w:t>5</w:t>
      </w:r>
      <w:r>
        <w:rPr>
          <w:rStyle w:val="56"/>
          <w:rFonts w:hint="eastAsia"/>
          <w:color w:val="auto"/>
          <w:sz w:val="22"/>
        </w:rPr>
        <w:t>：深圳市</w:t>
      </w:r>
      <w:r>
        <w:rPr>
          <w:rStyle w:val="56"/>
          <w:color w:val="auto"/>
          <w:sz w:val="22"/>
        </w:rPr>
        <w:t>2019</w:t>
      </w:r>
      <w:r>
        <w:rPr>
          <w:rStyle w:val="56"/>
          <w:rFonts w:hint="eastAsia"/>
          <w:color w:val="auto"/>
          <w:sz w:val="22"/>
        </w:rPr>
        <w:t>年度土地整备资金安排表</w:t>
      </w:r>
      <w:r>
        <w:rPr>
          <w:sz w:val="22"/>
        </w:rPr>
        <w:tab/>
      </w:r>
      <w:r>
        <w:rPr>
          <w:sz w:val="22"/>
        </w:rPr>
        <w:fldChar w:fldCharType="begin"/>
      </w:r>
      <w:r>
        <w:rPr>
          <w:sz w:val="22"/>
        </w:rPr>
        <w:instrText xml:space="preserve"> PAGEREF _Toc5979744 \h </w:instrText>
      </w:r>
      <w:r>
        <w:rPr>
          <w:sz w:val="22"/>
        </w:rPr>
        <w:fldChar w:fldCharType="separate"/>
      </w:r>
      <w:r>
        <w:rPr>
          <w:sz w:val="22"/>
        </w:rPr>
        <w:t>18</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"_Toc5979745" </w:instrText>
      </w:r>
      <w:r>
        <w:fldChar w:fldCharType="separate"/>
      </w:r>
      <w:r>
        <w:rPr>
          <w:rStyle w:val="56"/>
          <w:rFonts w:hint="eastAsia"/>
          <w:color w:val="auto"/>
          <w:sz w:val="22"/>
        </w:rPr>
        <w:t>表</w:t>
      </w:r>
      <w:r>
        <w:rPr>
          <w:rStyle w:val="56"/>
          <w:color w:val="auto"/>
          <w:sz w:val="22"/>
        </w:rPr>
        <w:t>6</w:t>
      </w:r>
      <w:r>
        <w:rPr>
          <w:rStyle w:val="56"/>
          <w:rFonts w:hint="eastAsia"/>
          <w:color w:val="auto"/>
          <w:sz w:val="22"/>
        </w:rPr>
        <w:t>：深圳市</w:t>
      </w:r>
      <w:r>
        <w:rPr>
          <w:rStyle w:val="56"/>
          <w:color w:val="auto"/>
          <w:sz w:val="22"/>
        </w:rPr>
        <w:t>2019</w:t>
      </w:r>
      <w:r>
        <w:rPr>
          <w:rStyle w:val="56"/>
          <w:rFonts w:hint="eastAsia"/>
          <w:color w:val="auto"/>
          <w:sz w:val="22"/>
        </w:rPr>
        <w:t>年度土地整备项目表</w:t>
      </w:r>
      <w:r>
        <w:rPr>
          <w:sz w:val="22"/>
        </w:rPr>
        <w:tab/>
      </w:r>
      <w:r>
        <w:rPr>
          <w:sz w:val="22"/>
        </w:rPr>
        <w:fldChar w:fldCharType="begin"/>
      </w:r>
      <w:r>
        <w:rPr>
          <w:sz w:val="22"/>
        </w:rPr>
        <w:instrText xml:space="preserve"> PAGEREF _Toc5979745 \h </w:instrText>
      </w:r>
      <w:r>
        <w:rPr>
          <w:sz w:val="22"/>
        </w:rPr>
        <w:fldChar w:fldCharType="separate"/>
      </w:r>
      <w:r>
        <w:rPr>
          <w:sz w:val="22"/>
        </w:rPr>
        <w:t>20</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"_Toc5979746" </w:instrText>
      </w:r>
      <w:r>
        <w:fldChar w:fldCharType="separate"/>
      </w:r>
      <w:r>
        <w:rPr>
          <w:rStyle w:val="56"/>
          <w:rFonts w:hint="eastAsia"/>
          <w:color w:val="auto"/>
          <w:sz w:val="22"/>
        </w:rPr>
        <w:t>表</w:t>
      </w:r>
      <w:r>
        <w:rPr>
          <w:rStyle w:val="56"/>
          <w:color w:val="auto"/>
          <w:sz w:val="22"/>
        </w:rPr>
        <w:t>7</w:t>
      </w:r>
      <w:r>
        <w:rPr>
          <w:rStyle w:val="56"/>
          <w:rFonts w:hint="eastAsia"/>
          <w:color w:val="auto"/>
          <w:sz w:val="22"/>
        </w:rPr>
        <w:t>：深圳市</w:t>
      </w:r>
      <w:r>
        <w:rPr>
          <w:rStyle w:val="56"/>
          <w:color w:val="auto"/>
          <w:sz w:val="22"/>
        </w:rPr>
        <w:t>2019</w:t>
      </w:r>
      <w:r>
        <w:rPr>
          <w:rStyle w:val="56"/>
          <w:rFonts w:hint="eastAsia"/>
          <w:color w:val="auto"/>
          <w:sz w:val="22"/>
        </w:rPr>
        <w:t>年度土地整备安置房建设需求表</w:t>
      </w:r>
      <w:r>
        <w:rPr>
          <w:sz w:val="22"/>
        </w:rPr>
        <w:tab/>
      </w:r>
      <w:r>
        <w:rPr>
          <w:sz w:val="22"/>
        </w:rPr>
        <w:fldChar w:fldCharType="begin"/>
      </w:r>
      <w:r>
        <w:rPr>
          <w:sz w:val="22"/>
        </w:rPr>
        <w:instrText xml:space="preserve"> PAGEREF _Toc5979746 \h </w:instrText>
      </w:r>
      <w:r>
        <w:rPr>
          <w:sz w:val="22"/>
        </w:rPr>
        <w:fldChar w:fldCharType="separate"/>
      </w:r>
      <w:r>
        <w:rPr>
          <w:sz w:val="22"/>
        </w:rPr>
        <w:t>31</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"_Toc5979747" </w:instrText>
      </w:r>
      <w:r>
        <w:fldChar w:fldCharType="separate"/>
      </w:r>
      <w:r>
        <w:rPr>
          <w:rStyle w:val="56"/>
          <w:rFonts w:hint="eastAsia"/>
          <w:color w:val="auto"/>
          <w:sz w:val="22"/>
        </w:rPr>
        <w:t>表</w:t>
      </w:r>
      <w:r>
        <w:rPr>
          <w:rStyle w:val="56"/>
          <w:color w:val="auto"/>
          <w:sz w:val="22"/>
        </w:rPr>
        <w:t>8</w:t>
      </w:r>
      <w:r>
        <w:rPr>
          <w:rStyle w:val="56"/>
          <w:rFonts w:hint="eastAsia"/>
          <w:color w:val="auto"/>
          <w:sz w:val="22"/>
        </w:rPr>
        <w:t>：深圳市</w:t>
      </w:r>
      <w:r>
        <w:rPr>
          <w:rStyle w:val="56"/>
          <w:color w:val="auto"/>
          <w:sz w:val="22"/>
        </w:rPr>
        <w:t>2019</w:t>
      </w:r>
      <w:r>
        <w:rPr>
          <w:rStyle w:val="56"/>
          <w:rFonts w:hint="eastAsia"/>
          <w:color w:val="auto"/>
          <w:sz w:val="22"/>
        </w:rPr>
        <w:t>年度土地整备利益统筹项目表</w:t>
      </w:r>
      <w:r>
        <w:rPr>
          <w:sz w:val="22"/>
        </w:rPr>
        <w:tab/>
      </w:r>
      <w:r>
        <w:rPr>
          <w:sz w:val="22"/>
        </w:rPr>
        <w:fldChar w:fldCharType="begin"/>
      </w:r>
      <w:r>
        <w:rPr>
          <w:sz w:val="22"/>
        </w:rPr>
        <w:instrText xml:space="preserve"> PAGEREF _Toc5979747 \h </w:instrText>
      </w:r>
      <w:r>
        <w:rPr>
          <w:sz w:val="22"/>
        </w:rPr>
        <w:fldChar w:fldCharType="separate"/>
      </w:r>
      <w:r>
        <w:rPr>
          <w:sz w:val="22"/>
        </w:rPr>
        <w:t>32</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"_Toc5979748" </w:instrText>
      </w:r>
      <w:r>
        <w:fldChar w:fldCharType="separate"/>
      </w:r>
      <w:r>
        <w:rPr>
          <w:rStyle w:val="56"/>
          <w:rFonts w:hint="eastAsia"/>
          <w:color w:val="auto"/>
          <w:sz w:val="22"/>
        </w:rPr>
        <w:t>表</w:t>
      </w:r>
      <w:r>
        <w:rPr>
          <w:rStyle w:val="56"/>
          <w:color w:val="auto"/>
          <w:sz w:val="22"/>
        </w:rPr>
        <w:t>9</w:t>
      </w:r>
      <w:r>
        <w:rPr>
          <w:rStyle w:val="56"/>
          <w:rFonts w:hint="eastAsia"/>
          <w:color w:val="auto"/>
          <w:sz w:val="22"/>
        </w:rPr>
        <w:t>：深圳市</w:t>
      </w:r>
      <w:r>
        <w:rPr>
          <w:rStyle w:val="56"/>
          <w:color w:val="auto"/>
          <w:sz w:val="22"/>
        </w:rPr>
        <w:t>2019</w:t>
      </w:r>
      <w:r>
        <w:rPr>
          <w:rStyle w:val="56"/>
          <w:rFonts w:hint="eastAsia"/>
          <w:color w:val="auto"/>
          <w:sz w:val="22"/>
        </w:rPr>
        <w:t>年度市本级财政承担的房屋征收常规项目表</w:t>
      </w:r>
      <w:r>
        <w:rPr>
          <w:sz w:val="22"/>
        </w:rPr>
        <w:tab/>
      </w:r>
      <w:r>
        <w:rPr>
          <w:sz w:val="22"/>
        </w:rPr>
        <w:fldChar w:fldCharType="begin"/>
      </w:r>
      <w:r>
        <w:rPr>
          <w:sz w:val="22"/>
        </w:rPr>
        <w:instrText xml:space="preserve"> PAGEREF _Toc5979748 \h </w:instrText>
      </w:r>
      <w:r>
        <w:rPr>
          <w:sz w:val="22"/>
        </w:rPr>
        <w:fldChar w:fldCharType="separate"/>
      </w:r>
      <w:r>
        <w:rPr>
          <w:sz w:val="22"/>
        </w:rPr>
        <w:t>37</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"_Toc5979749" </w:instrText>
      </w:r>
      <w:r>
        <w:fldChar w:fldCharType="separate"/>
      </w:r>
      <w:r>
        <w:rPr>
          <w:rStyle w:val="56"/>
          <w:rFonts w:hint="eastAsia"/>
          <w:color w:val="auto"/>
          <w:sz w:val="22"/>
        </w:rPr>
        <w:t>表</w:t>
      </w:r>
      <w:r>
        <w:rPr>
          <w:rStyle w:val="56"/>
          <w:color w:val="auto"/>
          <w:sz w:val="22"/>
        </w:rPr>
        <w:t>10</w:t>
      </w:r>
      <w:r>
        <w:rPr>
          <w:rStyle w:val="56"/>
          <w:rFonts w:hint="eastAsia"/>
          <w:color w:val="auto"/>
          <w:sz w:val="22"/>
        </w:rPr>
        <w:t>：深圳市</w:t>
      </w:r>
      <w:r>
        <w:rPr>
          <w:rStyle w:val="56"/>
          <w:color w:val="auto"/>
          <w:sz w:val="22"/>
        </w:rPr>
        <w:t>2019</w:t>
      </w:r>
      <w:r>
        <w:rPr>
          <w:rStyle w:val="56"/>
          <w:rFonts w:hint="eastAsia"/>
          <w:color w:val="auto"/>
          <w:sz w:val="22"/>
        </w:rPr>
        <w:t>年度市本级财政承担的房屋征收轨道交通项目表</w:t>
      </w:r>
      <w:r>
        <w:rPr>
          <w:sz w:val="22"/>
        </w:rPr>
        <w:tab/>
      </w:r>
      <w:r>
        <w:rPr>
          <w:sz w:val="22"/>
        </w:rPr>
        <w:fldChar w:fldCharType="begin"/>
      </w:r>
      <w:r>
        <w:rPr>
          <w:sz w:val="22"/>
        </w:rPr>
        <w:instrText xml:space="preserve"> PAGEREF _Toc5979749 \h </w:instrText>
      </w:r>
      <w:r>
        <w:rPr>
          <w:sz w:val="22"/>
        </w:rPr>
        <w:fldChar w:fldCharType="separate"/>
      </w:r>
      <w:r>
        <w:rPr>
          <w:sz w:val="22"/>
        </w:rPr>
        <w:t>47</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"_Toc5979750" </w:instrText>
      </w:r>
      <w:r>
        <w:fldChar w:fldCharType="separate"/>
      </w:r>
      <w:r>
        <w:rPr>
          <w:rStyle w:val="56"/>
          <w:rFonts w:hint="eastAsia"/>
          <w:color w:val="auto"/>
          <w:sz w:val="22"/>
        </w:rPr>
        <w:t>表</w:t>
      </w:r>
      <w:r>
        <w:rPr>
          <w:rStyle w:val="56"/>
          <w:color w:val="auto"/>
          <w:sz w:val="22"/>
        </w:rPr>
        <w:t>11</w:t>
      </w:r>
      <w:r>
        <w:rPr>
          <w:rStyle w:val="56"/>
          <w:rFonts w:hint="eastAsia"/>
          <w:color w:val="auto"/>
          <w:sz w:val="22"/>
        </w:rPr>
        <w:t>：深圳市</w:t>
      </w:r>
      <w:r>
        <w:rPr>
          <w:rStyle w:val="56"/>
          <w:color w:val="auto"/>
          <w:sz w:val="22"/>
        </w:rPr>
        <w:t>2019</w:t>
      </w:r>
      <w:r>
        <w:rPr>
          <w:rStyle w:val="56"/>
          <w:rFonts w:hint="eastAsia"/>
          <w:color w:val="auto"/>
          <w:sz w:val="22"/>
        </w:rPr>
        <w:t>年度区级财政承担的房屋征收项目表</w:t>
      </w:r>
      <w:r>
        <w:rPr>
          <w:sz w:val="22"/>
        </w:rPr>
        <w:tab/>
      </w:r>
      <w:r>
        <w:rPr>
          <w:sz w:val="22"/>
        </w:rPr>
        <w:fldChar w:fldCharType="begin"/>
      </w:r>
      <w:r>
        <w:rPr>
          <w:sz w:val="22"/>
        </w:rPr>
        <w:instrText xml:space="preserve"> PAGEREF _Toc5979750 \h </w:instrText>
      </w:r>
      <w:r>
        <w:rPr>
          <w:sz w:val="22"/>
        </w:rPr>
        <w:fldChar w:fldCharType="separate"/>
      </w:r>
      <w:r>
        <w:rPr>
          <w:sz w:val="22"/>
        </w:rPr>
        <w:t>48</w:t>
      </w:r>
      <w:r>
        <w:rPr>
          <w:sz w:val="22"/>
        </w:rPr>
        <w:fldChar w:fldCharType="end"/>
      </w:r>
      <w:r>
        <w:rPr>
          <w:sz w:val="22"/>
        </w:rPr>
        <w:fldChar w:fldCharType="end"/>
      </w:r>
    </w:p>
    <w:p>
      <w:pPr>
        <w:pStyle w:val="32"/>
        <w:tabs>
          <w:tab w:val="right" w:leader="dot" w:pos="8296"/>
        </w:tabs>
        <w:rPr>
          <w:rFonts w:asciiTheme="minorHAnsi" w:hAnsiTheme="minorHAnsi" w:eastAsiaTheme="minorEastAsia" w:cstheme="minorBidi"/>
          <w:bCs w:val="0"/>
          <w:caps w:val="0"/>
          <w:sz w:val="16"/>
          <w:szCs w:val="22"/>
        </w:rPr>
      </w:pPr>
      <w:r>
        <w:fldChar w:fldCharType="begin"/>
      </w:r>
      <w:r>
        <w:instrText xml:space="preserve"> HYPERLINK \l "_Toc5979751" </w:instrText>
      </w:r>
      <w:r>
        <w:fldChar w:fldCharType="separate"/>
      </w:r>
      <w:r>
        <w:rPr>
          <w:rStyle w:val="56"/>
          <w:rFonts w:hint="eastAsia"/>
          <w:color w:val="auto"/>
          <w:sz w:val="22"/>
        </w:rPr>
        <w:t>附图：深圳市</w:t>
      </w:r>
      <w:r>
        <w:rPr>
          <w:rStyle w:val="56"/>
          <w:color w:val="auto"/>
          <w:sz w:val="22"/>
        </w:rPr>
        <w:t>2019</w:t>
      </w:r>
      <w:r>
        <w:rPr>
          <w:rStyle w:val="56"/>
          <w:rFonts w:hint="eastAsia"/>
          <w:color w:val="auto"/>
          <w:sz w:val="22"/>
        </w:rPr>
        <w:t>年度土地整备项目及土地整备利益统筹项目布局图</w:t>
      </w:r>
      <w:r>
        <w:rPr>
          <w:sz w:val="22"/>
        </w:rPr>
        <w:tab/>
      </w:r>
      <w:r>
        <w:rPr>
          <w:sz w:val="22"/>
        </w:rPr>
        <w:fldChar w:fldCharType="begin"/>
      </w:r>
      <w:r>
        <w:rPr>
          <w:sz w:val="22"/>
        </w:rPr>
        <w:instrText xml:space="preserve"> PAGEREF _Toc5979751 \h </w:instrText>
      </w:r>
      <w:r>
        <w:rPr>
          <w:sz w:val="22"/>
        </w:rPr>
        <w:fldChar w:fldCharType="separate"/>
      </w:r>
      <w:r>
        <w:rPr>
          <w:sz w:val="22"/>
        </w:rPr>
        <w:t>100</w:t>
      </w:r>
      <w:r>
        <w:rPr>
          <w:sz w:val="22"/>
        </w:rPr>
        <w:fldChar w:fldCharType="end"/>
      </w:r>
      <w:r>
        <w:rPr>
          <w:sz w:val="22"/>
        </w:rPr>
        <w:fldChar w:fldCharType="end"/>
      </w:r>
    </w:p>
    <w:p>
      <w:pPr>
        <w:pStyle w:val="32"/>
      </w:pPr>
      <w:r>
        <w:rPr>
          <w:rStyle w:val="56"/>
          <w:rFonts w:hint="eastAsia"/>
          <w:color w:val="auto"/>
        </w:rPr>
        <w:fldChar w:fldCharType="end"/>
      </w:r>
    </w:p>
    <w:p>
      <w:pPr>
        <w:widowControl/>
        <w:rPr>
          <w:rFonts w:ascii="仿宋_GB2312" w:hAnsi="宋体" w:eastAsia="仿宋_GB2312"/>
          <w:bCs/>
          <w:sz w:val="28"/>
          <w:szCs w:val="28"/>
        </w:rPr>
      </w:pPr>
      <w:r>
        <w:rPr>
          <w:rFonts w:ascii="仿宋_GB2312" w:hAnsi="宋体" w:eastAsia="仿宋_GB2312"/>
          <w:bCs/>
          <w:sz w:val="28"/>
          <w:szCs w:val="28"/>
        </w:rPr>
        <w:br w:type="page"/>
      </w:r>
    </w:p>
    <w:p>
      <w:pPr>
        <w:widowControl/>
        <w:rPr>
          <w:rFonts w:ascii="仿宋_GB2312" w:eastAsia="仿宋_GB2312" w:cs="宋体"/>
          <w:b/>
          <w:kern w:val="0"/>
          <w:sz w:val="30"/>
          <w:szCs w:val="30"/>
        </w:rPr>
        <w:sectPr>
          <w:headerReference r:id="rId7" w:type="default"/>
          <w:footerReference r:id="rId8" w:type="default"/>
          <w:footerReference r:id="rId9" w:type="even"/>
          <w:pgSz w:w="11906" w:h="16838"/>
          <w:pgMar w:top="1440" w:right="1800" w:bottom="1440" w:left="1800" w:header="851" w:footer="992" w:gutter="0"/>
          <w:cols w:space="425" w:num="1"/>
          <w:docGrid w:type="lines" w:linePitch="312" w:charSpace="0"/>
        </w:sectPr>
      </w:pP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深入贯彻落实习近平新时代中国特色社会主义思想、党的十九大精神和习近平总书记对广东、深圳工作的重要</w:t>
      </w:r>
      <w:r>
        <w:rPr>
          <w:rFonts w:hint="eastAsia" w:ascii="仿宋_GB2312" w:eastAsia="仿宋_GB2312"/>
          <w:sz w:val="30"/>
          <w:szCs w:val="30"/>
          <w:lang w:eastAsia="zh-CN"/>
        </w:rPr>
        <w:t>指示批示</w:t>
      </w:r>
      <w:r>
        <w:rPr>
          <w:rFonts w:hint="eastAsia" w:ascii="仿宋_GB2312" w:eastAsia="仿宋_GB2312"/>
          <w:sz w:val="30"/>
          <w:szCs w:val="30"/>
        </w:rPr>
        <w:t>精神，以粤港澳大湾区发展的重大历史机遇为契机，围绕市委市政府重点工作部署，依据《深圳市国民经济和社会发展第十三个五年规划纲要》、《深圳市城市总体规划（2010—2020）》、《深圳市土地利用总体规划（2006—2020年）》、《深圳市城市建设与土地利用“十三五”规划》、《深圳市城市更新“十三五”规划》、《深圳市土地整备专项规划（2016—2020）》等相关规划，结合2019年近期建设规划年度实施计划、政府投资项目计划和土地出让收支计划等相关计划，编制本计划。</w:t>
      </w:r>
    </w:p>
    <w:p>
      <w:pPr>
        <w:pStyle w:val="557"/>
        <w:spacing w:before="468" w:beforeLines="150"/>
      </w:pPr>
      <w:bookmarkStart w:id="6" w:name="_Toc2241536"/>
      <w:bookmarkStart w:id="7" w:name="_Toc5979734"/>
      <w:r>
        <w:rPr>
          <w:rFonts w:hint="eastAsia"/>
        </w:rPr>
        <w:t>一、2018年度计划执行情况</w:t>
      </w:r>
      <w:bookmarkEnd w:id="6"/>
      <w:bookmarkEnd w:id="7"/>
    </w:p>
    <w:p>
      <w:pPr>
        <w:spacing w:before="240" w:after="64" w:line="360" w:lineRule="auto"/>
        <w:ind w:firstLine="602" w:firstLineChars="200"/>
        <w:rPr>
          <w:rFonts w:ascii="仿宋_GB2312" w:eastAsia="仿宋_GB2312"/>
          <w:b/>
          <w:sz w:val="30"/>
          <w:szCs w:val="30"/>
        </w:rPr>
      </w:pPr>
      <w:r>
        <w:rPr>
          <w:rFonts w:hint="eastAsia" w:ascii="仿宋_GB2312" w:eastAsia="仿宋_GB2312"/>
          <w:b/>
          <w:sz w:val="30"/>
          <w:szCs w:val="30"/>
        </w:rPr>
        <w:t>（一）城市更新年度计划完成情况</w:t>
      </w:r>
    </w:p>
    <w:p>
      <w:pPr>
        <w:spacing w:before="240" w:after="64" w:line="360" w:lineRule="auto"/>
        <w:ind w:firstLine="602" w:firstLineChars="200"/>
        <w:rPr>
          <w:rFonts w:ascii="仿宋_GB2312" w:eastAsia="仿宋_GB2312"/>
          <w:sz w:val="30"/>
          <w:szCs w:val="30"/>
        </w:rPr>
      </w:pPr>
      <w:r>
        <w:rPr>
          <w:rFonts w:hint="eastAsia" w:ascii="仿宋_GB2312" w:eastAsia="仿宋_GB2312"/>
          <w:b/>
          <w:sz w:val="30"/>
          <w:szCs w:val="30"/>
        </w:rPr>
        <w:t>1.超额完成省“三旧”改造考核任务。</w:t>
      </w:r>
      <w:r>
        <w:rPr>
          <w:rFonts w:hint="eastAsia" w:ascii="仿宋_GB2312" w:eastAsia="仿宋_GB2312"/>
          <w:sz w:val="30"/>
          <w:szCs w:val="30"/>
        </w:rPr>
        <w:t>2018年全市分别新增和完成改造</w:t>
      </w:r>
      <w:r>
        <w:rPr>
          <w:rFonts w:ascii="仿宋_GB2312" w:eastAsia="仿宋_GB2312"/>
          <w:sz w:val="30"/>
          <w:szCs w:val="30"/>
        </w:rPr>
        <w:t>9439</w:t>
      </w:r>
      <w:r>
        <w:rPr>
          <w:rFonts w:hint="eastAsia" w:ascii="仿宋_GB2312" w:eastAsia="仿宋_GB2312"/>
          <w:sz w:val="30"/>
          <w:szCs w:val="30"/>
        </w:rPr>
        <w:t>亩和</w:t>
      </w:r>
      <w:r>
        <w:rPr>
          <w:rFonts w:ascii="仿宋_GB2312" w:eastAsia="仿宋_GB2312"/>
          <w:sz w:val="30"/>
          <w:szCs w:val="30"/>
        </w:rPr>
        <w:t>5579</w:t>
      </w:r>
      <w:r>
        <w:rPr>
          <w:rFonts w:hint="eastAsia" w:ascii="仿宋_GB2312" w:eastAsia="仿宋_GB2312"/>
          <w:sz w:val="30"/>
          <w:szCs w:val="30"/>
        </w:rPr>
        <w:t>亩，目标完成率分别为111%和109%。</w:t>
      </w:r>
    </w:p>
    <w:p>
      <w:pPr>
        <w:spacing w:before="240" w:after="64" w:line="360" w:lineRule="auto"/>
        <w:ind w:firstLine="602" w:firstLineChars="200"/>
        <w:rPr>
          <w:rFonts w:ascii="仿宋_GB2312" w:eastAsia="仿宋_GB2312"/>
          <w:sz w:val="30"/>
          <w:szCs w:val="30"/>
        </w:rPr>
      </w:pPr>
      <w:r>
        <w:rPr>
          <w:rFonts w:hint="eastAsia" w:ascii="仿宋_GB2312" w:eastAsia="仿宋_GB2312"/>
          <w:b/>
          <w:sz w:val="30"/>
          <w:szCs w:val="30"/>
        </w:rPr>
        <w:t>2.超额完成市“十大专项行动”考核任务</w:t>
      </w:r>
      <w:r>
        <w:rPr>
          <w:rFonts w:hint="eastAsia" w:ascii="仿宋_GB2312" w:eastAsia="仿宋_GB2312"/>
          <w:sz w:val="30"/>
          <w:szCs w:val="30"/>
        </w:rPr>
        <w:t>。2018年全市完成拆除重建供应用地257公顷，完成旧工业区综合整治140万平方米，目标完成率分别为105%和117%。</w:t>
      </w:r>
    </w:p>
    <w:p>
      <w:pPr>
        <w:spacing w:before="240" w:after="64" w:line="360" w:lineRule="auto"/>
        <w:ind w:firstLine="602" w:firstLineChars="200"/>
        <w:rPr>
          <w:rFonts w:ascii="仿宋_GB2312" w:eastAsia="仿宋_GB2312"/>
          <w:sz w:val="30"/>
          <w:szCs w:val="30"/>
        </w:rPr>
      </w:pPr>
      <w:r>
        <w:rPr>
          <w:rFonts w:hint="eastAsia" w:ascii="仿宋_GB2312" w:eastAsia="仿宋_GB2312"/>
          <w:b/>
          <w:sz w:val="30"/>
          <w:szCs w:val="30"/>
        </w:rPr>
        <w:t>3.基本实现城市更新“十三五”规划考核任务</w:t>
      </w:r>
      <w:r>
        <w:rPr>
          <w:rFonts w:hint="eastAsia" w:ascii="仿宋_GB2312" w:eastAsia="仿宋_GB2312"/>
          <w:sz w:val="30"/>
          <w:szCs w:val="30"/>
        </w:rPr>
        <w:t>。2018年全市新增拆除重建类更新单元计划规模841公顷，目标完成率为98%；</w:t>
      </w:r>
      <w:r>
        <w:rPr>
          <w:rFonts w:hint="eastAsia" w:ascii="仿宋_GB2312" w:eastAsia="仿宋_GB2312"/>
          <w:b/>
          <w:sz w:val="30"/>
          <w:szCs w:val="30"/>
        </w:rPr>
        <w:t>“两房”配建力度有待加强</w:t>
      </w:r>
      <w:r>
        <w:rPr>
          <w:rFonts w:hint="eastAsia" w:ascii="仿宋_GB2312" w:eastAsia="仿宋_GB2312"/>
          <w:sz w:val="30"/>
          <w:szCs w:val="30"/>
        </w:rPr>
        <w:t>，通过更新单元规划配建人才住房、安居型商品房和公共租赁住房25238套，目标完成率为80%,新增规划筹集创新型产业用房22万平方米，目标完成率为89%；</w:t>
      </w:r>
      <w:r>
        <w:rPr>
          <w:rFonts w:hint="eastAsia" w:ascii="仿宋_GB2312" w:eastAsia="仿宋_GB2312"/>
          <w:b/>
          <w:sz w:val="30"/>
          <w:szCs w:val="30"/>
        </w:rPr>
        <w:t>通过城市更新配建公共服务设施效果较为突出</w:t>
      </w:r>
      <w:r>
        <w:rPr>
          <w:rFonts w:hint="eastAsia" w:ascii="仿宋_GB2312" w:eastAsia="仿宋_GB2312"/>
          <w:sz w:val="30"/>
          <w:szCs w:val="30"/>
        </w:rPr>
        <w:t>，新增规划筹集独立占地公共配套设施61个，目标完成率达153%，新增规划筹集非独立占地公共配套设施40万平方米，目标完成率达</w:t>
      </w:r>
      <w:r>
        <w:rPr>
          <w:rFonts w:ascii="仿宋_GB2312" w:eastAsia="仿宋_GB2312"/>
          <w:sz w:val="30"/>
          <w:szCs w:val="30"/>
        </w:rPr>
        <w:t>222%</w:t>
      </w:r>
      <w:r>
        <w:rPr>
          <w:rFonts w:hint="eastAsia" w:ascii="仿宋_GB2312" w:eastAsia="仿宋_GB2312"/>
          <w:sz w:val="30"/>
          <w:szCs w:val="30"/>
        </w:rPr>
        <w:t>。</w:t>
      </w:r>
    </w:p>
    <w:p>
      <w:pPr>
        <w:spacing w:before="240" w:after="64" w:line="360" w:lineRule="auto"/>
        <w:ind w:firstLine="602" w:firstLineChars="200"/>
        <w:rPr>
          <w:rFonts w:ascii="仿宋_GB2312" w:eastAsia="仿宋_GB2312"/>
          <w:b/>
          <w:sz w:val="30"/>
          <w:szCs w:val="30"/>
        </w:rPr>
      </w:pPr>
      <w:r>
        <w:rPr>
          <w:rFonts w:hint="eastAsia" w:ascii="仿宋_GB2312" w:eastAsia="仿宋_GB2312"/>
          <w:b/>
          <w:sz w:val="30"/>
          <w:szCs w:val="30"/>
        </w:rPr>
        <w:t>4.城市更新拉动固定资产投资成效显著。</w:t>
      </w:r>
      <w:r>
        <w:rPr>
          <w:rFonts w:hint="eastAsia" w:ascii="仿宋_GB2312" w:eastAsia="仿宋_GB2312"/>
          <w:sz w:val="30"/>
          <w:szCs w:val="30"/>
        </w:rPr>
        <w:t>2018年全市共完成城市更新固定资产投资总额约1271亿元，目标完成率达182%，为拉动城市经济发展做出重要贡献。</w:t>
      </w:r>
    </w:p>
    <w:p>
      <w:pPr>
        <w:spacing w:before="240" w:after="64" w:line="360" w:lineRule="auto"/>
        <w:ind w:firstLine="602" w:firstLineChars="200"/>
        <w:rPr>
          <w:rFonts w:ascii="仿宋_GB2312" w:eastAsia="仿宋_GB2312"/>
          <w:b/>
          <w:sz w:val="30"/>
          <w:szCs w:val="30"/>
        </w:rPr>
      </w:pPr>
      <w:r>
        <w:rPr>
          <w:rFonts w:hint="eastAsia" w:ascii="仿宋_GB2312" w:eastAsia="仿宋_GB2312"/>
          <w:b/>
          <w:sz w:val="30"/>
          <w:szCs w:val="30"/>
        </w:rPr>
        <w:t>（二）土地整备年度计划完成情况</w:t>
      </w:r>
    </w:p>
    <w:p>
      <w:pPr>
        <w:spacing w:before="240" w:after="64" w:line="360" w:lineRule="auto"/>
        <w:ind w:firstLine="602" w:firstLineChars="200"/>
        <w:rPr>
          <w:rFonts w:ascii="仿宋_GB2312" w:eastAsia="仿宋_GB2312"/>
          <w:b/>
          <w:sz w:val="30"/>
          <w:szCs w:val="30"/>
        </w:rPr>
      </w:pPr>
      <w:r>
        <w:rPr>
          <w:rFonts w:hint="eastAsia" w:ascii="仿宋_GB2312" w:eastAsia="仿宋_GB2312"/>
          <w:b/>
          <w:sz w:val="30"/>
          <w:szCs w:val="30"/>
        </w:rPr>
        <w:t>1.超额完成土地整备年度任务。</w:t>
      </w:r>
      <w:r>
        <w:rPr>
          <w:rFonts w:hint="eastAsia" w:ascii="仿宋_GB2312" w:eastAsia="仿宋_GB2312"/>
          <w:sz w:val="30"/>
          <w:szCs w:val="30"/>
        </w:rPr>
        <w:t>2018年全市计划完成土地整备任务11平方公里。2018年，全市共完成土地整备任务13平方公里，目标完成率为118%。</w:t>
      </w:r>
    </w:p>
    <w:p>
      <w:pPr>
        <w:spacing w:before="240" w:after="64" w:line="360" w:lineRule="auto"/>
        <w:ind w:firstLine="602" w:firstLineChars="200"/>
        <w:rPr>
          <w:rFonts w:ascii="仿宋_GB2312" w:eastAsia="仿宋_GB2312"/>
          <w:sz w:val="30"/>
          <w:szCs w:val="30"/>
        </w:rPr>
      </w:pPr>
      <w:r>
        <w:rPr>
          <w:rFonts w:hint="eastAsia" w:ascii="仿宋_GB2312" w:eastAsia="仿宋_GB2312"/>
          <w:b/>
          <w:sz w:val="30"/>
          <w:szCs w:val="30"/>
        </w:rPr>
        <w:t>2.超额完成较大面积产业空间整备专项任务。</w:t>
      </w:r>
      <w:r>
        <w:rPr>
          <w:rFonts w:hint="eastAsia" w:ascii="仿宋_GB2312" w:eastAsia="仿宋_GB2312"/>
          <w:sz w:val="30"/>
          <w:szCs w:val="30"/>
        </w:rPr>
        <w:t>落实市委六届七次全会提出的“各区启动整备至少一片较大面积的产业空间”要求，2018年，全市较大面积产业空间整备项目库内计划整备完成4.86平方公里用地，实际共整备完成5.44平方公里用地，目标完成率为112%。</w:t>
      </w:r>
    </w:p>
    <w:p>
      <w:pPr>
        <w:spacing w:before="240" w:after="64" w:line="360" w:lineRule="auto"/>
        <w:ind w:firstLine="602" w:firstLineChars="200"/>
        <w:rPr>
          <w:rFonts w:ascii="仿宋_GB2312" w:eastAsia="仿宋_GB2312"/>
          <w:sz w:val="30"/>
          <w:szCs w:val="30"/>
        </w:rPr>
      </w:pPr>
      <w:r>
        <w:rPr>
          <w:rFonts w:hint="eastAsia" w:ascii="仿宋_GB2312" w:eastAsia="仿宋_GB2312"/>
          <w:b/>
          <w:sz w:val="30"/>
          <w:szCs w:val="30"/>
        </w:rPr>
        <w:t>3.大力推进年度重点工作。</w:t>
      </w:r>
      <w:r>
        <w:rPr>
          <w:rFonts w:hint="eastAsia" w:ascii="仿宋_GB2312" w:eastAsia="仿宋_GB2312"/>
          <w:sz w:val="30"/>
          <w:szCs w:val="30"/>
        </w:rPr>
        <w:t>2018年，全市饮用水水源一级保护区范围内土地征转工作全部完成，征转土地面积22.81平方公里。原特区外村办学校土地房产遗留问题处理工作有序推进，各区均已开展了村办学校的测绘、资产评估等前期工作。</w:t>
      </w:r>
    </w:p>
    <w:p>
      <w:pPr>
        <w:spacing w:before="240" w:after="64" w:line="360" w:lineRule="auto"/>
        <w:ind w:firstLine="602" w:firstLineChars="200"/>
        <w:rPr>
          <w:rFonts w:ascii="仿宋_GB2312" w:eastAsia="仿宋_GB2312"/>
          <w:sz w:val="30"/>
          <w:szCs w:val="30"/>
        </w:rPr>
      </w:pPr>
      <w:r>
        <w:rPr>
          <w:rFonts w:hint="eastAsia" w:ascii="仿宋_GB2312" w:eastAsia="仿宋_GB2312"/>
          <w:b/>
          <w:sz w:val="30"/>
          <w:szCs w:val="30"/>
        </w:rPr>
        <w:t>4.有序开展重点片区和重大项目土地整备工作。</w:t>
      </w:r>
      <w:r>
        <w:rPr>
          <w:rFonts w:hint="eastAsia" w:ascii="仿宋_GB2312" w:eastAsia="仿宋_GB2312"/>
          <w:sz w:val="30"/>
          <w:szCs w:val="30"/>
        </w:rPr>
        <w:t>2018年全市土地整备工作推进了光明科学城、留仙洞战略</w:t>
      </w:r>
      <w:r>
        <w:rPr>
          <w:rFonts w:hint="eastAsia" w:ascii="仿宋_GB2312" w:eastAsia="仿宋_GB2312"/>
          <w:sz w:val="30"/>
          <w:szCs w:val="30"/>
          <w:lang w:eastAsia="zh-CN"/>
        </w:rPr>
        <w:t>性</w:t>
      </w:r>
      <w:r>
        <w:rPr>
          <w:rFonts w:hint="eastAsia" w:ascii="仿宋_GB2312" w:eastAsia="仿宋_GB2312"/>
          <w:sz w:val="30"/>
          <w:szCs w:val="30"/>
        </w:rPr>
        <w:t>新兴产业基地、坝光新兴产业基地等重点片区建设，保障了华星光电三期、丹平快速路、深华快速路、轨道6号线、轨道4号线北延、布吉水质净化厂、观澜污水处理厂（二期）等公共基础设施和重大项目的土地供应工作。</w:t>
      </w:r>
    </w:p>
    <w:p>
      <w:pPr>
        <w:spacing w:before="240" w:after="64" w:line="360" w:lineRule="auto"/>
        <w:ind w:left="210" w:leftChars="100" w:firstLine="602" w:firstLineChars="200"/>
        <w:rPr>
          <w:rFonts w:ascii="仿宋_GB2312" w:eastAsia="仿宋_GB2312"/>
          <w:sz w:val="30"/>
          <w:szCs w:val="30"/>
        </w:rPr>
      </w:pPr>
      <w:r>
        <w:rPr>
          <w:rFonts w:hint="eastAsia" w:ascii="仿宋_GB2312" w:eastAsia="仿宋_GB2312"/>
          <w:b/>
          <w:sz w:val="30"/>
          <w:szCs w:val="30"/>
        </w:rPr>
        <w:t>5.资金支付工作运转顺利。</w:t>
      </w:r>
      <w:r>
        <w:rPr>
          <w:rFonts w:hint="eastAsia" w:ascii="仿宋_GB2312" w:eastAsia="仿宋_GB2312"/>
          <w:sz w:val="30"/>
          <w:szCs w:val="30"/>
        </w:rPr>
        <w:t>2018年全市计划安排土地整备资金105亿元，实际完成支付105亿元，有力保障了项目实施推进。2018年安排市本级房屋征收项目补偿资金53亿元，根据各区及相关实施单位反馈的情况，共完成支付市本级房屋征收项目补偿资金约45.97亿元。</w:t>
      </w:r>
    </w:p>
    <w:p>
      <w:pPr>
        <w:pStyle w:val="557"/>
        <w:spacing w:before="468" w:beforeLines="150"/>
      </w:pPr>
      <w:bookmarkStart w:id="8" w:name="_Toc5979735"/>
      <w:bookmarkStart w:id="9" w:name="_Toc2241537"/>
      <w:r>
        <w:rPr>
          <w:rFonts w:hint="eastAsia"/>
        </w:rPr>
        <w:t>二、2019年度计划编制情况</w:t>
      </w:r>
      <w:bookmarkEnd w:id="8"/>
      <w:bookmarkEnd w:id="9"/>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（一）编制背景</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2019年是深入贯彻落实习近平总书记对广东重要讲话和对深圳重要</w:t>
      </w:r>
      <w:r>
        <w:rPr>
          <w:rFonts w:hint="eastAsia" w:ascii="仿宋_GB2312" w:eastAsia="仿宋_GB2312"/>
          <w:sz w:val="30"/>
          <w:szCs w:val="30"/>
          <w:lang w:eastAsia="zh-CN"/>
        </w:rPr>
        <w:t>指示批示</w:t>
      </w:r>
      <w:r>
        <w:rPr>
          <w:rFonts w:hint="eastAsia" w:ascii="仿宋_GB2312" w:eastAsia="仿宋_GB2312"/>
          <w:sz w:val="30"/>
          <w:szCs w:val="30"/>
        </w:rPr>
        <w:t>精神的关键之年，是全面推进“十三五”规划的攻坚之年，也是落实《粤港澳大湾区发展规划纲要》的开局之年。市委六届十一次全会及2019年市政府工作报告明确部署，要举全市之力推进粤港澳大湾区建设，着力增强核心引擎功能，要量质并举保障产业空间，并决定继续将2019年作为“城市质量提升年”。</w:t>
      </w:r>
      <w:r>
        <w:rPr>
          <w:rFonts w:ascii="仿宋_GB2312" w:eastAsia="仿宋_GB2312"/>
          <w:sz w:val="30"/>
          <w:szCs w:val="30"/>
        </w:rPr>
        <w:t xml:space="preserve"> </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2018年12月30日，中共广东省委办公厅、广东省人民政府办公厅印发《深圳市机构改革方案》，明确将市城市更新局、市土地整备局的行政职能整合，组建市城市更新和土地整备局，由市规划和自然资源局统一领导和管理。在将存量开发“两驾马车”合并管理的背景下，两种存量开发模式在体制机制的全面融合将是未来的工作重点和方向，也对年度计划的目标定位和管理方式提出全新的要求。</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2019年城市更新和土地整备工作，将牢牢把握高质量发展根本要求，进一步挖掘存量用地潜力，强化城市功能、优化产业结构、提升人居环境，助力打造粤港澳大湾区核心引擎功能。重点围绕“加大成块连片土地清理和整备，加快旧工业区连片升级改造”的工作要求，加快形成连片可开发的产业空间，为重大产业项目落地提供保障。继续落实“加快国土空间提质增效，实现高质量可持续发展”十大专项行动部署，切实保障城市更新、重大基础设施、公共服务设施等用地供应，优化城市品质和现代化功能。</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（二）编制要点</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1.更新整备融合</w:t>
      </w:r>
    </w:p>
    <w:p>
      <w:pPr>
        <w:tabs>
          <w:tab w:val="left" w:pos="2160"/>
        </w:tabs>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年度计划是统筹两种存量开发模式的顶层框架设计手段之一，编制过程中统筹考虑城市更新和土地整备工作推进情况，充分发挥年度计划的调控作用，合理安排年度任务以及土地供应结构，统筹项目空间分布与开发时序，保障全市城市更新和土地整备五年专项规划实施，为全市存量用地开发建设的规划统筹提供基础。以此探索为开端，推进两种存量开发模式的有机融合、创新融合和全面融合。</w:t>
      </w:r>
      <w:r>
        <w:rPr>
          <w:rFonts w:ascii="仿宋_GB2312" w:eastAsia="仿宋_GB2312"/>
          <w:sz w:val="30"/>
          <w:szCs w:val="30"/>
        </w:rPr>
        <w:t xml:space="preserve"> </w:t>
      </w:r>
    </w:p>
    <w:p>
      <w:pPr>
        <w:tabs>
          <w:tab w:val="left" w:pos="2160"/>
        </w:tabs>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2.公共利益优先</w:t>
      </w:r>
    </w:p>
    <w:p>
      <w:pPr>
        <w:tabs>
          <w:tab w:val="left" w:pos="2160"/>
        </w:tabs>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年度计划以公共利益为导向，制定公共服务设施、重大基础设施和民生项目的新增规划和用地供给的任务，并将考核任务指标落到各区，在实施时序上进行倾斜，保障公共利益项目的优先落实，有利于提升综合交通、民生保障、生态环境等领域项目的供给质量和供给效率。</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3.加强规划引导和计划管控</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加强城市更新用地供应等目标任务考核刚性，形成自上而下的空间分区管控机制，保障全市战略地区和重点地区的城市更新项目。强化土地整备计划空间及时序管控刚性，落实较大面积产业空间整备等重点工作任务要求，加快形成集中连片的产业空间。</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4.创新督办考核机制</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通过完善涵盖任务下达、过程跟踪、考核评估的年度计划管理机制，保障计划执行实施成效。突出年度重点工作，将拆除重建类城市更新土地供应任务、人才住房、安居型商品房和公共租赁住房规划配建任务、较大面积产业空间整备专项工作任务、市级房屋征收项目实施情况纳入政府绩效评估指标体系。加大督办考核工作力度，推动各区高质量完成计划安排各项工作目标。</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5.注重自然资源环境保护</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践行“绿水青山就是金山银山”的理念，按照“统筹山水林田湖草系统治理，实行自然资源一体化管理”的总体要求，安排自然资源保护相关项目。落实全市土壤环境保护和质量提升工作部署，对于已列入计划的地块，各区应配合生态环境部门开展土壤环境调查评估等各项工作。</w:t>
      </w:r>
    </w:p>
    <w:p>
      <w:pPr>
        <w:pStyle w:val="557"/>
        <w:spacing w:before="468" w:beforeLines="150"/>
      </w:pPr>
      <w:bookmarkStart w:id="10" w:name="_Toc2241538"/>
      <w:bookmarkStart w:id="11" w:name="_Toc5979736"/>
      <w:r>
        <w:rPr>
          <w:rFonts w:hint="eastAsia"/>
        </w:rPr>
        <w:t>三、2019年度计划总体任务</w:t>
      </w:r>
      <w:bookmarkEnd w:id="10"/>
      <w:bookmarkEnd w:id="11"/>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（一）城市更新2019年度任务</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省“三旧”</w:t>
      </w:r>
      <w:bookmarkStart w:id="51" w:name="_GoBack"/>
      <w:bookmarkEnd w:id="51"/>
      <w:r>
        <w:rPr>
          <w:rFonts w:hint="eastAsia" w:ascii="仿宋_GB2312" w:eastAsia="仿宋_GB2312"/>
          <w:b/>
          <w:sz w:val="30"/>
          <w:szCs w:val="30"/>
        </w:rPr>
        <w:t>改造考核任务。</w:t>
      </w:r>
      <w:r>
        <w:rPr>
          <w:rFonts w:hint="eastAsia" w:ascii="仿宋_GB2312" w:eastAsia="仿宋_GB2312"/>
          <w:sz w:val="30"/>
          <w:szCs w:val="30"/>
        </w:rPr>
        <w:t>根据省厅要求（预下达），年度全市新增实施改造任务不少于9000亩，完成改造任务不少于5600亩。</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旧工业区综合整治规模。</w:t>
      </w:r>
      <w:r>
        <w:rPr>
          <w:rFonts w:hint="eastAsia" w:ascii="仿宋_GB2312" w:eastAsia="仿宋_GB2312"/>
          <w:sz w:val="30"/>
          <w:szCs w:val="30"/>
        </w:rPr>
        <w:t>年度全市完成旧工业区综合整治建筑面积不少于120万平方米。具体各区任务安排详见附表1。</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（二）土地整备2</w:t>
      </w:r>
      <w:r>
        <w:rPr>
          <w:rFonts w:ascii="仿宋_GB2312" w:eastAsia="仿宋_GB2312"/>
          <w:b/>
          <w:sz w:val="30"/>
          <w:szCs w:val="30"/>
        </w:rPr>
        <w:t>019</w:t>
      </w:r>
      <w:r>
        <w:rPr>
          <w:rFonts w:hint="eastAsia" w:ascii="仿宋_GB2312" w:eastAsia="仿宋_GB2312"/>
          <w:b/>
          <w:sz w:val="30"/>
          <w:szCs w:val="30"/>
        </w:rPr>
        <w:t>年度任务</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2019年度计划全市完成土地整备资金拨付不少于</w:t>
      </w:r>
      <w:r>
        <w:rPr>
          <w:rFonts w:ascii="仿宋_GB2312" w:eastAsia="仿宋_GB2312"/>
          <w:sz w:val="30"/>
          <w:szCs w:val="30"/>
        </w:rPr>
        <w:t>1</w:t>
      </w:r>
      <w:r>
        <w:rPr>
          <w:rFonts w:hint="eastAsia" w:ascii="仿宋_GB2312" w:eastAsia="仿宋_GB2312"/>
          <w:sz w:val="30"/>
          <w:szCs w:val="30"/>
        </w:rPr>
        <w:t>80亿元。2019年度全市土地整备任务完成不少于16平方公里，</w:t>
      </w:r>
      <w:bookmarkStart w:id="12" w:name="_Hlk11060761"/>
      <w:r>
        <w:rPr>
          <w:rFonts w:hint="eastAsia" w:ascii="仿宋_GB2312" w:eastAsia="仿宋_GB2312"/>
          <w:sz w:val="30"/>
          <w:szCs w:val="30"/>
        </w:rPr>
        <w:t>具体分解为以下四项工作任务：</w:t>
      </w:r>
    </w:p>
    <w:p>
      <w:pPr>
        <w:spacing w:before="240" w:after="64" w:line="360" w:lineRule="auto"/>
        <w:ind w:left="210" w:leftChars="100" w:firstLine="602" w:firstLineChars="200"/>
        <w:rPr>
          <w:rFonts w:ascii="仿宋_GB2312" w:eastAsia="仿宋_GB2312"/>
          <w:sz w:val="30"/>
          <w:szCs w:val="30"/>
        </w:rPr>
      </w:pPr>
      <w:r>
        <w:rPr>
          <w:rFonts w:hint="eastAsia" w:ascii="仿宋_GB2312" w:eastAsia="仿宋_GB2312"/>
          <w:b/>
          <w:sz w:val="30"/>
          <w:szCs w:val="30"/>
        </w:rPr>
        <w:t>较大面积产业空间专项工作任务，</w:t>
      </w:r>
      <w:r>
        <w:rPr>
          <w:rFonts w:hint="eastAsia" w:ascii="仿宋_GB2312" w:eastAsia="仿宋_GB2312"/>
          <w:sz w:val="30"/>
          <w:szCs w:val="30"/>
        </w:rPr>
        <w:t>全市较大面积产业空间片区范围内，年度完成不少于1200公顷用地。经市政府批准的较大面积产业空间整备片区中通过土地整备手段实施的地块，视为纳入土地整备专项计划，可申请使用年度土地整备资金。</w:t>
      </w:r>
    </w:p>
    <w:p>
      <w:pPr>
        <w:spacing w:before="240" w:after="64" w:line="360" w:lineRule="auto"/>
        <w:ind w:left="210" w:leftChars="100" w:firstLine="602" w:firstLineChars="200"/>
        <w:rPr>
          <w:rFonts w:ascii="仿宋_GB2312" w:eastAsia="仿宋_GB2312"/>
          <w:sz w:val="30"/>
          <w:szCs w:val="30"/>
        </w:rPr>
      </w:pPr>
      <w:r>
        <w:rPr>
          <w:rFonts w:hint="eastAsia" w:ascii="仿宋_GB2312" w:eastAsia="仿宋_GB2312"/>
          <w:b/>
          <w:sz w:val="30"/>
          <w:szCs w:val="30"/>
        </w:rPr>
        <w:t>土地整备利益统筹工作任务，</w:t>
      </w:r>
      <w:r>
        <w:rPr>
          <w:rFonts w:hint="eastAsia" w:ascii="仿宋_GB2312" w:eastAsia="仿宋_GB2312"/>
          <w:sz w:val="30"/>
          <w:szCs w:val="30"/>
        </w:rPr>
        <w:t>全市土地整备利益统筹项目实施范围内年度完成不少于100公顷用地的移交入库工作。</w:t>
      </w:r>
    </w:p>
    <w:p>
      <w:pPr>
        <w:spacing w:before="240" w:after="64" w:line="360" w:lineRule="auto"/>
        <w:ind w:left="210" w:leftChars="100" w:firstLine="602" w:firstLineChars="200"/>
        <w:rPr>
          <w:rFonts w:ascii="仿宋_GB2312" w:eastAsia="仿宋_GB2312"/>
          <w:sz w:val="30"/>
          <w:szCs w:val="30"/>
        </w:rPr>
      </w:pPr>
      <w:r>
        <w:rPr>
          <w:rFonts w:hint="eastAsia" w:ascii="仿宋_GB2312" w:eastAsia="仿宋_GB2312"/>
          <w:b/>
          <w:sz w:val="30"/>
          <w:szCs w:val="30"/>
        </w:rPr>
        <w:t>原特区外96所村办学校土地房产遗留问题处理工作任务，</w:t>
      </w:r>
      <w:r>
        <w:rPr>
          <w:rFonts w:hint="eastAsia" w:ascii="仿宋_GB2312" w:eastAsia="仿宋_GB2312"/>
          <w:sz w:val="30"/>
          <w:szCs w:val="30"/>
        </w:rPr>
        <w:t>按照《关于原特区外村办学校土地房产遗留问题处理的意见》（</w:t>
      </w:r>
      <w:bookmarkStart w:id="13" w:name="DOC_FLAG"/>
      <w:r>
        <w:rPr>
          <w:rFonts w:hint="eastAsia" w:ascii="仿宋_GB2312" w:eastAsia="仿宋_GB2312"/>
          <w:sz w:val="30"/>
          <w:szCs w:val="30"/>
        </w:rPr>
        <w:t>深规土</w:t>
      </w:r>
      <w:bookmarkEnd w:id="13"/>
      <w:r>
        <w:rPr>
          <w:rFonts w:hint="eastAsia" w:ascii="仿宋_GB2312" w:eastAsia="仿宋_GB2312"/>
          <w:sz w:val="30"/>
          <w:szCs w:val="30"/>
        </w:rPr>
        <w:t>规〔</w:t>
      </w:r>
      <w:bookmarkStart w:id="14" w:name="DOC_YEAR1"/>
      <w:r>
        <w:rPr>
          <w:rFonts w:ascii="仿宋_GB2312" w:eastAsia="仿宋_GB2312"/>
          <w:sz w:val="30"/>
          <w:szCs w:val="30"/>
        </w:rPr>
        <w:t>2018</w:t>
      </w:r>
      <w:bookmarkEnd w:id="14"/>
      <w:r>
        <w:rPr>
          <w:rFonts w:hint="eastAsia" w:ascii="仿宋_GB2312" w:eastAsia="仿宋_GB2312"/>
          <w:sz w:val="30"/>
          <w:szCs w:val="30"/>
        </w:rPr>
        <w:t>〕</w:t>
      </w:r>
      <w:bookmarkStart w:id="15" w:name="DOC_SEQ1"/>
      <w:r>
        <w:rPr>
          <w:rFonts w:ascii="仿宋_GB2312" w:eastAsia="仿宋_GB2312"/>
          <w:sz w:val="30"/>
          <w:szCs w:val="30"/>
        </w:rPr>
        <w:t>2</w:t>
      </w:r>
      <w:bookmarkEnd w:id="15"/>
      <w:r>
        <w:rPr>
          <w:rFonts w:hint="eastAsia" w:ascii="仿宋_GB2312" w:eastAsia="仿宋_GB2312"/>
          <w:sz w:val="30"/>
          <w:szCs w:val="30"/>
        </w:rPr>
        <w:t>号）要求，年度全市原特区外村办学校完成不少于70公顷用地。</w:t>
      </w:r>
    </w:p>
    <w:p>
      <w:pPr>
        <w:spacing w:before="240" w:after="64" w:line="360" w:lineRule="auto"/>
        <w:ind w:left="210" w:leftChars="100" w:firstLine="602" w:firstLineChars="200"/>
        <w:rPr>
          <w:rFonts w:ascii="仿宋_GB2312" w:eastAsia="仿宋_GB2312"/>
          <w:sz w:val="30"/>
          <w:szCs w:val="30"/>
        </w:rPr>
      </w:pPr>
      <w:r>
        <w:rPr>
          <w:rFonts w:hint="eastAsia" w:ascii="仿宋_GB2312" w:eastAsia="仿宋_GB2312"/>
          <w:b/>
          <w:sz w:val="30"/>
          <w:szCs w:val="30"/>
        </w:rPr>
        <w:t>其他土地整备工作任务</w:t>
      </w:r>
      <w:r>
        <w:rPr>
          <w:rFonts w:hint="eastAsia" w:ascii="仿宋_GB2312" w:eastAsia="仿宋_GB2312"/>
          <w:sz w:val="30"/>
          <w:szCs w:val="30"/>
        </w:rPr>
        <w:t>，全市土地整备项目实施范围内年度完成不少于230公顷用地的移交入库工作。</w:t>
      </w:r>
    </w:p>
    <w:bookmarkEnd w:id="12"/>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以上各项工作任务之间重叠部分，不重复统计。具体各区任务安排详见附表2。</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（三）用地供应任务</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衔接落实《深圳市2019年度城市建设与土地利用实施计划》要求，扎实推进城市更新和土地整备工作，强化存量用地供应格局。</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2019年度全市拆除重建类城市更新用地供应不少于246公顷，其中福田10公顷，罗湖18公顷，南山18公顷，盐田8公顷，宝安60公顷，龙岗80公顷，龙华20公顷，坪山15公顷，光明12公顷，大鹏5公顷。</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2019年度全市土地整备留用地批复不少于</w:t>
      </w:r>
      <w:r>
        <w:rPr>
          <w:rFonts w:ascii="仿宋_GB2312" w:eastAsia="仿宋_GB2312"/>
          <w:sz w:val="30"/>
          <w:szCs w:val="30"/>
        </w:rPr>
        <w:t>60</w:t>
      </w:r>
      <w:r>
        <w:rPr>
          <w:rFonts w:hint="eastAsia" w:ascii="仿宋_GB2312" w:eastAsia="仿宋_GB2312"/>
          <w:sz w:val="30"/>
          <w:szCs w:val="30"/>
        </w:rPr>
        <w:t>公顷，其中南山2公顷，宝安7公顷，龙岗6公顷，龙华6公顷，坪山3公顷，光明4公顷，大鹏2公顷，前海30公顷。</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具体各区任务安排详见附表3。</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（四）年度完成市本级房屋征收资金拨付不少于43.31亿元。</w:t>
      </w:r>
    </w:p>
    <w:p>
      <w:pPr>
        <w:pStyle w:val="557"/>
        <w:spacing w:before="468" w:beforeLines="150"/>
      </w:pPr>
      <w:bookmarkStart w:id="16" w:name="_Toc2241539"/>
      <w:bookmarkStart w:id="17" w:name="_Toc5979737"/>
      <w:r>
        <w:rPr>
          <w:rFonts w:hint="eastAsia"/>
        </w:rPr>
        <w:t>四、2019年度专项计划内容</w:t>
      </w:r>
      <w:bookmarkEnd w:id="16"/>
      <w:bookmarkEnd w:id="17"/>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2019年度计划包括城市更新专项计划、土地整备专项计划和房屋征收专项计划三个专项计划。</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（一）2019年度城市更新专项计划</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1. 城市更新“十三五”规划年度任务</w:t>
      </w:r>
    </w:p>
    <w:p>
      <w:pPr>
        <w:spacing w:before="240" w:after="64" w:line="360" w:lineRule="auto"/>
        <w:ind w:left="210" w:leftChars="100" w:firstLine="600" w:firstLineChars="200"/>
        <w:rPr>
          <w:rFonts w:ascii="仿宋_GB2312" w:eastAsia="仿宋_GB2312"/>
          <w:b/>
          <w:sz w:val="30"/>
          <w:szCs w:val="30"/>
        </w:rPr>
      </w:pPr>
      <w:r>
        <w:rPr>
          <w:rFonts w:hint="eastAsia" w:ascii="仿宋_GB2312" w:eastAsia="仿宋_GB2312"/>
          <w:sz w:val="30"/>
          <w:szCs w:val="30"/>
        </w:rPr>
        <w:t>按照全市和各区城市更新“十三五”规划统一安排，2019年度全市新增拆除重建类城市更新单元计划用地规模不少于631公顷；全市新增“工改MO”类更新单元计划用地规模不高于104公顷；新增规划配建人才住房、安居型商品房和公共租赁住房不少于32340套，创新型产业用房不少于24.5万平方米；新增规划配建独立占地公共配套设施不少于135个，非独立占地公共配套设施规模不少于16.9万平方米（各区任务详见附表4）。</w:t>
      </w:r>
    </w:p>
    <w:p>
      <w:pPr>
        <w:spacing w:before="240" w:after="64" w:line="360" w:lineRule="auto"/>
        <w:ind w:left="210" w:leftChars="100" w:firstLine="602" w:firstLineChars="200"/>
        <w:rPr>
          <w:rFonts w:ascii="仿宋_GB2312" w:eastAsia="仿宋_GB2312"/>
          <w:b/>
          <w:sz w:val="30"/>
          <w:szCs w:val="30"/>
        </w:rPr>
      </w:pPr>
      <w:r>
        <w:rPr>
          <w:rFonts w:ascii="仿宋_GB2312" w:eastAsia="仿宋_GB2312"/>
          <w:b/>
          <w:sz w:val="30"/>
          <w:szCs w:val="30"/>
        </w:rPr>
        <w:t>2</w:t>
      </w:r>
      <w:r>
        <w:rPr>
          <w:rFonts w:hint="eastAsia" w:ascii="仿宋_GB2312" w:eastAsia="仿宋_GB2312"/>
          <w:b/>
          <w:sz w:val="30"/>
          <w:szCs w:val="30"/>
        </w:rPr>
        <w:t>. 重点更新单元计划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加大重点更新单元改造试点工作推进力度。加快推进龙岗平湖旧墟镇GX04重点更新单元和宝安新桥东片区重点更新单元的规划编制及后续相关工作，要求除龙岗和宝安之外的剩余八个区在2019年新增至少一个重点更新单元计划。</w:t>
      </w:r>
    </w:p>
    <w:p>
      <w:pPr>
        <w:spacing w:before="240" w:after="64" w:line="360" w:lineRule="auto"/>
        <w:ind w:firstLine="602" w:firstLineChars="200"/>
        <w:rPr>
          <w:rFonts w:ascii="仿宋_GB2312" w:eastAsia="仿宋_GB2312"/>
          <w:b/>
          <w:sz w:val="30"/>
          <w:szCs w:val="30"/>
        </w:rPr>
      </w:pPr>
      <w:r>
        <w:rPr>
          <w:rFonts w:hint="eastAsia" w:ascii="仿宋_GB2312" w:eastAsia="仿宋_GB2312"/>
          <w:b/>
          <w:sz w:val="30"/>
          <w:szCs w:val="30"/>
        </w:rPr>
        <w:t>（二）2019年度土地整备专项计划</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1. 年度土地整备资金安排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考虑近年各区整备工作推进实施力度大、资金拨付进度快，2019年度安排土地整备资金180亿元，包括：</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（1）土地整备项目资金为179.84亿元。具体各区年度土地整备资金安排详见附表5。</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（2）其他资金0.16亿元。具体用于土地整备政策咨询评估、土地整备项目跟踪及评估、相关基础课题研究等工作。</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为保障年度土地整备工作顺利推进，市财政部门应根据土地整备资金实际需要，按程序调整全市年度土地整备资金安排。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各区应严格按照《关于进一步优化土地整备项目管理工作机制的若干措施》（深府办函〔</w:t>
      </w:r>
      <w:r>
        <w:rPr>
          <w:rFonts w:ascii="仿宋_GB2312" w:eastAsia="仿宋_GB2312"/>
          <w:sz w:val="30"/>
          <w:szCs w:val="30"/>
        </w:rPr>
        <w:t>2018</w:t>
      </w:r>
      <w:r>
        <w:rPr>
          <w:rFonts w:hint="eastAsia" w:ascii="仿宋_GB2312" w:eastAsia="仿宋_GB2312"/>
          <w:sz w:val="30"/>
          <w:szCs w:val="30"/>
        </w:rPr>
        <w:t>〕</w:t>
      </w:r>
      <w:r>
        <w:rPr>
          <w:rFonts w:ascii="仿宋_GB2312" w:eastAsia="仿宋_GB2312"/>
          <w:sz w:val="30"/>
          <w:szCs w:val="30"/>
        </w:rPr>
        <w:t>2</w:t>
      </w:r>
      <w:r>
        <w:rPr>
          <w:rFonts w:hint="eastAsia" w:ascii="仿宋_GB2312" w:eastAsia="仿宋_GB2312"/>
          <w:sz w:val="30"/>
          <w:szCs w:val="30"/>
        </w:rPr>
        <w:t>81号）等相关政策要求，依法依规管理土地整备资金，项目实施完成后各区政府应在办理土地移交手续后的三个月内，办理项目结算手续，并将审核确认的结算结果报市规划和自然资源局。</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2. 土地整备项目安排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（1）土地整备项目</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计划安排土地整备项目共1</w:t>
      </w:r>
      <w:r>
        <w:rPr>
          <w:rFonts w:hint="eastAsia" w:ascii="仿宋_GB2312"/>
          <w:sz w:val="30"/>
          <w:szCs w:val="30"/>
        </w:rPr>
        <w:t>69</w:t>
      </w:r>
      <w:r>
        <w:rPr>
          <w:rFonts w:hint="eastAsia" w:ascii="仿宋_GB2312" w:eastAsia="仿宋_GB2312"/>
          <w:sz w:val="30"/>
          <w:szCs w:val="30"/>
        </w:rPr>
        <w:t>个，福田区6个、罗湖区4个、南山区12个、盐田区6个、宝安区38个、龙岗区2</w:t>
      </w:r>
      <w:r>
        <w:rPr>
          <w:rFonts w:hint="eastAsia" w:ascii="仿宋_GB2312"/>
          <w:sz w:val="30"/>
          <w:szCs w:val="30"/>
        </w:rPr>
        <w:t>2</w:t>
      </w:r>
      <w:r>
        <w:rPr>
          <w:rFonts w:hint="eastAsia" w:ascii="仿宋_GB2312" w:eastAsia="仿宋_GB2312"/>
          <w:sz w:val="30"/>
          <w:szCs w:val="30"/>
        </w:rPr>
        <w:t>个、龙华区2</w:t>
      </w:r>
      <w:r>
        <w:rPr>
          <w:rFonts w:hint="eastAsia" w:ascii="仿宋_GB2312"/>
          <w:sz w:val="30"/>
          <w:szCs w:val="30"/>
        </w:rPr>
        <w:t>5</w:t>
      </w:r>
      <w:r>
        <w:rPr>
          <w:rFonts w:hint="eastAsia" w:ascii="仿宋_GB2312" w:eastAsia="仿宋_GB2312"/>
          <w:sz w:val="30"/>
          <w:szCs w:val="30"/>
        </w:rPr>
        <w:t>个、坪山区13个、光明区28个、大鹏新区11个、前海合作区</w:t>
      </w:r>
      <w:r>
        <w:rPr>
          <w:rFonts w:hint="eastAsia" w:ascii="仿宋_GB2312"/>
          <w:sz w:val="30"/>
          <w:szCs w:val="30"/>
        </w:rPr>
        <w:t>4</w:t>
      </w:r>
      <w:r>
        <w:rPr>
          <w:rFonts w:hint="eastAsia" w:ascii="仿宋_GB2312" w:eastAsia="仿宋_GB2312"/>
          <w:sz w:val="30"/>
          <w:szCs w:val="30"/>
        </w:rPr>
        <w:t>个（详见附表6）。</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（2）土地整备安置房建设项目</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计划安排续建土地整备安置房建设项目4个，安排新建土地整备安置房建设项目4个（详见附表7）。安置房建设资金安排按照安置房相关政策执行。</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（3）土地整备利益统筹项目</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计划安排土地整备利益统筹项目共10</w:t>
      </w:r>
      <w:r>
        <w:rPr>
          <w:rFonts w:hint="eastAsia" w:ascii="仿宋_GB2312"/>
          <w:sz w:val="30"/>
          <w:szCs w:val="30"/>
        </w:rPr>
        <w:t>2</w:t>
      </w:r>
      <w:r>
        <w:rPr>
          <w:rFonts w:hint="eastAsia" w:ascii="仿宋_GB2312" w:eastAsia="仿宋_GB2312"/>
          <w:sz w:val="30"/>
          <w:szCs w:val="30"/>
        </w:rPr>
        <w:t>个，南山区2个、宝安区16个、龙岗区25个、龙华区36个、坪山区7个、光明区</w:t>
      </w:r>
      <w:r>
        <w:rPr>
          <w:rFonts w:hint="eastAsia" w:ascii="仿宋_GB2312"/>
          <w:sz w:val="30"/>
          <w:szCs w:val="30"/>
        </w:rPr>
        <w:t>11</w:t>
      </w:r>
      <w:r>
        <w:rPr>
          <w:rFonts w:hint="eastAsia" w:ascii="仿宋_GB2312" w:eastAsia="仿宋_GB2312"/>
          <w:sz w:val="30"/>
          <w:szCs w:val="30"/>
        </w:rPr>
        <w:t>个、大鹏新区5个（详见附表8）</w:t>
      </w:r>
      <w:r>
        <w:rPr>
          <w:rStyle w:val="58"/>
          <w:rFonts w:ascii="仿宋_GB2312" w:eastAsia="仿宋_GB2312"/>
          <w:sz w:val="30"/>
          <w:szCs w:val="30"/>
        </w:rPr>
        <w:footnoteReference w:id="0"/>
      </w:r>
      <w:r>
        <w:rPr>
          <w:rFonts w:hint="eastAsia" w:ascii="仿宋_GB2312" w:eastAsia="仿宋_GB2312"/>
          <w:sz w:val="30"/>
          <w:szCs w:val="30"/>
        </w:rPr>
        <w:t>。</w:t>
      </w:r>
    </w:p>
    <w:p>
      <w:pPr>
        <w:spacing w:before="240" w:after="64" w:line="360" w:lineRule="auto"/>
        <w:ind w:firstLine="602" w:firstLineChars="200"/>
        <w:rPr>
          <w:rFonts w:ascii="仿宋_GB2312" w:eastAsia="仿宋_GB2312"/>
          <w:b/>
          <w:sz w:val="30"/>
          <w:szCs w:val="30"/>
        </w:rPr>
      </w:pPr>
      <w:r>
        <w:rPr>
          <w:rFonts w:hint="eastAsia" w:ascii="仿宋_GB2312" w:eastAsia="仿宋_GB2312"/>
          <w:b/>
          <w:sz w:val="30"/>
          <w:szCs w:val="30"/>
        </w:rPr>
        <w:t>（三）2019年度房屋征收专项计划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根据深圳市2019年土地出让收支计划，2019年度安排市本级房屋征收项目资金43.31亿元。各实施主体根据已列入年度市本级房屋征收计划内项目（附表9及附表10）的重要程度和推进情况，在切块下达的计划资金额度内，自行分配具体项目的资金安排，并于6月底前报市发展改革委，完成备案工作。为保障年度房屋征收工作顺利推进，市发改部门应根据房屋征收资金实际需要，按程序调整市本级房屋征收项目补偿资金安排。</w:t>
      </w:r>
    </w:p>
    <w:p>
      <w:pPr>
        <w:spacing w:before="240" w:after="64" w:line="360" w:lineRule="auto"/>
        <w:ind w:left="210" w:leftChars="100" w:firstLine="602" w:firstLineChars="200"/>
        <w:rPr>
          <w:rFonts w:ascii="仿宋_GB2312" w:eastAsia="仿宋_GB2312"/>
          <w:b/>
          <w:sz w:val="30"/>
          <w:szCs w:val="30"/>
        </w:rPr>
      </w:pPr>
      <w:bookmarkStart w:id="18" w:name="_Toc2241540"/>
      <w:bookmarkStart w:id="19" w:name="_Toc5979738"/>
      <w:r>
        <w:rPr>
          <w:rFonts w:hint="eastAsia" w:ascii="仿宋_GB2312" w:eastAsia="仿宋_GB2312"/>
          <w:b/>
          <w:sz w:val="30"/>
          <w:szCs w:val="30"/>
        </w:rPr>
        <w:t>1. 市本级财政承担的房屋征收项目</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（1）市本级财政承担的房屋征收常规项目安排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计划推进盐龙大道房屋征收项目、深圳市第十三高级中学征收项目等新建项目18个；广深沿江高速二期工程、梅观高速公路清湖南段市政道路工程等续建项目58个；另外，安排零星征（收）地及房屋征收项目、征（收）地及房屋征收项目的测绘评估等技术支持费用等其他项目5个，合计81个。上述项目的费用原则上由市本级财政安排支出，深汕西高速公路改扩建工程项目、惠盐高速公路深圳段改扩建工程和东部过境快速路房屋征收补偿项目征收拆迁补偿费用由企业支出。</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（2）市本级财政承担的房屋征收轨道交通项目安排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轨道交通项目的房屋征收工作由市轨道交通建设办公室负责统筹，各区政府负责具体实施。计划安排轨道项目8个。</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2. 区级财政承担的房屋征收项目</w:t>
      </w:r>
    </w:p>
    <w:p>
      <w:pPr>
        <w:spacing w:before="240" w:after="64"/>
        <w:ind w:left="210" w:leftChars="100" w:firstLine="600" w:firstLineChars="200"/>
        <w:rPr>
          <w:rFonts w:ascii="仿宋_GB2312" w:eastAsia="仿宋_GB2312"/>
          <w:sz w:val="30"/>
          <w:szCs w:val="30"/>
        </w:rPr>
      </w:pPr>
      <w:r>
        <w:rPr>
          <w:rFonts w:hint="eastAsia" w:ascii="仿宋_GB2312" w:eastAsia="仿宋_GB2312"/>
          <w:sz w:val="30"/>
          <w:szCs w:val="30"/>
        </w:rPr>
        <w:t>计划安排区级财政承担的房屋征收项目725个。其中，福田区10个，罗湖区21个，南山区13个，盐田区3个，宝安区122个，龙岗区191个，龙华区93个，坪山区78个，光明区173个，大鹏新区21个。上述项目的费用原则上由区级财政安排支出。考虑到各区交通综合治理等公共利益项目的急需，各区区级房屋征收计划可安排零星急需项目1项，授权各区政府审批并实施。</w:t>
      </w:r>
    </w:p>
    <w:p>
      <w:pPr>
        <w:pStyle w:val="557"/>
        <w:spacing w:before="468" w:beforeLines="150"/>
      </w:pPr>
      <w:r>
        <w:rPr>
          <w:rFonts w:hint="eastAsia"/>
        </w:rPr>
        <w:t>五、</w:t>
      </w:r>
      <w:bookmarkEnd w:id="18"/>
      <w:bookmarkEnd w:id="19"/>
      <w:r>
        <w:rPr>
          <w:rFonts w:hint="eastAsia"/>
        </w:rPr>
        <w:t>实施保障机制</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（一）加强存量土地空间规划统筹</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探索实施城市更新、土地整备等多元手段结合的集中连片土地清理模式，运用规划手段调节和平衡利益格局,优先保障公共利益。通过规划统筹合理确定不同类型用地的实施模式和政策分区，引导实现连片存量用地的整体开发。探索合法用地指标、规划指标等内容的腾挪及挂钩机制，统筹解决片区内相关权利主体安置等问题。</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（二）注重存量土地开发政策协同</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积极探索存量土地开发政策统筹衔接，兼顾政府、原农村集体、市场主体等多方利益，强化政策融合，综合运用城市更新、土地整备利益统筹、房屋征收等多种手段，形成政策组合拳加快存量土地盘活和空间释放，引导、激励相关权利主体参与存量土地开发的积极性。</w:t>
      </w:r>
    </w:p>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（三）</w:t>
      </w:r>
      <w:bookmarkStart w:id="20" w:name="_Hlk11062336"/>
      <w:r>
        <w:rPr>
          <w:rFonts w:hint="eastAsia" w:ascii="仿宋_GB2312" w:eastAsia="仿宋_GB2312"/>
          <w:b/>
          <w:sz w:val="30"/>
          <w:szCs w:val="30"/>
        </w:rPr>
        <w:t>强化市区联动工作机制</w:t>
      </w:r>
      <w:bookmarkEnd w:id="20"/>
    </w:p>
    <w:p>
      <w:pPr>
        <w:spacing w:line="560" w:lineRule="exact"/>
        <w:ind w:firstLine="600" w:firstLineChars="200"/>
        <w:rPr>
          <w:rFonts w:ascii="仿宋_GB2312" w:eastAsia="仿宋_GB2312"/>
          <w:sz w:val="30"/>
          <w:szCs w:val="30"/>
        </w:rPr>
      </w:pPr>
      <w:r>
        <w:rPr>
          <w:rFonts w:hint="eastAsia" w:ascii="仿宋_GB2312" w:eastAsia="仿宋_GB2312"/>
          <w:sz w:val="30"/>
          <w:szCs w:val="30"/>
        </w:rPr>
        <w:t>深化部门协同，优化联动工作机制，形成“统筹有序、协同有效、实施有力”的工作新局面。鼓励各区政府创新思路、率先探索，</w:t>
      </w:r>
      <w:bookmarkStart w:id="21" w:name="_Hlk11058203"/>
      <w:r>
        <w:rPr>
          <w:rFonts w:hint="eastAsia" w:ascii="仿宋_GB2312" w:eastAsia="仿宋_GB2312"/>
          <w:sz w:val="30"/>
          <w:szCs w:val="30"/>
        </w:rPr>
        <w:t>在遵守刚性底线的基础上给予最大限度的政策弹性。相关政策创新在较大面积产业空间整备片区范围内封闭运行。</w:t>
      </w:r>
    </w:p>
    <w:bookmarkEnd w:id="21"/>
    <w:p>
      <w:pPr>
        <w:spacing w:before="240" w:after="64" w:line="360" w:lineRule="auto"/>
        <w:ind w:left="210" w:leftChars="100" w:firstLine="602" w:firstLineChars="200"/>
        <w:rPr>
          <w:rFonts w:ascii="仿宋_GB2312" w:eastAsia="仿宋_GB2312"/>
          <w:b/>
          <w:sz w:val="30"/>
          <w:szCs w:val="30"/>
        </w:rPr>
      </w:pPr>
      <w:r>
        <w:rPr>
          <w:rFonts w:hint="eastAsia" w:ascii="仿宋_GB2312" w:eastAsia="仿宋_GB2312"/>
          <w:b/>
          <w:sz w:val="30"/>
          <w:szCs w:val="30"/>
        </w:rPr>
        <w:t>（四）优化计划任务督办考核机制</w:t>
      </w:r>
    </w:p>
    <w:p>
      <w:pPr>
        <w:tabs>
          <w:tab w:val="left" w:pos="2160"/>
        </w:tabs>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通过细化考核工作方案，完善数据采集、数据监测、评分标准、评估规则及计算公式。城市更新工作主要是对各区推进辖区城市更新项目实施时年度土地供应计划完成情况，以及人才住房、安居型商品房和公共租赁住房规划配建任务完成情况等内容进行考核评估。土地整备工作主要是对各区较大面积产业空间整备专项工作任务完成情况、市级房屋征收项目实施情况等指标进行考核评估。任务考核实行半年度考核机制，上半年考核结果以较低权重纳入年度绩效考核。</w:t>
      </w:r>
    </w:p>
    <w:p>
      <w:pPr>
        <w:pStyle w:val="557"/>
        <w:spacing w:before="468" w:beforeLines="150"/>
      </w:pPr>
      <w:bookmarkStart w:id="22" w:name="_Toc5979739"/>
      <w:bookmarkStart w:id="23" w:name="_Toc2241541"/>
      <w:r>
        <w:rPr>
          <w:rFonts w:hint="eastAsia"/>
        </w:rPr>
        <w:t>六、其他说明</w:t>
      </w:r>
      <w:bookmarkEnd w:id="22"/>
      <w:bookmarkEnd w:id="23"/>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（一）城市更新单元计划实行常态化申报。除政策规定明确需报市规划和自然资源局统筹确定的更新单元计划外，其他由各区按照相应政策规定自行审批。</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二）土地整备专项计划项目实行常态调整机制。各区可根据土地整备工作实际情况，对土地整备专项计划项目提出调整申请。土地整备项目调整由市规划和自然资源局统筹确定后报市政府备案，土地整备利益统筹项目由市规划和自然资源局统筹后报市政府审批。项目实施范围调整部分的面积不超过原项目实施面积20%的，不视作项目调整情形。</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三）房屋征收专项计划项目实行中期调整机制。各区政府可根据房屋征收工作推进需要，将重大的、紧急的或已具备实施条件，且符合政策要求的房屋征收项目在年中申报给市房屋征收主管部门，市房屋征收主管部门汇总整理，经市政府批准后纳入年度房屋征收项目计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（四）前海合作区土地整备工作任务纳入本计划统计口径，土地整备资金由前海管理局安排。深汕特别合作区相关工作待其规划土地管理机制明确后，再行纳入计划。</w:t>
      </w:r>
    </w:p>
    <w:p>
      <w:pPr>
        <w:spacing w:before="240" w:after="64" w:line="360" w:lineRule="auto"/>
        <w:ind w:left="210" w:leftChars="100" w:firstLine="600" w:firstLineChars="200"/>
        <w:rPr>
          <w:rFonts w:ascii="仿宋_GB2312" w:eastAsia="仿宋_GB2312"/>
          <w:sz w:val="30"/>
          <w:szCs w:val="30"/>
        </w:rPr>
      </w:pPr>
      <w:r>
        <w:rPr>
          <w:rFonts w:hint="eastAsia" w:ascii="仿宋_GB2312" w:eastAsia="仿宋_GB2312"/>
          <w:sz w:val="30"/>
          <w:szCs w:val="30"/>
        </w:rPr>
        <w:t>（五）本计划由深圳市规划和自然资源局负责解释，各区政府（新区管委会）负责组织实施。</w:t>
      </w:r>
    </w:p>
    <w:p>
      <w:pPr>
        <w:spacing w:before="240" w:after="64" w:line="360" w:lineRule="auto"/>
        <w:ind w:left="210" w:leftChars="100" w:firstLine="600" w:firstLineChars="200"/>
        <w:rPr>
          <w:rFonts w:ascii="仿宋_GB2312" w:eastAsia="仿宋_GB2312"/>
          <w:sz w:val="30"/>
          <w:szCs w:val="30"/>
        </w:rPr>
        <w:sectPr>
          <w:pgSz w:w="11906" w:h="16838"/>
          <w:pgMar w:top="1440" w:right="1983" w:bottom="1440" w:left="1800" w:header="851" w:footer="992" w:gutter="0"/>
          <w:pgNumType w:start="1"/>
          <w:cols w:space="425" w:num="1"/>
          <w:docGrid w:type="lines" w:linePitch="312" w:charSpace="0"/>
        </w:sectPr>
      </w:pPr>
    </w:p>
    <w:p>
      <w:pPr>
        <w:pStyle w:val="559"/>
      </w:pPr>
      <w:bookmarkStart w:id="24" w:name="_Toc536718814"/>
      <w:bookmarkStart w:id="25" w:name="_Toc5979740"/>
      <w:r>
        <w:rPr>
          <w:rFonts w:hint="eastAsia"/>
        </w:rPr>
        <w:t>表1：</w:t>
      </w:r>
      <w:bookmarkEnd w:id="24"/>
      <w:r>
        <w:rPr>
          <w:rFonts w:hint="eastAsia"/>
        </w:rPr>
        <w:t>深圳市2019年度各区城市更新任务规模安排表</w:t>
      </w:r>
      <w:bookmarkEnd w:id="25"/>
    </w:p>
    <w:p>
      <w:pPr>
        <w:widowControl/>
        <w:jc w:val="left"/>
        <w:rPr>
          <w:rFonts w:cs="宋体" w:asciiTheme="minorEastAsia" w:hAnsiTheme="minorEastAsia"/>
          <w:kern w:val="0"/>
          <w:sz w:val="24"/>
          <w:szCs w:val="28"/>
        </w:rPr>
      </w:pPr>
    </w:p>
    <w:p>
      <w:pPr>
        <w:jc w:val="right"/>
      </w:pPr>
      <w:r>
        <w:rPr>
          <w:rFonts w:hint="eastAsia"/>
        </w:rPr>
        <w:t>单位：万平方米</w:t>
      </w:r>
    </w:p>
    <w:tbl>
      <w:tblPr>
        <w:tblStyle w:val="47"/>
        <w:tblW w:w="0" w:type="auto"/>
        <w:tblInd w:w="93" w:type="dxa"/>
        <w:tblLayout w:type="autofit"/>
        <w:tblCellMar>
          <w:top w:w="0" w:type="dxa"/>
          <w:left w:w="108" w:type="dxa"/>
          <w:bottom w:w="0" w:type="dxa"/>
          <w:right w:w="108" w:type="dxa"/>
        </w:tblCellMar>
      </w:tblPr>
      <w:tblGrid>
        <w:gridCol w:w="2709"/>
        <w:gridCol w:w="947"/>
        <w:gridCol w:w="948"/>
        <w:gridCol w:w="948"/>
        <w:gridCol w:w="947"/>
        <w:gridCol w:w="948"/>
        <w:gridCol w:w="948"/>
        <w:gridCol w:w="947"/>
        <w:gridCol w:w="948"/>
        <w:gridCol w:w="948"/>
        <w:gridCol w:w="947"/>
        <w:gridCol w:w="948"/>
        <w:gridCol w:w="948"/>
      </w:tblGrid>
      <w:tr>
        <w:tblPrEx>
          <w:tblCellMar>
            <w:top w:w="0" w:type="dxa"/>
            <w:left w:w="108" w:type="dxa"/>
            <w:bottom w:w="0" w:type="dxa"/>
            <w:right w:w="108" w:type="dxa"/>
          </w:tblCellMar>
        </w:tblPrEx>
        <w:trPr>
          <w:trHeight w:val="312" w:hRule="atLeast"/>
        </w:trPr>
        <w:tc>
          <w:tcPr>
            <w:tcW w:w="2709"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　</w:t>
            </w:r>
          </w:p>
        </w:tc>
        <w:tc>
          <w:tcPr>
            <w:tcW w:w="947" w:type="dxa"/>
            <w:vMerge w:val="restart"/>
            <w:tcBorders>
              <w:top w:val="single" w:color="auto" w:sz="8" w:space="0"/>
              <w:left w:val="single" w:color="000000"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福田区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罗湖区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南山区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盐田区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宝安区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龙岗区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龙华区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坪山区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光明区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大鹏</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前海合作区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合计</w:t>
            </w:r>
          </w:p>
        </w:tc>
      </w:tr>
      <w:tr>
        <w:tblPrEx>
          <w:tblCellMar>
            <w:top w:w="0" w:type="dxa"/>
            <w:left w:w="108" w:type="dxa"/>
            <w:bottom w:w="0" w:type="dxa"/>
            <w:right w:w="108" w:type="dxa"/>
          </w:tblCellMar>
        </w:tblPrEx>
        <w:trPr>
          <w:trHeight w:val="471" w:hRule="atLeast"/>
        </w:trPr>
        <w:tc>
          <w:tcPr>
            <w:tcW w:w="2709"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000000"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r>
      <w:tr>
        <w:tblPrEx>
          <w:tblCellMar>
            <w:top w:w="0" w:type="dxa"/>
            <w:left w:w="108" w:type="dxa"/>
            <w:bottom w:w="0" w:type="dxa"/>
            <w:right w:w="108" w:type="dxa"/>
          </w:tblCellMar>
        </w:tblPrEx>
        <w:trPr>
          <w:trHeight w:val="478"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旧工业区综合整治规模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4.7</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9.5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5.5</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1.6</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24.5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30.8</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21.8</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6.0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6.8</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8.8</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120</w:t>
            </w:r>
          </w:p>
        </w:tc>
      </w:tr>
    </w:tbl>
    <w:p>
      <w:pPr>
        <w:widowControl/>
        <w:jc w:val="left"/>
        <w:rPr>
          <w:rFonts w:cs="宋体" w:asciiTheme="minorEastAsia" w:hAnsiTheme="minorEastAsia"/>
          <w:kern w:val="0"/>
          <w:sz w:val="24"/>
          <w:szCs w:val="28"/>
        </w:rPr>
      </w:pPr>
    </w:p>
    <w:p>
      <w:pPr>
        <w:widowControl/>
        <w:jc w:val="left"/>
        <w:rPr>
          <w:rFonts w:cs="宋体" w:asciiTheme="minorEastAsia" w:hAnsiTheme="minorEastAsia"/>
          <w:kern w:val="0"/>
          <w:sz w:val="24"/>
          <w:szCs w:val="28"/>
        </w:rPr>
      </w:pPr>
    </w:p>
    <w:p>
      <w:pPr>
        <w:pStyle w:val="559"/>
      </w:pPr>
      <w:bookmarkStart w:id="26" w:name="_Toc5979741"/>
      <w:r>
        <w:rPr>
          <w:rFonts w:hint="eastAsia"/>
        </w:rPr>
        <w:t>表2：深圳市2019年度各区土地整备任务规模安排表</w:t>
      </w:r>
      <w:bookmarkEnd w:id="26"/>
    </w:p>
    <w:p>
      <w:pPr>
        <w:jc w:val="right"/>
      </w:pPr>
      <w:r>
        <w:rPr>
          <w:rFonts w:hint="eastAsia"/>
        </w:rPr>
        <w:t>单位：公顷</w:t>
      </w:r>
    </w:p>
    <w:tbl>
      <w:tblPr>
        <w:tblStyle w:val="47"/>
        <w:tblW w:w="0" w:type="auto"/>
        <w:tblInd w:w="93" w:type="dxa"/>
        <w:tblLayout w:type="autofit"/>
        <w:tblCellMar>
          <w:top w:w="0" w:type="dxa"/>
          <w:left w:w="108" w:type="dxa"/>
          <w:bottom w:w="0" w:type="dxa"/>
          <w:right w:w="108" w:type="dxa"/>
        </w:tblCellMar>
      </w:tblPr>
      <w:tblGrid>
        <w:gridCol w:w="2709"/>
        <w:gridCol w:w="947"/>
        <w:gridCol w:w="948"/>
        <w:gridCol w:w="948"/>
        <w:gridCol w:w="947"/>
        <w:gridCol w:w="948"/>
        <w:gridCol w:w="948"/>
        <w:gridCol w:w="947"/>
        <w:gridCol w:w="948"/>
        <w:gridCol w:w="948"/>
        <w:gridCol w:w="947"/>
        <w:gridCol w:w="948"/>
        <w:gridCol w:w="948"/>
      </w:tblGrid>
      <w:tr>
        <w:tblPrEx>
          <w:tblCellMar>
            <w:top w:w="0" w:type="dxa"/>
            <w:left w:w="108" w:type="dxa"/>
            <w:bottom w:w="0" w:type="dxa"/>
            <w:right w:w="108" w:type="dxa"/>
          </w:tblCellMar>
        </w:tblPrEx>
        <w:trPr>
          <w:trHeight w:val="312" w:hRule="atLeast"/>
        </w:trPr>
        <w:tc>
          <w:tcPr>
            <w:tcW w:w="2709"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　</w:t>
            </w:r>
          </w:p>
        </w:tc>
        <w:tc>
          <w:tcPr>
            <w:tcW w:w="947" w:type="dxa"/>
            <w:vMerge w:val="restart"/>
            <w:tcBorders>
              <w:top w:val="single" w:color="auto" w:sz="8" w:space="0"/>
              <w:left w:val="single" w:color="000000"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福田区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罗湖区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南山区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盐田区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宝安区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龙岗区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龙华区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坪山区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光明区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大鹏</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前海合作区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合计</w:t>
            </w:r>
          </w:p>
        </w:tc>
      </w:tr>
      <w:tr>
        <w:tblPrEx>
          <w:tblCellMar>
            <w:top w:w="0" w:type="dxa"/>
            <w:left w:w="108" w:type="dxa"/>
            <w:bottom w:w="0" w:type="dxa"/>
            <w:right w:w="108" w:type="dxa"/>
          </w:tblCellMar>
        </w:tblPrEx>
        <w:trPr>
          <w:trHeight w:val="471" w:hRule="atLeast"/>
        </w:trPr>
        <w:tc>
          <w:tcPr>
            <w:tcW w:w="2709"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000000"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r>
      <w:tr>
        <w:tblPrEx>
          <w:tblCellMar>
            <w:top w:w="0" w:type="dxa"/>
            <w:left w:w="108" w:type="dxa"/>
            <w:bottom w:w="0" w:type="dxa"/>
            <w:right w:w="108" w:type="dxa"/>
          </w:tblCellMar>
        </w:tblPrEx>
        <w:trPr>
          <w:trHeight w:val="646"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较大面积产业空间专项工作任务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50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120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190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440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200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1200</w:t>
            </w:r>
          </w:p>
        </w:tc>
      </w:tr>
      <w:tr>
        <w:tblPrEx>
          <w:tblCellMar>
            <w:top w:w="0" w:type="dxa"/>
            <w:left w:w="108" w:type="dxa"/>
            <w:bottom w:w="0" w:type="dxa"/>
            <w:right w:w="108" w:type="dxa"/>
          </w:tblCellMar>
        </w:tblPrEx>
        <w:trPr>
          <w:trHeight w:val="586"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土地整备利益统筹工作任务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25</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100</w:t>
            </w:r>
          </w:p>
        </w:tc>
      </w:tr>
      <w:tr>
        <w:tblPrEx>
          <w:tblCellMar>
            <w:top w:w="0" w:type="dxa"/>
            <w:left w:w="108" w:type="dxa"/>
            <w:bottom w:w="0" w:type="dxa"/>
            <w:right w:w="108" w:type="dxa"/>
          </w:tblCellMar>
        </w:tblPrEx>
        <w:trPr>
          <w:trHeight w:val="1127"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原特区外村办学校土地房产遗留问题处理工作任务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25</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7</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70</w:t>
            </w:r>
          </w:p>
        </w:tc>
      </w:tr>
      <w:tr>
        <w:tblPrEx>
          <w:tblCellMar>
            <w:top w:w="0" w:type="dxa"/>
            <w:left w:w="108" w:type="dxa"/>
            <w:bottom w:w="0" w:type="dxa"/>
            <w:right w:w="108" w:type="dxa"/>
          </w:tblCellMar>
        </w:tblPrEx>
        <w:trPr>
          <w:trHeight w:val="498"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其他土地整备工作任务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58</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230</w:t>
            </w:r>
          </w:p>
        </w:tc>
      </w:tr>
      <w:tr>
        <w:tblPrEx>
          <w:tblCellMar>
            <w:top w:w="0" w:type="dxa"/>
            <w:left w:w="108" w:type="dxa"/>
            <w:bottom w:w="0" w:type="dxa"/>
            <w:right w:w="108" w:type="dxa"/>
          </w:tblCellMar>
        </w:tblPrEx>
        <w:trPr>
          <w:trHeight w:val="414"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2019年土地整备任务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3</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82</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200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210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123</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516</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235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4</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1600</w:t>
            </w:r>
          </w:p>
        </w:tc>
      </w:tr>
    </w:tbl>
    <w:p>
      <w:pPr>
        <w:pStyle w:val="559"/>
        <w:ind w:firstLine="0" w:firstLineChars="0"/>
      </w:pPr>
      <w:bookmarkStart w:id="27" w:name="_Toc5979742"/>
      <w:r>
        <w:rPr>
          <w:rFonts w:hint="eastAsia"/>
        </w:rPr>
        <w:t>表3：深圳市2019年度各区用地供应任务规模安排表</w:t>
      </w:r>
      <w:bookmarkEnd w:id="27"/>
    </w:p>
    <w:p>
      <w:pPr>
        <w:jc w:val="right"/>
      </w:pPr>
      <w:r>
        <w:rPr>
          <w:rFonts w:hint="eastAsia"/>
        </w:rPr>
        <w:t>单位：公顷</w:t>
      </w:r>
    </w:p>
    <w:tbl>
      <w:tblPr>
        <w:tblStyle w:val="47"/>
        <w:tblW w:w="0" w:type="auto"/>
        <w:tblInd w:w="93" w:type="dxa"/>
        <w:tblLayout w:type="autofit"/>
        <w:tblCellMar>
          <w:top w:w="0" w:type="dxa"/>
          <w:left w:w="108" w:type="dxa"/>
          <w:bottom w:w="0" w:type="dxa"/>
          <w:right w:w="108" w:type="dxa"/>
        </w:tblCellMar>
      </w:tblPr>
      <w:tblGrid>
        <w:gridCol w:w="2709"/>
        <w:gridCol w:w="947"/>
        <w:gridCol w:w="948"/>
        <w:gridCol w:w="948"/>
        <w:gridCol w:w="947"/>
        <w:gridCol w:w="948"/>
        <w:gridCol w:w="948"/>
        <w:gridCol w:w="947"/>
        <w:gridCol w:w="948"/>
        <w:gridCol w:w="948"/>
        <w:gridCol w:w="947"/>
        <w:gridCol w:w="948"/>
        <w:gridCol w:w="948"/>
      </w:tblGrid>
      <w:tr>
        <w:tblPrEx>
          <w:tblCellMar>
            <w:top w:w="0" w:type="dxa"/>
            <w:left w:w="108" w:type="dxa"/>
            <w:bottom w:w="0" w:type="dxa"/>
            <w:right w:w="108" w:type="dxa"/>
          </w:tblCellMar>
        </w:tblPrEx>
        <w:trPr>
          <w:trHeight w:val="312" w:hRule="atLeast"/>
        </w:trPr>
        <w:tc>
          <w:tcPr>
            <w:tcW w:w="2709" w:type="dxa"/>
            <w:vMerge w:val="restart"/>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　</w:t>
            </w:r>
          </w:p>
        </w:tc>
        <w:tc>
          <w:tcPr>
            <w:tcW w:w="947" w:type="dxa"/>
            <w:vMerge w:val="restart"/>
            <w:tcBorders>
              <w:top w:val="single" w:color="auto" w:sz="8" w:space="0"/>
              <w:left w:val="single" w:color="000000"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福田区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罗湖区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南山区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盐田区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宝安区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龙岗区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龙华区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坪山区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光明区</w:t>
            </w:r>
          </w:p>
        </w:tc>
        <w:tc>
          <w:tcPr>
            <w:tcW w:w="947"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大鹏</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新区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前海合作区</w:t>
            </w:r>
          </w:p>
        </w:tc>
        <w:tc>
          <w:tcPr>
            <w:tcW w:w="948" w:type="dxa"/>
            <w:vMerge w:val="restart"/>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合计</w:t>
            </w:r>
          </w:p>
        </w:tc>
      </w:tr>
      <w:tr>
        <w:tblPrEx>
          <w:tblCellMar>
            <w:top w:w="0" w:type="dxa"/>
            <w:left w:w="108" w:type="dxa"/>
            <w:bottom w:w="0" w:type="dxa"/>
            <w:right w:w="108" w:type="dxa"/>
          </w:tblCellMar>
        </w:tblPrEx>
        <w:trPr>
          <w:trHeight w:val="471" w:hRule="atLeast"/>
        </w:trPr>
        <w:tc>
          <w:tcPr>
            <w:tcW w:w="2709" w:type="dxa"/>
            <w:vMerge w:val="continue"/>
            <w:tcBorders>
              <w:top w:val="single" w:color="000000" w:sz="8" w:space="0"/>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000000"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7"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c>
          <w:tcPr>
            <w:tcW w:w="948" w:type="dxa"/>
            <w:vMerge w:val="continue"/>
            <w:tcBorders>
              <w:top w:val="single" w:color="auto" w:sz="8" w:space="0"/>
              <w:left w:val="single" w:color="auto" w:sz="8" w:space="0"/>
              <w:bottom w:val="single" w:color="000000" w:sz="8" w:space="0"/>
              <w:right w:val="single" w:color="auto" w:sz="8" w:space="0"/>
            </w:tcBorders>
            <w:shd w:val="clear" w:color="auto" w:fill="auto"/>
            <w:vAlign w:val="center"/>
          </w:tcPr>
          <w:p>
            <w:pPr>
              <w:widowControl/>
              <w:jc w:val="center"/>
              <w:rPr>
                <w:rFonts w:cs="宋体" w:asciiTheme="minorEastAsia" w:hAnsiTheme="minorEastAsia"/>
                <w:kern w:val="0"/>
                <w:sz w:val="24"/>
                <w:szCs w:val="28"/>
              </w:rPr>
            </w:pPr>
          </w:p>
        </w:tc>
      </w:tr>
      <w:tr>
        <w:tblPrEx>
          <w:tblCellMar>
            <w:top w:w="0" w:type="dxa"/>
            <w:left w:w="108" w:type="dxa"/>
            <w:bottom w:w="0" w:type="dxa"/>
            <w:right w:w="108" w:type="dxa"/>
          </w:tblCellMar>
        </w:tblPrEx>
        <w:trPr>
          <w:trHeight w:val="646"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2019年拆除重建类城市更新用地供应任务规模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18</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18</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60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80</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12</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5</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246</w:t>
            </w:r>
          </w:p>
        </w:tc>
      </w:tr>
      <w:tr>
        <w:tblPrEx>
          <w:tblCellMar>
            <w:top w:w="0" w:type="dxa"/>
            <w:left w:w="108" w:type="dxa"/>
            <w:bottom w:w="0" w:type="dxa"/>
            <w:right w:w="108" w:type="dxa"/>
          </w:tblCellMar>
        </w:tblPrEx>
        <w:trPr>
          <w:trHeight w:val="812" w:hRule="atLeast"/>
        </w:trPr>
        <w:tc>
          <w:tcPr>
            <w:tcW w:w="2709" w:type="dxa"/>
            <w:tcBorders>
              <w:top w:val="nil"/>
              <w:left w:val="single" w:color="000000" w:sz="8" w:space="0"/>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b/>
                <w:kern w:val="0"/>
                <w:sz w:val="24"/>
                <w:szCs w:val="28"/>
              </w:rPr>
              <w:t>2019年土地整备留用地批复任务规模</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7</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6</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6</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w:t>
            </w:r>
          </w:p>
        </w:tc>
        <w:tc>
          <w:tcPr>
            <w:tcW w:w="947"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30</w:t>
            </w:r>
          </w:p>
        </w:tc>
        <w:tc>
          <w:tcPr>
            <w:tcW w:w="948" w:type="dxa"/>
            <w:tcBorders>
              <w:top w:val="nil"/>
              <w:left w:val="nil"/>
              <w:bottom w:val="single" w:color="000000" w:sz="8" w:space="0"/>
              <w:right w:val="single" w:color="000000" w:sz="8" w:space="0"/>
            </w:tcBorders>
            <w:shd w:val="clear" w:color="auto" w:fill="auto"/>
            <w:vAlign w:val="center"/>
          </w:tcPr>
          <w:p>
            <w:pPr>
              <w:widowControl/>
              <w:jc w:val="center"/>
              <w:rPr>
                <w:rFonts w:cs="宋体" w:asciiTheme="minorEastAsia" w:hAnsiTheme="minorEastAsia"/>
                <w:b/>
                <w:kern w:val="0"/>
                <w:sz w:val="24"/>
                <w:szCs w:val="28"/>
              </w:rPr>
            </w:pPr>
            <w:r>
              <w:rPr>
                <w:rFonts w:cs="宋体" w:asciiTheme="minorEastAsia" w:hAnsiTheme="minorEastAsia"/>
                <w:b/>
                <w:kern w:val="0"/>
                <w:sz w:val="24"/>
                <w:szCs w:val="28"/>
              </w:rPr>
              <w:t>60</w:t>
            </w:r>
          </w:p>
        </w:tc>
      </w:tr>
    </w:tbl>
    <w:p>
      <w:pPr>
        <w:widowControl/>
        <w:jc w:val="left"/>
        <w:rPr>
          <w:rFonts w:ascii="黑体" w:hAnsi="黑体" w:eastAsia="黑体" w:cs="Times New Roman"/>
          <w:bCs/>
          <w:kern w:val="44"/>
          <w:sz w:val="36"/>
          <w:szCs w:val="36"/>
        </w:rPr>
      </w:pPr>
    </w:p>
    <w:p>
      <w:pPr>
        <w:widowControl/>
        <w:jc w:val="left"/>
        <w:rPr>
          <w:rFonts w:ascii="黑体" w:hAnsi="黑体" w:eastAsia="黑体" w:cs="Times New Roman"/>
          <w:bCs/>
          <w:kern w:val="44"/>
          <w:sz w:val="36"/>
          <w:szCs w:val="36"/>
        </w:rPr>
      </w:pPr>
      <w:r>
        <w:rPr>
          <w:rFonts w:ascii="黑体" w:hAnsi="黑体" w:eastAsia="黑体" w:cs="Times New Roman"/>
          <w:bCs/>
          <w:kern w:val="44"/>
          <w:sz w:val="36"/>
          <w:szCs w:val="36"/>
        </w:rPr>
        <w:br w:type="page"/>
      </w:r>
    </w:p>
    <w:bookmarkEnd w:id="0"/>
    <w:bookmarkEnd w:id="1"/>
    <w:p>
      <w:pPr>
        <w:pStyle w:val="559"/>
      </w:pPr>
      <w:bookmarkStart w:id="28" w:name="_Toc5979743"/>
      <w:bookmarkStart w:id="29" w:name="_Toc536718813"/>
      <w:bookmarkStart w:id="30" w:name="_Toc5979744"/>
      <w:r>
        <w:rPr>
          <w:rFonts w:hint="eastAsia"/>
        </w:rPr>
        <w:t>表4：深圳市2019年度各区城市更新“十三五”规划考核任务规模安排表</w:t>
      </w:r>
      <w:bookmarkEnd w:id="28"/>
    </w:p>
    <w:tbl>
      <w:tblPr>
        <w:tblStyle w:val="47"/>
        <w:tblW w:w="15163"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730"/>
        <w:gridCol w:w="708"/>
        <w:gridCol w:w="987"/>
        <w:gridCol w:w="988"/>
        <w:gridCol w:w="988"/>
        <w:gridCol w:w="988"/>
        <w:gridCol w:w="988"/>
        <w:gridCol w:w="987"/>
        <w:gridCol w:w="988"/>
        <w:gridCol w:w="988"/>
        <w:gridCol w:w="988"/>
        <w:gridCol w:w="988"/>
        <w:gridCol w:w="988"/>
        <w:gridCol w:w="85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7"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p>
        </w:tc>
        <w:tc>
          <w:tcPr>
            <w:tcW w:w="708" w:type="dxa"/>
            <w:shd w:val="clear" w:color="auto" w:fill="auto"/>
            <w:noWrap/>
            <w:vAlign w:val="center"/>
          </w:tcPr>
          <w:p>
            <w:pPr>
              <w:widowControl/>
              <w:jc w:val="center"/>
              <w:rPr>
                <w:rFonts w:cs="宋体" w:asciiTheme="minorEastAsia" w:hAnsiTheme="minorEastAsia"/>
                <w:kern w:val="0"/>
                <w:sz w:val="24"/>
                <w:szCs w:val="24"/>
              </w:rPr>
            </w:pPr>
          </w:p>
        </w:tc>
        <w:tc>
          <w:tcPr>
            <w:tcW w:w="987"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福田区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罗湖区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南山区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盐田区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宝安区</w:t>
            </w:r>
          </w:p>
        </w:tc>
        <w:tc>
          <w:tcPr>
            <w:tcW w:w="987"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龙岗区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龙华区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坪山区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光明区</w:t>
            </w:r>
          </w:p>
        </w:tc>
        <w:tc>
          <w:tcPr>
            <w:tcW w:w="988" w:type="dxa"/>
            <w:shd w:val="clear" w:color="auto" w:fill="auto"/>
            <w:noWrap/>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大鹏</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新区</w:t>
            </w:r>
          </w:p>
        </w:tc>
        <w:tc>
          <w:tcPr>
            <w:tcW w:w="988" w:type="dxa"/>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前海合作区</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城市更新单元计划（公顷）</w:t>
            </w:r>
          </w:p>
        </w:tc>
        <w:tc>
          <w:tcPr>
            <w:tcW w:w="70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下限值</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32</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98</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21</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99</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223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41</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33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57</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3</w:t>
            </w:r>
          </w:p>
        </w:tc>
        <w:tc>
          <w:tcPr>
            <w:tcW w:w="988" w:type="dxa"/>
            <w:vAlign w:val="center"/>
          </w:tcPr>
          <w:p>
            <w:pPr>
              <w:jc w:val="center"/>
            </w:pPr>
            <w:r>
              <w:rPr>
                <w:rFonts w:hint="eastAsia" w:cs="宋体" w:asciiTheme="minorEastAsia" w:hAnsiTheme="minorEastAsia"/>
                <w:kern w:val="0"/>
                <w:sz w:val="24"/>
                <w:szCs w:val="28"/>
              </w:rPr>
              <w:t>-</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631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9"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“工改M0”类城市更新单元计划用地规模（公顷）</w:t>
            </w:r>
          </w:p>
        </w:tc>
        <w:tc>
          <w:tcPr>
            <w:tcW w:w="70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上限值</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12</w:t>
            </w:r>
          </w:p>
        </w:tc>
        <w:tc>
          <w:tcPr>
            <w:tcW w:w="988" w:type="dxa"/>
            <w:shd w:val="clear" w:color="auto" w:fill="auto"/>
            <w:noWrap/>
            <w:vAlign w:val="center"/>
          </w:tcPr>
          <w:p>
            <w:pPr>
              <w:widowControl/>
              <w:spacing w:line="240" w:lineRule="exact"/>
              <w:jc w:val="center"/>
              <w:rPr>
                <w:rFonts w:cs="宋体" w:asciiTheme="minorEastAsia" w:hAnsiTheme="minorEastAsia"/>
                <w:kern w:val="0"/>
                <w:sz w:val="24"/>
                <w:szCs w:val="24"/>
              </w:rPr>
            </w:pPr>
            <w:r>
              <w:rPr>
                <w:rFonts w:hint="eastAsia" w:cs="宋体" w:asciiTheme="minorEastAsia" w:hAnsiTheme="minorEastAsia"/>
                <w:kern w:val="0"/>
                <w:sz w:val="24"/>
                <w:szCs w:val="24"/>
              </w:rPr>
              <w:t>0</w:t>
            </w:r>
            <w:r>
              <w:rPr>
                <w:rFonts w:hint="eastAsia" w:cs="宋体" w:asciiTheme="minorEastAsia" w:hAnsiTheme="minorEastAsia"/>
                <w:kern w:val="0"/>
                <w:sz w:val="18"/>
                <w:szCs w:val="24"/>
              </w:rPr>
              <w:t>（不含高新区范围内新增“工改M0”计划规模）</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8</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4</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9</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16</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17</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21</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3</w:t>
            </w:r>
          </w:p>
        </w:tc>
        <w:tc>
          <w:tcPr>
            <w:tcW w:w="988" w:type="dxa"/>
            <w:vAlign w:val="center"/>
          </w:tcPr>
          <w:p>
            <w:pPr>
              <w:jc w:val="center"/>
              <w:rPr>
                <w:rFonts w:cs="宋体" w:asciiTheme="minorEastAsia" w:hAnsiTheme="minorEastAsia"/>
                <w:kern w:val="0"/>
                <w:sz w:val="24"/>
                <w:szCs w:val="28"/>
              </w:rPr>
            </w:pPr>
            <w:r>
              <w:rPr>
                <w:rFonts w:hint="eastAsia" w:cs="宋体" w:asciiTheme="minorEastAsia" w:hAnsiTheme="minorEastAsia"/>
                <w:kern w:val="0"/>
                <w:sz w:val="24"/>
                <w:szCs w:val="28"/>
              </w:rPr>
              <w:t>-</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104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64"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人才住房、安居型商品房和公共租赁住房规划配建规模（套）</w:t>
            </w:r>
          </w:p>
        </w:tc>
        <w:tc>
          <w:tcPr>
            <w:tcW w:w="70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下限值</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1000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1860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2200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900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5180</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10400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5000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2800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2000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1000</w:t>
            </w:r>
          </w:p>
        </w:tc>
        <w:tc>
          <w:tcPr>
            <w:tcW w:w="988" w:type="dxa"/>
            <w:vAlign w:val="center"/>
          </w:tcPr>
          <w:p>
            <w:pPr>
              <w:jc w:val="center"/>
            </w:pPr>
            <w:r>
              <w:rPr>
                <w:rFonts w:hint="eastAsia" w:cs="宋体" w:asciiTheme="minorEastAsia" w:hAnsiTheme="minorEastAsia"/>
                <w:kern w:val="0"/>
                <w:sz w:val="24"/>
                <w:szCs w:val="28"/>
              </w:rPr>
              <w:t>-</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32340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创新型产业用房配建规模（万平方米）</w:t>
            </w:r>
          </w:p>
        </w:tc>
        <w:tc>
          <w:tcPr>
            <w:tcW w:w="70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下限值</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4.9</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0.7</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5.1</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7.3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0.9</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0.1</w:t>
            </w:r>
          </w:p>
        </w:tc>
        <w:tc>
          <w:tcPr>
            <w:tcW w:w="988" w:type="dxa"/>
            <w:vAlign w:val="center"/>
          </w:tcPr>
          <w:p>
            <w:pPr>
              <w:jc w:val="center"/>
            </w:pPr>
            <w:r>
              <w:rPr>
                <w:rFonts w:hint="eastAsia" w:cs="宋体" w:asciiTheme="minorEastAsia" w:hAnsiTheme="minorEastAsia"/>
                <w:kern w:val="0"/>
                <w:sz w:val="24"/>
                <w:szCs w:val="28"/>
              </w:rPr>
              <w:t>-</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24.5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8"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独立占地公共配套设施配建规模（个）</w:t>
            </w:r>
          </w:p>
        </w:tc>
        <w:tc>
          <w:tcPr>
            <w:tcW w:w="70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下限值</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7</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9</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15</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32</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18</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7</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14</w:t>
            </w:r>
          </w:p>
        </w:tc>
        <w:tc>
          <w:tcPr>
            <w:tcW w:w="988" w:type="dxa"/>
            <w:vAlign w:val="center"/>
          </w:tcPr>
          <w:p>
            <w:pPr>
              <w:jc w:val="center"/>
            </w:pPr>
            <w:r>
              <w:rPr>
                <w:rFonts w:hint="eastAsia" w:cs="宋体" w:asciiTheme="minorEastAsia" w:hAnsiTheme="minorEastAsia"/>
                <w:kern w:val="0"/>
                <w:sz w:val="24"/>
                <w:szCs w:val="28"/>
              </w:rPr>
              <w:t>-</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135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 w:hRule="atLeast"/>
          <w:jc w:val="center"/>
        </w:trPr>
        <w:tc>
          <w:tcPr>
            <w:tcW w:w="2730"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非独立占地公共配套设施配建规模（万平方米）</w:t>
            </w:r>
          </w:p>
        </w:tc>
        <w:tc>
          <w:tcPr>
            <w:tcW w:w="70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下限值</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0.2</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0.7</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3.5</w:t>
            </w:r>
          </w:p>
        </w:tc>
        <w:tc>
          <w:tcPr>
            <w:tcW w:w="987"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5.8</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2.5</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1.3</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1.1</w:t>
            </w:r>
          </w:p>
        </w:tc>
        <w:tc>
          <w:tcPr>
            <w:tcW w:w="988" w:type="dxa"/>
            <w:shd w:val="clear" w:color="auto" w:fill="auto"/>
            <w:noWrap/>
            <w:vAlign w:val="center"/>
          </w:tcPr>
          <w:p>
            <w:pPr>
              <w:widowControl/>
              <w:jc w:val="center"/>
              <w:rPr>
                <w:rFonts w:cs="宋体" w:asciiTheme="minorEastAsia" w:hAnsiTheme="minorEastAsia"/>
                <w:kern w:val="0"/>
                <w:sz w:val="24"/>
                <w:szCs w:val="24"/>
              </w:rPr>
            </w:pPr>
            <w:r>
              <w:rPr>
                <w:rFonts w:hint="eastAsia" w:cs="宋体" w:asciiTheme="minorEastAsia" w:hAnsiTheme="minorEastAsia"/>
                <w:kern w:val="0"/>
                <w:sz w:val="24"/>
                <w:szCs w:val="24"/>
              </w:rPr>
              <w:t>0.5</w:t>
            </w:r>
          </w:p>
        </w:tc>
        <w:tc>
          <w:tcPr>
            <w:tcW w:w="988" w:type="dxa"/>
            <w:vAlign w:val="center"/>
          </w:tcPr>
          <w:p>
            <w:pPr>
              <w:jc w:val="center"/>
            </w:pPr>
            <w:r>
              <w:rPr>
                <w:rFonts w:hint="eastAsia" w:cs="宋体" w:asciiTheme="minorEastAsia" w:hAnsiTheme="minorEastAsia"/>
                <w:kern w:val="0"/>
                <w:sz w:val="24"/>
                <w:szCs w:val="28"/>
              </w:rPr>
              <w:t>-</w:t>
            </w:r>
          </w:p>
        </w:tc>
        <w:tc>
          <w:tcPr>
            <w:tcW w:w="859" w:type="dxa"/>
            <w:shd w:val="clear" w:color="auto" w:fill="auto"/>
            <w:noWrap/>
            <w:vAlign w:val="center"/>
          </w:tcPr>
          <w:p>
            <w:pPr>
              <w:widowControl/>
              <w:jc w:val="center"/>
              <w:rPr>
                <w:rFonts w:cs="宋体" w:asciiTheme="minorEastAsia" w:hAnsiTheme="minorEastAsia"/>
                <w:b/>
                <w:kern w:val="0"/>
                <w:sz w:val="24"/>
                <w:szCs w:val="24"/>
              </w:rPr>
            </w:pPr>
            <w:r>
              <w:rPr>
                <w:rFonts w:hint="eastAsia" w:cs="宋体" w:asciiTheme="minorEastAsia" w:hAnsiTheme="minorEastAsia"/>
                <w:b/>
                <w:kern w:val="0"/>
                <w:sz w:val="24"/>
                <w:szCs w:val="24"/>
              </w:rPr>
              <w:t>16.9</w:t>
            </w:r>
          </w:p>
        </w:tc>
      </w:tr>
    </w:tbl>
    <w:p>
      <w:pPr>
        <w:widowControl/>
        <w:rPr>
          <w:rFonts w:ascii="楷体_GB2312" w:hAnsi="宋体" w:eastAsia="楷体_GB2312"/>
          <w:bCs/>
          <w:sz w:val="20"/>
          <w:szCs w:val="18"/>
        </w:rPr>
      </w:pPr>
      <w:bookmarkStart w:id="31" w:name="_Toc536718811"/>
      <w:r>
        <w:rPr>
          <w:rFonts w:hint="eastAsia" w:ascii="楷体_GB2312" w:hAnsi="宋体" w:eastAsia="楷体_GB2312"/>
          <w:bCs/>
          <w:sz w:val="20"/>
          <w:szCs w:val="18"/>
        </w:rPr>
        <w:t>备注：</w:t>
      </w:r>
    </w:p>
    <w:p>
      <w:pPr>
        <w:widowControl/>
        <w:rPr>
          <w:rFonts w:ascii="楷体_GB2312" w:hAnsi="宋体" w:eastAsia="楷体_GB2312"/>
          <w:bCs/>
          <w:sz w:val="20"/>
          <w:szCs w:val="18"/>
        </w:rPr>
      </w:pPr>
      <w:r>
        <w:rPr>
          <w:rFonts w:hint="eastAsia" w:ascii="楷体_GB2312" w:hAnsi="宋体" w:eastAsia="楷体_GB2312"/>
          <w:bCs/>
          <w:sz w:val="20"/>
          <w:szCs w:val="18"/>
        </w:rPr>
        <w:t>1.“原则上“工改M0”类城市更新单元计划用地规模不应超过上限值要求，因项目推进原因导致超过的，应保证“十三五”期间新增总量不超过各区城市更新“十三五”规划确定的规模。”</w:t>
      </w:r>
    </w:p>
    <w:p>
      <w:pPr>
        <w:widowControl/>
        <w:rPr>
          <w:rFonts w:ascii="楷体_GB2312" w:hAnsi="宋体" w:eastAsia="楷体_GB2312"/>
          <w:bCs/>
          <w:sz w:val="20"/>
          <w:szCs w:val="18"/>
        </w:rPr>
      </w:pPr>
      <w:r>
        <w:rPr>
          <w:rFonts w:hint="eastAsia" w:ascii="楷体_GB2312" w:hAnsi="宋体" w:eastAsia="楷体_GB2312"/>
          <w:bCs/>
          <w:sz w:val="20"/>
          <w:szCs w:val="18"/>
        </w:rPr>
        <w:t>2. 上述独立占地的公共配套设施包括中小学、综合医院、幼儿园、公交场站（含公交首末站）、变电站、消防站、雨水泵站、邮政和通信设施。以上设施为附设的且功能完整的，可纳入本计划统计。</w:t>
      </w:r>
    </w:p>
    <w:p>
      <w:pPr>
        <w:widowControl/>
        <w:rPr>
          <w:rFonts w:ascii="楷体_GB2312" w:hAnsi="宋体" w:eastAsia="楷体_GB2312"/>
          <w:bCs/>
          <w:sz w:val="20"/>
          <w:szCs w:val="18"/>
        </w:rPr>
      </w:pPr>
      <w:r>
        <w:rPr>
          <w:rFonts w:hint="eastAsia" w:ascii="楷体_GB2312" w:hAnsi="宋体" w:eastAsia="楷体_GB2312"/>
          <w:bCs/>
          <w:sz w:val="20"/>
          <w:szCs w:val="18"/>
        </w:rPr>
        <w:t>3. 非独立占地的公共配套设施包括社区警务室、社区管理用房、社区服务中心、文化活动室、社区健康服务中心、社区老年人日间照料中心、小型垃圾转运站、再生资源回收站、公共厕所、环卫工人作息房等。</w:t>
      </w:r>
    </w:p>
    <w:bookmarkEnd w:id="31"/>
    <w:p>
      <w:pPr>
        <w:pStyle w:val="559"/>
      </w:pPr>
      <w:r>
        <w:rPr>
          <w:rFonts w:hint="eastAsia"/>
        </w:rPr>
        <w:t>表5：深圳市2019年度土地整备资金安排表</w:t>
      </w:r>
      <w:bookmarkEnd w:id="29"/>
      <w:bookmarkEnd w:id="30"/>
    </w:p>
    <w:p/>
    <w:p/>
    <w:p>
      <w:pPr>
        <w:jc w:val="right"/>
      </w:pPr>
      <w:r>
        <w:rPr>
          <w:rFonts w:hint="eastAsia"/>
        </w:rPr>
        <w:t>单位：亿元</w:t>
      </w:r>
    </w:p>
    <w:tbl>
      <w:tblPr>
        <w:tblStyle w:val="47"/>
        <w:tblW w:w="1479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5"/>
        <w:gridCol w:w="1495"/>
        <w:gridCol w:w="1034"/>
        <w:gridCol w:w="1034"/>
        <w:gridCol w:w="1034"/>
        <w:gridCol w:w="1034"/>
        <w:gridCol w:w="1034"/>
        <w:gridCol w:w="1034"/>
        <w:gridCol w:w="1034"/>
        <w:gridCol w:w="1034"/>
        <w:gridCol w:w="1034"/>
        <w:gridCol w:w="1034"/>
        <w:gridCol w:w="1035"/>
        <w:gridCol w:w="113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2280" w:type="dxa"/>
            <w:gridSpan w:val="2"/>
            <w:tcBorders>
              <w:tl2br w:val="single" w:color="auto" w:sz="4" w:space="0"/>
            </w:tcBorders>
            <w:shd w:val="clear" w:color="auto" w:fill="auto"/>
            <w:vAlign w:val="center"/>
          </w:tcPr>
          <w:p>
            <w:pPr>
              <w:widowControl/>
              <w:jc w:val="center"/>
              <w:rPr>
                <w:rFonts w:cs="宋体" w:asciiTheme="minorEastAsia" w:hAnsiTheme="minorEastAsia"/>
                <w:b/>
                <w:kern w:val="0"/>
                <w:sz w:val="24"/>
                <w:szCs w:val="28"/>
              </w:rPr>
            </w:pP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福田区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罗湖区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南山区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盐田区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宝安区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龙岗区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龙华区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坪山区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光明区</w:t>
            </w:r>
          </w:p>
        </w:tc>
        <w:tc>
          <w:tcPr>
            <w:tcW w:w="1034"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大鹏</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新区</w:t>
            </w:r>
          </w:p>
        </w:tc>
        <w:tc>
          <w:tcPr>
            <w:tcW w:w="1035" w:type="dxa"/>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前海合作区</w:t>
            </w:r>
          </w:p>
        </w:tc>
        <w:tc>
          <w:tcPr>
            <w:tcW w:w="1137" w:type="dxa"/>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合计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58" w:hRule="atLeast"/>
          <w:jc w:val="center"/>
        </w:trPr>
        <w:tc>
          <w:tcPr>
            <w:tcW w:w="785" w:type="dxa"/>
            <w:vMerge w:val="restart"/>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年度土地整备资金</w:t>
            </w:r>
          </w:p>
        </w:tc>
        <w:tc>
          <w:tcPr>
            <w:tcW w:w="1495" w:type="dxa"/>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土地整备项目资金</w:t>
            </w:r>
            <w:r>
              <w:rPr>
                <w:rFonts w:hint="eastAsia" w:cs="宋体" w:asciiTheme="minorEastAsia" w:hAnsiTheme="minorEastAsia"/>
                <w:kern w:val="0"/>
                <w:sz w:val="24"/>
                <w:szCs w:val="28"/>
                <w:vertAlign w:val="superscript"/>
              </w:rPr>
              <w:t>1</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0.17</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10</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0.42</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11</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10</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7.25</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92</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35</w:t>
            </w:r>
          </w:p>
        </w:tc>
        <w:tc>
          <w:tcPr>
            <w:tcW w:w="1034"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12</w:t>
            </w:r>
          </w:p>
        </w:tc>
        <w:tc>
          <w:tcPr>
            <w:tcW w:w="1035" w:type="dxa"/>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由前海管理局安排</w:t>
            </w:r>
          </w:p>
        </w:tc>
        <w:tc>
          <w:tcPr>
            <w:tcW w:w="1137" w:type="dxa"/>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179.84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atLeast"/>
          <w:jc w:val="center"/>
        </w:trPr>
        <w:tc>
          <w:tcPr>
            <w:tcW w:w="785" w:type="dxa"/>
            <w:vMerge w:val="continue"/>
            <w:shd w:val="clear" w:color="auto" w:fill="auto"/>
            <w:vAlign w:val="center"/>
          </w:tcPr>
          <w:p>
            <w:pPr>
              <w:widowControl/>
              <w:jc w:val="center"/>
              <w:rPr>
                <w:rFonts w:cs="宋体" w:asciiTheme="minorEastAsia" w:hAnsiTheme="minorEastAsia"/>
                <w:kern w:val="0"/>
                <w:sz w:val="24"/>
                <w:szCs w:val="28"/>
              </w:rPr>
            </w:pPr>
          </w:p>
        </w:tc>
        <w:tc>
          <w:tcPr>
            <w:tcW w:w="1495" w:type="dxa"/>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其他资金</w:t>
            </w:r>
            <w:r>
              <w:rPr>
                <w:rFonts w:hint="eastAsia" w:cs="宋体" w:asciiTheme="minorEastAsia" w:hAnsiTheme="minorEastAsia"/>
                <w:kern w:val="0"/>
                <w:sz w:val="24"/>
                <w:szCs w:val="28"/>
                <w:vertAlign w:val="superscript"/>
              </w:rPr>
              <w:t>2</w:t>
            </w:r>
          </w:p>
        </w:tc>
        <w:tc>
          <w:tcPr>
            <w:tcW w:w="12512" w:type="dxa"/>
            <w:gridSpan w:val="12"/>
            <w:shd w:val="clear" w:color="auto" w:fill="auto"/>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0.16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785" w:type="dxa"/>
            <w:vMerge w:val="continue"/>
            <w:shd w:val="clear" w:color="auto" w:fill="auto"/>
            <w:vAlign w:val="center"/>
          </w:tcPr>
          <w:p>
            <w:pPr>
              <w:widowControl/>
              <w:jc w:val="center"/>
              <w:rPr>
                <w:rFonts w:cs="宋体" w:asciiTheme="minorEastAsia" w:hAnsiTheme="minorEastAsia"/>
                <w:kern w:val="0"/>
                <w:sz w:val="24"/>
                <w:szCs w:val="28"/>
              </w:rPr>
            </w:pPr>
          </w:p>
        </w:tc>
        <w:tc>
          <w:tcPr>
            <w:tcW w:w="1495" w:type="dxa"/>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小计</w:t>
            </w:r>
          </w:p>
        </w:tc>
        <w:tc>
          <w:tcPr>
            <w:tcW w:w="12512" w:type="dxa"/>
            <w:gridSpan w:val="12"/>
            <w:shd w:val="clear" w:color="auto" w:fill="auto"/>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180</w:t>
            </w:r>
          </w:p>
        </w:tc>
      </w:tr>
    </w:tbl>
    <w:p>
      <w:pPr>
        <w:rPr>
          <w:rFonts w:ascii="黑体" w:hAnsi="仿宋_GB2312" w:eastAsia="黑体"/>
          <w:b/>
          <w:bCs/>
        </w:rPr>
      </w:pPr>
    </w:p>
    <w:p>
      <w:pPr>
        <w:widowControl/>
        <w:rPr>
          <w:rFonts w:ascii="楷体_GB2312" w:hAnsi="宋体" w:eastAsia="楷体_GB2312"/>
          <w:bCs/>
          <w:sz w:val="20"/>
          <w:szCs w:val="18"/>
        </w:rPr>
      </w:pPr>
      <w:r>
        <w:rPr>
          <w:rFonts w:hint="eastAsia" w:ascii="楷体_GB2312" w:hAnsi="宋体" w:eastAsia="楷体_GB2312"/>
          <w:bCs/>
          <w:sz w:val="20"/>
          <w:szCs w:val="18"/>
        </w:rPr>
        <w:t>备注：</w:t>
      </w:r>
    </w:p>
    <w:p>
      <w:pPr>
        <w:widowControl/>
        <w:rPr>
          <w:rFonts w:ascii="楷体_GB2312" w:hAnsi="宋体" w:eastAsia="楷体_GB2312"/>
          <w:bCs/>
          <w:sz w:val="20"/>
          <w:szCs w:val="18"/>
        </w:rPr>
      </w:pPr>
      <w:r>
        <w:rPr>
          <w:rFonts w:hint="eastAsia" w:ascii="楷体_GB2312" w:hAnsi="宋体" w:eastAsia="楷体_GB2312"/>
          <w:bCs/>
          <w:sz w:val="20"/>
          <w:szCs w:val="18"/>
        </w:rPr>
        <w:t>1. 年度工作推进中各区根据项目实施情况申请使用土地整备项目资金，由市城市更新和土地整备局统筹调剂资金使用。</w:t>
      </w:r>
    </w:p>
    <w:p>
      <w:pPr>
        <w:widowControl/>
        <w:ind w:left="1"/>
        <w:rPr>
          <w:rFonts w:ascii="楷体_GB2312" w:hAnsi="宋体" w:eastAsia="楷体_GB2312"/>
          <w:bCs/>
          <w:sz w:val="20"/>
          <w:szCs w:val="18"/>
        </w:rPr>
      </w:pPr>
      <w:r>
        <w:rPr>
          <w:rFonts w:hint="eastAsia" w:ascii="楷体_GB2312" w:hAnsi="宋体" w:eastAsia="楷体_GB2312"/>
          <w:bCs/>
          <w:sz w:val="20"/>
          <w:szCs w:val="18"/>
        </w:rPr>
        <w:t>2. 其他资金中，2019年新建项目安排《深汕特别合作区土地征收机制研究及相关政策制定和技术支持》项目经费200万元、《深圳市历史遗留私房征收评估课题研究》项目经费112万元。后续新建项目安排以市财政局批复意见为准。市城市更新和土地整备局可依据课题研究项目进展情况，在其他资金中安排新建项目及往年已立项续建项目的资金支付。</w:t>
      </w:r>
      <w:r>
        <w:rPr>
          <w:rFonts w:ascii="楷体_GB2312" w:hAnsi="宋体" w:eastAsia="楷体_GB2312"/>
          <w:bCs/>
          <w:sz w:val="20"/>
          <w:szCs w:val="18"/>
        </w:rPr>
        <w:br w:type="page"/>
      </w:r>
    </w:p>
    <w:p>
      <w:pPr>
        <w:pStyle w:val="559"/>
      </w:pPr>
      <w:bookmarkStart w:id="32" w:name="_Toc5979745"/>
      <w:bookmarkStart w:id="33" w:name="_Toc536718815"/>
      <w:r>
        <w:rPr>
          <w:rFonts w:hint="eastAsia"/>
        </w:rPr>
        <w:t>表6：深圳市2019年度土地整备项目表</w:t>
      </w:r>
      <w:bookmarkEnd w:id="32"/>
      <w:bookmarkEnd w:id="33"/>
    </w:p>
    <w:tbl>
      <w:tblPr>
        <w:tblStyle w:val="47"/>
        <w:tblW w:w="14049" w:type="dxa"/>
        <w:jc w:val="center"/>
        <w:tblLayout w:type="autofit"/>
        <w:tblCellMar>
          <w:top w:w="0" w:type="dxa"/>
          <w:left w:w="108" w:type="dxa"/>
          <w:bottom w:w="0" w:type="dxa"/>
          <w:right w:w="108" w:type="dxa"/>
        </w:tblCellMar>
      </w:tblPr>
      <w:tblGrid>
        <w:gridCol w:w="866"/>
        <w:gridCol w:w="1254"/>
        <w:gridCol w:w="740"/>
        <w:gridCol w:w="3959"/>
        <w:gridCol w:w="993"/>
        <w:gridCol w:w="1842"/>
        <w:gridCol w:w="1701"/>
        <w:gridCol w:w="2694"/>
      </w:tblGrid>
      <w:tr>
        <w:tblPrEx>
          <w:tblCellMar>
            <w:top w:w="0" w:type="dxa"/>
            <w:left w:w="108" w:type="dxa"/>
            <w:bottom w:w="0" w:type="dxa"/>
            <w:right w:w="108" w:type="dxa"/>
          </w:tblCellMar>
        </w:tblPrEx>
        <w:trPr>
          <w:trHeight w:val="495" w:hRule="atLeast"/>
          <w:tblHeader/>
          <w:jc w:val="center"/>
        </w:trPr>
        <w:tc>
          <w:tcPr>
            <w:tcW w:w="866" w:type="dxa"/>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行政区</w:t>
            </w:r>
          </w:p>
        </w:tc>
        <w:tc>
          <w:tcPr>
            <w:tcW w:w="1254"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实施主体</w:t>
            </w:r>
          </w:p>
        </w:tc>
        <w:tc>
          <w:tcPr>
            <w:tcW w:w="740"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项目 序号</w:t>
            </w:r>
          </w:p>
        </w:tc>
        <w:tc>
          <w:tcPr>
            <w:tcW w:w="3959"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项目名称</w:t>
            </w:r>
          </w:p>
        </w:tc>
        <w:tc>
          <w:tcPr>
            <w:tcW w:w="993"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街道</w:t>
            </w:r>
          </w:p>
        </w:tc>
        <w:tc>
          <w:tcPr>
            <w:tcW w:w="1842"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整备实施总规模（公顷）</w:t>
            </w:r>
          </w:p>
        </w:tc>
        <w:tc>
          <w:tcPr>
            <w:tcW w:w="1701"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累计已拨付资金（亿元）</w:t>
            </w:r>
          </w:p>
        </w:tc>
        <w:tc>
          <w:tcPr>
            <w:tcW w:w="2694" w:type="dxa"/>
            <w:tcBorders>
              <w:top w:val="single" w:color="auto" w:sz="8" w:space="0"/>
              <w:left w:val="nil"/>
              <w:bottom w:val="single" w:color="auto" w:sz="8" w:space="0"/>
              <w:right w:val="single" w:color="auto" w:sz="8" w:space="0"/>
            </w:tcBorders>
            <w:vAlign w:val="center"/>
          </w:tcPr>
          <w:p>
            <w:pPr>
              <w:widowControl/>
              <w:jc w:val="center"/>
              <w:rPr>
                <w:rFonts w:ascii="宋体" w:hAnsi="宋体" w:eastAsia="宋体" w:cs="宋体"/>
                <w:b/>
                <w:bCs/>
                <w:kern w:val="0"/>
                <w:sz w:val="20"/>
                <w:szCs w:val="20"/>
              </w:rPr>
            </w:pPr>
            <w:r>
              <w:rPr>
                <w:rFonts w:hint="eastAsia" w:ascii="宋体" w:hAnsi="宋体" w:eastAsia="宋体" w:cs="宋体"/>
                <w:b/>
                <w:bCs/>
                <w:kern w:val="0"/>
                <w:sz w:val="20"/>
                <w:szCs w:val="20"/>
              </w:rPr>
              <w:t>备注</w:t>
            </w:r>
          </w:p>
        </w:tc>
      </w:tr>
      <w:tr>
        <w:tblPrEx>
          <w:tblCellMar>
            <w:top w:w="0" w:type="dxa"/>
            <w:left w:w="108" w:type="dxa"/>
            <w:bottom w:w="0" w:type="dxa"/>
            <w:right w:w="108" w:type="dxa"/>
          </w:tblCellMar>
        </w:tblPrEx>
        <w:trPr>
          <w:trHeight w:val="495" w:hRule="atLeast"/>
          <w:jc w:val="center"/>
        </w:trPr>
        <w:tc>
          <w:tcPr>
            <w:tcW w:w="866" w:type="dxa"/>
            <w:vMerge w:val="restart"/>
            <w:tcBorders>
              <w:top w:val="nil"/>
              <w:left w:val="single" w:color="auto" w:sz="8" w:space="0"/>
              <w:bottom w:val="single" w:color="000000"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福田区</w:t>
            </w:r>
          </w:p>
        </w:tc>
        <w:tc>
          <w:tcPr>
            <w:tcW w:w="1254"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市规划和自然资源局</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深圳高尔夫俱乐部土地到期收回项目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香蜜湖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136.74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1254"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福田区政府</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香蜜湖片区（国际交流中心）整备项目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香蜜湖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83.17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花卉世界</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华富</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梅林危险废物处理站整备项目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梅林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深圳市地税局新沙地块保障房整备项目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沙头</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0.244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上梅林股份公司原特区管理线外整备项目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梅林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208.3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0.0597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450.354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0.0597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nil"/>
              <w:left w:val="single" w:color="auto" w:sz="8" w:space="0"/>
              <w:bottom w:val="single" w:color="auto" w:sz="8" w:space="0"/>
              <w:right w:val="single" w:color="auto" w:sz="8"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罗湖区</w:t>
            </w:r>
          </w:p>
        </w:tc>
        <w:tc>
          <w:tcPr>
            <w:tcW w:w="1254" w:type="dxa"/>
            <w:vMerge w:val="restart"/>
            <w:tcBorders>
              <w:top w:val="nil"/>
              <w:left w:val="single" w:color="auto" w:sz="8" w:space="0"/>
              <w:bottom w:val="single" w:color="auto" w:sz="8" w:space="0"/>
              <w:right w:val="single" w:color="auto" w:sz="8"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罗湖区政府</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深圳市梧桐山赤水洞风景区征地补偿项目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东湖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木棉花街零星用地整备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桂园</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0.039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红岗创新广场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清水河</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莲塘口岸2万平方米办公用房购买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莲塘</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2（办公用房）</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69.539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南山区</w:t>
            </w:r>
          </w:p>
        </w:tc>
        <w:tc>
          <w:tcPr>
            <w:tcW w:w="1254"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南山区政府</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丽水河土地整备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燕清溪土地整备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4.15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白芒、大磡建成区地块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南山区二级水源保护区调出地块（东片区）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南山区二级水源保护区调出地块（西片区）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西丽高铁枢纽工程项目土地整备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麻磡河流域水环境综合治理工程</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22.87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白芒河流域水环境综合治理工程</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13.14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大磡河流域水环境综合治理工程</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西丽湖度假村地块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南山区土地整备利益统筹专项行动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南山区未完善征转地手续未建设空地处理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386.06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866"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盐田区</w:t>
            </w:r>
          </w:p>
        </w:tc>
        <w:tc>
          <w:tcPr>
            <w:tcW w:w="1254"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市规划和自然资源局</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盐田港后方陆域西南片区盐田港历史用地处理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盐田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46.2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254" w:type="dxa"/>
            <w:vMerge w:val="restart"/>
            <w:tcBorders>
              <w:top w:val="nil"/>
              <w:left w:val="single" w:color="auto" w:sz="8" w:space="0"/>
              <w:bottom w:val="single" w:color="auto" w:sz="8" w:space="0"/>
              <w:right w:val="single" w:color="auto" w:sz="8"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盐田区政府</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华大科技J402-0144号宗地土地整备项目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梅沙</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盐田港起步工程红线内部分道路土地整备项目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盐田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小梅沙片区土地整备项目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梅沙</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28.8</w:t>
            </w:r>
          </w:p>
        </w:tc>
        <w:tc>
          <w:tcPr>
            <w:tcW w:w="1701" w:type="dxa"/>
            <w:tcBorders>
              <w:top w:val="nil"/>
              <w:left w:val="nil"/>
              <w:bottom w:val="single" w:color="auto" w:sz="8" w:space="0"/>
              <w:right w:val="single" w:color="auto" w:sz="8" w:space="0"/>
            </w:tcBorders>
            <w:vAlign w:val="center"/>
          </w:tcPr>
          <w:p>
            <w:pPr>
              <w:widowControl/>
              <w:jc w:val="left"/>
              <w:rPr>
                <w:rFonts w:eastAsia="宋体" w:cs="宋体"/>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原部队用地块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盐田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w:t>
            </w:r>
          </w:p>
        </w:tc>
        <w:tc>
          <w:tcPr>
            <w:tcW w:w="1701" w:type="dxa"/>
            <w:tcBorders>
              <w:top w:val="nil"/>
              <w:left w:val="nil"/>
              <w:bottom w:val="single" w:color="auto" w:sz="8" w:space="0"/>
              <w:right w:val="single" w:color="auto" w:sz="8" w:space="0"/>
            </w:tcBorders>
            <w:vAlign w:val="center"/>
          </w:tcPr>
          <w:p>
            <w:pPr>
              <w:widowControl/>
              <w:jc w:val="left"/>
              <w:rPr>
                <w:rFonts w:eastAsia="宋体" w:cs="宋体"/>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盐田区国有储备地清理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1701" w:type="dxa"/>
            <w:tcBorders>
              <w:top w:val="nil"/>
              <w:left w:val="nil"/>
              <w:bottom w:val="single" w:color="auto" w:sz="8" w:space="0"/>
              <w:right w:val="single" w:color="auto" w:sz="8" w:space="0"/>
            </w:tcBorders>
            <w:vAlign w:val="center"/>
          </w:tcPr>
          <w:p>
            <w:pPr>
              <w:widowControl/>
              <w:jc w:val="left"/>
              <w:rPr>
                <w:rFonts w:eastAsia="宋体" w:cs="宋体"/>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97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宝安区</w:t>
            </w:r>
          </w:p>
        </w:tc>
        <w:tc>
          <w:tcPr>
            <w:tcW w:w="1254" w:type="dxa"/>
            <w:vMerge w:val="restart"/>
            <w:tcBorders>
              <w:top w:val="nil"/>
              <w:left w:val="single" w:color="auto" w:sz="8" w:space="0"/>
              <w:bottom w:val="single" w:color="auto" w:sz="4"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宝安区政府 市规划和自然资源局</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草围社区返还地收地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0.037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新联五金收地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美达菲福永地块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33.34</w:t>
            </w:r>
          </w:p>
        </w:tc>
        <w:tc>
          <w:tcPr>
            <w:tcW w:w="1701" w:type="dxa"/>
            <w:tcBorders>
              <w:top w:val="nil"/>
              <w:left w:val="nil"/>
              <w:bottom w:val="single" w:color="auto" w:sz="8" w:space="0"/>
              <w:right w:val="single" w:color="auto" w:sz="8" w:space="0"/>
            </w:tcBorders>
            <w:vAlign w:val="center"/>
          </w:tcPr>
          <w:p>
            <w:pPr>
              <w:widowControl/>
              <w:jc w:val="left"/>
              <w:rPr>
                <w:rFonts w:eastAsia="宋体" w:cs="宋体"/>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大铲湾港区土地及海域（深圳“互联网+”未来科技城）整备地块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西乡、新安</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485.01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5.56</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市路桥集团道路与养护维修基地拟置换地块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新桥、松岗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25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宝安区政府</w:t>
            </w: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tcPr>
          <w:p>
            <w:pPr>
              <w:widowControl/>
              <w:jc w:val="left"/>
              <w:rPr>
                <w:rFonts w:ascii="宋体" w:hAnsi="宋体" w:eastAsia="宋体" w:cs="宋体"/>
                <w:kern w:val="0"/>
                <w:sz w:val="20"/>
                <w:szCs w:val="20"/>
              </w:rPr>
            </w:pPr>
            <w:r>
              <w:rPr>
                <w:rFonts w:hint="eastAsia" w:ascii="宋体" w:hAnsi="宋体" w:eastAsia="宋体" w:cs="宋体"/>
                <w:kern w:val="0"/>
                <w:sz w:val="20"/>
                <w:szCs w:val="20"/>
              </w:rPr>
              <w:t>铁岗气库地块土地整备项目</w:t>
            </w:r>
          </w:p>
        </w:tc>
        <w:tc>
          <w:tcPr>
            <w:tcW w:w="993" w:type="dxa"/>
            <w:tcBorders>
              <w:top w:val="nil"/>
              <w:left w:val="nil"/>
              <w:bottom w:val="single" w:color="auto" w:sz="8" w:space="0"/>
              <w:right w:val="single" w:color="auto" w:sz="8" w:space="0"/>
            </w:tcBorders>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新安</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泉宝工业区地块土地整备项目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0.3093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罗田林场地块土地整备项目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燕罗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2.1744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英管山（大军山）二期土地整备地块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10.58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宝安DU09-69机场地块人才住房土地整备项目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广深高速防护区（东宝河-107国道）土地整备项目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松岗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39.55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原深圳机场征用英管山地块历史遗留问题项目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广深驿达加油站土地整备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中宣部电影技术质量检测所南方分中心土地整备项目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西乡</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0.62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黄麻布社区簕竹角水厂项目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0.32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宗地A119-0039土地整备项目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轨道13号线拆迁安置房建设土地整备项目</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6.12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机场开发区西区AX10-3地块土地整备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拟招拍挂土地涉及使用林地及耕地审批费用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煜硕码头填海闲置地块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福永塘尾地块土地整备项目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0.1937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英管山（大军山）一期土地整备地块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0.0389</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三围海洋城地块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53.33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0.03286402</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新桥东（黄埔）土地整备项目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新桥</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3.46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和平社区鱼鰮地地块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T4航站楼扩建地块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海诚工业园地块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燕罗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7.44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中国人民大学地块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56.86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海上田园地块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沙井</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417.9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4.2</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新丰电器厂地块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7.5338</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北车基地项目（一期）</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松岗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27.1762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14.4</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桥头次中心区地块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0.94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4.897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西部沿江新城（一期）</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8.08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8.3</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新和社区孖庙涌旧村地块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福海 </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2.4295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宝安区饮用水水源一级保护区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87.2565</w:t>
            </w:r>
          </w:p>
        </w:tc>
        <w:tc>
          <w:tcPr>
            <w:tcW w:w="1701" w:type="dxa"/>
            <w:tcBorders>
              <w:top w:val="nil"/>
              <w:left w:val="nil"/>
              <w:bottom w:val="single" w:color="auto" w:sz="8" w:space="0"/>
              <w:right w:val="single" w:color="auto" w:sz="8" w:space="0"/>
            </w:tcBorders>
            <w:vAlign w:val="center"/>
          </w:tcPr>
          <w:p>
            <w:pPr>
              <w:widowControl/>
              <w:jc w:val="left"/>
              <w:rPr>
                <w:rFonts w:eastAsia="宋体" w:cs="宋体"/>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宝安区土地整备利益统筹专项行动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宝安区未完善征转地手续未建设空地处理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4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宝安区村办学校土地房产遗留问题处理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86.52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原特区外村办学校土地房产遗留问题处理项目</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4"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4"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4" w:space="0"/>
              <w:right w:val="single" w:color="auto" w:sz="8" w:space="0"/>
            </w:tcBorders>
            <w:vAlign w:val="center"/>
          </w:tcPr>
          <w:p>
            <w:pPr>
              <w:widowControl/>
              <w:jc w:val="center"/>
              <w:rPr>
                <w:rFonts w:ascii="宋体" w:hAnsi="宋体" w:eastAsia="宋体" w:cs="宋体"/>
                <w:b/>
                <w:bCs/>
                <w:kern w:val="0"/>
                <w:szCs w:val="21"/>
              </w:rPr>
            </w:pPr>
            <w:r>
              <w:rPr>
                <w:rFonts w:hint="eastAsia" w:ascii="宋体" w:hAnsi="宋体" w:eastAsia="宋体" w:cs="宋体"/>
                <w:b/>
                <w:bCs/>
                <w:kern w:val="0"/>
                <w:szCs w:val="21"/>
              </w:rPr>
              <w:t>1459.5029</w:t>
            </w:r>
          </w:p>
        </w:tc>
        <w:tc>
          <w:tcPr>
            <w:tcW w:w="1701" w:type="dxa"/>
            <w:tcBorders>
              <w:top w:val="nil"/>
              <w:left w:val="nil"/>
              <w:bottom w:val="single" w:color="auto" w:sz="4" w:space="0"/>
              <w:right w:val="single" w:color="auto" w:sz="8" w:space="0"/>
            </w:tcBorders>
            <w:vAlign w:val="center"/>
          </w:tcPr>
          <w:p>
            <w:pPr>
              <w:widowControl/>
              <w:jc w:val="center"/>
              <w:rPr>
                <w:rFonts w:ascii="宋体" w:hAnsi="宋体" w:eastAsia="宋体" w:cs="宋体"/>
                <w:b/>
                <w:bCs/>
                <w:kern w:val="0"/>
                <w:szCs w:val="21"/>
              </w:rPr>
            </w:pPr>
            <w:r>
              <w:rPr>
                <w:rFonts w:hint="eastAsia" w:ascii="宋体" w:hAnsi="宋体" w:eastAsia="宋体" w:cs="宋体"/>
                <w:b/>
                <w:bCs/>
                <w:kern w:val="0"/>
                <w:szCs w:val="21"/>
              </w:rPr>
              <w:t>46.65626402</w:t>
            </w:r>
          </w:p>
        </w:tc>
        <w:tc>
          <w:tcPr>
            <w:tcW w:w="2694" w:type="dxa"/>
            <w:tcBorders>
              <w:top w:val="nil"/>
              <w:left w:val="nil"/>
              <w:bottom w:val="single" w:color="auto" w:sz="4"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龙岗区</w:t>
            </w:r>
          </w:p>
        </w:tc>
        <w:tc>
          <w:tcPr>
            <w:tcW w:w="125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龙岗区政府</w:t>
            </w: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广东大鹏LNG深圳坪前支线降压项目平湖调压站工程项目</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p>
        </w:tc>
        <w:tc>
          <w:tcPr>
            <w:tcW w:w="125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平湖南现代化铁路货场地块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南湾</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90</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平湖鹅公岭工业区地块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平湖</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50.56</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single" w:color="auto" w:sz="4" w:space="0"/>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深圳市金融产业服务基地地块</w:t>
            </w:r>
          </w:p>
        </w:tc>
        <w:tc>
          <w:tcPr>
            <w:tcW w:w="993" w:type="dxa"/>
            <w:tcBorders>
              <w:top w:val="single" w:color="auto" w:sz="4" w:space="0"/>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平湖</w:t>
            </w:r>
          </w:p>
        </w:tc>
        <w:tc>
          <w:tcPr>
            <w:tcW w:w="1842" w:type="dxa"/>
            <w:tcBorders>
              <w:top w:val="single" w:color="auto" w:sz="4" w:space="0"/>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141</w:t>
            </w:r>
          </w:p>
        </w:tc>
        <w:tc>
          <w:tcPr>
            <w:tcW w:w="1701" w:type="dxa"/>
            <w:tcBorders>
              <w:top w:val="single" w:color="auto" w:sz="4" w:space="0"/>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22.09</w:t>
            </w:r>
          </w:p>
        </w:tc>
        <w:tc>
          <w:tcPr>
            <w:tcW w:w="2694" w:type="dxa"/>
            <w:tcBorders>
              <w:top w:val="single" w:color="auto" w:sz="4" w:space="0"/>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体育新城二期地块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5.29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0.18</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三号屠宰场二期储备用地地块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14.25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0.472</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深圳市国际低碳城地块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18.3839</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龙岗区老太坑片区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230</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正坑水库水源保护区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横岗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46.25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坂田环城路与雅南路交界处地块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0.016</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坂田麻竹山片区整备地块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坂田东方龙生态谷地块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7.84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龙岗区坂田银湖山郊野公园地块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91.3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0.08</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坂田高山片区地块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3.96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坂田岗头落坑片区地块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2.46</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炳坑旧村地块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8.34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1.2697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龙西对面岭地块（儿童医院）</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龙岗</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0.92</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国际大学园</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80.45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南头直升机场新址（樟坑径新机场）整备地块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平湖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龙岗区土地整备利益统筹专项行动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龙岗区未完善征转地手续未建设空地处理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495" w:hRule="atLeast"/>
          <w:jc w:val="center"/>
        </w:trPr>
        <w:tc>
          <w:tcPr>
            <w:tcW w:w="0" w:type="auto"/>
            <w:vMerge w:val="continue"/>
            <w:tcBorders>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龙岗区村办学校土地房产遗留问题处理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原特区外村办学校土地房产遗留问题处理项目</w:t>
            </w:r>
          </w:p>
        </w:tc>
      </w:tr>
      <w:tr>
        <w:tblPrEx>
          <w:tblCellMar>
            <w:top w:w="0" w:type="dxa"/>
            <w:left w:w="108" w:type="dxa"/>
            <w:bottom w:w="0" w:type="dxa"/>
            <w:right w:w="108" w:type="dxa"/>
          </w:tblCellMar>
        </w:tblPrEx>
        <w:trPr>
          <w:trHeight w:val="283"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1309.69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50.0416</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nil"/>
              <w:left w:val="single" w:color="auto" w:sz="8" w:space="0"/>
              <w:bottom w:val="single" w:color="auto" w:sz="8"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龙华区</w:t>
            </w:r>
          </w:p>
        </w:tc>
        <w:tc>
          <w:tcPr>
            <w:tcW w:w="1254" w:type="dxa"/>
            <w:vMerge w:val="restart"/>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市规划和自然资源局</w:t>
            </w: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深华快速路—福龙立交工程（裕汇源收地）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5.41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南坪快速和十号线风景用地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13.34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华电地块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28.45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0.05</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达菲地块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7.38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1254" w:type="dxa"/>
            <w:vMerge w:val="restart"/>
            <w:tcBorders>
              <w:top w:val="single" w:color="auto" w:sz="4" w:space="0"/>
              <w:left w:val="single" w:color="auto" w:sz="4" w:space="0"/>
              <w:bottom w:val="single" w:color="auto" w:sz="4" w:space="0"/>
              <w:right w:val="single" w:color="auto" w:sz="4" w:space="0"/>
            </w:tcBorders>
            <w:vAlign w:val="center"/>
          </w:tcPr>
          <w:p>
            <w:pPr>
              <w:jc w:val="left"/>
              <w:rPr>
                <w:rFonts w:ascii="宋体" w:hAnsi="宋体" w:eastAsia="宋体" w:cs="宋体"/>
                <w:kern w:val="0"/>
                <w:sz w:val="20"/>
                <w:szCs w:val="20"/>
              </w:rPr>
            </w:pPr>
            <w:r>
              <w:rPr>
                <w:rFonts w:hint="eastAsia" w:ascii="宋体" w:hAnsi="宋体" w:eastAsia="宋体" w:cs="宋体"/>
                <w:kern w:val="0"/>
                <w:sz w:val="20"/>
                <w:szCs w:val="20"/>
              </w:rPr>
              <w:t>龙华区政府</w:t>
            </w: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库坑陂老收地项目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8.83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赣深铁路客运专线民治段（土地置换）</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狮塘路（收地部分）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0.22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库坑片区规划初中（收地部分）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0.54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观澜森林公园一期建设项目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9.74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观澜文化公园（大水田公园）建设工程</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29.333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nil"/>
              <w:left w:val="nil"/>
              <w:bottom w:val="single" w:color="auto" w:sz="8" w:space="0"/>
              <w:right w:val="single" w:color="auto" w:sz="8" w:space="0"/>
            </w:tcBorders>
            <w:vAlign w:val="center"/>
          </w:tcPr>
          <w:p>
            <w:pPr>
              <w:jc w:val="left"/>
              <w:rPr>
                <w:rFonts w:ascii="宋体" w:hAnsi="宋体" w:eastAsia="宋体" w:cs="宋体"/>
                <w:sz w:val="20"/>
                <w:szCs w:val="20"/>
              </w:rPr>
            </w:pPr>
            <w:r>
              <w:rPr>
                <w:rFonts w:hint="eastAsia"/>
                <w:sz w:val="20"/>
                <w:szCs w:val="20"/>
              </w:rPr>
              <w:t>观澜大兴社区公园工程项目</w:t>
            </w:r>
          </w:p>
        </w:tc>
        <w:tc>
          <w:tcPr>
            <w:tcW w:w="993" w:type="dxa"/>
            <w:tcBorders>
              <w:top w:val="nil"/>
              <w:left w:val="nil"/>
              <w:bottom w:val="single" w:color="auto" w:sz="8" w:space="0"/>
              <w:right w:val="single" w:color="auto" w:sz="8" w:space="0"/>
            </w:tcBorders>
            <w:vAlign w:val="center"/>
          </w:tcPr>
          <w:p>
            <w:pPr>
              <w:jc w:val="center"/>
              <w:rPr>
                <w:rFonts w:ascii="宋体" w:hAnsi="宋体" w:eastAsia="宋体" w:cs="宋体"/>
                <w:sz w:val="20"/>
                <w:szCs w:val="20"/>
              </w:rPr>
            </w:pPr>
            <w:r>
              <w:rPr>
                <w:rFonts w:hint="eastAsia"/>
                <w:sz w:val="20"/>
                <w:szCs w:val="20"/>
              </w:rPr>
              <w:t>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服装基地二期地块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九龙山科技园地块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219.32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12.67</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白鸽湖产业园（二期）</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25.34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科技文化核心区（一期）扩大范围</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138.72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0.71</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民治彩悦地块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大浪时尚小镇土地整备项目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133.19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大浪商服地块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7.37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九龙山高尔夫球场土地整备项目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124.94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地铁四号线北延车辆段（观澜高尔夫收地）地块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1701" w:type="dxa"/>
            <w:tcBorders>
              <w:top w:val="nil"/>
              <w:left w:val="nil"/>
              <w:bottom w:val="single" w:color="auto" w:sz="8" w:space="0"/>
              <w:right w:val="single" w:color="auto" w:sz="8" w:space="0"/>
            </w:tcBorders>
          </w:tcPr>
          <w:p>
            <w:pPr>
              <w:jc w:val="cente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能源公园</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 xml:space="preserve">5 </w:t>
            </w:r>
          </w:p>
        </w:tc>
        <w:tc>
          <w:tcPr>
            <w:tcW w:w="1701" w:type="dxa"/>
            <w:tcBorders>
              <w:top w:val="nil"/>
              <w:left w:val="nil"/>
              <w:bottom w:val="single" w:color="auto" w:sz="8" w:space="0"/>
              <w:right w:val="single" w:color="auto" w:sz="8" w:space="0"/>
            </w:tcBorders>
          </w:tcPr>
          <w:p>
            <w:pPr>
              <w:jc w:val="cente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长湖公园</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1701" w:type="dxa"/>
            <w:tcBorders>
              <w:top w:val="nil"/>
              <w:left w:val="nil"/>
              <w:bottom w:val="single" w:color="auto" w:sz="8" w:space="0"/>
              <w:right w:val="single" w:color="auto" w:sz="8" w:space="0"/>
            </w:tcBorders>
          </w:tcPr>
          <w:p>
            <w:pPr>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龙华区土地整备利益统筹专项行动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龙华区未完善征转地手续未建设空地处理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495" w:hRule="atLeast"/>
          <w:jc w:val="center"/>
        </w:trPr>
        <w:tc>
          <w:tcPr>
            <w:tcW w:w="0" w:type="auto"/>
            <w:vMerge w:val="continue"/>
            <w:tcBorders>
              <w:top w:val="nil"/>
              <w:left w:val="single" w:color="auto" w:sz="8" w:space="0"/>
              <w:bottom w:val="single" w:color="auto" w:sz="8"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龙华区村办学校土地房产遗留问题处理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原特区外村办学校土地房产遗留问题处理项目</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789.523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13.43</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55" w:hRule="atLeast"/>
          <w:jc w:val="center"/>
        </w:trPr>
        <w:tc>
          <w:tcPr>
            <w:tcW w:w="866"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坪山区</w:t>
            </w:r>
          </w:p>
        </w:tc>
        <w:tc>
          <w:tcPr>
            <w:tcW w:w="1254"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坪山区政府</w:t>
            </w:r>
          </w:p>
        </w:tc>
        <w:tc>
          <w:tcPr>
            <w:tcW w:w="740" w:type="dxa"/>
            <w:tcBorders>
              <w:top w:val="nil"/>
              <w:left w:val="nil"/>
              <w:bottom w:val="single" w:color="auto" w:sz="8" w:space="0"/>
              <w:right w:val="single" w:color="auto" w:sz="8" w:space="0"/>
            </w:tcBorders>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noWrap/>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安田片区土地整备项目</w:t>
            </w:r>
          </w:p>
        </w:tc>
        <w:tc>
          <w:tcPr>
            <w:tcW w:w="993" w:type="dxa"/>
            <w:tcBorders>
              <w:top w:val="nil"/>
              <w:left w:val="nil"/>
              <w:bottom w:val="single" w:color="auto" w:sz="8" w:space="0"/>
              <w:right w:val="single" w:color="auto" w:sz="8" w:space="0"/>
            </w:tcBorders>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碧岭</w:t>
            </w:r>
          </w:p>
        </w:tc>
        <w:tc>
          <w:tcPr>
            <w:tcW w:w="1842" w:type="dxa"/>
            <w:tcBorders>
              <w:top w:val="nil"/>
              <w:left w:val="nil"/>
              <w:bottom w:val="single" w:color="auto" w:sz="8" w:space="0"/>
              <w:right w:val="single" w:color="auto" w:sz="8" w:space="0"/>
            </w:tcBorders>
            <w:noWrap/>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noWrap/>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红花岭水库周边地块土地整备项目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马峦</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73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较大面积产业空间地块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石井、坑梓、马峦、碧岭</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415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0.8568</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南布社区整村统筹土地整备项目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28.48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0.0845</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沙湖整村统筹土地整备项目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碧岭</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362.95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1.2033</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金沙整村统筹土地整备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坑梓</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157.73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4.0391</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收购江岭保障性住房</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马峦</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5.582</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华谊兄弟文化影视城（二期）</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碧岭</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1.04</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老坑土地整备项目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1.91</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73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金田东路等8条道路土地整备</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石井、坪山、马峦、龙田、坑梓</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1.29</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坪山区土地整备利益统筹专项行动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坪山区未完善征转地手续未建设空地处理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208.01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0.2</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495" w:hRule="atLeast"/>
          <w:jc w:val="center"/>
        </w:trPr>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坪山区村办学校土地房产遗留问题处理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原特区外村办学校土地房产遗留问题处理项目</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1224.27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16.2057</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光明区</w:t>
            </w:r>
          </w:p>
        </w:tc>
        <w:tc>
          <w:tcPr>
            <w:tcW w:w="125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光明区政府</w:t>
            </w: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rPr>
                <w:rFonts w:ascii="宋体" w:hAnsi="宋体" w:eastAsia="宋体" w:cs="宋体"/>
                <w:sz w:val="20"/>
                <w:szCs w:val="20"/>
              </w:rPr>
            </w:pPr>
            <w:r>
              <w:rPr>
                <w:rFonts w:hint="eastAsia"/>
                <w:sz w:val="20"/>
                <w:szCs w:val="20"/>
              </w:rPr>
              <w:t>李松蓢产业整备片区</w:t>
            </w:r>
          </w:p>
        </w:tc>
        <w:tc>
          <w:tcPr>
            <w:tcW w:w="993" w:type="dxa"/>
            <w:tcBorders>
              <w:top w:val="nil"/>
              <w:left w:val="nil"/>
              <w:bottom w:val="single" w:color="auto" w:sz="8" w:space="0"/>
              <w:right w:val="single" w:color="auto" w:sz="8" w:space="0"/>
            </w:tcBorders>
            <w:vAlign w:val="center"/>
          </w:tcPr>
          <w:p>
            <w:pPr>
              <w:jc w:val="center"/>
              <w:rPr>
                <w:rFonts w:ascii="宋体" w:hAnsi="宋体" w:eastAsia="宋体" w:cs="宋体"/>
                <w:sz w:val="20"/>
                <w:szCs w:val="20"/>
              </w:rPr>
            </w:pPr>
            <w:r>
              <w:rPr>
                <w:rFonts w:hint="eastAsia"/>
                <w:sz w:val="20"/>
                <w:szCs w:val="20"/>
              </w:rPr>
              <w:t>公明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114</w:t>
            </w:r>
          </w:p>
        </w:tc>
        <w:tc>
          <w:tcPr>
            <w:tcW w:w="1701" w:type="dxa"/>
            <w:tcBorders>
              <w:top w:val="nil"/>
              <w:left w:val="nil"/>
              <w:bottom w:val="single" w:color="auto" w:sz="8" w:space="0"/>
              <w:right w:val="single" w:color="auto" w:sz="8" w:space="0"/>
            </w:tcBorders>
          </w:tcPr>
          <w:p>
            <w:pPr>
              <w:jc w:val="cente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rPr>
                <w:rFonts w:ascii="宋体" w:hAnsi="宋体" w:eastAsia="宋体" w:cs="宋体"/>
                <w:sz w:val="20"/>
                <w:szCs w:val="20"/>
              </w:rPr>
            </w:pPr>
            <w:r>
              <w:rPr>
                <w:rFonts w:hint="eastAsia"/>
                <w:sz w:val="20"/>
                <w:szCs w:val="20"/>
              </w:rPr>
              <w:t>重大项目置换用地</w:t>
            </w:r>
          </w:p>
        </w:tc>
        <w:tc>
          <w:tcPr>
            <w:tcW w:w="993" w:type="dxa"/>
            <w:tcBorders>
              <w:top w:val="nil"/>
              <w:left w:val="nil"/>
              <w:bottom w:val="single" w:color="auto" w:sz="8" w:space="0"/>
              <w:right w:val="single" w:color="auto" w:sz="8" w:space="0"/>
            </w:tcBorders>
            <w:vAlign w:val="center"/>
          </w:tcPr>
          <w:p>
            <w:pPr>
              <w:jc w:val="center"/>
              <w:rPr>
                <w:rFonts w:ascii="宋体" w:hAnsi="宋体" w:eastAsia="宋体" w:cs="宋体"/>
                <w:sz w:val="20"/>
                <w:szCs w:val="20"/>
              </w:rPr>
            </w:pPr>
            <w:r>
              <w:rPr>
                <w:rFonts w:hint="eastAsia"/>
                <w:sz w:val="20"/>
                <w:szCs w:val="20"/>
              </w:rPr>
              <w:t>公明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7.35</w:t>
            </w:r>
          </w:p>
        </w:tc>
        <w:tc>
          <w:tcPr>
            <w:tcW w:w="1701" w:type="dxa"/>
            <w:tcBorders>
              <w:top w:val="nil"/>
              <w:left w:val="nil"/>
              <w:bottom w:val="single" w:color="auto" w:sz="8" w:space="0"/>
              <w:right w:val="single" w:color="auto" w:sz="8" w:space="0"/>
            </w:tcBorders>
          </w:tcPr>
          <w:p>
            <w:pPr>
              <w:jc w:val="cente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rPr>
                <w:rFonts w:ascii="宋体" w:hAnsi="宋体" w:eastAsia="宋体" w:cs="宋体"/>
                <w:sz w:val="20"/>
                <w:szCs w:val="20"/>
              </w:rPr>
            </w:pPr>
            <w:r>
              <w:rPr>
                <w:rFonts w:hint="eastAsia"/>
                <w:sz w:val="20"/>
                <w:szCs w:val="20"/>
              </w:rPr>
              <w:t>马田石围社区地块</w:t>
            </w:r>
          </w:p>
        </w:tc>
        <w:tc>
          <w:tcPr>
            <w:tcW w:w="993" w:type="dxa"/>
            <w:tcBorders>
              <w:top w:val="nil"/>
              <w:left w:val="nil"/>
              <w:bottom w:val="single" w:color="auto" w:sz="8" w:space="0"/>
              <w:right w:val="single" w:color="auto" w:sz="8" w:space="0"/>
            </w:tcBorders>
            <w:vAlign w:val="center"/>
          </w:tcPr>
          <w:p>
            <w:pPr>
              <w:jc w:val="center"/>
              <w:rPr>
                <w:rFonts w:ascii="宋体" w:hAnsi="宋体" w:eastAsia="宋体" w:cs="宋体"/>
                <w:sz w:val="20"/>
                <w:szCs w:val="20"/>
              </w:rPr>
            </w:pPr>
            <w:r>
              <w:rPr>
                <w:rFonts w:hint="eastAsia"/>
                <w:sz w:val="20"/>
                <w:szCs w:val="20"/>
              </w:rPr>
              <w:t>马田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19.28</w:t>
            </w:r>
          </w:p>
        </w:tc>
        <w:tc>
          <w:tcPr>
            <w:tcW w:w="1701" w:type="dxa"/>
            <w:tcBorders>
              <w:top w:val="nil"/>
              <w:left w:val="nil"/>
              <w:bottom w:val="single" w:color="auto" w:sz="8" w:space="0"/>
              <w:right w:val="single" w:color="auto" w:sz="8" w:space="0"/>
            </w:tcBorders>
          </w:tcPr>
          <w:p>
            <w:pPr>
              <w:jc w:val="cente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rPr>
                <w:sz w:val="20"/>
                <w:szCs w:val="20"/>
              </w:rPr>
            </w:pPr>
            <w:r>
              <w:rPr>
                <w:rFonts w:hint="eastAsia"/>
                <w:sz w:val="20"/>
                <w:szCs w:val="20"/>
              </w:rPr>
              <w:t>区连片产业用地项目</w:t>
            </w:r>
          </w:p>
        </w:tc>
        <w:tc>
          <w:tcPr>
            <w:tcW w:w="993" w:type="dxa"/>
            <w:tcBorders>
              <w:top w:val="nil"/>
              <w:left w:val="nil"/>
              <w:bottom w:val="single" w:color="auto" w:sz="8" w:space="0"/>
              <w:right w:val="single" w:color="auto" w:sz="8" w:space="0"/>
            </w:tcBorders>
            <w:vAlign w:val="center"/>
          </w:tcPr>
          <w:p>
            <w:pPr>
              <w:jc w:val="center"/>
              <w:rPr>
                <w:rFonts w:ascii="宋体" w:hAnsi="宋体" w:eastAsia="宋体" w:cs="宋体"/>
                <w:sz w:val="20"/>
                <w:szCs w:val="20"/>
              </w:rPr>
            </w:pPr>
            <w:r>
              <w:rPr>
                <w:rFonts w:hint="eastAsia"/>
                <w:sz w:val="20"/>
                <w:szCs w:val="20"/>
              </w:rPr>
              <w:t>公明、马田、光明、凤凰、玉塘</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136</w:t>
            </w:r>
          </w:p>
        </w:tc>
        <w:tc>
          <w:tcPr>
            <w:tcW w:w="1701" w:type="dxa"/>
            <w:tcBorders>
              <w:top w:val="nil"/>
              <w:left w:val="nil"/>
              <w:bottom w:val="single" w:color="auto" w:sz="8" w:space="0"/>
              <w:right w:val="single" w:color="auto" w:sz="8"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光明科学城（核心大装置区）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494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光明中心区</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光明、新湖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307.79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新材料（石墨烯）产业基地意向选址地块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56.48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新一代信息技术产业基地意向选址地块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10.48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4"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nil"/>
              <w:left w:val="nil"/>
              <w:bottom w:val="single" w:color="auto" w:sz="4"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人工智能产业基地意向选址地块1</w:t>
            </w:r>
          </w:p>
        </w:tc>
        <w:tc>
          <w:tcPr>
            <w:tcW w:w="993" w:type="dxa"/>
            <w:tcBorders>
              <w:top w:val="nil"/>
              <w:left w:val="nil"/>
              <w:bottom w:val="single" w:color="auto" w:sz="4"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1842" w:type="dxa"/>
            <w:tcBorders>
              <w:top w:val="nil"/>
              <w:left w:val="nil"/>
              <w:bottom w:val="single" w:color="auto" w:sz="4"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w:t>
            </w:r>
          </w:p>
        </w:tc>
        <w:tc>
          <w:tcPr>
            <w:tcW w:w="1701" w:type="dxa"/>
            <w:tcBorders>
              <w:top w:val="nil"/>
              <w:left w:val="nil"/>
              <w:bottom w:val="single" w:color="auto" w:sz="4"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4"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甲子塘塘家片区地块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凤凰</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single" w:color="auto" w:sz="4" w:space="0"/>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光明科学城（启动区）</w:t>
            </w:r>
          </w:p>
        </w:tc>
        <w:tc>
          <w:tcPr>
            <w:tcW w:w="993" w:type="dxa"/>
            <w:tcBorders>
              <w:top w:val="single" w:color="auto" w:sz="4" w:space="0"/>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1842" w:type="dxa"/>
            <w:tcBorders>
              <w:top w:val="single" w:color="auto" w:sz="4" w:space="0"/>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182.21</w:t>
            </w:r>
          </w:p>
        </w:tc>
        <w:tc>
          <w:tcPr>
            <w:tcW w:w="1701" w:type="dxa"/>
            <w:tcBorders>
              <w:top w:val="single" w:color="auto" w:sz="4" w:space="0"/>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w:t>
            </w:r>
          </w:p>
        </w:tc>
        <w:tc>
          <w:tcPr>
            <w:tcW w:w="2694" w:type="dxa"/>
            <w:tcBorders>
              <w:top w:val="single" w:color="auto" w:sz="4" w:space="0"/>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2018年产业用地项目</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光明、马田、玉塘</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“12.20” 滑坡事故受影响区域及华星光电G11代线地块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凤凰、玉塘</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110</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43.64</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汇先丰公司A543-190宗地闲置土地处置收回地块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光明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0.366247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A632-0027部分用地收回地块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马田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中山大学·深圳地块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314.3</w:t>
            </w:r>
          </w:p>
        </w:tc>
        <w:tc>
          <w:tcPr>
            <w:tcW w:w="1701" w:type="dxa"/>
            <w:vMerge w:val="restart"/>
            <w:tcBorders>
              <w:top w:val="nil"/>
              <w:left w:val="single" w:color="auto" w:sz="8"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43.11076593</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中山大学·深圳附属第七医院扩建地块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中山大学·深圳附属配套设施地块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12.74</w:t>
            </w:r>
          </w:p>
        </w:tc>
        <w:tc>
          <w:tcPr>
            <w:tcW w:w="0" w:type="auto"/>
            <w:vMerge w:val="continue"/>
            <w:tcBorders>
              <w:top w:val="nil"/>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原光明农场职工发展用地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光明、新湖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53.7</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政府拟收回光明集团27宗用地</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光明、新湖</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111.41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73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原城市化转地预留23个地块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公明、新湖、凤凰、马田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128.75</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凤凰牛场周边地块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凤凰</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招拍挂地块及其他地块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上村社区征地返还用地地块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1.56</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历史遗留问题处理及储备用地清理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389.94</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26</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光明区土地整备利益统筹专项行动</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229.52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光明区未完善征转地手续未建设空地处理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150</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49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nil"/>
              <w:left w:val="single" w:color="auto" w:sz="4" w:space="0"/>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光明区村办学校土地房产遗留问题处理</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10.69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原特区外村办学校土地房产遗留问题处理项目</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4"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4"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4"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3238.7462</w:t>
            </w:r>
          </w:p>
        </w:tc>
        <w:tc>
          <w:tcPr>
            <w:tcW w:w="1701" w:type="dxa"/>
            <w:tcBorders>
              <w:top w:val="nil"/>
              <w:left w:val="nil"/>
              <w:bottom w:val="single" w:color="auto" w:sz="4"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121.7507659</w:t>
            </w:r>
          </w:p>
        </w:tc>
        <w:tc>
          <w:tcPr>
            <w:tcW w:w="2694" w:type="dxa"/>
            <w:tcBorders>
              <w:top w:val="nil"/>
              <w:left w:val="nil"/>
              <w:bottom w:val="single" w:color="auto" w:sz="4"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大鹏新区</w:t>
            </w:r>
          </w:p>
        </w:tc>
        <w:tc>
          <w:tcPr>
            <w:tcW w:w="1254"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大鹏新区管委会</w:t>
            </w: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中石油深圳LNG应急调峰站外输管道首站及雷公山隧道入口地块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866"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p>
        </w:tc>
        <w:tc>
          <w:tcPr>
            <w:tcW w:w="1254" w:type="dxa"/>
            <w:vMerge w:val="continue"/>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大鹏新区西涌片区土地整备项目</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50</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大鹏水头社区地块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大鹏</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124.84</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0.0103</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葵新社区25-05地块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葵涌</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溪涌社区01-10地块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葵涌</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0.1345</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南澳新大社区地块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南澳</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184.88</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0.4</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征转地历史遗留问题处理</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1034</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0.505</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招拍挂地块及其他地块</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75.09</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0.0304</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大鹏新区土地整备利益统筹专项行动</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土地整备利益统筹专项行动项目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大鹏新区未完善征转地手续未建设空地处理</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547.68</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0.4</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违法建筑空间管控专项行动项目</w:t>
            </w:r>
          </w:p>
        </w:tc>
      </w:tr>
      <w:tr>
        <w:tblPrEx>
          <w:tblCellMar>
            <w:top w:w="0" w:type="dxa"/>
            <w:left w:w="108" w:type="dxa"/>
            <w:bottom w:w="0" w:type="dxa"/>
            <w:right w:w="108" w:type="dxa"/>
          </w:tblCellMar>
        </w:tblPrEx>
        <w:trPr>
          <w:trHeight w:val="285" w:hRule="atLeast"/>
          <w:jc w:val="center"/>
        </w:trPr>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740"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3959"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大鹏新区村办学校土地房产遗留问题处理</w:t>
            </w:r>
          </w:p>
        </w:tc>
        <w:tc>
          <w:tcPr>
            <w:tcW w:w="993"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原特区外村办学校土地房产遗留问题处理项目</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2037.99</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1.4802</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495" w:hRule="atLeast"/>
          <w:jc w:val="center"/>
        </w:trPr>
        <w:tc>
          <w:tcPr>
            <w:tcW w:w="866" w:type="dxa"/>
            <w:vMerge w:val="restart"/>
            <w:tcBorders>
              <w:top w:val="nil"/>
              <w:left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前海合作区</w:t>
            </w:r>
          </w:p>
        </w:tc>
        <w:tc>
          <w:tcPr>
            <w:tcW w:w="1254"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市规划和自然资源局</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前海三大家及边防部队地块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由前海管理局安排资金</w:t>
            </w:r>
          </w:p>
        </w:tc>
      </w:tr>
      <w:tr>
        <w:tblPrEx>
          <w:tblCellMar>
            <w:top w:w="0" w:type="dxa"/>
            <w:left w:w="108" w:type="dxa"/>
            <w:bottom w:w="0" w:type="dxa"/>
            <w:right w:w="108" w:type="dxa"/>
          </w:tblCellMar>
        </w:tblPrEx>
        <w:trPr>
          <w:trHeight w:val="495" w:hRule="atLeast"/>
          <w:jc w:val="center"/>
        </w:trPr>
        <w:tc>
          <w:tcPr>
            <w:tcW w:w="0" w:type="auto"/>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254"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市工业和信息化局</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南山热电厂地块</w:t>
            </w:r>
          </w:p>
        </w:tc>
        <w:tc>
          <w:tcPr>
            <w:tcW w:w="993"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资金安排按市政府相关会议纪要执行</w:t>
            </w:r>
          </w:p>
        </w:tc>
      </w:tr>
      <w:tr>
        <w:tblPrEx>
          <w:tblCellMar>
            <w:top w:w="0" w:type="dxa"/>
            <w:left w:w="108" w:type="dxa"/>
            <w:bottom w:w="0" w:type="dxa"/>
            <w:right w:w="108" w:type="dxa"/>
          </w:tblCellMar>
        </w:tblPrEx>
        <w:trPr>
          <w:trHeight w:val="495" w:hRule="atLeast"/>
          <w:jc w:val="center"/>
        </w:trPr>
        <w:tc>
          <w:tcPr>
            <w:tcW w:w="0" w:type="auto"/>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254" w:type="dxa"/>
            <w:vMerge w:val="restart"/>
            <w:tcBorders>
              <w:top w:val="nil"/>
              <w:left w:val="nil"/>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前海管理局</w:t>
            </w: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妈湾跨海通道工程（前海段）</w:t>
            </w:r>
          </w:p>
        </w:tc>
        <w:tc>
          <w:tcPr>
            <w:tcW w:w="993" w:type="dxa"/>
            <w:tcBorders>
              <w:top w:val="nil"/>
              <w:left w:val="nil"/>
              <w:bottom w:val="single" w:color="auto" w:sz="8" w:space="0"/>
              <w:right w:val="single" w:color="auto" w:sz="8" w:space="0"/>
            </w:tcBorders>
            <w:vAlign w:val="center"/>
          </w:tcPr>
          <w:p>
            <w:pPr>
              <w:jc w:val="cente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5.1</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由前海管理局安排资金</w:t>
            </w:r>
          </w:p>
        </w:tc>
      </w:tr>
      <w:tr>
        <w:tblPrEx>
          <w:tblCellMar>
            <w:top w:w="0" w:type="dxa"/>
            <w:left w:w="108" w:type="dxa"/>
            <w:bottom w:w="0" w:type="dxa"/>
            <w:right w:w="108" w:type="dxa"/>
          </w:tblCellMar>
        </w:tblPrEx>
        <w:trPr>
          <w:trHeight w:val="495" w:hRule="atLeast"/>
          <w:jc w:val="center"/>
        </w:trPr>
        <w:tc>
          <w:tcPr>
            <w:tcW w:w="0" w:type="auto"/>
            <w:vMerge w:val="continue"/>
            <w:tcBorders>
              <w:left w:val="single" w:color="auto" w:sz="8" w:space="0"/>
              <w:bottom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1254" w:type="dxa"/>
            <w:vMerge w:val="continue"/>
            <w:tcBorders>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p>
        </w:tc>
        <w:tc>
          <w:tcPr>
            <w:tcW w:w="740"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3959"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月亮湾大道快速化改造先期实施项目-沿江立交D匝道工程</w:t>
            </w:r>
          </w:p>
        </w:tc>
        <w:tc>
          <w:tcPr>
            <w:tcW w:w="993" w:type="dxa"/>
            <w:tcBorders>
              <w:top w:val="nil"/>
              <w:left w:val="nil"/>
              <w:bottom w:val="single" w:color="auto" w:sz="8" w:space="0"/>
              <w:right w:val="single" w:color="auto" w:sz="8" w:space="0"/>
            </w:tcBorders>
            <w:vAlign w:val="center"/>
          </w:tcPr>
          <w:p>
            <w:pPr>
              <w:jc w:val="center"/>
            </w:pPr>
            <w:r>
              <w:rPr>
                <w:rFonts w:hint="eastAsia" w:ascii="宋体" w:hAnsi="宋体" w:eastAsia="宋体" w:cs="宋体"/>
                <w:kern w:val="0"/>
                <w:sz w:val="20"/>
                <w:szCs w:val="20"/>
              </w:rPr>
              <w:t>-</w:t>
            </w: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0.2</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p>
        </w:tc>
        <w:tc>
          <w:tcPr>
            <w:tcW w:w="2694" w:type="dxa"/>
            <w:tcBorders>
              <w:top w:val="nil"/>
              <w:left w:val="nil"/>
              <w:bottom w:val="single" w:color="auto" w:sz="8" w:space="0"/>
              <w:right w:val="single" w:color="auto" w:sz="8" w:space="0"/>
            </w:tcBorders>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由前海管理局安排资金</w:t>
            </w: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小计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2"/>
              </w:rPr>
            </w:pPr>
            <w:r>
              <w:rPr>
                <w:rFonts w:hint="eastAsia" w:ascii="宋体" w:hAnsi="宋体" w:eastAsia="宋体" w:cs="宋体"/>
                <w:b/>
                <w:bCs/>
                <w:kern w:val="0"/>
                <w:sz w:val="22"/>
              </w:rPr>
              <w:t>5.3</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r>
        <w:tblPrEx>
          <w:tblCellMar>
            <w:top w:w="0" w:type="dxa"/>
            <w:left w:w="108" w:type="dxa"/>
            <w:bottom w:w="0" w:type="dxa"/>
            <w:right w:w="108" w:type="dxa"/>
          </w:tblCellMar>
        </w:tblPrEx>
        <w:trPr>
          <w:trHeight w:val="285" w:hRule="atLeast"/>
          <w:jc w:val="center"/>
        </w:trPr>
        <w:tc>
          <w:tcPr>
            <w:tcW w:w="6819" w:type="dxa"/>
            <w:gridSpan w:val="4"/>
            <w:tcBorders>
              <w:top w:val="single" w:color="auto" w:sz="8" w:space="0"/>
              <w:left w:val="single" w:color="auto" w:sz="8" w:space="0"/>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合计</w:t>
            </w:r>
          </w:p>
        </w:tc>
        <w:tc>
          <w:tcPr>
            <w:tcW w:w="993" w:type="dxa"/>
            <w:tcBorders>
              <w:top w:val="nil"/>
              <w:left w:val="nil"/>
              <w:bottom w:val="single" w:color="auto" w:sz="8" w:space="0"/>
              <w:right w:val="single" w:color="auto" w:sz="8" w:space="0"/>
            </w:tcBorders>
            <w:vAlign w:val="center"/>
          </w:tcPr>
          <w:p>
            <w:pPr>
              <w:widowControl/>
              <w:jc w:val="left"/>
              <w:rPr>
                <w:rFonts w:eastAsia="宋体" w:cs="宋体"/>
              </w:rPr>
            </w:pPr>
          </w:p>
        </w:tc>
        <w:tc>
          <w:tcPr>
            <w:tcW w:w="1842"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ascii="宋体" w:hAnsi="宋体" w:eastAsia="宋体" w:cs="宋体"/>
                <w:b/>
                <w:bCs/>
                <w:kern w:val="0"/>
                <w:sz w:val="22"/>
              </w:rPr>
              <w:t>11068</w:t>
            </w:r>
          </w:p>
        </w:tc>
        <w:tc>
          <w:tcPr>
            <w:tcW w:w="1701" w:type="dxa"/>
            <w:tcBorders>
              <w:top w:val="nil"/>
              <w:left w:val="nil"/>
              <w:bottom w:val="single" w:color="auto" w:sz="8" w:space="0"/>
              <w:right w:val="single" w:color="auto" w:sz="8" w:space="0"/>
            </w:tcBorders>
            <w:vAlign w:val="center"/>
          </w:tcPr>
          <w:p>
            <w:pPr>
              <w:widowControl/>
              <w:jc w:val="center"/>
              <w:rPr>
                <w:rFonts w:ascii="宋体" w:hAnsi="宋体" w:eastAsia="宋体" w:cs="宋体"/>
                <w:b/>
                <w:bCs/>
                <w:kern w:val="0"/>
                <w:sz w:val="22"/>
              </w:rPr>
            </w:pPr>
            <w:r>
              <w:rPr>
                <w:rFonts w:hint="eastAsia" w:ascii="宋体" w:hAnsi="宋体" w:eastAsia="宋体" w:cs="宋体"/>
                <w:b/>
                <w:bCs/>
                <w:kern w:val="0"/>
                <w:sz w:val="22"/>
              </w:rPr>
              <w:t>260</w:t>
            </w:r>
          </w:p>
        </w:tc>
        <w:tc>
          <w:tcPr>
            <w:tcW w:w="2694" w:type="dxa"/>
            <w:tcBorders>
              <w:top w:val="nil"/>
              <w:left w:val="nil"/>
              <w:bottom w:val="single" w:color="auto" w:sz="8" w:space="0"/>
              <w:right w:val="single" w:color="auto" w:sz="8" w:space="0"/>
            </w:tcBorders>
            <w:vAlign w:val="center"/>
          </w:tcPr>
          <w:p>
            <w:pPr>
              <w:widowControl/>
              <w:jc w:val="left"/>
              <w:rPr>
                <w:rFonts w:eastAsia="宋体" w:cs="宋体"/>
              </w:rPr>
            </w:pPr>
          </w:p>
        </w:tc>
      </w:tr>
    </w:tbl>
    <w:p>
      <w:pPr>
        <w:widowControl/>
        <w:spacing w:before="156" w:beforeLines="50" w:line="240" w:lineRule="atLeast"/>
        <w:ind w:left="900" w:hanging="900" w:hangingChars="450"/>
        <w:rPr>
          <w:rFonts w:ascii="楷体_GB2312" w:hAnsi="宋体" w:eastAsia="楷体_GB2312"/>
          <w:bCs/>
          <w:sz w:val="20"/>
          <w:szCs w:val="18"/>
        </w:rPr>
      </w:pPr>
      <w:r>
        <w:rPr>
          <w:rFonts w:hint="eastAsia" w:ascii="楷体_GB2312" w:hAnsi="宋体" w:eastAsia="楷体_GB2312"/>
          <w:bCs/>
          <w:sz w:val="20"/>
          <w:szCs w:val="18"/>
        </w:rPr>
        <w:t>备注：</w:t>
      </w:r>
    </w:p>
    <w:p>
      <w:pPr>
        <w:widowControl/>
        <w:rPr>
          <w:rFonts w:ascii="楷体_GB2312" w:hAnsi="宋体" w:eastAsia="楷体_GB2312"/>
          <w:bCs/>
          <w:sz w:val="20"/>
          <w:szCs w:val="18"/>
        </w:rPr>
      </w:pPr>
      <w:r>
        <w:rPr>
          <w:rFonts w:hint="eastAsia" w:ascii="楷体_GB2312" w:hAnsi="宋体" w:eastAsia="楷体_GB2312"/>
          <w:bCs/>
          <w:sz w:val="20"/>
          <w:szCs w:val="18"/>
        </w:rPr>
        <w:t>1．安排“未完善征转地手续未建设空地处理”项目，各区违法建筑空间管控专项行动涉及地块无需再额外申报。</w:t>
      </w:r>
    </w:p>
    <w:p>
      <w:pPr>
        <w:widowControl/>
        <w:rPr>
          <w:rFonts w:ascii="楷体_GB2312" w:hAnsi="宋体" w:eastAsia="楷体_GB2312"/>
          <w:bCs/>
          <w:sz w:val="20"/>
          <w:szCs w:val="18"/>
        </w:rPr>
      </w:pPr>
      <w:r>
        <w:rPr>
          <w:rFonts w:hint="eastAsia" w:ascii="楷体_GB2312" w:hAnsi="宋体" w:eastAsia="楷体_GB2312"/>
          <w:bCs/>
          <w:sz w:val="20"/>
          <w:szCs w:val="18"/>
        </w:rPr>
        <w:t>2．安排“土地整备利益统筹专项行动”项目，具体各区土地整备利益统筹项目安排详见附表8。</w:t>
      </w:r>
    </w:p>
    <w:p>
      <w:pPr>
        <w:widowControl/>
      </w:pPr>
      <w:r>
        <w:rPr>
          <w:rFonts w:hint="eastAsia" w:ascii="楷体_GB2312" w:hAnsi="宋体" w:eastAsia="楷体_GB2312"/>
          <w:bCs/>
          <w:sz w:val="20"/>
          <w:szCs w:val="18"/>
        </w:rPr>
        <w:t>3．安排“村办学校土地房产遗留问题处理”项目,所有已列入《关于原特区外村办学校土地房产遗留问题处理的意见》（深规土规〔2018〕2号）中的原特区外96所村办小学项目无需再额外申报，96所村办小学以外的项目需单独申报纳入计划。</w:t>
      </w:r>
      <w:r>
        <w:br w:type="page"/>
      </w:r>
    </w:p>
    <w:p>
      <w:pPr>
        <w:pStyle w:val="559"/>
      </w:pPr>
      <w:bookmarkStart w:id="34" w:name="_Toc536448899"/>
      <w:bookmarkStart w:id="35" w:name="_Toc536718816"/>
      <w:bookmarkStart w:id="36" w:name="_Toc5979746"/>
      <w:r>
        <w:rPr>
          <w:rFonts w:hint="eastAsia"/>
        </w:rPr>
        <w:t>表7：深圳市2019年度土地整备安置房建设需求表</w:t>
      </w:r>
      <w:bookmarkEnd w:id="34"/>
      <w:bookmarkEnd w:id="35"/>
      <w:bookmarkEnd w:id="36"/>
    </w:p>
    <w:tbl>
      <w:tblPr>
        <w:tblStyle w:val="47"/>
        <w:tblW w:w="14313" w:type="dxa"/>
        <w:jc w:val="center"/>
        <w:tblLayout w:type="autofit"/>
        <w:tblCellMar>
          <w:top w:w="0" w:type="dxa"/>
          <w:left w:w="0" w:type="dxa"/>
          <w:bottom w:w="0" w:type="dxa"/>
          <w:right w:w="0" w:type="dxa"/>
        </w:tblCellMar>
      </w:tblPr>
      <w:tblGrid>
        <w:gridCol w:w="719"/>
        <w:gridCol w:w="1162"/>
        <w:gridCol w:w="4109"/>
        <w:gridCol w:w="1701"/>
        <w:gridCol w:w="1728"/>
        <w:gridCol w:w="1391"/>
        <w:gridCol w:w="3503"/>
      </w:tblGrid>
      <w:tr>
        <w:tblPrEx>
          <w:tblCellMar>
            <w:top w:w="0" w:type="dxa"/>
            <w:left w:w="0" w:type="dxa"/>
            <w:bottom w:w="0" w:type="dxa"/>
            <w:right w:w="0" w:type="dxa"/>
          </w:tblCellMar>
        </w:tblPrEx>
        <w:trPr>
          <w:trHeight w:val="598"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序号</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项目名称</w:t>
            </w:r>
          </w:p>
        </w:tc>
        <w:tc>
          <w:tcPr>
            <w:tcW w:w="170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项目用地面积</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（公顷）</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项目建设规模</w:t>
            </w:r>
          </w:p>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（万平方米）</w:t>
            </w:r>
          </w:p>
        </w:tc>
        <w:tc>
          <w:tcPr>
            <w:tcW w:w="139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项目总套数</w:t>
            </w:r>
          </w:p>
        </w:tc>
        <w:tc>
          <w:tcPr>
            <w:tcW w:w="3503"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拟安置的整备及征收项目</w:t>
            </w:r>
          </w:p>
        </w:tc>
      </w:tr>
      <w:tr>
        <w:tblPrEx>
          <w:tblCellMar>
            <w:top w:w="0" w:type="dxa"/>
            <w:left w:w="0" w:type="dxa"/>
            <w:bottom w:w="0" w:type="dxa"/>
            <w:right w:w="0" w:type="dxa"/>
          </w:tblCellMar>
        </w:tblPrEx>
        <w:trPr>
          <w:trHeight w:val="431" w:hRule="atLeast"/>
          <w:jc w:val="center"/>
        </w:trPr>
        <w:tc>
          <w:tcPr>
            <w:tcW w:w="14313" w:type="dxa"/>
            <w:gridSpan w:val="7"/>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rPr>
                <w:rFonts w:cs="宋体" w:asciiTheme="minorEastAsia" w:hAnsiTheme="minorEastAsia"/>
                <w:b/>
                <w:kern w:val="0"/>
                <w:sz w:val="24"/>
                <w:szCs w:val="28"/>
              </w:rPr>
            </w:pPr>
            <w:r>
              <w:rPr>
                <w:rFonts w:hint="eastAsia" w:cs="宋体" w:asciiTheme="minorEastAsia" w:hAnsiTheme="minorEastAsia"/>
                <w:b/>
                <w:kern w:val="0"/>
                <w:sz w:val="24"/>
                <w:szCs w:val="28"/>
              </w:rPr>
              <w:t xml:space="preserve">续建项目 </w:t>
            </w:r>
            <w:r>
              <w:rPr>
                <w:rFonts w:hint="eastAsia" w:cs="宋体" w:asciiTheme="minorEastAsia" w:hAnsiTheme="minorEastAsia"/>
                <w:b/>
                <w:kern w:val="0"/>
                <w:sz w:val="24"/>
                <w:szCs w:val="28"/>
                <w:u w:val="single"/>
              </w:rPr>
              <w:t xml:space="preserve">4 </w:t>
            </w:r>
            <w:r>
              <w:rPr>
                <w:rFonts w:hint="eastAsia" w:cs="宋体" w:asciiTheme="minorEastAsia" w:hAnsiTheme="minorEastAsia"/>
                <w:b/>
                <w:kern w:val="0"/>
                <w:sz w:val="24"/>
                <w:szCs w:val="28"/>
              </w:rPr>
              <w:t>个</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大鹏新区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大鹏东涌水库拆迁安置项目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2.27</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6.22</w:t>
            </w:r>
          </w:p>
        </w:tc>
        <w:tc>
          <w:tcPr>
            <w:tcW w:w="139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409</w:t>
            </w:r>
          </w:p>
        </w:tc>
        <w:tc>
          <w:tcPr>
            <w:tcW w:w="3503" w:type="dxa"/>
            <w:tcBorders>
              <w:top w:val="single" w:color="000000" w:sz="8" w:space="0"/>
              <w:left w:val="single" w:color="000000" w:sz="8" w:space="0"/>
              <w:bottom w:val="single" w:color="000000" w:sz="8" w:space="0"/>
              <w:right w:val="single" w:color="000000" w:sz="8" w:space="0"/>
            </w:tcBorders>
            <w:vAlign w:val="center"/>
          </w:tcPr>
          <w:p>
            <w:pPr>
              <w:jc w:val="center"/>
            </w:pPr>
            <w:r>
              <w:rPr>
                <w:rFonts w:hint="eastAsia" w:cs="宋体" w:asciiTheme="minorEastAsia" w:hAnsiTheme="minorEastAsia"/>
                <w:kern w:val="0"/>
                <w:sz w:val="24"/>
                <w:szCs w:val="28"/>
              </w:rPr>
              <w:t>东涌水库拆迁安置</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大鹏新区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南澳01-03地块安置房建设项目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2.97</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139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jc w:val="center"/>
              <w:rPr>
                <w:rFonts w:cs="宋体" w:asciiTheme="minorEastAsia" w:hAnsiTheme="minorEastAsia"/>
                <w:kern w:val="0"/>
                <w:sz w:val="24"/>
                <w:szCs w:val="28"/>
              </w:rPr>
            </w:pPr>
            <w:r>
              <w:rPr>
                <w:rFonts w:hint="eastAsia" w:cs="宋体" w:asciiTheme="minorEastAsia" w:hAnsiTheme="minorEastAsia"/>
                <w:kern w:val="0"/>
                <w:sz w:val="24"/>
                <w:szCs w:val="28"/>
              </w:rPr>
              <w:t>一级水源保护区等征地拆迁安置</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大鹏新区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大鹏办事处地块安置房建设项目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139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jc w:val="center"/>
              <w:rPr>
                <w:rFonts w:cs="宋体" w:asciiTheme="minorEastAsia" w:hAnsiTheme="minorEastAsia"/>
                <w:kern w:val="0"/>
                <w:sz w:val="24"/>
                <w:szCs w:val="28"/>
              </w:rPr>
            </w:pPr>
            <w:r>
              <w:rPr>
                <w:rFonts w:hint="eastAsia" w:cs="宋体" w:asciiTheme="minorEastAsia" w:hAnsiTheme="minorEastAsia"/>
                <w:kern w:val="0"/>
                <w:sz w:val="24"/>
                <w:szCs w:val="28"/>
              </w:rPr>
              <w:t>大鹏新区拆迁安置</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大鹏新区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葵涌办事处地块安置房建设项目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139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jc w:val="center"/>
              <w:rPr>
                <w:rFonts w:cs="宋体" w:asciiTheme="minorEastAsia" w:hAnsiTheme="minorEastAsia"/>
                <w:kern w:val="0"/>
                <w:sz w:val="24"/>
                <w:szCs w:val="28"/>
              </w:rPr>
            </w:pPr>
            <w:r>
              <w:rPr>
                <w:rFonts w:hint="eastAsia" w:cs="宋体" w:asciiTheme="minorEastAsia" w:hAnsiTheme="minorEastAsia"/>
                <w:kern w:val="0"/>
                <w:sz w:val="24"/>
                <w:szCs w:val="28"/>
              </w:rPr>
              <w:t>葵涌片区拆迁安置</w:t>
            </w:r>
          </w:p>
        </w:tc>
      </w:tr>
      <w:tr>
        <w:tblPrEx>
          <w:tblCellMar>
            <w:top w:w="0" w:type="dxa"/>
            <w:left w:w="0" w:type="dxa"/>
            <w:bottom w:w="0" w:type="dxa"/>
            <w:right w:w="0" w:type="dxa"/>
          </w:tblCellMar>
        </w:tblPrEx>
        <w:trPr>
          <w:trHeight w:val="431" w:hRule="atLeast"/>
          <w:jc w:val="center"/>
        </w:trPr>
        <w:tc>
          <w:tcPr>
            <w:tcW w:w="14313" w:type="dxa"/>
            <w:gridSpan w:val="7"/>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rPr>
                <w:rFonts w:cs="宋体" w:asciiTheme="minorEastAsia" w:hAnsiTheme="minorEastAsia"/>
                <w:b/>
                <w:kern w:val="0"/>
                <w:sz w:val="24"/>
                <w:szCs w:val="28"/>
              </w:rPr>
            </w:pPr>
            <w:r>
              <w:rPr>
                <w:rFonts w:hint="eastAsia" w:cs="宋体" w:asciiTheme="minorEastAsia" w:hAnsiTheme="minorEastAsia"/>
                <w:b/>
                <w:kern w:val="0"/>
                <w:sz w:val="24"/>
                <w:szCs w:val="28"/>
              </w:rPr>
              <w:t xml:space="preserve">新建项目 </w:t>
            </w:r>
            <w:r>
              <w:rPr>
                <w:rFonts w:hint="eastAsia" w:cs="宋体" w:asciiTheme="minorEastAsia" w:hAnsiTheme="minorEastAsia"/>
                <w:b/>
                <w:kern w:val="0"/>
                <w:sz w:val="24"/>
                <w:szCs w:val="28"/>
                <w:u w:val="single"/>
              </w:rPr>
              <w:t xml:space="preserve">4 </w:t>
            </w:r>
            <w:r>
              <w:rPr>
                <w:rFonts w:hint="eastAsia" w:cs="宋体" w:asciiTheme="minorEastAsia" w:hAnsiTheme="minorEastAsia"/>
                <w:b/>
                <w:kern w:val="0"/>
                <w:sz w:val="24"/>
                <w:szCs w:val="28"/>
              </w:rPr>
              <w:t>个</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宝安区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截流河（沙井段）、蚝乡路等项目拆迁安置房建设项目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3.65</w:t>
            </w:r>
          </w:p>
        </w:tc>
        <w:tc>
          <w:tcPr>
            <w:tcW w:w="139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大空港新城区截流河综合治理工程（沙井段）、蚝乡路等项目</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宝安区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宝安“一水”、石清大道等项目拆迁安置房建设项目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8.287</w:t>
            </w:r>
          </w:p>
        </w:tc>
        <w:tc>
          <w:tcPr>
            <w:tcW w:w="139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铁岗·石岩水质保障工程、石清大道等项目</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3</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宝安区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轨道13号线（宝安段）、赣深高铁（宝安段）等项目拆迁安置房建设项目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11.4</w:t>
            </w:r>
          </w:p>
        </w:tc>
        <w:tc>
          <w:tcPr>
            <w:tcW w:w="139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轨道13号线（宝安段）、赣深高铁（宝安段）等项目</w:t>
            </w:r>
          </w:p>
        </w:tc>
      </w:tr>
      <w:tr>
        <w:tblPrEx>
          <w:tblCellMar>
            <w:top w:w="0" w:type="dxa"/>
            <w:left w:w="0" w:type="dxa"/>
            <w:bottom w:w="0" w:type="dxa"/>
            <w:right w:w="0" w:type="dxa"/>
          </w:tblCellMar>
        </w:tblPrEx>
        <w:trPr>
          <w:trHeight w:val="570" w:hRule="atLeast"/>
          <w:jc w:val="center"/>
        </w:trPr>
        <w:tc>
          <w:tcPr>
            <w:tcW w:w="71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4</w:t>
            </w:r>
          </w:p>
        </w:tc>
        <w:tc>
          <w:tcPr>
            <w:tcW w:w="1162"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光明区</w:t>
            </w:r>
          </w:p>
        </w:tc>
        <w:tc>
          <w:tcPr>
            <w:tcW w:w="4109" w:type="dxa"/>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光明科学城拆迁安置房项目</w:t>
            </w:r>
          </w:p>
        </w:tc>
        <w:tc>
          <w:tcPr>
            <w:tcW w:w="170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23.4</w:t>
            </w:r>
          </w:p>
        </w:tc>
        <w:tc>
          <w:tcPr>
            <w:tcW w:w="1391" w:type="dxa"/>
            <w:tcBorders>
              <w:top w:val="single" w:color="000000" w:sz="8" w:space="0"/>
              <w:left w:val="single" w:color="000000" w:sz="8" w:space="0"/>
              <w:bottom w:val="single" w:color="000000" w:sz="8" w:space="0"/>
              <w:right w:val="single" w:color="000000" w:sz="8" w:space="0"/>
            </w:tcBorders>
            <w:vAlign w:val="center"/>
          </w:tcPr>
          <w:p>
            <w:pPr>
              <w:jc w:val="center"/>
            </w:pPr>
            <w:r>
              <w:rPr>
                <w:rFonts w:cs="宋体" w:asciiTheme="minorEastAsia" w:hAnsiTheme="minorEastAsia"/>
                <w:kern w:val="0"/>
                <w:sz w:val="24"/>
                <w:szCs w:val="28"/>
              </w:rPr>
              <w:t>-</w:t>
            </w:r>
          </w:p>
        </w:tc>
        <w:tc>
          <w:tcPr>
            <w:tcW w:w="3503"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kern w:val="0"/>
                <w:sz w:val="24"/>
                <w:szCs w:val="28"/>
              </w:rPr>
            </w:pPr>
            <w:r>
              <w:rPr>
                <w:rFonts w:hint="eastAsia" w:cs="宋体" w:asciiTheme="minorEastAsia" w:hAnsiTheme="minorEastAsia"/>
                <w:kern w:val="0"/>
                <w:sz w:val="24"/>
                <w:szCs w:val="28"/>
              </w:rPr>
              <w:t>光明科学城（启动区）</w:t>
            </w:r>
          </w:p>
        </w:tc>
      </w:tr>
      <w:tr>
        <w:tblPrEx>
          <w:tblCellMar>
            <w:top w:w="0" w:type="dxa"/>
            <w:left w:w="0" w:type="dxa"/>
            <w:bottom w:w="0" w:type="dxa"/>
            <w:right w:w="0" w:type="dxa"/>
          </w:tblCellMar>
        </w:tblPrEx>
        <w:trPr>
          <w:trHeight w:val="623" w:hRule="atLeast"/>
          <w:jc w:val="center"/>
        </w:trPr>
        <w:tc>
          <w:tcPr>
            <w:tcW w:w="5990" w:type="dxa"/>
            <w:gridSpan w:val="3"/>
            <w:tcBorders>
              <w:top w:val="single" w:color="000000" w:sz="8" w:space="0"/>
              <w:left w:val="single" w:color="000000" w:sz="8" w:space="0"/>
              <w:bottom w:val="single" w:color="000000" w:sz="8" w:space="0"/>
              <w:right w:val="single" w:color="000000" w:sz="8" w:space="0"/>
            </w:tcBorders>
            <w:shd w:val="clear" w:color="auto" w:fill="auto"/>
            <w:tcMar>
              <w:top w:w="8" w:type="dxa"/>
              <w:left w:w="8" w:type="dxa"/>
              <w:bottom w:w="0" w:type="dxa"/>
              <w:right w:w="8" w:type="dxa"/>
            </w:tcMar>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合计</w:t>
            </w:r>
          </w:p>
        </w:tc>
        <w:tc>
          <w:tcPr>
            <w:tcW w:w="170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5.24</w:t>
            </w:r>
          </w:p>
        </w:tc>
        <w:tc>
          <w:tcPr>
            <w:tcW w:w="1728"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52.957</w:t>
            </w:r>
          </w:p>
        </w:tc>
        <w:tc>
          <w:tcPr>
            <w:tcW w:w="1391"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hint="eastAsia" w:cs="宋体" w:asciiTheme="minorEastAsia" w:hAnsiTheme="minorEastAsia"/>
                <w:b/>
                <w:kern w:val="0"/>
                <w:sz w:val="24"/>
                <w:szCs w:val="28"/>
              </w:rPr>
              <w:t>409</w:t>
            </w:r>
          </w:p>
        </w:tc>
        <w:tc>
          <w:tcPr>
            <w:tcW w:w="3503" w:type="dxa"/>
            <w:tcBorders>
              <w:top w:val="single" w:color="000000" w:sz="8" w:space="0"/>
              <w:left w:val="single" w:color="000000" w:sz="8" w:space="0"/>
              <w:bottom w:val="single" w:color="000000" w:sz="8" w:space="0"/>
              <w:right w:val="single" w:color="000000" w:sz="8" w:space="0"/>
            </w:tcBorders>
            <w:vAlign w:val="center"/>
          </w:tcPr>
          <w:p>
            <w:pPr>
              <w:widowControl/>
              <w:jc w:val="center"/>
              <w:rPr>
                <w:rFonts w:cs="宋体" w:asciiTheme="minorEastAsia" w:hAnsiTheme="minorEastAsia"/>
                <w:b/>
                <w:kern w:val="0"/>
                <w:sz w:val="24"/>
                <w:szCs w:val="28"/>
              </w:rPr>
            </w:pPr>
            <w:r>
              <w:rPr>
                <w:rFonts w:cs="宋体" w:asciiTheme="minorEastAsia" w:hAnsiTheme="minorEastAsia"/>
                <w:kern w:val="0"/>
                <w:sz w:val="24"/>
                <w:szCs w:val="28"/>
              </w:rPr>
              <w:t>-</w:t>
            </w:r>
          </w:p>
        </w:tc>
      </w:tr>
    </w:tbl>
    <w:p>
      <w:pPr>
        <w:widowControl/>
        <w:spacing w:before="240"/>
        <w:rPr>
          <w:rFonts w:ascii="楷体_GB2312" w:hAnsi="宋体" w:eastAsia="楷体_GB2312"/>
          <w:bCs/>
          <w:sz w:val="18"/>
          <w:szCs w:val="18"/>
        </w:rPr>
      </w:pPr>
      <w:r>
        <w:rPr>
          <w:rFonts w:hint="eastAsia" w:ascii="楷体_GB2312" w:hAnsi="宋体" w:eastAsia="楷体_GB2312"/>
          <w:bCs/>
          <w:sz w:val="20"/>
          <w:szCs w:val="18"/>
        </w:rPr>
        <w:t>备注：新建的土地整备安置房项目，各区政府应就项目具体选址开展详细论证并形成项目建议书后，按程序开展安置房建设工作。</w:t>
      </w:r>
      <w:r>
        <w:rPr>
          <w:rFonts w:ascii="楷体_GB2312" w:hAnsi="宋体" w:eastAsia="楷体_GB2312"/>
          <w:bCs/>
          <w:sz w:val="18"/>
          <w:szCs w:val="18"/>
        </w:rPr>
        <w:br w:type="page"/>
      </w:r>
    </w:p>
    <w:p>
      <w:pPr>
        <w:pStyle w:val="559"/>
      </w:pPr>
      <w:bookmarkStart w:id="37" w:name="_Toc5979747"/>
      <w:bookmarkStart w:id="38" w:name="_Toc536718817"/>
      <w:r>
        <w:rPr>
          <w:rFonts w:hint="eastAsia"/>
        </w:rPr>
        <w:t>表8：深圳市</w:t>
      </w:r>
      <w:r>
        <w:t>201</w:t>
      </w:r>
      <w:r>
        <w:rPr>
          <w:rFonts w:hint="eastAsia"/>
        </w:rPr>
        <w:t>9年度土地整备利益统筹项目表</w:t>
      </w:r>
      <w:bookmarkEnd w:id="37"/>
    </w:p>
    <w:tbl>
      <w:tblPr>
        <w:tblStyle w:val="47"/>
        <w:tblW w:w="12346" w:type="dxa"/>
        <w:jc w:val="center"/>
        <w:tblLayout w:type="fixed"/>
        <w:tblCellMar>
          <w:top w:w="0" w:type="dxa"/>
          <w:left w:w="108" w:type="dxa"/>
          <w:bottom w:w="0" w:type="dxa"/>
          <w:right w:w="108" w:type="dxa"/>
        </w:tblCellMar>
      </w:tblPr>
      <w:tblGrid>
        <w:gridCol w:w="1560"/>
        <w:gridCol w:w="992"/>
        <w:gridCol w:w="5103"/>
        <w:gridCol w:w="1559"/>
        <w:gridCol w:w="3132"/>
      </w:tblGrid>
      <w:tr>
        <w:tblPrEx>
          <w:tblCellMar>
            <w:top w:w="0" w:type="dxa"/>
            <w:left w:w="108" w:type="dxa"/>
            <w:bottom w:w="0" w:type="dxa"/>
            <w:right w:w="108" w:type="dxa"/>
          </w:tblCellMar>
        </w:tblPrEx>
        <w:trPr>
          <w:trHeight w:val="283" w:hRule="atLeast"/>
          <w:tblHeader/>
          <w:jc w:val="center"/>
        </w:trPr>
        <w:tc>
          <w:tcPr>
            <w:tcW w:w="1560" w:type="dxa"/>
            <w:tcBorders>
              <w:top w:val="single" w:color="auto" w:sz="8" w:space="0"/>
              <w:left w:val="single" w:color="auto" w:sz="8" w:space="0"/>
              <w:bottom w:val="single" w:color="auto" w:sz="8" w:space="0"/>
              <w:right w:val="single" w:color="auto" w:sz="8" w:space="0"/>
            </w:tcBorders>
            <w:shd w:val="clear" w:color="auto" w:fill="auto"/>
            <w:vAlign w:val="center"/>
          </w:tcPr>
          <w:p>
            <w:pPr>
              <w:widowControl/>
              <w:jc w:val="center"/>
              <w:rPr>
                <w:rFonts w:cs="宋体" w:asciiTheme="minorEastAsia" w:hAnsiTheme="minorEastAsia"/>
                <w:b/>
                <w:kern w:val="0"/>
                <w:sz w:val="20"/>
                <w:szCs w:val="20"/>
              </w:rPr>
            </w:pPr>
            <w:r>
              <w:rPr>
                <w:rFonts w:hint="eastAsia" w:cs="宋体" w:asciiTheme="minorEastAsia" w:hAnsiTheme="minorEastAsia"/>
                <w:b/>
                <w:kern w:val="0"/>
                <w:sz w:val="20"/>
                <w:szCs w:val="20"/>
              </w:rPr>
              <w:t>项目位置</w:t>
            </w:r>
          </w:p>
        </w:tc>
        <w:tc>
          <w:tcPr>
            <w:tcW w:w="992"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cs="宋体" w:asciiTheme="minorEastAsia" w:hAnsiTheme="minorEastAsia"/>
                <w:b/>
                <w:kern w:val="0"/>
                <w:sz w:val="20"/>
                <w:szCs w:val="20"/>
              </w:rPr>
            </w:pPr>
            <w:r>
              <w:rPr>
                <w:rFonts w:hint="eastAsia" w:cs="宋体" w:asciiTheme="minorEastAsia" w:hAnsiTheme="minorEastAsia"/>
                <w:b/>
                <w:kern w:val="0"/>
                <w:sz w:val="20"/>
                <w:szCs w:val="20"/>
              </w:rPr>
              <w:t>序号</w:t>
            </w:r>
          </w:p>
        </w:tc>
        <w:tc>
          <w:tcPr>
            <w:tcW w:w="5103"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cs="宋体" w:asciiTheme="minorEastAsia" w:hAnsiTheme="minorEastAsia"/>
                <w:b/>
                <w:kern w:val="0"/>
                <w:sz w:val="20"/>
                <w:szCs w:val="20"/>
              </w:rPr>
            </w:pPr>
            <w:r>
              <w:rPr>
                <w:rFonts w:hint="eastAsia" w:cs="宋体" w:asciiTheme="minorEastAsia" w:hAnsiTheme="minorEastAsia"/>
                <w:b/>
                <w:kern w:val="0"/>
                <w:sz w:val="20"/>
                <w:szCs w:val="20"/>
              </w:rPr>
              <w:t>项目名称</w:t>
            </w:r>
          </w:p>
        </w:tc>
        <w:tc>
          <w:tcPr>
            <w:tcW w:w="1559"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cs="宋体" w:asciiTheme="minorEastAsia" w:hAnsiTheme="minorEastAsia"/>
                <w:b/>
                <w:kern w:val="0"/>
                <w:sz w:val="20"/>
                <w:szCs w:val="20"/>
              </w:rPr>
            </w:pPr>
            <w:r>
              <w:rPr>
                <w:rFonts w:hint="eastAsia" w:cs="宋体" w:asciiTheme="minorEastAsia" w:hAnsiTheme="minorEastAsia"/>
                <w:b/>
                <w:kern w:val="0"/>
                <w:sz w:val="20"/>
                <w:szCs w:val="20"/>
              </w:rPr>
              <w:t>街道</w:t>
            </w:r>
          </w:p>
        </w:tc>
        <w:tc>
          <w:tcPr>
            <w:tcW w:w="3132" w:type="dxa"/>
            <w:tcBorders>
              <w:top w:val="single" w:color="auto" w:sz="8" w:space="0"/>
              <w:left w:val="nil"/>
              <w:bottom w:val="single" w:color="auto" w:sz="8" w:space="0"/>
              <w:right w:val="single" w:color="auto" w:sz="8" w:space="0"/>
            </w:tcBorders>
            <w:shd w:val="clear" w:color="auto" w:fill="auto"/>
            <w:vAlign w:val="center"/>
          </w:tcPr>
          <w:p>
            <w:pPr>
              <w:widowControl/>
              <w:jc w:val="center"/>
              <w:rPr>
                <w:rFonts w:cs="宋体" w:asciiTheme="minorEastAsia" w:hAnsiTheme="minorEastAsia"/>
                <w:b/>
                <w:kern w:val="0"/>
                <w:sz w:val="20"/>
                <w:szCs w:val="20"/>
              </w:rPr>
            </w:pPr>
            <w:r>
              <w:rPr>
                <w:rFonts w:hint="eastAsia" w:cs="宋体" w:asciiTheme="minorEastAsia" w:hAnsiTheme="minorEastAsia"/>
                <w:b/>
                <w:kern w:val="0"/>
                <w:sz w:val="20"/>
                <w:szCs w:val="20"/>
              </w:rPr>
              <w:t>项目实施面积（公顷）</w:t>
            </w:r>
          </w:p>
        </w:tc>
      </w:tr>
      <w:tr>
        <w:tblPrEx>
          <w:tblCellMar>
            <w:top w:w="0" w:type="dxa"/>
            <w:left w:w="108" w:type="dxa"/>
            <w:bottom w:w="0" w:type="dxa"/>
            <w:right w:w="108" w:type="dxa"/>
          </w:tblCellMar>
        </w:tblPrEx>
        <w:trPr>
          <w:trHeight w:val="283" w:hRule="atLeast"/>
          <w:jc w:val="center"/>
        </w:trPr>
        <w:tc>
          <w:tcPr>
            <w:tcW w:w="1560" w:type="dxa"/>
            <w:vMerge w:val="restart"/>
            <w:tcBorders>
              <w:top w:val="nil"/>
              <w:left w:val="single" w:color="auto" w:sz="8" w:space="0"/>
              <w:bottom w:val="single" w:color="000000"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南山区</w:t>
            </w: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牛成村土地整备利益统筹项目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西丽、石岩</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141.26</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石壁龙土地整备利益统筹项目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西丽</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169</w:t>
            </w:r>
          </w:p>
        </w:tc>
      </w:tr>
      <w:tr>
        <w:trPr>
          <w:trHeight w:val="283" w:hRule="atLeast"/>
          <w:jc w:val="center"/>
        </w:trPr>
        <w:tc>
          <w:tcPr>
            <w:tcW w:w="1560" w:type="dxa"/>
            <w:vMerge w:val="restart"/>
            <w:tcBorders>
              <w:top w:val="nil"/>
              <w:left w:val="single" w:color="auto" w:sz="8" w:space="0"/>
              <w:right w:val="single" w:color="auto" w:sz="8"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宝安区</w:t>
            </w: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宝安区环境产业创新中心北区土地整备利益统筹项目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松岗</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2.25</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田心社区土地整备利益统筹项目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桥头社区土地整备利益统筹项目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28.7024</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凤凰社区土地整备利益统筹项目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福永</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14.05</w:t>
            </w:r>
          </w:p>
        </w:tc>
      </w:tr>
      <w:tr>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新桥社区土地整备利益统筹项目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新桥</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86.6547</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沙四社区土地整备利益统筹项目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沙井</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12.89</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和平社区土地整备利益统筹项目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福海</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20.0595</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三围社区土地整备利益统筹项目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8.597</w:t>
            </w:r>
          </w:p>
        </w:tc>
      </w:tr>
      <w:tr>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沙井街道壆岗地块土地整备利益统筹项目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沙井</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18.51</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石岩水田社区土地整备利益统筹项目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36.66</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沙井和一社区土地整备利益统筹项目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沙井</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28.44</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官田社区土地整备利益统筹项目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14.213</w:t>
            </w:r>
          </w:p>
        </w:tc>
      </w:tr>
      <w:tr>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祝龙田地块土地整备利益统筹项目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2.69</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钟屋社区土地整备利益统筹项目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航城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5.87</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祝龙田教育产业用地土地整备利益统筹项目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石岩</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7.18</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塘下涌地块土地整备利益统筹项目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燕罗</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4.38</w:t>
            </w:r>
          </w:p>
        </w:tc>
      </w:tr>
      <w:tr>
        <w:trPr>
          <w:trHeight w:val="283" w:hRule="atLeast"/>
          <w:jc w:val="center"/>
        </w:trPr>
        <w:tc>
          <w:tcPr>
            <w:tcW w:w="156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龙岗区</w:t>
            </w: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w:t>
            </w:r>
          </w:p>
        </w:tc>
        <w:tc>
          <w:tcPr>
            <w:tcW w:w="5103" w:type="dxa"/>
            <w:tcBorders>
              <w:top w:val="nil"/>
              <w:left w:val="nil"/>
              <w:bottom w:val="single" w:color="auto" w:sz="8" w:space="0"/>
              <w:right w:val="single" w:color="auto" w:sz="8" w:space="0"/>
            </w:tcBorders>
            <w:shd w:val="clear" w:color="auto" w:fill="auto"/>
          </w:tcPr>
          <w:p>
            <w:pPr>
              <w:jc w:val="left"/>
              <w:rPr>
                <w:rFonts w:ascii="宋体" w:hAnsi="宋体" w:eastAsia="宋体" w:cs="宋体"/>
                <w:kern w:val="0"/>
                <w:sz w:val="20"/>
                <w:szCs w:val="20"/>
              </w:rPr>
            </w:pPr>
            <w:r>
              <w:rPr>
                <w:rFonts w:hint="eastAsia" w:ascii="宋体" w:hAnsi="宋体" w:eastAsia="宋体" w:cs="宋体"/>
                <w:kern w:val="0"/>
                <w:sz w:val="20"/>
                <w:szCs w:val="20"/>
              </w:rPr>
              <w:t>宝龙街道龙新社区沙背坜片区土地整备利益统筹项目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53.18</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w:t>
            </w:r>
          </w:p>
        </w:tc>
        <w:tc>
          <w:tcPr>
            <w:tcW w:w="5103" w:type="dxa"/>
            <w:tcBorders>
              <w:top w:val="nil"/>
              <w:left w:val="nil"/>
              <w:bottom w:val="single" w:color="auto" w:sz="8" w:space="0"/>
              <w:right w:val="single" w:color="auto" w:sz="8" w:space="0"/>
            </w:tcBorders>
            <w:shd w:val="clear" w:color="auto" w:fill="auto"/>
          </w:tcPr>
          <w:p>
            <w:pPr>
              <w:jc w:val="left"/>
              <w:rPr>
                <w:rFonts w:ascii="宋体" w:hAnsi="宋体" w:eastAsia="宋体" w:cs="宋体"/>
                <w:kern w:val="0"/>
                <w:sz w:val="20"/>
                <w:szCs w:val="20"/>
              </w:rPr>
            </w:pPr>
            <w:r>
              <w:rPr>
                <w:rFonts w:hint="eastAsia" w:ascii="宋体" w:hAnsi="宋体" w:eastAsia="宋体" w:cs="宋体"/>
                <w:kern w:val="0"/>
                <w:sz w:val="20"/>
                <w:szCs w:val="20"/>
              </w:rPr>
              <w:t>园山街道荷坳社区长江埔片区土地整备利益统筹项目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园山</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龙岗五联社区土地整备利益统筹项目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龙岗</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111</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宝龙同乐社区老太坑村土地整备利益统筹项目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37.94</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23</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宝龙龙新社区大围村土地整备利益统筹项目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20.45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园山西坑社区土地整备利益统筹项目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园山</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14.6</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龙岗区罗岗地块土地整备利益统筹项目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布吉</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3.76</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横岗六约社区深坑片区土地整备利益统筹项目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横岗</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56.28</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宝龙坑尾片区土地整备利益统筹项目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11.01</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坪地坪西社区坪西南路55号片区土地整备利益统筹项目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5.85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29</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宝龙龙新社区兰水片区土地整备利益统筹项目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50.33</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30</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宝龙街道龙东社区吓井一村土地整备利益统筹项目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27.8</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宝龙街道龙东社区上井工业区土地整备利益统筹项目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32</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平湖鹅公岭工业区土地整备利益统筹项目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平湖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46</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平湖金融基地辅城坳土地整备利益统筹项目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平湖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92</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园山保安社区土地整备利益统筹项目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园山</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64</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坪地中心社区上輋村土地整备利益统筹项目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坪地四方埔社区土地整备利益统筹项目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293</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坪地中心社区富乐片区土地整备利益统筹项目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51</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龙岗龙东社区上井地块土地整备利益统筹项目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35.14</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39</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南湾中部片区土地整备利益统筹项目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南湾</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19.61</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龙岗区同德社区土地整备利益统筹项目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宝龙</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522</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龙岗区国际低碳城坪西片区土地整备利益统筹项目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204</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42</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南湾下李朗社区土地整备利益统筹项目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南湾</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16.5</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43</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坂田上雪社区土地整备利益统筹项目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坂田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7.88</w:t>
            </w:r>
          </w:p>
        </w:tc>
      </w:tr>
      <w:tr>
        <w:tblPrEx>
          <w:tblCellMar>
            <w:top w:w="0" w:type="dxa"/>
            <w:left w:w="108" w:type="dxa"/>
            <w:bottom w:w="0" w:type="dxa"/>
            <w:right w:w="108" w:type="dxa"/>
          </w:tblCellMar>
        </w:tblPrEx>
        <w:trPr>
          <w:trHeight w:val="283" w:hRule="atLeast"/>
          <w:jc w:val="center"/>
        </w:trPr>
        <w:tc>
          <w:tcPr>
            <w:tcW w:w="1560" w:type="dxa"/>
            <w:vMerge w:val="restart"/>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龙华区</w:t>
            </w: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44</w:t>
            </w:r>
          </w:p>
        </w:tc>
        <w:tc>
          <w:tcPr>
            <w:tcW w:w="5103" w:type="dxa"/>
            <w:tcBorders>
              <w:top w:val="nil"/>
              <w:left w:val="nil"/>
              <w:bottom w:val="single" w:color="auto" w:sz="8" w:space="0"/>
              <w:right w:val="single" w:color="auto" w:sz="8" w:space="0"/>
            </w:tcBorders>
            <w:shd w:val="clear" w:color="auto" w:fill="auto"/>
            <w:vAlign w:val="center"/>
          </w:tcPr>
          <w:p>
            <w:pPr>
              <w:rPr>
                <w:rFonts w:ascii="宋体" w:hAnsi="宋体" w:eastAsia="宋体" w:cs="宋体"/>
                <w:sz w:val="20"/>
                <w:szCs w:val="20"/>
              </w:rPr>
            </w:pPr>
            <w:r>
              <w:rPr>
                <w:rFonts w:hint="eastAsia"/>
                <w:sz w:val="20"/>
                <w:szCs w:val="20"/>
              </w:rPr>
              <w:t>福城桔新土地整备利益统筹项目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13.19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jc w:val="center"/>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45</w:t>
            </w:r>
          </w:p>
        </w:tc>
        <w:tc>
          <w:tcPr>
            <w:tcW w:w="5103" w:type="dxa"/>
            <w:tcBorders>
              <w:top w:val="nil"/>
              <w:left w:val="nil"/>
              <w:bottom w:val="single" w:color="auto" w:sz="8" w:space="0"/>
              <w:right w:val="single" w:color="auto" w:sz="8" w:space="0"/>
            </w:tcBorders>
            <w:shd w:val="clear" w:color="auto" w:fill="auto"/>
            <w:vAlign w:val="center"/>
          </w:tcPr>
          <w:p>
            <w:pPr>
              <w:rPr>
                <w:rFonts w:ascii="宋体" w:hAnsi="宋体" w:eastAsia="宋体" w:cs="宋体"/>
                <w:sz w:val="20"/>
                <w:szCs w:val="20"/>
              </w:rPr>
            </w:pPr>
            <w:r>
              <w:rPr>
                <w:rFonts w:hint="eastAsia"/>
                <w:sz w:val="20"/>
                <w:szCs w:val="20"/>
              </w:rPr>
              <w:t>樟坑径机场-运行保障区土地整备利益统筹项目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4.3</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46</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陶吓、元芬土地整备利益统筹项目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1.86</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47</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大浪新围土地整备利益统筹项目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4.29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48</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民治地块土地整备利益统筹项目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7.36</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49</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民治牛栏前土地整备利益统筹项目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13.99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50</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樟坑径直升机场土地整备利益统筹项目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37.47</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51</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大和片区土地整备利益统筹项目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7.1</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52</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观湖马坜片区土地整备利益统筹项目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7.79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新田片区土地整备利益统筹项目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13.63</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黎光产业片区土地整备利益统筹项目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80</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福城狮径宏远土地整备利益统筹项目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上横朗社区机荷高速边地块土地整备利益统筹项目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5.43</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三联地块土地整备利益统筹项目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17.94</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观澜黎光土地整备利益统筹项目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26</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59</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玉石新村地块土地整备利益统筹项目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21.18</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60</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大浪赖屋山（横朗）地块土地整备利益统筹项目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140.9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清湖股份合作公司土地整备利益统筹项目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15.91</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62</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观湖万安堂土地整备利益统筹项目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2.76</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63</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浪口河坑第四住宅区地块土地整备利益统筹项目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15.62</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清湖黄泥塘地块土地整备利益统筹项目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13.6</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大浪赖屋山菜地周边地块土地整备利益统筹项目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1.17</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观澜桂花土地利益统筹项目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1.71</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新百丽厂区用地土地整备利益统筹项目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7.79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观湖松元厦土地整备利益统筹项目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5.29</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69</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民治民乐地块土地整备利益统筹项目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民治</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5.37</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70</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观澜君子布土地整备利益统筹项目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16.1</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71</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观澜创君新土地整备利益统筹项目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5.2</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72</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观澜企坪土地整备利益统筹项目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5.3</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73</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观澜库坑陂新村土地整备利益统筹项目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74</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观澜库坑围仔村土地整备利益统筹项目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观澜</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4.2</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75</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福城狮径土地整备利益统筹项目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14.6</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76</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福城茜坑老围土地整备利益统筹项目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77</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福城茜坑新围土地整备利益统筹项目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福城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2.44</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78</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大浪颐丰华地块土地整备利益统筹项目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15.45</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ascii="宋体" w:hAnsi="宋体" w:eastAsia="宋体" w:cs="宋体"/>
                <w:kern w:val="0"/>
                <w:sz w:val="20"/>
                <w:szCs w:val="20"/>
              </w:rPr>
            </w:pPr>
          </w:p>
        </w:tc>
        <w:tc>
          <w:tcPr>
            <w:tcW w:w="992" w:type="dxa"/>
            <w:tcBorders>
              <w:top w:val="nil"/>
              <w:left w:val="single" w:color="auto" w:sz="4" w:space="0"/>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79</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大浪谭罗别墅区北侧土地整备利益统筹项目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大浪</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12.76</w:t>
            </w:r>
          </w:p>
        </w:tc>
      </w:tr>
      <w:tr>
        <w:tblPrEx>
          <w:tblCellMar>
            <w:top w:w="0" w:type="dxa"/>
            <w:left w:w="108" w:type="dxa"/>
            <w:bottom w:w="0" w:type="dxa"/>
            <w:right w:w="108" w:type="dxa"/>
          </w:tblCellMar>
        </w:tblPrEx>
        <w:trPr>
          <w:trHeight w:val="283" w:hRule="atLeast"/>
          <w:jc w:val="center"/>
        </w:trPr>
        <w:tc>
          <w:tcPr>
            <w:tcW w:w="1560" w:type="dxa"/>
            <w:vMerge w:val="restart"/>
            <w:tcBorders>
              <w:top w:val="single" w:color="auto" w:sz="4" w:space="0"/>
              <w:left w:val="single" w:color="auto" w:sz="8" w:space="0"/>
              <w:bottom w:val="single" w:color="000000"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坪山区</w:t>
            </w: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80</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田心土地整备利益统筹项目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石井</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145.25</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81</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田头土地整备利益统筹项目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石井</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142.43</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82</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沙田（二期）土地整备利益统筹项目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坑梓</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101.91</w:t>
            </w:r>
          </w:p>
        </w:tc>
      </w:tr>
      <w:tr>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83</w:t>
            </w:r>
          </w:p>
        </w:tc>
        <w:tc>
          <w:tcPr>
            <w:tcW w:w="5103" w:type="dxa"/>
            <w:tcBorders>
              <w:top w:val="nil"/>
              <w:left w:val="nil"/>
              <w:bottom w:val="single" w:color="auto" w:sz="8" w:space="0"/>
              <w:right w:val="single" w:color="auto" w:sz="8" w:space="0"/>
            </w:tcBorders>
            <w:shd w:val="clear" w:color="auto" w:fill="auto"/>
            <w:vAlign w:val="center"/>
          </w:tcPr>
          <w:p>
            <w:pPr>
              <w:widowControl/>
              <w:jc w:val="left"/>
              <w:rPr>
                <w:rFonts w:ascii="宋体" w:hAnsi="宋体" w:eastAsia="宋体" w:cs="宋体"/>
                <w:kern w:val="0"/>
                <w:sz w:val="20"/>
                <w:szCs w:val="20"/>
              </w:rPr>
            </w:pPr>
            <w:r>
              <w:rPr>
                <w:rFonts w:hint="eastAsia" w:ascii="宋体" w:hAnsi="宋体" w:eastAsia="宋体" w:cs="宋体"/>
                <w:kern w:val="0"/>
                <w:sz w:val="20"/>
                <w:szCs w:val="20"/>
              </w:rPr>
              <w:t>卢屋居民小组土地整备利益统筹项目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坑梓</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19.19</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田心社区树山背居民小组土地整备利益统筹项目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石井</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67.40</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龙田地块土地整备利益统筹项目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龙田</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6.79</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86</w:t>
            </w:r>
          </w:p>
        </w:tc>
        <w:tc>
          <w:tcPr>
            <w:tcW w:w="5103" w:type="dxa"/>
            <w:tcBorders>
              <w:top w:val="nil"/>
              <w:left w:val="nil"/>
              <w:bottom w:val="single" w:color="auto" w:sz="4"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沙田整村统筹（一期）土地整备利益统筹项目</w:t>
            </w:r>
          </w:p>
        </w:tc>
        <w:tc>
          <w:tcPr>
            <w:tcW w:w="1559"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坑梓</w:t>
            </w:r>
          </w:p>
        </w:tc>
        <w:tc>
          <w:tcPr>
            <w:tcW w:w="3132"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35.73</w:t>
            </w:r>
          </w:p>
        </w:tc>
      </w:tr>
      <w:tr>
        <w:trPr>
          <w:trHeight w:val="283" w:hRule="atLeast"/>
          <w:jc w:val="center"/>
        </w:trPr>
        <w:tc>
          <w:tcPr>
            <w:tcW w:w="1560" w:type="dxa"/>
            <w:vMerge w:val="restart"/>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r>
              <w:rPr>
                <w:rFonts w:hint="eastAsia" w:ascii="宋体" w:hAnsi="宋体" w:eastAsia="宋体" w:cs="宋体"/>
                <w:kern w:val="0"/>
                <w:sz w:val="20"/>
                <w:szCs w:val="20"/>
              </w:rPr>
              <w:t>光明区</w:t>
            </w: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87</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楼村社区空地土地整备利益统筹项目</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62</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jc w:val="center"/>
              <w:rPr>
                <w:rFonts w:ascii="宋体" w:hAnsi="宋体" w:eastAsia="宋体" w:cs="宋体"/>
                <w:kern w:val="0"/>
                <w:sz w:val="20"/>
                <w:szCs w:val="20"/>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88</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楼村社区狮山工业园土地整备利益统筹项目</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31.14</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89</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李松蓢社区土地整备利益统筹项目</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33.8</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90</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长圳社区土地整备利益统筹项目</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玉塘</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7.87</w:t>
            </w:r>
          </w:p>
        </w:tc>
      </w:tr>
      <w:tr>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91</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东坑社区土地整备利益统筹项目</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凤凰</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83.47</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ascii="宋体" w:hAnsi="宋体" w:eastAsia="宋体" w:cs="宋体"/>
                <w:kern w:val="0"/>
                <w:sz w:val="20"/>
                <w:szCs w:val="20"/>
              </w:rPr>
            </w:pPr>
          </w:p>
        </w:tc>
        <w:tc>
          <w:tcPr>
            <w:tcW w:w="99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92</w:t>
            </w:r>
          </w:p>
        </w:tc>
        <w:tc>
          <w:tcPr>
            <w:tcW w:w="5103"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甲子塘社区土地整备利益统筹项目</w:t>
            </w:r>
          </w:p>
        </w:tc>
        <w:tc>
          <w:tcPr>
            <w:tcW w:w="1559"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凤凰</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5.65</w:t>
            </w:r>
          </w:p>
        </w:tc>
      </w:tr>
      <w:tr>
        <w:tblPrEx>
          <w:tblCellMar>
            <w:top w:w="0" w:type="dxa"/>
            <w:left w:w="108" w:type="dxa"/>
            <w:bottom w:w="0" w:type="dxa"/>
            <w:right w:w="108" w:type="dxa"/>
          </w:tblCellMar>
        </w:tblPrEx>
        <w:trPr>
          <w:trHeight w:val="283" w:hRule="atLeast"/>
          <w:jc w:val="center"/>
        </w:trPr>
        <w:tc>
          <w:tcPr>
            <w:tcW w:w="1560" w:type="dxa"/>
            <w:vMerge w:val="continue"/>
            <w:tcBorders>
              <w:top w:val="single" w:color="auto" w:sz="4" w:space="0"/>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single" w:color="auto" w:sz="4" w:space="0"/>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93</w:t>
            </w:r>
          </w:p>
        </w:tc>
        <w:tc>
          <w:tcPr>
            <w:tcW w:w="5103" w:type="dxa"/>
            <w:tcBorders>
              <w:top w:val="single" w:color="auto" w:sz="4" w:space="0"/>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玉律社区土地整备利益统筹项目</w:t>
            </w:r>
          </w:p>
        </w:tc>
        <w:tc>
          <w:tcPr>
            <w:tcW w:w="1559" w:type="dxa"/>
            <w:tcBorders>
              <w:top w:val="single" w:color="auto" w:sz="4" w:space="0"/>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玉塘</w:t>
            </w:r>
          </w:p>
        </w:tc>
        <w:tc>
          <w:tcPr>
            <w:tcW w:w="3132" w:type="dxa"/>
            <w:tcBorders>
              <w:top w:val="single" w:color="auto" w:sz="4" w:space="0"/>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19.93</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94</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田寮社区土地整备利益统筹项目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玉塘</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19.85</w:t>
            </w:r>
          </w:p>
        </w:tc>
      </w:tr>
      <w:tr>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95</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楼村社区土地整备利益统筹项目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新湖</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27.82</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96</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上村社区土地整备利益统筹项目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7.18</w:t>
            </w:r>
          </w:p>
        </w:tc>
      </w:tr>
      <w:tr>
        <w:tblPrEx>
          <w:tblCellMar>
            <w:top w:w="0" w:type="dxa"/>
            <w:left w:w="108" w:type="dxa"/>
            <w:bottom w:w="0" w:type="dxa"/>
            <w:right w:w="108" w:type="dxa"/>
          </w:tblCellMar>
        </w:tblPrEx>
        <w:trPr>
          <w:trHeight w:val="283" w:hRule="atLeast"/>
          <w:jc w:val="center"/>
        </w:trPr>
        <w:tc>
          <w:tcPr>
            <w:tcW w:w="1560" w:type="dxa"/>
            <w:vMerge w:val="continue"/>
            <w:tcBorders>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97</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西田社区土地整备利益统筹项目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公明</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14.93</w:t>
            </w:r>
          </w:p>
        </w:tc>
      </w:tr>
      <w:tr>
        <w:tblPrEx>
          <w:tblCellMar>
            <w:top w:w="0" w:type="dxa"/>
            <w:left w:w="108" w:type="dxa"/>
            <w:bottom w:w="0" w:type="dxa"/>
            <w:right w:w="108" w:type="dxa"/>
          </w:tblCellMar>
        </w:tblPrEx>
        <w:trPr>
          <w:trHeight w:val="283" w:hRule="atLeast"/>
          <w:jc w:val="center"/>
        </w:trPr>
        <w:tc>
          <w:tcPr>
            <w:tcW w:w="1560" w:type="dxa"/>
            <w:vMerge w:val="restart"/>
            <w:tcBorders>
              <w:top w:val="nil"/>
              <w:left w:val="single" w:color="auto" w:sz="8" w:space="0"/>
              <w:bottom w:val="single" w:color="000000"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大鹏新区</w:t>
            </w: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98</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葵新-官湖片区土地整备利益统筹项目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葵涌</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40</w:t>
            </w:r>
          </w:p>
        </w:tc>
      </w:tr>
      <w:tr>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99</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布新社区土地整备利益统筹项目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大鹏</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26.63</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100</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西涌社区土地整备利益统筹项目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南澳</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79.58</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101</w:t>
            </w:r>
          </w:p>
        </w:tc>
        <w:tc>
          <w:tcPr>
            <w:tcW w:w="5103" w:type="dxa"/>
            <w:tcBorders>
              <w:top w:val="nil"/>
              <w:left w:val="nil"/>
              <w:bottom w:val="single" w:color="auto" w:sz="8"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葵丰社区土地整备利益统筹项目</w:t>
            </w:r>
          </w:p>
        </w:tc>
        <w:tc>
          <w:tcPr>
            <w:tcW w:w="1559"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葵涌</w:t>
            </w:r>
          </w:p>
        </w:tc>
        <w:tc>
          <w:tcPr>
            <w:tcW w:w="3132" w:type="dxa"/>
            <w:tcBorders>
              <w:top w:val="nil"/>
              <w:left w:val="nil"/>
              <w:bottom w:val="single" w:color="auto" w:sz="8"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22.61</w:t>
            </w:r>
          </w:p>
        </w:tc>
      </w:tr>
      <w:tr>
        <w:tblPrEx>
          <w:tblCellMar>
            <w:top w:w="0" w:type="dxa"/>
            <w:left w:w="108" w:type="dxa"/>
            <w:bottom w:w="0" w:type="dxa"/>
            <w:right w:w="108" w:type="dxa"/>
          </w:tblCellMar>
        </w:tblPrEx>
        <w:trPr>
          <w:trHeight w:val="283" w:hRule="atLeast"/>
          <w:jc w:val="center"/>
        </w:trPr>
        <w:tc>
          <w:tcPr>
            <w:tcW w:w="1560" w:type="dxa"/>
            <w:vMerge w:val="continue"/>
            <w:tcBorders>
              <w:top w:val="nil"/>
              <w:left w:val="single" w:color="auto" w:sz="8" w:space="0"/>
              <w:bottom w:val="single" w:color="auto" w:sz="4" w:space="0"/>
              <w:right w:val="single" w:color="auto" w:sz="8" w:space="0"/>
            </w:tcBorders>
            <w:vAlign w:val="center"/>
          </w:tcPr>
          <w:p>
            <w:pPr>
              <w:widowControl/>
              <w:jc w:val="left"/>
              <w:rPr>
                <w:rFonts w:ascii="宋体" w:hAnsi="宋体" w:eastAsia="宋体" w:cs="宋体"/>
                <w:kern w:val="0"/>
                <w:sz w:val="20"/>
                <w:szCs w:val="20"/>
              </w:rPr>
            </w:pPr>
          </w:p>
        </w:tc>
        <w:tc>
          <w:tcPr>
            <w:tcW w:w="992"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102</w:t>
            </w:r>
          </w:p>
        </w:tc>
        <w:tc>
          <w:tcPr>
            <w:tcW w:w="5103" w:type="dxa"/>
            <w:tcBorders>
              <w:top w:val="nil"/>
              <w:left w:val="nil"/>
              <w:bottom w:val="single" w:color="auto" w:sz="4" w:space="0"/>
              <w:right w:val="single" w:color="auto" w:sz="8" w:space="0"/>
            </w:tcBorders>
            <w:shd w:val="clear" w:color="auto" w:fill="auto"/>
            <w:vAlign w:val="center"/>
          </w:tcPr>
          <w:p>
            <w:pPr>
              <w:widowControl/>
              <w:rPr>
                <w:rFonts w:ascii="宋体" w:hAnsi="宋体" w:eastAsia="宋体" w:cs="宋体"/>
                <w:kern w:val="0"/>
                <w:sz w:val="20"/>
                <w:szCs w:val="20"/>
              </w:rPr>
            </w:pPr>
            <w:r>
              <w:rPr>
                <w:rFonts w:hint="eastAsia" w:ascii="宋体" w:hAnsi="宋体" w:eastAsia="宋体" w:cs="宋体"/>
                <w:kern w:val="0"/>
                <w:sz w:val="20"/>
                <w:szCs w:val="20"/>
              </w:rPr>
              <w:t>溪涌社区土地整备利益统筹项目</w:t>
            </w:r>
          </w:p>
        </w:tc>
        <w:tc>
          <w:tcPr>
            <w:tcW w:w="1559"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葵涌</w:t>
            </w:r>
          </w:p>
        </w:tc>
        <w:tc>
          <w:tcPr>
            <w:tcW w:w="3132" w:type="dxa"/>
            <w:tcBorders>
              <w:top w:val="nil"/>
              <w:left w:val="nil"/>
              <w:bottom w:val="single" w:color="auto" w:sz="4" w:space="0"/>
              <w:right w:val="single" w:color="auto" w:sz="8" w:space="0"/>
            </w:tcBorders>
            <w:shd w:val="clear" w:color="auto" w:fill="auto"/>
            <w:vAlign w:val="center"/>
          </w:tcPr>
          <w:p>
            <w:pPr>
              <w:widowControl/>
              <w:jc w:val="center"/>
              <w:rPr>
                <w:rFonts w:ascii="宋体" w:hAnsi="宋体" w:eastAsia="宋体" w:cs="宋体"/>
                <w:kern w:val="0"/>
                <w:sz w:val="20"/>
                <w:szCs w:val="20"/>
              </w:rPr>
            </w:pPr>
            <w:r>
              <w:rPr>
                <w:rFonts w:hint="eastAsia" w:ascii="宋体" w:hAnsi="宋体" w:eastAsia="宋体" w:cs="宋体"/>
                <w:kern w:val="0"/>
                <w:sz w:val="20"/>
                <w:szCs w:val="20"/>
              </w:rPr>
              <w:t>76</w:t>
            </w:r>
          </w:p>
        </w:tc>
      </w:tr>
      <w:tr>
        <w:trPr>
          <w:trHeight w:val="283" w:hRule="atLeast"/>
          <w:jc w:val="center"/>
        </w:trPr>
        <w:tc>
          <w:tcPr>
            <w:tcW w:w="9214" w:type="dxa"/>
            <w:gridSpan w:val="4"/>
            <w:tcBorders>
              <w:top w:val="single" w:color="auto" w:sz="4" w:space="0"/>
              <w:left w:val="single" w:color="auto" w:sz="4" w:space="0"/>
              <w:bottom w:val="single" w:color="auto" w:sz="4" w:space="0"/>
              <w:right w:val="single" w:color="auto" w:sz="4" w:space="0"/>
            </w:tcBorders>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合计</w:t>
            </w:r>
          </w:p>
        </w:tc>
        <w:tc>
          <w:tcPr>
            <w:tcW w:w="3132"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ascii="宋体" w:hAnsi="宋体" w:eastAsia="宋体" w:cs="宋体"/>
                <w:b/>
                <w:kern w:val="0"/>
                <w:sz w:val="20"/>
                <w:szCs w:val="20"/>
              </w:rPr>
            </w:pPr>
            <w:r>
              <w:rPr>
                <w:rFonts w:hint="eastAsia" w:ascii="宋体" w:hAnsi="宋体" w:eastAsia="宋体" w:cs="宋体"/>
                <w:b/>
                <w:kern w:val="0"/>
                <w:sz w:val="20"/>
                <w:szCs w:val="20"/>
              </w:rPr>
              <w:t>4087</w:t>
            </w:r>
          </w:p>
        </w:tc>
      </w:tr>
    </w:tbl>
    <w:p/>
    <w:p>
      <w:pPr>
        <w:widowControl/>
        <w:jc w:val="left"/>
      </w:pPr>
      <w:r>
        <w:br w:type="page"/>
      </w:r>
    </w:p>
    <w:bookmarkEnd w:id="38"/>
    <w:p>
      <w:pPr>
        <w:pStyle w:val="559"/>
      </w:pPr>
      <w:bookmarkStart w:id="39" w:name="_Toc5979748"/>
      <w:bookmarkStart w:id="40" w:name="_Toc377395443"/>
      <w:bookmarkStart w:id="41" w:name="_Toc479710675"/>
      <w:bookmarkStart w:id="42" w:name="_Toc516492154"/>
      <w:bookmarkStart w:id="43" w:name="_Toc536718818"/>
      <w:r>
        <w:rPr>
          <w:rFonts w:hint="eastAsia"/>
        </w:rPr>
        <w:t>表9：深圳市2019年度市本级财政承担的房屋征收常规项目表</w:t>
      </w:r>
      <w:bookmarkEnd w:id="39"/>
      <w:bookmarkEnd w:id="40"/>
      <w:bookmarkEnd w:id="41"/>
      <w:bookmarkEnd w:id="42"/>
      <w:bookmarkEnd w:id="43"/>
    </w:p>
    <w:p>
      <w:pPr>
        <w:rPr>
          <w:rFonts w:ascii="Calibri" w:hAnsi="Calibri" w:eastAsia="宋体" w:cs="Times New Roman"/>
        </w:rPr>
      </w:pPr>
      <w:r>
        <w:rPr>
          <w:rFonts w:hint="eastAsia" w:ascii="Calibri" w:hAnsi="Calibri" w:eastAsia="宋体" w:cs="Times New Roman"/>
        </w:rPr>
        <w:t xml:space="preserve">                                                                                                            单位：万平方米，万元</w:t>
      </w:r>
    </w:p>
    <w:tbl>
      <w:tblPr>
        <w:tblStyle w:val="48"/>
        <w:tblW w:w="1591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1"/>
        <w:gridCol w:w="991"/>
        <w:gridCol w:w="2061"/>
        <w:gridCol w:w="1391"/>
        <w:gridCol w:w="1134"/>
        <w:gridCol w:w="992"/>
        <w:gridCol w:w="1357"/>
        <w:gridCol w:w="1232"/>
        <w:gridCol w:w="1388"/>
        <w:gridCol w:w="1266"/>
        <w:gridCol w:w="1276"/>
        <w:gridCol w:w="227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551"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序号</w:t>
            </w:r>
          </w:p>
        </w:tc>
        <w:tc>
          <w:tcPr>
            <w:tcW w:w="991"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区域</w:t>
            </w:r>
          </w:p>
        </w:tc>
        <w:tc>
          <w:tcPr>
            <w:tcW w:w="2061"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项目名称</w:t>
            </w:r>
          </w:p>
        </w:tc>
        <w:tc>
          <w:tcPr>
            <w:tcW w:w="1391"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实施单位</w:t>
            </w:r>
          </w:p>
        </w:tc>
        <w:tc>
          <w:tcPr>
            <w:tcW w:w="1134"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项目总面积</w:t>
            </w:r>
          </w:p>
        </w:tc>
        <w:tc>
          <w:tcPr>
            <w:tcW w:w="992"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2019年计划面积</w:t>
            </w:r>
          </w:p>
        </w:tc>
        <w:tc>
          <w:tcPr>
            <w:tcW w:w="1357"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年度主要工作内容</w:t>
            </w:r>
          </w:p>
        </w:tc>
        <w:tc>
          <w:tcPr>
            <w:tcW w:w="1232"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起止年月</w:t>
            </w:r>
          </w:p>
        </w:tc>
        <w:tc>
          <w:tcPr>
            <w:tcW w:w="1388"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总投资</w:t>
            </w:r>
          </w:p>
        </w:tc>
        <w:tc>
          <w:tcPr>
            <w:tcW w:w="1266"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至2018年已下达的资金计划</w:t>
            </w:r>
          </w:p>
        </w:tc>
        <w:tc>
          <w:tcPr>
            <w:tcW w:w="1276"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申请年度投资</w:t>
            </w:r>
          </w:p>
        </w:tc>
        <w:tc>
          <w:tcPr>
            <w:tcW w:w="2272"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项目立项依据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5911" w:type="dxa"/>
            <w:gridSpan w:val="12"/>
            <w:vAlign w:val="center"/>
          </w:tcPr>
          <w:p>
            <w:pPr>
              <w:widowControl/>
              <w:jc w:val="left"/>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一、新建项目</w:t>
            </w:r>
            <w:r>
              <w:rPr>
                <w:rFonts w:hint="eastAsia" w:cs="Times New Roman" w:asciiTheme="minorEastAsia" w:hAnsiTheme="minorEastAsia" w:eastAsiaTheme="minorEastAsia"/>
                <w:b/>
                <w:bCs/>
                <w:kern w:val="0"/>
                <w:sz w:val="20"/>
                <w:szCs w:val="20"/>
                <w:u w:val="single"/>
              </w:rPr>
              <w:t xml:space="preserve"> 18 </w:t>
            </w:r>
            <w:r>
              <w:rPr>
                <w:rFonts w:hint="eastAsia" w:cs="Times New Roman" w:asciiTheme="minorEastAsia" w:hAnsiTheme="minorEastAsia" w:eastAsiaTheme="minorEastAsia"/>
                <w:b/>
                <w:bCs/>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罗湖辖区新屋吓实业股份合作公司征地历史遗留补偿项目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市治水提治指挥部第十一次会议纪要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车公庙综合交通枢纽工程-香蜜湖路交通综合改善工程项目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市政府办公会议纪要〔2012〕269号、深发改〔2016〕307号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盐龙大道</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深交盐田〔2018〕67号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深茂铁路</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铁总计统〔2017〕177号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珠江三角洲水资源配置工程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11.71</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2019-2023</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2452.76</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发改农经〔2018〕1105</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深圳市第十三高级中学</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0.94</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168</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168</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2016年政府投资项目计划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宝坪快速（福洲路二期）</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260000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深发改〔2016〕562号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大宝北路综合车场</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2.63</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深发改函〔2018〕565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燕罗综合车场</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深发改函〔2018〕565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龙华区人民检察院办案及专业技术用房建设项目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0.72</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深发改〔2018〕411号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龙华综合车场工程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深发改函〔2018〕565号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深圳市自然博物馆项目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金龟河小流域综合整治工程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深发改〔2019〕160号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深圳市药品检验研究院光明分院建设项目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tcPr>
          <w:p>
            <w:pPr>
              <w:rPr>
                <w:rFonts w:ascii="Times New Roman" w:hAnsi="Times New Roman" w:eastAsia="宋体" w:cs="Times New Roman"/>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深发改〔2018〕737号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珠江三角洲水资源配置工程（光明段）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tcPr>
          <w:p>
            <w:pPr>
              <w:rPr>
                <w:rFonts w:ascii="Times New Roman" w:hAnsi="Times New Roman" w:eastAsia="宋体" w:cs="Times New Roman"/>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发改农经〔2016〕1981号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光明森林公园一期建设项目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85.05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深发改〔2014〕869号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中山大学•深圳建设工程项目（一期）110KV圳美站工程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深发改函〔2017〕2100号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深圳观澜森林公园一期建设项目（绿道用地）</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深发改〔2008〕417号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84" w:hRule="atLeast"/>
          <w:jc w:val="center"/>
        </w:trPr>
        <w:tc>
          <w:tcPr>
            <w:tcW w:w="4994" w:type="dxa"/>
            <w:gridSpan w:val="4"/>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小计</w:t>
            </w:r>
          </w:p>
        </w:tc>
        <w:tc>
          <w:tcPr>
            <w:tcW w:w="1134"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174.63</w:t>
            </w:r>
          </w:p>
        </w:tc>
        <w:tc>
          <w:tcPr>
            <w:tcW w:w="992"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26.7</w:t>
            </w:r>
          </w:p>
        </w:tc>
        <w:tc>
          <w:tcPr>
            <w:tcW w:w="1357" w:type="dxa"/>
            <w:vAlign w:val="center"/>
          </w:tcPr>
          <w:p>
            <w:pPr>
              <w:widowControl/>
              <w:jc w:val="center"/>
              <w:rPr>
                <w:rFonts w:cs="Times New Roman" w:asciiTheme="minorEastAsia" w:hAnsiTheme="minorEastAsia" w:eastAsiaTheme="minorEastAsia"/>
                <w:b/>
                <w:bCs/>
                <w:kern w:val="0"/>
                <w:sz w:val="20"/>
                <w:szCs w:val="20"/>
              </w:rPr>
            </w:pPr>
          </w:p>
        </w:tc>
        <w:tc>
          <w:tcPr>
            <w:tcW w:w="1232" w:type="dxa"/>
            <w:vAlign w:val="center"/>
          </w:tcPr>
          <w:p>
            <w:pPr>
              <w:widowControl/>
              <w:jc w:val="center"/>
              <w:rPr>
                <w:rFonts w:cs="Times New Roman" w:asciiTheme="minorEastAsia" w:hAnsiTheme="minorEastAsia" w:eastAsiaTheme="minorEastAsia"/>
                <w:b/>
                <w:bCs/>
                <w:kern w:val="0"/>
                <w:sz w:val="20"/>
                <w:szCs w:val="20"/>
              </w:rPr>
            </w:pPr>
          </w:p>
        </w:tc>
        <w:tc>
          <w:tcPr>
            <w:tcW w:w="1388"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264590.76</w:t>
            </w:r>
          </w:p>
        </w:tc>
        <w:tc>
          <w:tcPr>
            <w:tcW w:w="1266" w:type="dxa"/>
            <w:vAlign w:val="center"/>
          </w:tcPr>
          <w:p>
            <w:pPr>
              <w:widowControl/>
              <w:jc w:val="center"/>
              <w:rPr>
                <w:rFonts w:cs="Times New Roman" w:asciiTheme="minorEastAsia" w:hAnsiTheme="minorEastAsia" w:eastAsiaTheme="minorEastAsia"/>
                <w:b/>
                <w:bCs/>
                <w:kern w:val="0"/>
                <w:sz w:val="20"/>
                <w:szCs w:val="20"/>
              </w:rPr>
            </w:pPr>
          </w:p>
        </w:tc>
        <w:tc>
          <w:tcPr>
            <w:tcW w:w="1276"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13738</w:t>
            </w:r>
          </w:p>
        </w:tc>
        <w:tc>
          <w:tcPr>
            <w:tcW w:w="2272" w:type="dxa"/>
            <w:vAlign w:val="center"/>
          </w:tcPr>
          <w:p>
            <w:pPr>
              <w:widowControl/>
              <w:jc w:val="center"/>
              <w:rPr>
                <w:rFonts w:cs="Times New Roman" w:asciiTheme="minorEastAsia" w:hAnsiTheme="minorEastAsia" w:eastAsiaTheme="minorEastAsia"/>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5911" w:type="dxa"/>
            <w:gridSpan w:val="12"/>
            <w:vAlign w:val="center"/>
          </w:tcPr>
          <w:p>
            <w:pPr>
              <w:widowControl/>
              <w:jc w:val="left"/>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二、续建项目</w:t>
            </w:r>
            <w:r>
              <w:rPr>
                <w:rFonts w:hint="eastAsia" w:cs="Times New Roman" w:asciiTheme="minorEastAsia" w:hAnsiTheme="minorEastAsia" w:eastAsiaTheme="minorEastAsia"/>
                <w:b/>
                <w:bCs/>
                <w:kern w:val="0"/>
                <w:sz w:val="20"/>
                <w:szCs w:val="20"/>
                <w:u w:val="single"/>
              </w:rPr>
              <w:t xml:space="preserve">  58  </w:t>
            </w:r>
            <w:r>
              <w:rPr>
                <w:rFonts w:hint="eastAsia" w:cs="Times New Roman" w:asciiTheme="minorEastAsia" w:hAnsiTheme="minorEastAsia" w:eastAsiaTheme="minorEastAsia"/>
                <w:b/>
                <w:bCs/>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罗湖区、南山区、宝安区、龙岗区、龙华区、光明区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赣深铁路客运专线深圳段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罗湖区政府、南山区政府、宝安区政府、龙岗区政府、龙华区政府、光明区政府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铁总鉴函〔2018〕248号</w:t>
            </w:r>
            <w:r>
              <w:rPr>
                <w:rFonts w:cs="Times New Roman" w:asciiTheme="minorEastAsia" w:hAnsiTheme="minorEastAsia" w:eastAsiaTheme="minorEastAsia"/>
                <w:kern w:val="0"/>
                <w:sz w:val="20"/>
                <w:szCs w:val="20"/>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宝安区、龙岗区、龙华区、坪山区、光明区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深圳外环高速公路</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深圳市特区建设发展集团有限公司</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823.79</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31.58</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630000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630000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粤发改交通函〔2014〕2020号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侨城东路北延工程福田辖区段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2014-2019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深发改〔2010〕1332号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春风路隧道工程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市政府常务会议纪要六届十一次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深圳市老龄综合服务中心涉及烟草工业有限责任公司旧址用地收地项目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罗湖区政府、市规划和自然资源局</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4925</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市政府五届一百三十三次常务会议纪要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春风隧道工程征收项目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0.04</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9700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市政府常务会议纪要六届十一次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深圳中学总体改造三期工程征收项目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深圳市教育局</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7.6</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2973</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深发改〔2009〕28号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东角头油气库企业搬迁整治项目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8.13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58595</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市政府办公会议纪要〔2008〕446号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南头直升机场搬迁</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82180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市政府办公会议纪要〔2015〕136号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大空港新城区截流河综合治理工程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5.69</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5.69</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38317</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38277</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深发改〔2016〕430号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深圳市五指耙森林公园</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145.09</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145.09</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28300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14608.89</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10555</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深发改〔2009〕976号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南环至玉律道路工程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0.84</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2012-2019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21330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深宝公路函〔2009〕258号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石清大道一期道路工程（石岩段）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40.63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37.22</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2014-2021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11580.98</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7017.17</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深发改〔2012〕832号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洲石路延长段市政工程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5.28</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5.28</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2014-2019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17050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16477.77</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235</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宝发改函〔2013〕377号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妈湾跨海通道</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37.65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凤凰山综合车场工程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3.07</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3.07</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深发改〔2016〕1086号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新沙路西延段（海滨大道-锦程路）</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326</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深发改〔2015〕385号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高速公路收费站及配套设施工程塘头收费站工程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9.94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9.94</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51.37</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深交函〔2016〕1111号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石清大道二期（石岩段）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10.78</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8.6</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226</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深发改〔2016〕484号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凤塘大道（和沙路-107国道）扩建工程项目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7.68</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9515.49</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8107.1</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深发改〔2013〕386号</w:t>
            </w:r>
            <w:r>
              <w:rPr>
                <w:rFonts w:hint="eastAsia" w:cs="Times New Roman" w:asciiTheme="minorEastAsia" w:hAnsiTheme="minorEastAsia" w:eastAsiaTheme="minorEastAsia"/>
                <w:kern w:val="0"/>
                <w:sz w:val="20"/>
                <w:szCs w:val="20"/>
              </w:rPr>
              <w:br w:type="textWrapping"/>
            </w:r>
            <w:r>
              <w:rPr>
                <w:rFonts w:hint="eastAsia" w:cs="Times New Roman" w:asciiTheme="minorEastAsia" w:hAnsiTheme="minorEastAsia" w:eastAsiaTheme="minorEastAsia"/>
                <w:kern w:val="0"/>
                <w:sz w:val="20"/>
                <w:szCs w:val="20"/>
              </w:rPr>
              <w:t>深发改〔2016〕308号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石岩河综合整治工程（二期）</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529.74</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深发改〔2018〕806号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石岩河综合整治工程（一期）</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3662.94</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1108.87</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上寮河上游段综合治理工程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1380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深发改〔2014〕1350号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广深沿江高速二期工程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123.16</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2015-2019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14278</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省政府会议纪要〔2015〕10号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茅洲河界河综合整治工程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19.81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0.39</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36804.97</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《深圳市人民政府关于印发第五轮市区政府投资事权划分实施方案的通知》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广东罗田森林公园</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460</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2015-2019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12922</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《深圳市人民政府关于印发第五轮市区政府投资事权划分实施方案的通知》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石岩北环路改造工程征地拆迁项目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23.75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23.75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2011-2019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6161.33</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3130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《深圳市人民政府关于印发第五轮市区政府投资事权划分实施方案的通知》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北线引水工程安全隐患整改（含龙茜供水改造工程）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71867</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17500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 年市水污染治理指挥部第二次例会暨市大气污染防治指挥部第二次例会纪要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深圳市吉华医院房屋征收项目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2011-2020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12000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深发改〔2009〕1052号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南坪快速路三期</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2015-2019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深发改〔2014〕972号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梅观高速公路清湖南段市政道路工程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10.19</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10.19</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深发改函〔2017〕2613号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秀峰收费站工程项目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深交函〔2016〕1111号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排榜收费站工程项目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12.32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648</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深交函〔2016〕1111号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龙岗收费站工程项目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深交函〔2016〕1111号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五和大道南坪快速连接线</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696.96</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观澜中学改扩建项目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9.27</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深发改〔2014〕177号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石龙仔路（大浪段）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429.18</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深发改〔2011〕1470号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深华快速路-福龙路立交工程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26.93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30800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市政府六届七次常务会议纪要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龙观快速北延段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深高指〔2016〕2号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市人民医院龙华分院</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深发改〔2013〕968号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龙华中学高中部</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2.66</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165</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深发改〔2013〕1538号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深华快速路（龙华段）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30800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市政府六届七次常务会议纪要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梅观高速公路清湖南段市政道路工程（龙华段）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120.63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深发改〔2010〕1008号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民乐路市政工程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189</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绿梓大道一标B段房屋征收项目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8.7</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170000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28600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绿梓大道二标房屋征收项目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15366</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18700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深坪发财函〔2015〕1637号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坪山新区横坪公路改造工程房屋征收项目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0.56</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2016-2019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2910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深发改〔2010〕1623号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聚龙路道路工程房屋征收项目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3014</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深发改〔2015〕1356号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南坪快速路三期工程房屋征收项目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2015-2019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深发改〔2010〕2536号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公明供水调蓄工程(二级保护区范围)</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244.84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72523.89</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940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市政府五届九十六次常务会议纪要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光侨大道至布龙路连接线市政工程光明新区段</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10.97</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0.06</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深发改〔2009〕260号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公常路中山大学深圳校区段下穿改造工程</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26.77</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深发改函〔2018〕1343号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深圳市公安消防支队消防应急救援实战训练基地（西田地块）房屋征收项目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深发改〔2009〕827号、深发改〔2015〕30号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坝光整体搬迁安置小区配套工程建设项目三路一渠</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2013-</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深发改〔2010〕2241号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坝光新兴产业基地房屋征收项目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2008-</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313000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311600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深发改〔2005〕597号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东涌水库征地拆迁补偿</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195.26</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2010-</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20500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市政府办公会议纪要〔2009〕156号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鹏坝路征地拆迁补偿</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2014-</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市政府办公会议纪要〔2014〕27号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76</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跨区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撤“二线”收地补偿</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市规自局</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深府协字〔2017〕第1号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4994" w:type="dxa"/>
            <w:gridSpan w:val="4"/>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小计</w:t>
            </w:r>
          </w:p>
        </w:tc>
        <w:tc>
          <w:tcPr>
            <w:tcW w:w="1134"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3212.61</w:t>
            </w:r>
          </w:p>
        </w:tc>
        <w:tc>
          <w:tcPr>
            <w:tcW w:w="992"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320.44</w:t>
            </w:r>
          </w:p>
        </w:tc>
        <w:tc>
          <w:tcPr>
            <w:tcW w:w="1357" w:type="dxa"/>
            <w:vAlign w:val="center"/>
          </w:tcPr>
          <w:p>
            <w:pPr>
              <w:widowControl/>
              <w:jc w:val="center"/>
              <w:rPr>
                <w:rFonts w:cs="Times New Roman" w:asciiTheme="minorEastAsia" w:hAnsiTheme="minorEastAsia" w:eastAsiaTheme="minorEastAsia"/>
                <w:b/>
                <w:bCs/>
                <w:kern w:val="0"/>
                <w:sz w:val="20"/>
                <w:szCs w:val="20"/>
              </w:rPr>
            </w:pPr>
          </w:p>
        </w:tc>
        <w:tc>
          <w:tcPr>
            <w:tcW w:w="1232" w:type="dxa"/>
            <w:vAlign w:val="center"/>
          </w:tcPr>
          <w:p>
            <w:pPr>
              <w:widowControl/>
              <w:jc w:val="center"/>
              <w:rPr>
                <w:rFonts w:cs="Times New Roman" w:asciiTheme="minorEastAsia" w:hAnsiTheme="minorEastAsia" w:eastAsiaTheme="minorEastAsia"/>
                <w:b/>
                <w:bCs/>
                <w:kern w:val="0"/>
                <w:sz w:val="20"/>
                <w:szCs w:val="20"/>
              </w:rPr>
            </w:pPr>
          </w:p>
        </w:tc>
        <w:tc>
          <w:tcPr>
            <w:tcW w:w="1388" w:type="dxa"/>
          </w:tcPr>
          <w:p>
            <w:pPr>
              <w:widowControl/>
              <w:jc w:val="center"/>
              <w:rPr>
                <w:rFonts w:cs="Times New Roman" w:asciiTheme="minorEastAsia" w:hAnsiTheme="minorEastAsia" w:eastAsiaTheme="minorEastAsia"/>
                <w:b/>
                <w:bCs/>
                <w:kern w:val="0"/>
                <w:sz w:val="20"/>
                <w:szCs w:val="20"/>
              </w:rPr>
            </w:pPr>
            <w:r>
              <w:rPr>
                <w:rFonts w:cs="Times New Roman" w:asciiTheme="minorEastAsia" w:hAnsiTheme="minorEastAsia" w:eastAsiaTheme="minorEastAsia"/>
                <w:b/>
                <w:bCs/>
                <w:kern w:val="0"/>
                <w:sz w:val="20"/>
                <w:szCs w:val="20"/>
              </w:rPr>
              <w:t xml:space="preserve">1836286.96 </w:t>
            </w:r>
          </w:p>
        </w:tc>
        <w:tc>
          <w:tcPr>
            <w:tcW w:w="1266" w:type="dxa"/>
          </w:tcPr>
          <w:p>
            <w:pPr>
              <w:widowControl/>
              <w:jc w:val="center"/>
              <w:rPr>
                <w:rFonts w:cs="Times New Roman" w:asciiTheme="minorEastAsia" w:hAnsiTheme="minorEastAsia" w:eastAsiaTheme="minorEastAsia"/>
                <w:b/>
                <w:bCs/>
                <w:kern w:val="0"/>
                <w:sz w:val="20"/>
                <w:szCs w:val="20"/>
              </w:rPr>
            </w:pPr>
            <w:r>
              <w:rPr>
                <w:rFonts w:cs="Times New Roman" w:asciiTheme="minorEastAsia" w:hAnsiTheme="minorEastAsia" w:eastAsiaTheme="minorEastAsia"/>
                <w:b/>
                <w:bCs/>
                <w:kern w:val="0"/>
                <w:sz w:val="20"/>
                <w:szCs w:val="20"/>
              </w:rPr>
              <w:t xml:space="preserve">1259502.68 </w:t>
            </w:r>
          </w:p>
        </w:tc>
        <w:tc>
          <w:tcPr>
            <w:tcW w:w="1276" w:type="dxa"/>
          </w:tcPr>
          <w:p>
            <w:pPr>
              <w:widowControl/>
              <w:jc w:val="center"/>
              <w:rPr>
                <w:rFonts w:cs="Times New Roman" w:asciiTheme="minorEastAsia" w:hAnsiTheme="minorEastAsia" w:eastAsiaTheme="minorEastAsia"/>
                <w:b/>
                <w:bCs/>
                <w:kern w:val="0"/>
                <w:sz w:val="20"/>
                <w:szCs w:val="20"/>
              </w:rPr>
            </w:pPr>
            <w:r>
              <w:rPr>
                <w:rFonts w:cs="Times New Roman" w:asciiTheme="minorEastAsia" w:hAnsiTheme="minorEastAsia" w:eastAsiaTheme="minorEastAsia"/>
                <w:b/>
                <w:bCs/>
                <w:kern w:val="0"/>
                <w:sz w:val="20"/>
                <w:szCs w:val="20"/>
              </w:rPr>
              <w:t xml:space="preserve">253357 </w:t>
            </w:r>
          </w:p>
        </w:tc>
        <w:tc>
          <w:tcPr>
            <w:tcW w:w="2272" w:type="dxa"/>
            <w:vAlign w:val="center"/>
          </w:tcPr>
          <w:p>
            <w:pPr>
              <w:widowControl/>
              <w:jc w:val="center"/>
              <w:rPr>
                <w:rFonts w:cs="Times New Roman" w:asciiTheme="minorEastAsia" w:hAnsiTheme="minorEastAsia" w:eastAsiaTheme="minorEastAsia"/>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5911" w:type="dxa"/>
            <w:gridSpan w:val="12"/>
            <w:vAlign w:val="center"/>
          </w:tcPr>
          <w:p>
            <w:pPr>
              <w:widowControl/>
              <w:jc w:val="left"/>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三、其他项目</w:t>
            </w:r>
            <w:r>
              <w:rPr>
                <w:rFonts w:hint="eastAsia" w:cs="Times New Roman" w:asciiTheme="minorEastAsia" w:hAnsiTheme="minorEastAsia" w:eastAsiaTheme="minorEastAsia"/>
                <w:b/>
                <w:bCs/>
                <w:kern w:val="0"/>
                <w:sz w:val="20"/>
                <w:szCs w:val="20"/>
                <w:u w:val="single"/>
              </w:rPr>
              <w:t xml:space="preserve"> 5 </w:t>
            </w:r>
            <w:r>
              <w:rPr>
                <w:rFonts w:hint="eastAsia" w:cs="Times New Roman" w:asciiTheme="minorEastAsia" w:hAnsiTheme="minorEastAsia" w:eastAsiaTheme="minorEastAsia"/>
                <w:b/>
                <w:bCs/>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跨区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零星征（收）地及房屋征收项目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市规自局</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零星项目征（收）地及房屋征收补偿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跨区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征（收）地及房屋征收项目的测绘评估等技术支持费用</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市规自局</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征（收）地及房屋征收补偿项目的测绘及评估等技术支持费用</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79</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龙岗区、坪山区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深汕西高速公路改扩建工程项目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龙岗区政府、坪山区政府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2018-2019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补偿费用由企业支付</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粤发改交通函〔2018〕783号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惠盐高速公路深圳段改扩建工程项目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63.38</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2017-2021</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补偿费用由企业支付</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粤发改交通函〔2017〕2582号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5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81</w:t>
            </w:r>
          </w:p>
        </w:tc>
        <w:tc>
          <w:tcPr>
            <w:tcW w:w="9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06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东部过境快速路房屋征收补偿项目</w:t>
            </w:r>
          </w:p>
        </w:tc>
        <w:tc>
          <w:tcPr>
            <w:tcW w:w="1391"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185.42</w:t>
            </w:r>
          </w:p>
        </w:tc>
        <w:tc>
          <w:tcPr>
            <w:tcW w:w="99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0.08</w:t>
            </w:r>
          </w:p>
        </w:tc>
        <w:tc>
          <w:tcPr>
            <w:tcW w:w="1357"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3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2015-2019</w:t>
            </w:r>
          </w:p>
        </w:tc>
        <w:tc>
          <w:tcPr>
            <w:tcW w:w="1388"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135000</w:t>
            </w:r>
          </w:p>
        </w:tc>
        <w:tc>
          <w:tcPr>
            <w:tcW w:w="126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276"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补偿费用由企业支付</w:t>
            </w:r>
          </w:p>
        </w:tc>
        <w:tc>
          <w:tcPr>
            <w:tcW w:w="2272" w:type="dxa"/>
            <w:vAlign w:val="center"/>
          </w:tcPr>
          <w:p>
            <w:pPr>
              <w:widowControl/>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粤发改交通〔2010〕243号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4994" w:type="dxa"/>
            <w:gridSpan w:val="4"/>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小计</w:t>
            </w:r>
          </w:p>
        </w:tc>
        <w:tc>
          <w:tcPr>
            <w:tcW w:w="1134" w:type="dxa"/>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248.8</w:t>
            </w:r>
          </w:p>
        </w:tc>
        <w:tc>
          <w:tcPr>
            <w:tcW w:w="992" w:type="dxa"/>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5.08</w:t>
            </w:r>
          </w:p>
        </w:tc>
        <w:tc>
          <w:tcPr>
            <w:tcW w:w="1357" w:type="dxa"/>
            <w:noWrap/>
            <w:vAlign w:val="center"/>
          </w:tcPr>
          <w:p>
            <w:pPr>
              <w:widowControl/>
              <w:jc w:val="center"/>
              <w:rPr>
                <w:rFonts w:cs="Times New Roman" w:asciiTheme="minorEastAsia" w:hAnsiTheme="minorEastAsia" w:eastAsiaTheme="minorEastAsia"/>
                <w:b/>
                <w:bCs/>
                <w:kern w:val="0"/>
                <w:sz w:val="20"/>
                <w:szCs w:val="20"/>
              </w:rPr>
            </w:pPr>
          </w:p>
        </w:tc>
        <w:tc>
          <w:tcPr>
            <w:tcW w:w="1232" w:type="dxa"/>
            <w:noWrap/>
            <w:vAlign w:val="center"/>
          </w:tcPr>
          <w:p>
            <w:pPr>
              <w:widowControl/>
              <w:jc w:val="center"/>
              <w:rPr>
                <w:rFonts w:cs="Times New Roman" w:asciiTheme="minorEastAsia" w:hAnsiTheme="minorEastAsia" w:eastAsiaTheme="minorEastAsia"/>
                <w:b/>
                <w:bCs/>
                <w:kern w:val="0"/>
                <w:sz w:val="20"/>
                <w:szCs w:val="20"/>
              </w:rPr>
            </w:pPr>
          </w:p>
        </w:tc>
        <w:tc>
          <w:tcPr>
            <w:tcW w:w="1388" w:type="dxa"/>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187000</w:t>
            </w:r>
          </w:p>
        </w:tc>
        <w:tc>
          <w:tcPr>
            <w:tcW w:w="1266" w:type="dxa"/>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0</w:t>
            </w:r>
          </w:p>
        </w:tc>
        <w:tc>
          <w:tcPr>
            <w:tcW w:w="1276" w:type="dxa"/>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500</w:t>
            </w:r>
          </w:p>
        </w:tc>
        <w:tc>
          <w:tcPr>
            <w:tcW w:w="2272" w:type="dxa"/>
            <w:noWrap/>
            <w:vAlign w:val="center"/>
          </w:tcPr>
          <w:p>
            <w:pPr>
              <w:widowControl/>
              <w:jc w:val="center"/>
              <w:rPr>
                <w:rFonts w:cs="Times New Roman" w:asciiTheme="minorEastAsia" w:hAnsiTheme="minorEastAsia" w:eastAsiaTheme="minorEastAsia"/>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4994" w:type="dxa"/>
            <w:gridSpan w:val="4"/>
            <w:noWrap/>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合计</w:t>
            </w:r>
          </w:p>
        </w:tc>
        <w:tc>
          <w:tcPr>
            <w:tcW w:w="1134"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3636.05</w:t>
            </w:r>
          </w:p>
        </w:tc>
        <w:tc>
          <w:tcPr>
            <w:tcW w:w="992"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352.21</w:t>
            </w:r>
          </w:p>
        </w:tc>
        <w:tc>
          <w:tcPr>
            <w:tcW w:w="1357" w:type="dxa"/>
            <w:vAlign w:val="center"/>
          </w:tcPr>
          <w:p>
            <w:pPr>
              <w:widowControl/>
              <w:jc w:val="center"/>
              <w:rPr>
                <w:rFonts w:cs="Times New Roman" w:asciiTheme="minorEastAsia" w:hAnsiTheme="minorEastAsia" w:eastAsiaTheme="minorEastAsia"/>
                <w:b/>
                <w:bCs/>
                <w:kern w:val="0"/>
                <w:sz w:val="20"/>
                <w:szCs w:val="20"/>
              </w:rPr>
            </w:pPr>
          </w:p>
        </w:tc>
        <w:tc>
          <w:tcPr>
            <w:tcW w:w="1232" w:type="dxa"/>
            <w:vAlign w:val="center"/>
          </w:tcPr>
          <w:p>
            <w:pPr>
              <w:widowControl/>
              <w:jc w:val="center"/>
              <w:rPr>
                <w:rFonts w:cs="Times New Roman" w:asciiTheme="minorEastAsia" w:hAnsiTheme="minorEastAsia" w:eastAsiaTheme="minorEastAsia"/>
                <w:b/>
                <w:bCs/>
                <w:kern w:val="0"/>
                <w:sz w:val="20"/>
                <w:szCs w:val="20"/>
              </w:rPr>
            </w:pPr>
          </w:p>
        </w:tc>
        <w:tc>
          <w:tcPr>
            <w:tcW w:w="1388" w:type="dxa"/>
            <w:vAlign w:val="center"/>
          </w:tcPr>
          <w:p>
            <w:pPr>
              <w:widowControl/>
              <w:jc w:val="center"/>
              <w:rPr>
                <w:rFonts w:cs="Times New Roman" w:asciiTheme="minorEastAsia" w:hAnsiTheme="minorEastAsia" w:eastAsiaTheme="minorEastAsia"/>
                <w:b/>
                <w:bCs/>
                <w:kern w:val="0"/>
                <w:sz w:val="20"/>
                <w:szCs w:val="20"/>
              </w:rPr>
            </w:pPr>
            <w:r>
              <w:rPr>
                <w:rFonts w:cs="Times New Roman" w:asciiTheme="minorEastAsia" w:hAnsiTheme="minorEastAsia" w:eastAsiaTheme="minorEastAsia"/>
                <w:b/>
                <w:bCs/>
                <w:kern w:val="0"/>
                <w:sz w:val="20"/>
                <w:szCs w:val="20"/>
              </w:rPr>
              <w:t>2287877.72</w:t>
            </w:r>
          </w:p>
        </w:tc>
        <w:tc>
          <w:tcPr>
            <w:tcW w:w="1266" w:type="dxa"/>
            <w:vAlign w:val="center"/>
          </w:tcPr>
          <w:p>
            <w:pPr>
              <w:widowControl/>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1259502.68</w:t>
            </w:r>
          </w:p>
        </w:tc>
        <w:tc>
          <w:tcPr>
            <w:tcW w:w="1276" w:type="dxa"/>
            <w:vAlign w:val="center"/>
          </w:tcPr>
          <w:p>
            <w:pPr>
              <w:widowControl/>
              <w:jc w:val="center"/>
              <w:rPr>
                <w:rFonts w:cs="Times New Roman" w:asciiTheme="minorEastAsia" w:hAnsiTheme="minorEastAsia" w:eastAsiaTheme="minorEastAsia"/>
                <w:b/>
                <w:bCs/>
                <w:kern w:val="0"/>
                <w:sz w:val="20"/>
                <w:szCs w:val="20"/>
              </w:rPr>
            </w:pPr>
            <w:r>
              <w:rPr>
                <w:rFonts w:cs="Times New Roman" w:asciiTheme="minorEastAsia" w:hAnsiTheme="minorEastAsia" w:eastAsiaTheme="minorEastAsia"/>
                <w:b/>
                <w:bCs/>
                <w:kern w:val="0"/>
                <w:sz w:val="20"/>
                <w:szCs w:val="20"/>
              </w:rPr>
              <w:t>267595</w:t>
            </w:r>
          </w:p>
        </w:tc>
        <w:tc>
          <w:tcPr>
            <w:tcW w:w="2272" w:type="dxa"/>
            <w:vAlign w:val="center"/>
          </w:tcPr>
          <w:p>
            <w:pPr>
              <w:widowControl/>
              <w:jc w:val="center"/>
              <w:rPr>
                <w:rFonts w:cs="Times New Roman" w:asciiTheme="minorEastAsia" w:hAnsiTheme="minorEastAsia" w:eastAsiaTheme="minorEastAsia"/>
                <w:b/>
                <w:bCs/>
                <w:kern w:val="0"/>
                <w:sz w:val="20"/>
                <w:szCs w:val="20"/>
              </w:rPr>
            </w:pPr>
          </w:p>
        </w:tc>
      </w:tr>
    </w:tbl>
    <w:p>
      <w:pPr>
        <w:widowControl/>
        <w:jc w:val="left"/>
        <w:rPr>
          <w:rFonts w:ascii="Calibri" w:hAnsi="Calibri" w:eastAsia="宋体" w:cs="Times New Roman"/>
        </w:rPr>
      </w:pPr>
    </w:p>
    <w:p>
      <w:pPr>
        <w:widowControl/>
        <w:jc w:val="left"/>
        <w:rPr>
          <w:rFonts w:ascii="Calibri" w:hAnsi="Calibri" w:eastAsia="宋体" w:cs="Times New Roman"/>
        </w:rPr>
      </w:pPr>
      <w:r>
        <w:rPr>
          <w:rFonts w:ascii="Calibri" w:hAnsi="Calibri" w:eastAsia="宋体" w:cs="Times New Roman"/>
        </w:rPr>
        <w:br w:type="page"/>
      </w:r>
    </w:p>
    <w:p>
      <w:pPr>
        <w:pStyle w:val="559"/>
      </w:pPr>
      <w:bookmarkStart w:id="44" w:name="_Toc479710676"/>
      <w:bookmarkStart w:id="45" w:name="_Toc536718819"/>
      <w:bookmarkStart w:id="46" w:name="_Toc516492155"/>
      <w:bookmarkStart w:id="47" w:name="_Toc5979749"/>
      <w:r>
        <w:rPr>
          <w:rFonts w:hint="eastAsia"/>
        </w:rPr>
        <w:t>表10：深圳市2019年度市本级财政承担的房屋征收轨道交通项目表</w:t>
      </w:r>
      <w:bookmarkEnd w:id="44"/>
      <w:bookmarkEnd w:id="45"/>
      <w:bookmarkEnd w:id="46"/>
      <w:bookmarkEnd w:id="47"/>
    </w:p>
    <w:p>
      <w:pPr>
        <w:jc w:val="right"/>
      </w:pPr>
    </w:p>
    <w:p>
      <w:pPr>
        <w:jc w:val="right"/>
      </w:pPr>
      <w:r>
        <w:rPr>
          <w:rFonts w:hint="eastAsia"/>
        </w:rPr>
        <w:t>单位：万平方米，万元</w:t>
      </w:r>
    </w:p>
    <w:tbl>
      <w:tblPr>
        <w:tblStyle w:val="47"/>
        <w:tblW w:w="14190" w:type="dxa"/>
        <w:tblInd w:w="93" w:type="dxa"/>
        <w:tblLayout w:type="autofit"/>
        <w:tblCellMar>
          <w:top w:w="0" w:type="dxa"/>
          <w:left w:w="108" w:type="dxa"/>
          <w:bottom w:w="0" w:type="dxa"/>
          <w:right w:w="108" w:type="dxa"/>
        </w:tblCellMar>
      </w:tblPr>
      <w:tblGrid>
        <w:gridCol w:w="820"/>
        <w:gridCol w:w="1080"/>
        <w:gridCol w:w="4778"/>
        <w:gridCol w:w="1559"/>
        <w:gridCol w:w="1984"/>
        <w:gridCol w:w="1843"/>
        <w:gridCol w:w="2126"/>
      </w:tblGrid>
      <w:tr>
        <w:tblPrEx>
          <w:tblCellMar>
            <w:top w:w="0" w:type="dxa"/>
            <w:left w:w="108" w:type="dxa"/>
            <w:bottom w:w="0" w:type="dxa"/>
            <w:right w:w="108" w:type="dxa"/>
          </w:tblCellMar>
        </w:tblPrEx>
        <w:trPr>
          <w:trHeight w:val="20" w:hRule="atLeast"/>
        </w:trPr>
        <w:tc>
          <w:tcPr>
            <w:tcW w:w="820" w:type="dxa"/>
            <w:tcBorders>
              <w:top w:val="single" w:color="000000" w:sz="4" w:space="0"/>
              <w:left w:val="single" w:color="000000" w:sz="4" w:space="0"/>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序号</w:t>
            </w:r>
          </w:p>
        </w:tc>
        <w:tc>
          <w:tcPr>
            <w:tcW w:w="1080" w:type="dxa"/>
            <w:tcBorders>
              <w:top w:val="single" w:color="000000" w:sz="4" w:space="0"/>
              <w:left w:val="nil"/>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区域</w:t>
            </w:r>
          </w:p>
        </w:tc>
        <w:tc>
          <w:tcPr>
            <w:tcW w:w="4778" w:type="dxa"/>
            <w:tcBorders>
              <w:top w:val="single" w:color="000000" w:sz="4" w:space="0"/>
              <w:left w:val="nil"/>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项目名称</w:t>
            </w:r>
          </w:p>
        </w:tc>
        <w:tc>
          <w:tcPr>
            <w:tcW w:w="1559" w:type="dxa"/>
            <w:tcBorders>
              <w:top w:val="single" w:color="000000" w:sz="4" w:space="0"/>
              <w:left w:val="nil"/>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实施单位</w:t>
            </w:r>
          </w:p>
        </w:tc>
        <w:tc>
          <w:tcPr>
            <w:tcW w:w="1984" w:type="dxa"/>
            <w:tcBorders>
              <w:top w:val="single" w:color="000000" w:sz="4" w:space="0"/>
              <w:left w:val="nil"/>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项目总面积（万㎡）</w:t>
            </w:r>
          </w:p>
        </w:tc>
        <w:tc>
          <w:tcPr>
            <w:tcW w:w="1843" w:type="dxa"/>
            <w:tcBorders>
              <w:top w:val="single" w:color="000000" w:sz="4" w:space="0"/>
              <w:left w:val="nil"/>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总投资（万元）</w:t>
            </w:r>
          </w:p>
        </w:tc>
        <w:tc>
          <w:tcPr>
            <w:tcW w:w="2126" w:type="dxa"/>
            <w:tcBorders>
              <w:top w:val="single" w:color="000000" w:sz="4" w:space="0"/>
              <w:left w:val="nil"/>
              <w:bottom w:val="nil"/>
              <w:right w:val="single" w:color="000000" w:sz="4" w:space="0"/>
            </w:tcBorders>
            <w:shd w:val="clear" w:color="auto" w:fill="auto"/>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申请年度投资（万元）</w:t>
            </w:r>
          </w:p>
        </w:tc>
      </w:tr>
      <w:tr>
        <w:tblPrEx>
          <w:tblCellMar>
            <w:top w:w="0" w:type="dxa"/>
            <w:left w:w="108" w:type="dxa"/>
            <w:bottom w:w="0" w:type="dxa"/>
            <w:right w:w="108" w:type="dxa"/>
          </w:tblCellMar>
        </w:tblPrEx>
        <w:trPr>
          <w:trHeight w:val="20" w:hRule="atLeast"/>
        </w:trPr>
        <w:tc>
          <w:tcPr>
            <w:tcW w:w="820"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1</w:t>
            </w:r>
          </w:p>
        </w:tc>
        <w:tc>
          <w:tcPr>
            <w:tcW w:w="1080"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罗湖区</w:t>
            </w:r>
          </w:p>
        </w:tc>
        <w:tc>
          <w:tcPr>
            <w:tcW w:w="4778"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轨道交通14号线、2号线三期、8号线一期、5号线（黄贝岭站后至大剧院段）</w:t>
            </w:r>
          </w:p>
        </w:tc>
        <w:tc>
          <w:tcPr>
            <w:tcW w:w="1559"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罗湖区政府</w:t>
            </w:r>
          </w:p>
        </w:tc>
        <w:tc>
          <w:tcPr>
            <w:tcW w:w="1984"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6.57 </w:t>
            </w:r>
          </w:p>
        </w:tc>
        <w:tc>
          <w:tcPr>
            <w:tcW w:w="1843"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45200 </w:t>
            </w:r>
          </w:p>
        </w:tc>
        <w:tc>
          <w:tcPr>
            <w:tcW w:w="2126" w:type="dxa"/>
            <w:tcBorders>
              <w:top w:val="single" w:color="auto" w:sz="4" w:space="0"/>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610 </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2</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南山区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轨道交通12号、13号线</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南山区政府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5300 </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3</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盐田区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轨道交通8号线一、二期</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盐田区政府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3000 </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3000 </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4</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宝安区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轨道交通6号线、12号线、13号线、20号线</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宝安区政府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101.09 </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856695.25 </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cs="宋体" w:asciiTheme="minorEastAsia" w:hAnsiTheme="minorEastAsia"/>
                <w:kern w:val="0"/>
                <w:sz w:val="20"/>
                <w:szCs w:val="20"/>
              </w:rPr>
              <w:t>99271</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5</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龙岗区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轨道交通10号线、14号线、16号线</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龙岗区政府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37.52 </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180895 </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17820 </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6</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龙华区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轨道交通6号线、4号线三期</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龙华区政府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3.9</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10071</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7</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坪山区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轨道交通14号线、16号线</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坪山区政府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44.4</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206000 </w:t>
            </w:r>
          </w:p>
        </w:tc>
      </w:tr>
      <w:tr>
        <w:tblPrEx>
          <w:tblCellMar>
            <w:top w:w="0" w:type="dxa"/>
            <w:left w:w="108" w:type="dxa"/>
            <w:bottom w:w="0" w:type="dxa"/>
            <w:right w:w="108" w:type="dxa"/>
          </w:tblCellMar>
        </w:tblPrEx>
        <w:trPr>
          <w:trHeight w:val="20" w:hRule="atLeast"/>
        </w:trPr>
        <w:tc>
          <w:tcPr>
            <w:tcW w:w="820" w:type="dxa"/>
            <w:tcBorders>
              <w:top w:val="nil"/>
              <w:left w:val="single" w:color="auto" w:sz="4" w:space="0"/>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8</w:t>
            </w:r>
          </w:p>
        </w:tc>
        <w:tc>
          <w:tcPr>
            <w:tcW w:w="1080"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光明区</w:t>
            </w:r>
          </w:p>
        </w:tc>
        <w:tc>
          <w:tcPr>
            <w:tcW w:w="4778"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轨道交通6号线支线、6号线（含长圳车辆段）</w:t>
            </w:r>
          </w:p>
        </w:tc>
        <w:tc>
          <w:tcPr>
            <w:tcW w:w="1559"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光明区政府</w:t>
            </w:r>
          </w:p>
        </w:tc>
        <w:tc>
          <w:tcPr>
            <w:tcW w:w="1984"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147 </w:t>
            </w:r>
          </w:p>
        </w:tc>
        <w:tc>
          <w:tcPr>
            <w:tcW w:w="1843"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410000 </w:t>
            </w:r>
          </w:p>
        </w:tc>
        <w:tc>
          <w:tcPr>
            <w:tcW w:w="2126" w:type="dxa"/>
            <w:tcBorders>
              <w:top w:val="nil"/>
              <w:left w:val="nil"/>
              <w:bottom w:val="single" w:color="auto" w:sz="4" w:space="0"/>
              <w:right w:val="single" w:color="auto" w:sz="4" w:space="0"/>
            </w:tcBorders>
            <w:shd w:val="clear" w:color="auto" w:fill="auto"/>
            <w:vAlign w:val="center"/>
          </w:tcPr>
          <w:p>
            <w:pPr>
              <w:widowControl/>
              <w:jc w:val="center"/>
              <w:rPr>
                <w:rFonts w:cs="宋体" w:asciiTheme="minorEastAsia" w:hAnsiTheme="minorEastAsia"/>
                <w:kern w:val="0"/>
                <w:sz w:val="20"/>
                <w:szCs w:val="20"/>
              </w:rPr>
            </w:pPr>
            <w:r>
              <w:rPr>
                <w:rFonts w:hint="eastAsia" w:cs="宋体" w:asciiTheme="minorEastAsia" w:hAnsiTheme="minorEastAsia"/>
                <w:kern w:val="0"/>
                <w:sz w:val="20"/>
                <w:szCs w:val="20"/>
              </w:rPr>
              <w:t xml:space="preserve">26400 </w:t>
            </w:r>
          </w:p>
        </w:tc>
      </w:tr>
      <w:tr>
        <w:tblPrEx>
          <w:tblCellMar>
            <w:top w:w="0" w:type="dxa"/>
            <w:left w:w="108" w:type="dxa"/>
            <w:bottom w:w="0" w:type="dxa"/>
            <w:right w:w="108" w:type="dxa"/>
          </w:tblCellMar>
        </w:tblPrEx>
        <w:trPr>
          <w:trHeight w:val="366" w:hRule="atLeast"/>
        </w:trPr>
        <w:tc>
          <w:tcPr>
            <w:tcW w:w="8237" w:type="dxa"/>
            <w:gridSpan w:val="4"/>
            <w:tcBorders>
              <w:top w:val="single" w:color="auto" w:sz="4" w:space="0"/>
              <w:left w:val="single" w:color="auto" w:sz="4" w:space="0"/>
              <w:bottom w:val="single" w:color="auto" w:sz="4" w:space="0"/>
              <w:right w:val="single" w:color="000000" w:sz="4" w:space="0"/>
            </w:tcBorders>
            <w:shd w:val="clear" w:color="auto" w:fill="auto"/>
            <w:noWrap/>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合计</w:t>
            </w:r>
          </w:p>
        </w:tc>
        <w:tc>
          <w:tcPr>
            <w:tcW w:w="1984" w:type="dxa"/>
            <w:tcBorders>
              <w:top w:val="nil"/>
              <w:left w:val="nil"/>
              <w:bottom w:val="single" w:color="auto" w:sz="4" w:space="0"/>
              <w:right w:val="single" w:color="auto" w:sz="4" w:space="0"/>
            </w:tcBorders>
            <w:shd w:val="clear" w:color="auto" w:fill="auto"/>
            <w:noWrap/>
            <w:vAlign w:val="center"/>
          </w:tcPr>
          <w:p>
            <w:pPr>
              <w:widowControl/>
              <w:jc w:val="center"/>
              <w:rPr>
                <w:rFonts w:cs="宋体" w:asciiTheme="minorEastAsia" w:hAnsiTheme="minorEastAsia"/>
                <w:b/>
                <w:bCs/>
                <w:kern w:val="0"/>
                <w:sz w:val="20"/>
                <w:szCs w:val="20"/>
              </w:rPr>
            </w:pPr>
            <w:r>
              <w:rPr>
                <w:rFonts w:hint="eastAsia" w:cs="宋体" w:asciiTheme="minorEastAsia" w:hAnsiTheme="minorEastAsia"/>
                <w:b/>
                <w:bCs/>
                <w:kern w:val="0"/>
                <w:sz w:val="20"/>
                <w:szCs w:val="20"/>
              </w:rPr>
              <w:t xml:space="preserve">340.48 </w:t>
            </w:r>
          </w:p>
        </w:tc>
        <w:tc>
          <w:tcPr>
            <w:tcW w:w="1843" w:type="dxa"/>
            <w:tcBorders>
              <w:top w:val="nil"/>
              <w:left w:val="nil"/>
              <w:bottom w:val="single" w:color="auto" w:sz="4" w:space="0"/>
              <w:right w:val="single" w:color="auto" w:sz="4" w:space="0"/>
            </w:tcBorders>
            <w:shd w:val="clear" w:color="auto" w:fill="auto"/>
            <w:noWrap/>
            <w:vAlign w:val="center"/>
          </w:tcPr>
          <w:p>
            <w:pPr>
              <w:widowControl/>
              <w:jc w:val="center"/>
              <w:rPr>
                <w:rFonts w:cs="宋体" w:asciiTheme="minorEastAsia" w:hAnsiTheme="minorEastAsia"/>
                <w:b/>
                <w:bCs/>
                <w:kern w:val="0"/>
                <w:sz w:val="20"/>
                <w:szCs w:val="20"/>
              </w:rPr>
            </w:pPr>
            <w:r>
              <w:rPr>
                <w:rFonts w:cs="宋体" w:asciiTheme="minorEastAsia" w:hAnsiTheme="minorEastAsia"/>
                <w:b/>
                <w:bCs/>
                <w:kern w:val="0"/>
                <w:sz w:val="20"/>
                <w:szCs w:val="20"/>
              </w:rPr>
              <w:t>1495790.25</w:t>
            </w:r>
          </w:p>
        </w:tc>
        <w:tc>
          <w:tcPr>
            <w:tcW w:w="2126" w:type="dxa"/>
            <w:tcBorders>
              <w:top w:val="nil"/>
              <w:left w:val="nil"/>
              <w:bottom w:val="single" w:color="auto" w:sz="4" w:space="0"/>
              <w:right w:val="single" w:color="auto" w:sz="4" w:space="0"/>
            </w:tcBorders>
            <w:shd w:val="clear" w:color="auto" w:fill="auto"/>
            <w:noWrap/>
            <w:vAlign w:val="center"/>
          </w:tcPr>
          <w:p>
            <w:pPr>
              <w:widowControl/>
              <w:jc w:val="center"/>
              <w:rPr>
                <w:rFonts w:cs="宋体" w:asciiTheme="minorEastAsia" w:hAnsiTheme="minorEastAsia"/>
                <w:b/>
                <w:bCs/>
                <w:kern w:val="0"/>
                <w:sz w:val="20"/>
                <w:szCs w:val="20"/>
              </w:rPr>
            </w:pPr>
            <w:r>
              <w:rPr>
                <w:rFonts w:cs="宋体" w:asciiTheme="minorEastAsia" w:hAnsiTheme="minorEastAsia"/>
                <w:b/>
                <w:bCs/>
                <w:kern w:val="0"/>
                <w:sz w:val="20"/>
                <w:szCs w:val="20"/>
              </w:rPr>
              <w:t>368472</w:t>
            </w:r>
          </w:p>
        </w:tc>
      </w:tr>
    </w:tbl>
    <w:p/>
    <w:p>
      <w:pPr>
        <w:widowControl/>
        <w:jc w:val="left"/>
      </w:pPr>
      <w:r>
        <w:br w:type="page"/>
      </w:r>
    </w:p>
    <w:p>
      <w:pPr>
        <w:pStyle w:val="559"/>
        <w:rPr>
          <w:rFonts w:hAnsi="仿宋_GB2312"/>
          <w:b/>
          <w:kern w:val="2"/>
        </w:rPr>
      </w:pPr>
      <w:bookmarkStart w:id="48" w:name="_Toc5979750"/>
      <w:r>
        <w:rPr>
          <w:rFonts w:hint="eastAsia"/>
        </w:rPr>
        <w:t>表11：深圳市2019年度区级财政承担的房屋征收项目表</w:t>
      </w:r>
      <w:bookmarkEnd w:id="48"/>
    </w:p>
    <w:p>
      <w:pPr>
        <w:jc w:val="right"/>
      </w:pPr>
      <w:r>
        <w:rPr>
          <w:rFonts w:hint="eastAsia"/>
        </w:rPr>
        <w:t>单位：万平方米，万元</w:t>
      </w:r>
    </w:p>
    <w:tbl>
      <w:tblPr>
        <w:tblStyle w:val="48"/>
        <w:tblW w:w="1573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516"/>
        <w:gridCol w:w="967"/>
        <w:gridCol w:w="2628"/>
        <w:gridCol w:w="1275"/>
        <w:gridCol w:w="1134"/>
        <w:gridCol w:w="1134"/>
        <w:gridCol w:w="2410"/>
        <w:gridCol w:w="1224"/>
        <w:gridCol w:w="1124"/>
        <w:gridCol w:w="332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tblHeader/>
          <w:jc w:val="center"/>
        </w:trPr>
        <w:tc>
          <w:tcPr>
            <w:tcW w:w="516"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序号</w:t>
            </w:r>
          </w:p>
        </w:tc>
        <w:tc>
          <w:tcPr>
            <w:tcW w:w="967"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区域</w:t>
            </w:r>
          </w:p>
        </w:tc>
        <w:tc>
          <w:tcPr>
            <w:tcW w:w="2628"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项目名称</w:t>
            </w:r>
          </w:p>
        </w:tc>
        <w:tc>
          <w:tcPr>
            <w:tcW w:w="1275"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实施单位</w:t>
            </w:r>
          </w:p>
        </w:tc>
        <w:tc>
          <w:tcPr>
            <w:tcW w:w="113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项目总面积（万㎡）</w:t>
            </w:r>
          </w:p>
        </w:tc>
        <w:tc>
          <w:tcPr>
            <w:tcW w:w="113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2019年计划面积</w:t>
            </w:r>
          </w:p>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（万㎡）</w:t>
            </w:r>
          </w:p>
        </w:tc>
        <w:tc>
          <w:tcPr>
            <w:tcW w:w="2410"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年度主要工作内容</w:t>
            </w:r>
          </w:p>
        </w:tc>
        <w:tc>
          <w:tcPr>
            <w:tcW w:w="122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总投资</w:t>
            </w:r>
          </w:p>
        </w:tc>
        <w:tc>
          <w:tcPr>
            <w:tcW w:w="112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已完成投资</w:t>
            </w:r>
          </w:p>
        </w:tc>
        <w:tc>
          <w:tcPr>
            <w:tcW w:w="3322"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项目立项依据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15734" w:type="dxa"/>
            <w:gridSpan w:val="10"/>
            <w:noWrap/>
            <w:vAlign w:val="center"/>
          </w:tcPr>
          <w:p>
            <w:pPr>
              <w:jc w:val="left"/>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一、新建项目</w:t>
            </w:r>
            <w:r>
              <w:rPr>
                <w:rFonts w:hint="eastAsia" w:cs="Times New Roman" w:asciiTheme="minorEastAsia" w:hAnsiTheme="minorEastAsia" w:eastAsiaTheme="minorEastAsia"/>
                <w:b/>
                <w:bCs/>
                <w:kern w:val="0"/>
                <w:sz w:val="20"/>
                <w:szCs w:val="20"/>
                <w:u w:val="single"/>
              </w:rPr>
              <w:t xml:space="preserve"> 254 </w:t>
            </w:r>
            <w:r>
              <w:rPr>
                <w:rFonts w:hint="eastAsia" w:cs="Times New Roman" w:asciiTheme="minorEastAsia" w:hAnsiTheme="minorEastAsia" w:eastAsiaTheme="minorEastAsia"/>
                <w:b/>
                <w:bCs/>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水务集团福田大院棚改项目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福田区委领导办公室会议纪要（121）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香蜜二村棚改项目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福田区委领导办公室会议纪要（121）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八卦岭宿舍区棚改项目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福田区委领导办公室会议纪要（38）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河套北（南华村）棚改项目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福田区委领导办公室会议纪要（38）、福田区棚改指挥部会议纪要（12）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沙头街道绿洲花园棚改项目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福田区棚改指挥部会议纪要（12）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裕亨花园小区棚改项目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福田区住宅区（棚户区）改造和综合整治指挥部会议纪要（16）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东湖水厂扩能改造工程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深罗湖发改核准〔2018〕0036号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水贝变电站地块征收项目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环仓南路涉及深长公司宿舍楼及深圳市爱国卫生运动委员会大楼房屋征收项目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罗湖区妇保院住院大楼二期工程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罗发改投〔2019〕2号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布心中学改扩建工程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罗发改〔2017〕205号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翠竹外国语实验学校（一部）拆建工程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罗发改〔2017〕205号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泰宁小学拆建工程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罗发改〔2017〕205号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布心小学拆建工程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罗发改〔2017〕313号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行知职业技术学校扩建工程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罗发改〔2017〕25号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深圳市罗沙路-延芳路立交改造工程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深发改〔2014〕1342号、深发改〔2015〕1085号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清水河二路新建工程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罗发改〔2018〕423号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布吉南环路（西环路至禾坑路段）建设工程一期（龙岗大道至禾坑路段）工程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景福花园片区棚改项目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区城市更新工作领导小组第九十一次会议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边检总站二大院棚改项目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区城市更新工作领导小组第九十一次会议</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市人民医院片区棚户区改造项目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省立绿道2号线（淘金山二线巡逻路段）改建工程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罗发改〔2016〕341号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清水河综合整治工程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罗发改投〔2019〕2号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深南东路东延工程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46"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布心片区LH03-04-05-07 地块土地收回</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《罗湖区法定图则规划教育用地实施方案》</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平山二路西段及红花岭一街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1605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深南发改〔2019〕6号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大沙河文体中心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大沙河生态长廊非示范段（桃源辖区段）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微波山隧道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大沙河生态长廊非示范段（西丽辖区段）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丽鑫路（松白路东至沙坑地块段）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沙河西路（滨海大道-茶光路段）快速化改造工作</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深发改〔2016〕903号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水厂宿舍楼及周边地块棚改项目房屋征收</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明珠道北段房屋征收</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松岗街道佘屋东路（桥山路-松福大道）新建工程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松岗街道桥山路（佘屋东路-朗碧路）新建工程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松岗车辆段变电站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朱坳水厂用地深度处理及污泥处理工程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深宝安发改备案〔2015〕0166号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沙井水质净化厂工程（三期）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水质净化厂主体建设等</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2019年市水污染指挥部第三次例会暨市大气污染防治指挥部第三次例会纪要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罗租大道（天源路—松白路）新建工程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19.75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宝发改政投〔2018〕8号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蚝乡公园新建工程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宝发改政投〔2019〕24号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福永街道兴瑞路（107国道-白凤路）新建工程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宝发改政投〔2015〕158号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西乡街道拓展路新建工程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宝发改政投〔2008〕24号、宝发改〔2013〕366号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鹅山路（天福路—桥头消防站）新建工程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宝发改立项〔2018〕58号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景芳路（宝安大道—永和路）综合改造工程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10582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宝发改函〔2015〕7号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石岩街道应人石社区公园景观提升工程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宝发改政投〔2016〕53号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沙井街道新民北路（沙一中路至新民南路）新建工程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宝发改政投〔2016〕53号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110kV楼岗输变电工程项目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深发改函〔2012〕545号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内环路（西乡段）接线工程项目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2622.59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200.12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宝发改函〔2010〕591号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民乐路（沙福路西延段-南环路西延段）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10192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深发改〔2018〕114号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万乐路西延段（海云路-锦程路）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1270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深发改〔2018〕114号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航城学校改扩建工程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宝发改政投〔2018〕267号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尖岗山-大井山生态公园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朗西路（燕罗路-喜高路）综合改造工程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w:t>
            </w:r>
          </w:p>
        </w:tc>
        <w:tc>
          <w:tcPr>
            <w:tcW w:w="967"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燕罗街道祥溪路（广田路-燕罗北街）新建工程</w:t>
            </w:r>
          </w:p>
        </w:tc>
        <w:tc>
          <w:tcPr>
            <w:tcW w:w="1275"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0.59</w:t>
            </w:r>
          </w:p>
        </w:tc>
        <w:tc>
          <w:tcPr>
            <w:tcW w:w="113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0.79</w:t>
            </w:r>
          </w:p>
        </w:tc>
        <w:tc>
          <w:tcPr>
            <w:tcW w:w="2410"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w:t>
            </w:r>
          </w:p>
        </w:tc>
        <w:tc>
          <w:tcPr>
            <w:tcW w:w="112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Merge w:val="continue"/>
            <w:vAlign w:val="center"/>
          </w:tcPr>
          <w:p>
            <w:pPr>
              <w:jc w:val="center"/>
              <w:rPr>
                <w:rFonts w:cs="Times New Roman" w:asciiTheme="minorEastAsia" w:hAnsiTheme="minorEastAsia" w:eastAsiaTheme="minorEastAsia"/>
                <w:kern w:val="0"/>
                <w:sz w:val="20"/>
                <w:szCs w:val="20"/>
              </w:rPr>
            </w:pPr>
          </w:p>
        </w:tc>
        <w:tc>
          <w:tcPr>
            <w:tcW w:w="967" w:type="dxa"/>
            <w:vMerge w:val="continue"/>
            <w:vAlign w:val="center"/>
          </w:tcPr>
          <w:p>
            <w:pPr>
              <w:jc w:val="center"/>
              <w:rPr>
                <w:rFonts w:cs="Times New Roman" w:asciiTheme="minorEastAsia" w:hAnsiTheme="minorEastAsia" w:eastAsiaTheme="minorEastAsia"/>
                <w:kern w:val="0"/>
                <w:sz w:val="20"/>
                <w:szCs w:val="20"/>
              </w:rPr>
            </w:pPr>
          </w:p>
        </w:tc>
        <w:tc>
          <w:tcPr>
            <w:tcW w:w="2628" w:type="dxa"/>
            <w:vMerge w:val="continue"/>
            <w:vAlign w:val="center"/>
          </w:tcPr>
          <w:p>
            <w:pPr>
              <w:jc w:val="center"/>
              <w:rPr>
                <w:rFonts w:cs="Times New Roman" w:asciiTheme="minorEastAsia" w:hAnsiTheme="minorEastAsia" w:eastAsiaTheme="minorEastAsia"/>
                <w:kern w:val="0"/>
                <w:sz w:val="20"/>
                <w:szCs w:val="20"/>
              </w:rPr>
            </w:pPr>
          </w:p>
        </w:tc>
        <w:tc>
          <w:tcPr>
            <w:tcW w:w="1275" w:type="dxa"/>
            <w:vMerge w:val="continue"/>
            <w:vAlign w:val="center"/>
          </w:tcPr>
          <w:p>
            <w:pPr>
              <w:jc w:val="center"/>
              <w:rPr>
                <w:rFonts w:cs="Times New Roman" w:asciiTheme="minorEastAsia" w:hAnsiTheme="minorEastAsia" w:eastAsiaTheme="minorEastAsia"/>
                <w:kern w:val="0"/>
                <w:sz w:val="20"/>
                <w:szCs w:val="20"/>
              </w:rPr>
            </w:pPr>
          </w:p>
        </w:tc>
        <w:tc>
          <w:tcPr>
            <w:tcW w:w="1134" w:type="dxa"/>
            <w:vMerge w:val="continue"/>
            <w:vAlign w:val="center"/>
          </w:tcPr>
          <w:p>
            <w:pPr>
              <w:jc w:val="center"/>
              <w:rPr>
                <w:rFonts w:cs="Times New Roman" w:asciiTheme="minorEastAsia" w:hAnsiTheme="minorEastAsia" w:eastAsiaTheme="minorEastAsia"/>
                <w:kern w:val="0"/>
                <w:sz w:val="20"/>
                <w:szCs w:val="20"/>
              </w:rPr>
            </w:pPr>
          </w:p>
        </w:tc>
        <w:tc>
          <w:tcPr>
            <w:tcW w:w="1134" w:type="dxa"/>
            <w:vMerge w:val="continue"/>
            <w:vAlign w:val="center"/>
          </w:tcPr>
          <w:p>
            <w:pPr>
              <w:jc w:val="center"/>
              <w:rPr>
                <w:rFonts w:cs="Times New Roman" w:asciiTheme="minorEastAsia" w:hAnsiTheme="minorEastAsia" w:eastAsiaTheme="minorEastAsia"/>
                <w:kern w:val="0"/>
                <w:sz w:val="20"/>
                <w:szCs w:val="20"/>
              </w:rPr>
            </w:pPr>
          </w:p>
        </w:tc>
        <w:tc>
          <w:tcPr>
            <w:tcW w:w="2410" w:type="dxa"/>
            <w:vMerge w:val="continue"/>
            <w:vAlign w:val="center"/>
          </w:tcPr>
          <w:p>
            <w:pPr>
              <w:jc w:val="center"/>
              <w:rPr>
                <w:rFonts w:cs="Times New Roman" w:asciiTheme="minorEastAsia" w:hAnsiTheme="minorEastAsia" w:eastAsiaTheme="minorEastAsia"/>
                <w:kern w:val="0"/>
                <w:sz w:val="20"/>
                <w:szCs w:val="20"/>
              </w:rPr>
            </w:pPr>
          </w:p>
        </w:tc>
        <w:tc>
          <w:tcPr>
            <w:tcW w:w="1224" w:type="dxa"/>
            <w:vMerge w:val="continue"/>
            <w:vAlign w:val="center"/>
          </w:tcPr>
          <w:p>
            <w:pPr>
              <w:jc w:val="center"/>
              <w:rPr>
                <w:rFonts w:cs="Times New Roman" w:asciiTheme="minorEastAsia" w:hAnsiTheme="minorEastAsia" w:eastAsiaTheme="minorEastAsia"/>
                <w:kern w:val="0"/>
                <w:sz w:val="20"/>
                <w:szCs w:val="20"/>
              </w:rPr>
            </w:pPr>
          </w:p>
        </w:tc>
        <w:tc>
          <w:tcPr>
            <w:tcW w:w="1124" w:type="dxa"/>
            <w:vMerge w:val="continue"/>
            <w:vAlign w:val="center"/>
          </w:tcPr>
          <w:p>
            <w:pPr>
              <w:jc w:val="center"/>
              <w:rPr>
                <w:rFonts w:cs="Times New Roman" w:asciiTheme="minorEastAsia" w:hAnsiTheme="minorEastAsia" w:eastAsiaTheme="minorEastAsia"/>
                <w:kern w:val="0"/>
                <w:sz w:val="20"/>
                <w:szCs w:val="20"/>
              </w:rPr>
            </w:pP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宝发改函〔2017〕44号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格山一路（塘福路-物流路）综合改造工程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格山二路（塘福路-物流路）新建工程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燕罗街道松山路（山门工业二路-松岗大道）新建工程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宝发改政投〔2017〕186号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石岩渠排涝泵站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宝发改政投〔2013〕286号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海锦路（万乐路-锦程路）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德民路（荣安路-锦程路）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科技路新建工程（一期）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石岩街道石龙仔片区道路交通综合整治工程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福海街道福园二路（沙福路-蚝业路）改扩建工程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宝发改政投〔2018〕8号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福海街道永和路（福洲大道-宝安大道）新建工程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宝发改政投〔2018〕8号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宝安人民医院（集团）科教研中心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宝发改立项〔2018〕7号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向兴路（沙井路-茅洲河河堤）综合改造工程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1185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宝发改政投〔2016〕134号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西乡街道西乡河南城桥至宝安大道河道防洪整治工程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共兴路（通成路-红湖路）新建工程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宝发改政投〔2017〕156号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松岗门户新城启动区道路新建工程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7748.23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6995.79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宝发改可研〔2013〕25号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神仙岭排水渠水安全保障工程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西湖水水安全保障工程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简龙河综合整治工程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金园水小微水体黑臭治理工程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水二村支流水安全保障工程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甘坑河综合整治工程项目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君子布河凤岐路四号桥排洪渠小微黑臭水体整治工程项目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君子布河阳光路支流小微黑臭水体整治工程项目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山厦河南面支流黑臭水体整治工程项目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山厦河军区支流黑臭水体整治工程项目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三坑水水安全保障工程房屋征收补偿项目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2029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岗头河明渠段挡墙除险加固工程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龙坪路二标</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布吉街道百鸽笼九年一贯制学校新建工程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龙岗区第二中医院新建工程项目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吉祥一路北段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深龙发改〔2016〕680号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香港中文大学医学院</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德政路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如意路南延段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龙城街道龙飞九年一贯制学校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深龙发改〔2018〕407号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宝龙街道东纵小学</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深龙发改〔2018〕407号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横岗街道埔厦小学</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深龙发改〔2018〕407号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42"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龙岗区第二人民医院（现址）</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区政府办公会议纪要62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42"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龙岗区第五人民医院（现址）</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区政府办公会议纪要62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龙岗中心医院</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区政府办公会议纪要62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平湖街道文体中心提升改造</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龙岗区工艺美术博物馆/区艺体馆（暂定）</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吉华街道文体中心（暂定）</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区艺体馆（暂定）</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坂田南园文体中心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区综合训练基地（暂定）</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多功能演艺中心+冰球馆综合建筑（暂定）</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区美术馆（暂定）</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龙岗区艺术博览中心（暂定）/中国非遗展演中心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临时性冰球综合馆及冰雪运动基地/冰雪活动综合馆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中国非遗展演中心（暂定）/龙岗区艺术博览中心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坪地街道综合文体中心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龙岗区文体设施规划布局及建设计划</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低碳城公园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富安东路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深龙发改〔2018〕908号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龙岗区良白路-铁东路-丹白路道路工程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39306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深发改〔2015〕1719号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李朗路（平南铁路-新木大道）二期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深龙发改〔2009〕47号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山厦路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15287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铁东路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深发改〔2008〕1920号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铁西路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深发改〔2008〕1920号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罗龙路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深发改〔2008〕1920号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三联路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翔鸽路北段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深龙发改〔2018〕908号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丹农路二期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深发改〔2015〕874号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环城路快速化改造工程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深龙发改〔2016〕1509号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岗头河综合整治工程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1851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749.69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铁运路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深龙发改〔2010〕1509号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田心路（二期）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深龙发改〔2011〕273号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G205深圳段改建与地铁3号线工程交通疏解之公园路工程（重启段）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6594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深龙发改〔2018〕1148号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联李东路（下李路-布澜路）工程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深龙发改〔2018〕797号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香叶东路（香阅路）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田心路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下李北路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联李大道东段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4240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桂树路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湖东路水山缘小区段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石丰路（创业路-将军路段）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深龙发改〔2017〕104号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龙平东路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19874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犁头路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1756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五联路工程一期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6169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深龙发改〔2010〕136号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怡翠路南段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中心城15号路南段（怡翠路）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5198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深龙发改〔2008〕262号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宝同路东段、新能源四路东段、宝龙六路北段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深龙发改〔2018〕282号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坪梓路（坪地至坑梓道路中段）改造工程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18736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深龙发改〔2017〕219号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蛇岭大道-坪地中心路通道路工程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38274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深发改〔2015〕1718号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六联受纳场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深龙发改〔2018〕1221号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吉榕路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赐昱路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创作路南段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创富南路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鹅公岭河流域黑臭水体整治工程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坂田河流域黑臭水体整治工程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大坑肚河黑臭整治工程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蕉坑水综合整治工程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莲花水黑臭整治工程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龙华茜坑水厂三期工程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深圳市水厂整合与水资源调配优化规划研究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新湖路-黄背坑-君新路道路改造工程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建翔路（武南路-观澜大道）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恒生北路（武南路-观澜大道）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罗屋围社区公园项目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锦华东路（华峰路-景华南路）工程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深龙华发改函〔2017〕748号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锦华南路（锦华西路-龙坂大道）工程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园兴路北延段工程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大船坑路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深龙华发财〔2013〕651号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鳌湖街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油松派出所项目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鹿玛二街（石清大道-华韵路）工程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华远路（荣辉路-建辉路）工程龙华段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俊广路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民治派出所</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环观中路（大和路-观澜大道）工程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围光路（新围仔路-观光大道）工程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横坑水库西侧产业园场平工程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深龙华发改函〔2017〕409号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荣樟路（环观中路-五和大道）新建工程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深龙华发改函〔2017〕304号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观澜高新园规划公交首末站及社会停车场工程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深龙华发改函〔2017〕402号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横滨北路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龙华交警大队营房建设项目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环观中路（大和路-观澜大道）工程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桔大路（桔景路-华观大道）工程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观博路（观兴东路-泗黎南路）工程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深龙华发改〔2018〕302号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玉翠路（华远路-石清大道）工程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深龙华发改〔2018〕302号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长湖东路（湖松路-武馆路）工程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深龙华发改〔2018〕302号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富怡路（大富路-桂香路）工程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富和路(富怡路-大富路）工程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武南路（恒生路-建翔路）工程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观澜第二小学改扩建工程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观兴东路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17.65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深龙华发改〔2018〕2161号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章阁社区规划学校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外环高速公路桂花互通工程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大布巷停车场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惠民停车场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华乐一路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观和路(观天路-宝君路）工程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俊瑞路（观天路-凌龙路）工程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龙华区环城绿道建设项目（环观南段）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福润路工程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工业大道（龙观快速-梅观快速）工程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大富二路东延段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华繁路（中段）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库坑社区库新路工程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观澜中心小学扩建工程（新增用地）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大富路（桂月路-桂香路）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8.56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深龙华发改〔2017〕306号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华远路（荣辉路-建辉路）工程（福城段）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君子布片区规划学校（新）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俊景路（新）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宝君路（新湖路-宝玉路）（新）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华远路（荣辉路-建辉路）工程（龙华段）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盛华路（联进路-东环二路）工程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三联社区党群服务中心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新村路项目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横岭路项目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金兰路项目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竹园项目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坪河北路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500kV坪山输变电工程项目扩征</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深坪府办公纪〔2018〕440号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文祥路市政工程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瑞景路北段市政工程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坪山中心区滨水公共绿地建设工程项目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深坪发改投〔2019〕11号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赤坳水库除险加固扩征项目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深坪转地〔2018〕12号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坪山区档案馆、方志馆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深坪发改复〔2018〕107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秀河路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深坪发财复〔2016〕61号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人才安居老坑01-21地块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深坪住建函〔2018〕1407号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启竹二路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深坪发改复〔2018〕60号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坪山区委党校新选址项目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光祖中学三栋宿舍楼拆迁</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深坪府办公纪〔2018〕291号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东纵路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深坪交轨函〔2019〕66号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新景路市政工程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坪山河流域水环境综合整治工程-坪山河干流综合整治工程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坪山区委党校过渡校区（坪山原公路所职工微利房项目）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深坪委办公纪〔2019〕1号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碧美路（荔山路-罗仔路）市政工程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1.06</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深光发财〔2017〕974号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光明小镇运动森林公园项目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90.22</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光明区政府办公会议纪要〔2019〕110号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百趣园项目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18.48</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深光发财〔2017〕350号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鹅径东路市政工程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0.62</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深光发财〔2018〕432号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光明区公检法项目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4.12</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科学城智慧公园项目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26.13</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深光发财〔2018〕33号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圳美一路等四条市政道路项目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15.4</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深光发财〔2016〕994号、深光发财〔2017〕993号、深光发财〔2013〕410号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礼志公司A607-0842宗地拟置换用地项目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1.54</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田园路（楼岗大道-公明北环）市政工程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16.65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深发财〔2018〕765号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大顶岭绿道项目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深光发财〔2018〕267号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光明新区污水支管网（二期）建设工程（迳口、翠湖社区）项目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深发改〔2012〕247号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红坳水库排洪渠完善工程（未征转地块）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光明区三防指挥部工作会议纪要（2018年237号）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光明区公共卫生服务中心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深光发财〔2018〕657号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通兴路（西环路-富利路）市政工程西段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深光经〔2009〕394号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龟竹路（通兴路-振发路）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深光发财〔2017〕64号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公明街道龙豪榕康片区城市更新单元涉及未完善征转手续用地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光明区全面消除黑臭水体治理工程（光明水质净化厂服务范围）</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光明区全面消除黑臭水体治理工程（公明核心片区及白花社区）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零星项目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信宏城城市更新单元市政配套工程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深光发财〔2015〕611号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光明环境园项目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《城管局重点工作推进会议纪要》（2018年26号）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钟表产业集聚基地通兴路市政工程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深发改〔2019〕160号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公明西田社区大成石材有限公北东侧边坡治理工程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深光发财〔2018〕1111号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光明区重点片区环境整治提升土地整备项目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光明区重点片区环境整治提升土地整备工作协调会议纪要（40）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坪西路（水头-新大段）市政工程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深发改〔2009〕1265号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环大鹏湾海岸公路改造工程（二期）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深发改〔2015〕1035号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创富路工程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深鹏发财函〔2018〕9号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鹏毅南路工程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深鹏发财函〔2018〕9号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南澳消防站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大鹏新区丰树山水厂一期工程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386" w:type="dxa"/>
            <w:gridSpan w:val="4"/>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小计</w:t>
            </w:r>
          </w:p>
        </w:tc>
        <w:tc>
          <w:tcPr>
            <w:tcW w:w="113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677.86</w:t>
            </w:r>
          </w:p>
        </w:tc>
        <w:tc>
          <w:tcPr>
            <w:tcW w:w="113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235.2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643025.99</w:t>
            </w:r>
          </w:p>
        </w:tc>
        <w:tc>
          <w:tcPr>
            <w:tcW w:w="1124" w:type="dxa"/>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7946.6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15734" w:type="dxa"/>
            <w:gridSpan w:val="10"/>
            <w:vAlign w:val="center"/>
          </w:tcPr>
          <w:p>
            <w:pPr>
              <w:jc w:val="left"/>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二、续建项目</w:t>
            </w:r>
            <w:r>
              <w:rPr>
                <w:rFonts w:hint="eastAsia" w:cs="Times New Roman" w:asciiTheme="minorEastAsia" w:hAnsiTheme="minorEastAsia" w:eastAsiaTheme="minorEastAsia"/>
                <w:b/>
                <w:bCs/>
                <w:kern w:val="0"/>
                <w:sz w:val="20"/>
                <w:szCs w:val="20"/>
                <w:u w:val="single"/>
              </w:rPr>
              <w:t xml:space="preserve"> 471 </w:t>
            </w:r>
            <w:r>
              <w:rPr>
                <w:rFonts w:hint="eastAsia" w:cs="Times New Roman" w:asciiTheme="minorEastAsia" w:hAnsiTheme="minorEastAsia" w:eastAsiaTheme="minorEastAsia"/>
                <w:b/>
                <w:bCs/>
                <w:kern w:val="0"/>
                <w:sz w:val="20"/>
                <w:szCs w:val="20"/>
              </w:rPr>
              <w:t>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华富村东、西区房屋征收项目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弘毅路工程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16.04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深规土一局〔2013〕190号、深规土一局〔2013〕191号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车公庙片区交通整治工程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2013年市政府办公会议纪要（287）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福田慢性病医院</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2017年福田区重大项目建设指挥部卫生分指挥部会议纪要（24）</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清水河一路建设工程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罗发改〔2017〕25号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“二线插花地”棚户区改造征收项目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罗湖区政府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活泉二街（龙珠七号路）南北段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深南发改〔2019〕6号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官龙路市政工程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深南发改〔2019〕6号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北环大道北侧规划路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深南发改〔2018〕6号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创新大厦周边道路征地拆迁</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南山医院改扩建项目房屋征收与补偿</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大新四港片区大新一路及大新街北段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沙头角中学教师楼房屋征收</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盐田区政府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宝安区人民医院整体改造工程（二期）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16400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13954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燕罗片区排涝工程-罗田排涝泵站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239.58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206.44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锦云路（民乐路-锦程路）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深发改〔2018〕114号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丰民路（海锦路-德民路）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深发改〔2018〕114号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民主大道西延段（荣安路-民乐路）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113.82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深发改〔2018〕114号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德政路龙大高速立交及德政路东延段工程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2089.6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深发改〔2014〕556号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外环路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63.69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14419.86</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《深圳市人民政府关于印发第五轮市区政府投资事权划分实施方案的通知》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洪浪南路东延段市政工程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3071.53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宝发改〔2014〕378号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龙田北路（光布大道-祝龙田路）新建工程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7419.95</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2526.3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宝发改〔2017〕48号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松岗街道创业路（芙蓉路-东方大道）新建工程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24269.45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松岗人民医院扩建（二期）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7803.41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坳颈涌综合整治工程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1386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深宝环水〔2015〕448号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福永河水环境综合整治工程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168378.19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778.48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德丰围涌综合整治工程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1520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衙边涌综合整治工程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7362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寮丰沙头商业路（西环路至环镇路）综合改造工程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4871</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玻璃围涌综合整治工程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塘尾涌综合整治工程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宝发改政投〔2011〕80号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853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宝发改政投〔2013〕286号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铁岗-石岩水库水质保障工程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211300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177000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宝发改立项〔2018〕43号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南昌涌综合整治工程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深宝环水〔2015〕448号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西乡河步行街河堤安全隐患整治应急工程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7093.22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5842.77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宝发改政投〔2017〕211号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应人石河综合整治工程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1906.03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1310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帝堂路改造工程（沙四路-环镇路）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宝发改政投〔2011〕34号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燕罗街道燕罗塘片区大华路（红湖路-红燕路）综合改造工程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1584.67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民乐路（民主大道至南环路）新建工程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2110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石岩街道羊台山路（宝石东路-石环南路）新建工程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14213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宝发改政投〔2007〕149号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羊台山森林公园（二期）石岩片区-龙腾路综合改造工程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上南东路改造及金桥扩建工程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宝发改政投〔2012〕94号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燕罗街道环胜南路（燕罗路-松福路）新建工程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宝发改政投〔2012〕14号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新桥街道至丰路（庄南路-南沙快速预留辅道）新建工程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宝发改政投〔2017〕234号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燕罗街道金鹤路（红湖路-大浦路）新建工程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白凤路（凤凰山大道-黄埔工业路）工程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宝发改政投〔2013〕11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立新南路（翠岗西路至福永大道）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项目入库，支付测绘评估费用</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12759.64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12554.4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宝发改政投〔2011〕206号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永荣路新建工程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宝发改政投〔2012〕18号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燕罗街道金鹤路（大浦路-向阳路）新建工程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宝发改政投〔2017〕133号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蚝乡路（中心路线-永荣路）新建工程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宝发改政投〔2017〕228号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石岩街道民营路（德悦路-石龙环南路）新建工程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宝发改政投〔2017〕182号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燕罗街道大华路（红燕路-富恒路）新建工程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燕罗街道大浦路（金鹤路-向阳路）改造工程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燕罗街道山铭路（洋眉坑路-松白路）新建工程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通成路（铁仔山北麓-共和工业路）新建工程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共和工业路（银田工业路-通达路）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340.04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250.29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宝发改政投〔2011〕206号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塘鑫路（新荔路-规划二路）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宝发改〔2017〕69号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新荔路（凤塘大道-塘鑫路）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宝发改〔2017〕66号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育桥路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8613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宝发改政投〔2011〕33号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迎宾路（环镇路-永通路）新建工程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宝发改政投〔2013〕286号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鞍胜东路（南环路-宝安大道）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4721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沙井路（新沙路-北环路）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朗碧路（河滨北路-松福路）改造工程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宝发改政投〔2012〕14号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松岗街道学前一路（河滨北路-沙江路）新建工程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松瑞路（松福大道-松裕横路）市政工程房屋征收项目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2898.27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宝发改概算〔2017〕68号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洋眉坑路（居安路-楼岗大道）新建工程项目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5681.28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松裕路（广深公路-松岗大道）市政工程项目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9.88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9.88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94292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深发改〔2014〕1538号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石岩街道民裕路（德悦路-民兴路）新建工程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宝发改政投〔2016〕425号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国泰路市政工程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4037.16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3152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宝发改函〔2010〕346号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机场外排水渠综合整治工程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25.38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4006.1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3208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深发改〔2013〕1272号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楼岗渠综合整治工程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4226.5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448.06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沙福河综合整治工程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6260.31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2211.67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白沙坑综合整治工程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深光发財〔2017〕860号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潭头河综合整治工程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9418.6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148.39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孖庙涌排涝泵站工程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8348.86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7436.79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宝发改立项〔2008〕17号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911.5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207.17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茅洲河流域（宝安片区）水环境综合整治工程桥头片区排涝工程-新上星排涝泵站项目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61.92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深发改〔2015〕1399号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黄麻布河综合整治工程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42.33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玻璃围涌雨水泵站征地拆迁</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宝发改立项〔2008〕17号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茅洲河流域综合整治工程-新桥公园排涝泵站项目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深发改〔2015〕1399号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东方七支渠排洪渠整治工程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6434.19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225.84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松岗潭头渠综合整治工程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948.51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石围涌综合整治工程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下涌综合整治工程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和二涌综合整治工程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宝发改政投〔2015〕225号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新桥河综合整治工程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30773.37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22260.54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深宝发改政投〔2010〕39号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塘下涌综合整治工程二期（松岗段）征收项目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5681.29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宝发改政投〔2011〕79号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松岗沙浦西排洪渠综合整治工程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352.14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77.14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沙浦北片区排涝泵站工程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4810.62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2680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桥头片区排涝工程-洋下泵站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凤凰人才住房及凤凰消防站建设工程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桥头消防站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深发改〔2015〕1255号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立新湖环湖绿道贯通工程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775.04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宝发改函〔2017〕181号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中共一大宝安旧址</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2148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深宝会纪〔2017〕186号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福永人民医院扩建（二期）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沙井人民医院扩建（二期）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9320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7838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宝发改政投〔2016〕62号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福海体育公园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测绘、评估等前期工作</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880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宝发改政投〔2017〕311号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松岗西片区九年一贯制学校建设工程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宝安区政府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验收入库结算</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912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宝发改政投〔2012〕199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沙湾河流域水环境综合整治工程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15758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深发改〔2012〕694号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新生排水渠综合整治工程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龙岗中学排水渠综合整治工程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荷韵路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1032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桂坪路（一期）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1261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龙岗区儿童公园建设工程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21865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南湾人民医院改扩建工程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深龙发改〔2017〕547号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区第二人民医院迁址重建工程（罗岗）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深龙发改函〔2018〕206号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区第七人民医院迁址重建工程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深龙发改〔2018〕613号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区第三人民医院医技内科楼工程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深龙发改〔2018〕576号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区第六人民医院二期工程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深龙发改〔2016〕824号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坪地环城南路（同心中路-人民南路段）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深发改（2009）1046号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丹平快速一期北延段及平湖大道东段改造工程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73468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4175.06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深发改〔2014〕835号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平安大道（丹平路以北部分）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117486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57963.86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平吉大道（北段）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25188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2185.45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深发改〔2008〕1106号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平湖罗山自行车郊野公园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17600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2798.94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李朗路（新木大道-富康路）一期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7077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739.65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深发改〔2014〕835号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李朗路（平南铁路-富安东路）二期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7077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21.93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深发改〔2016〕787号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平湖辅歧路东段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5035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3915.83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深发改〔2016〕201号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恒心路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39.13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君子布河综合整治工程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11.69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35802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2470.95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木古河综合整治工程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32558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1579.43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山厦河综合整治工程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31554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1275.17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鹅公岭河综合整治工程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24643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1310.45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白泥坑排水渠综合整治工程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景岭路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2743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白坭坑消防站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联运路一期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69.09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湖田路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耕田路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百田街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平湖街道办事处良安田片区文体活动中心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72.13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十大专项行动用地清退图斑复绿专项资金</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平湖人民医院迁址重建项目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1126.38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惠华路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36062.73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深发改〔2008〕359号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西宝线平湖段改造工程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12481.53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深发改〔2008〕359号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中环大道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34637.9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深发改〔2008〕359号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嘉湖路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25400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11856.19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深发改〔2008〕359号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中粮储配套道路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2358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2604.31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深发改〔2013〕281号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丹农路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402.99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402.99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深发改〔2008〕342号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石岭路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90.68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90.68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深发改〔2008〕342号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南环路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惠康路B、C段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布吉派出所重建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布吉河（龙岗段）综合整治工程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1336.48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布吉水质净化厂</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959.72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布吉生猪批发市场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甘李路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秀峰路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科技园路二期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樟坑径外围消防通道（吉华）</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深发改〔2011〕107号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坂田第二初级中学</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雪象体育公园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19756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布坂联络道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1265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605.86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深发改〔2008〕1642号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一号路南段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16183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深龙发改〔2010〕1412号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石背路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7318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3694.65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深龙发改〔2007〕579号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稼先东路改造项目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4231.56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深龙发改〔2013〕281号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吉华路（环城路-布龙路）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深发改〔2011〕106号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坂田村级自建供水设施整合项目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931.4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484.65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5954.53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深龙发改〔2006〕211号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三号路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360.87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深龙发改〔2007〕282号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梅观高速至贝尔路连接线工程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深龙发改〔2008〕161号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龙颈岭路、杨山路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禾堂光街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深龙发改〔2010〕1304号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白泥坑水综合整治工程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深龙发改〔2016〕1452号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简坑河综合整治工程（南湾段）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深龙发改〔2016〕1485号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龙岗区第三人民医院改扩建工程（二期）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深圳市龙岗区第七人民医院迁址重建工程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简坑河综合整治工程（横岗段）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0.94</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244.77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牛始埔路（龙岗大道-保障房路口段）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六和路拓宽改造工程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四联河地面坍塌隐患治理及水环境综合整治工程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11275</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3111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梧桐山南路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海绵城市</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简豪路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长江埔路南延段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永勤路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连山五路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清友路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11274.66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深龙发改〔2017〕1199号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龙凤路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9337.9</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内环北路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龙岗区养老护理院</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113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4066</w:t>
            </w:r>
          </w:p>
        </w:tc>
        <w:tc>
          <w:tcPr>
            <w:tcW w:w="1124"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1498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丹荷路三标</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公园路工程项目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春华路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宝沙三路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宝龙五路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宝龙四路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龙湖公园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丹荷路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八仙岭公园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松子坑森林公园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宝沙一路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新布中队消防站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三棵松水黑臭整治工程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2831.44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576.48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深龙发改〔2018〕70号；深龙发改〔2018〕1123号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上禾塘水综合整治工程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11341.19</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7306.69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深龙发改〔2018〕70号；深龙发改〔2018〕1123号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沙背沥河综合整治工程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9253.74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2527.78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深龙发改〔2018〕70号；深龙发改〔2018〕1123号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田心村排水渠综合整治工程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8005.7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2998.26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深龙发改〔2018〕70号；深龙发改〔2018〕1123号；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浪背水综合整治工程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1419.55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1280.8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深龙发改〔2018〕1123号；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茅湖水综合整治工程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971.35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48.25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深龙发改〔2018〕1123号；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花园河综合整治项目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29800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黄竹坑水综合整治项目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12842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上輋水综合整治项目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丁山河综合整治项目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24927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noWrap/>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黄沙河综合整治项目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深圳国际低碳城吉桥路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环城西路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环坪路市政工程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国际低碳城启动区市政工程共同沟(综合管廊工程)二期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龙坪路一标</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平安大道二期市政工程（红棉路-丹平路）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龙岗区政府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深发改〔2006〕467号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大浪体育中心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深龙华发改〔2018〕56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龙华区环城绿道建设项目（羊台山北段）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140.86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3433.48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深龙华会纪〔2017〕4号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片区路网综合整治工程（第三批）-大浪三合片区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华宁路（石岩外环路-大浪北路）综合改造工程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14.73</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深龙华发财〔2016〕178号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建设路（布龙路~东环二路）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深龙华发财〔2016〕178号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人民路（福龙路-龙观路）改造工程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14.38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民悦北路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353.8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观盛四路工程征收补偿项目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景祥路（平安路-金园路）工程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204.55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深龙华发财〔2016〕178号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观平路改造工程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21670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深发改〔2015〕1558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樟坑径城市公园二期工程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5751.07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深规土选BA-2007-0469号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澜清三路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37.88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档案馆建设项目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宝志工业路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金明路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观湖新田片区路网整治工程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80.44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深龙华发财〔2016〕178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高尔夫大道（观澜大道-环观南路）改造工程（观湖段）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10705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深发改〔2014〕1283号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观和路（观景路-和记仓储北侧现状路）工程项目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俊和路（观和路-新湖路）工程项目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观澜大道改造工程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41.59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9.19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龙华区环城绿道建设项目（大水坑段）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观澜人民路(二期)</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23601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深发改〔2007〕800号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大水坑片区路网综合整治工程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7486</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深龙华发财〔2016〕178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章阁片区路网综合整治工程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1390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松山仔路道路工程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大水坑小学改扩建工程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深龙华发改函〔2017〕460号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石清大道二期（福城段）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深发改〔2016〕484号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狮径路（丹丰路-悦兴路）工程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平安路（福花路-观澜大道）工程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53770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深交龙华〔2014〕163号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观澜中心小学改扩建项目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18541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观澜河流域（龙华片区）水环境综合整治工程-大布巷水综合整治工程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13244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泗黎路（观光路-黎泰路）改造工程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44411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龙华区环城绿道建设项目（观澜北段）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深圳桂花大道至东莞沙湖大道升级扩建工程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深龙华发改〔2017〕393号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宝君路（环观南路-新湖路）市政工程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深龙华发改〔2017〕2号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裕广路（裕兴路-鳌湖街）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3472</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观澜老中心地区北片13-07规划学校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库坑片区规划初中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深龙华发改函〔2017〕461号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桂香路（大富路-桂花路）市政工程三标段项目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三角楼水</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绿梓大道一标B段（红线外扩征）</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13.68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坪山大道综合改造工程（南段）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坪山大道综合改造工程（中段）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深坪前期函〔2018〕207号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坪山大道综合改造工程（北段）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深坪前期函〔2018〕207号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夹圳岭南路道路工程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深坪交轨函〔2018〕914号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宝坪路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深发改〔2004〕750号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龙兴北路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深交坪函〔2015〕173号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秋宝路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深发改〔2015〕735号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鸿景路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深坪发财〔2011〕4号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深坪发财复〔2013〕177号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翠景路（南段）市政工程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深坪工函〔2017〕397号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竹坑路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深坪发财复〔2013〕19号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丹梓北路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深坪委办公纪〔2016〕216号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金辉北路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深发改〔2008〕1483号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横塘水生态海绵综合示范区工程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大山陂水库环湖绿道示范段建设工程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田头河综合整治工程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田脚水综合整治工程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深坪环水函〔2018〕95号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梓横东路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深坪前期函〔2016〕81号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长横二巷</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深坪前期函〔2016〕81号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荣寿路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深坪发财复（2012）30号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梓雄路（长隆路）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深发改〔2008〕1116号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梓横西路与育新街断头路疏通工程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深坪发财复〔2014〕41号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金辉路地下综合管廊</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同富路（第二标段）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深坪发财复〔2013〕115号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东江纵队纪念馆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新合路学校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深坪发财复〔2015〕176号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500kV变电站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深发改函〔2012〕545号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土地历史遗留问题处理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转地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三洲田水</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深坪环水函〔2017〕1445号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一级水源保护区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墩子河综合整治工程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汤坑水综合整治工程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兰田路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麻雀坑水综合整治工程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深坪环水函〔2018〕756号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老鸦山水库排洪渠</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深坪环水函〔2018〕1284号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花鼓坪水黑臭水体整治工程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深坪环水函〔2017〕2641号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燕子湖国际会议中心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健宁医院周边配套道路（璜坑一路、健宁医院环路、振碧路）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深坪发财复〔2014〕92号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坪山云巴（胶轮有轨电车）1号线</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深坪交轨函〔2019〕306号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比亚迪路东延接金田路市政工程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新横坪公路坪山段市政化改造</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上坝路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上曲路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老坑学校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沙田中队消防站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燕子岭学校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宝梓学校（秀新小学）</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龙勤路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深坪发财函〔2014〕488号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复兴路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儿童公园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生命健康城</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汤沙路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黄竹坑路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张河沥综合整治工程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奥士达地块收地（G12203-0120）</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坪山区政府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光明社区老年活动中心及加建楼层地块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光明区万丈坡拆迁后续问题协调会议纪要（2017年240号）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马山头实验学校周边龟山东路（振发路-龟竹路）等2条市政道路（龟田路改名为龟松路）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深光发财〔2017〕64号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光明集团管理水库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64.43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深光水推办〔2017〕 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城市建筑双年展光明分展场主会场选址地块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城市建筑双年展新区工作部署会议纪要（工作会议纪要2017年239号）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58"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科杰四路（原名公明内衣产业集聚基地科裕十二路市政工程项目）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 575号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富利北路（屋园路-志康路）市政工程项目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深发改〔2012〕1290号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东周一街（光明大街-华夏二路）市政工程项目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 758号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河心路（东周路-光明大道）市政工程项目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 759号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茅洲河支流排洪渠综合整治工程（马田排洪渠）项目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2353.35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市政府常务会议纪要(六届四十八次)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红花山公园改扩建工程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深光发财〔2017〕422号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茅洲河支流排洪渠综合整治工程（圳美排洪渠）项目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1.98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深发改〔2016〕324号、市政府常务会议纪要(六届四十八次)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声光路（双明大道-三号路）市政工程项目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深光发财〔2017〕62号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尖岗三路市政工程项目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塘家配套学校周边崇新路、裕农路市政工程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深光发财〔2017〕495号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公明中学改扩建工程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明正路（振明路-别墅大道）市政工程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121.71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深光发财〔2017〕616号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马拉松山湖绿道（一期）工程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24.57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32.78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深光发财〔2017〕522号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钟表基地规划一路（通兴路-芳园路）、钟表六路（富利路-钟表五路）市政道路工程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深光发财〔2016〕1065号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深圳市模具产业集聚基地基础及配套设施（二期）工程-环光路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深光发财〔2013〕314号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红燕南路市政工程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深光发财〔2013〕212号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双明大道（松白路-龙大路）市政工程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深光发财〔2017〕876号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根玉路（南环大道-玉环路）改造工程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49.79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深发改〔2017〕94号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S358惠庙线绿化建设项目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S358 惠庙线、东环大道绿化景观提升项目现场调研会议纪要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永兴路（公常路-圳美变电站）市政工程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353.35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公明科裕三路（延伸段）市政工程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深光发财〔2013〕413号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泉鸣路（观光路-公园路）市政工程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深光发财〔2017〕261号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光明新区社会保障综合服务中心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深光发财〔2016〕49号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科林路街心公园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深光发财〔2017〕545号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玉塘文体中心</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深光发财〔2017〕283号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深圳市模具产业集聚基地基础及配套设施（二期）工程-南观路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深光发财〔2013〕314号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深圳市模具产业集聚基地基础及配套设施（二期）工程-南田路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深光发财〔2013〕314号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茅洲河（光明新区）水景观综合整治工程干流景观提升工程项目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168.72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588.81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深光管纪〔2018〕2号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新玉路光明段（光明边界-喜德盛门前）改造工程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深光发财〔2016〕882号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东环路绿化景观提升</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S358惠庙线、东环路绿化景观提升项目现场调研会议纪要（2018年21号）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东周消防站项目（新选址地块）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深光安会纪〔2016〕10号、深府办函〔2016〕82号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玉德路（侨玉路-松白路）市政工程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深光发财〔2018〕161号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光明新区白花受纳场工程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0.09</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深光发财〔2016〕1015号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河道底泥处置工程项目拟选址地块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光明新区治水提质工作推进会议纪要（2018年4月9日）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荔湖公园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332.29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深光发财〔2017〕180号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碧明路（圳美大道-圳园路）市政工程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深光发财〔2017〕976号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碧鲲路（光侨路-圳美一路）市政工程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深光发财〔2017〕975号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碧福路等3条市政道路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深光发财〔2017〕967号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五指耙森林公园（光明片区）项目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深光发财〔2018〕409号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茅洲河支流排洪渠综合整治工程（楼村社区排洪渠）</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深光发财〔2017〕858号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思源东路（曙光路-风景路）市政工程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深光发财〔2017〕921号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碧龙路市政道路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150.46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深光发财〔2013〕410号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茅洲河支流排洪渠综合整治工程（塘家面前陇）</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2.43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深光发财〔2017〕858号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太阳路（松白路-东长路）市政工程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0.66</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深光发财〔2009〕12号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文化公园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深光发财〔2017〕1046号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白花社区白花园路西侧工业区东侧挡墙涉及深圳市汇宝光学科技有限公司钢构架厂房地块项目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深光土整组〔2018〕93号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深圳市（公明）内衣产业集聚基地配套员工宿舍项目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深光发财〔2010〕123号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深圳市（公明）模具产业集聚基地配套员工宿舍项目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深光发财〔2010〕124号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永兴路（新公常路-公常路）市政工程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深光发财〔2017〕923号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大捷达工业区旧改配套育新园路等3条市政工程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深光发财〔2017〕886号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光明新区公明排洪渠水环境综合整治工程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深光发财〔2018〕439号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光明新区合水口排洪渠水环境综合整治工程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0.27</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深光发财〔2018〕439号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光明新区上下村排洪渠水环境综合整治工程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深光发财〔2018〕439号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将石路（东明大道-南环大道）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3800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334.23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深规土光函〔2012〕207号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圳美消防站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深光发财〔2017〕84号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一号路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深发改〔2007〕554号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光侨路（公明玉律-光明碧眼）</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83.81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172.76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拆许字〔2008〕第036号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东明大道（南光高速-松白路）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东明大道（松白路-东长路）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6404.93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东长路（东明大道-塘明路）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4991.25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关于启动圳辉路等四条市政道路征收拆迁工作的通知（2009）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公园大道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4888.13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同观路（茅洲河-东长路）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517.34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关于启动公园大道等六条市政道路征收拆迁工作的通知（2009）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629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风景北路（民生路-龙大路）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7700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7673.82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深发改〔2008〕2387号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周家大道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15.95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5.76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深发改〔2008〕1322号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南玉路（南环大道-根玉路）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13.72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136.31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深光拆组〔2009〕1号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风景南路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56.69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深光拆函〔2009〕82号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富利路（公明北环路-思源路）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1040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深发改〔2009〕982号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振兴路（西环路-周家大道）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78500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18234.75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水荫路（马田路-风景北路）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1773.53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马田路（通兴路-公明北环路）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4980.04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光侨北路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11440.47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深发改〔2008〕1079号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通兴路（南环路-塘明路）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2860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深发改〔2009〕1879号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迳口社区排洪应急工程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1004.92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深光土整组〔2011〕29号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公明塘尾宝塘、将石石围、红星金明三个边坡治理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深光土整组〔2011〕32号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长祥路（原名八号路）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9.63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深发改〔2007〕554号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35号路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深光发财〔2015〕495号、光明新区管委会工作会议纪要（248）</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双明大道（便道）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560.3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光明新区管委办工作会议纪要〔2012〕181号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科发路（十二号路-塘明路）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10216.01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深光土整组〔2012〕46号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白花社区富民大道北端等5个边坡治理项目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7.46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深发改〔2012〕437号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鹅颈水综合整治工程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48.83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1239.28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深发改〔2012〕1043号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玉律再生资源分拣场项目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深光土整组〔2015〕3号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白花河综合整治工程项目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1574.43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深光土整组〔2015〕21号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新陂头河综合整治工程项目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117.02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0.78</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12781.7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深光土整组〔2015〕22号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楼村水综合整治工程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32.71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991.39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深光土整组〔2015〕22号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12" w:hRule="atLeast"/>
          <w:jc w:val="center"/>
        </w:trPr>
        <w:tc>
          <w:tcPr>
            <w:tcW w:w="516"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651</w:t>
            </w:r>
          </w:p>
        </w:tc>
        <w:tc>
          <w:tcPr>
            <w:tcW w:w="967"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外国语学校周边市政道路</w:t>
            </w:r>
          </w:p>
        </w:tc>
        <w:tc>
          <w:tcPr>
            <w:tcW w:w="1275"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6.48</w:t>
            </w:r>
          </w:p>
        </w:tc>
        <w:tc>
          <w:tcPr>
            <w:tcW w:w="113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5400</w:t>
            </w:r>
          </w:p>
        </w:tc>
        <w:tc>
          <w:tcPr>
            <w:tcW w:w="1124"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5513.96</w:t>
            </w:r>
          </w:p>
        </w:tc>
        <w:tc>
          <w:tcPr>
            <w:tcW w:w="3322" w:type="dxa"/>
            <w:vMerge w:val="restart"/>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深光经〔2008〕431号、深光发财〔2010〕541号、深光发财〔2010〕540号、深光发财〔2010〕547号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12" w:hRule="atLeast"/>
          <w:jc w:val="center"/>
        </w:trPr>
        <w:tc>
          <w:tcPr>
            <w:tcW w:w="516" w:type="dxa"/>
            <w:vMerge w:val="continue"/>
            <w:vAlign w:val="center"/>
          </w:tcPr>
          <w:p>
            <w:pPr>
              <w:jc w:val="center"/>
              <w:rPr>
                <w:rFonts w:cs="Times New Roman" w:asciiTheme="minorEastAsia" w:hAnsiTheme="minorEastAsia" w:eastAsiaTheme="minorEastAsia"/>
                <w:kern w:val="0"/>
                <w:sz w:val="20"/>
                <w:szCs w:val="20"/>
              </w:rPr>
            </w:pPr>
          </w:p>
        </w:tc>
        <w:tc>
          <w:tcPr>
            <w:tcW w:w="967" w:type="dxa"/>
            <w:vMerge w:val="continue"/>
            <w:vAlign w:val="center"/>
          </w:tcPr>
          <w:p>
            <w:pPr>
              <w:jc w:val="center"/>
              <w:rPr>
                <w:rFonts w:cs="Times New Roman" w:asciiTheme="minorEastAsia" w:hAnsiTheme="minorEastAsia" w:eastAsiaTheme="minorEastAsia"/>
                <w:kern w:val="0"/>
                <w:sz w:val="20"/>
                <w:szCs w:val="20"/>
              </w:rPr>
            </w:pPr>
          </w:p>
        </w:tc>
        <w:tc>
          <w:tcPr>
            <w:tcW w:w="2628" w:type="dxa"/>
            <w:vMerge w:val="continue"/>
            <w:vAlign w:val="center"/>
          </w:tcPr>
          <w:p>
            <w:pPr>
              <w:jc w:val="center"/>
              <w:rPr>
                <w:rFonts w:cs="Times New Roman" w:asciiTheme="minorEastAsia" w:hAnsiTheme="minorEastAsia" w:eastAsiaTheme="minorEastAsia"/>
                <w:kern w:val="0"/>
                <w:sz w:val="20"/>
                <w:szCs w:val="20"/>
              </w:rPr>
            </w:pPr>
          </w:p>
        </w:tc>
        <w:tc>
          <w:tcPr>
            <w:tcW w:w="1275" w:type="dxa"/>
            <w:vMerge w:val="continue"/>
            <w:vAlign w:val="center"/>
          </w:tcPr>
          <w:p>
            <w:pPr>
              <w:jc w:val="center"/>
              <w:rPr>
                <w:rFonts w:cs="Times New Roman" w:asciiTheme="minorEastAsia" w:hAnsiTheme="minorEastAsia" w:eastAsiaTheme="minorEastAsia"/>
                <w:kern w:val="0"/>
                <w:sz w:val="20"/>
                <w:szCs w:val="20"/>
              </w:rPr>
            </w:pPr>
          </w:p>
        </w:tc>
        <w:tc>
          <w:tcPr>
            <w:tcW w:w="1134" w:type="dxa"/>
            <w:vMerge w:val="continue"/>
            <w:vAlign w:val="center"/>
          </w:tcPr>
          <w:p>
            <w:pPr>
              <w:jc w:val="center"/>
              <w:rPr>
                <w:rFonts w:cs="Times New Roman" w:asciiTheme="minorEastAsia" w:hAnsiTheme="minorEastAsia" w:eastAsiaTheme="minorEastAsia"/>
                <w:kern w:val="0"/>
                <w:sz w:val="20"/>
                <w:szCs w:val="20"/>
              </w:rPr>
            </w:pPr>
          </w:p>
        </w:tc>
        <w:tc>
          <w:tcPr>
            <w:tcW w:w="1134" w:type="dxa"/>
            <w:vMerge w:val="continue"/>
            <w:vAlign w:val="center"/>
          </w:tcPr>
          <w:p>
            <w:pPr>
              <w:jc w:val="center"/>
              <w:rPr>
                <w:rFonts w:cs="Times New Roman" w:asciiTheme="minorEastAsia" w:hAnsiTheme="minorEastAsia" w:eastAsiaTheme="minorEastAsia"/>
                <w:kern w:val="0"/>
                <w:sz w:val="20"/>
                <w:szCs w:val="20"/>
              </w:rPr>
            </w:pPr>
          </w:p>
        </w:tc>
        <w:tc>
          <w:tcPr>
            <w:tcW w:w="2410" w:type="dxa"/>
            <w:vMerge w:val="continue"/>
            <w:vAlign w:val="center"/>
          </w:tcPr>
          <w:p>
            <w:pPr>
              <w:jc w:val="center"/>
              <w:rPr>
                <w:rFonts w:cs="Times New Roman" w:asciiTheme="minorEastAsia" w:hAnsiTheme="minorEastAsia" w:eastAsiaTheme="minorEastAsia"/>
                <w:kern w:val="0"/>
                <w:sz w:val="20"/>
                <w:szCs w:val="20"/>
              </w:rPr>
            </w:pPr>
          </w:p>
        </w:tc>
        <w:tc>
          <w:tcPr>
            <w:tcW w:w="1224" w:type="dxa"/>
            <w:vMerge w:val="continue"/>
            <w:vAlign w:val="center"/>
          </w:tcPr>
          <w:p>
            <w:pPr>
              <w:jc w:val="center"/>
              <w:rPr>
                <w:rFonts w:cs="Times New Roman" w:asciiTheme="minorEastAsia" w:hAnsiTheme="minorEastAsia" w:eastAsiaTheme="minorEastAsia"/>
                <w:kern w:val="0"/>
                <w:sz w:val="20"/>
                <w:szCs w:val="20"/>
              </w:rPr>
            </w:pPr>
          </w:p>
        </w:tc>
        <w:tc>
          <w:tcPr>
            <w:tcW w:w="1124" w:type="dxa"/>
            <w:vMerge w:val="continue"/>
            <w:vAlign w:val="center"/>
          </w:tcPr>
          <w:p>
            <w:pPr>
              <w:jc w:val="center"/>
              <w:rPr>
                <w:rFonts w:cs="Times New Roman" w:asciiTheme="minorEastAsia" w:hAnsiTheme="minorEastAsia" w:eastAsiaTheme="minorEastAsia"/>
                <w:kern w:val="0"/>
                <w:sz w:val="20"/>
                <w:szCs w:val="20"/>
              </w:rPr>
            </w:pPr>
          </w:p>
        </w:tc>
        <w:tc>
          <w:tcPr>
            <w:tcW w:w="3322" w:type="dxa"/>
            <w:vMerge w:val="continue"/>
            <w:vAlign w:val="center"/>
          </w:tcPr>
          <w:p>
            <w:pPr>
              <w:jc w:val="center"/>
              <w:rPr>
                <w:rFonts w:cs="Times New Roman" w:asciiTheme="minorEastAsia" w:hAnsiTheme="minorEastAsia" w:eastAsiaTheme="minorEastAsia"/>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312" w:hRule="atLeast"/>
          <w:jc w:val="center"/>
        </w:trPr>
        <w:tc>
          <w:tcPr>
            <w:tcW w:w="516" w:type="dxa"/>
            <w:vMerge w:val="continue"/>
            <w:vAlign w:val="center"/>
          </w:tcPr>
          <w:p>
            <w:pPr>
              <w:jc w:val="center"/>
              <w:rPr>
                <w:rFonts w:cs="Times New Roman" w:asciiTheme="minorEastAsia" w:hAnsiTheme="minorEastAsia" w:eastAsiaTheme="minorEastAsia"/>
                <w:kern w:val="0"/>
                <w:sz w:val="20"/>
                <w:szCs w:val="20"/>
              </w:rPr>
            </w:pPr>
          </w:p>
        </w:tc>
        <w:tc>
          <w:tcPr>
            <w:tcW w:w="967" w:type="dxa"/>
            <w:vMerge w:val="continue"/>
            <w:vAlign w:val="center"/>
          </w:tcPr>
          <w:p>
            <w:pPr>
              <w:jc w:val="center"/>
              <w:rPr>
                <w:rFonts w:cs="Times New Roman" w:asciiTheme="minorEastAsia" w:hAnsiTheme="minorEastAsia" w:eastAsiaTheme="minorEastAsia"/>
                <w:kern w:val="0"/>
                <w:sz w:val="20"/>
                <w:szCs w:val="20"/>
              </w:rPr>
            </w:pPr>
          </w:p>
        </w:tc>
        <w:tc>
          <w:tcPr>
            <w:tcW w:w="2628" w:type="dxa"/>
            <w:vMerge w:val="continue"/>
            <w:vAlign w:val="center"/>
          </w:tcPr>
          <w:p>
            <w:pPr>
              <w:jc w:val="center"/>
              <w:rPr>
                <w:rFonts w:cs="Times New Roman" w:asciiTheme="minorEastAsia" w:hAnsiTheme="minorEastAsia" w:eastAsiaTheme="minorEastAsia"/>
                <w:kern w:val="0"/>
                <w:sz w:val="20"/>
                <w:szCs w:val="20"/>
              </w:rPr>
            </w:pPr>
          </w:p>
        </w:tc>
        <w:tc>
          <w:tcPr>
            <w:tcW w:w="1275" w:type="dxa"/>
            <w:vMerge w:val="continue"/>
            <w:vAlign w:val="center"/>
          </w:tcPr>
          <w:p>
            <w:pPr>
              <w:jc w:val="center"/>
              <w:rPr>
                <w:rFonts w:cs="Times New Roman" w:asciiTheme="minorEastAsia" w:hAnsiTheme="minorEastAsia" w:eastAsiaTheme="minorEastAsia"/>
                <w:kern w:val="0"/>
                <w:sz w:val="20"/>
                <w:szCs w:val="20"/>
              </w:rPr>
            </w:pPr>
          </w:p>
        </w:tc>
        <w:tc>
          <w:tcPr>
            <w:tcW w:w="1134" w:type="dxa"/>
            <w:vMerge w:val="continue"/>
            <w:vAlign w:val="center"/>
          </w:tcPr>
          <w:p>
            <w:pPr>
              <w:jc w:val="center"/>
              <w:rPr>
                <w:rFonts w:cs="Times New Roman" w:asciiTheme="minorEastAsia" w:hAnsiTheme="minorEastAsia" w:eastAsiaTheme="minorEastAsia"/>
                <w:kern w:val="0"/>
                <w:sz w:val="20"/>
                <w:szCs w:val="20"/>
              </w:rPr>
            </w:pPr>
          </w:p>
        </w:tc>
        <w:tc>
          <w:tcPr>
            <w:tcW w:w="1134" w:type="dxa"/>
            <w:vMerge w:val="continue"/>
            <w:vAlign w:val="center"/>
          </w:tcPr>
          <w:p>
            <w:pPr>
              <w:jc w:val="center"/>
              <w:rPr>
                <w:rFonts w:cs="Times New Roman" w:asciiTheme="minorEastAsia" w:hAnsiTheme="minorEastAsia" w:eastAsiaTheme="minorEastAsia"/>
                <w:kern w:val="0"/>
                <w:sz w:val="20"/>
                <w:szCs w:val="20"/>
              </w:rPr>
            </w:pPr>
          </w:p>
        </w:tc>
        <w:tc>
          <w:tcPr>
            <w:tcW w:w="2410" w:type="dxa"/>
            <w:vMerge w:val="continue"/>
            <w:vAlign w:val="center"/>
          </w:tcPr>
          <w:p>
            <w:pPr>
              <w:jc w:val="center"/>
              <w:rPr>
                <w:rFonts w:cs="Times New Roman" w:asciiTheme="minorEastAsia" w:hAnsiTheme="minorEastAsia" w:eastAsiaTheme="minorEastAsia"/>
                <w:kern w:val="0"/>
                <w:sz w:val="20"/>
                <w:szCs w:val="20"/>
              </w:rPr>
            </w:pPr>
          </w:p>
        </w:tc>
        <w:tc>
          <w:tcPr>
            <w:tcW w:w="1224" w:type="dxa"/>
            <w:vMerge w:val="continue"/>
            <w:vAlign w:val="center"/>
          </w:tcPr>
          <w:p>
            <w:pPr>
              <w:jc w:val="center"/>
              <w:rPr>
                <w:rFonts w:cs="Times New Roman" w:asciiTheme="minorEastAsia" w:hAnsiTheme="minorEastAsia" w:eastAsiaTheme="minorEastAsia"/>
                <w:kern w:val="0"/>
                <w:sz w:val="20"/>
                <w:szCs w:val="20"/>
              </w:rPr>
            </w:pPr>
          </w:p>
        </w:tc>
        <w:tc>
          <w:tcPr>
            <w:tcW w:w="1124" w:type="dxa"/>
            <w:vMerge w:val="continue"/>
            <w:vAlign w:val="center"/>
          </w:tcPr>
          <w:p>
            <w:pPr>
              <w:jc w:val="center"/>
              <w:rPr>
                <w:rFonts w:cs="Times New Roman" w:asciiTheme="minorEastAsia" w:hAnsiTheme="minorEastAsia" w:eastAsiaTheme="minorEastAsia"/>
                <w:kern w:val="0"/>
                <w:sz w:val="20"/>
                <w:szCs w:val="20"/>
              </w:rPr>
            </w:pPr>
          </w:p>
        </w:tc>
        <w:tc>
          <w:tcPr>
            <w:tcW w:w="3322" w:type="dxa"/>
            <w:vMerge w:val="continue"/>
            <w:vAlign w:val="center"/>
          </w:tcPr>
          <w:p>
            <w:pPr>
              <w:jc w:val="center"/>
              <w:rPr>
                <w:rFonts w:cs="Times New Roman" w:asciiTheme="minorEastAsia" w:hAnsiTheme="minorEastAsia" w:eastAsiaTheme="minorEastAsia"/>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芳园路（西环大道-富利路）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864.03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深光发财〔2012〕413号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圳美片区四条市政道路工程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深光发财〔2013〕410号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马山头学校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深光发财〔2015〕23号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长春北路（通兴路-红燕路）市政工程项目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深光土整组〔2015〕47号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龟山公园项目用地</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深光发财〔2014〕266号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大眼山隧道右侧地块</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701.46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深光土整组〔2016〕6号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大凼水综合整治工程项目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3.44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7104.05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深光发财函〔2009〕44号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659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玉田河综合整治工程项目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5.92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39791.93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深光发财函〔2009〕44号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南侨路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高新路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深光发财〔2010〕597号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茅洲河流域水环境综合整治工程-木墩河综合整治一期工程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21.55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559.51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深光发财函〔2009〕44号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光明24个边坡（5个边坡正在开展）</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613.66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深发改〔2008〕2043号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根玉路(南环路-松白路）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821.83</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深发改〔2008〕1826号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加油加气站11</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深规土函〔2010〕1542号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加油加气站12</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深规土函〔2010〕1542号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思源路（北环路-曙光路）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9.29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3338.7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月亮路（南环大道-周家大道）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22900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505.96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669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文阁路（松白路-思源路）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2640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1748.72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深光土整组〔2010〕42号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下石家、西田村、甲子塘、下村等公交首末站</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深发改〔2008〕2415号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曙光路（民生大道-北环路）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5.02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2652.28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深光拆组〔2010〕16号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圳美五路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233.42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关于启动圳辉路等四条市政道路征收拆迁工作的通知（2009）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光辉大道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15.14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深阳一路（原名秋硕片区城市更新单元配套市政道路深阳路）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深光发财〔2014〕20号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南环大道(松白路-根玉路)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18.2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1564.48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拆许字（2008）第047号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第二高级技工学校</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17.94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深光土整组〔2011〕10号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田寮余泥渣土受纳场</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新建新区人民医院</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896.29</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光明新区人民医院选址新建工作会议纪要（2016）59号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679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深圳市模具产业集聚基地基础及配套设施（二期）工程环玉路等6条道路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5.48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深光发财〔2013〕314号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光源二路（光源四路-光源五路）（原名日东电工现有地块北侧市政道路工程）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深光发财〔2016〕156号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沙头面工业区城市更新单元市政配套工程塘前路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深光发财〔2015〕92号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水滨路（公明北环大道-思源路）市政工程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3.11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898.91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深光发财〔2011〕429号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信宏城配套小学工程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深光发财〔2016〕288号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圳美片区四条市政道路工程（永兴路、圳美四路、碧成路、碧丽路）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6.31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深光发财〔2013〕413号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朝凤路（原名高新园区25号路市政工程）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深光发财〔2015〕317号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茅洲河流域水环境综合整治-中上游段干流综合整治工程上下村调蓄池项目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4.99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光明高新园区科显路（光侨路-长凤路）市政道路工程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820.66</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深光发财〔2016〕538号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羌下二路（公常路-机关营区门口）市政工程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1.64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深光发财〔2016〕703号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光明高新园区长凤路（东长路-科显路）市政工程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6.85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深光发财〔2016〕626号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光明新区中心医院续建（二期）工程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深光发财〔2016〕982号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田园路横一街（原名星源材质二期用地周边市政道路工程）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深光发财〔2016〕456号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光明水质净化厂二期工程(原光明污水处理厂)</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深治水指〔2015〕1号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茅洲河流域水环境综合整治工程-楼岗河整治工程（光明段）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深发改〔2015〕1126号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高新园区鹅径西路（光侨路-长凤路）市政工程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2.94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416.61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深光发财〔2016〕1001号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高新园区长圳路（东长路-科显路）市政工程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5.62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0.1</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30.67</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深光发财〔2016〕995号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塘家南路改善工程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深光土整组〔2017〕28号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现状长凤路改善工程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0.74</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深光土整组〔2017〕27号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塘家配套学校（暂定名）工程项目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深光发财〔2016〕791号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699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公明元昇厂更新项目周边市政道路工程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深光发财〔2015〕769号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茅洲河流域水环境综合整治工程东坑水综合整治工程（东明大道-光侨路）建设项目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8.65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深发改〔2007〕742号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光电企业产业加速器市政配套工程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深光建管函〔2017〕433号、深光发财函〔2014〕230号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高新园区门户区十三号（二十四号路-观光路）市政工程项目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1458.91</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深光发财〔2014〕40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白花学校配套道路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1.19</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深光发财〔2015〕209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光侨路保障房市政配套工程（长松路）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深光发财〔2016〕760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光明新区凤凰学校建设工程项目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1.52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深光发财〔2015〕24号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光明新区石围公园建设项目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7210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深光发财〔2016〕694号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新城学校（暂定名）建设工程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深光发财〔2017〕388 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内衣集聚基地公园</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3.21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954.44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深光发财〔2016〕603号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观澜森林公园大雁山景区（步行道、绿道）</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11.41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21.64</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深光发财〔2016〕757号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圳美大道（东段）市政工程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光明区政府</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4.01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南澳河综合整治工程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22000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725</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深发改函〔2014〕298号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杨梅坑河综合整治工程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0.3</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4394</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深发改函〔2014〕299号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大碓涌综合整治工程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1081</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42</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深发改函〔2014〕302号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三溪河综合整治工程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3.91</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2800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深发改函〔2014〕295号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土洋中队消防站用地清理</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0.42</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深规土〔2015〕734号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716</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环大鹏湾海岸公路改造工程（先行开工段）</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8</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深发改〔2015〕1035号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717</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葵涌环城东路工程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0.25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深发改〔2015〕1303号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718</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葵涌环城西路征收项目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39000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深发改〔2010〕1335号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719</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葵涌延安路</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0.4</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480</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深龙发改〔2008〕277号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720</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核龙线大鹏段（文化路口-核电站门口）市政化改造工程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0.05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深发改函〔2015〕322号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721</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葵涌河小流域综合整治工程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2500</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722</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王母河水环境综合整治工程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14.75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70877</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深发改函〔2014〕303号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723</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鹏城河水环境综合整治工程</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4.5</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12548</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深发改函〔2014〕297号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724</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南澳中心区法定图则08-12地块用地清理项目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3.37</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深鹏管常纪〔2018〕14号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16"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725</w:t>
            </w:r>
          </w:p>
        </w:tc>
        <w:tc>
          <w:tcPr>
            <w:tcW w:w="967"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w:t>
            </w:r>
          </w:p>
        </w:tc>
        <w:tc>
          <w:tcPr>
            <w:tcW w:w="2628"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南澳中心区法定图则18-01、18-02、18-03地块用地清理项目</w:t>
            </w:r>
          </w:p>
        </w:tc>
        <w:tc>
          <w:tcPr>
            <w:tcW w:w="1275"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大鹏新区管委会</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2.16</w:t>
            </w:r>
          </w:p>
        </w:tc>
        <w:tc>
          <w:tcPr>
            <w:tcW w:w="113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2410"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征收地、房屋征收补偿</w:t>
            </w:r>
          </w:p>
        </w:tc>
        <w:tc>
          <w:tcPr>
            <w:tcW w:w="12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1124"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w:t>
            </w:r>
          </w:p>
        </w:tc>
        <w:tc>
          <w:tcPr>
            <w:tcW w:w="3322" w:type="dxa"/>
            <w:vAlign w:val="center"/>
          </w:tcPr>
          <w:p>
            <w:pPr>
              <w:jc w:val="center"/>
              <w:rPr>
                <w:rFonts w:cs="Times New Roman" w:asciiTheme="minorEastAsia" w:hAnsiTheme="minorEastAsia" w:eastAsiaTheme="minorEastAsia"/>
                <w:kern w:val="0"/>
                <w:sz w:val="20"/>
                <w:szCs w:val="20"/>
              </w:rPr>
            </w:pPr>
            <w:r>
              <w:rPr>
                <w:rFonts w:hint="eastAsia" w:cs="Times New Roman" w:asciiTheme="minorEastAsia" w:hAnsiTheme="minorEastAsia" w:eastAsiaTheme="minorEastAsia"/>
                <w:kern w:val="0"/>
                <w:sz w:val="20"/>
                <w:szCs w:val="20"/>
              </w:rPr>
              <w:t>深鹏管常纪〔2018〕14号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 w:hRule="atLeast"/>
          <w:jc w:val="center"/>
        </w:trPr>
        <w:tc>
          <w:tcPr>
            <w:tcW w:w="5386" w:type="dxa"/>
            <w:gridSpan w:val="4"/>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小计</w:t>
            </w:r>
          </w:p>
        </w:tc>
        <w:tc>
          <w:tcPr>
            <w:tcW w:w="113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4322.49</w:t>
            </w:r>
          </w:p>
        </w:tc>
        <w:tc>
          <w:tcPr>
            <w:tcW w:w="113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384.13</w:t>
            </w:r>
          </w:p>
        </w:tc>
        <w:tc>
          <w:tcPr>
            <w:tcW w:w="2410" w:type="dxa"/>
            <w:noWrap/>
            <w:vAlign w:val="center"/>
          </w:tcPr>
          <w:p>
            <w:pPr>
              <w:jc w:val="center"/>
              <w:rPr>
                <w:rFonts w:cs="Times New Roman" w:asciiTheme="minorEastAsia" w:hAnsiTheme="minorEastAsia" w:eastAsiaTheme="minorEastAsia"/>
                <w:kern w:val="0"/>
                <w:sz w:val="20"/>
                <w:szCs w:val="20"/>
              </w:rPr>
            </w:pPr>
          </w:p>
        </w:tc>
        <w:tc>
          <w:tcPr>
            <w:tcW w:w="122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2724611.64</w:t>
            </w:r>
          </w:p>
        </w:tc>
        <w:tc>
          <w:tcPr>
            <w:tcW w:w="112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655508.36</w:t>
            </w:r>
          </w:p>
        </w:tc>
        <w:tc>
          <w:tcPr>
            <w:tcW w:w="3322" w:type="dxa"/>
            <w:vAlign w:val="center"/>
          </w:tcPr>
          <w:p>
            <w:pPr>
              <w:jc w:val="center"/>
              <w:rPr>
                <w:rFonts w:cs="Times New Roman" w:asciiTheme="minorEastAsia" w:hAnsiTheme="minorEastAsia" w:eastAsiaTheme="minorEastAsia"/>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cantSplit/>
          <w:trHeight w:val="20" w:hRule="atLeast"/>
          <w:jc w:val="center"/>
        </w:trPr>
        <w:tc>
          <w:tcPr>
            <w:tcW w:w="5386" w:type="dxa"/>
            <w:gridSpan w:val="4"/>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合计</w:t>
            </w:r>
          </w:p>
        </w:tc>
        <w:tc>
          <w:tcPr>
            <w:tcW w:w="113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5000.35</w:t>
            </w:r>
          </w:p>
        </w:tc>
        <w:tc>
          <w:tcPr>
            <w:tcW w:w="113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619.33</w:t>
            </w:r>
          </w:p>
        </w:tc>
        <w:tc>
          <w:tcPr>
            <w:tcW w:w="2410" w:type="dxa"/>
            <w:noWrap/>
            <w:vAlign w:val="center"/>
          </w:tcPr>
          <w:p>
            <w:pPr>
              <w:jc w:val="center"/>
              <w:rPr>
                <w:rFonts w:cs="Times New Roman" w:asciiTheme="minorEastAsia" w:hAnsiTheme="minorEastAsia" w:eastAsiaTheme="minorEastAsia"/>
                <w:kern w:val="0"/>
                <w:sz w:val="20"/>
                <w:szCs w:val="20"/>
              </w:rPr>
            </w:pPr>
          </w:p>
        </w:tc>
        <w:tc>
          <w:tcPr>
            <w:tcW w:w="122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3367637.63</w:t>
            </w:r>
          </w:p>
        </w:tc>
        <w:tc>
          <w:tcPr>
            <w:tcW w:w="1124" w:type="dxa"/>
            <w:noWrap/>
            <w:vAlign w:val="center"/>
          </w:tcPr>
          <w:p>
            <w:pPr>
              <w:jc w:val="center"/>
              <w:rPr>
                <w:rFonts w:cs="Times New Roman" w:asciiTheme="minorEastAsia" w:hAnsiTheme="minorEastAsia" w:eastAsiaTheme="minorEastAsia"/>
                <w:b/>
                <w:bCs/>
                <w:kern w:val="0"/>
                <w:sz w:val="20"/>
                <w:szCs w:val="20"/>
              </w:rPr>
            </w:pPr>
            <w:r>
              <w:rPr>
                <w:rFonts w:hint="eastAsia" w:cs="Times New Roman" w:asciiTheme="minorEastAsia" w:hAnsiTheme="minorEastAsia" w:eastAsiaTheme="minorEastAsia"/>
                <w:b/>
                <w:bCs/>
                <w:kern w:val="0"/>
                <w:sz w:val="20"/>
                <w:szCs w:val="20"/>
              </w:rPr>
              <w:t>663454.96</w:t>
            </w:r>
          </w:p>
        </w:tc>
        <w:tc>
          <w:tcPr>
            <w:tcW w:w="3322" w:type="dxa"/>
            <w:vAlign w:val="center"/>
          </w:tcPr>
          <w:p>
            <w:pPr>
              <w:jc w:val="center"/>
              <w:rPr>
                <w:rFonts w:cs="Times New Roman" w:asciiTheme="minorEastAsia" w:hAnsiTheme="minorEastAsia" w:eastAsiaTheme="minorEastAsia"/>
                <w:kern w:val="0"/>
                <w:sz w:val="20"/>
                <w:szCs w:val="20"/>
              </w:rPr>
            </w:pPr>
          </w:p>
        </w:tc>
      </w:tr>
    </w:tbl>
    <w:p/>
    <w:p>
      <w:pPr>
        <w:widowControl/>
        <w:jc w:val="left"/>
      </w:pPr>
      <w:r>
        <w:br w:type="page"/>
      </w:r>
    </w:p>
    <w:p>
      <w:pPr>
        <w:pStyle w:val="559"/>
      </w:pPr>
      <w:bookmarkStart w:id="49" w:name="_Toc536718822"/>
      <w:bookmarkStart w:id="50" w:name="_Toc5979751"/>
      <w:r>
        <w:rPr>
          <w:rFonts w:hint="eastAsia"/>
        </w:rPr>
        <w:t>附图：深圳市2019年度土地整备项目及土地整备利益统筹项目布局图</w:t>
      </w:r>
      <w:bookmarkEnd w:id="49"/>
      <w:bookmarkEnd w:id="50"/>
    </w:p>
    <w:p>
      <w:pPr>
        <w:jc w:val="center"/>
      </w:pPr>
      <w:r>
        <w:drawing>
          <wp:inline distT="0" distB="0" distL="0" distR="0">
            <wp:extent cx="6780530" cy="4793615"/>
            <wp:effectExtent l="0" t="0" r="1270" b="6985"/>
            <wp:docPr id="1" name="图片 1" descr="C:\Users\liqiana\Desktop\2019年全市土地整备地块分布19062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C:\Users\liqiana\Desktop\2019年全市土地整备地块分布190625.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a:xfrm>
                      <a:off x="0" y="0"/>
                      <a:ext cx="6780603" cy="4793847"/>
                    </a:xfrm>
                    <a:prstGeom prst="rect">
                      <a:avLst/>
                    </a:prstGeom>
                    <a:noFill/>
                    <a:ln>
                      <a:noFill/>
                    </a:ln>
                  </pic:spPr>
                </pic:pic>
              </a:graphicData>
            </a:graphic>
          </wp:inline>
        </w:drawing>
      </w:r>
    </w:p>
    <w:sectPr>
      <w:pgSz w:w="16838" w:h="11906" w:orient="landscape"/>
      <w:pgMar w:top="1800" w:right="1440" w:bottom="1843"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00"/>
    <w:family w:val="auto"/>
    <w:pitch w:val="default"/>
    <w:sig w:usb0="00000000" w:usb1="00000000" w:usb2="00000000" w:usb3="00000000" w:csb0="00000000" w:csb1="00000000"/>
  </w:font>
  <w:font w:name="Wingding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DejaVu Sans">
    <w:panose1 w:val="020B0603030804020204"/>
    <w:charset w:val="00"/>
    <w:family w:val="auto"/>
    <w:pitch w:val="default"/>
    <w:sig w:usb0="E7006EFF" w:usb1="D200FDFF" w:usb2="0A246029" w:usb3="0400200C" w:csb0="600001FF" w:csb1="DFFF0000"/>
  </w:font>
  <w:font w:name="Calibri">
    <w:altName w:val="DejaVu Sans"/>
    <w:panose1 w:val="020F0502020204030204"/>
    <w:charset w:val="00"/>
    <w:family w:val="swiss"/>
    <w:pitch w:val="default"/>
    <w:sig w:usb0="00000000" w:usb1="00000000" w:usb2="00000001" w:usb3="00000000" w:csb0="0000019F" w:csb1="00000000"/>
  </w:font>
  <w:font w:name="方正书宋_GBK">
    <w:panose1 w:val="02000000000000000000"/>
    <w:charset w:val="86"/>
    <w:family w:val="auto"/>
    <w:pitch w:val="default"/>
    <w:sig w:usb0="00000001" w:usb1="08000000" w:usb2="00000000" w:usb3="00000000" w:csb0="00040000" w:csb1="00000000"/>
  </w:font>
  <w:font w:name="文鼎小标宋简">
    <w:altName w:val="方正小标宋简体"/>
    <w:panose1 w:val="00000000000000000000"/>
    <w:charset w:val="86"/>
    <w:family w:val="modern"/>
    <w:pitch w:val="default"/>
    <w:sig w:usb0="00000000" w:usb1="00000000" w:usb2="00000010" w:usb3="00000000" w:csb0="00040000" w:csb1="00000000"/>
  </w:font>
  <w:font w:name="方正小标宋简体">
    <w:panose1 w:val="03000509000000000000"/>
    <w:charset w:val="86"/>
    <w:family w:val="auto"/>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Cambria">
    <w:altName w:val="FreeSerif"/>
    <w:panose1 w:val="02040503050406030204"/>
    <w:charset w:val="00"/>
    <w:family w:val="roman"/>
    <w:pitch w:val="default"/>
    <w:sig w:usb0="00000000" w:usb1="00000000" w:usb2="02000000" w:usb3="00000000" w:csb0="0000019F" w:csb1="00000000"/>
  </w:font>
  <w:font w:name="FreeSerif">
    <w:panose1 w:val="02020603050405020304"/>
    <w:charset w:val="00"/>
    <w:family w:val="auto"/>
    <w:pitch w:val="default"/>
    <w:sig w:usb0="E59FAFFF" w:usb1="C200FDFF" w:usb2="43501B29" w:usb3="04000043" w:csb0="600101FF" w:csb1="FFFF0000"/>
  </w:font>
  <w:font w:name="仿宋">
    <w:altName w:val="方正仿宋_GBK"/>
    <w:panose1 w:val="02010609060101010101"/>
    <w:charset w:val="86"/>
    <w:family w:val="modern"/>
    <w:pitch w:val="default"/>
    <w:sig w:usb0="00000000" w:usb1="00000000" w:usb2="00000016" w:usb3="00000000" w:csb0="00040001" w:csb1="00000000"/>
  </w:font>
  <w:font w:name="方正仿宋_GBK">
    <w:panose1 w:val="02000000000000000000"/>
    <w:charset w:val="86"/>
    <w:family w:val="auto"/>
    <w:pitch w:val="default"/>
    <w:sig w:usb0="00000001" w:usb1="08000000" w:usb2="00000000" w:usb3="00000000" w:csb0="00040000" w:csb1="00000000"/>
  </w:font>
  <w:font w:name="Tahoma">
    <w:altName w:val="DejaVu Sans"/>
    <w:panose1 w:val="020B0604030504040204"/>
    <w:charset w:val="00"/>
    <w:family w:val="swiss"/>
    <w:pitch w:val="default"/>
    <w:sig w:usb0="00000000" w:usb1="00000000" w:usb2="00000029" w:usb3="00000000" w:csb0="000101FF" w:csb1="00000000"/>
  </w:font>
  <w:font w:name="楷体_GB2312">
    <w:panose1 w:val="02010609030101010101"/>
    <w:charset w:val="86"/>
    <w:family w:val="modern"/>
    <w:pitch w:val="default"/>
    <w:sig w:usb0="00000001" w:usb1="080E0000" w:usb2="00000000" w:usb3="00000000" w:csb0="00040000" w:csb1="00000000"/>
  </w:font>
  <w:font w:name="隶书">
    <w:altName w:val="方正隶书_GBK"/>
    <w:panose1 w:val="02010509060101010101"/>
    <w:charset w:val="86"/>
    <w:family w:val="modern"/>
    <w:pitch w:val="default"/>
    <w:sig w:usb0="00000000" w:usb1="00000000" w:usb2="00000010" w:usb3="00000000" w:csb0="00040000" w:csb1="00000000"/>
  </w:font>
  <w:font w:name="方正隶书_GBK">
    <w:panose1 w:val="02000000000000000000"/>
    <w:charset w:val="86"/>
    <w:family w:val="auto"/>
    <w:pitch w:val="default"/>
    <w:sig w:usb0="00000001" w:usb1="08000000" w:usb2="00000000" w:usb3="00000000" w:csb0="00040000" w:csb1="00000000"/>
  </w:font>
  <w:font w:name="Verdana">
    <w:altName w:val="Ubuntu Light"/>
    <w:panose1 w:val="020B0604030504040204"/>
    <w:charset w:val="00"/>
    <w:family w:val="swiss"/>
    <w:pitch w:val="default"/>
    <w:sig w:usb0="00000000" w:usb1="00000000" w:usb2="00000010" w:usb3="00000000" w:csb0="0000019F" w:csb1="00000000"/>
  </w:font>
  <w:font w:name="Ubuntu Light">
    <w:panose1 w:val="020B0604030602030204"/>
    <w:charset w:val="00"/>
    <w:family w:val="auto"/>
    <w:pitch w:val="default"/>
    <w:sig w:usb0="E00002FF" w:usb1="5000205B" w:usb2="00000000" w:usb3="00000000" w:csb0="2000009F" w:csb1="56010000"/>
  </w:font>
  <w:font w:name="ˎ̥">
    <w:altName w:val="C059"/>
    <w:panose1 w:val="00000000000000000000"/>
    <w:charset w:val="00"/>
    <w:family w:val="roman"/>
    <w:pitch w:val="default"/>
    <w:sig w:usb0="00000000" w:usb1="00000000" w:usb2="00000000" w:usb3="00000000" w:csb0="00000000" w:csb1="00000000"/>
  </w:font>
  <w:font w:name="C059">
    <w:panose1 w:val="00000500000000000000"/>
    <w:charset w:val="00"/>
    <w:family w:val="auto"/>
    <w:pitch w:val="default"/>
    <w:sig w:usb0="00000287" w:usb1="00000800" w:usb2="00000000" w:usb3="00000000" w:csb0="6000009F" w:csb1="00000000"/>
  </w:font>
  <w:font w:name="公文小标宋简">
    <w:altName w:val="方正小标宋简体"/>
    <w:panose1 w:val="00000000000000000000"/>
    <w:charset w:val="86"/>
    <w:family w:val="modern"/>
    <w:pitch w:val="default"/>
    <w:sig w:usb0="00000000" w:usb1="00000000" w:usb2="00000010" w:usb3="00000000" w:csb0="00040000" w:csb1="00000000"/>
  </w:font>
  <w:font w:name="Arial Unicode MS">
    <w:altName w:val="DejaVu Sans"/>
    <w:panose1 w:val="020B0604020202020204"/>
    <w:charset w:val="86"/>
    <w:family w:val="swiss"/>
    <w:pitch w:val="default"/>
    <w:sig w:usb0="00000000" w:usb1="00000000" w:usb2="0000003F" w:usb3="00000000" w:csb0="003F01FF" w:csb1="00000000"/>
  </w:font>
  <w:font w:name="华文细黑">
    <w:panose1 w:val="02010600040101010101"/>
    <w:charset w:val="86"/>
    <w:family w:val="auto"/>
    <w:pitch w:val="default"/>
    <w:sig w:usb0="00000287" w:usb1="080F0000" w:usb2="00000000" w:usb3="00000000" w:csb0="0004009F" w:csb1="DFD70000"/>
  </w:font>
  <w:font w:name="Verdana, Arial, 宋体">
    <w:altName w:val="DejaVu Sans"/>
    <w:panose1 w:val="00000000000000000000"/>
    <w:charset w:val="86"/>
    <w:family w:val="roman"/>
    <w:pitch w:val="default"/>
    <w:sig w:usb0="00000000" w:usb1="00000000" w:usb2="00000010" w:usb3="00000000" w:csb0="00040000" w:csb1="00000000"/>
  </w:font>
  <w:font w:name="Helvetica">
    <w:altName w:val="Liberation Sans"/>
    <w:panose1 w:val="020B0604020202020204"/>
    <w:charset w:val="00"/>
    <w:family w:val="swiss"/>
    <w:pitch w:val="default"/>
    <w:sig w:usb0="00000000" w:usb1="00000000" w:usb2="00000000" w:usb3="00000000" w:csb0="00000001" w:csb1="00000000"/>
  </w:font>
  <w:font w:name="Liberation Sans">
    <w:panose1 w:val="020B0604020202020204"/>
    <w:charset w:val="00"/>
    <w:family w:val="auto"/>
    <w:pitch w:val="default"/>
    <w:sig w:usb0="A00002AF" w:usb1="500078FB" w:usb2="00000000" w:usb3="00000000" w:csb0="6000009F" w:csb1="DFD70000"/>
  </w:font>
  <w:font w:name="华文仿宋">
    <w:panose1 w:val="02010600040101010101"/>
    <w:charset w:val="86"/>
    <w:family w:val="auto"/>
    <w:pitch w:val="default"/>
    <w:sig w:usb0="00000287" w:usb1="080F0000" w:usb2="00000000" w:usb3="00000000" w:csb0="0004009F" w:csb1="DFD70000"/>
  </w:font>
  <w:font w:name="??">
    <w:altName w:val="C059"/>
    <w:panose1 w:val="00000000000000000000"/>
    <w:charset w:val="00"/>
    <w:family w:val="roman"/>
    <w:pitch w:val="default"/>
    <w:sig w:usb0="00000000" w:usb1="00000000" w:usb2="00000000" w:usb3="00000000" w:csb0="00000001" w:csb1="00000000"/>
  </w:font>
  <w:font w:name="MT Extra">
    <w:panose1 w:val="05050102010205020202"/>
    <w:charset w:val="02"/>
    <w:family w:val="roman"/>
    <w:pitch w:val="default"/>
    <w:sig w:usb0="00000000" w:usb1="00000000" w:usb2="00000000" w:usb3="00000000" w:csb0="00000000" w:csb1="00000000"/>
  </w:font>
  <w:font w:name="微软雅黑">
    <w:altName w:val="黑体"/>
    <w:panose1 w:val="020B0503020204020204"/>
    <w:charset w:val="86"/>
    <w:family w:val="swiss"/>
    <w:pitch w:val="default"/>
    <w:sig w:usb0="00000000" w:usb1="00000000" w:usb2="00000016" w:usb3="00000000" w:csb0="0004001F" w:csb1="00000000"/>
  </w:font>
  <w:font w:name="等线 Light">
    <w:altName w:val="华文中宋"/>
    <w:panose1 w:val="02010600030101010101"/>
    <w:charset w:val="86"/>
    <w:family w:val="auto"/>
    <w:pitch w:val="default"/>
    <w:sig w:usb0="00000000" w:usb1="00000000" w:usb2="00000016" w:usb3="00000000" w:csb0="0004000F" w:csb1="00000000"/>
  </w:font>
  <w:font w:name="华文中宋">
    <w:panose1 w:val="02010600040101010101"/>
    <w:charset w:val="86"/>
    <w:family w:val="auto"/>
    <w:pitch w:val="default"/>
    <w:sig w:usb0="00000287" w:usb1="080F0000" w:usb2="00000000" w:usb3="00000000" w:csb0="0004009F" w:csb1="DFD70000"/>
  </w:font>
  <w:font w:name="Liberation Serif">
    <w:panose1 w:val="02020603050405020304"/>
    <w:charset w:val="00"/>
    <w:family w:val="auto"/>
    <w:pitch w:val="default"/>
    <w:sig w:usb0="A00002AF" w:usb1="500078FB" w:usb2="00000000" w:usb3="00000000" w:csb0="6000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jc w:val="center"/>
    </w:pPr>
  </w:p>
  <w:p>
    <w:pPr>
      <w:pStyle w:val="30"/>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sdt>
    <w:sdtPr>
      <w:id w:val="1554581908"/>
      <w:docPartObj>
        <w:docPartGallery w:val="autotext"/>
      </w:docPartObj>
    </w:sdtPr>
    <w:sdtContent>
      <w:p>
        <w:pPr>
          <w:pStyle w:val="30"/>
          <w:jc w:val="center"/>
        </w:pPr>
        <w:r>
          <w:fldChar w:fldCharType="begin"/>
        </w:r>
        <w:r>
          <w:instrText xml:space="preserve">PAGE   \* MERGEFORMAT</w:instrText>
        </w:r>
        <w:r>
          <w:fldChar w:fldCharType="separate"/>
        </w:r>
        <w:r>
          <w:rPr>
            <w:lang w:val="zh-CN"/>
          </w:rPr>
          <w:t>5</w:t>
        </w:r>
        <w:r>
          <w:rPr>
            <w:lang w:val="zh-CN"/>
          </w:rPr>
          <w:fldChar w:fldCharType="end"/>
        </w:r>
      </w:p>
    </w:sdtContent>
  </w:sdt>
  <w:p>
    <w:pPr>
      <w:pStyle w:val="3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0"/>
      <w:framePr w:wrap="around" w:vAnchor="text" w:hAnchor="margin" w:xAlign="right" w:y="1"/>
      <w:rPr>
        <w:rStyle w:val="52"/>
      </w:rPr>
    </w:pPr>
    <w:r>
      <w:rPr>
        <w:rStyle w:val="52"/>
      </w:rPr>
      <w:fldChar w:fldCharType="begin"/>
    </w:r>
    <w:r>
      <w:rPr>
        <w:rStyle w:val="52"/>
      </w:rPr>
      <w:instrText xml:space="preserve">PAGE  </w:instrText>
    </w:r>
    <w:r>
      <w:rPr>
        <w:rStyle w:val="52"/>
      </w:rPr>
      <w:fldChar w:fldCharType="end"/>
    </w:r>
  </w:p>
  <w:p>
    <w:pPr>
      <w:pStyle w:val="30"/>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2">
    <w:p>
      <w:r>
        <w:separator/>
      </w:r>
    </w:p>
  </w:footnote>
  <w:footnote w:type="continuationSeparator" w:id="3">
    <w:p>
      <w:r>
        <w:continuationSeparator/>
      </w:r>
    </w:p>
  </w:footnote>
  <w:footnote w:id="0">
    <w:p>
      <w:pPr>
        <w:pStyle w:val="36"/>
      </w:pPr>
      <w:r>
        <w:rPr>
          <w:rStyle w:val="58"/>
        </w:rPr>
        <w:footnoteRef/>
      </w:r>
      <w:r>
        <w:rPr>
          <w:rFonts w:hint="eastAsia" w:ascii="仿宋_GB2312" w:eastAsia="仿宋_GB2312" w:hAnsiTheme="minorEastAsia"/>
          <w:color w:val="000000"/>
          <w:sz w:val="20"/>
          <w:szCs w:val="30"/>
        </w:rPr>
        <w:t>利益统筹项目范围内已申报列入房屋征收项目的地块，相应地块资金可从房屋征收资金中列支。</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pBdr>
        <w:bottom w:val="none" w:color="auto" w:sz="0" w:space="0"/>
      </w:pBd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1"/>
      <w:rPr>
        <w:rFonts w:ascii="仿宋_GB2312" w:eastAsia="仿宋_GB2312"/>
      </w:rPr>
    </w:pPr>
    <w:r>
      <w:rPr>
        <w:rFonts w:hint="eastAsia" w:ascii="仿宋_GB2312" w:eastAsia="仿宋_GB2312"/>
      </w:rPr>
      <w:t>深圳市2019年度城市更新和土地整备计划</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03730BC"/>
    <w:multiLevelType w:val="multilevel"/>
    <w:tmpl w:val="103730BC"/>
    <w:lvl w:ilvl="0" w:tentative="0">
      <w:start w:val="1"/>
      <w:numFmt w:val="chineseCountingThousand"/>
      <w:pStyle w:val="317"/>
      <w:lvlText w:val="第%1条"/>
      <w:lvlJc w:val="left"/>
      <w:pPr>
        <w:ind w:left="600" w:hanging="420"/>
      </w:pPr>
      <w:rPr>
        <w:rFonts w:hint="eastAsia"/>
      </w:rPr>
    </w:lvl>
    <w:lvl w:ilvl="1" w:tentative="0">
      <w:start w:val="1"/>
      <w:numFmt w:val="japaneseCounting"/>
      <w:lvlText w:val="（%2）"/>
      <w:lvlJc w:val="left"/>
      <w:pPr>
        <w:ind w:left="1500" w:hanging="1080"/>
      </w:pPr>
      <w:rPr>
        <w:rFonts w:hint="default"/>
      </w:r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
    <w:nsid w:val="11953967"/>
    <w:multiLevelType w:val="multilevel"/>
    <w:tmpl w:val="11953967"/>
    <w:lvl w:ilvl="0" w:tentative="0">
      <w:start w:val="1"/>
      <w:numFmt w:val="decimal"/>
      <w:pStyle w:val="432"/>
      <w:lvlText w:val="第%1条"/>
      <w:lvlJc w:val="left"/>
      <w:pPr>
        <w:tabs>
          <w:tab w:val="left" w:pos="1561"/>
        </w:tabs>
        <w:ind w:left="1561" w:hanging="1021"/>
      </w:pPr>
      <w:rPr>
        <w:rFonts w:hint="default" w:ascii="Times New Roman" w:hAnsi="Times New Roman" w:eastAsia="宋体" w:cs="Times New Roman"/>
        <w:b/>
        <w:i w:val="0"/>
        <w:outline w:val="0"/>
        <w:shadow w:val="0"/>
        <w:emboss w:val="0"/>
        <w:imprint w:val="0"/>
        <w:color w:val="000000"/>
        <w:sz w:val="24"/>
        <w:szCs w:val="24"/>
        <w:u w:val="none"/>
        <w:lang w:val="en-US"/>
      </w:rPr>
    </w:lvl>
    <w:lvl w:ilvl="1" w:tentative="0">
      <w:start w:val="1"/>
      <w:numFmt w:val="decimal"/>
      <w:lvlText w:val="%2．"/>
      <w:lvlJc w:val="left"/>
      <w:pPr>
        <w:tabs>
          <w:tab w:val="left" w:pos="1620"/>
        </w:tabs>
        <w:ind w:left="1620" w:hanging="360"/>
      </w:pPr>
      <w:rPr>
        <w:rFonts w:hint="eastAsia"/>
      </w:rPr>
    </w:lvl>
    <w:lvl w:ilvl="2" w:tentative="0">
      <w:start w:val="1"/>
      <w:numFmt w:val="decimal"/>
      <w:lvlText w:val="（%3）"/>
      <w:lvlJc w:val="left"/>
      <w:pPr>
        <w:tabs>
          <w:tab w:val="left" w:pos="2400"/>
        </w:tabs>
        <w:ind w:left="2400" w:hanging="720"/>
      </w:pPr>
      <w:rPr>
        <w:rFonts w:hint="eastAsia"/>
        <w:lang w:val="en-US"/>
      </w:rPr>
    </w:lvl>
    <w:lvl w:ilvl="3" w:tentative="0">
      <w:start w:val="1"/>
      <w:numFmt w:val="decimal"/>
      <w:lvlText w:val="(%4)"/>
      <w:lvlJc w:val="left"/>
      <w:pPr>
        <w:tabs>
          <w:tab w:val="left" w:pos="2460"/>
        </w:tabs>
        <w:ind w:left="2460" w:hanging="360"/>
      </w:pPr>
      <w:rPr>
        <w:rFonts w:hint="eastAsia"/>
      </w:rPr>
    </w:lvl>
    <w:lvl w:ilvl="4" w:tentative="0">
      <w:start w:val="1"/>
      <w:numFmt w:val="decimal"/>
      <w:lvlText w:val="%5、"/>
      <w:lvlJc w:val="left"/>
      <w:pPr>
        <w:tabs>
          <w:tab w:val="left" w:pos="2880"/>
        </w:tabs>
        <w:ind w:left="2880" w:hanging="360"/>
      </w:pPr>
      <w:rPr>
        <w:rFonts w:hint="eastAsia"/>
      </w:rPr>
    </w:lvl>
    <w:lvl w:ilvl="5" w:tentative="0">
      <w:start w:val="1"/>
      <w:numFmt w:val="lowerRoman"/>
      <w:lvlText w:val="%6."/>
      <w:lvlJc w:val="right"/>
      <w:pPr>
        <w:tabs>
          <w:tab w:val="left" w:pos="3360"/>
        </w:tabs>
        <w:ind w:left="3360" w:hanging="420"/>
      </w:pPr>
    </w:lvl>
    <w:lvl w:ilvl="6" w:tentative="0">
      <w:start w:val="1"/>
      <w:numFmt w:val="decimal"/>
      <w:lvlText w:val="%7."/>
      <w:lvlJc w:val="left"/>
      <w:pPr>
        <w:tabs>
          <w:tab w:val="left" w:pos="3780"/>
        </w:tabs>
        <w:ind w:left="3780" w:hanging="420"/>
      </w:pPr>
    </w:lvl>
    <w:lvl w:ilvl="7" w:tentative="0">
      <w:start w:val="1"/>
      <w:numFmt w:val="lowerLetter"/>
      <w:lvlText w:val="%8)"/>
      <w:lvlJc w:val="left"/>
      <w:pPr>
        <w:tabs>
          <w:tab w:val="left" w:pos="4200"/>
        </w:tabs>
        <w:ind w:left="4200" w:hanging="420"/>
      </w:pPr>
    </w:lvl>
    <w:lvl w:ilvl="8" w:tentative="0">
      <w:start w:val="1"/>
      <w:numFmt w:val="lowerRoman"/>
      <w:lvlText w:val="%9."/>
      <w:lvlJc w:val="right"/>
      <w:pPr>
        <w:tabs>
          <w:tab w:val="left" w:pos="4620"/>
        </w:tabs>
        <w:ind w:left="4620" w:hanging="420"/>
      </w:pPr>
    </w:lvl>
  </w:abstractNum>
  <w:abstractNum w:abstractNumId="2">
    <w:nsid w:val="598D535B"/>
    <w:multiLevelType w:val="multilevel"/>
    <w:tmpl w:val="598D535B"/>
    <w:lvl w:ilvl="0" w:tentative="0">
      <w:start w:val="4"/>
      <w:numFmt w:val="japaneseCounting"/>
      <w:pStyle w:val="321"/>
      <w:lvlText w:val="（%1）"/>
      <w:lvlJc w:val="left"/>
      <w:pPr>
        <w:tabs>
          <w:tab w:val="left" w:pos="0"/>
        </w:tabs>
        <w:ind w:left="1705" w:hanging="1080"/>
      </w:pPr>
      <w:rPr>
        <w:rFonts w:hint="default" w:ascii="Times New Roman" w:hAnsi="Times New Roman" w:cs="Times New Roman"/>
      </w:rPr>
    </w:lvl>
    <w:lvl w:ilvl="1" w:tentative="0">
      <w:start w:val="1"/>
      <w:numFmt w:val="lowerLetter"/>
      <w:lvlText w:val="%2)"/>
      <w:lvlJc w:val="left"/>
      <w:pPr>
        <w:tabs>
          <w:tab w:val="left" w:pos="0"/>
        </w:tabs>
        <w:ind w:left="1465" w:hanging="420"/>
      </w:pPr>
      <w:rPr>
        <w:rFonts w:hint="default" w:ascii="Times New Roman" w:hAnsi="Times New Roman" w:cs="Times New Roman"/>
      </w:rPr>
    </w:lvl>
    <w:lvl w:ilvl="2" w:tentative="0">
      <w:start w:val="1"/>
      <w:numFmt w:val="lowerRoman"/>
      <w:lvlText w:val="%3."/>
      <w:lvlJc w:val="right"/>
      <w:pPr>
        <w:tabs>
          <w:tab w:val="left" w:pos="0"/>
        </w:tabs>
        <w:ind w:left="1885" w:hanging="420"/>
      </w:pPr>
      <w:rPr>
        <w:rFonts w:hint="default" w:ascii="Times New Roman" w:hAnsi="Times New Roman" w:cs="Times New Roman"/>
      </w:rPr>
    </w:lvl>
    <w:lvl w:ilvl="3" w:tentative="0">
      <w:start w:val="1"/>
      <w:numFmt w:val="decimal"/>
      <w:lvlText w:val="%4."/>
      <w:lvlJc w:val="left"/>
      <w:pPr>
        <w:tabs>
          <w:tab w:val="left" w:pos="0"/>
        </w:tabs>
        <w:ind w:left="2305" w:hanging="420"/>
      </w:pPr>
      <w:rPr>
        <w:rFonts w:hint="default" w:ascii="Times New Roman" w:hAnsi="Times New Roman" w:cs="Times New Roman"/>
      </w:rPr>
    </w:lvl>
    <w:lvl w:ilvl="4" w:tentative="0">
      <w:start w:val="1"/>
      <w:numFmt w:val="lowerLetter"/>
      <w:lvlText w:val="%5)"/>
      <w:lvlJc w:val="left"/>
      <w:pPr>
        <w:tabs>
          <w:tab w:val="left" w:pos="0"/>
        </w:tabs>
        <w:ind w:left="2725" w:hanging="420"/>
      </w:pPr>
      <w:rPr>
        <w:rFonts w:hint="default" w:ascii="Times New Roman" w:hAnsi="Times New Roman" w:cs="Times New Roman"/>
      </w:rPr>
    </w:lvl>
    <w:lvl w:ilvl="5" w:tentative="0">
      <w:start w:val="1"/>
      <w:numFmt w:val="lowerRoman"/>
      <w:lvlText w:val="%6."/>
      <w:lvlJc w:val="right"/>
      <w:pPr>
        <w:tabs>
          <w:tab w:val="left" w:pos="0"/>
        </w:tabs>
        <w:ind w:left="3145" w:hanging="420"/>
      </w:pPr>
      <w:rPr>
        <w:rFonts w:hint="default" w:ascii="Times New Roman" w:hAnsi="Times New Roman" w:cs="Times New Roman"/>
      </w:rPr>
    </w:lvl>
    <w:lvl w:ilvl="6" w:tentative="0">
      <w:start w:val="1"/>
      <w:numFmt w:val="decimal"/>
      <w:lvlText w:val="%7."/>
      <w:lvlJc w:val="left"/>
      <w:pPr>
        <w:tabs>
          <w:tab w:val="left" w:pos="0"/>
        </w:tabs>
        <w:ind w:left="3565" w:hanging="420"/>
      </w:pPr>
      <w:rPr>
        <w:rFonts w:hint="default" w:ascii="Times New Roman" w:hAnsi="Times New Roman" w:cs="Times New Roman"/>
      </w:rPr>
    </w:lvl>
    <w:lvl w:ilvl="7" w:tentative="0">
      <w:start w:val="1"/>
      <w:numFmt w:val="lowerLetter"/>
      <w:lvlText w:val="%8)"/>
      <w:lvlJc w:val="left"/>
      <w:pPr>
        <w:tabs>
          <w:tab w:val="left" w:pos="0"/>
        </w:tabs>
        <w:ind w:left="3985" w:hanging="420"/>
      </w:pPr>
      <w:rPr>
        <w:rFonts w:hint="default" w:ascii="Times New Roman" w:hAnsi="Times New Roman" w:cs="Times New Roman"/>
      </w:rPr>
    </w:lvl>
    <w:lvl w:ilvl="8" w:tentative="0">
      <w:start w:val="1"/>
      <w:numFmt w:val="lowerRoman"/>
      <w:lvlText w:val="%9."/>
      <w:lvlJc w:val="right"/>
      <w:pPr>
        <w:tabs>
          <w:tab w:val="left" w:pos="0"/>
        </w:tabs>
        <w:ind w:left="4405" w:hanging="420"/>
      </w:pPr>
      <w:rPr>
        <w:rFonts w:hint="default" w:ascii="Times New Roman" w:hAnsi="Times New Roman" w:cs="Times New Roman"/>
      </w:rPr>
    </w:lvl>
  </w:abstractNum>
  <w:abstractNum w:abstractNumId="3">
    <w:nsid w:val="598D5366"/>
    <w:multiLevelType w:val="multilevel"/>
    <w:tmpl w:val="598D5366"/>
    <w:lvl w:ilvl="0" w:tentative="0">
      <w:start w:val="2"/>
      <w:numFmt w:val="chineseCounting"/>
      <w:pStyle w:val="11"/>
      <w:suff w:val="nothing"/>
      <w:lvlText w:val="（%1）"/>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4">
    <w:nsid w:val="598D5371"/>
    <w:multiLevelType w:val="multilevel"/>
    <w:tmpl w:val="598D5371"/>
    <w:lvl w:ilvl="0" w:tentative="0">
      <w:start w:val="1"/>
      <w:numFmt w:val="decimal"/>
      <w:pStyle w:val="436"/>
      <w:suff w:val="nothing"/>
      <w:lvlText w:val="%1."/>
      <w:lvlJc w:val="left"/>
      <w:pPr>
        <w:tabs>
          <w:tab w:val="left" w:pos="0"/>
        </w:tabs>
        <w:ind w:left="0" w:firstLine="0"/>
      </w:pPr>
      <w:rPr>
        <w:rFonts w:hint="default" w:ascii="Times New Roman" w:hAnsi="Times New Roman" w:cs="Times New Roman"/>
      </w:r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5">
    <w:nsid w:val="758B169A"/>
    <w:multiLevelType w:val="multilevel"/>
    <w:tmpl w:val="758B169A"/>
    <w:lvl w:ilvl="0" w:tentative="0">
      <w:start w:val="1"/>
      <w:numFmt w:val="japaneseCounting"/>
      <w:lvlText w:val="第%1条"/>
      <w:lvlJc w:val="left"/>
      <w:pPr>
        <w:tabs>
          <w:tab w:val="left" w:pos="2360"/>
        </w:tabs>
        <w:ind w:left="2360" w:hanging="1080"/>
      </w:pPr>
    </w:lvl>
    <w:lvl w:ilvl="1" w:tentative="0">
      <w:start w:val="1"/>
      <w:numFmt w:val="japaneseCounting"/>
      <w:pStyle w:val="148"/>
      <w:lvlText w:val="第%2条"/>
      <w:lvlJc w:val="left"/>
      <w:pPr>
        <w:tabs>
          <w:tab w:val="left" w:pos="1648"/>
        </w:tabs>
        <w:ind w:left="1648" w:hanging="1080"/>
      </w:pPr>
      <w:rPr>
        <w:b/>
      </w:rPr>
    </w:lvl>
    <w:lvl w:ilvl="2" w:tentative="0">
      <w:start w:val="1"/>
      <w:numFmt w:val="japaneseCounting"/>
      <w:lvlText w:val="(%3)"/>
      <w:lvlJc w:val="left"/>
      <w:pPr>
        <w:tabs>
          <w:tab w:val="left" w:pos="1965"/>
        </w:tabs>
        <w:ind w:left="1965" w:hanging="1125"/>
      </w:pPr>
      <w:rPr>
        <w:rFonts w:hint="default" w:ascii="ˎ̥" w:hAnsi="ˎ̥"/>
        <w:color w:val="000000"/>
      </w:r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num w:numId="1">
    <w:abstractNumId w:val="3"/>
  </w:num>
  <w:num w:numId="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0"/>
  </w:num>
  <w:num w:numId="4">
    <w:abstractNumId w:val="2"/>
  </w:num>
  <w:num w:numId="5">
    <w:abstractNumId w:val="1"/>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1"/>
  <w:bordersDoNotSurroundFooter w:val="1"/>
  <w:hideSpellingErrors/>
  <w:documentProtection w:enforcement="0"/>
  <w:defaultTabStop w:val="420"/>
  <w:drawingGridHorizontalSpacing w:val="105"/>
  <w:drawingGridVerticalSpacing w:val="156"/>
  <w:displayHorizontalDrawingGridEvery w:val="0"/>
  <w:displayVerticalDrawingGridEvery w:val="2"/>
  <w:characterSpacingControl w:val="compressPunctuation"/>
  <w:footnotePr>
    <w:footnote w:id="2"/>
    <w:footnote w:id="3"/>
  </w:foot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87B7A"/>
    <w:rsid w:val="00003964"/>
    <w:rsid w:val="00014650"/>
    <w:rsid w:val="00016BF2"/>
    <w:rsid w:val="0002452B"/>
    <w:rsid w:val="00030C1A"/>
    <w:rsid w:val="00033B5A"/>
    <w:rsid w:val="0004055D"/>
    <w:rsid w:val="000408BF"/>
    <w:rsid w:val="00042254"/>
    <w:rsid w:val="000427AF"/>
    <w:rsid w:val="000433F1"/>
    <w:rsid w:val="0004378A"/>
    <w:rsid w:val="00043F6E"/>
    <w:rsid w:val="0004610C"/>
    <w:rsid w:val="00046D2F"/>
    <w:rsid w:val="00051DA3"/>
    <w:rsid w:val="000533AA"/>
    <w:rsid w:val="00053483"/>
    <w:rsid w:val="00054506"/>
    <w:rsid w:val="00055590"/>
    <w:rsid w:val="00055DE9"/>
    <w:rsid w:val="00057B54"/>
    <w:rsid w:val="000640FA"/>
    <w:rsid w:val="00065FA5"/>
    <w:rsid w:val="0006766C"/>
    <w:rsid w:val="00085F52"/>
    <w:rsid w:val="00087377"/>
    <w:rsid w:val="00091E8A"/>
    <w:rsid w:val="000A0732"/>
    <w:rsid w:val="000A5C14"/>
    <w:rsid w:val="000B012E"/>
    <w:rsid w:val="000B02FA"/>
    <w:rsid w:val="000B6DD0"/>
    <w:rsid w:val="000B6F11"/>
    <w:rsid w:val="000C23A8"/>
    <w:rsid w:val="000C3E46"/>
    <w:rsid w:val="000C4BE0"/>
    <w:rsid w:val="000D3736"/>
    <w:rsid w:val="000D517A"/>
    <w:rsid w:val="000D5685"/>
    <w:rsid w:val="000D6032"/>
    <w:rsid w:val="000E77B9"/>
    <w:rsid w:val="000F09AB"/>
    <w:rsid w:val="000F0E11"/>
    <w:rsid w:val="000F37EF"/>
    <w:rsid w:val="00104BB1"/>
    <w:rsid w:val="00112704"/>
    <w:rsid w:val="00112708"/>
    <w:rsid w:val="00112FAA"/>
    <w:rsid w:val="00126EE7"/>
    <w:rsid w:val="001311D4"/>
    <w:rsid w:val="0013252E"/>
    <w:rsid w:val="001358C9"/>
    <w:rsid w:val="00143C49"/>
    <w:rsid w:val="00145D6E"/>
    <w:rsid w:val="00147E63"/>
    <w:rsid w:val="00153BB3"/>
    <w:rsid w:val="00160480"/>
    <w:rsid w:val="00160536"/>
    <w:rsid w:val="00171CB3"/>
    <w:rsid w:val="001869AC"/>
    <w:rsid w:val="00190A05"/>
    <w:rsid w:val="001A23CC"/>
    <w:rsid w:val="001A2E90"/>
    <w:rsid w:val="001A6E2A"/>
    <w:rsid w:val="001B05A4"/>
    <w:rsid w:val="001B384F"/>
    <w:rsid w:val="001C15BE"/>
    <w:rsid w:val="001C175C"/>
    <w:rsid w:val="001C22EF"/>
    <w:rsid w:val="001C270B"/>
    <w:rsid w:val="001D2B3D"/>
    <w:rsid w:val="001D4BAD"/>
    <w:rsid w:val="001D75CC"/>
    <w:rsid w:val="001E09F2"/>
    <w:rsid w:val="001E55CA"/>
    <w:rsid w:val="001F0F82"/>
    <w:rsid w:val="001F5E41"/>
    <w:rsid w:val="001F7033"/>
    <w:rsid w:val="00206421"/>
    <w:rsid w:val="00211363"/>
    <w:rsid w:val="0021223A"/>
    <w:rsid w:val="00213B8A"/>
    <w:rsid w:val="00215566"/>
    <w:rsid w:val="00215FE8"/>
    <w:rsid w:val="00217C2A"/>
    <w:rsid w:val="00220218"/>
    <w:rsid w:val="002219E3"/>
    <w:rsid w:val="00222B8E"/>
    <w:rsid w:val="00224A4F"/>
    <w:rsid w:val="00224A9A"/>
    <w:rsid w:val="0024089E"/>
    <w:rsid w:val="00253B19"/>
    <w:rsid w:val="00255697"/>
    <w:rsid w:val="00263378"/>
    <w:rsid w:val="0026650D"/>
    <w:rsid w:val="00267FAA"/>
    <w:rsid w:val="00270E00"/>
    <w:rsid w:val="00274F25"/>
    <w:rsid w:val="00274FD9"/>
    <w:rsid w:val="002803E9"/>
    <w:rsid w:val="00281026"/>
    <w:rsid w:val="0028208C"/>
    <w:rsid w:val="00284B43"/>
    <w:rsid w:val="00285DF1"/>
    <w:rsid w:val="00286D0D"/>
    <w:rsid w:val="002906DF"/>
    <w:rsid w:val="002918DE"/>
    <w:rsid w:val="00291918"/>
    <w:rsid w:val="002A2172"/>
    <w:rsid w:val="002A3DF4"/>
    <w:rsid w:val="002A67CD"/>
    <w:rsid w:val="002B078B"/>
    <w:rsid w:val="002B5711"/>
    <w:rsid w:val="002B7751"/>
    <w:rsid w:val="002C028E"/>
    <w:rsid w:val="002C0BCE"/>
    <w:rsid w:val="002C11D9"/>
    <w:rsid w:val="002C489B"/>
    <w:rsid w:val="002C4E68"/>
    <w:rsid w:val="002D2D3B"/>
    <w:rsid w:val="002D4D09"/>
    <w:rsid w:val="002E66E2"/>
    <w:rsid w:val="002F4C89"/>
    <w:rsid w:val="002F5D2C"/>
    <w:rsid w:val="00302BE7"/>
    <w:rsid w:val="0030354A"/>
    <w:rsid w:val="00306000"/>
    <w:rsid w:val="00314879"/>
    <w:rsid w:val="003152A0"/>
    <w:rsid w:val="0032044D"/>
    <w:rsid w:val="00322F7E"/>
    <w:rsid w:val="003273EC"/>
    <w:rsid w:val="00327646"/>
    <w:rsid w:val="003303A9"/>
    <w:rsid w:val="003313CB"/>
    <w:rsid w:val="0033270B"/>
    <w:rsid w:val="00335A31"/>
    <w:rsid w:val="00344260"/>
    <w:rsid w:val="0034676C"/>
    <w:rsid w:val="00350991"/>
    <w:rsid w:val="00352506"/>
    <w:rsid w:val="003549CE"/>
    <w:rsid w:val="00355664"/>
    <w:rsid w:val="003560FE"/>
    <w:rsid w:val="00356335"/>
    <w:rsid w:val="00361265"/>
    <w:rsid w:val="00362B4F"/>
    <w:rsid w:val="00373C10"/>
    <w:rsid w:val="003748CC"/>
    <w:rsid w:val="00381ADC"/>
    <w:rsid w:val="003836CB"/>
    <w:rsid w:val="0038589B"/>
    <w:rsid w:val="00386867"/>
    <w:rsid w:val="003870D1"/>
    <w:rsid w:val="003945A4"/>
    <w:rsid w:val="003A0F1C"/>
    <w:rsid w:val="003A163E"/>
    <w:rsid w:val="003A34DA"/>
    <w:rsid w:val="003A4A7A"/>
    <w:rsid w:val="003C4957"/>
    <w:rsid w:val="003D1763"/>
    <w:rsid w:val="003D192C"/>
    <w:rsid w:val="003E077C"/>
    <w:rsid w:val="003E0FB9"/>
    <w:rsid w:val="003E2DB5"/>
    <w:rsid w:val="003E4C43"/>
    <w:rsid w:val="003E5348"/>
    <w:rsid w:val="003E7B63"/>
    <w:rsid w:val="003F12FE"/>
    <w:rsid w:val="003F5EF4"/>
    <w:rsid w:val="003F71F1"/>
    <w:rsid w:val="003F776B"/>
    <w:rsid w:val="003F7F27"/>
    <w:rsid w:val="0040160E"/>
    <w:rsid w:val="0040436D"/>
    <w:rsid w:val="00410659"/>
    <w:rsid w:val="004127A3"/>
    <w:rsid w:val="00415ED7"/>
    <w:rsid w:val="00415F2D"/>
    <w:rsid w:val="00421252"/>
    <w:rsid w:val="004319DF"/>
    <w:rsid w:val="0044439F"/>
    <w:rsid w:val="00445060"/>
    <w:rsid w:val="00450EF2"/>
    <w:rsid w:val="004516D5"/>
    <w:rsid w:val="00451BD3"/>
    <w:rsid w:val="0045364F"/>
    <w:rsid w:val="0046142F"/>
    <w:rsid w:val="004664A1"/>
    <w:rsid w:val="00472364"/>
    <w:rsid w:val="00473F12"/>
    <w:rsid w:val="00474606"/>
    <w:rsid w:val="00474CD5"/>
    <w:rsid w:val="00474DCB"/>
    <w:rsid w:val="00474DF7"/>
    <w:rsid w:val="00474F55"/>
    <w:rsid w:val="00475AD2"/>
    <w:rsid w:val="004806DE"/>
    <w:rsid w:val="0048350B"/>
    <w:rsid w:val="00484886"/>
    <w:rsid w:val="00485683"/>
    <w:rsid w:val="004865B2"/>
    <w:rsid w:val="00487D98"/>
    <w:rsid w:val="00490098"/>
    <w:rsid w:val="004936DD"/>
    <w:rsid w:val="00493AA9"/>
    <w:rsid w:val="004953A0"/>
    <w:rsid w:val="0049686C"/>
    <w:rsid w:val="004A165E"/>
    <w:rsid w:val="004A505B"/>
    <w:rsid w:val="004A5F52"/>
    <w:rsid w:val="004B11F3"/>
    <w:rsid w:val="004B1627"/>
    <w:rsid w:val="004B174C"/>
    <w:rsid w:val="004B1E6D"/>
    <w:rsid w:val="004B267B"/>
    <w:rsid w:val="004B2C83"/>
    <w:rsid w:val="004B4A15"/>
    <w:rsid w:val="004B5FF6"/>
    <w:rsid w:val="004C3363"/>
    <w:rsid w:val="004C7500"/>
    <w:rsid w:val="004D4687"/>
    <w:rsid w:val="004D630F"/>
    <w:rsid w:val="004E4760"/>
    <w:rsid w:val="004E598E"/>
    <w:rsid w:val="004F11E5"/>
    <w:rsid w:val="004F17B0"/>
    <w:rsid w:val="004F4AB3"/>
    <w:rsid w:val="004F58EF"/>
    <w:rsid w:val="00503A0A"/>
    <w:rsid w:val="00506F65"/>
    <w:rsid w:val="005075DB"/>
    <w:rsid w:val="00515200"/>
    <w:rsid w:val="005161EC"/>
    <w:rsid w:val="005177BB"/>
    <w:rsid w:val="00520510"/>
    <w:rsid w:val="005247FE"/>
    <w:rsid w:val="00525BD9"/>
    <w:rsid w:val="0053165C"/>
    <w:rsid w:val="0053266A"/>
    <w:rsid w:val="0053408C"/>
    <w:rsid w:val="005368F3"/>
    <w:rsid w:val="00537B2E"/>
    <w:rsid w:val="00537E48"/>
    <w:rsid w:val="005443ED"/>
    <w:rsid w:val="005553E8"/>
    <w:rsid w:val="00555CFE"/>
    <w:rsid w:val="00556F04"/>
    <w:rsid w:val="00562028"/>
    <w:rsid w:val="005631EE"/>
    <w:rsid w:val="00564940"/>
    <w:rsid w:val="00567B3C"/>
    <w:rsid w:val="00572B87"/>
    <w:rsid w:val="00572D65"/>
    <w:rsid w:val="005741A6"/>
    <w:rsid w:val="005741DB"/>
    <w:rsid w:val="005843F4"/>
    <w:rsid w:val="0059304A"/>
    <w:rsid w:val="005939B9"/>
    <w:rsid w:val="005A07B8"/>
    <w:rsid w:val="005A0E1F"/>
    <w:rsid w:val="005A4CB8"/>
    <w:rsid w:val="005A7751"/>
    <w:rsid w:val="005B4E1B"/>
    <w:rsid w:val="005B5E5D"/>
    <w:rsid w:val="005C130A"/>
    <w:rsid w:val="005C1E74"/>
    <w:rsid w:val="005D084C"/>
    <w:rsid w:val="005D1064"/>
    <w:rsid w:val="005D3838"/>
    <w:rsid w:val="005D4A8A"/>
    <w:rsid w:val="005E56B9"/>
    <w:rsid w:val="006000DE"/>
    <w:rsid w:val="00600853"/>
    <w:rsid w:val="00610873"/>
    <w:rsid w:val="00610AF6"/>
    <w:rsid w:val="00613BE2"/>
    <w:rsid w:val="0061410C"/>
    <w:rsid w:val="006166B7"/>
    <w:rsid w:val="00622597"/>
    <w:rsid w:val="0062281F"/>
    <w:rsid w:val="006240E9"/>
    <w:rsid w:val="00626512"/>
    <w:rsid w:val="006269E4"/>
    <w:rsid w:val="006278D8"/>
    <w:rsid w:val="00630DC1"/>
    <w:rsid w:val="00630DE1"/>
    <w:rsid w:val="00630FB4"/>
    <w:rsid w:val="006312A7"/>
    <w:rsid w:val="006315DD"/>
    <w:rsid w:val="00635493"/>
    <w:rsid w:val="006356FC"/>
    <w:rsid w:val="00636DB2"/>
    <w:rsid w:val="006378CC"/>
    <w:rsid w:val="00654377"/>
    <w:rsid w:val="00660226"/>
    <w:rsid w:val="006622C9"/>
    <w:rsid w:val="00663BF8"/>
    <w:rsid w:val="00664923"/>
    <w:rsid w:val="0066572D"/>
    <w:rsid w:val="0066775F"/>
    <w:rsid w:val="0067465C"/>
    <w:rsid w:val="00675195"/>
    <w:rsid w:val="006777AF"/>
    <w:rsid w:val="00677BE3"/>
    <w:rsid w:val="006800B7"/>
    <w:rsid w:val="006825A3"/>
    <w:rsid w:val="00685385"/>
    <w:rsid w:val="006854D0"/>
    <w:rsid w:val="006879DB"/>
    <w:rsid w:val="00691D00"/>
    <w:rsid w:val="0069463D"/>
    <w:rsid w:val="0069671D"/>
    <w:rsid w:val="006A5453"/>
    <w:rsid w:val="006B477B"/>
    <w:rsid w:val="006B5373"/>
    <w:rsid w:val="006C3BB6"/>
    <w:rsid w:val="006C4D40"/>
    <w:rsid w:val="006C6F1F"/>
    <w:rsid w:val="006D30BD"/>
    <w:rsid w:val="006E3241"/>
    <w:rsid w:val="006E3458"/>
    <w:rsid w:val="006E5870"/>
    <w:rsid w:val="006E7E06"/>
    <w:rsid w:val="006F1230"/>
    <w:rsid w:val="006F16F4"/>
    <w:rsid w:val="006F7158"/>
    <w:rsid w:val="006F7209"/>
    <w:rsid w:val="00707ABD"/>
    <w:rsid w:val="00721855"/>
    <w:rsid w:val="00727593"/>
    <w:rsid w:val="00727776"/>
    <w:rsid w:val="0073046F"/>
    <w:rsid w:val="0073124E"/>
    <w:rsid w:val="00734419"/>
    <w:rsid w:val="00735497"/>
    <w:rsid w:val="00740199"/>
    <w:rsid w:val="00743803"/>
    <w:rsid w:val="007470F0"/>
    <w:rsid w:val="00747154"/>
    <w:rsid w:val="00750419"/>
    <w:rsid w:val="00750E29"/>
    <w:rsid w:val="0075226E"/>
    <w:rsid w:val="007539BE"/>
    <w:rsid w:val="00754638"/>
    <w:rsid w:val="00761300"/>
    <w:rsid w:val="007706FE"/>
    <w:rsid w:val="00773C71"/>
    <w:rsid w:val="00775C5A"/>
    <w:rsid w:val="007763D1"/>
    <w:rsid w:val="00777191"/>
    <w:rsid w:val="00782BE5"/>
    <w:rsid w:val="007913D2"/>
    <w:rsid w:val="007A1798"/>
    <w:rsid w:val="007A47FD"/>
    <w:rsid w:val="007A4E3F"/>
    <w:rsid w:val="007A7964"/>
    <w:rsid w:val="007B05ED"/>
    <w:rsid w:val="007B1529"/>
    <w:rsid w:val="007B759A"/>
    <w:rsid w:val="007C1A7E"/>
    <w:rsid w:val="007C7513"/>
    <w:rsid w:val="007D27C6"/>
    <w:rsid w:val="007D2C1B"/>
    <w:rsid w:val="007D4D23"/>
    <w:rsid w:val="007D5EB9"/>
    <w:rsid w:val="007E04F2"/>
    <w:rsid w:val="007E24CF"/>
    <w:rsid w:val="007E576B"/>
    <w:rsid w:val="007E7329"/>
    <w:rsid w:val="007E76F8"/>
    <w:rsid w:val="007F24BB"/>
    <w:rsid w:val="007F75B8"/>
    <w:rsid w:val="00813A84"/>
    <w:rsid w:val="008163FB"/>
    <w:rsid w:val="00817DE3"/>
    <w:rsid w:val="008233BA"/>
    <w:rsid w:val="008259D9"/>
    <w:rsid w:val="00831D1F"/>
    <w:rsid w:val="008328F6"/>
    <w:rsid w:val="0084365D"/>
    <w:rsid w:val="00843FF4"/>
    <w:rsid w:val="008453F1"/>
    <w:rsid w:val="00845F0A"/>
    <w:rsid w:val="00851491"/>
    <w:rsid w:val="008517EC"/>
    <w:rsid w:val="00852F43"/>
    <w:rsid w:val="00863423"/>
    <w:rsid w:val="00865AE7"/>
    <w:rsid w:val="008722B1"/>
    <w:rsid w:val="008739BB"/>
    <w:rsid w:val="008752C8"/>
    <w:rsid w:val="0088056F"/>
    <w:rsid w:val="0089146C"/>
    <w:rsid w:val="0089180C"/>
    <w:rsid w:val="00896A67"/>
    <w:rsid w:val="008A38EE"/>
    <w:rsid w:val="008A3D9D"/>
    <w:rsid w:val="008A4AF1"/>
    <w:rsid w:val="008A5480"/>
    <w:rsid w:val="008C1BA7"/>
    <w:rsid w:val="008C440E"/>
    <w:rsid w:val="008D24AC"/>
    <w:rsid w:val="008E7B35"/>
    <w:rsid w:val="008F2F07"/>
    <w:rsid w:val="008F33CA"/>
    <w:rsid w:val="008F3493"/>
    <w:rsid w:val="0090228A"/>
    <w:rsid w:val="00907995"/>
    <w:rsid w:val="00911A3C"/>
    <w:rsid w:val="0091644C"/>
    <w:rsid w:val="00916ACD"/>
    <w:rsid w:val="00916F1B"/>
    <w:rsid w:val="00926809"/>
    <w:rsid w:val="0093129A"/>
    <w:rsid w:val="00933568"/>
    <w:rsid w:val="0093365E"/>
    <w:rsid w:val="0093397A"/>
    <w:rsid w:val="009343FA"/>
    <w:rsid w:val="0093498C"/>
    <w:rsid w:val="009366F7"/>
    <w:rsid w:val="00937BF7"/>
    <w:rsid w:val="0094231C"/>
    <w:rsid w:val="0094529B"/>
    <w:rsid w:val="00961476"/>
    <w:rsid w:val="00961A2A"/>
    <w:rsid w:val="0097108D"/>
    <w:rsid w:val="0097232D"/>
    <w:rsid w:val="00973186"/>
    <w:rsid w:val="00981BA0"/>
    <w:rsid w:val="00982156"/>
    <w:rsid w:val="00982633"/>
    <w:rsid w:val="00983632"/>
    <w:rsid w:val="00987B7A"/>
    <w:rsid w:val="00990CB4"/>
    <w:rsid w:val="009939B3"/>
    <w:rsid w:val="009A0222"/>
    <w:rsid w:val="009A2754"/>
    <w:rsid w:val="009A65DE"/>
    <w:rsid w:val="009A6677"/>
    <w:rsid w:val="009B1CC4"/>
    <w:rsid w:val="009B5A95"/>
    <w:rsid w:val="009C0A06"/>
    <w:rsid w:val="009C0A66"/>
    <w:rsid w:val="009C10A8"/>
    <w:rsid w:val="009C1F0E"/>
    <w:rsid w:val="009C45FD"/>
    <w:rsid w:val="009C66D3"/>
    <w:rsid w:val="009D1C44"/>
    <w:rsid w:val="009D3244"/>
    <w:rsid w:val="009D4E96"/>
    <w:rsid w:val="009E05BC"/>
    <w:rsid w:val="009E4D36"/>
    <w:rsid w:val="009E4FEB"/>
    <w:rsid w:val="009E6D4C"/>
    <w:rsid w:val="009E7177"/>
    <w:rsid w:val="009F273D"/>
    <w:rsid w:val="009F70A4"/>
    <w:rsid w:val="00A06F35"/>
    <w:rsid w:val="00A12FCB"/>
    <w:rsid w:val="00A14982"/>
    <w:rsid w:val="00A25112"/>
    <w:rsid w:val="00A31C1C"/>
    <w:rsid w:val="00A322E0"/>
    <w:rsid w:val="00A40BEC"/>
    <w:rsid w:val="00A43043"/>
    <w:rsid w:val="00A43656"/>
    <w:rsid w:val="00A448D9"/>
    <w:rsid w:val="00A50BDF"/>
    <w:rsid w:val="00A5149A"/>
    <w:rsid w:val="00A51910"/>
    <w:rsid w:val="00A54751"/>
    <w:rsid w:val="00A5625A"/>
    <w:rsid w:val="00A60902"/>
    <w:rsid w:val="00A6099D"/>
    <w:rsid w:val="00A70593"/>
    <w:rsid w:val="00A70DFD"/>
    <w:rsid w:val="00A71E9E"/>
    <w:rsid w:val="00A72025"/>
    <w:rsid w:val="00A76916"/>
    <w:rsid w:val="00A769B9"/>
    <w:rsid w:val="00A80CD4"/>
    <w:rsid w:val="00A829EC"/>
    <w:rsid w:val="00A85AEC"/>
    <w:rsid w:val="00A85E3E"/>
    <w:rsid w:val="00A86CC3"/>
    <w:rsid w:val="00A8795A"/>
    <w:rsid w:val="00A87A52"/>
    <w:rsid w:val="00A933A6"/>
    <w:rsid w:val="00A937AF"/>
    <w:rsid w:val="00A96B74"/>
    <w:rsid w:val="00AA4D63"/>
    <w:rsid w:val="00AA6863"/>
    <w:rsid w:val="00AA77DD"/>
    <w:rsid w:val="00AB004C"/>
    <w:rsid w:val="00AB440B"/>
    <w:rsid w:val="00AB727A"/>
    <w:rsid w:val="00AB7635"/>
    <w:rsid w:val="00AC2E7E"/>
    <w:rsid w:val="00AD0CBB"/>
    <w:rsid w:val="00AD118D"/>
    <w:rsid w:val="00AD1833"/>
    <w:rsid w:val="00AD4BDA"/>
    <w:rsid w:val="00AE37CC"/>
    <w:rsid w:val="00AE4280"/>
    <w:rsid w:val="00AE4CDC"/>
    <w:rsid w:val="00AF4B07"/>
    <w:rsid w:val="00B037DF"/>
    <w:rsid w:val="00B07739"/>
    <w:rsid w:val="00B10A8B"/>
    <w:rsid w:val="00B13FD6"/>
    <w:rsid w:val="00B159BE"/>
    <w:rsid w:val="00B15DA3"/>
    <w:rsid w:val="00B1716F"/>
    <w:rsid w:val="00B20360"/>
    <w:rsid w:val="00B26A0F"/>
    <w:rsid w:val="00B333F8"/>
    <w:rsid w:val="00B355C9"/>
    <w:rsid w:val="00B52811"/>
    <w:rsid w:val="00B54668"/>
    <w:rsid w:val="00B564B7"/>
    <w:rsid w:val="00B66312"/>
    <w:rsid w:val="00B67D9D"/>
    <w:rsid w:val="00B734CA"/>
    <w:rsid w:val="00B84C46"/>
    <w:rsid w:val="00B85D72"/>
    <w:rsid w:val="00B91E15"/>
    <w:rsid w:val="00B92783"/>
    <w:rsid w:val="00B955F3"/>
    <w:rsid w:val="00B95AD8"/>
    <w:rsid w:val="00B95E0F"/>
    <w:rsid w:val="00BA002A"/>
    <w:rsid w:val="00BA3C19"/>
    <w:rsid w:val="00BA3CC9"/>
    <w:rsid w:val="00BA69E8"/>
    <w:rsid w:val="00BB0FA7"/>
    <w:rsid w:val="00BB2BFA"/>
    <w:rsid w:val="00BB3704"/>
    <w:rsid w:val="00BC43E6"/>
    <w:rsid w:val="00BC5FC1"/>
    <w:rsid w:val="00BC624F"/>
    <w:rsid w:val="00BC6CCC"/>
    <w:rsid w:val="00BD7C2D"/>
    <w:rsid w:val="00BE2425"/>
    <w:rsid w:val="00BE2ACD"/>
    <w:rsid w:val="00BE3D5B"/>
    <w:rsid w:val="00BF0528"/>
    <w:rsid w:val="00BF2707"/>
    <w:rsid w:val="00BF34BF"/>
    <w:rsid w:val="00BF6117"/>
    <w:rsid w:val="00BF6514"/>
    <w:rsid w:val="00BF7E65"/>
    <w:rsid w:val="00C03D79"/>
    <w:rsid w:val="00C156F1"/>
    <w:rsid w:val="00C15A0A"/>
    <w:rsid w:val="00C16A06"/>
    <w:rsid w:val="00C20393"/>
    <w:rsid w:val="00C2131B"/>
    <w:rsid w:val="00C27835"/>
    <w:rsid w:val="00C308B0"/>
    <w:rsid w:val="00C3258C"/>
    <w:rsid w:val="00C41FD6"/>
    <w:rsid w:val="00C439B1"/>
    <w:rsid w:val="00C45F94"/>
    <w:rsid w:val="00C46A84"/>
    <w:rsid w:val="00C51D2A"/>
    <w:rsid w:val="00C558DF"/>
    <w:rsid w:val="00C56A45"/>
    <w:rsid w:val="00C6169A"/>
    <w:rsid w:val="00C61FFD"/>
    <w:rsid w:val="00C65831"/>
    <w:rsid w:val="00C6715E"/>
    <w:rsid w:val="00C71A0B"/>
    <w:rsid w:val="00C723ED"/>
    <w:rsid w:val="00C72FAD"/>
    <w:rsid w:val="00C76493"/>
    <w:rsid w:val="00C80AAD"/>
    <w:rsid w:val="00C91BF4"/>
    <w:rsid w:val="00C91EC5"/>
    <w:rsid w:val="00C92416"/>
    <w:rsid w:val="00C92DE5"/>
    <w:rsid w:val="00C934D9"/>
    <w:rsid w:val="00C93746"/>
    <w:rsid w:val="00C96739"/>
    <w:rsid w:val="00C97CE8"/>
    <w:rsid w:val="00CA546E"/>
    <w:rsid w:val="00CA5E75"/>
    <w:rsid w:val="00CB0CDA"/>
    <w:rsid w:val="00CB1C45"/>
    <w:rsid w:val="00CB677B"/>
    <w:rsid w:val="00CC1277"/>
    <w:rsid w:val="00CC28AC"/>
    <w:rsid w:val="00CD141D"/>
    <w:rsid w:val="00CD21D0"/>
    <w:rsid w:val="00CD3FD4"/>
    <w:rsid w:val="00CD577C"/>
    <w:rsid w:val="00CD67EE"/>
    <w:rsid w:val="00CE1A61"/>
    <w:rsid w:val="00CE21E2"/>
    <w:rsid w:val="00CE5059"/>
    <w:rsid w:val="00CE6878"/>
    <w:rsid w:val="00CF44FC"/>
    <w:rsid w:val="00CF5F7D"/>
    <w:rsid w:val="00D01241"/>
    <w:rsid w:val="00D06A1F"/>
    <w:rsid w:val="00D12DBF"/>
    <w:rsid w:val="00D14FD2"/>
    <w:rsid w:val="00D15554"/>
    <w:rsid w:val="00D17952"/>
    <w:rsid w:val="00D17985"/>
    <w:rsid w:val="00D214FF"/>
    <w:rsid w:val="00D24655"/>
    <w:rsid w:val="00D252B0"/>
    <w:rsid w:val="00D31BF5"/>
    <w:rsid w:val="00D34CAD"/>
    <w:rsid w:val="00D40756"/>
    <w:rsid w:val="00D40D83"/>
    <w:rsid w:val="00D54AA5"/>
    <w:rsid w:val="00D61B04"/>
    <w:rsid w:val="00D632AB"/>
    <w:rsid w:val="00D64B3D"/>
    <w:rsid w:val="00D64D7A"/>
    <w:rsid w:val="00D65F14"/>
    <w:rsid w:val="00D6782B"/>
    <w:rsid w:val="00D70FBF"/>
    <w:rsid w:val="00D72394"/>
    <w:rsid w:val="00D800C4"/>
    <w:rsid w:val="00D857A0"/>
    <w:rsid w:val="00D85BF0"/>
    <w:rsid w:val="00D86663"/>
    <w:rsid w:val="00D8737A"/>
    <w:rsid w:val="00D874AD"/>
    <w:rsid w:val="00D87C55"/>
    <w:rsid w:val="00D92E40"/>
    <w:rsid w:val="00D9474F"/>
    <w:rsid w:val="00DA12A8"/>
    <w:rsid w:val="00DA4593"/>
    <w:rsid w:val="00DA5374"/>
    <w:rsid w:val="00DB4612"/>
    <w:rsid w:val="00DB5020"/>
    <w:rsid w:val="00DC0ABF"/>
    <w:rsid w:val="00DC7E62"/>
    <w:rsid w:val="00DD0611"/>
    <w:rsid w:val="00DD2DEE"/>
    <w:rsid w:val="00DD3917"/>
    <w:rsid w:val="00DD4765"/>
    <w:rsid w:val="00DD63FD"/>
    <w:rsid w:val="00DE1FB4"/>
    <w:rsid w:val="00DE3A43"/>
    <w:rsid w:val="00DE4884"/>
    <w:rsid w:val="00DE7E98"/>
    <w:rsid w:val="00DF1D39"/>
    <w:rsid w:val="00DF31E8"/>
    <w:rsid w:val="00DF4E6A"/>
    <w:rsid w:val="00E03986"/>
    <w:rsid w:val="00E06F92"/>
    <w:rsid w:val="00E07396"/>
    <w:rsid w:val="00E110D6"/>
    <w:rsid w:val="00E14381"/>
    <w:rsid w:val="00E14A36"/>
    <w:rsid w:val="00E2076B"/>
    <w:rsid w:val="00E244C7"/>
    <w:rsid w:val="00E251A3"/>
    <w:rsid w:val="00E327E4"/>
    <w:rsid w:val="00E345E9"/>
    <w:rsid w:val="00E43EC7"/>
    <w:rsid w:val="00E45E45"/>
    <w:rsid w:val="00E461E4"/>
    <w:rsid w:val="00E476C2"/>
    <w:rsid w:val="00E50E3D"/>
    <w:rsid w:val="00E50E94"/>
    <w:rsid w:val="00E529B6"/>
    <w:rsid w:val="00E5372D"/>
    <w:rsid w:val="00E5746B"/>
    <w:rsid w:val="00E606DB"/>
    <w:rsid w:val="00E63174"/>
    <w:rsid w:val="00E64BBD"/>
    <w:rsid w:val="00E725F1"/>
    <w:rsid w:val="00E727A8"/>
    <w:rsid w:val="00E75732"/>
    <w:rsid w:val="00E778CA"/>
    <w:rsid w:val="00E82910"/>
    <w:rsid w:val="00E83D0A"/>
    <w:rsid w:val="00E920FA"/>
    <w:rsid w:val="00E92E49"/>
    <w:rsid w:val="00E94E10"/>
    <w:rsid w:val="00E95D20"/>
    <w:rsid w:val="00EA25D3"/>
    <w:rsid w:val="00EA38E4"/>
    <w:rsid w:val="00EA5977"/>
    <w:rsid w:val="00EB44C0"/>
    <w:rsid w:val="00EB488A"/>
    <w:rsid w:val="00EC0104"/>
    <w:rsid w:val="00EC0903"/>
    <w:rsid w:val="00EC164A"/>
    <w:rsid w:val="00EC62CF"/>
    <w:rsid w:val="00ED00A9"/>
    <w:rsid w:val="00ED20C2"/>
    <w:rsid w:val="00ED5156"/>
    <w:rsid w:val="00ED5672"/>
    <w:rsid w:val="00ED7A7C"/>
    <w:rsid w:val="00EF0497"/>
    <w:rsid w:val="00EF30CB"/>
    <w:rsid w:val="00EF6082"/>
    <w:rsid w:val="00EF6ED7"/>
    <w:rsid w:val="00F10BEE"/>
    <w:rsid w:val="00F17BCA"/>
    <w:rsid w:val="00F22394"/>
    <w:rsid w:val="00F248F4"/>
    <w:rsid w:val="00F30053"/>
    <w:rsid w:val="00F339F0"/>
    <w:rsid w:val="00F356FA"/>
    <w:rsid w:val="00F40D18"/>
    <w:rsid w:val="00F44258"/>
    <w:rsid w:val="00F504F9"/>
    <w:rsid w:val="00F5528D"/>
    <w:rsid w:val="00F565AF"/>
    <w:rsid w:val="00F600B2"/>
    <w:rsid w:val="00F61FF9"/>
    <w:rsid w:val="00F6270E"/>
    <w:rsid w:val="00F6684F"/>
    <w:rsid w:val="00F70008"/>
    <w:rsid w:val="00F7052C"/>
    <w:rsid w:val="00F748BF"/>
    <w:rsid w:val="00F7518C"/>
    <w:rsid w:val="00F75CE5"/>
    <w:rsid w:val="00F76B39"/>
    <w:rsid w:val="00F80916"/>
    <w:rsid w:val="00F87400"/>
    <w:rsid w:val="00F90B5D"/>
    <w:rsid w:val="00FA198A"/>
    <w:rsid w:val="00FA3215"/>
    <w:rsid w:val="00FA5584"/>
    <w:rsid w:val="00FB1CC4"/>
    <w:rsid w:val="00FB3E07"/>
    <w:rsid w:val="00FB525C"/>
    <w:rsid w:val="00FB717E"/>
    <w:rsid w:val="00FB7CEA"/>
    <w:rsid w:val="00FD0671"/>
    <w:rsid w:val="00FD6B18"/>
    <w:rsid w:val="00FE0BB6"/>
    <w:rsid w:val="00FE0C24"/>
    <w:rsid w:val="00FE3077"/>
    <w:rsid w:val="00FE3D63"/>
    <w:rsid w:val="00FE48A7"/>
    <w:rsid w:val="00FE78B4"/>
    <w:rsid w:val="00FF0190"/>
    <w:rsid w:val="00FF2793"/>
    <w:rsid w:val="00FF578F"/>
    <w:rsid w:val="00FF7066"/>
    <w:rsid w:val="00FF735D"/>
    <w:rsid w:val="17DBFB8B"/>
    <w:rsid w:val="7FEF63A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iPriority="9" w:name="heading 6"/>
    <w:lsdException w:qFormat="1" w:uiPriority="9" w:name="heading 7"/>
    <w:lsdException w:qFormat="1" w:uiPriority="9" w:name="heading 8"/>
    <w:lsdException w:qFormat="1" w:unhideWhenUsed="0" w:uiPriority="99" w:semiHidden="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39" w:semiHidden="0" w:name="toc 1"/>
    <w:lsdException w:qFormat="1" w:unhideWhenUsed="0" w:uiPriority="99" w:semiHidden="0" w:name="toc 2"/>
    <w:lsdException w:qFormat="1" w:unhideWhenUsed="0" w:uiPriority="99" w:semiHidden="0" w:name="toc 3"/>
    <w:lsdException w:qFormat="1" w:unhideWhenUsed="0" w:uiPriority="99" w:semiHidden="0" w:name="toc 4"/>
    <w:lsdException w:qFormat="1" w:unhideWhenUsed="0" w:uiPriority="99" w:semiHidden="0" w:name="toc 5"/>
    <w:lsdException w:qFormat="1" w:unhideWhenUsed="0" w:uiPriority="99" w:semiHidden="0" w:name="toc 6"/>
    <w:lsdException w:qFormat="1" w:unhideWhenUsed="0" w:uiPriority="99" w:semiHidden="0" w:name="toc 7"/>
    <w:lsdException w:qFormat="1" w:unhideWhenUsed="0" w:uiPriority="99" w:semiHidden="0" w:name="toc 8"/>
    <w:lsdException w:qFormat="1" w:unhideWhenUsed="0" w:uiPriority="99" w:semiHidden="0" w:name="toc 9"/>
    <w:lsdException w:qFormat="1" w:unhideWhenUsed="0" w:uiPriority="99" w:semiHidden="0" w:name="Normal Indent"/>
    <w:lsdException w:qFormat="1" w:unhideWhenUsed="0" w:uiPriority="99" w:name="footnote text"/>
    <w:lsdException w:qFormat="1" w:unhideWhenUsed="0" w:uiPriority="99" w:name="annotation text"/>
    <w:lsdException w:qFormat="1" w:uiPriority="99" w:semiHidden="0" w:name="header"/>
    <w:lsdException w:qFormat="1" w:uiPriority="99" w:semiHidden="0" w:name="footer"/>
    <w:lsdException w:uiPriority="99" w:name="index heading"/>
    <w:lsdException w:qFormat="1" w:unhideWhenUsed="0" w:uiPriority="99" w:semiHidden="0" w:name="caption"/>
    <w:lsdException w:uiPriority="99" w:name="table of figures"/>
    <w:lsdException w:uiPriority="99" w:name="envelope address"/>
    <w:lsdException w:uiPriority="99" w:name="envelope return"/>
    <w:lsdException w:qFormat="1" w:unhideWhenUsed="0" w:uiPriority="0" w:name="footnote reference"/>
    <w:lsdException w:qFormat="1" w:unhideWhenUsed="0" w:uiPriority="0" w:name="annotation reference"/>
    <w:lsdException w:uiPriority="99" w:name="line number"/>
    <w:lsdException w:qFormat="1" w:unhideWhenUsed="0" w:uiPriority="0" w:semiHidden="0" w:name="page number"/>
    <w:lsdException w:qFormat="1" w:uiPriority="99" w:name="endnote reference"/>
    <w:lsdException w:qFormat="1" w:uiPriority="99" w:name="endnote text"/>
    <w:lsdException w:uiPriority="99" w:name="table of authorities"/>
    <w:lsdException w:uiPriority="99" w:name="macro"/>
    <w:lsdException w:uiPriority="99" w:name="toa heading"/>
    <w:lsdException w:qFormat="1" w:unhideWhenUsed="0" w:uiPriority="99" w:semiHidden="0" w:name="List"/>
    <w:lsdException w:qFormat="1" w:unhideWhenUsed="0" w:uiPriority="99" w:semiHidden="0" w:name="List Bullet"/>
    <w:lsdException w:uiPriority="99" w:name="List Number"/>
    <w:lsdException w:qFormat="1" w:unhideWhenUsed="0" w:uiPriority="99"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qFormat="1" w:unhideWhenUsed="0" w:uiPriority="99" w:semiHidden="0" w:name="Closing"/>
    <w:lsdException w:uiPriority="99" w:name="Signature"/>
    <w:lsdException w:qFormat="1" w:uiPriority="1" w:name="Default Paragraph Font"/>
    <w:lsdException w:qFormat="1" w:unhideWhenUsed="0" w:uiPriority="99" w:semiHidden="0" w:name="Body Text"/>
    <w:lsdException w:qFormat="1" w:unhideWhenUsed="0" w:uiPriority="0"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qFormat="1" w:unhideWhenUsed="0" w:uiPriority="99" w:semiHidden="0" w:name="Salutation"/>
    <w:lsdException w:qFormat="1" w:unhideWhenUsed="0" w:uiPriority="99" w:semiHidden="0" w:name="Date"/>
    <w:lsdException w:qFormat="1" w:unhideWhenUsed="0" w:uiPriority="99" w:semiHidden="0" w:name="Body Text First Indent"/>
    <w:lsdException w:uiPriority="99" w:name="Body Text First Indent 2"/>
    <w:lsdException w:uiPriority="99" w:name="Note Heading"/>
    <w:lsdException w:qFormat="1" w:unhideWhenUsed="0" w:uiPriority="99" w:semiHidden="0" w:name="Body Text 2"/>
    <w:lsdException w:qFormat="1" w:unhideWhenUsed="0" w:uiPriority="99" w:semiHidden="0" w:name="Body Text 3"/>
    <w:lsdException w:qFormat="1" w:unhideWhenUsed="0" w:uiPriority="99" w:semiHidden="0" w:name="Body Text Indent 2"/>
    <w:lsdException w:qFormat="1" w:unhideWhenUsed="0" w:uiPriority="99" w:semiHidden="0" w:name="Body Text Indent 3"/>
    <w:lsdException w:qFormat="1" w:unhideWhenUsed="0" w:uiPriority="99" w:semiHidden="0" w:name="Block Text"/>
    <w:lsdException w:qFormat="1" w:unhideWhenUsed="0" w:uiPriority="99" w:semiHidden="0" w:name="Hyperlink"/>
    <w:lsdException w:qFormat="1" w:unhideWhenUsed="0" w:uiPriority="99" w:semiHidden="0" w:name="FollowedHyperlink"/>
    <w:lsdException w:qFormat="1" w:unhideWhenUsed="0" w:uiPriority="0" w:semiHidden="0" w:name="Strong"/>
    <w:lsdException w:qFormat="1" w:unhideWhenUsed="0" w:uiPriority="0" w:semiHidden="0" w:name="Emphasis"/>
    <w:lsdException w:qFormat="1" w:unhideWhenUsed="0" w:uiPriority="99" w:name="Document Map"/>
    <w:lsdException w:qFormat="1" w:unhideWhenUsed="0" w:uiPriority="99" w:semiHidden="0" w:name="Plain Text"/>
    <w:lsdException w:uiPriority="99" w:name="E-mail Signature"/>
    <w:lsdException w:qFormat="1" w:unhideWhenUsed="0" w:uiPriority="99" w:semiHidden="0" w:name="Normal (Web)"/>
    <w:lsdException w:uiPriority="99" w:name="HTML Acronym"/>
    <w:lsdException w:qFormat="1"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qFormat="1" w:unhideWhenUsed="0" w:uiPriority="0" w:semiHidden="0" w:name="HTML Typewriter"/>
    <w:lsdException w:uiPriority="99" w:name="HTML Variable"/>
    <w:lsdException w:qFormat="1" w:uiPriority="99" w:name="Normal Table"/>
    <w:lsdException w:qFormat="1"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name="Balloon Text"/>
    <w:lsdException w:qFormat="1" w:unhideWhenUsed="0" w:uiPriority="59" w:semiHidden="0" w:name="Table Grid"/>
    <w:lsdException w:uiPriority="99"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1"/>
    <w:basedOn w:val="1"/>
    <w:next w:val="1"/>
    <w:link w:val="59"/>
    <w:qFormat/>
    <w:uiPriority w:val="99"/>
    <w:pPr>
      <w:keepNext/>
      <w:keepLines/>
      <w:spacing w:line="0" w:lineRule="atLeast"/>
      <w:ind w:firstLine="720" w:firstLineChars="200"/>
      <w:outlineLvl w:val="0"/>
    </w:pPr>
    <w:rPr>
      <w:rFonts w:ascii="黑体" w:hAnsi="黑体" w:eastAsia="黑体" w:cs="Times New Roman"/>
      <w:bCs/>
      <w:kern w:val="44"/>
      <w:sz w:val="36"/>
      <w:szCs w:val="36"/>
    </w:rPr>
  </w:style>
  <w:style w:type="paragraph" w:styleId="3">
    <w:name w:val="heading 2"/>
    <w:basedOn w:val="1"/>
    <w:next w:val="1"/>
    <w:link w:val="60"/>
    <w:qFormat/>
    <w:uiPriority w:val="0"/>
    <w:pPr>
      <w:keepNext/>
      <w:keepLines/>
      <w:spacing w:before="260" w:after="260" w:line="416" w:lineRule="auto"/>
      <w:outlineLvl w:val="1"/>
    </w:pPr>
    <w:rPr>
      <w:rFonts w:ascii="Arial" w:hAnsi="Arial" w:eastAsia="黑体" w:cs="Times New Roman"/>
      <w:b/>
      <w:bCs/>
      <w:sz w:val="32"/>
      <w:szCs w:val="32"/>
    </w:rPr>
  </w:style>
  <w:style w:type="paragraph" w:styleId="4">
    <w:name w:val="heading 3"/>
    <w:basedOn w:val="1"/>
    <w:next w:val="5"/>
    <w:link w:val="61"/>
    <w:qFormat/>
    <w:uiPriority w:val="0"/>
    <w:pPr>
      <w:keepNext/>
      <w:keepLines/>
      <w:spacing w:before="1000" w:after="400"/>
      <w:jc w:val="center"/>
      <w:outlineLvl w:val="2"/>
    </w:pPr>
    <w:rPr>
      <w:rFonts w:ascii="文鼎小标宋简" w:hAnsi="Times New Roman" w:eastAsia="文鼎小标宋简" w:cs="Times New Roman"/>
      <w:sz w:val="44"/>
      <w:szCs w:val="20"/>
    </w:rPr>
  </w:style>
  <w:style w:type="paragraph" w:styleId="6">
    <w:name w:val="heading 4"/>
    <w:basedOn w:val="1"/>
    <w:next w:val="1"/>
    <w:link w:val="62"/>
    <w:qFormat/>
    <w:uiPriority w:val="0"/>
    <w:pPr>
      <w:tabs>
        <w:tab w:val="left" w:pos="1134"/>
      </w:tabs>
      <w:spacing w:before="120" w:line="360" w:lineRule="auto"/>
      <w:ind w:left="1134" w:hanging="1134" w:firstLineChars="200"/>
      <w:outlineLvl w:val="3"/>
    </w:pPr>
    <w:rPr>
      <w:rFonts w:ascii="宋体" w:hAnsi="宋体" w:eastAsia="仿宋_GB2312" w:cs="Times New Roman"/>
      <w:sz w:val="24"/>
      <w:szCs w:val="28"/>
    </w:rPr>
  </w:style>
  <w:style w:type="paragraph" w:styleId="7">
    <w:name w:val="heading 5"/>
    <w:basedOn w:val="1"/>
    <w:next w:val="1"/>
    <w:link w:val="63"/>
    <w:qFormat/>
    <w:uiPriority w:val="0"/>
    <w:pPr>
      <w:keepNext/>
      <w:keepLines/>
      <w:spacing w:before="280" w:after="290" w:line="376" w:lineRule="auto"/>
      <w:outlineLvl w:val="4"/>
    </w:pPr>
    <w:rPr>
      <w:rFonts w:ascii="Times New Roman" w:hAnsi="Times New Roman" w:eastAsia="宋体" w:cs="Times New Roman"/>
      <w:sz w:val="18"/>
      <w:szCs w:val="18"/>
    </w:rPr>
  </w:style>
  <w:style w:type="paragraph" w:styleId="8">
    <w:name w:val="heading 9"/>
    <w:basedOn w:val="1"/>
    <w:next w:val="1"/>
    <w:link w:val="64"/>
    <w:qFormat/>
    <w:uiPriority w:val="99"/>
    <w:pPr>
      <w:keepNext/>
      <w:keepLines/>
      <w:spacing w:before="240" w:after="64" w:line="320" w:lineRule="auto"/>
      <w:outlineLvl w:val="8"/>
    </w:pPr>
    <w:rPr>
      <w:rFonts w:ascii="仿宋_GB2312" w:hAnsi="Times New Roman" w:eastAsia="仿宋_GB2312" w:cs="Times New Roman"/>
      <w:sz w:val="30"/>
      <w:szCs w:val="24"/>
    </w:rPr>
  </w:style>
  <w:style w:type="character" w:default="1" w:styleId="49">
    <w:name w:val="Default Paragraph Font"/>
    <w:semiHidden/>
    <w:unhideWhenUsed/>
    <w:qFormat/>
    <w:uiPriority w:val="1"/>
  </w:style>
  <w:style w:type="table" w:default="1" w:styleId="47">
    <w:name w:val="Normal Table"/>
    <w:semiHidden/>
    <w:unhideWhenUsed/>
    <w:qFormat/>
    <w:uiPriority w:val="99"/>
    <w:tblPr>
      <w:tblCellMar>
        <w:top w:w="0" w:type="dxa"/>
        <w:left w:w="108" w:type="dxa"/>
        <w:bottom w:w="0" w:type="dxa"/>
        <w:right w:w="108" w:type="dxa"/>
      </w:tblCellMar>
    </w:tblPr>
  </w:style>
  <w:style w:type="paragraph" w:styleId="5">
    <w:name w:val="Normal Indent"/>
    <w:basedOn w:val="1"/>
    <w:qFormat/>
    <w:uiPriority w:val="99"/>
    <w:pPr>
      <w:ind w:firstLine="420" w:firstLineChars="200"/>
    </w:pPr>
    <w:rPr>
      <w:rFonts w:ascii="Calibri" w:hAnsi="Calibri" w:eastAsia="宋体" w:cs="Times New Roman"/>
    </w:rPr>
  </w:style>
  <w:style w:type="paragraph" w:styleId="9">
    <w:name w:val="toc 7"/>
    <w:basedOn w:val="1"/>
    <w:next w:val="1"/>
    <w:qFormat/>
    <w:uiPriority w:val="99"/>
    <w:pPr>
      <w:ind w:left="1260"/>
      <w:jc w:val="left"/>
    </w:pPr>
    <w:rPr>
      <w:rFonts w:ascii="Times New Roman" w:hAnsi="Times New Roman" w:eastAsia="宋体" w:cs="Times New Roman"/>
      <w:sz w:val="20"/>
      <w:szCs w:val="20"/>
    </w:rPr>
  </w:style>
  <w:style w:type="paragraph" w:styleId="10">
    <w:name w:val="caption"/>
    <w:basedOn w:val="1"/>
    <w:next w:val="1"/>
    <w:qFormat/>
    <w:uiPriority w:val="99"/>
    <w:rPr>
      <w:rFonts w:ascii="Arial" w:hAnsi="Arial" w:eastAsia="黑体" w:cs="Arial"/>
      <w:sz w:val="20"/>
      <w:szCs w:val="20"/>
    </w:rPr>
  </w:style>
  <w:style w:type="paragraph" w:styleId="11">
    <w:name w:val="List Bullet"/>
    <w:basedOn w:val="1"/>
    <w:qFormat/>
    <w:uiPriority w:val="99"/>
    <w:pPr>
      <w:numPr>
        <w:ilvl w:val="0"/>
        <w:numId w:val="1"/>
      </w:numPr>
    </w:pPr>
    <w:rPr>
      <w:rFonts w:ascii="Times New Roman" w:hAnsi="Times New Roman" w:eastAsia="宋体" w:cs="Times New Roman"/>
      <w:szCs w:val="24"/>
    </w:rPr>
  </w:style>
  <w:style w:type="paragraph" w:styleId="12">
    <w:name w:val="Document Map"/>
    <w:basedOn w:val="1"/>
    <w:link w:val="185"/>
    <w:semiHidden/>
    <w:qFormat/>
    <w:uiPriority w:val="99"/>
    <w:pPr>
      <w:shd w:val="clear" w:color="auto" w:fill="000080"/>
      <w:suppressAutoHyphens/>
    </w:pPr>
    <w:rPr>
      <w:rFonts w:ascii="Times New Roman" w:hAnsi="Times New Roman" w:eastAsia="宋体" w:cs="Times New Roman"/>
      <w:kern w:val="1"/>
      <w:szCs w:val="24"/>
      <w:lang w:eastAsia="ar-SA"/>
    </w:rPr>
  </w:style>
  <w:style w:type="paragraph" w:styleId="13">
    <w:name w:val="annotation text"/>
    <w:basedOn w:val="1"/>
    <w:link w:val="85"/>
    <w:semiHidden/>
    <w:qFormat/>
    <w:uiPriority w:val="99"/>
    <w:pPr>
      <w:jc w:val="left"/>
    </w:pPr>
    <w:rPr>
      <w:rFonts w:ascii="Times New Roman" w:hAnsi="Times New Roman" w:eastAsia="宋体" w:cs="Times New Roman"/>
      <w:szCs w:val="24"/>
    </w:rPr>
  </w:style>
  <w:style w:type="paragraph" w:styleId="14">
    <w:name w:val="Salutation"/>
    <w:basedOn w:val="1"/>
    <w:next w:val="1"/>
    <w:link w:val="197"/>
    <w:qFormat/>
    <w:uiPriority w:val="99"/>
    <w:rPr>
      <w:rFonts w:ascii="仿宋_GB2312" w:hAnsi="宋体" w:eastAsia="仿宋_GB2312" w:cs="Times New Roman"/>
      <w:color w:val="000000"/>
      <w:sz w:val="32"/>
      <w:szCs w:val="20"/>
    </w:rPr>
  </w:style>
  <w:style w:type="paragraph" w:styleId="15">
    <w:name w:val="Body Text 3"/>
    <w:basedOn w:val="1"/>
    <w:link w:val="138"/>
    <w:qFormat/>
    <w:uiPriority w:val="99"/>
    <w:pPr>
      <w:suppressAutoHyphens/>
      <w:spacing w:after="120"/>
    </w:pPr>
    <w:rPr>
      <w:rFonts w:ascii="Times New Roman" w:hAnsi="Times New Roman" w:eastAsia="宋体" w:cs="Times New Roman"/>
      <w:kern w:val="1"/>
      <w:sz w:val="16"/>
      <w:szCs w:val="16"/>
      <w:lang w:eastAsia="ar-SA"/>
    </w:rPr>
  </w:style>
  <w:style w:type="paragraph" w:styleId="16">
    <w:name w:val="Closing"/>
    <w:basedOn w:val="1"/>
    <w:link w:val="198"/>
    <w:qFormat/>
    <w:uiPriority w:val="99"/>
    <w:pPr>
      <w:ind w:left="100" w:leftChars="2100"/>
    </w:pPr>
    <w:rPr>
      <w:rFonts w:ascii="仿宋_GB2312" w:hAnsi="宋体" w:eastAsia="仿宋_GB2312" w:cs="Times New Roman"/>
      <w:color w:val="000000"/>
      <w:sz w:val="32"/>
      <w:szCs w:val="20"/>
    </w:rPr>
  </w:style>
  <w:style w:type="paragraph" w:styleId="17">
    <w:name w:val="Body Text"/>
    <w:basedOn w:val="1"/>
    <w:link w:val="93"/>
    <w:qFormat/>
    <w:uiPriority w:val="99"/>
    <w:pPr>
      <w:spacing w:after="120"/>
    </w:pPr>
    <w:rPr>
      <w:rFonts w:ascii="Times New Roman" w:hAnsi="Times New Roman" w:eastAsia="宋体" w:cs="Times New Roman"/>
      <w:szCs w:val="20"/>
    </w:rPr>
  </w:style>
  <w:style w:type="paragraph" w:styleId="18">
    <w:name w:val="Body Text Indent"/>
    <w:basedOn w:val="1"/>
    <w:link w:val="80"/>
    <w:qFormat/>
    <w:uiPriority w:val="0"/>
    <w:pPr>
      <w:ind w:firstLine="640"/>
    </w:pPr>
    <w:rPr>
      <w:rFonts w:eastAsia="仿宋_GB2312"/>
      <w:sz w:val="32"/>
    </w:rPr>
  </w:style>
  <w:style w:type="paragraph" w:styleId="19">
    <w:name w:val="List 2"/>
    <w:basedOn w:val="1"/>
    <w:qFormat/>
    <w:uiPriority w:val="99"/>
    <w:pPr>
      <w:suppressAutoHyphens/>
      <w:ind w:left="100" w:leftChars="200" w:hanging="200" w:hangingChars="200"/>
    </w:pPr>
    <w:rPr>
      <w:rFonts w:ascii="Times New Roman" w:hAnsi="Times New Roman" w:eastAsia="宋体" w:cs="Times New Roman"/>
      <w:kern w:val="1"/>
      <w:szCs w:val="24"/>
      <w:lang w:eastAsia="ar-SA"/>
    </w:rPr>
  </w:style>
  <w:style w:type="paragraph" w:styleId="20">
    <w:name w:val="Block Text"/>
    <w:basedOn w:val="1"/>
    <w:qFormat/>
    <w:uiPriority w:val="99"/>
    <w:pPr>
      <w:autoSpaceDE w:val="0"/>
      <w:autoSpaceDN w:val="0"/>
      <w:adjustRightInd w:val="0"/>
      <w:ind w:left="-109" w:right="-94"/>
    </w:pPr>
    <w:rPr>
      <w:rFonts w:ascii="仿宋_GB2312" w:hAnsi="Times New Roman" w:eastAsia="仿宋_GB2312" w:cs="Times New Roman"/>
      <w:sz w:val="24"/>
      <w:szCs w:val="24"/>
    </w:rPr>
  </w:style>
  <w:style w:type="paragraph" w:styleId="21">
    <w:name w:val="HTML Address"/>
    <w:basedOn w:val="1"/>
    <w:link w:val="297"/>
    <w:unhideWhenUsed/>
    <w:qFormat/>
    <w:uiPriority w:val="0"/>
    <w:pPr>
      <w:widowControl/>
      <w:jc w:val="left"/>
    </w:pPr>
    <w:rPr>
      <w:rFonts w:ascii="宋体" w:hAnsi="宋体" w:eastAsia="宋体" w:cs="宋体"/>
      <w:i/>
      <w:iCs/>
      <w:kern w:val="0"/>
      <w:sz w:val="24"/>
      <w:szCs w:val="24"/>
    </w:rPr>
  </w:style>
  <w:style w:type="paragraph" w:styleId="22">
    <w:name w:val="toc 5"/>
    <w:basedOn w:val="1"/>
    <w:next w:val="1"/>
    <w:qFormat/>
    <w:uiPriority w:val="99"/>
    <w:pPr>
      <w:ind w:left="840"/>
      <w:jc w:val="left"/>
    </w:pPr>
    <w:rPr>
      <w:rFonts w:ascii="Times New Roman" w:hAnsi="Times New Roman" w:eastAsia="宋体" w:cs="Times New Roman"/>
      <w:sz w:val="20"/>
      <w:szCs w:val="20"/>
    </w:rPr>
  </w:style>
  <w:style w:type="paragraph" w:styleId="23">
    <w:name w:val="toc 3"/>
    <w:basedOn w:val="1"/>
    <w:next w:val="1"/>
    <w:qFormat/>
    <w:uiPriority w:val="99"/>
    <w:pPr>
      <w:ind w:left="420"/>
      <w:jc w:val="left"/>
    </w:pPr>
    <w:rPr>
      <w:rFonts w:ascii="Times New Roman" w:hAnsi="Times New Roman" w:eastAsia="宋体" w:cs="Times New Roman"/>
      <w:sz w:val="28"/>
      <w:szCs w:val="20"/>
    </w:rPr>
  </w:style>
  <w:style w:type="paragraph" w:styleId="24">
    <w:name w:val="Plain Text"/>
    <w:basedOn w:val="1"/>
    <w:link w:val="73"/>
    <w:qFormat/>
    <w:uiPriority w:val="99"/>
    <w:rPr>
      <w:rFonts w:ascii="宋体" w:hAnsi="Courier New" w:eastAsia="宋体" w:cs="Times New Roman"/>
      <w:szCs w:val="20"/>
    </w:rPr>
  </w:style>
  <w:style w:type="paragraph" w:styleId="25">
    <w:name w:val="toc 8"/>
    <w:basedOn w:val="1"/>
    <w:next w:val="1"/>
    <w:qFormat/>
    <w:uiPriority w:val="99"/>
    <w:pPr>
      <w:ind w:left="1470"/>
      <w:jc w:val="left"/>
    </w:pPr>
    <w:rPr>
      <w:rFonts w:ascii="Times New Roman" w:hAnsi="Times New Roman" w:eastAsia="宋体" w:cs="Times New Roman"/>
      <w:sz w:val="20"/>
      <w:szCs w:val="20"/>
    </w:rPr>
  </w:style>
  <w:style w:type="paragraph" w:styleId="26">
    <w:name w:val="Date"/>
    <w:basedOn w:val="1"/>
    <w:next w:val="1"/>
    <w:link w:val="72"/>
    <w:qFormat/>
    <w:uiPriority w:val="99"/>
    <w:pPr>
      <w:ind w:left="100" w:leftChars="2500"/>
    </w:pPr>
    <w:rPr>
      <w:rFonts w:ascii="Calibri" w:hAnsi="Calibri" w:eastAsia="宋体" w:cs="Times New Roman"/>
    </w:rPr>
  </w:style>
  <w:style w:type="paragraph" w:styleId="27">
    <w:name w:val="Body Text Indent 2"/>
    <w:basedOn w:val="1"/>
    <w:link w:val="88"/>
    <w:qFormat/>
    <w:uiPriority w:val="99"/>
    <w:pPr>
      <w:spacing w:after="120" w:line="480" w:lineRule="auto"/>
      <w:ind w:left="420" w:leftChars="200"/>
    </w:pPr>
    <w:rPr>
      <w:rFonts w:ascii="Calibri" w:hAnsi="Calibri" w:eastAsia="宋体" w:cs="Times New Roman"/>
    </w:rPr>
  </w:style>
  <w:style w:type="paragraph" w:styleId="28">
    <w:name w:val="endnote text"/>
    <w:basedOn w:val="1"/>
    <w:link w:val="561"/>
    <w:semiHidden/>
    <w:unhideWhenUsed/>
    <w:qFormat/>
    <w:uiPriority w:val="99"/>
    <w:pPr>
      <w:snapToGrid w:val="0"/>
      <w:jc w:val="left"/>
    </w:pPr>
  </w:style>
  <w:style w:type="paragraph" w:styleId="29">
    <w:name w:val="Balloon Text"/>
    <w:basedOn w:val="1"/>
    <w:link w:val="68"/>
    <w:semiHidden/>
    <w:qFormat/>
    <w:uiPriority w:val="99"/>
    <w:rPr>
      <w:rFonts w:ascii="Calibri" w:hAnsi="Calibri" w:eastAsia="宋体" w:cs="Times New Roman"/>
      <w:sz w:val="18"/>
      <w:szCs w:val="18"/>
    </w:rPr>
  </w:style>
  <w:style w:type="paragraph" w:styleId="30">
    <w:name w:val="footer"/>
    <w:basedOn w:val="1"/>
    <w:link w:val="70"/>
    <w:unhideWhenUsed/>
    <w:qFormat/>
    <w:uiPriority w:val="99"/>
    <w:pPr>
      <w:tabs>
        <w:tab w:val="center" w:pos="4153"/>
        <w:tab w:val="right" w:pos="8306"/>
      </w:tabs>
      <w:snapToGrid w:val="0"/>
      <w:jc w:val="left"/>
    </w:pPr>
    <w:rPr>
      <w:rFonts w:ascii="Calibri" w:hAnsi="Calibri" w:eastAsia="宋体" w:cs="Times New Roman"/>
      <w:sz w:val="18"/>
      <w:szCs w:val="18"/>
    </w:rPr>
  </w:style>
  <w:style w:type="paragraph" w:styleId="31">
    <w:name w:val="header"/>
    <w:basedOn w:val="1"/>
    <w:link w:val="69"/>
    <w:unhideWhenUsed/>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rPr>
  </w:style>
  <w:style w:type="paragraph" w:styleId="32">
    <w:name w:val="toc 1"/>
    <w:basedOn w:val="1"/>
    <w:next w:val="1"/>
    <w:qFormat/>
    <w:uiPriority w:val="39"/>
    <w:pPr>
      <w:spacing w:line="580" w:lineRule="exact"/>
      <w:jc w:val="left"/>
    </w:pPr>
    <w:rPr>
      <w:rFonts w:ascii="仿宋_GB2312" w:hAnsi="宋体" w:eastAsia="仿宋_GB2312" w:cs="Times New Roman"/>
      <w:bCs/>
      <w:caps/>
      <w:sz w:val="32"/>
      <w:szCs w:val="32"/>
    </w:rPr>
  </w:style>
  <w:style w:type="paragraph" w:styleId="33">
    <w:name w:val="toc 4"/>
    <w:basedOn w:val="1"/>
    <w:next w:val="1"/>
    <w:qFormat/>
    <w:uiPriority w:val="99"/>
    <w:pPr>
      <w:ind w:left="630"/>
      <w:jc w:val="left"/>
    </w:pPr>
    <w:rPr>
      <w:rFonts w:ascii="Times New Roman" w:hAnsi="Times New Roman" w:eastAsia="宋体" w:cs="Times New Roman"/>
      <w:sz w:val="20"/>
      <w:szCs w:val="20"/>
    </w:rPr>
  </w:style>
  <w:style w:type="paragraph" w:styleId="34">
    <w:name w:val="Subtitle"/>
    <w:basedOn w:val="1"/>
    <w:next w:val="1"/>
    <w:link w:val="308"/>
    <w:qFormat/>
    <w:uiPriority w:val="0"/>
    <w:pPr>
      <w:spacing w:before="120" w:after="120" w:line="360" w:lineRule="auto"/>
      <w:ind w:firstLine="200" w:firstLineChars="200"/>
      <w:jc w:val="left"/>
      <w:outlineLvl w:val="1"/>
    </w:pPr>
    <w:rPr>
      <w:rFonts w:ascii="Cambria" w:hAnsi="Cambria" w:eastAsia="仿宋" w:cs="Times New Roman"/>
      <w:bCs/>
      <w:kern w:val="28"/>
      <w:sz w:val="32"/>
      <w:szCs w:val="32"/>
      <w:lang w:val="zh-CN" w:eastAsia="zh-CN"/>
    </w:rPr>
  </w:style>
  <w:style w:type="paragraph" w:styleId="35">
    <w:name w:val="List"/>
    <w:basedOn w:val="17"/>
    <w:qFormat/>
    <w:uiPriority w:val="99"/>
    <w:pPr>
      <w:suppressAutoHyphens/>
      <w:ind w:firstLine="420"/>
    </w:pPr>
    <w:rPr>
      <w:rFonts w:cs="Tahoma"/>
      <w:kern w:val="1"/>
      <w:szCs w:val="21"/>
      <w:lang w:eastAsia="ar-SA"/>
    </w:rPr>
  </w:style>
  <w:style w:type="paragraph" w:styleId="36">
    <w:name w:val="footnote text"/>
    <w:basedOn w:val="1"/>
    <w:link w:val="300"/>
    <w:semiHidden/>
    <w:qFormat/>
    <w:uiPriority w:val="99"/>
    <w:pPr>
      <w:snapToGrid w:val="0"/>
      <w:jc w:val="left"/>
    </w:pPr>
    <w:rPr>
      <w:rFonts w:ascii="Times New Roman" w:hAnsi="Times New Roman" w:eastAsia="宋体" w:cs="Times New Roman"/>
      <w:sz w:val="18"/>
      <w:szCs w:val="18"/>
    </w:rPr>
  </w:style>
  <w:style w:type="paragraph" w:styleId="37">
    <w:name w:val="toc 6"/>
    <w:basedOn w:val="1"/>
    <w:next w:val="1"/>
    <w:qFormat/>
    <w:uiPriority w:val="99"/>
    <w:pPr>
      <w:ind w:left="1050"/>
      <w:jc w:val="left"/>
    </w:pPr>
    <w:rPr>
      <w:rFonts w:ascii="Times New Roman" w:hAnsi="Times New Roman" w:eastAsia="宋体" w:cs="Times New Roman"/>
      <w:sz w:val="20"/>
      <w:szCs w:val="20"/>
    </w:rPr>
  </w:style>
  <w:style w:type="paragraph" w:styleId="38">
    <w:name w:val="Body Text Indent 3"/>
    <w:basedOn w:val="1"/>
    <w:link w:val="101"/>
    <w:qFormat/>
    <w:uiPriority w:val="99"/>
    <w:pPr>
      <w:ind w:firstLine="1080"/>
      <w:jc w:val="center"/>
    </w:pPr>
    <w:rPr>
      <w:rFonts w:ascii="Times New Roman" w:hAnsi="Times New Roman" w:eastAsia="黑体" w:cs="Times New Roman"/>
      <w:sz w:val="36"/>
      <w:szCs w:val="20"/>
    </w:rPr>
  </w:style>
  <w:style w:type="paragraph" w:styleId="39">
    <w:name w:val="toc 2"/>
    <w:basedOn w:val="1"/>
    <w:next w:val="1"/>
    <w:qFormat/>
    <w:uiPriority w:val="99"/>
    <w:pPr>
      <w:tabs>
        <w:tab w:val="right" w:leader="dot" w:pos="8296"/>
      </w:tabs>
      <w:spacing w:before="120"/>
      <w:ind w:left="210"/>
      <w:jc w:val="left"/>
    </w:pPr>
    <w:rPr>
      <w:rFonts w:ascii="宋体" w:hAnsi="宋体" w:eastAsia="楷体_GB2312" w:cs="Times New Roman"/>
      <w:bCs/>
      <w:sz w:val="28"/>
    </w:rPr>
  </w:style>
  <w:style w:type="paragraph" w:styleId="40">
    <w:name w:val="toc 9"/>
    <w:basedOn w:val="1"/>
    <w:next w:val="1"/>
    <w:qFormat/>
    <w:uiPriority w:val="99"/>
    <w:pPr>
      <w:ind w:left="1680"/>
      <w:jc w:val="left"/>
    </w:pPr>
    <w:rPr>
      <w:rFonts w:ascii="Times New Roman" w:hAnsi="Times New Roman" w:eastAsia="宋体" w:cs="Times New Roman"/>
      <w:sz w:val="20"/>
      <w:szCs w:val="20"/>
    </w:rPr>
  </w:style>
  <w:style w:type="paragraph" w:styleId="41">
    <w:name w:val="Body Text 2"/>
    <w:basedOn w:val="1"/>
    <w:link w:val="97"/>
    <w:qFormat/>
    <w:uiPriority w:val="99"/>
    <w:pPr>
      <w:spacing w:line="380" w:lineRule="exact"/>
      <w:jc w:val="center"/>
    </w:pPr>
    <w:rPr>
      <w:rFonts w:ascii="仿宋_GB2312" w:hAnsi="Times New Roman" w:eastAsia="仿宋_GB2312" w:cs="Times New Roman"/>
      <w:sz w:val="24"/>
      <w:szCs w:val="24"/>
    </w:rPr>
  </w:style>
  <w:style w:type="paragraph" w:styleId="42">
    <w:name w:val="HTML Preformatted"/>
    <w:basedOn w:val="1"/>
    <w:link w:val="208"/>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eastAsia="宋体" w:cs="宋体"/>
      <w:kern w:val="0"/>
      <w:sz w:val="24"/>
      <w:szCs w:val="24"/>
    </w:rPr>
  </w:style>
  <w:style w:type="paragraph" w:styleId="43">
    <w:name w:val="Normal (Web)"/>
    <w:basedOn w:val="1"/>
    <w:link w:val="74"/>
    <w:qFormat/>
    <w:uiPriority w:val="99"/>
    <w:pPr>
      <w:widowControl/>
      <w:spacing w:before="100" w:beforeAutospacing="1" w:after="100" w:afterAutospacing="1"/>
      <w:jc w:val="left"/>
    </w:pPr>
    <w:rPr>
      <w:rFonts w:ascii="Times New Roman" w:hAnsi="Times New Roman" w:eastAsia="宋体" w:cs="Times New Roman"/>
      <w:kern w:val="0"/>
      <w:sz w:val="24"/>
      <w:szCs w:val="24"/>
    </w:rPr>
  </w:style>
  <w:style w:type="paragraph" w:styleId="44">
    <w:name w:val="Title"/>
    <w:basedOn w:val="1"/>
    <w:link w:val="180"/>
    <w:qFormat/>
    <w:uiPriority w:val="99"/>
    <w:pPr>
      <w:spacing w:line="580" w:lineRule="exact"/>
      <w:jc w:val="center"/>
      <w:outlineLvl w:val="0"/>
    </w:pPr>
    <w:rPr>
      <w:rFonts w:ascii="Arial" w:hAnsi="Arial" w:eastAsia="隶书" w:cs="Arial"/>
      <w:b/>
      <w:bCs/>
      <w:sz w:val="44"/>
      <w:szCs w:val="32"/>
    </w:rPr>
  </w:style>
  <w:style w:type="paragraph" w:styleId="45">
    <w:name w:val="annotation subject"/>
    <w:basedOn w:val="13"/>
    <w:next w:val="13"/>
    <w:link w:val="108"/>
    <w:semiHidden/>
    <w:unhideWhenUsed/>
    <w:qFormat/>
    <w:uiPriority w:val="99"/>
    <w:rPr>
      <w:rFonts w:asciiTheme="minorHAnsi" w:hAnsiTheme="minorHAnsi" w:cstheme="minorBidi"/>
      <w:kern w:val="1"/>
      <w:sz w:val="18"/>
      <w:szCs w:val="18"/>
      <w:lang w:eastAsia="ar-SA"/>
    </w:rPr>
  </w:style>
  <w:style w:type="paragraph" w:styleId="46">
    <w:name w:val="Body Text First Indent"/>
    <w:basedOn w:val="17"/>
    <w:link w:val="253"/>
    <w:qFormat/>
    <w:uiPriority w:val="99"/>
    <w:pPr>
      <w:suppressAutoHyphens/>
      <w:ind w:firstLine="420" w:firstLineChars="100"/>
    </w:pPr>
    <w:rPr>
      <w:kern w:val="1"/>
      <w:szCs w:val="24"/>
      <w:lang w:eastAsia="ar-SA"/>
    </w:rPr>
  </w:style>
  <w:style w:type="table" w:styleId="48">
    <w:name w:val="Table Grid"/>
    <w:basedOn w:val="47"/>
    <w:qFormat/>
    <w:uiPriority w:val="59"/>
    <w:pPr>
      <w:widowControl w:val="0"/>
      <w:jc w:val="both"/>
    </w:pPr>
    <w:rPr>
      <w:rFonts w:ascii="Times New Roman" w:hAnsi="Times New Roman" w:eastAsia="宋体" w:cs="Times New Roman"/>
      <w:kern w:val="0"/>
      <w:sz w:val="20"/>
      <w:szCs w:val="20"/>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50">
    <w:name w:val="Strong"/>
    <w:qFormat/>
    <w:uiPriority w:val="0"/>
    <w:rPr>
      <w:b/>
      <w:bCs/>
    </w:rPr>
  </w:style>
  <w:style w:type="character" w:styleId="51">
    <w:name w:val="endnote reference"/>
    <w:basedOn w:val="49"/>
    <w:semiHidden/>
    <w:unhideWhenUsed/>
    <w:qFormat/>
    <w:uiPriority w:val="99"/>
    <w:rPr>
      <w:vertAlign w:val="superscript"/>
    </w:rPr>
  </w:style>
  <w:style w:type="character" w:styleId="52">
    <w:name w:val="page number"/>
    <w:basedOn w:val="49"/>
    <w:qFormat/>
    <w:uiPriority w:val="0"/>
  </w:style>
  <w:style w:type="character" w:styleId="53">
    <w:name w:val="FollowedHyperlink"/>
    <w:qFormat/>
    <w:uiPriority w:val="99"/>
    <w:rPr>
      <w:rFonts w:eastAsia="宋体"/>
      <w:color w:val="800080"/>
      <w:kern w:val="36"/>
      <w:sz w:val="36"/>
      <w:szCs w:val="24"/>
      <w:u w:val="single"/>
      <w:lang w:val="en-US" w:eastAsia="zh-CN" w:bidi="ar-SA"/>
    </w:rPr>
  </w:style>
  <w:style w:type="character" w:styleId="54">
    <w:name w:val="Emphasis"/>
    <w:qFormat/>
    <w:uiPriority w:val="0"/>
    <w:rPr>
      <w:rFonts w:eastAsia="宋体"/>
      <w:i/>
      <w:iCs/>
      <w:kern w:val="36"/>
      <w:sz w:val="36"/>
      <w:szCs w:val="24"/>
      <w:lang w:val="en-US" w:eastAsia="zh-CN" w:bidi="ar-SA"/>
    </w:rPr>
  </w:style>
  <w:style w:type="character" w:styleId="55">
    <w:name w:val="HTML Typewriter"/>
    <w:qFormat/>
    <w:uiPriority w:val="0"/>
    <w:rPr>
      <w:rFonts w:ascii="黑体" w:hAnsi="Courier New" w:eastAsia="黑体" w:cs="Courier New"/>
      <w:sz w:val="20"/>
      <w:szCs w:val="20"/>
    </w:rPr>
  </w:style>
  <w:style w:type="character" w:styleId="56">
    <w:name w:val="Hyperlink"/>
    <w:qFormat/>
    <w:uiPriority w:val="99"/>
    <w:rPr>
      <w:color w:val="0000FF"/>
      <w:u w:val="single"/>
    </w:rPr>
  </w:style>
  <w:style w:type="character" w:styleId="57">
    <w:name w:val="annotation reference"/>
    <w:semiHidden/>
    <w:qFormat/>
    <w:uiPriority w:val="0"/>
    <w:rPr>
      <w:sz w:val="21"/>
      <w:szCs w:val="21"/>
    </w:rPr>
  </w:style>
  <w:style w:type="character" w:styleId="58">
    <w:name w:val="footnote reference"/>
    <w:semiHidden/>
    <w:qFormat/>
    <w:uiPriority w:val="0"/>
    <w:rPr>
      <w:vertAlign w:val="superscript"/>
    </w:rPr>
  </w:style>
  <w:style w:type="character" w:customStyle="1" w:styleId="59">
    <w:name w:val="标题 1 Char"/>
    <w:basedOn w:val="49"/>
    <w:link w:val="2"/>
    <w:qFormat/>
    <w:uiPriority w:val="99"/>
    <w:rPr>
      <w:rFonts w:ascii="黑体" w:hAnsi="黑体" w:eastAsia="黑体" w:cs="Times New Roman"/>
      <w:bCs/>
      <w:kern w:val="44"/>
      <w:sz w:val="36"/>
      <w:szCs w:val="36"/>
    </w:rPr>
  </w:style>
  <w:style w:type="character" w:customStyle="1" w:styleId="60">
    <w:name w:val="标题 2 Char1"/>
    <w:link w:val="3"/>
    <w:qFormat/>
    <w:uiPriority w:val="0"/>
    <w:rPr>
      <w:rFonts w:ascii="Arial" w:hAnsi="Arial" w:eastAsia="黑体" w:cs="Times New Roman"/>
      <w:b/>
      <w:bCs/>
      <w:sz w:val="32"/>
      <w:szCs w:val="32"/>
    </w:rPr>
  </w:style>
  <w:style w:type="character" w:customStyle="1" w:styleId="61">
    <w:name w:val="标题 3 Char1"/>
    <w:link w:val="4"/>
    <w:qFormat/>
    <w:uiPriority w:val="0"/>
    <w:rPr>
      <w:rFonts w:ascii="文鼎小标宋简" w:hAnsi="Times New Roman" w:eastAsia="文鼎小标宋简" w:cs="Times New Roman"/>
      <w:sz w:val="44"/>
      <w:szCs w:val="20"/>
    </w:rPr>
  </w:style>
  <w:style w:type="character" w:customStyle="1" w:styleId="62">
    <w:name w:val="标题 4 Char"/>
    <w:basedOn w:val="49"/>
    <w:link w:val="6"/>
    <w:qFormat/>
    <w:uiPriority w:val="0"/>
    <w:rPr>
      <w:rFonts w:ascii="宋体" w:hAnsi="宋体" w:eastAsia="仿宋_GB2312" w:cs="Times New Roman"/>
      <w:sz w:val="24"/>
      <w:szCs w:val="28"/>
    </w:rPr>
  </w:style>
  <w:style w:type="character" w:customStyle="1" w:styleId="63">
    <w:name w:val="标题 5 Char"/>
    <w:basedOn w:val="49"/>
    <w:link w:val="7"/>
    <w:qFormat/>
    <w:uiPriority w:val="0"/>
    <w:rPr>
      <w:rFonts w:ascii="Times New Roman" w:hAnsi="Times New Roman" w:eastAsia="宋体" w:cs="Times New Roman"/>
      <w:sz w:val="18"/>
      <w:szCs w:val="18"/>
    </w:rPr>
  </w:style>
  <w:style w:type="character" w:customStyle="1" w:styleId="64">
    <w:name w:val="标题 9 Char"/>
    <w:basedOn w:val="49"/>
    <w:link w:val="8"/>
    <w:qFormat/>
    <w:uiPriority w:val="99"/>
    <w:rPr>
      <w:rFonts w:ascii="仿宋_GB2312" w:hAnsi="Times New Roman" w:eastAsia="仿宋_GB2312" w:cs="Times New Roman"/>
      <w:sz w:val="30"/>
      <w:szCs w:val="24"/>
    </w:rPr>
  </w:style>
  <w:style w:type="character" w:customStyle="1" w:styleId="65">
    <w:name w:val="标题 2 Char"/>
    <w:basedOn w:val="49"/>
    <w:qFormat/>
    <w:uiPriority w:val="0"/>
    <w:rPr>
      <w:rFonts w:asciiTheme="majorHAnsi" w:hAnsiTheme="majorHAnsi" w:eastAsiaTheme="majorEastAsia" w:cstheme="majorBidi"/>
      <w:b/>
      <w:bCs/>
      <w:sz w:val="32"/>
      <w:szCs w:val="32"/>
    </w:rPr>
  </w:style>
  <w:style w:type="character" w:customStyle="1" w:styleId="66">
    <w:name w:val="标题 3 Char"/>
    <w:basedOn w:val="49"/>
    <w:qFormat/>
    <w:uiPriority w:val="0"/>
    <w:rPr>
      <w:b/>
      <w:bCs/>
      <w:sz w:val="32"/>
      <w:szCs w:val="32"/>
    </w:rPr>
  </w:style>
  <w:style w:type="character" w:customStyle="1" w:styleId="67">
    <w:name w:val="font61"/>
    <w:qFormat/>
    <w:uiPriority w:val="0"/>
    <w:rPr>
      <w:rFonts w:hint="default" w:ascii="Arial" w:hAnsi="Arial" w:cs="Arial"/>
      <w:b/>
      <w:bCs/>
      <w:color w:val="FF6600"/>
      <w:sz w:val="18"/>
      <w:szCs w:val="18"/>
    </w:rPr>
  </w:style>
  <w:style w:type="character" w:customStyle="1" w:styleId="68">
    <w:name w:val="批注框文本 Char"/>
    <w:basedOn w:val="49"/>
    <w:link w:val="29"/>
    <w:semiHidden/>
    <w:qFormat/>
    <w:uiPriority w:val="99"/>
    <w:rPr>
      <w:rFonts w:ascii="Calibri" w:hAnsi="Calibri" w:eastAsia="宋体" w:cs="Times New Roman"/>
      <w:sz w:val="18"/>
      <w:szCs w:val="18"/>
    </w:rPr>
  </w:style>
  <w:style w:type="character" w:customStyle="1" w:styleId="69">
    <w:name w:val="页眉 Char"/>
    <w:basedOn w:val="49"/>
    <w:link w:val="31"/>
    <w:qFormat/>
    <w:uiPriority w:val="99"/>
    <w:rPr>
      <w:rFonts w:ascii="Calibri" w:hAnsi="Calibri" w:eastAsia="宋体" w:cs="Times New Roman"/>
      <w:sz w:val="18"/>
      <w:szCs w:val="18"/>
    </w:rPr>
  </w:style>
  <w:style w:type="character" w:customStyle="1" w:styleId="70">
    <w:name w:val="页脚 Char2"/>
    <w:link w:val="30"/>
    <w:qFormat/>
    <w:uiPriority w:val="99"/>
    <w:rPr>
      <w:rFonts w:ascii="Calibri" w:hAnsi="Calibri" w:eastAsia="宋体" w:cs="Times New Roman"/>
      <w:sz w:val="18"/>
      <w:szCs w:val="18"/>
    </w:rPr>
  </w:style>
  <w:style w:type="character" w:customStyle="1" w:styleId="71">
    <w:name w:val="页脚 Char"/>
    <w:basedOn w:val="49"/>
    <w:qFormat/>
    <w:uiPriority w:val="99"/>
    <w:rPr>
      <w:sz w:val="18"/>
      <w:szCs w:val="18"/>
    </w:rPr>
  </w:style>
  <w:style w:type="character" w:customStyle="1" w:styleId="72">
    <w:name w:val="日期 Char"/>
    <w:basedOn w:val="49"/>
    <w:link w:val="26"/>
    <w:qFormat/>
    <w:uiPriority w:val="99"/>
    <w:rPr>
      <w:rFonts w:ascii="Calibri" w:hAnsi="Calibri" w:eastAsia="宋体" w:cs="Times New Roman"/>
    </w:rPr>
  </w:style>
  <w:style w:type="character" w:customStyle="1" w:styleId="73">
    <w:name w:val="纯文本 Char"/>
    <w:basedOn w:val="49"/>
    <w:link w:val="24"/>
    <w:qFormat/>
    <w:uiPriority w:val="99"/>
    <w:rPr>
      <w:rFonts w:ascii="宋体" w:hAnsi="Courier New" w:eastAsia="宋体" w:cs="Times New Roman"/>
      <w:szCs w:val="20"/>
    </w:rPr>
  </w:style>
  <w:style w:type="character" w:customStyle="1" w:styleId="74">
    <w:name w:val="普通(网站) Char1"/>
    <w:link w:val="43"/>
    <w:qFormat/>
    <w:uiPriority w:val="99"/>
    <w:rPr>
      <w:rFonts w:ascii="Times New Roman" w:hAnsi="Times New Roman" w:eastAsia="宋体" w:cs="Times New Roman"/>
      <w:kern w:val="0"/>
      <w:sz w:val="24"/>
      <w:szCs w:val="24"/>
    </w:rPr>
  </w:style>
  <w:style w:type="paragraph" w:customStyle="1" w:styleId="75">
    <w:name w:val="Char Char Char Char"/>
    <w:basedOn w:val="1"/>
    <w:qFormat/>
    <w:uiPriority w:val="99"/>
    <w:pPr>
      <w:widowControl/>
      <w:spacing w:after="160" w:line="240" w:lineRule="exact"/>
      <w:jc w:val="left"/>
    </w:pPr>
    <w:rPr>
      <w:rFonts w:ascii="Verdana" w:hAnsi="Verdana" w:eastAsia="宋体" w:cs="Times New Roman"/>
      <w:kern w:val="0"/>
      <w:sz w:val="20"/>
      <w:szCs w:val="20"/>
      <w:lang w:eastAsia="en-US"/>
    </w:rPr>
  </w:style>
  <w:style w:type="paragraph" w:customStyle="1" w:styleId="76">
    <w:name w:val="content"/>
    <w:basedOn w:val="1"/>
    <w:qFormat/>
    <w:uiPriority w:val="99"/>
    <w:pPr>
      <w:widowControl/>
      <w:spacing w:line="300" w:lineRule="auto"/>
    </w:pPr>
    <w:rPr>
      <w:rFonts w:ascii="仿宋_GB2312" w:hAnsi="宋体" w:eastAsia="仿宋_GB2312" w:cs="Times New Roman"/>
      <w:kern w:val="0"/>
      <w:sz w:val="32"/>
      <w:szCs w:val="32"/>
    </w:rPr>
  </w:style>
  <w:style w:type="paragraph" w:customStyle="1" w:styleId="77">
    <w:name w:val="Char"/>
    <w:basedOn w:val="1"/>
    <w:qFormat/>
    <w:uiPriority w:val="99"/>
    <w:rPr>
      <w:rFonts w:ascii="Times New Roman" w:hAnsi="Times New Roman" w:eastAsia="宋体" w:cs="Times New Roman"/>
      <w:szCs w:val="24"/>
    </w:rPr>
  </w:style>
  <w:style w:type="paragraph" w:customStyle="1" w:styleId="78">
    <w:name w:val="样式1"/>
    <w:basedOn w:val="1"/>
    <w:link w:val="79"/>
    <w:qFormat/>
    <w:uiPriority w:val="0"/>
    <w:rPr>
      <w:rFonts w:ascii="Times New Roman" w:hAnsi="Times New Roman" w:eastAsia="仿宋_GB2312" w:cs="Times New Roman"/>
      <w:sz w:val="32"/>
      <w:szCs w:val="24"/>
    </w:rPr>
  </w:style>
  <w:style w:type="character" w:customStyle="1" w:styleId="79">
    <w:name w:val="样式1 Char"/>
    <w:link w:val="78"/>
    <w:qFormat/>
    <w:uiPriority w:val="0"/>
    <w:rPr>
      <w:rFonts w:ascii="Times New Roman" w:hAnsi="Times New Roman" w:eastAsia="仿宋_GB2312" w:cs="Times New Roman"/>
      <w:sz w:val="32"/>
      <w:szCs w:val="24"/>
    </w:rPr>
  </w:style>
  <w:style w:type="character" w:customStyle="1" w:styleId="80">
    <w:name w:val="正文文本缩进 Char1"/>
    <w:link w:val="18"/>
    <w:qFormat/>
    <w:uiPriority w:val="0"/>
    <w:rPr>
      <w:rFonts w:eastAsia="仿宋_GB2312"/>
      <w:sz w:val="32"/>
    </w:rPr>
  </w:style>
  <w:style w:type="character" w:customStyle="1" w:styleId="81">
    <w:name w:val="正文文本缩进 Char"/>
    <w:basedOn w:val="49"/>
    <w:qFormat/>
    <w:uiPriority w:val="0"/>
  </w:style>
  <w:style w:type="paragraph" w:customStyle="1" w:styleId="82">
    <w:name w:val="默认段落字体 Para Char Char"/>
    <w:basedOn w:val="1"/>
    <w:qFormat/>
    <w:uiPriority w:val="99"/>
    <w:rPr>
      <w:rFonts w:ascii="Times New Roman" w:hAnsi="Times New Roman" w:eastAsia="宋体" w:cs="Times New Roman"/>
      <w:szCs w:val="24"/>
    </w:rPr>
  </w:style>
  <w:style w:type="paragraph" w:customStyle="1" w:styleId="83">
    <w:name w:val="正文文本缩进 21"/>
    <w:basedOn w:val="1"/>
    <w:qFormat/>
    <w:uiPriority w:val="99"/>
    <w:pPr>
      <w:overflowPunct w:val="0"/>
      <w:autoSpaceDE w:val="0"/>
      <w:autoSpaceDN w:val="0"/>
      <w:adjustRightInd w:val="0"/>
      <w:spacing w:before="156"/>
      <w:ind w:firstLine="480"/>
      <w:textAlignment w:val="baseline"/>
    </w:pPr>
    <w:rPr>
      <w:rFonts w:ascii="Times New Roman" w:hAnsi="Times New Roman" w:eastAsia="宋体" w:cs="Times New Roman"/>
      <w:sz w:val="24"/>
      <w:szCs w:val="20"/>
    </w:rPr>
  </w:style>
  <w:style w:type="paragraph" w:customStyle="1" w:styleId="84">
    <w:name w:val="Char Char Char Char Char Char"/>
    <w:basedOn w:val="1"/>
    <w:qFormat/>
    <w:uiPriority w:val="99"/>
    <w:rPr>
      <w:rFonts w:ascii="Tahoma" w:hAnsi="Tahoma" w:eastAsia="宋体" w:cs="Tahoma"/>
      <w:sz w:val="24"/>
      <w:szCs w:val="24"/>
    </w:rPr>
  </w:style>
  <w:style w:type="character" w:customStyle="1" w:styleId="85">
    <w:name w:val="批注文字 Char"/>
    <w:basedOn w:val="49"/>
    <w:link w:val="13"/>
    <w:semiHidden/>
    <w:qFormat/>
    <w:uiPriority w:val="99"/>
    <w:rPr>
      <w:rFonts w:ascii="Times New Roman" w:hAnsi="Times New Roman" w:eastAsia="宋体" w:cs="Times New Roman"/>
      <w:szCs w:val="24"/>
    </w:rPr>
  </w:style>
  <w:style w:type="paragraph" w:customStyle="1" w:styleId="86">
    <w:name w:val="Char2"/>
    <w:basedOn w:val="1"/>
    <w:qFormat/>
    <w:uiPriority w:val="99"/>
    <w:rPr>
      <w:rFonts w:ascii="Times New Roman" w:hAnsi="Times New Roman" w:eastAsia="宋体" w:cs="Times New Roman"/>
      <w:szCs w:val="24"/>
    </w:rPr>
  </w:style>
  <w:style w:type="character" w:customStyle="1" w:styleId="87">
    <w:name w:val="apple-style-span"/>
    <w:qFormat/>
    <w:uiPriority w:val="0"/>
    <w:rPr>
      <w:rFonts w:eastAsia="宋体"/>
      <w:kern w:val="36"/>
      <w:sz w:val="36"/>
      <w:szCs w:val="24"/>
      <w:lang w:val="en-US" w:eastAsia="zh-CN" w:bidi="ar-SA"/>
    </w:rPr>
  </w:style>
  <w:style w:type="character" w:customStyle="1" w:styleId="88">
    <w:name w:val="正文文本缩进 2 Char1"/>
    <w:link w:val="27"/>
    <w:qFormat/>
    <w:uiPriority w:val="99"/>
    <w:rPr>
      <w:rFonts w:ascii="Calibri" w:hAnsi="Calibri" w:eastAsia="宋体" w:cs="Times New Roman"/>
    </w:rPr>
  </w:style>
  <w:style w:type="character" w:customStyle="1" w:styleId="89">
    <w:name w:val="正文文本缩进 2 Char"/>
    <w:basedOn w:val="49"/>
    <w:qFormat/>
    <w:uiPriority w:val="0"/>
  </w:style>
  <w:style w:type="paragraph" w:customStyle="1" w:styleId="90">
    <w:name w:val="正文表标题"/>
    <w:next w:val="91"/>
    <w:qFormat/>
    <w:uiPriority w:val="99"/>
    <w:pPr>
      <w:jc w:val="center"/>
    </w:pPr>
    <w:rPr>
      <w:rFonts w:ascii="黑体" w:hAnsi="Times New Roman" w:eastAsia="黑体" w:cs="Times New Roman"/>
      <w:kern w:val="0"/>
      <w:sz w:val="21"/>
      <w:szCs w:val="20"/>
      <w:lang w:val="en-US" w:eastAsia="zh-CN" w:bidi="ar-SA"/>
    </w:rPr>
  </w:style>
  <w:style w:type="paragraph" w:customStyle="1" w:styleId="91">
    <w:name w:val="段"/>
    <w:qFormat/>
    <w:uiPriority w:val="99"/>
    <w:pPr>
      <w:autoSpaceDE w:val="0"/>
      <w:autoSpaceDN w:val="0"/>
      <w:jc w:val="both"/>
    </w:pPr>
    <w:rPr>
      <w:rFonts w:ascii="宋体" w:hAnsi="Times New Roman" w:eastAsia="宋体" w:cs="Times New Roman"/>
      <w:kern w:val="0"/>
      <w:sz w:val="21"/>
      <w:szCs w:val="20"/>
      <w:lang w:val="en-US" w:eastAsia="zh-CN" w:bidi="ar-SA"/>
    </w:rPr>
  </w:style>
  <w:style w:type="paragraph" w:customStyle="1" w:styleId="92">
    <w:name w:val="章标题"/>
    <w:next w:val="91"/>
    <w:qFormat/>
    <w:uiPriority w:val="99"/>
    <w:pPr>
      <w:spacing w:before="50" w:after="50"/>
      <w:jc w:val="both"/>
      <w:outlineLvl w:val="1"/>
    </w:pPr>
    <w:rPr>
      <w:rFonts w:ascii="黑体" w:hAnsi="Times New Roman" w:eastAsia="黑体" w:cs="Times New Roman"/>
      <w:kern w:val="0"/>
      <w:sz w:val="21"/>
      <w:szCs w:val="20"/>
      <w:lang w:val="en-US" w:eastAsia="zh-CN" w:bidi="ar-SA"/>
    </w:rPr>
  </w:style>
  <w:style w:type="character" w:customStyle="1" w:styleId="93">
    <w:name w:val="正文文本 Char2"/>
    <w:link w:val="17"/>
    <w:qFormat/>
    <w:uiPriority w:val="99"/>
    <w:rPr>
      <w:rFonts w:ascii="Times New Roman" w:hAnsi="Times New Roman" w:eastAsia="宋体" w:cs="Times New Roman"/>
      <w:szCs w:val="20"/>
    </w:rPr>
  </w:style>
  <w:style w:type="character" w:customStyle="1" w:styleId="94">
    <w:name w:val="正文文本 Char"/>
    <w:basedOn w:val="49"/>
    <w:qFormat/>
    <w:uiPriority w:val="0"/>
  </w:style>
  <w:style w:type="paragraph" w:customStyle="1" w:styleId="95">
    <w:name w:val="封面标准文稿编辑信息"/>
    <w:qFormat/>
    <w:uiPriority w:val="99"/>
    <w:pPr>
      <w:spacing w:before="180" w:line="180" w:lineRule="exact"/>
      <w:jc w:val="center"/>
    </w:pPr>
    <w:rPr>
      <w:rFonts w:ascii="宋体" w:hAnsi="Times New Roman" w:eastAsia="宋体" w:cs="Times New Roman"/>
      <w:kern w:val="0"/>
      <w:sz w:val="21"/>
      <w:szCs w:val="20"/>
      <w:lang w:val="en-US" w:eastAsia="zh-CN" w:bidi="ar-SA"/>
    </w:rPr>
  </w:style>
  <w:style w:type="paragraph" w:customStyle="1" w:styleId="96">
    <w:name w:val="封面一致性程度标识"/>
    <w:qFormat/>
    <w:uiPriority w:val="99"/>
    <w:pPr>
      <w:spacing w:before="440" w:line="400" w:lineRule="exact"/>
      <w:jc w:val="center"/>
    </w:pPr>
    <w:rPr>
      <w:rFonts w:ascii="宋体" w:hAnsi="Times New Roman" w:eastAsia="宋体" w:cs="Times New Roman"/>
      <w:kern w:val="0"/>
      <w:sz w:val="28"/>
      <w:szCs w:val="20"/>
      <w:lang w:val="en-US" w:eastAsia="zh-CN" w:bidi="ar-SA"/>
    </w:rPr>
  </w:style>
  <w:style w:type="character" w:customStyle="1" w:styleId="97">
    <w:name w:val="正文文本 2 Char"/>
    <w:basedOn w:val="49"/>
    <w:link w:val="41"/>
    <w:qFormat/>
    <w:uiPriority w:val="99"/>
    <w:rPr>
      <w:rFonts w:ascii="仿宋_GB2312" w:hAnsi="Times New Roman" w:eastAsia="仿宋_GB2312" w:cs="Times New Roman"/>
      <w:sz w:val="24"/>
      <w:szCs w:val="24"/>
    </w:rPr>
  </w:style>
  <w:style w:type="paragraph" w:customStyle="1" w:styleId="98">
    <w:name w:val="Char1 Char Char Char"/>
    <w:basedOn w:val="1"/>
    <w:qFormat/>
    <w:uiPriority w:val="99"/>
    <w:rPr>
      <w:rFonts w:ascii="Tahoma" w:hAnsi="Tahoma" w:eastAsia="宋体" w:cs="Times New Roman"/>
      <w:sz w:val="24"/>
      <w:szCs w:val="20"/>
    </w:rPr>
  </w:style>
  <w:style w:type="paragraph" w:styleId="99">
    <w:name w:val="List Paragraph"/>
    <w:basedOn w:val="1"/>
    <w:qFormat/>
    <w:uiPriority w:val="99"/>
    <w:pPr>
      <w:ind w:firstLine="420" w:firstLineChars="200"/>
    </w:pPr>
    <w:rPr>
      <w:rFonts w:ascii="Calibri" w:hAnsi="Calibri" w:eastAsia="宋体" w:cs="Times New Roman"/>
    </w:rPr>
  </w:style>
  <w:style w:type="paragraph" w:customStyle="1" w:styleId="100">
    <w:name w:val="Char Char Char Char1"/>
    <w:basedOn w:val="1"/>
    <w:qFormat/>
    <w:uiPriority w:val="99"/>
    <w:pPr>
      <w:tabs>
        <w:tab w:val="left" w:pos="425"/>
      </w:tabs>
      <w:ind w:left="425" w:hanging="425"/>
    </w:pPr>
    <w:rPr>
      <w:rFonts w:ascii="Times New Roman" w:hAnsi="Times New Roman" w:eastAsia="仿宋_GB2312" w:cs="Times New Roman"/>
      <w:kern w:val="24"/>
      <w:sz w:val="24"/>
      <w:szCs w:val="32"/>
    </w:rPr>
  </w:style>
  <w:style w:type="character" w:customStyle="1" w:styleId="101">
    <w:name w:val="正文文本缩进 3 Char1"/>
    <w:link w:val="38"/>
    <w:qFormat/>
    <w:uiPriority w:val="99"/>
    <w:rPr>
      <w:rFonts w:ascii="Times New Roman" w:hAnsi="Times New Roman" w:eastAsia="黑体" w:cs="Times New Roman"/>
      <w:sz w:val="36"/>
      <w:szCs w:val="20"/>
    </w:rPr>
  </w:style>
  <w:style w:type="character" w:customStyle="1" w:styleId="102">
    <w:name w:val="正文文本缩进 3 Char"/>
    <w:basedOn w:val="49"/>
    <w:qFormat/>
    <w:uiPriority w:val="0"/>
    <w:rPr>
      <w:sz w:val="16"/>
      <w:szCs w:val="16"/>
    </w:rPr>
  </w:style>
  <w:style w:type="paragraph" w:customStyle="1" w:styleId="103">
    <w:name w:val="ggbody"/>
    <w:basedOn w:val="1"/>
    <w:qFormat/>
    <w:uiPriority w:val="99"/>
    <w:pPr>
      <w:widowControl/>
      <w:spacing w:before="100" w:beforeAutospacing="1" w:after="100" w:afterAutospacing="1" w:line="400" w:lineRule="atLeast"/>
      <w:jc w:val="left"/>
    </w:pPr>
    <w:rPr>
      <w:rFonts w:eastAsia="宋体" w:cs="Times New Roman"/>
      <w:color w:val="000000"/>
      <w:kern w:val="0"/>
      <w:szCs w:val="21"/>
    </w:rPr>
  </w:style>
  <w:style w:type="paragraph" w:customStyle="1" w:styleId="104">
    <w:name w:val="默认段落字体 Para Char Char Char Char Char Char Char Char Char Char"/>
    <w:basedOn w:val="1"/>
    <w:qFormat/>
    <w:uiPriority w:val="99"/>
    <w:rPr>
      <w:rFonts w:ascii="Times New Roman" w:hAnsi="Times New Roman" w:eastAsia="宋体" w:cs="Times New Roman"/>
      <w:szCs w:val="24"/>
    </w:rPr>
  </w:style>
  <w:style w:type="paragraph" w:customStyle="1" w:styleId="105">
    <w:name w:val="msonormalcxsplast"/>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06">
    <w:name w:val="Char1 Char"/>
    <w:basedOn w:val="1"/>
    <w:qFormat/>
    <w:uiPriority w:val="99"/>
    <w:rPr>
      <w:rFonts w:ascii="Times New Roman" w:hAnsi="Times New Roman" w:eastAsia="宋体" w:cs="Times New Roman"/>
      <w:sz w:val="24"/>
      <w:szCs w:val="24"/>
    </w:rPr>
  </w:style>
  <w:style w:type="paragraph" w:customStyle="1" w:styleId="107">
    <w:name w:val="Char Char Char Char Char Char Char"/>
    <w:basedOn w:val="1"/>
    <w:qFormat/>
    <w:uiPriority w:val="99"/>
    <w:rPr>
      <w:rFonts w:ascii="Times New Roman" w:hAnsi="Times New Roman" w:eastAsia="宋体" w:cs="Times New Roman"/>
      <w:szCs w:val="24"/>
    </w:rPr>
  </w:style>
  <w:style w:type="character" w:customStyle="1" w:styleId="108">
    <w:name w:val="批注主题 Char"/>
    <w:link w:val="45"/>
    <w:semiHidden/>
    <w:qFormat/>
    <w:uiPriority w:val="99"/>
    <w:rPr>
      <w:rFonts w:eastAsia="宋体"/>
      <w:kern w:val="1"/>
      <w:sz w:val="18"/>
      <w:szCs w:val="18"/>
      <w:lang w:eastAsia="ar-SA"/>
    </w:rPr>
  </w:style>
  <w:style w:type="paragraph" w:customStyle="1" w:styleId="109">
    <w:name w:val="默认段落字体 Para Char"/>
    <w:basedOn w:val="1"/>
    <w:qFormat/>
    <w:uiPriority w:val="99"/>
    <w:rPr>
      <w:rFonts w:ascii="Times New Roman" w:hAnsi="Times New Roman" w:eastAsia="宋体" w:cs="Times New Roman"/>
      <w:szCs w:val="24"/>
    </w:rPr>
  </w:style>
  <w:style w:type="character" w:customStyle="1" w:styleId="110">
    <w:name w:val="Char Char3"/>
    <w:qFormat/>
    <w:uiPriority w:val="0"/>
    <w:rPr>
      <w:rFonts w:ascii="Arial" w:hAnsi="Arial" w:eastAsia="黑体"/>
      <w:b/>
      <w:bCs/>
      <w:kern w:val="2"/>
      <w:sz w:val="32"/>
      <w:szCs w:val="32"/>
      <w:lang w:val="en-US" w:eastAsia="zh-CN" w:bidi="ar-SA"/>
    </w:rPr>
  </w:style>
  <w:style w:type="paragraph" w:customStyle="1" w:styleId="111">
    <w:name w:val="表格标题"/>
    <w:basedOn w:val="1"/>
    <w:qFormat/>
    <w:uiPriority w:val="99"/>
    <w:rPr>
      <w:rFonts w:ascii="Times New Roman" w:hAnsi="Times New Roman" w:eastAsia="仿宋_GB2312" w:cs="Times New Roman"/>
      <w:b/>
      <w:sz w:val="24"/>
      <w:szCs w:val="24"/>
    </w:rPr>
  </w:style>
  <w:style w:type="character" w:customStyle="1" w:styleId="112">
    <w:name w:val="a11"/>
    <w:qFormat/>
    <w:uiPriority w:val="0"/>
    <w:rPr>
      <w:rFonts w:hint="eastAsia" w:ascii="宋体" w:hAnsi="宋体" w:eastAsia="宋体"/>
      <w:color w:val="000000"/>
      <w:sz w:val="21"/>
      <w:szCs w:val="21"/>
      <w:u w:val="none"/>
    </w:rPr>
  </w:style>
  <w:style w:type="paragraph" w:customStyle="1" w:styleId="113">
    <w:name w:val="title18centerblackboldface"/>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114">
    <w:name w:val="正文样式1"/>
    <w:basedOn w:val="1"/>
    <w:qFormat/>
    <w:uiPriority w:val="99"/>
    <w:pPr>
      <w:suppressAutoHyphens/>
      <w:spacing w:line="400" w:lineRule="atLeast"/>
      <w:ind w:firstLine="200" w:firstLineChars="200"/>
    </w:pPr>
    <w:rPr>
      <w:rFonts w:ascii="Times New Roman" w:hAnsi="Times New Roman" w:eastAsia="宋体" w:cs="Times New Roman"/>
      <w:kern w:val="1"/>
      <w:sz w:val="24"/>
      <w:szCs w:val="24"/>
      <w:lang w:eastAsia="ar-SA"/>
    </w:rPr>
  </w:style>
  <w:style w:type="paragraph" w:customStyle="1" w:styleId="115">
    <w:name w:val="正文 + 宋体"/>
    <w:basedOn w:val="1"/>
    <w:qFormat/>
    <w:uiPriority w:val="99"/>
    <w:pPr>
      <w:suppressAutoHyphens/>
      <w:spacing w:line="400" w:lineRule="atLeast"/>
      <w:ind w:firstLine="200" w:firstLineChars="200"/>
    </w:pPr>
    <w:rPr>
      <w:rFonts w:ascii="宋体" w:hAnsi="宋体" w:eastAsia="宋体" w:cs="Times New Roman"/>
      <w:kern w:val="1"/>
      <w:sz w:val="24"/>
      <w:szCs w:val="24"/>
      <w:lang w:eastAsia="ar-SA"/>
    </w:rPr>
  </w:style>
  <w:style w:type="character" w:customStyle="1" w:styleId="116">
    <w:name w:val="ggtitle"/>
    <w:qFormat/>
    <w:uiPriority w:val="0"/>
    <w:rPr>
      <w:rFonts w:eastAsia="宋体"/>
      <w:kern w:val="36"/>
      <w:sz w:val="36"/>
      <w:szCs w:val="24"/>
      <w:lang w:val="en-US" w:eastAsia="zh-CN" w:bidi="ar-SA"/>
    </w:rPr>
  </w:style>
  <w:style w:type="character" w:customStyle="1" w:styleId="117">
    <w:name w:val="ggwenhao"/>
    <w:qFormat/>
    <w:uiPriority w:val="0"/>
    <w:rPr>
      <w:rFonts w:eastAsia="宋体"/>
      <w:kern w:val="36"/>
      <w:sz w:val="36"/>
      <w:szCs w:val="24"/>
      <w:lang w:val="en-US" w:eastAsia="zh-CN" w:bidi="ar-SA"/>
    </w:rPr>
  </w:style>
  <w:style w:type="paragraph" w:customStyle="1" w:styleId="118">
    <w:name w:val="WW-普通(Web)"/>
    <w:basedOn w:val="1"/>
    <w:qFormat/>
    <w:uiPriority w:val="99"/>
    <w:pPr>
      <w:widowControl/>
      <w:suppressAutoHyphens/>
      <w:spacing w:before="280" w:after="280"/>
      <w:jc w:val="left"/>
    </w:pPr>
    <w:rPr>
      <w:rFonts w:ascii="宋体" w:hAnsi="宋体" w:eastAsia="宋体" w:cs="宋体"/>
      <w:kern w:val="1"/>
      <w:sz w:val="24"/>
      <w:szCs w:val="24"/>
      <w:lang w:eastAsia="ar-SA"/>
    </w:rPr>
  </w:style>
  <w:style w:type="paragraph" w:customStyle="1" w:styleId="119">
    <w:name w:val="秘密紧急"/>
    <w:basedOn w:val="1"/>
    <w:link w:val="120"/>
    <w:qFormat/>
    <w:uiPriority w:val="0"/>
    <w:pPr>
      <w:suppressAutoHyphens/>
      <w:jc w:val="right"/>
    </w:pPr>
    <w:rPr>
      <w:rFonts w:ascii="黑体" w:hAnsi="黑体" w:eastAsia="黑体" w:cs="Times New Roman"/>
      <w:kern w:val="0"/>
      <w:sz w:val="32"/>
      <w:szCs w:val="20"/>
    </w:rPr>
  </w:style>
  <w:style w:type="character" w:customStyle="1" w:styleId="120">
    <w:name w:val="秘密紧急 Char"/>
    <w:basedOn w:val="49"/>
    <w:link w:val="119"/>
    <w:qFormat/>
    <w:uiPriority w:val="0"/>
    <w:rPr>
      <w:rFonts w:ascii="黑体" w:hAnsi="黑体" w:eastAsia="黑体" w:cs="Times New Roman"/>
      <w:kern w:val="0"/>
      <w:sz w:val="32"/>
      <w:szCs w:val="20"/>
    </w:rPr>
  </w:style>
  <w:style w:type="character" w:customStyle="1" w:styleId="121">
    <w:name w:val="WW-Absatz-Standardschriftart"/>
    <w:qFormat/>
    <w:uiPriority w:val="0"/>
  </w:style>
  <w:style w:type="character" w:customStyle="1" w:styleId="122">
    <w:name w:val="WW-Absatz-Standardschriftart1"/>
    <w:qFormat/>
    <w:uiPriority w:val="0"/>
  </w:style>
  <w:style w:type="character" w:customStyle="1" w:styleId="123">
    <w:name w:val="WW-默认段落字体"/>
    <w:qFormat/>
    <w:uiPriority w:val="0"/>
  </w:style>
  <w:style w:type="character" w:customStyle="1" w:styleId="124">
    <w:name w:val="WW-默认段落字体1"/>
    <w:qFormat/>
    <w:uiPriority w:val="0"/>
  </w:style>
  <w:style w:type="paragraph" w:customStyle="1" w:styleId="125">
    <w:name w:val="题注1"/>
    <w:basedOn w:val="1"/>
    <w:qFormat/>
    <w:uiPriority w:val="99"/>
    <w:pPr>
      <w:suppressLineNumbers/>
      <w:suppressAutoHyphens/>
      <w:spacing w:before="120" w:after="120"/>
      <w:jc w:val="center"/>
    </w:pPr>
    <w:rPr>
      <w:rFonts w:ascii="Times New Roman" w:hAnsi="Times New Roman" w:eastAsia="宋体" w:cs="Tahoma"/>
      <w:kern w:val="1"/>
      <w:sz w:val="18"/>
      <w:szCs w:val="18"/>
      <w:lang w:eastAsia="ar-SA"/>
    </w:rPr>
  </w:style>
  <w:style w:type="paragraph" w:customStyle="1" w:styleId="126">
    <w:name w:val="目录"/>
    <w:basedOn w:val="1"/>
    <w:qFormat/>
    <w:uiPriority w:val="99"/>
    <w:pPr>
      <w:suppressLineNumbers/>
      <w:suppressAutoHyphens/>
    </w:pPr>
    <w:rPr>
      <w:rFonts w:ascii="Times New Roman" w:hAnsi="Times New Roman" w:eastAsia="宋体" w:cs="Tahoma"/>
      <w:kern w:val="1"/>
      <w:szCs w:val="24"/>
      <w:lang w:eastAsia="ar-SA"/>
    </w:rPr>
  </w:style>
  <w:style w:type="paragraph" w:customStyle="1" w:styleId="127">
    <w:name w:val="表格内容"/>
    <w:basedOn w:val="17"/>
    <w:qFormat/>
    <w:uiPriority w:val="99"/>
    <w:pPr>
      <w:suppressLineNumbers/>
      <w:suppressAutoHyphens/>
    </w:pPr>
    <w:rPr>
      <w:kern w:val="1"/>
      <w:szCs w:val="21"/>
      <w:lang w:eastAsia="ar-SA"/>
    </w:rPr>
  </w:style>
  <w:style w:type="paragraph" w:customStyle="1" w:styleId="128">
    <w:name w:val="框内容"/>
    <w:basedOn w:val="17"/>
    <w:qFormat/>
    <w:uiPriority w:val="99"/>
    <w:pPr>
      <w:suppressAutoHyphens/>
      <w:ind w:firstLine="420"/>
    </w:pPr>
    <w:rPr>
      <w:kern w:val="1"/>
      <w:szCs w:val="21"/>
      <w:lang w:eastAsia="ar-SA"/>
    </w:rPr>
  </w:style>
  <w:style w:type="paragraph" w:customStyle="1" w:styleId="129">
    <w:name w:val="正文文本 21"/>
    <w:basedOn w:val="1"/>
    <w:qFormat/>
    <w:uiPriority w:val="99"/>
    <w:pPr>
      <w:autoSpaceDE w:val="0"/>
      <w:autoSpaceDN w:val="0"/>
      <w:adjustRightInd w:val="0"/>
      <w:spacing w:line="360" w:lineRule="atLeast"/>
      <w:ind w:right="-21" w:firstLine="560"/>
    </w:pPr>
    <w:rPr>
      <w:rFonts w:ascii="Times New Roman" w:hAnsi="Times New Roman" w:eastAsia="宋体" w:cs="Times New Roman"/>
      <w:sz w:val="28"/>
      <w:szCs w:val="20"/>
    </w:rPr>
  </w:style>
  <w:style w:type="paragraph" w:customStyle="1" w:styleId="130">
    <w:name w:val="普通 (Web)"/>
    <w:basedOn w:val="1"/>
    <w:qFormat/>
    <w:uiPriority w:val="99"/>
    <w:pPr>
      <w:widowControl/>
      <w:spacing w:before="100" w:beforeAutospacing="1" w:after="100" w:afterAutospacing="1"/>
      <w:jc w:val="left"/>
    </w:pPr>
    <w:rPr>
      <w:rFonts w:ascii="宋体" w:hAnsi="宋体" w:eastAsia="宋体" w:cs="黑体"/>
      <w:kern w:val="0"/>
      <w:sz w:val="24"/>
      <w:szCs w:val="24"/>
    </w:rPr>
  </w:style>
  <w:style w:type="paragraph" w:customStyle="1" w:styleId="131">
    <w:name w:val="普通(Web)"/>
    <w:basedOn w:val="1"/>
    <w:qFormat/>
    <w:uiPriority w:val="99"/>
    <w:rPr>
      <w:rFonts w:ascii="Times New Roman" w:hAnsi="Times New Roman" w:eastAsia="宋体" w:cs="Times New Roman"/>
      <w:sz w:val="24"/>
      <w:szCs w:val="24"/>
    </w:rPr>
  </w:style>
  <w:style w:type="character" w:customStyle="1" w:styleId="132">
    <w:name w:val="articlecontent"/>
    <w:qFormat/>
    <w:uiPriority w:val="0"/>
    <w:rPr>
      <w:rFonts w:eastAsia="宋体"/>
      <w:kern w:val="36"/>
      <w:sz w:val="36"/>
      <w:szCs w:val="24"/>
      <w:lang w:val="en-US" w:eastAsia="zh-CN" w:bidi="ar-SA"/>
    </w:rPr>
  </w:style>
  <w:style w:type="paragraph" w:customStyle="1" w:styleId="133">
    <w:name w:val="正文1"/>
    <w:basedOn w:val="1"/>
    <w:qFormat/>
    <w:uiPriority w:val="99"/>
    <w:pPr>
      <w:suppressAutoHyphens/>
    </w:pPr>
    <w:rPr>
      <w:rFonts w:ascii="Times New Roman" w:hAnsi="Times New Roman" w:eastAsia="宋体" w:cs="Times New Roman"/>
      <w:kern w:val="1"/>
      <w:szCs w:val="21"/>
    </w:rPr>
  </w:style>
  <w:style w:type="character" w:customStyle="1" w:styleId="134">
    <w:name w:val="ggbody1"/>
    <w:qFormat/>
    <w:uiPriority w:val="0"/>
    <w:rPr>
      <w:rFonts w:hint="default" w:eastAsia="宋体"/>
      <w:kern w:val="36"/>
      <w:sz w:val="21"/>
      <w:szCs w:val="21"/>
      <w:u w:val="none"/>
      <w:lang w:val="en-US" w:eastAsia="zh-CN" w:bidi="ar-SA"/>
    </w:rPr>
  </w:style>
  <w:style w:type="paragraph" w:customStyle="1" w:styleId="135">
    <w:name w:val="news"/>
    <w:basedOn w:val="1"/>
    <w:qFormat/>
    <w:uiPriority w:val="99"/>
    <w:pPr>
      <w:widowControl/>
      <w:spacing w:before="100" w:beforeAutospacing="1" w:after="100" w:afterAutospacing="1"/>
      <w:jc w:val="left"/>
    </w:pPr>
    <w:rPr>
      <w:rFonts w:hint="eastAsia" w:ascii="宋体" w:hAnsi="宋体" w:eastAsia="宋体" w:cs="Times New Roman"/>
      <w:kern w:val="0"/>
      <w:sz w:val="22"/>
    </w:rPr>
  </w:style>
  <w:style w:type="character" w:customStyle="1" w:styleId="136">
    <w:name w:val="正文文本 Char1"/>
    <w:qFormat/>
    <w:uiPriority w:val="0"/>
    <w:rPr>
      <w:rFonts w:eastAsia="宋体"/>
      <w:kern w:val="1"/>
      <w:sz w:val="21"/>
      <w:szCs w:val="21"/>
      <w:lang w:val="en-US" w:eastAsia="ar-SA" w:bidi="ar-SA"/>
    </w:rPr>
  </w:style>
  <w:style w:type="paragraph" w:customStyle="1" w:styleId="137">
    <w:name w:val="正文内容"/>
    <w:basedOn w:val="1"/>
    <w:qFormat/>
    <w:uiPriority w:val="99"/>
    <w:pPr>
      <w:ind w:firstLine="680"/>
    </w:pPr>
    <w:rPr>
      <w:rFonts w:ascii="仿宋_GB2312" w:hAnsi="Times New Roman" w:eastAsia="仿宋_GB2312" w:cs="Times New Roman"/>
      <w:sz w:val="32"/>
      <w:szCs w:val="20"/>
    </w:rPr>
  </w:style>
  <w:style w:type="character" w:customStyle="1" w:styleId="138">
    <w:name w:val="正文文本 3 Char"/>
    <w:basedOn w:val="49"/>
    <w:link w:val="15"/>
    <w:qFormat/>
    <w:uiPriority w:val="99"/>
    <w:rPr>
      <w:rFonts w:ascii="Times New Roman" w:hAnsi="Times New Roman" w:eastAsia="宋体" w:cs="Times New Roman"/>
      <w:kern w:val="1"/>
      <w:sz w:val="16"/>
      <w:szCs w:val="16"/>
      <w:lang w:eastAsia="ar-SA"/>
    </w:rPr>
  </w:style>
  <w:style w:type="paragraph" w:customStyle="1" w:styleId="139">
    <w:name w:val="标5，1"/>
    <w:basedOn w:val="2"/>
    <w:qFormat/>
    <w:uiPriority w:val="99"/>
    <w:pPr>
      <w:keepNext w:val="0"/>
      <w:keepLines w:val="0"/>
      <w:spacing w:line="360" w:lineRule="auto"/>
      <w:ind w:firstLine="640"/>
    </w:pPr>
    <w:rPr>
      <w:rFonts w:ascii="楷体_GB2312" w:eastAsia="楷体_GB2312"/>
      <w:b/>
      <w:bCs w:val="0"/>
      <w:sz w:val="32"/>
      <w:szCs w:val="28"/>
      <w:lang w:val="zh-CN"/>
    </w:rPr>
  </w:style>
  <w:style w:type="paragraph" w:customStyle="1" w:styleId="140">
    <w:name w:val="附件"/>
    <w:basedOn w:val="1"/>
    <w:qFormat/>
    <w:uiPriority w:val="99"/>
    <w:pPr>
      <w:ind w:left="1638" w:hanging="1016"/>
    </w:pPr>
    <w:rPr>
      <w:rFonts w:ascii="Times New Roman" w:hAnsi="Times New Roman" w:eastAsia="仿宋_GB2312" w:cs="Times New Roman"/>
      <w:sz w:val="32"/>
      <w:szCs w:val="20"/>
    </w:rPr>
  </w:style>
  <w:style w:type="paragraph" w:customStyle="1" w:styleId="141">
    <w:name w:val="标题 11"/>
    <w:basedOn w:val="133"/>
    <w:next w:val="133"/>
    <w:qFormat/>
    <w:uiPriority w:val="99"/>
    <w:pPr>
      <w:keepNext/>
      <w:keepLines/>
      <w:tabs>
        <w:tab w:val="left" w:pos="0"/>
      </w:tabs>
      <w:spacing w:before="340" w:after="330" w:line="480" w:lineRule="auto"/>
      <w:outlineLvl w:val="0"/>
    </w:pPr>
    <w:rPr>
      <w:b/>
      <w:bCs/>
      <w:sz w:val="44"/>
      <w:szCs w:val="44"/>
    </w:rPr>
  </w:style>
  <w:style w:type="paragraph" w:customStyle="1" w:styleId="142">
    <w:name w:val="正文文本缩进1"/>
    <w:basedOn w:val="133"/>
    <w:qFormat/>
    <w:uiPriority w:val="99"/>
    <w:pPr>
      <w:spacing w:line="360" w:lineRule="auto"/>
      <w:ind w:firstLine="480"/>
    </w:pPr>
    <w:rPr>
      <w:rFonts w:eastAsia="仿宋_GB2312"/>
      <w:sz w:val="24"/>
      <w:szCs w:val="24"/>
    </w:rPr>
  </w:style>
  <w:style w:type="paragraph" w:customStyle="1" w:styleId="143">
    <w:name w:val="1"/>
    <w:basedOn w:val="1"/>
    <w:next w:val="41"/>
    <w:qFormat/>
    <w:uiPriority w:val="99"/>
    <w:pPr>
      <w:spacing w:after="120" w:line="480" w:lineRule="auto"/>
    </w:pPr>
    <w:rPr>
      <w:rFonts w:ascii="Times New Roman" w:hAnsi="Times New Roman" w:eastAsia="宋体" w:cs="Times New Roman"/>
      <w:szCs w:val="24"/>
    </w:rPr>
  </w:style>
  <w:style w:type="paragraph" w:customStyle="1" w:styleId="144">
    <w:name w:val="2"/>
    <w:basedOn w:val="1"/>
    <w:qFormat/>
    <w:uiPriority w:val="99"/>
    <w:rPr>
      <w:rFonts w:ascii="Times New Roman" w:hAnsi="Times New Roman" w:eastAsia="宋体" w:cs="Times New Roman"/>
      <w:sz w:val="24"/>
      <w:szCs w:val="24"/>
    </w:rPr>
  </w:style>
  <w:style w:type="paragraph" w:customStyle="1" w:styleId="145">
    <w:name w:val="WW-普通 (Web)"/>
    <w:basedOn w:val="1"/>
    <w:qFormat/>
    <w:uiPriority w:val="99"/>
    <w:pPr>
      <w:widowControl/>
      <w:suppressAutoHyphens/>
      <w:spacing w:before="280" w:after="280"/>
      <w:jc w:val="left"/>
    </w:pPr>
    <w:rPr>
      <w:rFonts w:ascii="宋体" w:hAnsi="宋体" w:eastAsia="宋体" w:cs="Times New Roman"/>
      <w:kern w:val="1"/>
      <w:sz w:val="24"/>
      <w:szCs w:val="21"/>
    </w:rPr>
  </w:style>
  <w:style w:type="character" w:customStyle="1" w:styleId="146">
    <w:name w:val="a011"/>
    <w:qFormat/>
    <w:uiPriority w:val="0"/>
    <w:rPr>
      <w:rFonts w:hint="default" w:ascii="ˎ̥" w:hAnsi="ˎ̥" w:eastAsia="宋体"/>
      <w:color w:val="000000"/>
      <w:spacing w:val="15"/>
      <w:kern w:val="36"/>
      <w:sz w:val="18"/>
      <w:szCs w:val="18"/>
      <w:lang w:val="en-US" w:eastAsia="zh-CN" w:bidi="ar-SA"/>
    </w:rPr>
  </w:style>
  <w:style w:type="character" w:customStyle="1" w:styleId="147">
    <w:name w:val="leftword1"/>
    <w:qFormat/>
    <w:uiPriority w:val="0"/>
    <w:rPr>
      <w:rFonts w:hint="default" w:eastAsia="宋体"/>
      <w:color w:val="000000"/>
      <w:kern w:val="36"/>
      <w:sz w:val="20"/>
      <w:szCs w:val="20"/>
      <w:lang w:val="en-US" w:eastAsia="zh-CN" w:bidi="ar-SA"/>
    </w:rPr>
  </w:style>
  <w:style w:type="paragraph" w:customStyle="1" w:styleId="148">
    <w:name w:val="a01"/>
    <w:basedOn w:val="1"/>
    <w:qFormat/>
    <w:uiPriority w:val="99"/>
    <w:pPr>
      <w:widowControl/>
      <w:numPr>
        <w:ilvl w:val="1"/>
        <w:numId w:val="2"/>
      </w:numPr>
      <w:tabs>
        <w:tab w:val="clear" w:pos="1648"/>
      </w:tabs>
      <w:spacing w:before="100" w:beforeAutospacing="1" w:after="100" w:afterAutospacing="1" w:line="315" w:lineRule="atLeast"/>
      <w:ind w:left="0" w:firstLine="0"/>
      <w:jc w:val="left"/>
    </w:pPr>
    <w:rPr>
      <w:rFonts w:ascii="ˎ̥" w:hAnsi="ˎ̥" w:eastAsia="宋体" w:cs="Times New Roman"/>
      <w:color w:val="000000"/>
      <w:spacing w:val="15"/>
      <w:kern w:val="0"/>
      <w:sz w:val="18"/>
      <w:szCs w:val="18"/>
    </w:rPr>
  </w:style>
  <w:style w:type="character" w:customStyle="1" w:styleId="149">
    <w:name w:val="defaultfont"/>
    <w:qFormat/>
    <w:uiPriority w:val="0"/>
    <w:rPr>
      <w:rFonts w:eastAsia="宋体"/>
      <w:kern w:val="36"/>
      <w:sz w:val="36"/>
      <w:szCs w:val="24"/>
      <w:lang w:val="en-US" w:eastAsia="zh-CN" w:bidi="ar-SA"/>
    </w:rPr>
  </w:style>
  <w:style w:type="paragraph" w:customStyle="1" w:styleId="150">
    <w:name w:val="WW-正文文字缩进 3"/>
    <w:basedOn w:val="1"/>
    <w:qFormat/>
    <w:uiPriority w:val="99"/>
    <w:pPr>
      <w:suppressAutoHyphens/>
      <w:spacing w:line="312" w:lineRule="atLeast"/>
      <w:ind w:left="-105" w:firstLine="630"/>
      <w:textAlignment w:val="baseline"/>
    </w:pPr>
    <w:rPr>
      <w:rFonts w:ascii="Times New Roman" w:hAnsi="Times New Roman" w:eastAsia="黑体" w:cs="Times New Roman"/>
      <w:kern w:val="1"/>
      <w:sz w:val="32"/>
      <w:szCs w:val="20"/>
    </w:rPr>
  </w:style>
  <w:style w:type="paragraph" w:customStyle="1" w:styleId="151">
    <w:name w:val="样式 左侧:  2 字符"/>
    <w:basedOn w:val="1"/>
    <w:qFormat/>
    <w:uiPriority w:val="99"/>
    <w:pPr>
      <w:tabs>
        <w:tab w:val="left" w:pos="840"/>
      </w:tabs>
      <w:spacing w:line="540" w:lineRule="exact"/>
      <w:ind w:firstLine="630"/>
    </w:pPr>
    <w:rPr>
      <w:rFonts w:ascii="Times New Roman" w:hAnsi="Times New Roman" w:eastAsia="仿宋_GB2312" w:cs="宋体"/>
      <w:sz w:val="32"/>
      <w:szCs w:val="32"/>
    </w:rPr>
  </w:style>
  <w:style w:type="character" w:customStyle="1" w:styleId="152">
    <w:name w:val="text1"/>
    <w:qFormat/>
    <w:uiPriority w:val="0"/>
    <w:rPr>
      <w:rFonts w:hint="default" w:ascii="ˎ̥" w:hAnsi="ˎ̥" w:eastAsia="宋体"/>
      <w:color w:val="000000"/>
      <w:kern w:val="36"/>
      <w:sz w:val="18"/>
      <w:szCs w:val="18"/>
      <w:lang w:val="en-US" w:eastAsia="zh-CN" w:bidi="ar-SA"/>
    </w:rPr>
  </w:style>
  <w:style w:type="paragraph" w:customStyle="1" w:styleId="153">
    <w:name w:val="WW-正文文字缩进 2"/>
    <w:basedOn w:val="1"/>
    <w:qFormat/>
    <w:uiPriority w:val="99"/>
    <w:pPr>
      <w:suppressAutoHyphens/>
      <w:ind w:firstLine="640"/>
    </w:pPr>
    <w:rPr>
      <w:rFonts w:ascii="仿宋_GB2312" w:hAnsi="仿宋_GB2312" w:eastAsia="仿宋_GB2312" w:cs="Times New Roman"/>
      <w:kern w:val="0"/>
      <w:sz w:val="32"/>
      <w:szCs w:val="28"/>
    </w:rPr>
  </w:style>
  <w:style w:type="character" w:customStyle="1" w:styleId="154">
    <w:name w:val="要点1"/>
    <w:qFormat/>
    <w:uiPriority w:val="0"/>
    <w:rPr>
      <w:rFonts w:ascii="Times New Roman" w:hAnsi="Times New Roman" w:eastAsia="宋体"/>
      <w:b/>
      <w:bCs/>
      <w:kern w:val="1"/>
      <w:sz w:val="24"/>
      <w:szCs w:val="24"/>
      <w:lang w:eastAsia="zh-CN" w:bidi="ar-SA"/>
    </w:rPr>
  </w:style>
  <w:style w:type="paragraph" w:customStyle="1" w:styleId="155">
    <w:name w:val="标题 31"/>
    <w:basedOn w:val="133"/>
    <w:next w:val="156"/>
    <w:qFormat/>
    <w:uiPriority w:val="99"/>
    <w:pPr>
      <w:keepNext/>
      <w:keepLines/>
      <w:tabs>
        <w:tab w:val="left" w:pos="0"/>
      </w:tabs>
      <w:spacing w:before="1620" w:after="400"/>
      <w:jc w:val="center"/>
      <w:outlineLvl w:val="2"/>
    </w:pPr>
    <w:rPr>
      <w:rFonts w:eastAsia="公文小标宋简"/>
      <w:sz w:val="44"/>
      <w:szCs w:val="44"/>
    </w:rPr>
  </w:style>
  <w:style w:type="paragraph" w:customStyle="1" w:styleId="156">
    <w:name w:val="正文缩进1"/>
    <w:basedOn w:val="133"/>
    <w:qFormat/>
    <w:uiPriority w:val="99"/>
    <w:pPr>
      <w:ind w:firstLine="630"/>
    </w:pPr>
    <w:rPr>
      <w:rFonts w:eastAsia="仿宋_GB2312"/>
      <w:sz w:val="32"/>
      <w:szCs w:val="32"/>
    </w:rPr>
  </w:style>
  <w:style w:type="paragraph" w:customStyle="1" w:styleId="157">
    <w:name w:val="标题 41"/>
    <w:basedOn w:val="133"/>
    <w:next w:val="156"/>
    <w:qFormat/>
    <w:uiPriority w:val="99"/>
    <w:pPr>
      <w:keepNext/>
      <w:tabs>
        <w:tab w:val="left" w:pos="0"/>
        <w:tab w:val="left" w:pos="2488"/>
        <w:tab w:val="left" w:pos="4976"/>
      </w:tabs>
      <w:jc w:val="center"/>
      <w:outlineLvl w:val="3"/>
    </w:pPr>
    <w:rPr>
      <w:rFonts w:eastAsia="仿宋_GB2312"/>
      <w:sz w:val="44"/>
      <w:szCs w:val="44"/>
    </w:rPr>
  </w:style>
  <w:style w:type="paragraph" w:customStyle="1" w:styleId="158">
    <w:name w:val="普通(网站)1"/>
    <w:basedOn w:val="133"/>
    <w:qFormat/>
    <w:uiPriority w:val="99"/>
    <w:pPr>
      <w:spacing w:before="100" w:after="100"/>
      <w:jc w:val="left"/>
    </w:pPr>
    <w:rPr>
      <w:rFonts w:ascii="Arial Unicode MS" w:hAnsi="Arial Unicode MS" w:eastAsia="Arial Unicode MS"/>
      <w:color w:val="000000"/>
      <w:sz w:val="24"/>
      <w:szCs w:val="24"/>
    </w:rPr>
  </w:style>
  <w:style w:type="character" w:customStyle="1" w:styleId="159">
    <w:name w:val="large1"/>
    <w:qFormat/>
    <w:uiPriority w:val="0"/>
    <w:rPr>
      <w:rFonts w:hint="eastAsia" w:ascii="宋体" w:hAnsi="宋体" w:eastAsia="宋体"/>
      <w:kern w:val="36"/>
      <w:sz w:val="22"/>
      <w:szCs w:val="22"/>
      <w:lang w:val="en-US" w:eastAsia="zh-CN" w:bidi="ar-SA"/>
    </w:rPr>
  </w:style>
  <w:style w:type="paragraph" w:customStyle="1" w:styleId="160">
    <w:name w:val="WW-日期"/>
    <w:basedOn w:val="1"/>
    <w:next w:val="1"/>
    <w:qFormat/>
    <w:uiPriority w:val="99"/>
    <w:pPr>
      <w:widowControl/>
      <w:suppressAutoHyphens/>
      <w:jc w:val="left"/>
    </w:pPr>
    <w:rPr>
      <w:rFonts w:ascii="仿宋_GB2312" w:hAnsi="仿宋_GB2312" w:eastAsia="仿宋_GB2312" w:cs="Times New Roman"/>
      <w:kern w:val="1"/>
      <w:sz w:val="32"/>
      <w:szCs w:val="20"/>
      <w:lang w:eastAsia="ar-SA"/>
    </w:rPr>
  </w:style>
  <w:style w:type="paragraph" w:customStyle="1" w:styleId="161">
    <w:name w:val="WW-普通文字"/>
    <w:basedOn w:val="1"/>
    <w:qFormat/>
    <w:uiPriority w:val="99"/>
    <w:pPr>
      <w:suppressAutoHyphens/>
    </w:pPr>
    <w:rPr>
      <w:rFonts w:ascii="宋体" w:hAnsi="宋体" w:eastAsia="宋体" w:cs="Courier New"/>
      <w:kern w:val="1"/>
      <w:szCs w:val="21"/>
      <w:lang w:eastAsia="ar-SA"/>
    </w:rPr>
  </w:style>
  <w:style w:type="paragraph" w:customStyle="1" w:styleId="162">
    <w:name w:val="WW-文字块"/>
    <w:basedOn w:val="1"/>
    <w:qFormat/>
    <w:uiPriority w:val="99"/>
    <w:pPr>
      <w:suppressAutoHyphens/>
      <w:spacing w:line="500" w:lineRule="atLeast"/>
      <w:ind w:left="400" w:right="170"/>
    </w:pPr>
    <w:rPr>
      <w:rFonts w:ascii="仿宋_GB2312" w:hAnsi="仿宋_GB2312" w:eastAsia="仿宋_GB2312" w:cs="Times New Roman"/>
      <w:kern w:val="1"/>
      <w:sz w:val="32"/>
      <w:szCs w:val="32"/>
      <w:lang w:eastAsia="ar-SA"/>
    </w:rPr>
  </w:style>
  <w:style w:type="paragraph" w:customStyle="1" w:styleId="163">
    <w:name w:val="主题词"/>
    <w:basedOn w:val="1"/>
    <w:qFormat/>
    <w:uiPriority w:val="99"/>
    <w:pPr>
      <w:suppressAutoHyphens/>
      <w:ind w:left="1246" w:hanging="1246"/>
    </w:pPr>
    <w:rPr>
      <w:rFonts w:ascii="Times New Roman" w:hAnsi="Times New Roman" w:eastAsia="文鼎小标宋简" w:cs="Times New Roman"/>
      <w:kern w:val="1"/>
      <w:sz w:val="32"/>
      <w:szCs w:val="20"/>
      <w:lang w:eastAsia="ar-SA"/>
    </w:rPr>
  </w:style>
  <w:style w:type="character" w:customStyle="1" w:styleId="164">
    <w:name w:val="WW-Absatz-Standardschriftart11111111111"/>
    <w:qFormat/>
    <w:uiPriority w:val="0"/>
  </w:style>
  <w:style w:type="character" w:customStyle="1" w:styleId="165">
    <w:name w:val="WW-Absatz-Standardschriftart11111111111111111111"/>
    <w:qFormat/>
    <w:uiPriority w:val="0"/>
  </w:style>
  <w:style w:type="character" w:customStyle="1" w:styleId="166">
    <w:name w:val="WW-Absatz-Standardschriftart111111111111111111111"/>
    <w:qFormat/>
    <w:uiPriority w:val="0"/>
  </w:style>
  <w:style w:type="paragraph" w:customStyle="1" w:styleId="167">
    <w:name w:val="WW-正文文本 3"/>
    <w:basedOn w:val="1"/>
    <w:qFormat/>
    <w:uiPriority w:val="99"/>
    <w:pPr>
      <w:suppressAutoHyphens/>
      <w:spacing w:after="120"/>
    </w:pPr>
    <w:rPr>
      <w:rFonts w:ascii="Times New Roman" w:hAnsi="Times New Roman" w:eastAsia="仿宋_GB2312" w:cs="Times New Roman"/>
      <w:kern w:val="0"/>
      <w:sz w:val="16"/>
      <w:szCs w:val="16"/>
    </w:rPr>
  </w:style>
  <w:style w:type="paragraph" w:customStyle="1" w:styleId="168">
    <w:name w:val="WW-正文文本 2"/>
    <w:basedOn w:val="133"/>
    <w:qFormat/>
    <w:uiPriority w:val="99"/>
    <w:pPr>
      <w:spacing w:line="360" w:lineRule="auto"/>
    </w:pPr>
    <w:rPr>
      <w:rFonts w:ascii="仿宋_GB2312" w:hAnsi="仿宋_GB2312" w:eastAsia="仿宋_GB2312"/>
      <w:sz w:val="32"/>
      <w:szCs w:val="32"/>
      <w:lang w:eastAsia="ar-SA"/>
    </w:rPr>
  </w:style>
  <w:style w:type="paragraph" w:customStyle="1" w:styleId="169">
    <w:name w:val="WW-正文文本缩进 2"/>
    <w:basedOn w:val="133"/>
    <w:qFormat/>
    <w:uiPriority w:val="99"/>
    <w:pPr>
      <w:spacing w:line="360" w:lineRule="auto"/>
      <w:ind w:firstLine="630"/>
    </w:pPr>
    <w:rPr>
      <w:rFonts w:ascii="仿宋_GB2312" w:hAnsi="仿宋_GB2312"/>
      <w:color w:val="0000FF"/>
      <w:sz w:val="32"/>
      <w:szCs w:val="32"/>
      <w:lang w:eastAsia="ar-SA"/>
    </w:rPr>
  </w:style>
  <w:style w:type="character" w:customStyle="1" w:styleId="170">
    <w:name w:val="wordblack14b1"/>
    <w:qFormat/>
    <w:uiPriority w:val="0"/>
    <w:rPr>
      <w:rFonts w:eastAsia="宋体"/>
      <w:b/>
      <w:bCs/>
      <w:color w:val="000000"/>
      <w:kern w:val="36"/>
      <w:sz w:val="30"/>
      <w:szCs w:val="30"/>
      <w:u w:val="none"/>
      <w:lang w:val="en-US" w:eastAsia="zh-CN" w:bidi="ar-SA"/>
    </w:rPr>
  </w:style>
  <w:style w:type="paragraph" w:customStyle="1" w:styleId="171">
    <w:name w:val="WW-正文文字 2"/>
    <w:basedOn w:val="1"/>
    <w:qFormat/>
    <w:uiPriority w:val="99"/>
    <w:pPr>
      <w:widowControl/>
      <w:suppressAutoHyphens/>
      <w:spacing w:line="560" w:lineRule="atLeast"/>
      <w:jc w:val="center"/>
    </w:pPr>
    <w:rPr>
      <w:rFonts w:ascii="黑体" w:hAnsi="黑体" w:eastAsia="黑体" w:cs="Times New Roman"/>
      <w:color w:val="000000"/>
      <w:kern w:val="1"/>
      <w:sz w:val="44"/>
      <w:szCs w:val="44"/>
    </w:rPr>
  </w:style>
  <w:style w:type="character" w:customStyle="1" w:styleId="172">
    <w:name w:val="f9h16"/>
    <w:basedOn w:val="123"/>
    <w:qFormat/>
    <w:uiPriority w:val="0"/>
  </w:style>
  <w:style w:type="character" w:customStyle="1" w:styleId="173">
    <w:name w:val="WW-HTML 打字机"/>
    <w:qFormat/>
    <w:uiPriority w:val="0"/>
    <w:rPr>
      <w:rFonts w:ascii="黑体" w:hAnsi="黑体" w:eastAsia="黑体" w:cs="Courier New"/>
      <w:sz w:val="20"/>
      <w:szCs w:val="20"/>
    </w:rPr>
  </w:style>
  <w:style w:type="paragraph" w:customStyle="1" w:styleId="174">
    <w:name w:val="WW-纯文本"/>
    <w:basedOn w:val="1"/>
    <w:qFormat/>
    <w:uiPriority w:val="99"/>
    <w:pPr>
      <w:suppressAutoHyphens/>
    </w:pPr>
    <w:rPr>
      <w:rFonts w:ascii="宋体" w:hAnsi="宋体" w:eastAsia="宋体" w:cs="Times New Roman"/>
      <w:kern w:val="1"/>
      <w:szCs w:val="21"/>
      <w:lang w:eastAsia="ar-SA"/>
    </w:rPr>
  </w:style>
  <w:style w:type="character" w:customStyle="1" w:styleId="175">
    <w:name w:val="wzbt1"/>
    <w:qFormat/>
    <w:uiPriority w:val="0"/>
    <w:rPr>
      <w:rFonts w:eastAsia="宋体"/>
      <w:kern w:val="36"/>
      <w:sz w:val="36"/>
      <w:szCs w:val="24"/>
      <w:lang w:val="en-US" w:eastAsia="zh-CN" w:bidi="ar-SA"/>
    </w:rPr>
  </w:style>
  <w:style w:type="paragraph" w:customStyle="1" w:styleId="176">
    <w:name w:val="WW-普通(网站)"/>
    <w:basedOn w:val="1"/>
    <w:qFormat/>
    <w:uiPriority w:val="99"/>
    <w:pPr>
      <w:widowControl/>
      <w:suppressAutoHyphens/>
      <w:spacing w:before="280" w:line="360" w:lineRule="auto"/>
      <w:jc w:val="center"/>
    </w:pPr>
    <w:rPr>
      <w:rFonts w:ascii="宋体" w:hAnsi="宋体" w:eastAsia="宋体" w:cs="宋体"/>
      <w:kern w:val="1"/>
      <w:sz w:val="24"/>
      <w:szCs w:val="24"/>
      <w:lang w:eastAsia="ar-SA"/>
    </w:rPr>
  </w:style>
  <w:style w:type="paragraph" w:customStyle="1" w:styleId="177">
    <w:name w:val="cjk"/>
    <w:basedOn w:val="1"/>
    <w:qFormat/>
    <w:uiPriority w:val="99"/>
    <w:pPr>
      <w:widowControl/>
      <w:suppressAutoHyphens/>
      <w:spacing w:before="280" w:line="360" w:lineRule="auto"/>
      <w:jc w:val="center"/>
    </w:pPr>
    <w:rPr>
      <w:rFonts w:ascii="宋体" w:hAnsi="宋体" w:eastAsia="宋体" w:cs="宋体"/>
      <w:kern w:val="1"/>
      <w:sz w:val="44"/>
      <w:szCs w:val="44"/>
      <w:lang w:eastAsia="ar-SA"/>
    </w:rPr>
  </w:style>
  <w:style w:type="paragraph" w:customStyle="1" w:styleId="178">
    <w:name w:val="Char1"/>
    <w:basedOn w:val="1"/>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179">
    <w:name w:val="web"/>
    <w:basedOn w:val="1"/>
    <w:qFormat/>
    <w:uiPriority w:val="99"/>
    <w:pPr>
      <w:widowControl/>
      <w:spacing w:before="100" w:beforeAutospacing="1" w:after="100" w:afterAutospacing="1"/>
      <w:jc w:val="left"/>
    </w:pPr>
    <w:rPr>
      <w:rFonts w:ascii="宋体" w:hAnsi="宋体" w:eastAsia="宋体" w:cs="Times New Roman"/>
      <w:kern w:val="0"/>
      <w:sz w:val="24"/>
      <w:szCs w:val="24"/>
    </w:rPr>
  </w:style>
  <w:style w:type="character" w:customStyle="1" w:styleId="180">
    <w:name w:val="标题 Char"/>
    <w:basedOn w:val="49"/>
    <w:link w:val="44"/>
    <w:qFormat/>
    <w:uiPriority w:val="99"/>
    <w:rPr>
      <w:rFonts w:ascii="Arial" w:hAnsi="Arial" w:eastAsia="隶书" w:cs="Arial"/>
      <w:b/>
      <w:bCs/>
      <w:sz w:val="44"/>
      <w:szCs w:val="32"/>
    </w:rPr>
  </w:style>
  <w:style w:type="paragraph" w:customStyle="1" w:styleId="181">
    <w:name w:val="Char Char Char Char Char Char Char Char Char Char Char Char Char Char Char Char Char Char Char Char Char Char Char Char Char Char Char Char Char Char Char Char Char"/>
    <w:basedOn w:val="1"/>
    <w:qFormat/>
    <w:uiPriority w:val="99"/>
    <w:pPr>
      <w:widowControl/>
      <w:spacing w:after="160" w:line="240" w:lineRule="exact"/>
      <w:jc w:val="left"/>
    </w:pPr>
    <w:rPr>
      <w:rFonts w:ascii="Verdana" w:hAnsi="Verdana" w:eastAsia="仿宋_GB2312" w:cs="Times New Roman"/>
      <w:kern w:val="0"/>
      <w:sz w:val="24"/>
      <w:szCs w:val="20"/>
      <w:lang w:eastAsia="en-US"/>
    </w:rPr>
  </w:style>
  <w:style w:type="character" w:customStyle="1" w:styleId="182">
    <w:name w:val="ggtitle1"/>
    <w:qFormat/>
    <w:uiPriority w:val="0"/>
    <w:rPr>
      <w:rFonts w:hint="default" w:ascii="ˎ̥" w:hAnsi="ˎ̥" w:eastAsia="宋体"/>
      <w:color w:val="FF0000"/>
      <w:spacing w:val="40"/>
      <w:kern w:val="36"/>
      <w:sz w:val="24"/>
      <w:szCs w:val="24"/>
      <w:u w:val="none"/>
      <w:lang w:val="en-US" w:eastAsia="zh-CN" w:bidi="ar-SA"/>
    </w:rPr>
  </w:style>
  <w:style w:type="paragraph" w:customStyle="1" w:styleId="183">
    <w:name w:val="样式 正文文本 + 仿宋_GB2312 三号 两端对齐"/>
    <w:basedOn w:val="17"/>
    <w:qFormat/>
    <w:uiPriority w:val="99"/>
    <w:pPr>
      <w:spacing w:before="25" w:beforeLines="25" w:after="25" w:afterLines="25" w:line="440" w:lineRule="exact"/>
      <w:ind w:firstLine="200" w:firstLineChars="200"/>
    </w:pPr>
    <w:rPr>
      <w:rFonts w:ascii="仿宋_GB2312" w:cs="宋体"/>
      <w:sz w:val="24"/>
    </w:rPr>
  </w:style>
  <w:style w:type="paragraph" w:customStyle="1" w:styleId="184">
    <w:name w:val="Char Char Char"/>
    <w:basedOn w:val="1"/>
    <w:qFormat/>
    <w:uiPriority w:val="0"/>
    <w:rPr>
      <w:rFonts w:ascii="Times New Roman" w:hAnsi="Times New Roman" w:eastAsia="宋体" w:cs="Times New Roman"/>
      <w:szCs w:val="24"/>
    </w:rPr>
  </w:style>
  <w:style w:type="character" w:customStyle="1" w:styleId="185">
    <w:name w:val="文档结构图 Char"/>
    <w:basedOn w:val="49"/>
    <w:link w:val="12"/>
    <w:semiHidden/>
    <w:qFormat/>
    <w:uiPriority w:val="99"/>
    <w:rPr>
      <w:rFonts w:ascii="Times New Roman" w:hAnsi="Times New Roman" w:eastAsia="宋体" w:cs="Times New Roman"/>
      <w:kern w:val="1"/>
      <w:szCs w:val="24"/>
      <w:shd w:val="clear" w:color="auto" w:fill="000080"/>
      <w:lang w:eastAsia="ar-SA"/>
    </w:rPr>
  </w:style>
  <w:style w:type="character" w:customStyle="1" w:styleId="186">
    <w:name w:val="content1"/>
    <w:qFormat/>
    <w:uiPriority w:val="0"/>
    <w:rPr>
      <w:rFonts w:ascii="Tahoma" w:hAnsi="Tahoma" w:eastAsia="宋体" w:cs="Tahoma"/>
      <w:kern w:val="36"/>
      <w:sz w:val="28"/>
      <w:szCs w:val="28"/>
      <w:lang w:val="en-US" w:eastAsia="zh-CN" w:bidi="ar-SA"/>
    </w:rPr>
  </w:style>
  <w:style w:type="paragraph" w:customStyle="1" w:styleId="187">
    <w:name w:val="Char Char Char Char Char Char1"/>
    <w:basedOn w:val="1"/>
    <w:qFormat/>
    <w:uiPriority w:val="99"/>
    <w:rPr>
      <w:rFonts w:ascii="Tahoma" w:hAnsi="Tahoma" w:eastAsia="宋体" w:cs="Times New Roman"/>
      <w:sz w:val="24"/>
      <w:szCs w:val="20"/>
    </w:rPr>
  </w:style>
  <w:style w:type="paragraph" w:customStyle="1" w:styleId="188">
    <w:name w:val="样式 ˎ̥ 段后: 7.8 磅 行距: 固定值 20 磅"/>
    <w:basedOn w:val="1"/>
    <w:qFormat/>
    <w:uiPriority w:val="99"/>
    <w:pPr>
      <w:tabs>
        <w:tab w:val="left" w:pos="4140"/>
      </w:tabs>
    </w:pPr>
    <w:rPr>
      <w:rFonts w:ascii="仿宋_GB2312" w:hAnsi="ˎ̥" w:eastAsia="仿宋_GB2312" w:cs="宋体"/>
      <w:sz w:val="32"/>
      <w:szCs w:val="32"/>
    </w:rPr>
  </w:style>
  <w:style w:type="paragraph" w:customStyle="1" w:styleId="189">
    <w:name w:val="unnamed1"/>
    <w:basedOn w:val="1"/>
    <w:qFormat/>
    <w:uiPriority w:val="99"/>
    <w:pPr>
      <w:widowControl/>
      <w:spacing w:before="100" w:beforeAutospacing="1" w:after="100" w:afterAutospacing="1" w:line="300" w:lineRule="atLeast"/>
      <w:jc w:val="left"/>
    </w:pPr>
    <w:rPr>
      <w:rFonts w:ascii="宋体" w:hAnsi="宋体" w:eastAsia="宋体" w:cs="宋体"/>
      <w:kern w:val="0"/>
      <w:sz w:val="18"/>
      <w:szCs w:val="18"/>
    </w:rPr>
  </w:style>
  <w:style w:type="paragraph" w:customStyle="1" w:styleId="190">
    <w:name w:val="报告正文"/>
    <w:basedOn w:val="1"/>
    <w:qFormat/>
    <w:uiPriority w:val="99"/>
    <w:pPr>
      <w:spacing w:before="156" w:after="156" w:line="360" w:lineRule="auto"/>
      <w:ind w:firstLine="482"/>
    </w:pPr>
    <w:rPr>
      <w:rFonts w:ascii="Times New Roman" w:hAnsi="Times New Roman" w:eastAsia="宋体" w:cs="Times New Roman"/>
      <w:sz w:val="24"/>
      <w:szCs w:val="20"/>
    </w:rPr>
  </w:style>
  <w:style w:type="paragraph" w:customStyle="1" w:styleId="191">
    <w:name w:val="报告表名"/>
    <w:basedOn w:val="1"/>
    <w:qFormat/>
    <w:uiPriority w:val="99"/>
    <w:pPr>
      <w:adjustRightInd w:val="0"/>
      <w:spacing w:before="360" w:after="60" w:line="360" w:lineRule="auto"/>
      <w:jc w:val="center"/>
      <w:textAlignment w:val="baseline"/>
    </w:pPr>
    <w:rPr>
      <w:rFonts w:ascii="Times New Roman" w:hAnsi="Times New Roman" w:eastAsia="宋体" w:cs="Times New Roman"/>
      <w:b/>
      <w:bCs/>
      <w:kern w:val="0"/>
      <w:sz w:val="24"/>
      <w:szCs w:val="20"/>
    </w:rPr>
  </w:style>
  <w:style w:type="character" w:customStyle="1" w:styleId="192">
    <w:name w:val="highlight1"/>
    <w:qFormat/>
    <w:uiPriority w:val="0"/>
    <w:rPr>
      <w:rFonts w:eastAsia="宋体"/>
      <w:kern w:val="36"/>
      <w:sz w:val="18"/>
      <w:szCs w:val="18"/>
      <w:lang w:val="en-US" w:eastAsia="zh-CN" w:bidi="ar-SA"/>
    </w:rPr>
  </w:style>
  <w:style w:type="paragraph" w:customStyle="1" w:styleId="193">
    <w:name w:val="Char Char Char Char Char Char Char Char Char Char Char Char Char Char Char Char"/>
    <w:basedOn w:val="1"/>
    <w:qFormat/>
    <w:uiPriority w:val="99"/>
    <w:pPr>
      <w:tabs>
        <w:tab w:val="left" w:pos="360"/>
      </w:tabs>
    </w:pPr>
    <w:rPr>
      <w:rFonts w:ascii="Times New Roman" w:hAnsi="Times New Roman" w:eastAsia="宋体" w:cs="Times New Roman"/>
      <w:sz w:val="24"/>
      <w:szCs w:val="24"/>
    </w:rPr>
  </w:style>
  <w:style w:type="paragraph" w:customStyle="1" w:styleId="194">
    <w:name w:val="抄 送"/>
    <w:basedOn w:val="163"/>
    <w:qFormat/>
    <w:uiPriority w:val="99"/>
    <w:pPr>
      <w:suppressAutoHyphens w:val="0"/>
      <w:spacing w:before="74" w:after="74" w:line="580" w:lineRule="exact"/>
      <w:ind w:left="0" w:firstLine="0"/>
    </w:pPr>
    <w:rPr>
      <w:rFonts w:eastAsia="仿宋_GB2312"/>
      <w:kern w:val="2"/>
      <w:lang w:eastAsia="zh-CN"/>
    </w:rPr>
  </w:style>
  <w:style w:type="paragraph" w:customStyle="1" w:styleId="195">
    <w:name w:val="机关字号"/>
    <w:basedOn w:val="1"/>
    <w:qFormat/>
    <w:uiPriority w:val="99"/>
    <w:pPr>
      <w:spacing w:line="580" w:lineRule="exact"/>
      <w:jc w:val="left"/>
    </w:pPr>
    <w:rPr>
      <w:rFonts w:ascii="Times New Roman" w:hAnsi="Times New Roman" w:eastAsia="仿宋_GB2312" w:cs="Times New Roman"/>
      <w:sz w:val="32"/>
      <w:szCs w:val="20"/>
    </w:rPr>
  </w:style>
  <w:style w:type="character" w:customStyle="1" w:styleId="196">
    <w:name w:val="ggwenhao1"/>
    <w:qFormat/>
    <w:uiPriority w:val="0"/>
    <w:rPr>
      <w:rFonts w:hint="default" w:eastAsia="宋体"/>
      <w:spacing w:val="60"/>
      <w:kern w:val="36"/>
      <w:sz w:val="18"/>
      <w:szCs w:val="18"/>
      <w:u w:val="none"/>
      <w:lang w:val="en-US" w:eastAsia="zh-CN" w:bidi="ar-SA"/>
    </w:rPr>
  </w:style>
  <w:style w:type="character" w:customStyle="1" w:styleId="197">
    <w:name w:val="称呼 Char"/>
    <w:basedOn w:val="49"/>
    <w:link w:val="14"/>
    <w:qFormat/>
    <w:uiPriority w:val="99"/>
    <w:rPr>
      <w:rFonts w:ascii="仿宋_GB2312" w:hAnsi="宋体" w:eastAsia="仿宋_GB2312" w:cs="Times New Roman"/>
      <w:color w:val="000000"/>
      <w:sz w:val="32"/>
      <w:szCs w:val="20"/>
    </w:rPr>
  </w:style>
  <w:style w:type="character" w:customStyle="1" w:styleId="198">
    <w:name w:val="结束语 Char"/>
    <w:basedOn w:val="49"/>
    <w:link w:val="16"/>
    <w:qFormat/>
    <w:uiPriority w:val="99"/>
    <w:rPr>
      <w:rFonts w:ascii="仿宋_GB2312" w:hAnsi="宋体" w:eastAsia="仿宋_GB2312" w:cs="Times New Roman"/>
      <w:color w:val="000000"/>
      <w:sz w:val="32"/>
      <w:szCs w:val="20"/>
    </w:rPr>
  </w:style>
  <w:style w:type="character" w:customStyle="1" w:styleId="199">
    <w:name w:val="defaultfont1"/>
    <w:qFormat/>
    <w:uiPriority w:val="0"/>
    <w:rPr>
      <w:rFonts w:eastAsia="宋体"/>
      <w:kern w:val="36"/>
      <w:sz w:val="36"/>
      <w:szCs w:val="24"/>
      <w:lang w:val="en-US" w:eastAsia="zh-CN" w:bidi="ar-SA"/>
    </w:rPr>
  </w:style>
  <w:style w:type="character" w:customStyle="1" w:styleId="200">
    <w:name w:val="txtcontent11"/>
    <w:qFormat/>
    <w:uiPriority w:val="0"/>
    <w:rPr>
      <w:rFonts w:hint="default" w:ascii="ˎ̥" w:hAnsi="ˎ̥" w:eastAsia="宋体"/>
      <w:color w:val="000000"/>
      <w:kern w:val="36"/>
      <w:sz w:val="21"/>
      <w:szCs w:val="21"/>
      <w:lang w:val="en-US" w:eastAsia="zh-CN" w:bidi="ar-SA"/>
    </w:rPr>
  </w:style>
  <w:style w:type="paragraph" w:customStyle="1" w:styleId="201">
    <w:name w:val="表格正文"/>
    <w:basedOn w:val="1"/>
    <w:qFormat/>
    <w:uiPriority w:val="99"/>
    <w:pPr>
      <w:keepNext/>
      <w:spacing w:line="240" w:lineRule="exact"/>
      <w:textAlignment w:val="baseline"/>
    </w:pPr>
    <w:rPr>
      <w:rFonts w:ascii="Arial" w:hAnsi="Arial" w:eastAsia="宋体" w:cs="Times New Roman"/>
      <w:kern w:val="0"/>
      <w:szCs w:val="20"/>
    </w:rPr>
  </w:style>
  <w:style w:type="paragraph" w:customStyle="1" w:styleId="202">
    <w:name w:val="纯文本1"/>
    <w:basedOn w:val="1"/>
    <w:qFormat/>
    <w:uiPriority w:val="99"/>
    <w:pPr>
      <w:adjustRightInd w:val="0"/>
    </w:pPr>
    <w:rPr>
      <w:rFonts w:hint="eastAsia" w:ascii="宋体" w:hAnsi="Courier New" w:eastAsia="宋体" w:cs="Times New Roman"/>
      <w:szCs w:val="20"/>
    </w:rPr>
  </w:style>
  <w:style w:type="paragraph" w:customStyle="1" w:styleId="203">
    <w:name w:val="发文字号"/>
    <w:basedOn w:val="1"/>
    <w:qFormat/>
    <w:uiPriority w:val="99"/>
    <w:pPr>
      <w:jc w:val="left"/>
    </w:pPr>
    <w:rPr>
      <w:rFonts w:ascii="Times New Roman" w:hAnsi="Times New Roman" w:eastAsia="仿宋_GB2312" w:cs="Times New Roman"/>
      <w:sz w:val="32"/>
      <w:szCs w:val="20"/>
    </w:rPr>
  </w:style>
  <w:style w:type="paragraph" w:customStyle="1" w:styleId="204">
    <w:name w:val="xl49"/>
    <w:basedOn w:val="1"/>
    <w:qFormat/>
    <w:uiPriority w:val="99"/>
    <w:pPr>
      <w:widowControl/>
      <w:spacing w:before="100" w:after="100"/>
      <w:jc w:val="center"/>
      <w:textAlignment w:val="center"/>
    </w:pPr>
    <w:rPr>
      <w:rFonts w:hint="eastAsia" w:ascii="黑体" w:hAnsi="宋体" w:eastAsia="黑体" w:cs="Times New Roman"/>
      <w:b/>
      <w:kern w:val="0"/>
      <w:sz w:val="32"/>
      <w:szCs w:val="20"/>
    </w:rPr>
  </w:style>
  <w:style w:type="paragraph" w:customStyle="1" w:styleId="205">
    <w:name w:val="文件标题"/>
    <w:basedOn w:val="1"/>
    <w:qFormat/>
    <w:uiPriority w:val="99"/>
    <w:pPr>
      <w:spacing w:line="580" w:lineRule="exact"/>
      <w:jc w:val="center"/>
    </w:pPr>
    <w:rPr>
      <w:rFonts w:ascii="Times New Roman" w:hAnsi="Times New Roman" w:eastAsia="宋体" w:cs="Times New Roman"/>
      <w:b/>
      <w:spacing w:val="20"/>
      <w:sz w:val="44"/>
      <w:szCs w:val="20"/>
    </w:rPr>
  </w:style>
  <w:style w:type="paragraph" w:customStyle="1" w:styleId="206">
    <w:name w:val="样式 标题 2 + 仿宋_GB2312 非加粗 段前: 0 磅 段后: 0 磅 行距: 1.5 倍行距1"/>
    <w:basedOn w:val="3"/>
    <w:next w:val="3"/>
    <w:qFormat/>
    <w:uiPriority w:val="99"/>
    <w:pPr>
      <w:keepNext w:val="0"/>
      <w:keepLines w:val="0"/>
      <w:spacing w:before="0" w:after="0" w:line="580" w:lineRule="exact"/>
      <w:ind w:firstLine="640" w:firstLineChars="200"/>
    </w:pPr>
    <w:rPr>
      <w:rFonts w:ascii="仿宋_GB2312" w:eastAsia="仿宋_GB2312" w:cs="宋体"/>
      <w:b w:val="0"/>
      <w:bCs w:val="0"/>
      <w:szCs w:val="20"/>
    </w:rPr>
  </w:style>
  <w:style w:type="paragraph" w:customStyle="1" w:styleId="207">
    <w:name w:val="样式 正文首行缩进 + 左侧:  0 厘米 段后: 0 磅 首行缩进:  2 字符"/>
    <w:basedOn w:val="1"/>
    <w:qFormat/>
    <w:uiPriority w:val="99"/>
    <w:pPr>
      <w:tabs>
        <w:tab w:val="left" w:pos="7380"/>
      </w:tabs>
      <w:spacing w:line="580" w:lineRule="exact"/>
      <w:ind w:firstLine="640" w:firstLineChars="200"/>
    </w:pPr>
    <w:rPr>
      <w:rFonts w:ascii="仿宋_GB2312" w:hAnsi="仿宋_GB2312" w:eastAsia="仿宋_GB2312" w:cs="宋体"/>
      <w:sz w:val="32"/>
      <w:szCs w:val="20"/>
    </w:rPr>
  </w:style>
  <w:style w:type="character" w:customStyle="1" w:styleId="208">
    <w:name w:val="HTML 预设格式 Char"/>
    <w:basedOn w:val="49"/>
    <w:link w:val="42"/>
    <w:qFormat/>
    <w:uiPriority w:val="0"/>
    <w:rPr>
      <w:rFonts w:ascii="宋体" w:hAnsi="宋体" w:eastAsia="宋体" w:cs="宋体"/>
      <w:kern w:val="0"/>
      <w:sz w:val="24"/>
      <w:szCs w:val="24"/>
    </w:rPr>
  </w:style>
  <w:style w:type="paragraph" w:customStyle="1" w:styleId="209">
    <w:name w:val="默认段落字体 Para Char Char Char Char Char Char Char"/>
    <w:basedOn w:val="1"/>
    <w:qFormat/>
    <w:uiPriority w:val="99"/>
    <w:rPr>
      <w:rFonts w:ascii="Arial" w:hAnsi="Arial" w:eastAsia="宋体" w:cs="Arial"/>
      <w:sz w:val="20"/>
      <w:szCs w:val="20"/>
    </w:rPr>
  </w:style>
  <w:style w:type="paragraph" w:customStyle="1" w:styleId="210">
    <w:name w:val="Char Char Char1 Char"/>
    <w:basedOn w:val="1"/>
    <w:qFormat/>
    <w:uiPriority w:val="99"/>
    <w:rPr>
      <w:rFonts w:ascii="Times New Roman" w:hAnsi="Times New Roman" w:eastAsia="宋体" w:cs="Times New Roman"/>
      <w:szCs w:val="24"/>
    </w:rPr>
  </w:style>
  <w:style w:type="paragraph" w:customStyle="1" w:styleId="211">
    <w:name w:val="Char Char Char1 Char Char Char Char"/>
    <w:basedOn w:val="1"/>
    <w:qFormat/>
    <w:uiPriority w:val="99"/>
    <w:rPr>
      <w:rFonts w:ascii="Times New Roman" w:hAnsi="Times New Roman" w:eastAsia="宋体" w:cs="Times New Roman"/>
      <w:szCs w:val="24"/>
    </w:rPr>
  </w:style>
  <w:style w:type="paragraph" w:customStyle="1" w:styleId="212">
    <w:name w:val="Char Char Char Char Char Char Char Char Char Char Char Char Char Char Char Char Char Char Char Char Char Char Char Char Char Char Char Char Char Char Char Char Char1"/>
    <w:basedOn w:val="1"/>
    <w:qFormat/>
    <w:uiPriority w:val="99"/>
    <w:pPr>
      <w:widowControl/>
      <w:spacing w:after="160" w:line="240" w:lineRule="exact"/>
      <w:jc w:val="left"/>
    </w:pPr>
    <w:rPr>
      <w:rFonts w:ascii="Verdana" w:hAnsi="Verdana" w:eastAsia="仿宋_GB2312" w:cs="Verdana"/>
      <w:kern w:val="0"/>
      <w:sz w:val="24"/>
      <w:szCs w:val="24"/>
      <w:lang w:eastAsia="en-US"/>
    </w:rPr>
  </w:style>
  <w:style w:type="paragraph" w:customStyle="1" w:styleId="213">
    <w:name w:val="WW-正文文字缩进 21"/>
    <w:basedOn w:val="1"/>
    <w:qFormat/>
    <w:uiPriority w:val="99"/>
    <w:pPr>
      <w:suppressAutoHyphens/>
      <w:ind w:firstLine="640"/>
    </w:pPr>
    <w:rPr>
      <w:rFonts w:ascii="仿宋_GB2312" w:hAnsi="仿宋_GB2312" w:eastAsia="仿宋_GB2312" w:cs="Times New Roman"/>
      <w:color w:val="000000"/>
      <w:kern w:val="0"/>
      <w:sz w:val="32"/>
      <w:szCs w:val="21"/>
    </w:rPr>
  </w:style>
  <w:style w:type="paragraph" w:customStyle="1" w:styleId="214">
    <w:name w:val="Char1 Char Char Char1"/>
    <w:basedOn w:val="1"/>
    <w:qFormat/>
    <w:uiPriority w:val="99"/>
    <w:pPr>
      <w:spacing w:line="360" w:lineRule="auto"/>
    </w:pPr>
    <w:rPr>
      <w:rFonts w:ascii="Tahoma" w:hAnsi="Tahoma" w:eastAsia="宋体" w:cs="Times New Roman"/>
      <w:sz w:val="24"/>
      <w:szCs w:val="20"/>
    </w:rPr>
  </w:style>
  <w:style w:type="character" w:customStyle="1" w:styleId="215">
    <w:name w:val="a14px1"/>
    <w:qFormat/>
    <w:uiPriority w:val="0"/>
    <w:rPr>
      <w:rFonts w:hint="default" w:ascii="Arial" w:hAnsi="Arial" w:eastAsia="宋体" w:cs="Arial"/>
      <w:kern w:val="36"/>
      <w:sz w:val="21"/>
      <w:szCs w:val="21"/>
      <w:lang w:val="en-US" w:eastAsia="zh-CN" w:bidi="ar-SA"/>
    </w:rPr>
  </w:style>
  <w:style w:type="paragraph" w:customStyle="1" w:styleId="216">
    <w:name w:val="Char Char2 Char"/>
    <w:basedOn w:val="1"/>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217">
    <w:name w:val="Default"/>
    <w:qFormat/>
    <w:uiPriority w:val="99"/>
    <w:pPr>
      <w:widowControl w:val="0"/>
      <w:autoSpaceDE w:val="0"/>
      <w:autoSpaceDN w:val="0"/>
      <w:adjustRightInd w:val="0"/>
    </w:pPr>
    <w:rPr>
      <w:rFonts w:ascii="华文细黑" w:hAnsi="Times New Roman" w:eastAsia="华文细黑" w:cs="华文细黑"/>
      <w:color w:val="000000"/>
      <w:kern w:val="0"/>
      <w:sz w:val="24"/>
      <w:szCs w:val="24"/>
      <w:lang w:val="en-US" w:eastAsia="zh-CN" w:bidi="ar-SA"/>
    </w:rPr>
  </w:style>
  <w:style w:type="character" w:customStyle="1" w:styleId="218">
    <w:name w:val="t_title11"/>
    <w:qFormat/>
    <w:uiPriority w:val="0"/>
    <w:rPr>
      <w:rFonts w:eastAsia="宋体"/>
      <w:b/>
      <w:bCs/>
      <w:kern w:val="36"/>
      <w:sz w:val="21"/>
      <w:szCs w:val="21"/>
      <w:lang w:val="en-US" w:eastAsia="zh-CN" w:bidi="ar-SA"/>
    </w:rPr>
  </w:style>
  <w:style w:type="paragraph" w:customStyle="1" w:styleId="219">
    <w:name w:val="Char Char1 Char Char Char Char Char1 Char Char Char Char"/>
    <w:basedOn w:val="12"/>
    <w:qFormat/>
    <w:uiPriority w:val="99"/>
    <w:pPr>
      <w:suppressAutoHyphens w:val="0"/>
    </w:pPr>
    <w:rPr>
      <w:rFonts w:ascii="Tahoma" w:hAnsi="Tahoma"/>
      <w:kern w:val="2"/>
      <w:lang w:eastAsia="zh-CN"/>
    </w:rPr>
  </w:style>
  <w:style w:type="paragraph" w:customStyle="1" w:styleId="220">
    <w:name w:val="pa-0"/>
    <w:basedOn w:val="1"/>
    <w:qFormat/>
    <w:uiPriority w:val="99"/>
    <w:pPr>
      <w:widowControl/>
      <w:spacing w:line="480" w:lineRule="atLeast"/>
      <w:jc w:val="center"/>
    </w:pPr>
    <w:rPr>
      <w:rFonts w:ascii="宋体" w:hAnsi="宋体" w:eastAsia="宋体" w:cs="宋体"/>
      <w:kern w:val="0"/>
      <w:sz w:val="24"/>
      <w:szCs w:val="24"/>
    </w:rPr>
  </w:style>
  <w:style w:type="paragraph" w:customStyle="1" w:styleId="221">
    <w:name w:val="pa-1"/>
    <w:basedOn w:val="1"/>
    <w:qFormat/>
    <w:uiPriority w:val="99"/>
    <w:pPr>
      <w:widowControl/>
      <w:spacing w:line="580" w:lineRule="atLeast"/>
      <w:jc w:val="center"/>
    </w:pPr>
    <w:rPr>
      <w:rFonts w:ascii="宋体" w:hAnsi="宋体" w:eastAsia="宋体" w:cs="宋体"/>
      <w:kern w:val="0"/>
      <w:sz w:val="24"/>
      <w:szCs w:val="24"/>
    </w:rPr>
  </w:style>
  <w:style w:type="paragraph" w:customStyle="1" w:styleId="222">
    <w:name w:val="pa-2"/>
    <w:basedOn w:val="1"/>
    <w:qFormat/>
    <w:uiPriority w:val="99"/>
    <w:pPr>
      <w:widowControl/>
      <w:spacing w:line="240" w:lineRule="atLeast"/>
    </w:pPr>
    <w:rPr>
      <w:rFonts w:ascii="宋体" w:hAnsi="宋体" w:eastAsia="宋体" w:cs="宋体"/>
      <w:kern w:val="0"/>
      <w:sz w:val="24"/>
      <w:szCs w:val="24"/>
    </w:rPr>
  </w:style>
  <w:style w:type="paragraph" w:customStyle="1" w:styleId="223">
    <w:name w:val="pa-3"/>
    <w:basedOn w:val="1"/>
    <w:qFormat/>
    <w:uiPriority w:val="99"/>
    <w:pPr>
      <w:widowControl/>
      <w:spacing w:line="360" w:lineRule="atLeast"/>
      <w:jc w:val="right"/>
    </w:pPr>
    <w:rPr>
      <w:rFonts w:ascii="宋体" w:hAnsi="宋体" w:eastAsia="宋体" w:cs="宋体"/>
      <w:kern w:val="0"/>
      <w:sz w:val="24"/>
      <w:szCs w:val="24"/>
    </w:rPr>
  </w:style>
  <w:style w:type="paragraph" w:customStyle="1" w:styleId="224">
    <w:name w:val="pa-4"/>
    <w:basedOn w:val="1"/>
    <w:qFormat/>
    <w:uiPriority w:val="99"/>
    <w:pPr>
      <w:widowControl/>
      <w:spacing w:line="360" w:lineRule="atLeast"/>
    </w:pPr>
    <w:rPr>
      <w:rFonts w:ascii="宋体" w:hAnsi="宋体" w:eastAsia="宋体" w:cs="宋体"/>
      <w:kern w:val="0"/>
      <w:sz w:val="24"/>
      <w:szCs w:val="24"/>
    </w:rPr>
  </w:style>
  <w:style w:type="paragraph" w:customStyle="1" w:styleId="225">
    <w:name w:val="pa-5"/>
    <w:basedOn w:val="1"/>
    <w:qFormat/>
    <w:uiPriority w:val="99"/>
    <w:pPr>
      <w:widowControl/>
      <w:spacing w:line="360" w:lineRule="atLeast"/>
      <w:ind w:firstLine="640"/>
    </w:pPr>
    <w:rPr>
      <w:rFonts w:ascii="宋体" w:hAnsi="宋体" w:eastAsia="宋体" w:cs="宋体"/>
      <w:kern w:val="0"/>
      <w:sz w:val="24"/>
      <w:szCs w:val="24"/>
    </w:rPr>
  </w:style>
  <w:style w:type="paragraph" w:customStyle="1" w:styleId="226">
    <w:name w:val="pa-6"/>
    <w:basedOn w:val="1"/>
    <w:qFormat/>
    <w:uiPriority w:val="99"/>
    <w:pPr>
      <w:widowControl/>
      <w:spacing w:line="580" w:lineRule="atLeast"/>
    </w:pPr>
    <w:rPr>
      <w:rFonts w:ascii="宋体" w:hAnsi="宋体" w:eastAsia="宋体" w:cs="宋体"/>
      <w:kern w:val="0"/>
      <w:sz w:val="24"/>
      <w:szCs w:val="24"/>
    </w:rPr>
  </w:style>
  <w:style w:type="paragraph" w:customStyle="1" w:styleId="227">
    <w:name w:val="pa-7"/>
    <w:basedOn w:val="1"/>
    <w:qFormat/>
    <w:uiPriority w:val="99"/>
    <w:pPr>
      <w:widowControl/>
      <w:spacing w:line="580" w:lineRule="atLeast"/>
      <w:ind w:firstLine="640"/>
    </w:pPr>
    <w:rPr>
      <w:rFonts w:ascii="宋体" w:hAnsi="宋体" w:eastAsia="宋体" w:cs="宋体"/>
      <w:kern w:val="0"/>
      <w:sz w:val="24"/>
      <w:szCs w:val="24"/>
    </w:rPr>
  </w:style>
  <w:style w:type="paragraph" w:customStyle="1" w:styleId="228">
    <w:name w:val="pa-8"/>
    <w:basedOn w:val="1"/>
    <w:qFormat/>
    <w:uiPriority w:val="99"/>
    <w:pPr>
      <w:widowControl/>
      <w:spacing w:line="580" w:lineRule="atLeast"/>
      <w:ind w:firstLine="620"/>
    </w:pPr>
    <w:rPr>
      <w:rFonts w:ascii="宋体" w:hAnsi="宋体" w:eastAsia="宋体" w:cs="宋体"/>
      <w:kern w:val="0"/>
      <w:sz w:val="24"/>
      <w:szCs w:val="24"/>
    </w:rPr>
  </w:style>
  <w:style w:type="character" w:customStyle="1" w:styleId="229">
    <w:name w:val="ca-11"/>
    <w:qFormat/>
    <w:uiPriority w:val="0"/>
    <w:rPr>
      <w:rFonts w:hint="eastAsia" w:ascii="宋体" w:hAnsi="宋体" w:eastAsia="宋体"/>
      <w:b/>
      <w:bCs/>
      <w:spacing w:val="-20"/>
      <w:kern w:val="36"/>
      <w:sz w:val="44"/>
      <w:szCs w:val="44"/>
      <w:lang w:val="en-US" w:eastAsia="zh-CN" w:bidi="ar-SA"/>
    </w:rPr>
  </w:style>
  <w:style w:type="character" w:customStyle="1" w:styleId="230">
    <w:name w:val="ca-31"/>
    <w:qFormat/>
    <w:uiPriority w:val="0"/>
    <w:rPr>
      <w:rFonts w:hint="eastAsia" w:ascii="仿宋_GB2312" w:eastAsia="仿宋_GB2312"/>
      <w:kern w:val="36"/>
      <w:sz w:val="32"/>
      <w:szCs w:val="32"/>
      <w:lang w:val="en-US" w:eastAsia="zh-CN" w:bidi="ar-SA"/>
    </w:rPr>
  </w:style>
  <w:style w:type="character" w:customStyle="1" w:styleId="231">
    <w:name w:val="ca-41"/>
    <w:qFormat/>
    <w:uiPriority w:val="0"/>
    <w:rPr>
      <w:rFonts w:hint="eastAsia" w:ascii="宋体" w:hAnsi="宋体" w:eastAsia="宋体"/>
      <w:kern w:val="36"/>
      <w:sz w:val="32"/>
      <w:szCs w:val="32"/>
      <w:lang w:val="en-US" w:eastAsia="zh-CN" w:bidi="ar-SA"/>
    </w:rPr>
  </w:style>
  <w:style w:type="character" w:customStyle="1" w:styleId="232">
    <w:name w:val="ca-51"/>
    <w:qFormat/>
    <w:uiPriority w:val="0"/>
    <w:rPr>
      <w:rFonts w:hint="eastAsia" w:ascii="仿宋_GB2312" w:eastAsia="仿宋_GB2312"/>
      <w:b/>
      <w:bCs/>
      <w:color w:val="000000"/>
      <w:spacing w:val="-20"/>
      <w:kern w:val="36"/>
      <w:sz w:val="32"/>
      <w:szCs w:val="32"/>
      <w:lang w:val="en-US" w:eastAsia="zh-CN" w:bidi="ar-SA"/>
    </w:rPr>
  </w:style>
  <w:style w:type="paragraph" w:customStyle="1" w:styleId="233">
    <w:name w:val="政府文档"/>
    <w:basedOn w:val="1"/>
    <w:qFormat/>
    <w:uiPriority w:val="99"/>
    <w:pPr>
      <w:spacing w:line="560" w:lineRule="atLeast"/>
      <w:ind w:firstLine="630" w:firstLineChars="196"/>
    </w:pPr>
    <w:rPr>
      <w:rFonts w:ascii="仿宋_GB2312" w:hAnsi="宋体" w:eastAsia="仿宋_GB2312" w:cs="Times New Roman"/>
      <w:bCs/>
      <w:color w:val="000000"/>
      <w:sz w:val="32"/>
      <w:szCs w:val="32"/>
    </w:rPr>
  </w:style>
  <w:style w:type="paragraph" w:customStyle="1" w:styleId="234">
    <w:name w:val="pa-14"/>
    <w:basedOn w:val="1"/>
    <w:qFormat/>
    <w:uiPriority w:val="99"/>
    <w:pPr>
      <w:widowControl/>
      <w:spacing w:line="360" w:lineRule="atLeast"/>
      <w:ind w:firstLine="640"/>
      <w:jc w:val="center"/>
    </w:pPr>
    <w:rPr>
      <w:rFonts w:ascii="宋体" w:hAnsi="宋体" w:eastAsia="宋体" w:cs="宋体"/>
      <w:kern w:val="0"/>
      <w:sz w:val="24"/>
      <w:szCs w:val="24"/>
    </w:rPr>
  </w:style>
  <w:style w:type="character" w:customStyle="1" w:styleId="235">
    <w:name w:val="ca-71"/>
    <w:qFormat/>
    <w:uiPriority w:val="0"/>
    <w:rPr>
      <w:rFonts w:hint="eastAsia" w:ascii="楷体_GB2312" w:eastAsia="楷体_GB2312"/>
      <w:b/>
      <w:bCs/>
      <w:color w:val="000000"/>
      <w:spacing w:val="-20"/>
      <w:kern w:val="36"/>
      <w:sz w:val="32"/>
      <w:szCs w:val="32"/>
      <w:lang w:val="en-US" w:eastAsia="zh-CN" w:bidi="ar-SA"/>
    </w:rPr>
  </w:style>
  <w:style w:type="character" w:customStyle="1" w:styleId="236">
    <w:name w:val="ca-81"/>
    <w:qFormat/>
    <w:uiPriority w:val="0"/>
    <w:rPr>
      <w:rFonts w:hint="eastAsia" w:ascii="仿宋_GB2312" w:eastAsia="仿宋_GB2312"/>
      <w:vanish/>
      <w:color w:val="000000"/>
      <w:kern w:val="36"/>
      <w:sz w:val="32"/>
      <w:szCs w:val="32"/>
      <w:lang w:val="en-US" w:eastAsia="zh-CN" w:bidi="ar-SA"/>
    </w:rPr>
  </w:style>
  <w:style w:type="character" w:customStyle="1" w:styleId="237">
    <w:name w:val="ca-91"/>
    <w:qFormat/>
    <w:uiPriority w:val="0"/>
    <w:rPr>
      <w:rFonts w:hint="eastAsia" w:ascii="黑体" w:eastAsia="黑体"/>
      <w:kern w:val="36"/>
      <w:sz w:val="32"/>
      <w:szCs w:val="32"/>
      <w:lang w:val="en-US" w:eastAsia="zh-CN" w:bidi="ar-SA"/>
    </w:rPr>
  </w:style>
  <w:style w:type="character" w:customStyle="1" w:styleId="238">
    <w:name w:val="ca-101"/>
    <w:qFormat/>
    <w:uiPriority w:val="0"/>
    <w:rPr>
      <w:rFonts w:hint="eastAsia" w:ascii="仿宋_GB2312" w:eastAsia="仿宋_GB2312"/>
      <w:b/>
      <w:bCs/>
      <w:color w:val="000000"/>
      <w:spacing w:val="-20"/>
      <w:kern w:val="36"/>
      <w:sz w:val="32"/>
      <w:szCs w:val="32"/>
      <w:lang w:val="en-US" w:eastAsia="zh-CN" w:bidi="ar-SA"/>
    </w:rPr>
  </w:style>
  <w:style w:type="character" w:customStyle="1" w:styleId="239">
    <w:name w:val="ca-121"/>
    <w:qFormat/>
    <w:uiPriority w:val="0"/>
    <w:rPr>
      <w:rFonts w:hint="eastAsia" w:ascii="楷体_GB2312" w:eastAsia="楷体_GB2312"/>
      <w:color w:val="000000"/>
      <w:kern w:val="36"/>
      <w:sz w:val="32"/>
      <w:szCs w:val="32"/>
      <w:lang w:val="en-US" w:eastAsia="zh-CN" w:bidi="ar-SA"/>
    </w:rPr>
  </w:style>
  <w:style w:type="paragraph" w:customStyle="1" w:styleId="240">
    <w:name w:val="标准书脚_奇数页"/>
    <w:qFormat/>
    <w:uiPriority w:val="99"/>
    <w:pPr>
      <w:spacing w:before="120"/>
      <w:jc w:val="right"/>
    </w:pPr>
    <w:rPr>
      <w:rFonts w:ascii="Times New Roman" w:hAnsi="Times New Roman" w:eastAsia="宋体" w:cs="Times New Roman"/>
      <w:kern w:val="0"/>
      <w:sz w:val="18"/>
      <w:szCs w:val="20"/>
      <w:lang w:val="en-US" w:eastAsia="zh-CN" w:bidi="ar-SA"/>
    </w:rPr>
  </w:style>
  <w:style w:type="paragraph" w:customStyle="1" w:styleId="241">
    <w:name w:val="标准书眉_偶数页"/>
    <w:basedOn w:val="1"/>
    <w:next w:val="1"/>
    <w:qFormat/>
    <w:uiPriority w:val="99"/>
    <w:pPr>
      <w:widowControl/>
      <w:tabs>
        <w:tab w:val="center" w:pos="4154"/>
        <w:tab w:val="right" w:pos="8306"/>
      </w:tabs>
      <w:spacing w:after="120"/>
      <w:jc w:val="left"/>
    </w:pPr>
    <w:rPr>
      <w:rFonts w:ascii="Times New Roman" w:hAnsi="Times New Roman" w:eastAsia="宋体" w:cs="Times New Roman"/>
      <w:kern w:val="0"/>
      <w:szCs w:val="20"/>
    </w:rPr>
  </w:style>
  <w:style w:type="paragraph" w:customStyle="1" w:styleId="242">
    <w:name w:val="一级条标题"/>
    <w:next w:val="91"/>
    <w:qFormat/>
    <w:uiPriority w:val="99"/>
    <w:pPr>
      <w:ind w:left="2340"/>
      <w:outlineLvl w:val="2"/>
    </w:pPr>
    <w:rPr>
      <w:rFonts w:ascii="Times New Roman" w:hAnsi="Times New Roman" w:eastAsia="黑体" w:cs="Times New Roman"/>
      <w:kern w:val="0"/>
      <w:sz w:val="21"/>
      <w:szCs w:val="20"/>
      <w:lang w:val="en-US" w:eastAsia="zh-CN" w:bidi="ar-SA"/>
    </w:rPr>
  </w:style>
  <w:style w:type="paragraph" w:customStyle="1" w:styleId="243">
    <w:name w:val="二级条标题"/>
    <w:basedOn w:val="242"/>
    <w:next w:val="91"/>
    <w:qFormat/>
    <w:uiPriority w:val="99"/>
    <w:pPr>
      <w:ind w:left="284"/>
      <w:outlineLvl w:val="3"/>
    </w:pPr>
  </w:style>
  <w:style w:type="character" w:customStyle="1" w:styleId="244">
    <w:name w:val="f141"/>
    <w:qFormat/>
    <w:uiPriority w:val="0"/>
    <w:rPr>
      <w:rFonts w:eastAsia="宋体"/>
      <w:kern w:val="36"/>
      <w:sz w:val="17"/>
      <w:szCs w:val="17"/>
      <w:lang w:val="en-US" w:eastAsia="zh-CN" w:bidi="ar-SA"/>
    </w:rPr>
  </w:style>
  <w:style w:type="paragraph" w:customStyle="1" w:styleId="245">
    <w:name w:val="样式姜文清通用"/>
    <w:next w:val="1"/>
    <w:qFormat/>
    <w:uiPriority w:val="99"/>
    <w:pPr>
      <w:widowControl w:val="0"/>
      <w:snapToGrid w:val="0"/>
      <w:spacing w:line="580" w:lineRule="exact"/>
      <w:ind w:firstLine="640" w:firstLineChars="200"/>
      <w:jc w:val="both"/>
    </w:pPr>
    <w:rPr>
      <w:rFonts w:ascii="仿宋_GB2312" w:hAnsi="宋体" w:eastAsia="仿宋_GB2312" w:cs="Tahoma"/>
      <w:color w:val="000000"/>
      <w:kern w:val="2"/>
      <w:sz w:val="32"/>
      <w:szCs w:val="32"/>
      <w:lang w:val="en-US" w:eastAsia="zh-CN" w:bidi="ar-SA"/>
    </w:rPr>
  </w:style>
  <w:style w:type="paragraph" w:customStyle="1" w:styleId="246">
    <w:name w:val="Char Char Char3"/>
    <w:basedOn w:val="1"/>
    <w:qFormat/>
    <w:uiPriority w:val="99"/>
    <w:rPr>
      <w:rFonts w:ascii="Times New Roman" w:hAnsi="Times New Roman" w:eastAsia="宋体" w:cs="Times New Roman"/>
      <w:szCs w:val="24"/>
    </w:rPr>
  </w:style>
  <w:style w:type="paragraph" w:customStyle="1" w:styleId="247">
    <w:name w:val="List Paragraph1"/>
    <w:basedOn w:val="1"/>
    <w:qFormat/>
    <w:uiPriority w:val="99"/>
    <w:pPr>
      <w:ind w:firstLine="420" w:firstLineChars="200"/>
    </w:pPr>
    <w:rPr>
      <w:rFonts w:ascii="Times New Roman" w:hAnsi="Times New Roman" w:eastAsia="宋体" w:cs="Times New Roman"/>
      <w:szCs w:val="21"/>
    </w:rPr>
  </w:style>
  <w:style w:type="paragraph" w:customStyle="1" w:styleId="248">
    <w:name w:val="列出段落1"/>
    <w:basedOn w:val="1"/>
    <w:qFormat/>
    <w:uiPriority w:val="99"/>
    <w:pPr>
      <w:ind w:firstLine="420" w:firstLineChars="200"/>
    </w:pPr>
    <w:rPr>
      <w:rFonts w:ascii="Times New Roman" w:hAnsi="Times New Roman" w:eastAsia="宋体" w:cs="Times New Roman"/>
      <w:szCs w:val="21"/>
    </w:rPr>
  </w:style>
  <w:style w:type="paragraph" w:customStyle="1" w:styleId="249">
    <w:name w:val="Char Char Char1 Char Char Char Char Char Char Char"/>
    <w:basedOn w:val="1"/>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250">
    <w:name w:val="WW-正文文字 3"/>
    <w:basedOn w:val="1"/>
    <w:qFormat/>
    <w:uiPriority w:val="99"/>
    <w:pPr>
      <w:suppressAutoHyphens/>
      <w:snapToGrid w:val="0"/>
      <w:spacing w:line="360" w:lineRule="auto"/>
    </w:pPr>
    <w:rPr>
      <w:rFonts w:ascii="仿宋_GB2312" w:hAnsi="仿宋_GB2312" w:eastAsia="仿宋_GB2312" w:cs="Times New Roman"/>
      <w:kern w:val="0"/>
      <w:sz w:val="24"/>
      <w:szCs w:val="28"/>
    </w:rPr>
  </w:style>
  <w:style w:type="character" w:customStyle="1" w:styleId="251">
    <w:name w:val="title1"/>
    <w:qFormat/>
    <w:uiPriority w:val="0"/>
    <w:rPr>
      <w:rFonts w:hint="eastAsia" w:ascii="Verdana, Arial, 宋体" w:eastAsia="Verdana, Arial, 宋体"/>
      <w:b/>
      <w:bCs/>
      <w:color w:val="333333"/>
      <w:kern w:val="36"/>
      <w:sz w:val="30"/>
      <w:szCs w:val="30"/>
      <w:lang w:val="en-US" w:eastAsia="zh-CN" w:bidi="ar-SA"/>
    </w:rPr>
  </w:style>
  <w:style w:type="paragraph" w:customStyle="1" w:styleId="252">
    <w:name w:val="抄送"/>
    <w:basedOn w:val="163"/>
    <w:qFormat/>
    <w:uiPriority w:val="99"/>
    <w:pPr>
      <w:framePr w:wrap="notBeside" w:vAnchor="margin" w:hAnchor="margin" w:yAlign="bottom"/>
      <w:suppressAutoHyphens w:val="0"/>
      <w:ind w:left="0" w:firstLine="0"/>
    </w:pPr>
    <w:rPr>
      <w:rFonts w:eastAsia="仿宋_GB2312"/>
      <w:kern w:val="2"/>
      <w:lang w:eastAsia="zh-CN"/>
    </w:rPr>
  </w:style>
  <w:style w:type="character" w:customStyle="1" w:styleId="253">
    <w:name w:val="正文首行缩进 Char"/>
    <w:basedOn w:val="94"/>
    <w:link w:val="46"/>
    <w:qFormat/>
    <w:uiPriority w:val="99"/>
    <w:rPr>
      <w:rFonts w:ascii="Times New Roman" w:hAnsi="Times New Roman" w:eastAsia="宋体" w:cs="Times New Roman"/>
      <w:kern w:val="1"/>
      <w:szCs w:val="24"/>
      <w:lang w:eastAsia="ar-SA"/>
    </w:rPr>
  </w:style>
  <w:style w:type="paragraph" w:customStyle="1" w:styleId="254">
    <w:name w:val="Char Char4 Char Char Char Char Char Char Char Char"/>
    <w:basedOn w:val="12"/>
    <w:qFormat/>
    <w:uiPriority w:val="99"/>
    <w:pPr>
      <w:suppressAutoHyphens w:val="0"/>
      <w:adjustRightInd w:val="0"/>
      <w:spacing w:line="436" w:lineRule="exact"/>
      <w:ind w:left="357"/>
      <w:jc w:val="left"/>
      <w:outlineLvl w:val="3"/>
    </w:pPr>
    <w:rPr>
      <w:rFonts w:ascii="Tahoma" w:hAnsi="Tahoma"/>
      <w:b/>
      <w:kern w:val="2"/>
      <w:sz w:val="24"/>
      <w:lang w:eastAsia="zh-CN"/>
    </w:rPr>
  </w:style>
  <w:style w:type="paragraph" w:customStyle="1" w:styleId="255">
    <w:name w:val="前言、引言标题"/>
    <w:next w:val="1"/>
    <w:qFormat/>
    <w:uiPriority w:val="99"/>
    <w:pPr>
      <w:shd w:val="clear" w:color="FFFFFF" w:fill="FFFFFF"/>
      <w:spacing w:before="640" w:after="560"/>
      <w:jc w:val="center"/>
      <w:outlineLvl w:val="0"/>
    </w:pPr>
    <w:rPr>
      <w:rFonts w:ascii="黑体" w:hAnsi="Times New Roman" w:eastAsia="黑体" w:cs="Times New Roman"/>
      <w:kern w:val="0"/>
      <w:sz w:val="32"/>
      <w:szCs w:val="20"/>
      <w:lang w:val="en-US" w:eastAsia="zh-CN" w:bidi="ar-SA"/>
    </w:rPr>
  </w:style>
  <w:style w:type="paragraph" w:customStyle="1" w:styleId="256">
    <w:name w:val="五级条标题"/>
    <w:basedOn w:val="1"/>
    <w:next w:val="1"/>
    <w:qFormat/>
    <w:uiPriority w:val="99"/>
    <w:pPr>
      <w:widowControl/>
      <w:jc w:val="left"/>
      <w:outlineLvl w:val="6"/>
    </w:pPr>
    <w:rPr>
      <w:rFonts w:ascii="宋体" w:hAnsi="宋体" w:eastAsia="宋体" w:cs="Times New Roman"/>
      <w:kern w:val="0"/>
      <w:szCs w:val="21"/>
    </w:rPr>
  </w:style>
  <w:style w:type="character" w:customStyle="1" w:styleId="257">
    <w:name w:val="样式 仿宋_GB2312 (符号) Arial 小三 灰色-80%"/>
    <w:qFormat/>
    <w:uiPriority w:val="0"/>
    <w:rPr>
      <w:rFonts w:ascii="仿宋_GB2312" w:hAnsi="仿宋_GB2312" w:eastAsia="仿宋_GB2312"/>
      <w:color w:val="333333"/>
      <w:kern w:val="0"/>
      <w:sz w:val="30"/>
      <w:szCs w:val="24"/>
      <w:lang w:val="en-US" w:eastAsia="zh-CN" w:bidi="ar-SA"/>
    </w:rPr>
  </w:style>
  <w:style w:type="character" w:customStyle="1" w:styleId="258">
    <w:name w:val="p11"/>
    <w:qFormat/>
    <w:uiPriority w:val="0"/>
    <w:rPr>
      <w:rFonts w:hint="eastAsia" w:ascii="宋体" w:hAnsi="宋体" w:eastAsia="宋体"/>
      <w:kern w:val="36"/>
      <w:sz w:val="18"/>
      <w:szCs w:val="18"/>
      <w:lang w:val="en-US" w:eastAsia="zh-CN" w:bidi="ar-SA"/>
    </w:rPr>
  </w:style>
  <w:style w:type="character" w:customStyle="1" w:styleId="259">
    <w:name w:val="style71"/>
    <w:qFormat/>
    <w:uiPriority w:val="0"/>
    <w:rPr>
      <w:rFonts w:eastAsia="宋体"/>
      <w:kern w:val="36"/>
      <w:sz w:val="24"/>
      <w:szCs w:val="24"/>
      <w:lang w:val="en-US" w:eastAsia="zh-CN" w:bidi="ar-SA"/>
    </w:rPr>
  </w:style>
  <w:style w:type="paragraph" w:customStyle="1" w:styleId="260">
    <w:name w:val="Char Char Char Char Char Char Char Char Char Char"/>
    <w:basedOn w:val="1"/>
    <w:qFormat/>
    <w:uiPriority w:val="99"/>
    <w:pPr>
      <w:widowControl/>
      <w:spacing w:after="160" w:line="240" w:lineRule="exact"/>
      <w:jc w:val="left"/>
    </w:pPr>
    <w:rPr>
      <w:rFonts w:ascii="Verdana" w:hAnsi="Verdana" w:eastAsia="仿宋_GB2312" w:cs="Times New Roman"/>
      <w:kern w:val="0"/>
      <w:sz w:val="24"/>
      <w:szCs w:val="20"/>
      <w:lang w:eastAsia="en-US"/>
    </w:rPr>
  </w:style>
  <w:style w:type="paragraph" w:customStyle="1" w:styleId="261">
    <w:name w:val="contentarticle"/>
    <w:basedOn w:val="1"/>
    <w:qFormat/>
    <w:uiPriority w:val="99"/>
    <w:pPr>
      <w:widowControl/>
      <w:spacing w:before="100" w:beforeAutospacing="1" w:after="100" w:afterAutospacing="1"/>
      <w:jc w:val="left"/>
    </w:pPr>
    <w:rPr>
      <w:rFonts w:ascii="宋体" w:hAnsi="宋体" w:eastAsia="宋体" w:cs="Times New Roman"/>
      <w:kern w:val="0"/>
      <w:sz w:val="26"/>
      <w:szCs w:val="26"/>
    </w:rPr>
  </w:style>
  <w:style w:type="paragraph" w:customStyle="1" w:styleId="262">
    <w:name w:val="p18"/>
    <w:basedOn w:val="1"/>
    <w:qFormat/>
    <w:uiPriority w:val="99"/>
    <w:pPr>
      <w:widowControl/>
    </w:pPr>
    <w:rPr>
      <w:rFonts w:ascii="Times New Roman" w:hAnsi="Times New Roman" w:eastAsia="宋体" w:cs="Times New Roman"/>
      <w:kern w:val="0"/>
      <w:sz w:val="24"/>
      <w:szCs w:val="21"/>
    </w:rPr>
  </w:style>
  <w:style w:type="paragraph" w:customStyle="1" w:styleId="263">
    <w:name w:val="Char Char Char Char Char Char Char Char Char Char1"/>
    <w:basedOn w:val="1"/>
    <w:qFormat/>
    <w:uiPriority w:val="99"/>
    <w:pPr>
      <w:jc w:val="left"/>
    </w:pPr>
    <w:rPr>
      <w:rFonts w:ascii="Tahoma" w:hAnsi="Tahoma" w:eastAsia="宋体" w:cs="Times New Roman"/>
      <w:sz w:val="24"/>
      <w:szCs w:val="20"/>
    </w:rPr>
  </w:style>
  <w:style w:type="character" w:customStyle="1" w:styleId="264">
    <w:name w:val="15"/>
    <w:qFormat/>
    <w:uiPriority w:val="0"/>
    <w:rPr>
      <w:rFonts w:hint="default" w:ascii="Times New Roman" w:hAnsi="Times New Roman" w:eastAsia="宋体" w:cs="Times New Roman"/>
      <w:color w:val="0000FF"/>
      <w:kern w:val="36"/>
      <w:sz w:val="20"/>
      <w:szCs w:val="20"/>
      <w:u w:val="single"/>
      <w:lang w:val="en-US" w:eastAsia="zh-CN" w:bidi="ar-SA"/>
    </w:rPr>
  </w:style>
  <w:style w:type="character" w:customStyle="1" w:styleId="265">
    <w:name w:val="17"/>
    <w:qFormat/>
    <w:uiPriority w:val="0"/>
    <w:rPr>
      <w:rFonts w:hint="default" w:ascii="Times New Roman" w:hAnsi="Times New Roman" w:eastAsia="宋体" w:cs="Times New Roman"/>
      <w:color w:val="0000FF"/>
      <w:kern w:val="36"/>
      <w:sz w:val="20"/>
      <w:szCs w:val="20"/>
      <w:u w:val="single"/>
      <w:lang w:val="en-US" w:eastAsia="zh-CN" w:bidi="ar-SA"/>
    </w:rPr>
  </w:style>
  <w:style w:type="paragraph" w:customStyle="1" w:styleId="266">
    <w:name w:val="p0"/>
    <w:basedOn w:val="1"/>
    <w:qFormat/>
    <w:uiPriority w:val="99"/>
    <w:pPr>
      <w:widowControl/>
    </w:pPr>
    <w:rPr>
      <w:rFonts w:ascii="Times New Roman" w:hAnsi="Times New Roman" w:eastAsia="宋体" w:cs="Times New Roman"/>
      <w:kern w:val="0"/>
      <w:sz w:val="24"/>
      <w:szCs w:val="21"/>
    </w:rPr>
  </w:style>
  <w:style w:type="character" w:customStyle="1" w:styleId="267">
    <w:name w:val="dabiaoti"/>
    <w:basedOn w:val="49"/>
    <w:qFormat/>
    <w:uiPriority w:val="0"/>
  </w:style>
  <w:style w:type="paragraph" w:customStyle="1" w:styleId="268">
    <w:name w:val="封面标准名称"/>
    <w:qFormat/>
    <w:uiPriority w:val="99"/>
    <w:pPr>
      <w:framePr w:w="9638" w:h="6917" w:hRule="exact" w:wrap="around" w:vAnchor="margin" w:hAnchor="margin" w:xAlign="center" w:y="5955" w:anchorLock="1"/>
      <w:widowControl w:val="0"/>
      <w:spacing w:line="680" w:lineRule="exact"/>
      <w:jc w:val="center"/>
      <w:textAlignment w:val="center"/>
    </w:pPr>
    <w:rPr>
      <w:rFonts w:ascii="黑体" w:hAnsi="Times New Roman" w:eastAsia="黑体" w:cs="Times New Roman"/>
      <w:kern w:val="0"/>
      <w:sz w:val="52"/>
      <w:szCs w:val="20"/>
      <w:lang w:val="en-US" w:eastAsia="zh-CN" w:bidi="ar-SA"/>
    </w:rPr>
  </w:style>
  <w:style w:type="paragraph" w:customStyle="1" w:styleId="269">
    <w:name w:val="0"/>
    <w:basedOn w:val="1"/>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270">
    <w:name w:val="t11"/>
    <w:qFormat/>
    <w:uiPriority w:val="0"/>
    <w:rPr>
      <w:color w:val="000000"/>
      <w:sz w:val="18"/>
      <w:szCs w:val="18"/>
      <w:u w:val="none"/>
    </w:rPr>
  </w:style>
  <w:style w:type="character" w:customStyle="1" w:styleId="271">
    <w:name w:val="样式 正文－四号 Char Char"/>
    <w:link w:val="272"/>
    <w:qFormat/>
    <w:locked/>
    <w:uiPriority w:val="0"/>
    <w:rPr>
      <w:rFonts w:ascii="仿宋_GB2312" w:eastAsia="仿宋_GB2312"/>
      <w:color w:val="000000"/>
      <w:sz w:val="28"/>
    </w:rPr>
  </w:style>
  <w:style w:type="paragraph" w:customStyle="1" w:styleId="272">
    <w:name w:val="样式 正文－四号"/>
    <w:basedOn w:val="1"/>
    <w:link w:val="271"/>
    <w:qFormat/>
    <w:uiPriority w:val="0"/>
    <w:pPr>
      <w:ind w:firstLine="560"/>
    </w:pPr>
    <w:rPr>
      <w:rFonts w:ascii="仿宋_GB2312" w:eastAsia="仿宋_GB2312"/>
      <w:color w:val="000000"/>
      <w:sz w:val="28"/>
    </w:rPr>
  </w:style>
  <w:style w:type="paragraph" w:customStyle="1" w:styleId="273">
    <w:name w:val="样式 正文－小字 + Times New Roman"/>
    <w:basedOn w:val="1"/>
    <w:link w:val="274"/>
    <w:qFormat/>
    <w:uiPriority w:val="0"/>
    <w:pPr>
      <w:spacing w:beforeLines="50" w:afterLines="50" w:line="360" w:lineRule="auto"/>
      <w:ind w:firstLine="560" w:firstLineChars="200"/>
    </w:pPr>
    <w:rPr>
      <w:rFonts w:ascii="Times New Roman" w:hAnsi="Times New Roman" w:eastAsia="仿宋_GB2312" w:cs="Times New Roman"/>
      <w:color w:val="000000"/>
      <w:sz w:val="28"/>
      <w:szCs w:val="28"/>
    </w:rPr>
  </w:style>
  <w:style w:type="character" w:customStyle="1" w:styleId="274">
    <w:name w:val="样式 正文－小字 + Times New Roman Char"/>
    <w:link w:val="273"/>
    <w:qFormat/>
    <w:locked/>
    <w:uiPriority w:val="0"/>
    <w:rPr>
      <w:rFonts w:ascii="Times New Roman" w:hAnsi="Times New Roman" w:eastAsia="仿宋_GB2312" w:cs="Times New Roman"/>
      <w:color w:val="000000"/>
      <w:sz w:val="28"/>
      <w:szCs w:val="28"/>
    </w:rPr>
  </w:style>
  <w:style w:type="paragraph" w:customStyle="1" w:styleId="275">
    <w:name w:val="成本核算表"/>
    <w:next w:val="1"/>
    <w:qFormat/>
    <w:uiPriority w:val="99"/>
    <w:rPr>
      <w:rFonts w:ascii="Times New Roman" w:hAnsi="Times New Roman" w:eastAsia="仿宋_GB2312" w:cs="宋体"/>
      <w:kern w:val="2"/>
      <w:sz w:val="21"/>
      <w:szCs w:val="20"/>
      <w:lang w:val="en-US" w:eastAsia="zh-CN" w:bidi="ar-SA"/>
    </w:rPr>
  </w:style>
  <w:style w:type="character" w:customStyle="1" w:styleId="276">
    <w:name w:val="title-blue1"/>
    <w:qFormat/>
    <w:uiPriority w:val="0"/>
    <w:rPr>
      <w:rFonts w:hint="default" w:ascii="Verdana" w:hAnsi="Verdana"/>
      <w:b/>
      <w:bCs/>
      <w:color w:val="CC3300"/>
      <w:sz w:val="21"/>
      <w:szCs w:val="21"/>
      <w:u w:val="none"/>
    </w:rPr>
  </w:style>
  <w:style w:type="paragraph" w:customStyle="1" w:styleId="277">
    <w:name w:val="style2"/>
    <w:basedOn w:val="1"/>
    <w:qFormat/>
    <w:uiPriority w:val="99"/>
    <w:pPr>
      <w:widowControl/>
      <w:spacing w:before="100" w:beforeAutospacing="1" w:after="100" w:afterAutospacing="1" w:line="270" w:lineRule="atLeast"/>
      <w:ind w:left="150"/>
      <w:jc w:val="left"/>
    </w:pPr>
    <w:rPr>
      <w:rFonts w:ascii="宋体" w:hAnsi="宋体" w:eastAsia="宋体" w:cs="宋体"/>
      <w:color w:val="878787"/>
      <w:kern w:val="0"/>
      <w:sz w:val="24"/>
      <w:szCs w:val="24"/>
    </w:rPr>
  </w:style>
  <w:style w:type="character" w:customStyle="1" w:styleId="278">
    <w:name w:val="style9"/>
    <w:basedOn w:val="49"/>
    <w:qFormat/>
    <w:uiPriority w:val="0"/>
  </w:style>
  <w:style w:type="character" w:customStyle="1" w:styleId="279">
    <w:name w:val="Char Char10"/>
    <w:qFormat/>
    <w:uiPriority w:val="0"/>
    <w:rPr>
      <w:rFonts w:eastAsia="宋体"/>
      <w:b/>
      <w:bCs/>
      <w:kern w:val="44"/>
      <w:sz w:val="44"/>
      <w:szCs w:val="44"/>
      <w:lang w:val="en-US" w:eastAsia="zh-CN" w:bidi="ar-SA"/>
    </w:rPr>
  </w:style>
  <w:style w:type="character" w:customStyle="1" w:styleId="280">
    <w:name w:val="标题 2 Char Char Char Char Char Char"/>
    <w:qFormat/>
    <w:uiPriority w:val="0"/>
    <w:rPr>
      <w:rFonts w:ascii="Arial" w:hAnsi="Arial" w:eastAsia="黑体"/>
      <w:b/>
      <w:bCs/>
      <w:kern w:val="2"/>
      <w:sz w:val="32"/>
      <w:szCs w:val="32"/>
      <w:lang w:val="en-US" w:eastAsia="zh-CN" w:bidi="ar-SA"/>
    </w:rPr>
  </w:style>
  <w:style w:type="character" w:customStyle="1" w:styleId="281">
    <w:name w:val="f14px lineheight200"/>
    <w:basedOn w:val="49"/>
    <w:qFormat/>
    <w:uiPriority w:val="0"/>
  </w:style>
  <w:style w:type="character" w:customStyle="1" w:styleId="282">
    <w:name w:val="hei111"/>
    <w:qFormat/>
    <w:uiPriority w:val="0"/>
    <w:rPr>
      <w:rFonts w:hint="default" w:ascii="ˎ̥" w:hAnsi="ˎ̥"/>
      <w:color w:val="000000"/>
      <w:sz w:val="21"/>
      <w:szCs w:val="21"/>
      <w:u w:val="none"/>
    </w:rPr>
  </w:style>
  <w:style w:type="character" w:customStyle="1" w:styleId="283">
    <w:name w:val="Char Char5"/>
    <w:qFormat/>
    <w:uiPriority w:val="0"/>
    <w:rPr>
      <w:rFonts w:eastAsia="宋体"/>
      <w:b/>
      <w:bCs/>
      <w:kern w:val="2"/>
      <w:sz w:val="32"/>
      <w:szCs w:val="32"/>
      <w:lang w:val="en-US" w:eastAsia="zh-CN" w:bidi="ar-SA"/>
    </w:rPr>
  </w:style>
  <w:style w:type="paragraph" w:customStyle="1" w:styleId="284">
    <w:name w:val="TOC Heading"/>
    <w:basedOn w:val="2"/>
    <w:next w:val="1"/>
    <w:qFormat/>
    <w:uiPriority w:val="99"/>
    <w:pPr>
      <w:widowControl/>
      <w:spacing w:before="480" w:line="276" w:lineRule="auto"/>
      <w:jc w:val="left"/>
      <w:outlineLvl w:val="9"/>
    </w:pPr>
    <w:rPr>
      <w:rFonts w:ascii="Cambria" w:hAnsi="Cambria"/>
      <w:color w:val="365F91"/>
      <w:kern w:val="0"/>
      <w:sz w:val="28"/>
      <w:szCs w:val="28"/>
    </w:rPr>
  </w:style>
  <w:style w:type="character" w:customStyle="1" w:styleId="285">
    <w:name w:val="short_text"/>
    <w:basedOn w:val="49"/>
    <w:qFormat/>
    <w:uiPriority w:val="0"/>
  </w:style>
  <w:style w:type="paragraph" w:customStyle="1" w:styleId="286">
    <w:name w:val="Style1"/>
    <w:basedOn w:val="1"/>
    <w:link w:val="287"/>
    <w:qFormat/>
    <w:uiPriority w:val="0"/>
    <w:rPr>
      <w:rFonts w:ascii="Arial" w:hAnsi="Arial" w:eastAsia="宋体" w:cs="Times New Roman"/>
      <w:sz w:val="24"/>
      <w:szCs w:val="24"/>
    </w:rPr>
  </w:style>
  <w:style w:type="character" w:customStyle="1" w:styleId="287">
    <w:name w:val="Style1 Char"/>
    <w:link w:val="286"/>
    <w:qFormat/>
    <w:uiPriority w:val="0"/>
    <w:rPr>
      <w:rFonts w:ascii="Arial" w:hAnsi="Arial" w:eastAsia="宋体" w:cs="Times New Roman"/>
      <w:sz w:val="24"/>
      <w:szCs w:val="24"/>
    </w:rPr>
  </w:style>
  <w:style w:type="paragraph" w:customStyle="1" w:styleId="288">
    <w:name w:val="Style4"/>
    <w:basedOn w:val="1"/>
    <w:link w:val="289"/>
    <w:qFormat/>
    <w:uiPriority w:val="0"/>
    <w:pPr>
      <w:spacing w:before="50" w:beforeLines="50" w:after="50" w:afterLines="50" w:line="276" w:lineRule="auto"/>
      <w:ind w:firstLine="200" w:firstLineChars="200"/>
    </w:pPr>
    <w:rPr>
      <w:rFonts w:ascii="Arial" w:hAnsi="Arial" w:eastAsia="宋体" w:cs="Times New Roman"/>
      <w:sz w:val="24"/>
      <w:szCs w:val="24"/>
    </w:rPr>
  </w:style>
  <w:style w:type="character" w:customStyle="1" w:styleId="289">
    <w:name w:val="Style4 Char"/>
    <w:link w:val="288"/>
    <w:qFormat/>
    <w:uiPriority w:val="0"/>
    <w:rPr>
      <w:rFonts w:ascii="Arial" w:hAnsi="Arial" w:eastAsia="宋体" w:cs="Times New Roman"/>
      <w:sz w:val="24"/>
      <w:szCs w:val="24"/>
    </w:rPr>
  </w:style>
  <w:style w:type="character" w:customStyle="1" w:styleId="290">
    <w:name w:val="正文文 Char"/>
    <w:link w:val="291"/>
    <w:qFormat/>
    <w:locked/>
    <w:uiPriority w:val="0"/>
    <w:rPr>
      <w:rFonts w:eastAsia="仿宋_GB2312"/>
      <w:kern w:val="21"/>
      <w:sz w:val="32"/>
      <w:szCs w:val="28"/>
    </w:rPr>
  </w:style>
  <w:style w:type="paragraph" w:customStyle="1" w:styleId="291">
    <w:name w:val="正文文"/>
    <w:link w:val="290"/>
    <w:qFormat/>
    <w:uiPriority w:val="0"/>
    <w:pPr>
      <w:ind w:firstLine="200" w:firstLineChars="200"/>
      <w:jc w:val="both"/>
    </w:pPr>
    <w:rPr>
      <w:rFonts w:eastAsia="仿宋_GB2312" w:asciiTheme="minorHAnsi" w:hAnsiTheme="minorHAnsi" w:cstheme="minorBidi"/>
      <w:kern w:val="21"/>
      <w:sz w:val="32"/>
      <w:szCs w:val="28"/>
      <w:lang w:val="en-US" w:eastAsia="zh-CN" w:bidi="ar-SA"/>
    </w:rPr>
  </w:style>
  <w:style w:type="character" w:customStyle="1" w:styleId="292">
    <w:name w:val="Char Char11"/>
    <w:qFormat/>
    <w:uiPriority w:val="0"/>
    <w:rPr>
      <w:sz w:val="18"/>
      <w:szCs w:val="18"/>
    </w:rPr>
  </w:style>
  <w:style w:type="character" w:customStyle="1" w:styleId="293">
    <w:name w:val="正文2 Char"/>
    <w:link w:val="294"/>
    <w:qFormat/>
    <w:locked/>
    <w:uiPriority w:val="0"/>
    <w:rPr>
      <w:sz w:val="24"/>
      <w:szCs w:val="24"/>
    </w:rPr>
  </w:style>
  <w:style w:type="paragraph" w:customStyle="1" w:styleId="294">
    <w:name w:val="正文2"/>
    <w:basedOn w:val="1"/>
    <w:next w:val="1"/>
    <w:link w:val="293"/>
    <w:qFormat/>
    <w:uiPriority w:val="0"/>
    <w:pPr>
      <w:spacing w:beforeLines="50" w:line="312" w:lineRule="auto"/>
      <w:ind w:firstLine="200" w:firstLineChars="200"/>
      <w:jc w:val="left"/>
    </w:pPr>
    <w:rPr>
      <w:sz w:val="24"/>
      <w:szCs w:val="24"/>
    </w:rPr>
  </w:style>
  <w:style w:type="character" w:customStyle="1" w:styleId="295">
    <w:name w:val="hei41"/>
    <w:qFormat/>
    <w:uiPriority w:val="0"/>
    <w:rPr>
      <w:color w:val="000000"/>
      <w:spacing w:val="330"/>
      <w:sz w:val="21"/>
      <w:szCs w:val="21"/>
      <w:u w:val="none"/>
    </w:rPr>
  </w:style>
  <w:style w:type="paragraph" w:customStyle="1" w:styleId="296">
    <w:name w:val="默认段落字体 Para Char Char Char Char"/>
    <w:basedOn w:val="1"/>
    <w:qFormat/>
    <w:uiPriority w:val="99"/>
    <w:rPr>
      <w:rFonts w:ascii="Times New Roman" w:hAnsi="Times New Roman" w:eastAsia="宋体" w:cs="Times New Roman"/>
      <w:szCs w:val="20"/>
    </w:rPr>
  </w:style>
  <w:style w:type="character" w:customStyle="1" w:styleId="297">
    <w:name w:val="HTML 地址 Char"/>
    <w:basedOn w:val="49"/>
    <w:link w:val="21"/>
    <w:qFormat/>
    <w:uiPriority w:val="0"/>
    <w:rPr>
      <w:rFonts w:ascii="宋体" w:hAnsi="宋体" w:eastAsia="宋体" w:cs="宋体"/>
      <w:i/>
      <w:iCs/>
      <w:kern w:val="0"/>
      <w:sz w:val="24"/>
      <w:szCs w:val="24"/>
    </w:rPr>
  </w:style>
  <w:style w:type="paragraph" w:customStyle="1" w:styleId="298">
    <w:name w:val="样式 仿宋_GB2312 三号"/>
    <w:basedOn w:val="1"/>
    <w:qFormat/>
    <w:uiPriority w:val="99"/>
    <w:pPr>
      <w:spacing w:line="579" w:lineRule="exact"/>
      <w:ind w:firstLine="624" w:firstLineChars="200"/>
    </w:pPr>
    <w:rPr>
      <w:rFonts w:ascii="仿宋_GB2312" w:hAnsi="宋体" w:eastAsia="仿宋_GB2312" w:cs="宋体"/>
      <w:bCs/>
      <w:spacing w:val="-4"/>
      <w:sz w:val="32"/>
      <w:szCs w:val="32"/>
    </w:rPr>
  </w:style>
  <w:style w:type="character" w:customStyle="1" w:styleId="299">
    <w:name w:val="样式 仿宋_GB2312 三号1 Char"/>
    <w:qFormat/>
    <w:uiPriority w:val="0"/>
    <w:rPr>
      <w:rFonts w:ascii="仿宋_GB2312" w:hAnsi="宋体" w:eastAsia="仿宋_GB2312"/>
      <w:kern w:val="2"/>
      <w:sz w:val="32"/>
      <w:szCs w:val="24"/>
      <w:lang w:val="en-US" w:eastAsia="zh-CN" w:bidi="ar-SA"/>
    </w:rPr>
  </w:style>
  <w:style w:type="character" w:customStyle="1" w:styleId="300">
    <w:name w:val="脚注文本 Char"/>
    <w:basedOn w:val="49"/>
    <w:link w:val="36"/>
    <w:semiHidden/>
    <w:qFormat/>
    <w:uiPriority w:val="99"/>
    <w:rPr>
      <w:rFonts w:ascii="Times New Roman" w:hAnsi="Times New Roman" w:eastAsia="宋体" w:cs="Times New Roman"/>
      <w:sz w:val="18"/>
      <w:szCs w:val="18"/>
    </w:rPr>
  </w:style>
  <w:style w:type="paragraph" w:customStyle="1" w:styleId="301">
    <w:name w:val="正文11"/>
    <w:basedOn w:val="1"/>
    <w:qFormat/>
    <w:uiPriority w:val="99"/>
    <w:pPr>
      <w:suppressAutoHyphens/>
    </w:pPr>
    <w:rPr>
      <w:rFonts w:ascii="Times New Roman" w:hAnsi="Times New Roman" w:eastAsia="宋体" w:cs="Tahoma"/>
      <w:szCs w:val="21"/>
    </w:rPr>
  </w:style>
  <w:style w:type="paragraph" w:customStyle="1" w:styleId="302">
    <w:name w:val="Char Char Char Char Char Char1 Char"/>
    <w:basedOn w:val="12"/>
    <w:qFormat/>
    <w:uiPriority w:val="99"/>
    <w:pPr>
      <w:suppressAutoHyphens w:val="0"/>
      <w:adjustRightInd w:val="0"/>
      <w:spacing w:line="436" w:lineRule="exact"/>
      <w:ind w:left="357"/>
      <w:jc w:val="left"/>
      <w:outlineLvl w:val="3"/>
    </w:pPr>
    <w:rPr>
      <w:kern w:val="2"/>
      <w:lang w:eastAsia="zh-CN"/>
    </w:rPr>
  </w:style>
  <w:style w:type="paragraph" w:customStyle="1" w:styleId="303">
    <w:name w:val="Char Char2 Char Char Char Char Char Char Char Char Char1 Char"/>
    <w:basedOn w:val="1"/>
    <w:qFormat/>
    <w:uiPriority w:val="99"/>
    <w:pPr>
      <w:widowControl/>
      <w:spacing w:after="160" w:line="240" w:lineRule="exact"/>
      <w:jc w:val="left"/>
    </w:pPr>
    <w:rPr>
      <w:rFonts w:ascii="Times New Roman" w:hAnsi="Times New Roman" w:eastAsia="宋体" w:cs="Times New Roman"/>
      <w:szCs w:val="24"/>
    </w:rPr>
  </w:style>
  <w:style w:type="character" w:customStyle="1" w:styleId="304">
    <w:name w:val="dash6b63_6587__char"/>
    <w:qFormat/>
    <w:uiPriority w:val="0"/>
  </w:style>
  <w:style w:type="character" w:customStyle="1" w:styleId="305">
    <w:name w:val="ca-22"/>
    <w:basedOn w:val="49"/>
    <w:qFormat/>
    <w:uiPriority w:val="0"/>
  </w:style>
  <w:style w:type="paragraph" w:customStyle="1" w:styleId="306">
    <w:name w:val="正文 A"/>
    <w:qFormat/>
    <w:uiPriority w:val="99"/>
    <w:pPr>
      <w:pBdr>
        <w:top w:val="none" w:color="auto" w:sz="0" w:space="0"/>
        <w:left w:val="none" w:color="auto" w:sz="0" w:space="0"/>
        <w:bottom w:val="none" w:color="auto" w:sz="0" w:space="0"/>
        <w:right w:val="none" w:color="auto" w:sz="0" w:space="0"/>
        <w:between w:val="none" w:color="auto" w:sz="0" w:space="0"/>
      </w:pBdr>
    </w:pPr>
    <w:rPr>
      <w:rFonts w:ascii="Helvetica" w:hAnsi="Arial Unicode MS" w:eastAsia="Arial Unicode MS" w:cs="Arial Unicode MS"/>
      <w:color w:val="000000"/>
      <w:kern w:val="0"/>
      <w:sz w:val="22"/>
      <w:szCs w:val="22"/>
      <w:u w:color="000000"/>
      <w:lang w:val="en-US" w:eastAsia="zh-CN" w:bidi="ar-SA"/>
    </w:rPr>
  </w:style>
  <w:style w:type="paragraph" w:customStyle="1" w:styleId="307">
    <w:name w:val="Char Char Char1"/>
    <w:basedOn w:val="1"/>
    <w:qFormat/>
    <w:uiPriority w:val="99"/>
    <w:rPr>
      <w:rFonts w:ascii="Times New Roman" w:hAnsi="Times New Roman" w:eastAsia="宋体" w:cs="Times New Roman"/>
      <w:szCs w:val="24"/>
    </w:rPr>
  </w:style>
  <w:style w:type="character" w:customStyle="1" w:styleId="308">
    <w:name w:val="副标题 Char"/>
    <w:basedOn w:val="49"/>
    <w:link w:val="34"/>
    <w:qFormat/>
    <w:uiPriority w:val="0"/>
    <w:rPr>
      <w:rFonts w:ascii="Cambria" w:hAnsi="Cambria" w:eastAsia="仿宋" w:cs="Times New Roman"/>
      <w:bCs/>
      <w:kern w:val="28"/>
      <w:sz w:val="32"/>
      <w:szCs w:val="32"/>
      <w:lang w:val="zh-CN" w:eastAsia="zh-CN"/>
    </w:rPr>
  </w:style>
  <w:style w:type="character" w:customStyle="1" w:styleId="309">
    <w:name w:val="Char Char2"/>
    <w:qFormat/>
    <w:locked/>
    <w:uiPriority w:val="0"/>
    <w:rPr>
      <w:rFonts w:ascii="仿宋_GB2312" w:hAnsi="Courier New" w:eastAsia="仿宋_GB2312"/>
      <w:kern w:val="2"/>
      <w:sz w:val="32"/>
      <w:szCs w:val="21"/>
      <w:lang w:val="zh-CN" w:eastAsia="zh-CN" w:bidi="ar-SA"/>
    </w:rPr>
  </w:style>
  <w:style w:type="paragraph" w:customStyle="1" w:styleId="310">
    <w:name w:val="Char16"/>
    <w:basedOn w:val="1"/>
    <w:qFormat/>
    <w:uiPriority w:val="99"/>
    <w:rPr>
      <w:rFonts w:ascii="Times New Roman" w:hAnsi="Times New Roman" w:eastAsia="宋体" w:cs="Times New Roman"/>
      <w:kern w:val="36"/>
      <w:sz w:val="36"/>
      <w:szCs w:val="24"/>
    </w:rPr>
  </w:style>
  <w:style w:type="paragraph" w:customStyle="1" w:styleId="311">
    <w:name w:val="文件正文"/>
    <w:basedOn w:val="34"/>
    <w:qFormat/>
    <w:uiPriority w:val="99"/>
    <w:pPr>
      <w:spacing w:before="0" w:after="0" w:line="560" w:lineRule="exact"/>
      <w:ind w:firstLine="622"/>
      <w:jc w:val="both"/>
      <w:outlineLvl w:val="9"/>
    </w:pPr>
    <w:rPr>
      <w:rFonts w:ascii="仿宋_GB2312" w:hAnsi="仿宋_GB2312" w:eastAsia="仿宋_GB2312" w:cs="仿宋_GB2312"/>
      <w:bCs w:val="0"/>
      <w:kern w:val="2"/>
      <w:lang w:val="en-US" w:eastAsia="zh-CN"/>
    </w:rPr>
  </w:style>
  <w:style w:type="paragraph" w:customStyle="1" w:styleId="312">
    <w:name w:val="列出段落11"/>
    <w:basedOn w:val="1"/>
    <w:qFormat/>
    <w:uiPriority w:val="99"/>
    <w:pPr>
      <w:ind w:firstLine="420" w:firstLineChars="200"/>
    </w:pPr>
    <w:rPr>
      <w:rFonts w:ascii="Calibri" w:hAnsi="Calibri" w:eastAsia="宋体" w:cs="Times New Roman"/>
      <w:szCs w:val="21"/>
    </w:rPr>
  </w:style>
  <w:style w:type="character" w:customStyle="1" w:styleId="313">
    <w:name w:val="Plain Text Char"/>
    <w:basedOn w:val="49"/>
    <w:qFormat/>
    <w:locked/>
    <w:uiPriority w:val="0"/>
    <w:rPr>
      <w:rFonts w:ascii="宋体" w:hAnsi="Courier New" w:eastAsia="宋体"/>
      <w:kern w:val="2"/>
      <w:sz w:val="21"/>
      <w:lang w:val="en-US" w:eastAsia="zh-CN" w:bidi="ar-SA"/>
    </w:rPr>
  </w:style>
  <w:style w:type="character" w:customStyle="1" w:styleId="314">
    <w:name w:val="普通(网站) Char"/>
    <w:basedOn w:val="49"/>
    <w:qFormat/>
    <w:uiPriority w:val="0"/>
    <w:rPr>
      <w:rFonts w:eastAsia="宋体"/>
      <w:sz w:val="24"/>
      <w:szCs w:val="24"/>
      <w:lang w:val="en-US" w:eastAsia="zh-CN" w:bidi="ar-SA"/>
    </w:rPr>
  </w:style>
  <w:style w:type="character" w:customStyle="1" w:styleId="315">
    <w:name w:val="批注主题 Char1"/>
    <w:basedOn w:val="85"/>
    <w:semiHidden/>
    <w:qFormat/>
    <w:uiPriority w:val="99"/>
    <w:rPr>
      <w:rFonts w:ascii="Times New Roman" w:hAnsi="Times New Roman" w:eastAsia="宋体" w:cs="Times New Roman"/>
      <w:b/>
      <w:bCs/>
      <w:szCs w:val="24"/>
    </w:rPr>
  </w:style>
  <w:style w:type="character" w:customStyle="1" w:styleId="316">
    <w:name w:val="正文文字缩进1 Char Char"/>
    <w:qFormat/>
    <w:uiPriority w:val="0"/>
    <w:rPr>
      <w:rFonts w:eastAsia="仿宋_GB2312"/>
      <w:kern w:val="2"/>
      <w:sz w:val="32"/>
    </w:rPr>
  </w:style>
  <w:style w:type="paragraph" w:customStyle="1" w:styleId="317">
    <w:name w:val="首行缩进:  2 字符 + 首行缩进:  2 字符"/>
    <w:basedOn w:val="1"/>
    <w:qFormat/>
    <w:uiPriority w:val="99"/>
    <w:pPr>
      <w:numPr>
        <w:ilvl w:val="0"/>
        <w:numId w:val="3"/>
      </w:numPr>
      <w:spacing w:line="560" w:lineRule="exact"/>
      <w:ind w:left="0" w:firstLine="200" w:firstLineChars="200"/>
    </w:pPr>
    <w:rPr>
      <w:rFonts w:ascii="Times New Roman" w:hAnsi="Times New Roman" w:eastAsia="仿宋_GB2312" w:cs="宋体"/>
      <w:sz w:val="32"/>
      <w:szCs w:val="20"/>
    </w:rPr>
  </w:style>
  <w:style w:type="paragraph" w:customStyle="1" w:styleId="318">
    <w:name w:val="首行缩进2字符"/>
    <w:basedOn w:val="1"/>
    <w:qFormat/>
    <w:uiPriority w:val="99"/>
    <w:pPr>
      <w:spacing w:line="560" w:lineRule="exact"/>
      <w:ind w:firstLine="200" w:firstLineChars="200"/>
    </w:pPr>
    <w:rPr>
      <w:rFonts w:ascii="仿宋_GB2312" w:hAnsi="仿宋_GB2312" w:eastAsia="仿宋_GB2312" w:cs="Times New Roman"/>
      <w:sz w:val="32"/>
      <w:szCs w:val="20"/>
    </w:rPr>
  </w:style>
  <w:style w:type="character" w:customStyle="1" w:styleId="319">
    <w:name w:val="页眉 字符"/>
    <w:qFormat/>
    <w:uiPriority w:val="0"/>
  </w:style>
  <w:style w:type="character" w:customStyle="1" w:styleId="320">
    <w:name w:val="页脚 字符"/>
    <w:qFormat/>
    <w:uiPriority w:val="0"/>
  </w:style>
  <w:style w:type="paragraph" w:customStyle="1" w:styleId="321">
    <w:name w:val="条文 22"/>
    <w:basedOn w:val="8"/>
    <w:qFormat/>
    <w:uiPriority w:val="99"/>
    <w:pPr>
      <w:numPr>
        <w:ilvl w:val="0"/>
        <w:numId w:val="4"/>
      </w:numPr>
      <w:spacing w:line="360" w:lineRule="auto"/>
    </w:pPr>
    <w:rPr>
      <w:rFonts w:hAnsi="华文仿宋"/>
      <w:b/>
      <w:bCs/>
      <w:szCs w:val="30"/>
    </w:rPr>
  </w:style>
  <w:style w:type="paragraph" w:customStyle="1" w:styleId="322">
    <w:name w:val="彩色列表 - 强调文字颜色 11"/>
    <w:basedOn w:val="1"/>
    <w:qFormat/>
    <w:uiPriority w:val="99"/>
    <w:pPr>
      <w:ind w:firstLine="420" w:firstLineChars="200"/>
    </w:pPr>
    <w:rPr>
      <w:rFonts w:ascii="Times New Roman" w:hAnsi="Times New Roman" w:eastAsia="宋体" w:cs="Times New Roman"/>
      <w:szCs w:val="24"/>
    </w:rPr>
  </w:style>
  <w:style w:type="paragraph" w:customStyle="1" w:styleId="323">
    <w:name w:val="font5"/>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324">
    <w:name w:val="xl63"/>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325">
    <w:name w:val="xl6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26">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27">
    <w:name w:val="xl66"/>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28">
    <w:name w:val="xl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29">
    <w:name w:val="xl68"/>
    <w:basedOn w:val="1"/>
    <w:qFormat/>
    <w:uiPriority w:val="0"/>
    <w:pPr>
      <w:widowControl/>
      <w:spacing w:before="100" w:beforeAutospacing="1" w:after="100" w:afterAutospacing="1"/>
      <w:jc w:val="left"/>
    </w:pPr>
    <w:rPr>
      <w:rFonts w:ascii="宋体" w:hAnsi="宋体" w:eastAsia="宋体" w:cs="宋体"/>
      <w:kern w:val="0"/>
      <w:sz w:val="24"/>
      <w:szCs w:val="24"/>
    </w:rPr>
  </w:style>
  <w:style w:type="paragraph" w:customStyle="1" w:styleId="330">
    <w:name w:val="xl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31">
    <w:name w:val="xl70"/>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left"/>
    </w:pPr>
    <w:rPr>
      <w:rFonts w:ascii="宋体" w:hAnsi="宋体" w:eastAsia="宋体" w:cs="宋体"/>
      <w:kern w:val="0"/>
      <w:sz w:val="24"/>
      <w:szCs w:val="24"/>
    </w:rPr>
  </w:style>
  <w:style w:type="paragraph" w:customStyle="1" w:styleId="332">
    <w:name w:val="xl71"/>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left"/>
    </w:pPr>
    <w:rPr>
      <w:rFonts w:ascii="宋体" w:hAnsi="宋体" w:eastAsia="宋体" w:cs="宋体"/>
      <w:kern w:val="0"/>
      <w:sz w:val="24"/>
      <w:szCs w:val="24"/>
    </w:rPr>
  </w:style>
  <w:style w:type="paragraph" w:customStyle="1" w:styleId="333">
    <w:name w:val="xl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34">
    <w:name w:val="xl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right"/>
    </w:pPr>
    <w:rPr>
      <w:rFonts w:ascii="宋体" w:hAnsi="宋体" w:eastAsia="宋体" w:cs="宋体"/>
      <w:kern w:val="0"/>
      <w:sz w:val="24"/>
      <w:szCs w:val="24"/>
    </w:rPr>
  </w:style>
  <w:style w:type="paragraph" w:customStyle="1" w:styleId="335">
    <w:name w:val="xl74"/>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left"/>
    </w:pPr>
    <w:rPr>
      <w:rFonts w:ascii="宋体" w:hAnsi="宋体" w:eastAsia="宋体" w:cs="宋体"/>
      <w:kern w:val="0"/>
      <w:sz w:val="24"/>
      <w:szCs w:val="24"/>
    </w:rPr>
  </w:style>
  <w:style w:type="paragraph" w:customStyle="1" w:styleId="336">
    <w:name w:val="xl75"/>
    <w:basedOn w:val="1"/>
    <w:qFormat/>
    <w:uiPriority w:val="0"/>
    <w:pPr>
      <w:widowControl/>
      <w:pBdr>
        <w:top w:val="single" w:color="auto" w:sz="4" w:space="0"/>
        <w:left w:val="single" w:color="auto" w:sz="4" w:space="0"/>
        <w:bottom w:val="single" w:color="auto" w:sz="4" w:space="0"/>
      </w:pBdr>
      <w:shd w:val="clear" w:color="000000" w:fill="C0C0C0"/>
      <w:spacing w:before="100" w:beforeAutospacing="1" w:after="100" w:afterAutospacing="1"/>
      <w:jc w:val="center"/>
    </w:pPr>
    <w:rPr>
      <w:rFonts w:ascii="宋体" w:hAnsi="宋体" w:eastAsia="宋体" w:cs="宋体"/>
      <w:kern w:val="0"/>
      <w:sz w:val="24"/>
      <w:szCs w:val="24"/>
    </w:rPr>
  </w:style>
  <w:style w:type="paragraph" w:customStyle="1" w:styleId="337">
    <w:name w:val="xl76"/>
    <w:basedOn w:val="1"/>
    <w:qFormat/>
    <w:uiPriority w:val="0"/>
    <w:pPr>
      <w:widowControl/>
      <w:pBdr>
        <w:top w:val="single" w:color="auto" w:sz="4" w:space="0"/>
        <w:bottom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38">
    <w:name w:val="xl77"/>
    <w:basedOn w:val="1"/>
    <w:qFormat/>
    <w:uiPriority w:val="0"/>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339">
    <w:name w:val="xl7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40">
    <w:name w:val="xl79"/>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41">
    <w:name w:val="xl80"/>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42">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eastAsia="宋体" w:cs="宋体"/>
      <w:kern w:val="0"/>
      <w:sz w:val="24"/>
      <w:szCs w:val="24"/>
    </w:rPr>
  </w:style>
  <w:style w:type="paragraph" w:customStyle="1" w:styleId="343">
    <w:name w:val="xl82"/>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eastAsia="宋体" w:cs="宋体"/>
      <w:kern w:val="0"/>
      <w:sz w:val="24"/>
      <w:szCs w:val="24"/>
    </w:rPr>
  </w:style>
  <w:style w:type="paragraph" w:customStyle="1" w:styleId="344">
    <w:name w:val="xl83"/>
    <w:basedOn w:val="1"/>
    <w:qFormat/>
    <w:uiPriority w:val="0"/>
    <w:pPr>
      <w:widowControl/>
      <w:pBdr>
        <w:top w:val="single" w:color="auto" w:sz="4" w:space="0"/>
        <w:left w:val="single" w:color="auto" w:sz="4" w:space="0"/>
        <w:bottom w:val="single" w:color="auto" w:sz="4" w:space="0"/>
      </w:pBdr>
      <w:shd w:val="clear" w:color="000000" w:fill="C0C0C0"/>
      <w:spacing w:before="100" w:beforeAutospacing="1" w:after="100" w:afterAutospacing="1"/>
      <w:jc w:val="center"/>
    </w:pPr>
    <w:rPr>
      <w:rFonts w:ascii="宋体" w:hAnsi="宋体" w:eastAsia="宋体" w:cs="宋体"/>
      <w:kern w:val="0"/>
      <w:sz w:val="24"/>
      <w:szCs w:val="24"/>
    </w:rPr>
  </w:style>
  <w:style w:type="paragraph" w:customStyle="1" w:styleId="345">
    <w:name w:val="xl84"/>
    <w:basedOn w:val="1"/>
    <w:qFormat/>
    <w:uiPriority w:val="0"/>
    <w:pPr>
      <w:widowControl/>
      <w:pBdr>
        <w:top w:val="single" w:color="auto" w:sz="4" w:space="0"/>
        <w:bottom w:val="single" w:color="auto" w:sz="4" w:space="0"/>
      </w:pBdr>
      <w:shd w:val="clear" w:color="000000" w:fill="C0C0C0"/>
      <w:spacing w:before="100" w:beforeAutospacing="1" w:after="100" w:afterAutospacing="1"/>
      <w:jc w:val="center"/>
    </w:pPr>
    <w:rPr>
      <w:rFonts w:ascii="宋体" w:hAnsi="宋体" w:eastAsia="宋体" w:cs="宋体"/>
      <w:kern w:val="0"/>
      <w:sz w:val="24"/>
      <w:szCs w:val="24"/>
    </w:rPr>
  </w:style>
  <w:style w:type="paragraph" w:customStyle="1" w:styleId="346">
    <w:name w:val="xl85"/>
    <w:basedOn w:val="1"/>
    <w:qFormat/>
    <w:uiPriority w:val="0"/>
    <w:pPr>
      <w:widowControl/>
      <w:pBdr>
        <w:top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eastAsia="宋体" w:cs="宋体"/>
      <w:kern w:val="0"/>
      <w:sz w:val="24"/>
      <w:szCs w:val="24"/>
    </w:rPr>
  </w:style>
  <w:style w:type="paragraph" w:customStyle="1" w:styleId="347">
    <w:name w:val="xl86"/>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48">
    <w:name w:val="xl87"/>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49">
    <w:name w:val="xl88"/>
    <w:basedOn w:val="1"/>
    <w:qFormat/>
    <w:uiPriority w:val="0"/>
    <w:pPr>
      <w:widowControl/>
      <w:pBdr>
        <w:left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50">
    <w:name w:val="xl89"/>
    <w:basedOn w:val="1"/>
    <w:qFormat/>
    <w:uiPriority w:val="0"/>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351">
    <w:name w:val="xl9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4"/>
      <w:szCs w:val="24"/>
    </w:rPr>
  </w:style>
  <w:style w:type="paragraph" w:customStyle="1" w:styleId="352">
    <w:name w:val="xl9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4"/>
      <w:szCs w:val="24"/>
    </w:rPr>
  </w:style>
  <w:style w:type="paragraph" w:customStyle="1" w:styleId="353">
    <w:name w:val="xl9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b/>
      <w:bCs/>
      <w:kern w:val="0"/>
      <w:sz w:val="24"/>
      <w:szCs w:val="24"/>
    </w:rPr>
  </w:style>
  <w:style w:type="paragraph" w:customStyle="1" w:styleId="354">
    <w:name w:val="22"/>
    <w:basedOn w:val="1"/>
    <w:qFormat/>
    <w:uiPriority w:val="99"/>
    <w:pPr>
      <w:keepNext/>
      <w:widowControl/>
      <w:spacing w:before="240" w:after="64" w:line="360" w:lineRule="auto"/>
      <w:ind w:left="420" w:hanging="420"/>
    </w:pPr>
    <w:rPr>
      <w:rFonts w:ascii="仿宋_GB2312" w:hAnsi="宋体" w:eastAsia="仿宋_GB2312" w:cs="宋体"/>
      <w:b/>
      <w:bCs/>
      <w:kern w:val="0"/>
      <w:sz w:val="30"/>
      <w:szCs w:val="30"/>
    </w:rPr>
  </w:style>
  <w:style w:type="character" w:customStyle="1" w:styleId="355">
    <w:name w:val="标题2 Char"/>
    <w:qFormat/>
    <w:locked/>
    <w:uiPriority w:val="0"/>
    <w:rPr>
      <w:rFonts w:ascii="仿宋_GB2312" w:hAnsi="华文仿宋" w:eastAsia="仿宋_GB2312"/>
      <w:b/>
      <w:bCs/>
      <w:kern w:val="2"/>
      <w:sz w:val="28"/>
      <w:szCs w:val="28"/>
      <w:lang w:val="en-US" w:eastAsia="zh-CN" w:bidi="ar-SA"/>
    </w:rPr>
  </w:style>
  <w:style w:type="paragraph" w:customStyle="1" w:styleId="356">
    <w:name w:val="样式 ????????ˎ̥ ¶Îº¡¡ì®: 7.8 ¡ãõ ÐÐ¾¡¡ì¡¨¨: ¹Ì¶¡¡"/>
    <w:basedOn w:val="1"/>
    <w:qFormat/>
    <w:uiPriority w:val="99"/>
    <w:pPr>
      <w:tabs>
        <w:tab w:val="left" w:pos="4140"/>
      </w:tabs>
      <w:ind w:firstLine="600"/>
    </w:pPr>
    <w:rPr>
      <w:rFonts w:ascii="仿宋_GB2312" w:hAnsi="??" w:eastAsia="仿宋_GB2312" w:cs="宋体"/>
      <w:color w:val="FF0000"/>
      <w:sz w:val="32"/>
      <w:szCs w:val="32"/>
    </w:rPr>
  </w:style>
  <w:style w:type="paragraph" w:customStyle="1" w:styleId="357">
    <w:name w:val="font0"/>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358">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59">
    <w:name w:val="xl94"/>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360">
    <w:name w:val="xl9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kern w:val="0"/>
      <w:sz w:val="24"/>
      <w:szCs w:val="24"/>
    </w:rPr>
  </w:style>
  <w:style w:type="paragraph" w:customStyle="1" w:styleId="361">
    <w:name w:val="xl96"/>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left"/>
      <w:textAlignment w:val="center"/>
    </w:pPr>
    <w:rPr>
      <w:rFonts w:ascii="宋体" w:hAnsi="宋体" w:eastAsia="宋体" w:cs="宋体"/>
      <w:b/>
      <w:bCs/>
      <w:kern w:val="0"/>
      <w:sz w:val="24"/>
      <w:szCs w:val="24"/>
    </w:rPr>
  </w:style>
  <w:style w:type="paragraph" w:customStyle="1" w:styleId="362">
    <w:name w:val="xl97"/>
    <w:basedOn w:val="1"/>
    <w:qFormat/>
    <w:uiPriority w:val="0"/>
    <w:pPr>
      <w:widowControl/>
      <w:pBdr>
        <w:top w:val="single" w:color="auto" w:sz="4" w:space="0"/>
        <w:left w:val="single" w:color="auto" w:sz="4" w:space="0"/>
        <w:bottom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kern w:val="0"/>
      <w:sz w:val="24"/>
      <w:szCs w:val="24"/>
    </w:rPr>
  </w:style>
  <w:style w:type="paragraph" w:customStyle="1" w:styleId="363">
    <w:name w:val="xl98"/>
    <w:basedOn w:val="1"/>
    <w:qFormat/>
    <w:uiPriority w:val="0"/>
    <w:pPr>
      <w:widowControl/>
      <w:pBdr>
        <w:left w:val="single" w:color="auto" w:sz="4" w:space="0"/>
        <w:bottom w:val="single" w:color="auto" w:sz="4" w:space="0"/>
        <w:right w:val="single" w:color="auto" w:sz="4" w:space="0"/>
      </w:pBdr>
      <w:shd w:val="clear" w:color="000000" w:fill="CCFFCC"/>
      <w:spacing w:before="100" w:beforeAutospacing="1" w:after="100" w:afterAutospacing="1"/>
      <w:jc w:val="left"/>
      <w:textAlignment w:val="center"/>
    </w:pPr>
    <w:rPr>
      <w:rFonts w:ascii="宋体" w:hAnsi="宋体" w:eastAsia="宋体" w:cs="宋体"/>
      <w:kern w:val="0"/>
      <w:sz w:val="24"/>
      <w:szCs w:val="24"/>
    </w:rPr>
  </w:style>
  <w:style w:type="paragraph" w:customStyle="1" w:styleId="364">
    <w:name w:val="xl99"/>
    <w:basedOn w:val="1"/>
    <w:qFormat/>
    <w:uiPriority w:val="0"/>
    <w:pPr>
      <w:widowControl/>
      <w:pBdr>
        <w:top w:val="single" w:color="auto" w:sz="4" w:space="0"/>
        <w:left w:val="single" w:color="auto" w:sz="4" w:space="0"/>
        <w:bottom w:val="single" w:color="auto" w:sz="4" w:space="0"/>
        <w:right w:val="single" w:color="auto" w:sz="4" w:space="0"/>
      </w:pBdr>
      <w:shd w:val="clear" w:color="000000" w:fill="C0C0C0"/>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65">
    <w:name w:val="xl100"/>
    <w:basedOn w:val="1"/>
    <w:qFormat/>
    <w:uiPriority w:val="0"/>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color w:val="FF0000"/>
      <w:kern w:val="0"/>
      <w:sz w:val="24"/>
      <w:szCs w:val="24"/>
    </w:rPr>
  </w:style>
  <w:style w:type="paragraph" w:customStyle="1" w:styleId="366">
    <w:name w:val="xl101"/>
    <w:basedOn w:val="1"/>
    <w:qFormat/>
    <w:uiPriority w:val="0"/>
    <w:pPr>
      <w:widowControl/>
      <w:pBdr>
        <w:top w:val="single" w:color="auto" w:sz="4" w:space="0"/>
        <w:left w:val="single" w:color="auto" w:sz="4" w:space="0"/>
        <w:right w:val="single" w:color="auto" w:sz="4" w:space="0"/>
      </w:pBdr>
      <w:shd w:val="clear" w:color="000000" w:fill="CCFFCC"/>
      <w:spacing w:before="100" w:beforeAutospacing="1" w:after="100" w:afterAutospacing="1"/>
      <w:jc w:val="center"/>
      <w:textAlignment w:val="center"/>
    </w:pPr>
    <w:rPr>
      <w:rFonts w:ascii="宋体" w:hAnsi="宋体" w:eastAsia="宋体" w:cs="宋体"/>
      <w:kern w:val="0"/>
      <w:sz w:val="24"/>
      <w:szCs w:val="24"/>
    </w:rPr>
  </w:style>
  <w:style w:type="paragraph" w:customStyle="1" w:styleId="367">
    <w:name w:val="xl102"/>
    <w:basedOn w:val="1"/>
    <w:qFormat/>
    <w:uiPriority w:val="0"/>
    <w:pPr>
      <w:widowControl/>
      <w:pBdr>
        <w:left w:val="single" w:color="auto" w:sz="4" w:space="0"/>
        <w:right w:val="single" w:color="auto" w:sz="4" w:space="0"/>
      </w:pBdr>
      <w:shd w:val="clear" w:color="000000" w:fill="CCFFCC"/>
      <w:spacing w:before="100" w:beforeAutospacing="1" w:after="100" w:afterAutospacing="1"/>
      <w:jc w:val="center"/>
      <w:textAlignment w:val="center"/>
    </w:pPr>
    <w:rPr>
      <w:rFonts w:ascii="宋体" w:hAnsi="宋体" w:eastAsia="宋体" w:cs="宋体"/>
      <w:kern w:val="0"/>
      <w:sz w:val="24"/>
      <w:szCs w:val="24"/>
    </w:rPr>
  </w:style>
  <w:style w:type="paragraph" w:customStyle="1" w:styleId="368">
    <w:name w:val="xl103"/>
    <w:basedOn w:val="1"/>
    <w:qFormat/>
    <w:uiPriority w:val="0"/>
    <w:pPr>
      <w:widowControl/>
      <w:pBdr>
        <w:top w:val="single" w:color="auto" w:sz="4" w:space="0"/>
        <w:left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kern w:val="0"/>
      <w:sz w:val="24"/>
      <w:szCs w:val="24"/>
    </w:rPr>
  </w:style>
  <w:style w:type="paragraph" w:customStyle="1" w:styleId="369">
    <w:name w:val="xl104"/>
    <w:basedOn w:val="1"/>
    <w:qFormat/>
    <w:uiPriority w:val="0"/>
    <w:pPr>
      <w:widowControl/>
      <w:pBdr>
        <w:left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kern w:val="0"/>
      <w:sz w:val="24"/>
      <w:szCs w:val="24"/>
    </w:rPr>
  </w:style>
  <w:style w:type="paragraph" w:customStyle="1" w:styleId="370">
    <w:name w:val="xl105"/>
    <w:basedOn w:val="1"/>
    <w:qFormat/>
    <w:uiPriority w:val="0"/>
    <w:pPr>
      <w:widowControl/>
      <w:pBdr>
        <w:left w:val="single" w:color="auto" w:sz="4" w:space="0"/>
        <w:bottom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kern w:val="0"/>
      <w:sz w:val="24"/>
      <w:szCs w:val="24"/>
    </w:rPr>
  </w:style>
  <w:style w:type="paragraph" w:customStyle="1" w:styleId="371">
    <w:name w:val="xl106"/>
    <w:basedOn w:val="1"/>
    <w:qFormat/>
    <w:uiPriority w:val="0"/>
    <w:pPr>
      <w:widowControl/>
      <w:pBdr>
        <w:top w:val="single" w:color="auto" w:sz="4" w:space="0"/>
        <w:left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kern w:val="0"/>
      <w:sz w:val="24"/>
      <w:szCs w:val="24"/>
    </w:rPr>
  </w:style>
  <w:style w:type="paragraph" w:customStyle="1" w:styleId="372">
    <w:name w:val="xl107"/>
    <w:basedOn w:val="1"/>
    <w:qFormat/>
    <w:uiPriority w:val="0"/>
    <w:pPr>
      <w:widowControl/>
      <w:pBdr>
        <w:left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kern w:val="0"/>
      <w:sz w:val="24"/>
      <w:szCs w:val="24"/>
    </w:rPr>
  </w:style>
  <w:style w:type="paragraph" w:customStyle="1" w:styleId="373">
    <w:name w:val="xl108"/>
    <w:basedOn w:val="1"/>
    <w:qFormat/>
    <w:uiPriority w:val="0"/>
    <w:pPr>
      <w:widowControl/>
      <w:pBdr>
        <w:left w:val="single" w:color="auto" w:sz="4" w:space="0"/>
        <w:bottom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kern w:val="0"/>
      <w:sz w:val="24"/>
      <w:szCs w:val="24"/>
    </w:rPr>
  </w:style>
  <w:style w:type="paragraph" w:customStyle="1" w:styleId="374">
    <w:name w:val="xl109"/>
    <w:basedOn w:val="1"/>
    <w:qFormat/>
    <w:uiPriority w:val="0"/>
    <w:pPr>
      <w:widowControl/>
      <w:pBdr>
        <w:top w:val="single" w:color="auto" w:sz="4" w:space="0"/>
        <w:left w:val="single" w:color="auto" w:sz="4" w:space="0"/>
        <w:bottom w:val="single" w:color="auto" w:sz="4" w:space="0"/>
      </w:pBdr>
      <w:shd w:val="clear" w:color="000000" w:fill="C0C0C0"/>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75">
    <w:name w:val="xl110"/>
    <w:basedOn w:val="1"/>
    <w:qFormat/>
    <w:uiPriority w:val="0"/>
    <w:pPr>
      <w:widowControl/>
      <w:pBdr>
        <w:top w:val="single" w:color="auto" w:sz="4" w:space="0"/>
        <w:bottom w:val="single" w:color="auto" w:sz="4" w:space="0"/>
        <w:right w:val="single" w:color="auto" w:sz="4" w:space="0"/>
      </w:pBdr>
      <w:shd w:val="clear" w:color="000000" w:fill="C0C0C0"/>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76">
    <w:name w:val="xl111"/>
    <w:basedOn w:val="1"/>
    <w:qFormat/>
    <w:uiPriority w:val="0"/>
    <w:pPr>
      <w:widowControl/>
      <w:pBdr>
        <w:top w:val="single" w:color="auto" w:sz="4" w:space="0"/>
        <w:lef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77">
    <w:name w:val="xl112"/>
    <w:basedOn w:val="1"/>
    <w:qFormat/>
    <w:uiPriority w:val="0"/>
    <w:pPr>
      <w:widowControl/>
      <w:pBdr>
        <w:left w:val="single" w:color="auto" w:sz="4" w:space="0"/>
        <w:bottom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78">
    <w:name w:val="xl113"/>
    <w:basedOn w:val="1"/>
    <w:qFormat/>
    <w:uiPriority w:val="0"/>
    <w:pPr>
      <w:widowControl/>
      <w:pBdr>
        <w:top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79">
    <w:name w:val="xl114"/>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80">
    <w:name w:val="xl115"/>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81">
    <w:name w:val="xl116"/>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82">
    <w:name w:val="xl117"/>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b/>
      <w:bCs/>
      <w:kern w:val="0"/>
      <w:sz w:val="24"/>
      <w:szCs w:val="24"/>
    </w:rPr>
  </w:style>
  <w:style w:type="paragraph" w:customStyle="1" w:styleId="383">
    <w:name w:val="xl118"/>
    <w:basedOn w:val="1"/>
    <w:qFormat/>
    <w:uiPriority w:val="0"/>
    <w:pPr>
      <w:widowControl/>
      <w:pBdr>
        <w:left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384">
    <w:name w:val="xl119"/>
    <w:basedOn w:val="1"/>
    <w:qFormat/>
    <w:uiPriority w:val="0"/>
    <w:pPr>
      <w:widowControl/>
      <w:pBdr>
        <w:top w:val="single" w:color="auto" w:sz="4" w:space="0"/>
        <w:left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85">
    <w:name w:val="xl120"/>
    <w:basedOn w:val="1"/>
    <w:qFormat/>
    <w:uiPriority w:val="99"/>
    <w:pPr>
      <w:widowControl/>
      <w:pBdr>
        <w:left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86">
    <w:name w:val="xl121"/>
    <w:basedOn w:val="1"/>
    <w:qFormat/>
    <w:uiPriority w:val="99"/>
    <w:pPr>
      <w:widowControl/>
      <w:pBdr>
        <w:left w:val="single" w:color="auto" w:sz="4" w:space="0"/>
        <w:bottom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87">
    <w:name w:val="xl122"/>
    <w:basedOn w:val="1"/>
    <w:qFormat/>
    <w:uiPriority w:val="99"/>
    <w:pPr>
      <w:widowControl/>
      <w:pBdr>
        <w:left w:val="single" w:color="auto" w:sz="4" w:space="0"/>
        <w:bottom w:val="single" w:color="auto" w:sz="4" w:space="0"/>
        <w:right w:val="single" w:color="auto" w:sz="4" w:space="0"/>
      </w:pBdr>
      <w:shd w:val="clear" w:color="000000" w:fill="CCFFCC"/>
      <w:spacing w:before="100" w:beforeAutospacing="1" w:after="100" w:afterAutospacing="1"/>
      <w:jc w:val="center"/>
      <w:textAlignment w:val="center"/>
    </w:pPr>
    <w:rPr>
      <w:rFonts w:ascii="宋体" w:hAnsi="宋体" w:eastAsia="宋体" w:cs="宋体"/>
      <w:kern w:val="0"/>
      <w:sz w:val="24"/>
      <w:szCs w:val="24"/>
    </w:rPr>
  </w:style>
  <w:style w:type="paragraph" w:customStyle="1" w:styleId="388">
    <w:name w:val="xl123"/>
    <w:basedOn w:val="1"/>
    <w:qFormat/>
    <w:uiPriority w:val="99"/>
    <w:pPr>
      <w:widowControl/>
      <w:pBdr>
        <w:top w:val="single" w:color="auto" w:sz="4" w:space="0"/>
        <w:left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kern w:val="0"/>
      <w:sz w:val="24"/>
      <w:szCs w:val="24"/>
    </w:rPr>
  </w:style>
  <w:style w:type="paragraph" w:customStyle="1" w:styleId="389">
    <w:name w:val="xl124"/>
    <w:basedOn w:val="1"/>
    <w:qFormat/>
    <w:uiPriority w:val="99"/>
    <w:pPr>
      <w:widowControl/>
      <w:pBdr>
        <w:left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kern w:val="0"/>
      <w:sz w:val="24"/>
      <w:szCs w:val="24"/>
    </w:rPr>
  </w:style>
  <w:style w:type="paragraph" w:customStyle="1" w:styleId="390">
    <w:name w:val="xl125"/>
    <w:basedOn w:val="1"/>
    <w:qFormat/>
    <w:uiPriority w:val="99"/>
    <w:pPr>
      <w:widowControl/>
      <w:pBdr>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kern w:val="0"/>
      <w:sz w:val="24"/>
      <w:szCs w:val="24"/>
    </w:rPr>
  </w:style>
  <w:style w:type="paragraph" w:customStyle="1" w:styleId="391">
    <w:name w:val="xl126"/>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392">
    <w:name w:val="xl127"/>
    <w:basedOn w:val="1"/>
    <w:qFormat/>
    <w:uiPriority w:val="99"/>
    <w:pPr>
      <w:widowControl/>
      <w:pBdr>
        <w:left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393">
    <w:name w:val="xl128"/>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394">
    <w:name w:val="xl129"/>
    <w:basedOn w:val="1"/>
    <w:qFormat/>
    <w:uiPriority w:val="99"/>
    <w:pPr>
      <w:widowControl/>
      <w:pBdr>
        <w:top w:val="single" w:color="auto" w:sz="4" w:space="0"/>
        <w:left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95">
    <w:name w:val="xl130"/>
    <w:basedOn w:val="1"/>
    <w:qFormat/>
    <w:uiPriority w:val="99"/>
    <w:pPr>
      <w:widowControl/>
      <w:pBdr>
        <w:left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96">
    <w:name w:val="xl131"/>
    <w:basedOn w:val="1"/>
    <w:qFormat/>
    <w:uiPriority w:val="99"/>
    <w:pPr>
      <w:widowControl/>
      <w:pBdr>
        <w:left w:val="single" w:color="auto" w:sz="4" w:space="0"/>
        <w:bottom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397">
    <w:name w:val="xl132"/>
    <w:basedOn w:val="1"/>
    <w:qFormat/>
    <w:uiPriority w:val="99"/>
    <w:pPr>
      <w:widowControl/>
      <w:pBdr>
        <w:top w:val="single" w:color="auto" w:sz="4" w:space="0"/>
        <w:left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kern w:val="0"/>
      <w:sz w:val="24"/>
      <w:szCs w:val="24"/>
    </w:rPr>
  </w:style>
  <w:style w:type="paragraph" w:customStyle="1" w:styleId="398">
    <w:name w:val="xl133"/>
    <w:basedOn w:val="1"/>
    <w:qFormat/>
    <w:uiPriority w:val="99"/>
    <w:pPr>
      <w:widowControl/>
      <w:pBdr>
        <w:left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kern w:val="0"/>
      <w:sz w:val="24"/>
      <w:szCs w:val="24"/>
    </w:rPr>
  </w:style>
  <w:style w:type="paragraph" w:customStyle="1" w:styleId="399">
    <w:name w:val="xl134"/>
    <w:basedOn w:val="1"/>
    <w:qFormat/>
    <w:uiPriority w:val="99"/>
    <w:pPr>
      <w:widowControl/>
      <w:pBdr>
        <w:left w:val="single" w:color="auto" w:sz="4" w:space="0"/>
        <w:bottom w:val="single" w:color="auto" w:sz="4" w:space="0"/>
        <w:right w:val="single" w:color="auto" w:sz="4" w:space="0"/>
      </w:pBdr>
      <w:shd w:val="clear" w:color="000000" w:fill="FFFF00"/>
      <w:spacing w:before="100" w:beforeAutospacing="1" w:after="100" w:afterAutospacing="1"/>
      <w:jc w:val="center"/>
      <w:textAlignment w:val="center"/>
    </w:pPr>
    <w:rPr>
      <w:rFonts w:ascii="宋体" w:hAnsi="宋体" w:eastAsia="宋体" w:cs="宋体"/>
      <w:kern w:val="0"/>
      <w:sz w:val="24"/>
      <w:szCs w:val="24"/>
    </w:rPr>
  </w:style>
  <w:style w:type="paragraph" w:customStyle="1" w:styleId="400">
    <w:name w:val="xl135"/>
    <w:basedOn w:val="1"/>
    <w:qFormat/>
    <w:uiPriority w:val="99"/>
    <w:pPr>
      <w:widowControl/>
      <w:pBdr>
        <w:top w:val="single" w:color="auto" w:sz="4" w:space="0"/>
        <w:left w:val="single" w:color="auto" w:sz="4" w:space="0"/>
        <w:right w:val="single" w:color="auto" w:sz="4" w:space="0"/>
      </w:pBdr>
      <w:shd w:val="clear" w:color="000000" w:fill="CCFFCC"/>
      <w:spacing w:before="100" w:beforeAutospacing="1" w:after="100" w:afterAutospacing="1"/>
      <w:jc w:val="center"/>
      <w:textAlignment w:val="center"/>
    </w:pPr>
    <w:rPr>
      <w:rFonts w:ascii="宋体" w:hAnsi="宋体" w:eastAsia="宋体" w:cs="宋体"/>
      <w:kern w:val="0"/>
      <w:sz w:val="24"/>
      <w:szCs w:val="24"/>
    </w:rPr>
  </w:style>
  <w:style w:type="paragraph" w:customStyle="1" w:styleId="401">
    <w:name w:val="xl136"/>
    <w:basedOn w:val="1"/>
    <w:qFormat/>
    <w:uiPriority w:val="99"/>
    <w:pPr>
      <w:widowControl/>
      <w:pBdr>
        <w:left w:val="single" w:color="auto" w:sz="4" w:space="0"/>
        <w:right w:val="single" w:color="auto" w:sz="4" w:space="0"/>
      </w:pBdr>
      <w:shd w:val="clear" w:color="000000" w:fill="CCFFCC"/>
      <w:spacing w:before="100" w:beforeAutospacing="1" w:after="100" w:afterAutospacing="1"/>
      <w:jc w:val="center"/>
      <w:textAlignment w:val="center"/>
    </w:pPr>
    <w:rPr>
      <w:rFonts w:ascii="宋体" w:hAnsi="宋体" w:eastAsia="宋体" w:cs="宋体"/>
      <w:kern w:val="0"/>
      <w:sz w:val="24"/>
      <w:szCs w:val="24"/>
    </w:rPr>
  </w:style>
  <w:style w:type="paragraph" w:customStyle="1" w:styleId="402">
    <w:name w:val="xl137"/>
    <w:basedOn w:val="1"/>
    <w:qFormat/>
    <w:uiPriority w:val="99"/>
    <w:pPr>
      <w:widowControl/>
      <w:pBdr>
        <w:left w:val="single" w:color="auto" w:sz="4" w:space="0"/>
        <w:bottom w:val="single" w:color="auto" w:sz="4" w:space="0"/>
        <w:right w:val="single" w:color="auto" w:sz="4" w:space="0"/>
      </w:pBdr>
      <w:shd w:val="clear" w:color="000000" w:fill="CCFFCC"/>
      <w:spacing w:before="100" w:beforeAutospacing="1" w:after="100" w:afterAutospacing="1"/>
      <w:jc w:val="center"/>
      <w:textAlignment w:val="center"/>
    </w:pPr>
    <w:rPr>
      <w:rFonts w:ascii="宋体" w:hAnsi="宋体" w:eastAsia="宋体" w:cs="宋体"/>
      <w:kern w:val="0"/>
      <w:sz w:val="24"/>
      <w:szCs w:val="24"/>
    </w:rPr>
  </w:style>
  <w:style w:type="paragraph" w:customStyle="1" w:styleId="403">
    <w:name w:val="xl138"/>
    <w:basedOn w:val="1"/>
    <w:qFormat/>
    <w:uiPriority w:val="99"/>
    <w:pPr>
      <w:widowControl/>
      <w:pBdr>
        <w:top w:val="single" w:color="auto" w:sz="4" w:space="0"/>
        <w:left w:val="single" w:color="auto" w:sz="4" w:space="0"/>
        <w:right w:val="single" w:color="auto" w:sz="4" w:space="0"/>
      </w:pBdr>
      <w:shd w:val="clear" w:color="000000" w:fill="FFFF00"/>
      <w:spacing w:before="100" w:beforeAutospacing="1" w:after="100" w:afterAutospacing="1"/>
      <w:jc w:val="center"/>
    </w:pPr>
    <w:rPr>
      <w:rFonts w:ascii="宋体" w:hAnsi="宋体" w:eastAsia="宋体" w:cs="宋体"/>
      <w:kern w:val="0"/>
      <w:sz w:val="24"/>
      <w:szCs w:val="24"/>
    </w:rPr>
  </w:style>
  <w:style w:type="paragraph" w:customStyle="1" w:styleId="404">
    <w:name w:val="xl139"/>
    <w:basedOn w:val="1"/>
    <w:qFormat/>
    <w:uiPriority w:val="99"/>
    <w:pPr>
      <w:widowControl/>
      <w:pBdr>
        <w:left w:val="single" w:color="auto" w:sz="4" w:space="0"/>
        <w:right w:val="single" w:color="auto" w:sz="4" w:space="0"/>
      </w:pBdr>
      <w:shd w:val="clear" w:color="000000" w:fill="FFFF00"/>
      <w:spacing w:before="100" w:beforeAutospacing="1" w:after="100" w:afterAutospacing="1"/>
      <w:jc w:val="center"/>
    </w:pPr>
    <w:rPr>
      <w:rFonts w:ascii="宋体" w:hAnsi="宋体" w:eastAsia="宋体" w:cs="宋体"/>
      <w:kern w:val="0"/>
      <w:sz w:val="24"/>
      <w:szCs w:val="24"/>
    </w:rPr>
  </w:style>
  <w:style w:type="paragraph" w:customStyle="1" w:styleId="405">
    <w:name w:val="xl140"/>
    <w:basedOn w:val="1"/>
    <w:qFormat/>
    <w:uiPriority w:val="99"/>
    <w:pPr>
      <w:widowControl/>
      <w:pBdr>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kern w:val="0"/>
      <w:sz w:val="24"/>
      <w:szCs w:val="24"/>
    </w:rPr>
  </w:style>
  <w:style w:type="paragraph" w:customStyle="1" w:styleId="406">
    <w:name w:val="xl141"/>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407">
    <w:name w:val="xl142"/>
    <w:basedOn w:val="1"/>
    <w:qFormat/>
    <w:uiPriority w:val="99"/>
    <w:pPr>
      <w:widowControl/>
      <w:pBdr>
        <w:left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408">
    <w:name w:val="xl143"/>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000000"/>
      <w:kern w:val="0"/>
      <w:sz w:val="24"/>
      <w:szCs w:val="24"/>
    </w:rPr>
  </w:style>
  <w:style w:type="paragraph" w:customStyle="1" w:styleId="409">
    <w:name w:val="xl144"/>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410">
    <w:name w:val="xl145"/>
    <w:basedOn w:val="1"/>
    <w:qFormat/>
    <w:uiPriority w:val="99"/>
    <w:pPr>
      <w:widowControl/>
      <w:pBdr>
        <w:left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411">
    <w:name w:val="xl146"/>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24"/>
      <w:szCs w:val="24"/>
    </w:rPr>
  </w:style>
  <w:style w:type="paragraph" w:customStyle="1" w:styleId="412">
    <w:name w:val="xl147"/>
    <w:basedOn w:val="1"/>
    <w:qFormat/>
    <w:uiPriority w:val="99"/>
    <w:pPr>
      <w:widowControl/>
      <w:pBdr>
        <w:top w:val="single" w:color="auto" w:sz="4" w:space="0"/>
        <w:left w:val="single" w:color="auto" w:sz="4" w:space="0"/>
        <w:bottom w:val="single" w:color="auto" w:sz="4" w:space="0"/>
      </w:pBdr>
      <w:shd w:val="clear" w:color="000000" w:fill="C0C0C0"/>
      <w:spacing w:before="100" w:beforeAutospacing="1" w:after="100" w:afterAutospacing="1"/>
      <w:jc w:val="center"/>
    </w:pPr>
    <w:rPr>
      <w:rFonts w:ascii="宋体" w:hAnsi="宋体" w:eastAsia="宋体" w:cs="宋体"/>
      <w:b/>
      <w:bCs/>
      <w:kern w:val="0"/>
      <w:sz w:val="24"/>
      <w:szCs w:val="24"/>
    </w:rPr>
  </w:style>
  <w:style w:type="paragraph" w:customStyle="1" w:styleId="413">
    <w:name w:val="xl148"/>
    <w:basedOn w:val="1"/>
    <w:qFormat/>
    <w:uiPriority w:val="99"/>
    <w:pPr>
      <w:widowControl/>
      <w:pBdr>
        <w:top w:val="single" w:color="auto" w:sz="4" w:space="0"/>
        <w:bottom w:val="single" w:color="auto" w:sz="4" w:space="0"/>
      </w:pBdr>
      <w:shd w:val="clear" w:color="000000" w:fill="C0C0C0"/>
      <w:spacing w:before="100" w:beforeAutospacing="1" w:after="100" w:afterAutospacing="1"/>
      <w:jc w:val="center"/>
    </w:pPr>
    <w:rPr>
      <w:rFonts w:ascii="宋体" w:hAnsi="宋体" w:eastAsia="宋体" w:cs="宋体"/>
      <w:b/>
      <w:bCs/>
      <w:kern w:val="0"/>
      <w:sz w:val="24"/>
      <w:szCs w:val="24"/>
    </w:rPr>
  </w:style>
  <w:style w:type="paragraph" w:customStyle="1" w:styleId="414">
    <w:name w:val="xl149"/>
    <w:basedOn w:val="1"/>
    <w:qFormat/>
    <w:uiPriority w:val="99"/>
    <w:pPr>
      <w:widowControl/>
      <w:pBdr>
        <w:top w:val="single" w:color="auto" w:sz="4" w:space="0"/>
        <w:bottom w:val="single" w:color="auto" w:sz="4" w:space="0"/>
        <w:right w:val="single" w:color="auto" w:sz="4" w:space="0"/>
      </w:pBdr>
      <w:shd w:val="clear" w:color="000000" w:fill="C0C0C0"/>
      <w:spacing w:before="100" w:beforeAutospacing="1" w:after="100" w:afterAutospacing="1"/>
      <w:jc w:val="center"/>
    </w:pPr>
    <w:rPr>
      <w:rFonts w:ascii="宋体" w:hAnsi="宋体" w:eastAsia="宋体" w:cs="宋体"/>
      <w:b/>
      <w:bCs/>
      <w:kern w:val="0"/>
      <w:sz w:val="24"/>
      <w:szCs w:val="24"/>
    </w:rPr>
  </w:style>
  <w:style w:type="paragraph" w:customStyle="1" w:styleId="415">
    <w:name w:val="xl150"/>
    <w:basedOn w:val="1"/>
    <w:qFormat/>
    <w:uiPriority w:val="99"/>
    <w:pPr>
      <w:widowControl/>
      <w:pBdr>
        <w:top w:val="single" w:color="auto" w:sz="4" w:space="0"/>
        <w:left w:val="single" w:color="auto" w:sz="4" w:space="0"/>
        <w:right w:val="single" w:color="auto" w:sz="4" w:space="0"/>
      </w:pBdr>
      <w:shd w:val="clear" w:color="000000" w:fill="CC99FF"/>
      <w:spacing w:before="100" w:beforeAutospacing="1" w:after="100" w:afterAutospacing="1"/>
      <w:jc w:val="center"/>
      <w:textAlignment w:val="center"/>
    </w:pPr>
    <w:rPr>
      <w:rFonts w:ascii="宋体" w:hAnsi="宋体" w:eastAsia="宋体" w:cs="宋体"/>
      <w:kern w:val="0"/>
      <w:sz w:val="24"/>
      <w:szCs w:val="24"/>
    </w:rPr>
  </w:style>
  <w:style w:type="paragraph" w:customStyle="1" w:styleId="416">
    <w:name w:val="xl151"/>
    <w:basedOn w:val="1"/>
    <w:qFormat/>
    <w:uiPriority w:val="99"/>
    <w:pPr>
      <w:widowControl/>
      <w:pBdr>
        <w:left w:val="single" w:color="auto" w:sz="4" w:space="0"/>
        <w:right w:val="single" w:color="auto" w:sz="4" w:space="0"/>
      </w:pBdr>
      <w:shd w:val="clear" w:color="000000" w:fill="CC99FF"/>
      <w:spacing w:before="100" w:beforeAutospacing="1" w:after="100" w:afterAutospacing="1"/>
      <w:jc w:val="center"/>
      <w:textAlignment w:val="center"/>
    </w:pPr>
    <w:rPr>
      <w:rFonts w:ascii="宋体" w:hAnsi="宋体" w:eastAsia="宋体" w:cs="宋体"/>
      <w:kern w:val="0"/>
      <w:sz w:val="24"/>
      <w:szCs w:val="24"/>
    </w:rPr>
  </w:style>
  <w:style w:type="paragraph" w:customStyle="1" w:styleId="417">
    <w:name w:val="xl152"/>
    <w:basedOn w:val="1"/>
    <w:qFormat/>
    <w:uiPriority w:val="99"/>
    <w:pPr>
      <w:widowControl/>
      <w:pBdr>
        <w:left w:val="single" w:color="auto" w:sz="4" w:space="0"/>
        <w:bottom w:val="single" w:color="auto" w:sz="4" w:space="0"/>
        <w:right w:val="single" w:color="auto" w:sz="4" w:space="0"/>
      </w:pBdr>
      <w:shd w:val="clear" w:color="000000" w:fill="CC99FF"/>
      <w:spacing w:before="100" w:beforeAutospacing="1" w:after="100" w:afterAutospacing="1"/>
      <w:jc w:val="center"/>
      <w:textAlignment w:val="center"/>
    </w:pPr>
    <w:rPr>
      <w:rFonts w:ascii="宋体" w:hAnsi="宋体" w:eastAsia="宋体" w:cs="宋体"/>
      <w:kern w:val="0"/>
      <w:sz w:val="24"/>
      <w:szCs w:val="24"/>
    </w:rPr>
  </w:style>
  <w:style w:type="paragraph" w:customStyle="1" w:styleId="418">
    <w:name w:val="xl153"/>
    <w:basedOn w:val="1"/>
    <w:qFormat/>
    <w:uiPriority w:val="99"/>
    <w:pPr>
      <w:widowControl/>
      <w:pBdr>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419">
    <w:name w:val="xl154"/>
    <w:basedOn w:val="1"/>
    <w:qFormat/>
    <w:uiPriority w:val="99"/>
    <w:pPr>
      <w:widowControl/>
      <w:pBdr>
        <w:top w:val="single" w:color="auto" w:sz="4" w:space="0"/>
        <w:left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kern w:val="0"/>
      <w:sz w:val="24"/>
      <w:szCs w:val="24"/>
    </w:rPr>
  </w:style>
  <w:style w:type="paragraph" w:customStyle="1" w:styleId="420">
    <w:name w:val="xl155"/>
    <w:basedOn w:val="1"/>
    <w:qFormat/>
    <w:uiPriority w:val="99"/>
    <w:pPr>
      <w:widowControl/>
      <w:pBdr>
        <w:left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kern w:val="0"/>
      <w:sz w:val="24"/>
      <w:szCs w:val="24"/>
    </w:rPr>
  </w:style>
  <w:style w:type="paragraph" w:customStyle="1" w:styleId="421">
    <w:name w:val="xl156"/>
    <w:basedOn w:val="1"/>
    <w:qFormat/>
    <w:uiPriority w:val="99"/>
    <w:pPr>
      <w:widowControl/>
      <w:pBdr>
        <w:left w:val="single" w:color="auto" w:sz="4" w:space="0"/>
        <w:bottom w:val="single" w:color="auto" w:sz="4" w:space="0"/>
        <w:right w:val="single" w:color="auto" w:sz="4" w:space="0"/>
      </w:pBdr>
      <w:shd w:val="clear" w:color="000000" w:fill="99CCFF"/>
      <w:spacing w:before="100" w:beforeAutospacing="1" w:after="100" w:afterAutospacing="1"/>
      <w:jc w:val="center"/>
      <w:textAlignment w:val="center"/>
    </w:pPr>
    <w:rPr>
      <w:rFonts w:ascii="宋体" w:hAnsi="宋体" w:eastAsia="宋体" w:cs="宋体"/>
      <w:kern w:val="0"/>
      <w:sz w:val="24"/>
      <w:szCs w:val="24"/>
    </w:rPr>
  </w:style>
  <w:style w:type="paragraph" w:customStyle="1" w:styleId="422">
    <w:name w:val="xl157"/>
    <w:basedOn w:val="1"/>
    <w:qFormat/>
    <w:uiPriority w:val="99"/>
    <w:pPr>
      <w:widowControl/>
      <w:pBdr>
        <w:top w:val="single" w:color="auto" w:sz="4" w:space="0"/>
        <w:left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kern w:val="0"/>
      <w:sz w:val="24"/>
      <w:szCs w:val="24"/>
    </w:rPr>
  </w:style>
  <w:style w:type="paragraph" w:customStyle="1" w:styleId="423">
    <w:name w:val="xl158"/>
    <w:basedOn w:val="1"/>
    <w:qFormat/>
    <w:uiPriority w:val="99"/>
    <w:pPr>
      <w:widowControl/>
      <w:pBdr>
        <w:left w:val="single" w:color="auto" w:sz="4" w:space="0"/>
        <w:right w:val="single" w:color="auto" w:sz="4" w:space="0"/>
      </w:pBdr>
      <w:shd w:val="clear" w:color="000000" w:fill="FFCC00"/>
      <w:spacing w:before="100" w:beforeAutospacing="1" w:after="100" w:afterAutospacing="1"/>
      <w:jc w:val="center"/>
      <w:textAlignment w:val="center"/>
    </w:pPr>
    <w:rPr>
      <w:rFonts w:ascii="宋体" w:hAnsi="宋体" w:eastAsia="宋体" w:cs="宋体"/>
      <w:kern w:val="0"/>
      <w:sz w:val="24"/>
      <w:szCs w:val="24"/>
    </w:rPr>
  </w:style>
  <w:style w:type="paragraph" w:customStyle="1" w:styleId="424">
    <w:name w:val="xl159"/>
    <w:basedOn w:val="1"/>
    <w:qFormat/>
    <w:uiPriority w:val="99"/>
    <w:pPr>
      <w:widowControl/>
      <w:pBdr>
        <w:top w:val="single" w:color="auto" w:sz="4" w:space="0"/>
        <w:left w:val="single" w:color="auto" w:sz="4" w:space="0"/>
        <w:right w:val="single" w:color="auto" w:sz="4" w:space="0"/>
      </w:pBdr>
      <w:shd w:val="clear" w:color="000000" w:fill="CC99FF"/>
      <w:spacing w:before="100" w:beforeAutospacing="1" w:after="100" w:afterAutospacing="1"/>
      <w:jc w:val="center"/>
      <w:textAlignment w:val="center"/>
    </w:pPr>
    <w:rPr>
      <w:rFonts w:ascii="宋体" w:hAnsi="宋体" w:eastAsia="宋体" w:cs="宋体"/>
      <w:kern w:val="0"/>
      <w:sz w:val="24"/>
      <w:szCs w:val="24"/>
    </w:rPr>
  </w:style>
  <w:style w:type="paragraph" w:customStyle="1" w:styleId="425">
    <w:name w:val="xl160"/>
    <w:basedOn w:val="1"/>
    <w:qFormat/>
    <w:uiPriority w:val="99"/>
    <w:pPr>
      <w:widowControl/>
      <w:pBdr>
        <w:left w:val="single" w:color="auto" w:sz="4" w:space="0"/>
        <w:right w:val="single" w:color="auto" w:sz="4" w:space="0"/>
      </w:pBdr>
      <w:shd w:val="clear" w:color="000000" w:fill="CC99FF"/>
      <w:spacing w:before="100" w:beforeAutospacing="1" w:after="100" w:afterAutospacing="1"/>
      <w:jc w:val="center"/>
      <w:textAlignment w:val="center"/>
    </w:pPr>
    <w:rPr>
      <w:rFonts w:ascii="宋体" w:hAnsi="宋体" w:eastAsia="宋体" w:cs="宋体"/>
      <w:kern w:val="0"/>
      <w:sz w:val="24"/>
      <w:szCs w:val="24"/>
    </w:rPr>
  </w:style>
  <w:style w:type="paragraph" w:customStyle="1" w:styleId="426">
    <w:name w:val="xl161"/>
    <w:basedOn w:val="1"/>
    <w:qFormat/>
    <w:uiPriority w:val="99"/>
    <w:pPr>
      <w:widowControl/>
      <w:pBdr>
        <w:left w:val="single" w:color="auto" w:sz="4" w:space="0"/>
        <w:bottom w:val="single" w:color="auto" w:sz="4" w:space="0"/>
        <w:right w:val="single" w:color="auto" w:sz="4" w:space="0"/>
      </w:pBdr>
      <w:shd w:val="clear" w:color="000000" w:fill="CC99FF"/>
      <w:spacing w:before="100" w:beforeAutospacing="1" w:after="100" w:afterAutospacing="1"/>
      <w:jc w:val="center"/>
      <w:textAlignment w:val="center"/>
    </w:pPr>
    <w:rPr>
      <w:rFonts w:ascii="宋体" w:hAnsi="宋体" w:eastAsia="宋体" w:cs="宋体"/>
      <w:kern w:val="0"/>
      <w:sz w:val="24"/>
      <w:szCs w:val="24"/>
    </w:rPr>
  </w:style>
  <w:style w:type="paragraph" w:customStyle="1" w:styleId="427">
    <w:name w:val="xl162"/>
    <w:basedOn w:val="1"/>
    <w:qFormat/>
    <w:uiPriority w:val="99"/>
    <w:pPr>
      <w:widowControl/>
      <w:pBdr>
        <w:left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428">
    <w:name w:val="xl16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4"/>
      <w:szCs w:val="24"/>
    </w:rPr>
  </w:style>
  <w:style w:type="paragraph" w:customStyle="1" w:styleId="429">
    <w:name w:val="xl164"/>
    <w:basedOn w:val="1"/>
    <w:qFormat/>
    <w:uiPriority w:val="99"/>
    <w:pPr>
      <w:widowControl/>
      <w:pBdr>
        <w:top w:val="single" w:color="auto" w:sz="4" w:space="0"/>
        <w:left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30">
    <w:name w:val="xl165"/>
    <w:basedOn w:val="1"/>
    <w:qFormat/>
    <w:uiPriority w:val="99"/>
    <w:pPr>
      <w:widowControl/>
      <w:pBdr>
        <w:left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31">
    <w:name w:val="xl166"/>
    <w:basedOn w:val="1"/>
    <w:qFormat/>
    <w:uiPriority w:val="99"/>
    <w:pPr>
      <w:widowControl/>
      <w:pBdr>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32">
    <w:name w:val="xl167"/>
    <w:basedOn w:val="1"/>
    <w:qFormat/>
    <w:uiPriority w:val="99"/>
    <w:pPr>
      <w:widowControl/>
      <w:numPr>
        <w:ilvl w:val="0"/>
        <w:numId w:val="5"/>
      </w:numPr>
      <w:pBdr>
        <w:top w:val="single" w:color="auto" w:sz="4" w:space="0"/>
        <w:left w:val="single" w:color="auto" w:sz="4" w:space="0"/>
        <w:right w:val="single" w:color="auto" w:sz="4" w:space="0"/>
      </w:pBdr>
      <w:shd w:val="clear" w:color="000000" w:fill="CCFFCC"/>
      <w:tabs>
        <w:tab w:val="clear" w:pos="1561"/>
      </w:tabs>
      <w:spacing w:before="100" w:beforeAutospacing="1" w:after="100" w:afterAutospacing="1"/>
      <w:ind w:left="0" w:firstLine="0"/>
      <w:jc w:val="center"/>
    </w:pPr>
    <w:rPr>
      <w:rFonts w:ascii="宋体" w:hAnsi="宋体" w:eastAsia="宋体" w:cs="宋体"/>
      <w:kern w:val="0"/>
      <w:sz w:val="24"/>
      <w:szCs w:val="24"/>
    </w:rPr>
  </w:style>
  <w:style w:type="paragraph" w:customStyle="1" w:styleId="433">
    <w:name w:val="xl168"/>
    <w:basedOn w:val="1"/>
    <w:qFormat/>
    <w:uiPriority w:val="99"/>
    <w:pPr>
      <w:widowControl/>
      <w:pBdr>
        <w:left w:val="single" w:color="auto" w:sz="4" w:space="0"/>
        <w:right w:val="single" w:color="auto" w:sz="4" w:space="0"/>
      </w:pBdr>
      <w:shd w:val="clear" w:color="000000" w:fill="CCFFCC"/>
      <w:spacing w:before="100" w:beforeAutospacing="1" w:after="100" w:afterAutospacing="1"/>
      <w:jc w:val="center"/>
    </w:pPr>
    <w:rPr>
      <w:rFonts w:ascii="宋体" w:hAnsi="宋体" w:eastAsia="宋体" w:cs="宋体"/>
      <w:kern w:val="0"/>
      <w:sz w:val="24"/>
      <w:szCs w:val="24"/>
    </w:rPr>
  </w:style>
  <w:style w:type="paragraph" w:customStyle="1" w:styleId="434">
    <w:name w:val="xl169"/>
    <w:basedOn w:val="1"/>
    <w:qFormat/>
    <w:uiPriority w:val="99"/>
    <w:pPr>
      <w:widowControl/>
      <w:pBdr>
        <w:left w:val="single" w:color="auto" w:sz="4" w:space="0"/>
        <w:bottom w:val="single" w:color="auto" w:sz="4" w:space="0"/>
        <w:right w:val="single" w:color="auto" w:sz="4" w:space="0"/>
      </w:pBdr>
      <w:shd w:val="clear" w:color="000000" w:fill="CCFFCC"/>
      <w:spacing w:before="100" w:beforeAutospacing="1" w:after="100" w:afterAutospacing="1"/>
      <w:jc w:val="center"/>
    </w:pPr>
    <w:rPr>
      <w:rFonts w:ascii="宋体" w:hAnsi="宋体" w:eastAsia="宋体" w:cs="宋体"/>
      <w:kern w:val="0"/>
      <w:sz w:val="24"/>
      <w:szCs w:val="24"/>
    </w:rPr>
  </w:style>
  <w:style w:type="paragraph" w:customStyle="1" w:styleId="435">
    <w:name w:val="font6"/>
    <w:basedOn w:val="1"/>
    <w:qFormat/>
    <w:uiPriority w:val="0"/>
    <w:pPr>
      <w:widowControl/>
      <w:spacing w:before="100" w:beforeAutospacing="1" w:after="100" w:afterAutospacing="1"/>
      <w:jc w:val="left"/>
    </w:pPr>
    <w:rPr>
      <w:rFonts w:ascii="宋体" w:hAnsi="宋体" w:eastAsia="宋体" w:cs="宋体"/>
      <w:kern w:val="0"/>
      <w:sz w:val="20"/>
      <w:szCs w:val="20"/>
    </w:rPr>
  </w:style>
  <w:style w:type="paragraph" w:customStyle="1" w:styleId="436">
    <w:name w:val="正文-第几条"/>
    <w:basedOn w:val="1"/>
    <w:qFormat/>
    <w:uiPriority w:val="99"/>
    <w:pPr>
      <w:numPr>
        <w:ilvl w:val="0"/>
        <w:numId w:val="6"/>
      </w:numPr>
      <w:spacing w:line="360" w:lineRule="auto"/>
    </w:pPr>
    <w:rPr>
      <w:rFonts w:ascii="Times New Roman" w:hAnsi="Times New Roman" w:eastAsia="宋体" w:cs="Times New Roman"/>
      <w:sz w:val="24"/>
      <w:szCs w:val="24"/>
    </w:rPr>
  </w:style>
  <w:style w:type="paragraph" w:customStyle="1" w:styleId="437">
    <w:name w:val="font7"/>
    <w:basedOn w:val="1"/>
    <w:qFormat/>
    <w:uiPriority w:val="0"/>
    <w:pPr>
      <w:widowControl/>
      <w:spacing w:before="100" w:beforeAutospacing="1" w:after="100" w:afterAutospacing="1"/>
      <w:jc w:val="left"/>
    </w:pPr>
    <w:rPr>
      <w:rFonts w:ascii="宋体" w:hAnsi="宋体" w:eastAsia="宋体" w:cs="宋体"/>
      <w:kern w:val="0"/>
      <w:szCs w:val="21"/>
    </w:rPr>
  </w:style>
  <w:style w:type="paragraph" w:customStyle="1" w:styleId="438">
    <w:name w:val="font8"/>
    <w:basedOn w:val="1"/>
    <w:qFormat/>
    <w:uiPriority w:val="0"/>
    <w:pPr>
      <w:widowControl/>
      <w:spacing w:before="100" w:beforeAutospacing="1" w:after="100" w:afterAutospacing="1"/>
      <w:jc w:val="left"/>
    </w:pPr>
    <w:rPr>
      <w:rFonts w:ascii="Calibri" w:hAnsi="Calibri" w:eastAsia="宋体" w:cs="Calibri"/>
      <w:kern w:val="0"/>
      <w:szCs w:val="21"/>
    </w:rPr>
  </w:style>
  <w:style w:type="paragraph" w:customStyle="1" w:styleId="439">
    <w:name w:val="font9"/>
    <w:basedOn w:val="1"/>
    <w:qFormat/>
    <w:uiPriority w:val="0"/>
    <w:pPr>
      <w:widowControl/>
      <w:spacing w:before="100" w:beforeAutospacing="1" w:after="100" w:afterAutospacing="1"/>
      <w:jc w:val="left"/>
    </w:pPr>
    <w:rPr>
      <w:rFonts w:ascii="宋体" w:hAnsi="宋体" w:eastAsia="宋体" w:cs="宋体"/>
      <w:kern w:val="0"/>
      <w:sz w:val="18"/>
      <w:szCs w:val="18"/>
    </w:rPr>
  </w:style>
  <w:style w:type="paragraph" w:customStyle="1" w:styleId="440">
    <w:name w:val="font10"/>
    <w:basedOn w:val="1"/>
    <w:qFormat/>
    <w:uiPriority w:val="0"/>
    <w:pPr>
      <w:widowControl/>
      <w:spacing w:before="100" w:beforeAutospacing="1" w:after="100" w:afterAutospacing="1"/>
      <w:jc w:val="left"/>
    </w:pPr>
    <w:rPr>
      <w:rFonts w:ascii="宋体" w:hAnsi="宋体" w:eastAsia="宋体" w:cs="宋体"/>
      <w:color w:val="000000"/>
      <w:kern w:val="0"/>
      <w:sz w:val="22"/>
    </w:rPr>
  </w:style>
  <w:style w:type="paragraph" w:customStyle="1" w:styleId="441">
    <w:name w:val="font11"/>
    <w:basedOn w:val="1"/>
    <w:qFormat/>
    <w:uiPriority w:val="0"/>
    <w:pPr>
      <w:widowControl/>
      <w:spacing w:before="100" w:beforeAutospacing="1" w:after="100" w:afterAutospacing="1"/>
      <w:jc w:val="left"/>
    </w:pPr>
    <w:rPr>
      <w:rFonts w:ascii="宋体" w:hAnsi="宋体" w:eastAsia="宋体" w:cs="宋体"/>
      <w:kern w:val="0"/>
      <w:szCs w:val="21"/>
    </w:rPr>
  </w:style>
  <w:style w:type="paragraph" w:customStyle="1" w:styleId="442">
    <w:name w:val="font12"/>
    <w:basedOn w:val="1"/>
    <w:qFormat/>
    <w:uiPriority w:val="0"/>
    <w:pPr>
      <w:widowControl/>
      <w:spacing w:before="100" w:beforeAutospacing="1" w:after="100" w:afterAutospacing="1"/>
      <w:jc w:val="left"/>
    </w:pPr>
    <w:rPr>
      <w:rFonts w:ascii="Calibri" w:hAnsi="Calibri" w:eastAsia="宋体" w:cs="Calibri"/>
      <w:kern w:val="0"/>
      <w:szCs w:val="21"/>
    </w:rPr>
  </w:style>
  <w:style w:type="character" w:customStyle="1" w:styleId="443">
    <w:name w:val="页脚 Char1"/>
    <w:qFormat/>
    <w:uiPriority w:val="0"/>
    <w:rPr>
      <w:rFonts w:ascii="Calibri" w:hAnsi="Calibri" w:eastAsia="宋体" w:cs="Times New Roman"/>
      <w:sz w:val="18"/>
      <w:szCs w:val="18"/>
    </w:rPr>
  </w:style>
  <w:style w:type="paragraph" w:styleId="444">
    <w:name w:val="No Spacing"/>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445">
    <w:name w:val="font13"/>
    <w:basedOn w:val="1"/>
    <w:qFormat/>
    <w:uiPriority w:val="99"/>
    <w:pPr>
      <w:widowControl/>
      <w:spacing w:before="100" w:beforeAutospacing="1" w:after="100" w:afterAutospacing="1"/>
      <w:jc w:val="left"/>
    </w:pPr>
    <w:rPr>
      <w:rFonts w:ascii="宋体" w:hAnsi="宋体" w:eastAsia="宋体" w:cs="宋体"/>
      <w:b/>
      <w:bCs/>
      <w:kern w:val="0"/>
      <w:sz w:val="20"/>
      <w:szCs w:val="20"/>
    </w:rPr>
  </w:style>
  <w:style w:type="paragraph" w:customStyle="1" w:styleId="446">
    <w:name w:val="font14"/>
    <w:basedOn w:val="1"/>
    <w:qFormat/>
    <w:uiPriority w:val="99"/>
    <w:pPr>
      <w:widowControl/>
      <w:spacing w:before="100" w:beforeAutospacing="1" w:after="100" w:afterAutospacing="1"/>
      <w:jc w:val="left"/>
    </w:pPr>
    <w:rPr>
      <w:rFonts w:ascii="宋体" w:hAnsi="宋体" w:eastAsia="宋体" w:cs="宋体"/>
      <w:b/>
      <w:bCs/>
      <w:kern w:val="0"/>
      <w:sz w:val="20"/>
      <w:szCs w:val="20"/>
      <w:u w:val="single"/>
    </w:rPr>
  </w:style>
  <w:style w:type="paragraph" w:customStyle="1" w:styleId="447">
    <w:name w:val="xl22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48">
    <w:name w:val="xl22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49">
    <w:name w:val="xl22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50">
    <w:name w:val="xl22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51">
    <w:name w:val="xl22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52">
    <w:name w:val="xl22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53">
    <w:name w:val="xl227"/>
    <w:basedOn w:val="1"/>
    <w:qFormat/>
    <w:uiPriority w:val="99"/>
    <w:pPr>
      <w:widowControl/>
      <w:spacing w:before="100" w:beforeAutospacing="1" w:after="100" w:afterAutospacing="1"/>
      <w:jc w:val="left"/>
    </w:pPr>
    <w:rPr>
      <w:rFonts w:ascii="宋体" w:hAnsi="宋体" w:eastAsia="宋体" w:cs="宋体"/>
      <w:kern w:val="0"/>
      <w:sz w:val="24"/>
      <w:szCs w:val="24"/>
    </w:rPr>
  </w:style>
  <w:style w:type="paragraph" w:customStyle="1" w:styleId="454">
    <w:name w:val="xl22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55">
    <w:name w:val="xl22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56">
    <w:name w:val="xl23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57">
    <w:name w:val="xl23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58">
    <w:name w:val="xl232"/>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459">
    <w:name w:val="xl23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0">
    <w:name w:val="xl23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1">
    <w:name w:val="xl23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2">
    <w:name w:val="xl23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3">
    <w:name w:val="xl23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0"/>
      <w:szCs w:val="20"/>
    </w:rPr>
  </w:style>
  <w:style w:type="paragraph" w:customStyle="1" w:styleId="464">
    <w:name w:val="xl23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5">
    <w:name w:val="xl23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6">
    <w:name w:val="xl24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7">
    <w:name w:val="xl24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8">
    <w:name w:val="xl24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69">
    <w:name w:val="xl24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70">
    <w:name w:val="xl24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71">
    <w:name w:val="xl24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72">
    <w:name w:val="xl24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73">
    <w:name w:val="xl24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74">
    <w:name w:val="xl24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75">
    <w:name w:val="xl24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w:hAnsi="Arial" w:eastAsia="宋体" w:cs="Arial"/>
      <w:kern w:val="0"/>
      <w:sz w:val="20"/>
      <w:szCs w:val="20"/>
    </w:rPr>
  </w:style>
  <w:style w:type="paragraph" w:customStyle="1" w:styleId="476">
    <w:name w:val="xl250"/>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477">
    <w:name w:val="xl25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78">
    <w:name w:val="xl25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79">
    <w:name w:val="xl25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480">
    <w:name w:val="xl254"/>
    <w:basedOn w:val="1"/>
    <w:qFormat/>
    <w:uiPriority w:val="99"/>
    <w:pPr>
      <w:widowControl/>
      <w:spacing w:before="100" w:beforeAutospacing="1" w:after="100" w:afterAutospacing="1"/>
      <w:jc w:val="center"/>
    </w:pPr>
    <w:rPr>
      <w:rFonts w:ascii="宋体" w:hAnsi="宋体" w:eastAsia="宋体" w:cs="宋体"/>
      <w:kern w:val="0"/>
      <w:sz w:val="24"/>
      <w:szCs w:val="24"/>
    </w:rPr>
  </w:style>
  <w:style w:type="paragraph" w:customStyle="1" w:styleId="481">
    <w:name w:val="xl25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482">
    <w:name w:val="xl256"/>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83">
    <w:name w:val="xl25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484">
    <w:name w:val="xl25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485">
    <w:name w:val="xl25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86">
    <w:name w:val="xl26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487">
    <w:name w:val="xl26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488">
    <w:name w:val="xl262"/>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color w:val="FF0000"/>
      <w:kern w:val="0"/>
      <w:sz w:val="20"/>
      <w:szCs w:val="20"/>
    </w:rPr>
  </w:style>
  <w:style w:type="paragraph" w:customStyle="1" w:styleId="489">
    <w:name w:val="xl263"/>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90">
    <w:name w:val="xl264"/>
    <w:basedOn w:val="1"/>
    <w:qFormat/>
    <w:uiPriority w:val="99"/>
    <w:pPr>
      <w:widowControl/>
      <w:pBdr>
        <w:top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91">
    <w:name w:val="xl265"/>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eastAsia="宋体" w:cs="宋体"/>
      <w:kern w:val="0"/>
      <w:sz w:val="20"/>
      <w:szCs w:val="20"/>
    </w:rPr>
  </w:style>
  <w:style w:type="paragraph" w:customStyle="1" w:styleId="492">
    <w:name w:val="xl266"/>
    <w:basedOn w:val="1"/>
    <w:qFormat/>
    <w:uiPriority w:val="99"/>
    <w:pPr>
      <w:widowControl/>
      <w:pBdr>
        <w:top w:val="single" w:color="auto" w:sz="4" w:space="0"/>
        <w:bottom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493">
    <w:name w:val="xl267"/>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494">
    <w:name w:val="xl268"/>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4"/>
      <w:szCs w:val="24"/>
    </w:rPr>
  </w:style>
  <w:style w:type="paragraph" w:customStyle="1" w:styleId="495">
    <w:name w:val="xl269"/>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eastAsia="宋体" w:cs="宋体"/>
      <w:kern w:val="0"/>
      <w:sz w:val="20"/>
      <w:szCs w:val="20"/>
    </w:rPr>
  </w:style>
  <w:style w:type="paragraph" w:customStyle="1" w:styleId="496">
    <w:name w:val="xl2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497">
    <w:name w:val="xl271"/>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kern w:val="0"/>
      <w:sz w:val="20"/>
      <w:szCs w:val="20"/>
    </w:rPr>
  </w:style>
  <w:style w:type="paragraph" w:customStyle="1" w:styleId="498">
    <w:name w:val="xl272"/>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left"/>
    </w:pPr>
    <w:rPr>
      <w:rFonts w:ascii="宋体" w:hAnsi="宋体" w:eastAsia="宋体" w:cs="宋体"/>
      <w:kern w:val="0"/>
      <w:sz w:val="20"/>
      <w:szCs w:val="20"/>
    </w:rPr>
  </w:style>
  <w:style w:type="paragraph" w:customStyle="1" w:styleId="499">
    <w:name w:val="xl273"/>
    <w:basedOn w:val="1"/>
    <w:qFormat/>
    <w:uiPriority w:val="99"/>
    <w:pPr>
      <w:widowControl/>
      <w:pBdr>
        <w:top w:val="single" w:color="auto" w:sz="4" w:space="0"/>
        <w:left w:val="single" w:color="auto" w:sz="4" w:space="0"/>
        <w:bottom w:val="single" w:color="auto" w:sz="4" w:space="0"/>
        <w:right w:val="single" w:color="auto" w:sz="4" w:space="0"/>
      </w:pBdr>
      <w:shd w:val="clear" w:color="000000" w:fill="FFFF00"/>
      <w:spacing w:before="100" w:beforeAutospacing="1" w:after="100" w:afterAutospacing="1"/>
      <w:jc w:val="center"/>
    </w:pPr>
    <w:rPr>
      <w:rFonts w:ascii="宋体" w:hAnsi="宋体" w:eastAsia="宋体" w:cs="宋体"/>
      <w:kern w:val="0"/>
      <w:sz w:val="20"/>
      <w:szCs w:val="20"/>
    </w:rPr>
  </w:style>
  <w:style w:type="paragraph" w:customStyle="1" w:styleId="500">
    <w:name w:val="xl2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kern w:val="0"/>
      <w:sz w:val="24"/>
      <w:szCs w:val="24"/>
    </w:rPr>
  </w:style>
  <w:style w:type="paragraph" w:customStyle="1" w:styleId="501">
    <w:name w:val="xl275"/>
    <w:basedOn w:val="1"/>
    <w:qFormat/>
    <w:uiPriority w:val="99"/>
    <w:pPr>
      <w:widowControl/>
      <w:pBdr>
        <w:top w:val="single" w:color="auto" w:sz="4" w:space="0"/>
        <w:left w:val="single" w:color="auto" w:sz="4" w:space="0"/>
        <w:bottom w:val="single" w:color="auto" w:sz="4" w:space="0"/>
      </w:pBdr>
      <w:shd w:val="clear" w:color="000000" w:fill="95B3D7"/>
      <w:spacing w:before="100" w:beforeAutospacing="1" w:after="100" w:afterAutospacing="1"/>
      <w:jc w:val="left"/>
    </w:pPr>
    <w:rPr>
      <w:rFonts w:ascii="宋体" w:hAnsi="宋体" w:eastAsia="宋体" w:cs="宋体"/>
      <w:b/>
      <w:bCs/>
      <w:kern w:val="0"/>
      <w:sz w:val="20"/>
      <w:szCs w:val="20"/>
    </w:rPr>
  </w:style>
  <w:style w:type="paragraph" w:customStyle="1" w:styleId="502">
    <w:name w:val="xl276"/>
    <w:basedOn w:val="1"/>
    <w:qFormat/>
    <w:uiPriority w:val="99"/>
    <w:pPr>
      <w:widowControl/>
      <w:pBdr>
        <w:top w:val="single" w:color="auto" w:sz="4" w:space="0"/>
        <w:bottom w:val="single" w:color="auto" w:sz="4" w:space="0"/>
      </w:pBdr>
      <w:shd w:val="clear" w:color="000000" w:fill="95B3D7"/>
      <w:spacing w:before="100" w:beforeAutospacing="1" w:after="100" w:afterAutospacing="1"/>
      <w:jc w:val="left"/>
    </w:pPr>
    <w:rPr>
      <w:rFonts w:ascii="宋体" w:hAnsi="宋体" w:eastAsia="宋体" w:cs="宋体"/>
      <w:b/>
      <w:bCs/>
      <w:kern w:val="0"/>
      <w:sz w:val="20"/>
      <w:szCs w:val="20"/>
    </w:rPr>
  </w:style>
  <w:style w:type="paragraph" w:customStyle="1" w:styleId="503">
    <w:name w:val="xl277"/>
    <w:basedOn w:val="1"/>
    <w:qFormat/>
    <w:uiPriority w:val="99"/>
    <w:pPr>
      <w:widowControl/>
      <w:pBdr>
        <w:top w:val="single" w:color="auto" w:sz="4" w:space="0"/>
        <w:bottom w:val="single" w:color="auto" w:sz="4" w:space="0"/>
        <w:right w:val="single" w:color="auto" w:sz="4" w:space="0"/>
      </w:pBdr>
      <w:shd w:val="clear" w:color="000000" w:fill="95B3D7"/>
      <w:spacing w:before="100" w:beforeAutospacing="1" w:after="100" w:afterAutospacing="1"/>
      <w:jc w:val="left"/>
    </w:pPr>
    <w:rPr>
      <w:rFonts w:ascii="宋体" w:hAnsi="宋体" w:eastAsia="宋体" w:cs="宋体"/>
      <w:b/>
      <w:bCs/>
      <w:kern w:val="0"/>
      <w:sz w:val="20"/>
      <w:szCs w:val="20"/>
    </w:rPr>
  </w:style>
  <w:style w:type="paragraph" w:customStyle="1" w:styleId="504">
    <w:name w:val="xl278"/>
    <w:basedOn w:val="1"/>
    <w:qFormat/>
    <w:uiPriority w:val="99"/>
    <w:pPr>
      <w:widowControl/>
      <w:pBdr>
        <w:top w:val="single" w:color="auto" w:sz="4" w:space="0"/>
        <w:left w:val="single" w:color="auto" w:sz="4" w:space="0"/>
        <w:bottom w:val="single" w:color="auto" w:sz="4" w:space="0"/>
      </w:pBdr>
      <w:shd w:val="clear" w:color="000000" w:fill="95B3D7"/>
      <w:spacing w:before="100" w:beforeAutospacing="1" w:after="100" w:afterAutospacing="1"/>
      <w:jc w:val="left"/>
    </w:pPr>
    <w:rPr>
      <w:rFonts w:ascii="宋体" w:hAnsi="宋体" w:eastAsia="宋体" w:cs="宋体"/>
      <w:b/>
      <w:bCs/>
      <w:kern w:val="0"/>
      <w:sz w:val="20"/>
      <w:szCs w:val="20"/>
    </w:rPr>
  </w:style>
  <w:style w:type="paragraph" w:customStyle="1" w:styleId="505">
    <w:name w:val="xl279"/>
    <w:basedOn w:val="1"/>
    <w:qFormat/>
    <w:uiPriority w:val="99"/>
    <w:pPr>
      <w:widowControl/>
      <w:pBdr>
        <w:top w:val="single" w:color="auto" w:sz="4" w:space="0"/>
        <w:bottom w:val="single" w:color="auto" w:sz="4" w:space="0"/>
      </w:pBdr>
      <w:shd w:val="clear" w:color="000000" w:fill="95B3D7"/>
      <w:spacing w:before="100" w:beforeAutospacing="1" w:after="100" w:afterAutospacing="1"/>
      <w:jc w:val="left"/>
    </w:pPr>
    <w:rPr>
      <w:rFonts w:ascii="宋体" w:hAnsi="宋体" w:eastAsia="宋体" w:cs="宋体"/>
      <w:b/>
      <w:bCs/>
      <w:kern w:val="0"/>
      <w:sz w:val="20"/>
      <w:szCs w:val="20"/>
    </w:rPr>
  </w:style>
  <w:style w:type="paragraph" w:customStyle="1" w:styleId="506">
    <w:name w:val="xl280"/>
    <w:basedOn w:val="1"/>
    <w:qFormat/>
    <w:uiPriority w:val="99"/>
    <w:pPr>
      <w:widowControl/>
      <w:pBdr>
        <w:top w:val="single" w:color="auto" w:sz="4" w:space="0"/>
        <w:bottom w:val="single" w:color="auto" w:sz="4" w:space="0"/>
        <w:right w:val="single" w:color="auto" w:sz="4" w:space="0"/>
      </w:pBdr>
      <w:shd w:val="clear" w:color="000000" w:fill="95B3D7"/>
      <w:spacing w:before="100" w:beforeAutospacing="1" w:after="100" w:afterAutospacing="1"/>
      <w:jc w:val="left"/>
    </w:pPr>
    <w:rPr>
      <w:rFonts w:ascii="宋体" w:hAnsi="宋体" w:eastAsia="宋体" w:cs="宋体"/>
      <w:b/>
      <w:bCs/>
      <w:kern w:val="0"/>
      <w:sz w:val="20"/>
      <w:szCs w:val="20"/>
    </w:rPr>
  </w:style>
  <w:style w:type="paragraph" w:customStyle="1" w:styleId="507">
    <w:name w:val="xl281"/>
    <w:basedOn w:val="1"/>
    <w:qFormat/>
    <w:uiPriority w:val="99"/>
    <w:pPr>
      <w:widowControl/>
      <w:pBdr>
        <w:top w:val="single" w:color="auto" w:sz="4" w:space="0"/>
        <w:left w:val="single" w:color="auto" w:sz="4" w:space="0"/>
        <w:bottom w:val="single" w:color="auto" w:sz="4" w:space="0"/>
      </w:pBdr>
      <w:spacing w:before="100" w:beforeAutospacing="1" w:after="100" w:afterAutospacing="1"/>
      <w:jc w:val="center"/>
    </w:pPr>
    <w:rPr>
      <w:rFonts w:ascii="宋体" w:hAnsi="宋体" w:eastAsia="宋体" w:cs="宋体"/>
      <w:kern w:val="0"/>
      <w:sz w:val="20"/>
      <w:szCs w:val="20"/>
    </w:rPr>
  </w:style>
  <w:style w:type="paragraph" w:customStyle="1" w:styleId="508">
    <w:name w:val="Char Char Char Char Char Char Char Char Char Char Char Char Char"/>
    <w:basedOn w:val="1"/>
    <w:qFormat/>
    <w:uiPriority w:val="99"/>
    <w:pPr>
      <w:spacing w:line="360" w:lineRule="auto"/>
      <w:ind w:firstLine="200" w:firstLineChars="200"/>
    </w:pPr>
    <w:rPr>
      <w:rFonts w:ascii="宋体" w:hAnsi="宋体" w:eastAsia="宋体" w:cs="宋体"/>
      <w:sz w:val="24"/>
    </w:rPr>
  </w:style>
  <w:style w:type="character" w:customStyle="1" w:styleId="509">
    <w:name w:val="so-ask-best"/>
    <w:basedOn w:val="49"/>
    <w:qFormat/>
    <w:uiPriority w:val="0"/>
    <w:rPr>
      <w:rFonts w:cs="Times New Roman"/>
    </w:rPr>
  </w:style>
  <w:style w:type="character" w:customStyle="1" w:styleId="510">
    <w:name w:val="Date Char"/>
    <w:qFormat/>
    <w:locked/>
    <w:uiPriority w:val="0"/>
    <w:rPr>
      <w:rFonts w:ascii="MT Extra" w:hAnsi="MT Extra" w:cs="MT Extra"/>
      <w:sz w:val="24"/>
      <w:szCs w:val="24"/>
    </w:rPr>
  </w:style>
  <w:style w:type="character" w:customStyle="1" w:styleId="511">
    <w:name w:val="Balloon Text Char"/>
    <w:qFormat/>
    <w:locked/>
    <w:uiPriority w:val="0"/>
    <w:rPr>
      <w:rFonts w:ascii="MT Extra" w:hAnsi="MT Extra" w:cs="MT Extra"/>
      <w:sz w:val="18"/>
      <w:szCs w:val="18"/>
    </w:rPr>
  </w:style>
  <w:style w:type="character" w:customStyle="1" w:styleId="512">
    <w:name w:val="访问过的超链接1"/>
    <w:qFormat/>
    <w:uiPriority w:val="0"/>
    <w:rPr>
      <w:color w:val="800080"/>
      <w:u w:val="single"/>
    </w:rPr>
  </w:style>
  <w:style w:type="paragraph" w:customStyle="1" w:styleId="513">
    <w:name w:val="xl170"/>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eastAsia="宋体" w:cs="宋体"/>
      <w:b/>
      <w:bCs/>
      <w:kern w:val="0"/>
      <w:sz w:val="22"/>
    </w:rPr>
  </w:style>
  <w:style w:type="paragraph" w:customStyle="1" w:styleId="514">
    <w:name w:val="xl171"/>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textAlignment w:val="center"/>
    </w:pPr>
    <w:rPr>
      <w:rFonts w:ascii="宋体" w:hAnsi="宋体" w:eastAsia="宋体" w:cs="宋体"/>
      <w:color w:val="000000"/>
      <w:kern w:val="0"/>
      <w:sz w:val="18"/>
      <w:szCs w:val="18"/>
    </w:rPr>
  </w:style>
  <w:style w:type="paragraph" w:customStyle="1" w:styleId="515">
    <w:name w:val="xl172"/>
    <w:basedOn w:val="1"/>
    <w:qFormat/>
    <w:uiPriority w:val="99"/>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left"/>
      <w:textAlignment w:val="center"/>
    </w:pPr>
    <w:rPr>
      <w:rFonts w:ascii="宋体" w:hAnsi="宋体" w:eastAsia="宋体" w:cs="宋体"/>
      <w:kern w:val="0"/>
      <w:sz w:val="24"/>
      <w:szCs w:val="24"/>
    </w:rPr>
  </w:style>
  <w:style w:type="paragraph" w:customStyle="1" w:styleId="516">
    <w:name w:val="xl173"/>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FF0000"/>
      <w:kern w:val="0"/>
      <w:sz w:val="18"/>
      <w:szCs w:val="18"/>
    </w:rPr>
  </w:style>
  <w:style w:type="paragraph" w:customStyle="1" w:styleId="517">
    <w:name w:val="xl174"/>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kern w:val="0"/>
      <w:sz w:val="18"/>
      <w:szCs w:val="18"/>
    </w:rPr>
  </w:style>
  <w:style w:type="paragraph" w:customStyle="1" w:styleId="518">
    <w:name w:val="xl175"/>
    <w:basedOn w:val="1"/>
    <w:qFormat/>
    <w:uiPriority w:val="99"/>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eastAsia="宋体" w:cs="宋体"/>
      <w:color w:val="FF0000"/>
      <w:kern w:val="0"/>
      <w:sz w:val="18"/>
      <w:szCs w:val="18"/>
    </w:rPr>
  </w:style>
  <w:style w:type="paragraph" w:customStyle="1" w:styleId="519">
    <w:name w:val="font15"/>
    <w:basedOn w:val="1"/>
    <w:qFormat/>
    <w:uiPriority w:val="99"/>
    <w:pPr>
      <w:widowControl/>
      <w:spacing w:before="100" w:beforeAutospacing="1" w:after="100" w:afterAutospacing="1"/>
      <w:jc w:val="left"/>
    </w:pPr>
    <w:rPr>
      <w:rFonts w:ascii="宋体" w:hAnsi="宋体" w:eastAsia="宋体" w:cs="宋体"/>
      <w:kern w:val="0"/>
      <w:sz w:val="18"/>
      <w:szCs w:val="18"/>
    </w:rPr>
  </w:style>
  <w:style w:type="character" w:customStyle="1" w:styleId="520">
    <w:name w:val="Heading 1 Char"/>
    <w:basedOn w:val="49"/>
    <w:qFormat/>
    <w:locked/>
    <w:uiPriority w:val="0"/>
    <w:rPr>
      <w:rFonts w:cs="Times New Roman"/>
      <w:b/>
      <w:bCs/>
      <w:kern w:val="44"/>
      <w:sz w:val="44"/>
      <w:szCs w:val="44"/>
    </w:rPr>
  </w:style>
  <w:style w:type="character" w:customStyle="1" w:styleId="521">
    <w:name w:val="Header Char"/>
    <w:basedOn w:val="49"/>
    <w:qFormat/>
    <w:locked/>
    <w:uiPriority w:val="0"/>
    <w:rPr>
      <w:rFonts w:cs="Times New Roman"/>
      <w:kern w:val="2"/>
      <w:sz w:val="18"/>
      <w:szCs w:val="18"/>
    </w:rPr>
  </w:style>
  <w:style w:type="character" w:customStyle="1" w:styleId="522">
    <w:name w:val="Footer Char"/>
    <w:basedOn w:val="49"/>
    <w:qFormat/>
    <w:locked/>
    <w:uiPriority w:val="0"/>
    <w:rPr>
      <w:rFonts w:cs="Times New Roman"/>
      <w:kern w:val="2"/>
      <w:sz w:val="18"/>
      <w:szCs w:val="18"/>
    </w:rPr>
  </w:style>
  <w:style w:type="character" w:customStyle="1" w:styleId="523">
    <w:name w:val="t121"/>
    <w:qFormat/>
    <w:uiPriority w:val="0"/>
    <w:rPr>
      <w:sz w:val="21"/>
    </w:rPr>
  </w:style>
  <w:style w:type="paragraph" w:customStyle="1" w:styleId="524">
    <w:name w:val="_Style 3"/>
    <w:basedOn w:val="1"/>
    <w:qFormat/>
    <w:uiPriority w:val="99"/>
    <w:pPr>
      <w:ind w:firstLine="420" w:firstLineChars="200"/>
    </w:pPr>
    <w:rPr>
      <w:rFonts w:ascii="Calibri" w:hAnsi="Calibri" w:eastAsia="宋体" w:cs="Times New Roman"/>
    </w:rPr>
  </w:style>
  <w:style w:type="paragraph" w:customStyle="1" w:styleId="525">
    <w:name w:val="正文 New New New New New New New New New New New New New New New New New New New"/>
    <w:qFormat/>
    <w:uiPriority w:val="99"/>
    <w:pPr>
      <w:adjustRightInd w:val="0"/>
      <w:snapToGrid w:val="0"/>
      <w:spacing w:after="200"/>
    </w:pPr>
    <w:rPr>
      <w:rFonts w:ascii="Tahoma" w:hAnsi="Tahoma" w:eastAsia="微软雅黑" w:cs="黑体"/>
      <w:kern w:val="0"/>
      <w:sz w:val="22"/>
      <w:szCs w:val="22"/>
      <w:lang w:val="en-US" w:eastAsia="zh-CN" w:bidi="ar-SA"/>
    </w:rPr>
  </w:style>
  <w:style w:type="paragraph" w:customStyle="1" w:styleId="526">
    <w:name w:val="普通(网站)11"/>
    <w:basedOn w:val="1"/>
    <w:qFormat/>
    <w:uiPriority w:val="99"/>
    <w:pPr>
      <w:widowControl/>
      <w:spacing w:before="100" w:beforeAutospacing="1" w:after="100" w:afterAutospacing="1"/>
      <w:jc w:val="left"/>
    </w:pPr>
    <w:rPr>
      <w:rFonts w:ascii="宋体" w:hAnsi="宋体" w:eastAsia="宋体" w:cs="宋体"/>
      <w:kern w:val="0"/>
      <w:sz w:val="24"/>
      <w:szCs w:val="24"/>
    </w:rPr>
  </w:style>
  <w:style w:type="character" w:customStyle="1" w:styleId="527">
    <w:name w:val="日程表正文"/>
    <w:basedOn w:val="49"/>
    <w:qFormat/>
    <w:uiPriority w:val="0"/>
    <w:rPr>
      <w:rFonts w:eastAsia="宋体" w:cs="Times New Roman"/>
      <w:color w:val="000000"/>
      <w:sz w:val="21"/>
      <w:lang w:val="zh-CN" w:eastAsia="zh-CN"/>
    </w:rPr>
  </w:style>
  <w:style w:type="paragraph" w:customStyle="1" w:styleId="528">
    <w:name w:val="文本正文"/>
    <w:basedOn w:val="1"/>
    <w:link w:val="529"/>
    <w:qFormat/>
    <w:uiPriority w:val="0"/>
    <w:pPr>
      <w:adjustRightInd w:val="0"/>
      <w:snapToGrid w:val="0"/>
      <w:spacing w:line="600" w:lineRule="exact"/>
      <w:ind w:firstLine="200" w:firstLineChars="200"/>
    </w:pPr>
    <w:rPr>
      <w:rFonts w:ascii="黑体" w:hAnsi="黑体" w:eastAsia="仿宋_GB2312" w:cs="Times New Roman"/>
      <w:kern w:val="0"/>
      <w:sz w:val="32"/>
      <w:szCs w:val="24"/>
      <w:lang w:val="zh-CN"/>
    </w:rPr>
  </w:style>
  <w:style w:type="character" w:customStyle="1" w:styleId="529">
    <w:name w:val="文本正文 Char"/>
    <w:link w:val="528"/>
    <w:qFormat/>
    <w:locked/>
    <w:uiPriority w:val="0"/>
    <w:rPr>
      <w:rFonts w:ascii="黑体" w:hAnsi="黑体" w:eastAsia="仿宋_GB2312" w:cs="Times New Roman"/>
      <w:kern w:val="0"/>
      <w:sz w:val="32"/>
      <w:szCs w:val="24"/>
      <w:lang w:val="zh-CN"/>
    </w:rPr>
  </w:style>
  <w:style w:type="paragraph" w:customStyle="1" w:styleId="530">
    <w:name w:val="专栏样式"/>
    <w:basedOn w:val="1"/>
    <w:link w:val="531"/>
    <w:qFormat/>
    <w:uiPriority w:val="0"/>
    <w:pPr>
      <w:pBdr>
        <w:top w:val="single" w:color="auto" w:sz="4" w:space="1"/>
        <w:left w:val="single" w:color="auto" w:sz="4" w:space="4"/>
        <w:bottom w:val="single" w:color="auto" w:sz="4" w:space="1"/>
        <w:right w:val="single" w:color="auto" w:sz="4" w:space="4"/>
      </w:pBdr>
      <w:spacing w:line="288" w:lineRule="auto"/>
    </w:pPr>
    <w:rPr>
      <w:rFonts w:ascii="宋体" w:hAnsi="宋体" w:eastAsia="宋体" w:cs="Times New Roman"/>
      <w:sz w:val="24"/>
    </w:rPr>
  </w:style>
  <w:style w:type="character" w:customStyle="1" w:styleId="531">
    <w:name w:val="专栏样式 Char"/>
    <w:link w:val="530"/>
    <w:qFormat/>
    <w:locked/>
    <w:uiPriority w:val="0"/>
    <w:rPr>
      <w:rFonts w:ascii="宋体" w:hAnsi="宋体" w:eastAsia="宋体" w:cs="Times New Roman"/>
      <w:sz w:val="24"/>
    </w:rPr>
  </w:style>
  <w:style w:type="paragraph" w:customStyle="1" w:styleId="532">
    <w:name w:val="TOC 标题1"/>
    <w:basedOn w:val="2"/>
    <w:next w:val="1"/>
    <w:qFormat/>
    <w:uiPriority w:val="99"/>
    <w:pPr>
      <w:widowControl/>
      <w:spacing w:before="240" w:line="259" w:lineRule="auto"/>
      <w:ind w:firstLine="200"/>
      <w:jc w:val="left"/>
      <w:outlineLvl w:val="9"/>
    </w:pPr>
    <w:rPr>
      <w:rFonts w:ascii="Cambria" w:hAnsi="Cambria"/>
      <w:color w:val="365F91"/>
      <w:kern w:val="0"/>
      <w:sz w:val="32"/>
      <w:szCs w:val="32"/>
    </w:rPr>
  </w:style>
  <w:style w:type="paragraph" w:customStyle="1" w:styleId="533">
    <w:name w:val="列出段落4"/>
    <w:basedOn w:val="1"/>
    <w:qFormat/>
    <w:uiPriority w:val="99"/>
    <w:pPr>
      <w:ind w:firstLine="420" w:firstLineChars="200"/>
    </w:pPr>
    <w:rPr>
      <w:rFonts w:ascii="Calibri" w:hAnsi="Calibri" w:eastAsia="宋体" w:cs="Times New Roman"/>
    </w:rPr>
  </w:style>
  <w:style w:type="character" w:customStyle="1" w:styleId="534">
    <w:name w:val="Heading 3 Char"/>
    <w:basedOn w:val="49"/>
    <w:qFormat/>
    <w:locked/>
    <w:uiPriority w:val="0"/>
    <w:rPr>
      <w:rFonts w:ascii="宋体" w:hAnsi="宋体" w:eastAsia="宋体" w:cs="Times New Roman"/>
      <w:b/>
      <w:sz w:val="24"/>
      <w:szCs w:val="24"/>
    </w:rPr>
  </w:style>
  <w:style w:type="character" w:customStyle="1" w:styleId="535">
    <w:name w:val="Heading 4 Char"/>
    <w:basedOn w:val="49"/>
    <w:qFormat/>
    <w:locked/>
    <w:uiPriority w:val="0"/>
    <w:rPr>
      <w:rFonts w:ascii="等线 Light" w:hAnsi="等线 Light" w:eastAsia="等线 Light" w:cs="Times New Roman"/>
      <w:b/>
      <w:bCs/>
      <w:sz w:val="28"/>
      <w:szCs w:val="28"/>
    </w:rPr>
  </w:style>
  <w:style w:type="paragraph" w:customStyle="1" w:styleId="536">
    <w:name w:val="TOC 标题2"/>
    <w:basedOn w:val="2"/>
    <w:next w:val="1"/>
    <w:qFormat/>
    <w:uiPriority w:val="99"/>
    <w:pPr>
      <w:widowControl/>
      <w:spacing w:before="340" w:after="330" w:line="259" w:lineRule="auto"/>
      <w:jc w:val="left"/>
      <w:outlineLvl w:val="9"/>
    </w:pPr>
    <w:rPr>
      <w:rFonts w:ascii="等线 Light" w:hAnsi="等线 Light" w:eastAsia="等线 Light"/>
      <w:color w:val="2F5496"/>
      <w:kern w:val="0"/>
      <w:sz w:val="32"/>
      <w:szCs w:val="32"/>
    </w:rPr>
  </w:style>
  <w:style w:type="paragraph" w:customStyle="1" w:styleId="537">
    <w:name w:val="无间隔1"/>
    <w:qFormat/>
    <w:uiPriority w:val="99"/>
    <w:pPr>
      <w:widowControl w:val="0"/>
      <w:spacing w:beforeLines="50" w:afterLines="50"/>
      <w:ind w:firstLine="480" w:firstLineChars="200"/>
      <w:jc w:val="both"/>
    </w:pPr>
    <w:rPr>
      <w:rFonts w:ascii="Times New Roman" w:hAnsi="Times New Roman" w:eastAsia="宋体" w:cs="Times New Roman"/>
      <w:kern w:val="2"/>
      <w:sz w:val="24"/>
      <w:szCs w:val="21"/>
      <w:lang w:val="en-US" w:eastAsia="zh-CN" w:bidi="ar-SA"/>
    </w:rPr>
  </w:style>
  <w:style w:type="paragraph" w:customStyle="1" w:styleId="538">
    <w:name w:val="样式 正文缩进四号 + 首行缩进:  2 字符"/>
    <w:basedOn w:val="1"/>
    <w:qFormat/>
    <w:uiPriority w:val="99"/>
    <w:pPr>
      <w:snapToGrid w:val="0"/>
      <w:spacing w:line="360" w:lineRule="auto"/>
      <w:ind w:firstLine="560" w:firstLineChars="200"/>
      <w:jc w:val="left"/>
    </w:pPr>
    <w:rPr>
      <w:rFonts w:ascii="Times New Roman" w:hAnsi="Times New Roman" w:eastAsia="宋体" w:cs="宋体"/>
      <w:kern w:val="0"/>
      <w:sz w:val="24"/>
      <w:szCs w:val="24"/>
    </w:rPr>
  </w:style>
  <w:style w:type="character" w:customStyle="1" w:styleId="539">
    <w:name w:val="Heading 2 Char"/>
    <w:basedOn w:val="49"/>
    <w:qFormat/>
    <w:locked/>
    <w:uiPriority w:val="0"/>
    <w:rPr>
      <w:rFonts w:ascii="Cambria" w:hAnsi="Cambria" w:eastAsia="宋体" w:cs="Times New Roman"/>
      <w:b/>
      <w:bCs/>
      <w:sz w:val="32"/>
      <w:szCs w:val="32"/>
    </w:rPr>
  </w:style>
  <w:style w:type="character" w:customStyle="1" w:styleId="540">
    <w:name w:val="Heading 5 Char"/>
    <w:basedOn w:val="49"/>
    <w:qFormat/>
    <w:locked/>
    <w:uiPriority w:val="0"/>
    <w:rPr>
      <w:rFonts w:ascii="Times New Roman" w:hAnsi="Times New Roman" w:eastAsia="宋体" w:cs="Times New Roman"/>
      <w:b/>
      <w:bCs/>
      <w:sz w:val="28"/>
      <w:szCs w:val="28"/>
    </w:rPr>
  </w:style>
  <w:style w:type="character" w:customStyle="1" w:styleId="541">
    <w:name w:val="Heading 9 Char"/>
    <w:basedOn w:val="49"/>
    <w:qFormat/>
    <w:locked/>
    <w:uiPriority w:val="0"/>
    <w:rPr>
      <w:rFonts w:ascii="Cambria" w:hAnsi="Cambria" w:eastAsia="宋体" w:cs="Times New Roman"/>
      <w:sz w:val="21"/>
      <w:szCs w:val="21"/>
    </w:rPr>
  </w:style>
  <w:style w:type="paragraph" w:customStyle="1" w:styleId="542">
    <w:name w:val="样式 ??????????ˎ̥ ¶Îº¡¡¨¬®: 7.8 ¡ãõ ÐÐ¾¡¡¨¬¡¡§¡§: ¹Ì¶"/>
    <w:basedOn w:val="1"/>
    <w:qFormat/>
    <w:uiPriority w:val="99"/>
    <w:pPr>
      <w:tabs>
        <w:tab w:val="left" w:pos="4140"/>
      </w:tabs>
      <w:ind w:firstLine="600"/>
    </w:pPr>
    <w:rPr>
      <w:rFonts w:ascii="仿宋_GB2312" w:hAnsi="??" w:eastAsia="仿宋_GB2312" w:cs="宋体"/>
      <w:color w:val="FF0000"/>
      <w:sz w:val="32"/>
      <w:szCs w:val="32"/>
    </w:rPr>
  </w:style>
  <w:style w:type="paragraph" w:customStyle="1" w:styleId="543">
    <w:name w:val="Char12"/>
    <w:basedOn w:val="1"/>
    <w:qFormat/>
    <w:uiPriority w:val="99"/>
    <w:rPr>
      <w:rFonts w:ascii="Times New Roman" w:hAnsi="Times New Roman" w:eastAsia="宋体" w:cs="Times New Roman"/>
      <w:kern w:val="36"/>
      <w:sz w:val="36"/>
      <w:szCs w:val="24"/>
    </w:rPr>
  </w:style>
  <w:style w:type="paragraph" w:customStyle="1" w:styleId="544">
    <w:name w:val="Char Char Char Char Char Char Char Char Char Char Char Char Char3"/>
    <w:basedOn w:val="1"/>
    <w:qFormat/>
    <w:uiPriority w:val="99"/>
    <w:pPr>
      <w:spacing w:line="360" w:lineRule="auto"/>
      <w:ind w:firstLine="200" w:firstLineChars="200"/>
    </w:pPr>
    <w:rPr>
      <w:rFonts w:ascii="宋体" w:hAnsi="宋体" w:eastAsia="宋体" w:cs="宋体"/>
      <w:sz w:val="24"/>
    </w:rPr>
  </w:style>
  <w:style w:type="paragraph" w:customStyle="1" w:styleId="545">
    <w:name w:val="TOC 标题21"/>
    <w:basedOn w:val="2"/>
    <w:next w:val="1"/>
    <w:qFormat/>
    <w:uiPriority w:val="99"/>
    <w:pPr>
      <w:widowControl/>
      <w:spacing w:before="480" w:line="276" w:lineRule="auto"/>
      <w:jc w:val="left"/>
      <w:outlineLvl w:val="9"/>
    </w:pPr>
    <w:rPr>
      <w:rFonts w:ascii="Cambria" w:hAnsi="Cambria"/>
      <w:b/>
      <w:bCs w:val="0"/>
      <w:color w:val="365F91"/>
      <w:kern w:val="0"/>
      <w:sz w:val="28"/>
      <w:szCs w:val="28"/>
    </w:rPr>
  </w:style>
  <w:style w:type="paragraph" w:customStyle="1" w:styleId="546">
    <w:name w:val="Char11"/>
    <w:basedOn w:val="1"/>
    <w:qFormat/>
    <w:uiPriority w:val="99"/>
    <w:rPr>
      <w:rFonts w:ascii="Times New Roman" w:hAnsi="Times New Roman" w:eastAsia="宋体" w:cs="Times New Roman"/>
      <w:kern w:val="36"/>
      <w:sz w:val="36"/>
      <w:szCs w:val="24"/>
    </w:rPr>
  </w:style>
  <w:style w:type="paragraph" w:customStyle="1" w:styleId="547">
    <w:name w:val="Char Char Char Char Char Char Char Char Char Char Char Char Char1"/>
    <w:basedOn w:val="1"/>
    <w:qFormat/>
    <w:uiPriority w:val="99"/>
    <w:pPr>
      <w:spacing w:line="360" w:lineRule="auto"/>
      <w:ind w:firstLine="200" w:firstLineChars="200"/>
    </w:pPr>
    <w:rPr>
      <w:rFonts w:ascii="宋体" w:hAnsi="宋体" w:eastAsia="宋体" w:cs="宋体"/>
      <w:sz w:val="24"/>
    </w:rPr>
  </w:style>
  <w:style w:type="paragraph" w:customStyle="1" w:styleId="548">
    <w:name w:val="Char15"/>
    <w:basedOn w:val="1"/>
    <w:qFormat/>
    <w:uiPriority w:val="99"/>
    <w:rPr>
      <w:rFonts w:ascii="Times New Roman" w:hAnsi="Times New Roman" w:eastAsia="宋体" w:cs="Times New Roman"/>
      <w:kern w:val="36"/>
      <w:sz w:val="36"/>
      <w:szCs w:val="24"/>
    </w:rPr>
  </w:style>
  <w:style w:type="paragraph" w:customStyle="1" w:styleId="549">
    <w:name w:val="TOC 标题3"/>
    <w:basedOn w:val="2"/>
    <w:next w:val="1"/>
    <w:qFormat/>
    <w:uiPriority w:val="99"/>
    <w:pPr>
      <w:widowControl/>
      <w:spacing w:before="480" w:line="276" w:lineRule="auto"/>
      <w:jc w:val="left"/>
      <w:outlineLvl w:val="9"/>
    </w:pPr>
    <w:rPr>
      <w:rFonts w:ascii="Cambria" w:hAnsi="Cambria"/>
      <w:b/>
      <w:bCs w:val="0"/>
      <w:color w:val="365F91"/>
      <w:kern w:val="0"/>
      <w:sz w:val="28"/>
      <w:szCs w:val="28"/>
    </w:rPr>
  </w:style>
  <w:style w:type="paragraph" w:customStyle="1" w:styleId="550">
    <w:name w:val="Char14"/>
    <w:basedOn w:val="1"/>
    <w:qFormat/>
    <w:uiPriority w:val="99"/>
    <w:rPr>
      <w:rFonts w:ascii="Times New Roman" w:hAnsi="Times New Roman" w:eastAsia="宋体" w:cs="Times New Roman"/>
      <w:kern w:val="36"/>
      <w:sz w:val="36"/>
      <w:szCs w:val="24"/>
    </w:rPr>
  </w:style>
  <w:style w:type="paragraph" w:customStyle="1" w:styleId="551">
    <w:name w:val="Char Char Char Char Char Char Char Char Char Char Char Char Char2"/>
    <w:basedOn w:val="1"/>
    <w:qFormat/>
    <w:uiPriority w:val="99"/>
    <w:pPr>
      <w:spacing w:line="360" w:lineRule="auto"/>
      <w:ind w:firstLine="200" w:firstLineChars="200"/>
    </w:pPr>
    <w:rPr>
      <w:rFonts w:ascii="宋体" w:hAnsi="宋体" w:eastAsia="宋体" w:cs="宋体"/>
      <w:sz w:val="24"/>
    </w:rPr>
  </w:style>
  <w:style w:type="paragraph" w:customStyle="1" w:styleId="552">
    <w:name w:val="font16"/>
    <w:basedOn w:val="1"/>
    <w:qFormat/>
    <w:uiPriority w:val="99"/>
    <w:pPr>
      <w:widowControl/>
      <w:spacing w:before="100" w:beforeAutospacing="1" w:after="100" w:afterAutospacing="1"/>
      <w:jc w:val="left"/>
    </w:pPr>
    <w:rPr>
      <w:rFonts w:ascii="宋体" w:hAnsi="宋体" w:eastAsia="宋体" w:cs="宋体"/>
      <w:kern w:val="0"/>
      <w:sz w:val="18"/>
      <w:szCs w:val="18"/>
    </w:rPr>
  </w:style>
  <w:style w:type="paragraph" w:customStyle="1" w:styleId="553">
    <w:name w:val="font17"/>
    <w:basedOn w:val="1"/>
    <w:qFormat/>
    <w:uiPriority w:val="99"/>
    <w:pPr>
      <w:widowControl/>
      <w:spacing w:before="100" w:beforeAutospacing="1" w:after="100" w:afterAutospacing="1"/>
      <w:jc w:val="left"/>
    </w:pPr>
    <w:rPr>
      <w:rFonts w:ascii="宋体" w:hAnsi="宋体" w:eastAsia="宋体" w:cs="宋体"/>
      <w:color w:val="000000"/>
      <w:kern w:val="0"/>
      <w:sz w:val="22"/>
      <w:u w:val="single"/>
    </w:rPr>
  </w:style>
  <w:style w:type="paragraph" w:customStyle="1" w:styleId="554">
    <w:name w:val="font18"/>
    <w:basedOn w:val="1"/>
    <w:qFormat/>
    <w:uiPriority w:val="99"/>
    <w:pPr>
      <w:widowControl/>
      <w:spacing w:before="100" w:beforeAutospacing="1" w:after="100" w:afterAutospacing="1"/>
      <w:jc w:val="left"/>
    </w:pPr>
    <w:rPr>
      <w:rFonts w:ascii="宋体" w:hAnsi="宋体" w:eastAsia="宋体" w:cs="宋体"/>
      <w:color w:val="000000"/>
      <w:kern w:val="0"/>
      <w:sz w:val="20"/>
      <w:szCs w:val="20"/>
      <w:u w:val="single"/>
    </w:rPr>
  </w:style>
  <w:style w:type="paragraph" w:customStyle="1" w:styleId="555">
    <w:name w:val="font19"/>
    <w:basedOn w:val="1"/>
    <w:qFormat/>
    <w:uiPriority w:val="99"/>
    <w:pPr>
      <w:widowControl/>
      <w:spacing w:before="100" w:beforeAutospacing="1" w:after="100" w:afterAutospacing="1"/>
      <w:jc w:val="left"/>
    </w:pPr>
    <w:rPr>
      <w:rFonts w:ascii="宋体" w:hAnsi="宋体" w:eastAsia="宋体" w:cs="宋体"/>
      <w:kern w:val="0"/>
      <w:sz w:val="20"/>
      <w:szCs w:val="20"/>
    </w:rPr>
  </w:style>
  <w:style w:type="paragraph" w:customStyle="1" w:styleId="556">
    <w:name w:val="Char13"/>
    <w:basedOn w:val="1"/>
    <w:qFormat/>
    <w:uiPriority w:val="99"/>
    <w:rPr>
      <w:rFonts w:ascii="Times New Roman" w:hAnsi="Times New Roman" w:eastAsia="宋体" w:cs="Times New Roman"/>
      <w:kern w:val="36"/>
      <w:sz w:val="36"/>
      <w:szCs w:val="24"/>
    </w:rPr>
  </w:style>
  <w:style w:type="paragraph" w:customStyle="1" w:styleId="557">
    <w:name w:val="样式2"/>
    <w:basedOn w:val="2"/>
    <w:link w:val="558"/>
    <w:qFormat/>
    <w:uiPriority w:val="0"/>
  </w:style>
  <w:style w:type="character" w:customStyle="1" w:styleId="558">
    <w:name w:val="样式2 Char"/>
    <w:basedOn w:val="59"/>
    <w:link w:val="557"/>
    <w:qFormat/>
    <w:uiPriority w:val="0"/>
    <w:rPr>
      <w:rFonts w:ascii="黑体" w:hAnsi="黑体" w:eastAsia="黑体" w:cs="Times New Roman"/>
      <w:kern w:val="44"/>
      <w:sz w:val="36"/>
      <w:szCs w:val="36"/>
    </w:rPr>
  </w:style>
  <w:style w:type="paragraph" w:customStyle="1" w:styleId="559">
    <w:name w:val="样式3"/>
    <w:basedOn w:val="2"/>
    <w:link w:val="560"/>
    <w:qFormat/>
    <w:uiPriority w:val="0"/>
    <w:pPr>
      <w:jc w:val="center"/>
    </w:pPr>
  </w:style>
  <w:style w:type="character" w:customStyle="1" w:styleId="560">
    <w:name w:val="样式3 Char"/>
    <w:basedOn w:val="59"/>
    <w:link w:val="559"/>
    <w:qFormat/>
    <w:uiPriority w:val="0"/>
    <w:rPr>
      <w:rFonts w:ascii="黑体" w:hAnsi="黑体" w:eastAsia="黑体" w:cs="Times New Roman"/>
      <w:kern w:val="44"/>
      <w:sz w:val="36"/>
      <w:szCs w:val="36"/>
    </w:rPr>
  </w:style>
  <w:style w:type="character" w:customStyle="1" w:styleId="561">
    <w:name w:val="尾注文本 Char"/>
    <w:basedOn w:val="49"/>
    <w:link w:val="28"/>
    <w:semiHidden/>
    <w:qFormat/>
    <w:uiPriority w:val="99"/>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3.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customXml" Target="../customXml/item1.xml"/><Relationship Id="rId12" Type="http://schemas.openxmlformats.org/officeDocument/2006/relationships/numbering" Target="numbering.xml"/><Relationship Id="rId11" Type="http://schemas.openxmlformats.org/officeDocument/2006/relationships/image" Target="media/image1.jpeg"/><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35AC96E-E395-4B85-925E-9E8EFE685882}">
  <ds:schemaRefs/>
</ds:datastoreItem>
</file>

<file path=docProps/app.xml><?xml version="1.0" encoding="utf-8"?>
<Properties xmlns="http://schemas.openxmlformats.org/officeDocument/2006/extended-properties" xmlns:vt="http://schemas.openxmlformats.org/officeDocument/2006/docPropsVTypes">
  <Template>Normal.dotm</Template>
  <Company>Chinese ORG</Company>
  <Pages>103</Pages>
  <Words>11151</Words>
  <Characters>63562</Characters>
  <Lines>529</Lines>
  <Paragraphs>149</Paragraphs>
  <TotalTime>1</TotalTime>
  <ScaleCrop>false</ScaleCrop>
  <LinksUpToDate>false</LinksUpToDate>
  <CharactersWithSpaces>74564</CharactersWithSpaces>
  <Application>WPS Office_11.8.2.12219_F1E327BC-269C-435d-A152-05C5408002CA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2019-06-10T22:57:00Z</dcterms:created>
  <dc:creator>Chinese User</dc:creator>
  <cp:lastModifiedBy>kylin</cp:lastModifiedBy>
  <cp:lastPrinted>2019-06-12T00:57:00Z</cp:lastPrinted>
  <dcterms:modified xsi:type="dcterms:W3CDTF">2025-02-27T14:49:42Z</dcterms:modified>
  <cp:revision>74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2052-11.8.2.12219</vt:lpwstr>
  </property>
  <property fmtid="{D5CDD505-2E9C-101B-9397-08002B2CF9AE}" pid="3" name="ICV">
    <vt:lpwstr>2E999FBC8379A0D0490AC067FF15EC9B</vt:lpwstr>
  </property>
</Properties>
</file>