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深圳市建设工程新技术推广目录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202</w:t>
      </w:r>
      <w:r>
        <w:rPr>
          <w:rFonts w:hint="default" w:ascii="方正小标宋简体" w:hAnsi="方正小标宋简体" w:eastAsia="方正小标宋简体" w:cs="方正小标宋简体"/>
          <w:b w:val="0"/>
          <w:bCs w:val="0"/>
          <w:sz w:val="44"/>
          <w:szCs w:val="44"/>
          <w:lang w:val="en" w:eastAsia="zh-CN"/>
        </w:rPr>
        <w:t>5</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b w:val="0"/>
          <w:bCs w:val="0"/>
          <w:sz w:val="44"/>
          <w:szCs w:val="44"/>
          <w:lang w:eastAsia="zh-CN"/>
        </w:rPr>
        <w:t>第一批）</w:t>
      </w:r>
      <w:bookmarkStart w:id="0" w:name="_GoBack"/>
      <w:bookmarkEnd w:id="0"/>
    </w:p>
    <w:tbl>
      <w:tblPr>
        <w:tblStyle w:val="6"/>
        <w:tblW w:w="15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28"/>
        <w:gridCol w:w="6015"/>
        <w:gridCol w:w="2211"/>
        <w:gridCol w:w="288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9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新技术名称</w:t>
            </w:r>
          </w:p>
        </w:tc>
        <w:tc>
          <w:tcPr>
            <w:tcW w:w="60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技术要点</w:t>
            </w:r>
          </w:p>
        </w:tc>
        <w:tc>
          <w:tcPr>
            <w:tcW w:w="22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适用范围</w:t>
            </w:r>
          </w:p>
        </w:tc>
        <w:tc>
          <w:tcPr>
            <w:tcW w:w="288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典型案例名称</w:t>
            </w:r>
          </w:p>
        </w:tc>
        <w:tc>
          <w:tcPr>
            <w:tcW w:w="17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rPr>
              <w:t>1</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rPr>
              <w:t>光储直柔园区/社区微电网技术</w:t>
            </w:r>
          </w:p>
        </w:tc>
        <w:tc>
          <w:tcPr>
            <w:tcW w:w="60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eastAsia="zh-CN"/>
              </w:rPr>
              <w:t>该技术</w:t>
            </w:r>
            <w:r>
              <w:rPr>
                <w:rFonts w:hint="eastAsia" w:ascii="仿宋_GB2312" w:hAnsi="仿宋_GB2312" w:eastAsia="仿宋_GB2312" w:cs="仿宋_GB2312"/>
                <w:color w:val="000000"/>
                <w:sz w:val="21"/>
                <w:szCs w:val="21"/>
              </w:rPr>
              <w:t>集成多个分布式发电单元</w:t>
            </w:r>
            <w:r>
              <w:rPr>
                <w:rFonts w:hint="eastAsia" w:ascii="仿宋_GB2312" w:hAnsi="仿宋_GB2312" w:eastAsia="仿宋_GB2312" w:cs="仿宋_GB2312"/>
                <w:color w:val="000000"/>
                <w:sz w:val="21"/>
                <w:szCs w:val="21"/>
                <w:lang w:eastAsia="zh-CN"/>
              </w:rPr>
              <w:t>和不同类型建筑负荷</w:t>
            </w:r>
            <w:r>
              <w:rPr>
                <w:rFonts w:hint="eastAsia" w:ascii="仿宋_GB2312" w:hAnsi="仿宋_GB2312" w:eastAsia="仿宋_GB2312" w:cs="仿宋_GB2312"/>
                <w:color w:val="000000"/>
                <w:sz w:val="21"/>
                <w:szCs w:val="21"/>
                <w:lang w:val="en-US" w:eastAsia="zh-CN"/>
              </w:rPr>
              <w:t>,通过园区级微网设计、产品应用及柔性用能运行控制，提高光伏发电消纳率及并网稳定性。</w:t>
            </w:r>
          </w:p>
        </w:tc>
        <w:tc>
          <w:tcPr>
            <w:tcW w:w="221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auto"/>
                <w:sz w:val="21"/>
                <w:szCs w:val="21"/>
                <w:lang w:val="en" w:eastAsia="zh-CN"/>
              </w:rPr>
            </w:pPr>
            <w:r>
              <w:rPr>
                <w:rFonts w:hint="eastAsia" w:ascii="仿宋_GB2312" w:hAnsi="仿宋_GB2312" w:eastAsia="仿宋_GB2312" w:cs="仿宋_GB2312"/>
                <w:color w:val="000000"/>
                <w:sz w:val="21"/>
                <w:szCs w:val="21"/>
                <w:lang w:eastAsia="zh-CN"/>
              </w:rPr>
              <w:t>适用</w:t>
            </w:r>
            <w:r>
              <w:rPr>
                <w:rFonts w:hint="eastAsia" w:ascii="仿宋_GB2312" w:hAnsi="仿宋_GB2312" w:eastAsia="仿宋_GB2312" w:cs="仿宋_GB2312"/>
                <w:color w:val="000000"/>
                <w:sz w:val="21"/>
                <w:szCs w:val="21"/>
              </w:rPr>
              <w:t>于</w:t>
            </w:r>
            <w:r>
              <w:rPr>
                <w:rFonts w:hint="eastAsia" w:ascii="仿宋_GB2312" w:hAnsi="仿宋_GB2312" w:eastAsia="仿宋_GB2312" w:cs="仿宋_GB2312"/>
                <w:color w:val="000000"/>
                <w:sz w:val="21"/>
                <w:szCs w:val="21"/>
                <w:lang w:eastAsia="zh-CN"/>
              </w:rPr>
              <w:t>新建和改造</w:t>
            </w:r>
            <w:r>
              <w:rPr>
                <w:rFonts w:hint="eastAsia" w:ascii="仿宋_GB2312" w:hAnsi="仿宋_GB2312" w:eastAsia="仿宋_GB2312" w:cs="仿宋_GB2312"/>
                <w:color w:val="000000"/>
                <w:sz w:val="21"/>
                <w:szCs w:val="21"/>
              </w:rPr>
              <w:t>园区/社区建筑</w:t>
            </w:r>
          </w:p>
        </w:tc>
        <w:tc>
          <w:tcPr>
            <w:tcW w:w="28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eastAsia="zh-CN"/>
              </w:rPr>
              <w:t>深汕特别合作区</w:t>
            </w:r>
            <w:r>
              <w:rPr>
                <w:rFonts w:hint="eastAsia" w:ascii="仿宋_GB2312" w:hAnsi="仿宋_GB2312" w:eastAsia="仿宋_GB2312" w:cs="仿宋_GB2312"/>
                <w:color w:val="000000"/>
                <w:sz w:val="21"/>
                <w:szCs w:val="21"/>
              </w:rPr>
              <w:t>中建绿色产业园</w:t>
            </w:r>
            <w:r>
              <w:rPr>
                <w:rFonts w:hint="eastAsia" w:ascii="仿宋_GB2312" w:hAnsi="仿宋_GB2312" w:eastAsia="仿宋_GB2312" w:cs="仿宋_GB2312"/>
                <w:color w:val="000000"/>
                <w:sz w:val="21"/>
                <w:szCs w:val="21"/>
                <w:lang w:eastAsia="zh-CN"/>
              </w:rPr>
              <w:t>、北京中海金融中心</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rPr>
              <w:t>中建科技集团有限公司、中建科技集团北京低碳智慧城市科技有限公司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rPr>
              <w:t>建筑</w:t>
            </w:r>
            <w:r>
              <w:rPr>
                <w:rFonts w:hint="eastAsia" w:ascii="仿宋_GB2312" w:hAnsi="仿宋_GB2312" w:eastAsia="仿宋_GB2312" w:cs="仿宋_GB2312"/>
                <w:color w:val="000000"/>
                <w:sz w:val="21"/>
                <w:szCs w:val="21"/>
                <w:lang w:eastAsia="zh-CN"/>
              </w:rPr>
              <w:t>光伏</w:t>
            </w:r>
            <w:r>
              <w:rPr>
                <w:rFonts w:hint="eastAsia" w:ascii="仿宋_GB2312" w:hAnsi="仿宋_GB2312" w:eastAsia="仿宋_GB2312" w:cs="仿宋_GB2312"/>
                <w:color w:val="000000"/>
                <w:sz w:val="21"/>
                <w:szCs w:val="21"/>
              </w:rPr>
              <w:t>一体化及光储直柔系统工程应用</w:t>
            </w:r>
            <w:r>
              <w:rPr>
                <w:rFonts w:hint="eastAsia" w:ascii="仿宋_GB2312" w:hAnsi="仿宋_GB2312" w:eastAsia="仿宋_GB2312" w:cs="仿宋_GB2312"/>
                <w:color w:val="000000"/>
                <w:sz w:val="21"/>
                <w:szCs w:val="21"/>
                <w:lang w:eastAsia="zh-CN"/>
              </w:rPr>
              <w:t>技术集成</w:t>
            </w:r>
          </w:p>
        </w:tc>
        <w:tc>
          <w:tcPr>
            <w:tcW w:w="6015"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eastAsia="zh-CN"/>
              </w:rPr>
              <w:t>该技术结合地方建筑风貌与艺术风格，</w:t>
            </w:r>
            <w:r>
              <w:rPr>
                <w:rFonts w:hint="eastAsia" w:ascii="仿宋_GB2312" w:hAnsi="仿宋_GB2312" w:eastAsia="仿宋_GB2312" w:cs="仿宋_GB2312"/>
                <w:color w:val="000000"/>
                <w:sz w:val="21"/>
                <w:szCs w:val="21"/>
              </w:rPr>
              <w:t>将光伏发电系统与建筑物主体同步设计、同步施工，实现</w:t>
            </w:r>
            <w:r>
              <w:rPr>
                <w:rFonts w:hint="eastAsia" w:ascii="仿宋_GB2312" w:hAnsi="仿宋_GB2312" w:eastAsia="仿宋_GB2312" w:cs="仿宋_GB2312"/>
                <w:color w:val="000000"/>
                <w:sz w:val="21"/>
                <w:szCs w:val="21"/>
                <w:lang w:eastAsia="zh-CN"/>
              </w:rPr>
              <w:t>一体化。根据</w:t>
            </w:r>
            <w:r>
              <w:rPr>
                <w:rFonts w:hint="eastAsia" w:ascii="仿宋_GB2312" w:hAnsi="仿宋_GB2312" w:eastAsia="仿宋_GB2312" w:cs="仿宋_GB2312"/>
                <w:color w:val="000000"/>
                <w:sz w:val="21"/>
                <w:szCs w:val="21"/>
              </w:rPr>
              <w:t>不同区域光照情况，</w:t>
            </w:r>
            <w:r>
              <w:rPr>
                <w:rFonts w:hint="eastAsia" w:ascii="仿宋_GB2312" w:hAnsi="仿宋_GB2312" w:eastAsia="仿宋_GB2312" w:cs="仿宋_GB2312"/>
                <w:color w:val="000000"/>
                <w:sz w:val="21"/>
                <w:szCs w:val="21"/>
                <w:lang w:eastAsia="zh-CN"/>
              </w:rPr>
              <w:t>对</w:t>
            </w:r>
            <w:r>
              <w:rPr>
                <w:rFonts w:hint="eastAsia" w:ascii="仿宋_GB2312" w:hAnsi="仿宋_GB2312" w:eastAsia="仿宋_GB2312" w:cs="仿宋_GB2312"/>
                <w:color w:val="000000"/>
                <w:sz w:val="21"/>
                <w:szCs w:val="21"/>
                <w:lang w:val="en-US" w:eastAsia="zh-CN"/>
              </w:rPr>
              <w:t>同</w:t>
            </w:r>
            <w:r>
              <w:rPr>
                <w:rFonts w:hint="eastAsia" w:ascii="仿宋_GB2312" w:hAnsi="仿宋_GB2312" w:eastAsia="仿宋_GB2312" w:cs="仿宋_GB2312"/>
                <w:color w:val="000000"/>
                <w:sz w:val="21"/>
                <w:szCs w:val="21"/>
              </w:rPr>
              <w:t>朝向及角度最接近的组件</w:t>
            </w:r>
            <w:r>
              <w:rPr>
                <w:rFonts w:hint="eastAsia" w:ascii="仿宋_GB2312" w:hAnsi="仿宋_GB2312" w:eastAsia="仿宋_GB2312" w:cs="仿宋_GB2312"/>
                <w:color w:val="000000"/>
                <w:sz w:val="21"/>
                <w:szCs w:val="21"/>
                <w:lang w:eastAsia="zh-CN"/>
              </w:rPr>
              <w:t>进行</w:t>
            </w:r>
            <w:r>
              <w:rPr>
                <w:rFonts w:hint="eastAsia" w:ascii="仿宋_GB2312" w:hAnsi="仿宋_GB2312" w:eastAsia="仿宋_GB2312" w:cs="仿宋_GB2312"/>
                <w:color w:val="000000"/>
                <w:sz w:val="21"/>
                <w:szCs w:val="21"/>
              </w:rPr>
              <w:t>串并联，</w:t>
            </w:r>
            <w:r>
              <w:rPr>
                <w:rFonts w:hint="eastAsia" w:ascii="仿宋_GB2312" w:hAnsi="仿宋_GB2312" w:eastAsia="仿宋_GB2312" w:cs="仿宋_GB2312"/>
                <w:color w:val="000000"/>
                <w:szCs w:val="21"/>
                <w:lang w:eastAsia="zh-CN"/>
              </w:rPr>
              <w:t>优化</w:t>
            </w:r>
            <w:r>
              <w:rPr>
                <w:rFonts w:hint="eastAsia" w:ascii="仿宋_GB2312" w:hAnsi="仿宋_GB2312" w:eastAsia="仿宋_GB2312" w:cs="仿宋_GB2312"/>
                <w:color w:val="000000"/>
                <w:szCs w:val="21"/>
              </w:rPr>
              <w:t>非平整、非单朝向安装面光伏发电效率</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Cs w:val="21"/>
                <w:lang w:eastAsia="zh-CN"/>
              </w:rPr>
              <w:t>通过智能控制策略，对光伏组件、</w:t>
            </w:r>
            <w:r>
              <w:rPr>
                <w:rFonts w:hint="eastAsia" w:ascii="仿宋_GB2312" w:hAnsi="仿宋_GB2312" w:eastAsia="仿宋_GB2312" w:cs="仿宋_GB2312"/>
                <w:color w:val="000000"/>
                <w:szCs w:val="21"/>
              </w:rPr>
              <w:t>储能电池、直流配电和柔性用电</w:t>
            </w:r>
            <w:r>
              <w:rPr>
                <w:rFonts w:hint="eastAsia" w:ascii="仿宋_GB2312" w:hAnsi="仿宋_GB2312" w:eastAsia="仿宋_GB2312" w:cs="仿宋_GB2312"/>
                <w:color w:val="000000"/>
                <w:szCs w:val="21"/>
                <w:lang w:eastAsia="zh-CN"/>
              </w:rPr>
              <w:t>情况进行远程监控和智能管理</w:t>
            </w:r>
            <w:r>
              <w:rPr>
                <w:rFonts w:hint="eastAsia" w:ascii="仿宋_GB2312" w:hAnsi="仿宋_GB2312" w:eastAsia="仿宋_GB2312" w:cs="仿宋_GB2312"/>
                <w:color w:val="000000"/>
                <w:szCs w:val="21"/>
              </w:rPr>
              <w:t>，实现电能的稳定供应和高效利用。</w:t>
            </w:r>
          </w:p>
        </w:tc>
        <w:tc>
          <w:tcPr>
            <w:tcW w:w="22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eastAsia="zh-CN"/>
              </w:rPr>
              <w:t>适用于</w:t>
            </w:r>
            <w:r>
              <w:rPr>
                <w:rFonts w:hint="eastAsia" w:ascii="仿宋_GB2312" w:hAnsi="仿宋_GB2312" w:eastAsia="仿宋_GB2312" w:cs="仿宋_GB2312"/>
                <w:color w:val="000000"/>
                <w:sz w:val="21"/>
                <w:szCs w:val="21"/>
              </w:rPr>
              <w:t>具备设置光伏发电系统</w:t>
            </w:r>
            <w:r>
              <w:rPr>
                <w:rFonts w:hint="eastAsia" w:ascii="仿宋_GB2312" w:hAnsi="仿宋_GB2312" w:eastAsia="仿宋_GB2312" w:cs="仿宋_GB2312"/>
                <w:color w:val="000000"/>
                <w:sz w:val="21"/>
                <w:szCs w:val="21"/>
                <w:lang w:eastAsia="zh-CN"/>
              </w:rPr>
              <w:t>和</w:t>
            </w:r>
            <w:r>
              <w:rPr>
                <w:rFonts w:hint="eastAsia" w:ascii="仿宋_GB2312" w:hAnsi="仿宋_GB2312" w:eastAsia="仿宋_GB2312" w:cs="仿宋_GB2312"/>
                <w:color w:val="000000"/>
                <w:sz w:val="21"/>
                <w:szCs w:val="21"/>
              </w:rPr>
              <w:t>就地消纳能力的建</w:t>
            </w:r>
            <w:r>
              <w:rPr>
                <w:rFonts w:hint="eastAsia" w:ascii="仿宋_GB2312" w:hAnsi="仿宋_GB2312" w:eastAsia="仿宋_GB2312" w:cs="仿宋_GB2312"/>
                <w:color w:val="000000"/>
                <w:sz w:val="21"/>
                <w:szCs w:val="21"/>
                <w:lang w:eastAsia="zh-CN"/>
              </w:rPr>
              <w:t>筑物及</w:t>
            </w:r>
            <w:r>
              <w:rPr>
                <w:rFonts w:hint="eastAsia" w:ascii="仿宋_GB2312" w:hAnsi="仿宋_GB2312" w:eastAsia="仿宋_GB2312" w:cs="仿宋_GB2312"/>
                <w:color w:val="000000"/>
                <w:sz w:val="21"/>
                <w:szCs w:val="21"/>
              </w:rPr>
              <w:t>构筑物</w:t>
            </w:r>
          </w:p>
        </w:tc>
        <w:tc>
          <w:tcPr>
            <w:tcW w:w="288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eastAsia="zh-CN"/>
              </w:rPr>
              <w:t>前海自贸区</w:t>
            </w:r>
            <w:r>
              <w:rPr>
                <w:rFonts w:hint="eastAsia" w:ascii="仿宋_GB2312" w:hAnsi="仿宋_GB2312" w:eastAsia="仿宋_GB2312" w:cs="仿宋_GB2312"/>
                <w:color w:val="000000"/>
                <w:sz w:val="21"/>
                <w:szCs w:val="21"/>
              </w:rPr>
              <w:t>四海公园机械式立体停车库</w:t>
            </w:r>
            <w:r>
              <w:rPr>
                <w:rFonts w:hint="eastAsia" w:ascii="仿宋_GB2312" w:hAnsi="仿宋_GB2312" w:eastAsia="仿宋_GB2312" w:cs="仿宋_GB2312"/>
                <w:color w:val="auto"/>
                <w:kern w:val="2"/>
                <w:sz w:val="21"/>
                <w:szCs w:val="21"/>
                <w:lang w:val="en-US" w:eastAsia="zh-CN" w:bidi="ar-SA"/>
              </w:rPr>
              <w:t>、中建材凯盛机器人（上海）有限公司办公楼</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rPr>
              <w:t>深圳凯盛科技工程有限公司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auto"/>
                <w:kern w:val="2"/>
                <w:sz w:val="21"/>
                <w:szCs w:val="21"/>
                <w:highlight w:val="none"/>
                <w:lang w:val="en" w:eastAsia="zh-CN" w:bidi="ar-SA"/>
              </w:rPr>
              <w:t>高效</w:t>
            </w:r>
            <w:r>
              <w:rPr>
                <w:rFonts w:hint="eastAsia" w:ascii="仿宋_GB2312" w:hAnsi="仿宋_GB2312" w:eastAsia="仿宋_GB2312" w:cs="仿宋_GB2312"/>
                <w:color w:val="auto"/>
                <w:kern w:val="2"/>
                <w:sz w:val="21"/>
                <w:szCs w:val="21"/>
                <w:lang w:val="en" w:eastAsia="zh-CN" w:bidi="ar-SA"/>
              </w:rPr>
              <w:t>碲化镉发电玻璃</w:t>
            </w:r>
          </w:p>
        </w:tc>
        <w:tc>
          <w:tcPr>
            <w:tcW w:w="60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auto"/>
                <w:kern w:val="2"/>
                <w:sz w:val="21"/>
                <w:szCs w:val="21"/>
                <w:lang w:val="en" w:eastAsia="zh-CN" w:bidi="ar-SA"/>
              </w:rPr>
              <w:t>该技术通过附属在玻璃上的碲化镉薄膜产生的光生伏特效应实现发电功能，利用渐变带隙吸收层提高发电玻璃短路电流密度，采用</w:t>
            </w:r>
            <w:r>
              <w:rPr>
                <w:rFonts w:hint="eastAsia" w:ascii="仿宋_GB2312" w:hAnsi="仿宋_GB2312" w:eastAsia="仿宋_GB2312" w:cs="仿宋_GB2312"/>
                <w:color w:val="auto"/>
                <w:kern w:val="2"/>
                <w:sz w:val="21"/>
                <w:szCs w:val="21"/>
                <w:highlight w:val="none"/>
                <w:lang w:val="en" w:eastAsia="zh-CN" w:bidi="ar-SA"/>
              </w:rPr>
              <w:t>高</w:t>
            </w:r>
            <w:r>
              <w:rPr>
                <w:rFonts w:hint="eastAsia" w:ascii="仿宋_GB2312" w:hAnsi="仿宋_GB2312" w:eastAsia="仿宋_GB2312" w:cs="仿宋_GB2312"/>
                <w:color w:val="auto"/>
                <w:kern w:val="2"/>
                <w:sz w:val="21"/>
                <w:szCs w:val="21"/>
                <w:lang w:val="en" w:eastAsia="zh-CN" w:bidi="ar-SA"/>
              </w:rPr>
              <w:t>稳定性背接触电池技术，实现发电玻璃长期可靠。具备</w:t>
            </w:r>
            <w:r>
              <w:rPr>
                <w:rFonts w:hint="eastAsia" w:ascii="仿宋_GB2312" w:hAnsi="仿宋_GB2312" w:eastAsia="仿宋_GB2312" w:cs="仿宋_GB2312"/>
                <w:color w:val="auto"/>
                <w:kern w:val="2"/>
                <w:sz w:val="21"/>
                <w:szCs w:val="21"/>
                <w:highlight w:val="none"/>
                <w:lang w:val="en" w:eastAsia="zh-CN" w:bidi="ar-SA"/>
              </w:rPr>
              <w:t>良好的</w:t>
            </w:r>
            <w:r>
              <w:rPr>
                <w:rFonts w:hint="eastAsia" w:ascii="仿宋_GB2312" w:hAnsi="仿宋_GB2312" w:eastAsia="仿宋_GB2312" w:cs="仿宋_GB2312"/>
                <w:color w:val="auto"/>
                <w:kern w:val="2"/>
                <w:sz w:val="21"/>
                <w:szCs w:val="21"/>
                <w:lang w:val="en" w:eastAsia="zh-CN" w:bidi="ar-SA"/>
              </w:rPr>
              <w:t>禁带宽度，使发电玻璃组件有较高转化效率，具有防热斑、弱光发电、温度系数低、无明显拼缝、应用场景多等特点。</w:t>
            </w:r>
          </w:p>
        </w:tc>
        <w:tc>
          <w:tcPr>
            <w:tcW w:w="221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auto"/>
                <w:kern w:val="2"/>
                <w:sz w:val="21"/>
                <w:szCs w:val="21"/>
                <w:lang w:val="en" w:eastAsia="zh-CN" w:bidi="ar-SA"/>
              </w:rPr>
              <w:t>适用于各类光伏应用场景</w:t>
            </w:r>
          </w:p>
        </w:tc>
        <w:tc>
          <w:tcPr>
            <w:tcW w:w="2886" w:type="dxa"/>
            <w:noWrap w:val="0"/>
            <w:vAlign w:val="center"/>
          </w:tcPr>
          <w:p>
            <w:pPr>
              <w:pStyle w:val="5"/>
              <w:keepNext w:val="0"/>
              <w:keepLines w:val="0"/>
              <w:pageBreakBefore w:val="0"/>
              <w:kinsoku/>
              <w:wordWrap/>
              <w:overflowPunct/>
              <w:topLinePunct w:val="0"/>
              <w:autoSpaceDE/>
              <w:autoSpaceDN/>
              <w:bidi w:val="0"/>
              <w:adjustRightInd w:val="0"/>
              <w:spacing w:line="240" w:lineRule="auto"/>
              <w:jc w:val="both"/>
              <w:rPr>
                <w:rFonts w:hint="eastAsia" w:ascii="仿宋_GB2312" w:hAnsi="仿宋_GB2312" w:eastAsia="仿宋_GB2312" w:cs="仿宋_GB2312"/>
                <w:color w:val="000000"/>
                <w:kern w:val="2"/>
                <w:sz w:val="21"/>
                <w:szCs w:val="21"/>
                <w:lang w:val="en" w:eastAsia="zh-CN" w:bidi="ar-SA"/>
              </w:rPr>
            </w:pPr>
            <w:r>
              <w:rPr>
                <w:rFonts w:hint="default" w:ascii="仿宋_GB2312" w:hAnsi="仿宋_GB2312" w:eastAsia="仿宋_GB2312" w:cs="仿宋_GB2312"/>
                <w:color w:val="auto"/>
                <w:kern w:val="2"/>
                <w:sz w:val="21"/>
                <w:szCs w:val="21"/>
                <w:lang w:val="en-US" w:eastAsia="zh-CN" w:bidi="ar-SA"/>
              </w:rPr>
              <w:t>深圳地铁坪山中心站风雨长廊</w:t>
            </w:r>
            <w:r>
              <w:rPr>
                <w:rFonts w:hint="eastAsia" w:ascii="仿宋_GB2312" w:hAnsi="仿宋_GB2312" w:eastAsia="仿宋_GB2312" w:cs="仿宋_GB2312"/>
                <w:color w:val="auto"/>
                <w:kern w:val="2"/>
                <w:sz w:val="21"/>
                <w:szCs w:val="21"/>
                <w:lang w:val="en-US" w:eastAsia="zh-CN" w:bidi="ar-SA"/>
              </w:rPr>
              <w:t>、中山公园棒球场超充站</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auto"/>
                <w:kern w:val="2"/>
                <w:sz w:val="21"/>
                <w:szCs w:val="21"/>
                <w:lang w:val="en" w:eastAsia="zh-CN" w:bidi="ar-SA"/>
              </w:rPr>
              <w:t>凯盛玻璃控股有限公司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val="0"/>
                <w:color w:val="auto"/>
                <w:kern w:val="0"/>
                <w:sz w:val="21"/>
                <w:szCs w:val="21"/>
                <w:lang w:val="en" w:eastAsia="zh-CN" w:bidi="ar-SA"/>
              </w:rPr>
            </w:pPr>
            <w:r>
              <w:rPr>
                <w:rFonts w:hint="eastAsia" w:ascii="仿宋_GB2312" w:hAnsi="仿宋_GB2312" w:eastAsia="仿宋_GB2312" w:cs="仿宋_GB2312"/>
                <w:b w:val="0"/>
                <w:bCs w:val="0"/>
                <w:color w:val="auto"/>
                <w:kern w:val="0"/>
                <w:sz w:val="21"/>
                <w:szCs w:val="21"/>
                <w:lang w:val="en-US" w:eastAsia="zh-CN"/>
              </w:rPr>
              <w:t>4</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b w:val="0"/>
                <w:bCs w:val="0"/>
                <w:color w:val="auto"/>
                <w:kern w:val="2"/>
                <w:sz w:val="21"/>
                <w:szCs w:val="21"/>
                <w:lang w:val="en" w:eastAsia="zh-CN" w:bidi="ar-SA"/>
              </w:rPr>
              <w:t>建筑中央空调系统能源多策略控制集成技术</w:t>
            </w:r>
          </w:p>
        </w:tc>
        <w:tc>
          <w:tcPr>
            <w:tcW w:w="6015"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auto"/>
                <w:kern w:val="2"/>
                <w:sz w:val="21"/>
                <w:szCs w:val="21"/>
                <w:shd w:val="clear" w:color="auto" w:fill="auto"/>
                <w:lang w:val="en" w:eastAsia="zh-CN" w:bidi="ar-SA"/>
              </w:rPr>
            </w:pPr>
            <w:r>
              <w:rPr>
                <w:rFonts w:hint="eastAsia" w:ascii="仿宋_GB2312" w:hAnsi="仿宋_GB2312" w:eastAsia="仿宋_GB2312" w:cs="仿宋_GB2312"/>
                <w:b w:val="0"/>
                <w:bCs w:val="0"/>
                <w:color w:val="auto"/>
                <w:kern w:val="2"/>
                <w:sz w:val="21"/>
                <w:szCs w:val="21"/>
                <w:lang w:val="en" w:eastAsia="zh-CN" w:bidi="ar-SA"/>
              </w:rPr>
              <w:t>该技术为建筑中央空调多策略控制集成技术，包括</w:t>
            </w:r>
            <w:r>
              <w:rPr>
                <w:rFonts w:hint="eastAsia" w:ascii="仿宋_GB2312" w:hAnsi="仿宋_GB2312" w:eastAsia="仿宋_GB2312" w:cs="仿宋_GB2312"/>
                <w:color w:val="auto"/>
                <w:szCs w:val="21"/>
                <w:lang w:val="en"/>
              </w:rPr>
              <w:t>中央空调系统自适应优化控制</w:t>
            </w:r>
            <w:r>
              <w:rPr>
                <w:rFonts w:hint="eastAsia" w:ascii="仿宋_GB2312" w:hAnsi="仿宋_GB2312" w:eastAsia="仿宋_GB2312" w:cs="仿宋_GB2312"/>
                <w:color w:val="auto"/>
                <w:szCs w:val="21"/>
                <w:lang w:val="en" w:eastAsia="zh-CN"/>
              </w:rPr>
              <w:t>、</w:t>
            </w:r>
            <w:r>
              <w:rPr>
                <w:rFonts w:hint="eastAsia" w:ascii="仿宋_GB2312" w:hAnsi="仿宋_GB2312" w:eastAsia="仿宋_GB2312" w:cs="仿宋_GB2312"/>
                <w:color w:val="auto"/>
                <w:szCs w:val="21"/>
                <w:lang w:val="en"/>
              </w:rPr>
              <w:t>主动容错控制</w:t>
            </w:r>
            <w:r>
              <w:rPr>
                <w:rFonts w:hint="eastAsia" w:ascii="仿宋_GB2312" w:hAnsi="仿宋_GB2312" w:eastAsia="仿宋_GB2312" w:cs="仿宋_GB2312"/>
                <w:color w:val="auto"/>
                <w:szCs w:val="21"/>
                <w:lang w:val="en" w:eastAsia="zh-CN"/>
              </w:rPr>
              <w:t>、</w:t>
            </w:r>
            <w:r>
              <w:rPr>
                <w:rFonts w:hint="eastAsia" w:ascii="仿宋_GB2312" w:hAnsi="仿宋_GB2312" w:eastAsia="仿宋_GB2312" w:cs="仿宋_GB2312"/>
                <w:color w:val="auto"/>
                <w:szCs w:val="21"/>
                <w:lang w:val="en"/>
              </w:rPr>
              <w:t>多系统协同优化控制</w:t>
            </w:r>
            <w:r>
              <w:rPr>
                <w:rFonts w:hint="eastAsia" w:ascii="仿宋_GB2312" w:hAnsi="仿宋_GB2312" w:eastAsia="仿宋_GB2312" w:cs="仿宋_GB2312"/>
                <w:color w:val="auto"/>
                <w:szCs w:val="21"/>
                <w:lang w:val="en" w:eastAsia="zh-CN"/>
              </w:rPr>
              <w:t>等</w:t>
            </w:r>
            <w:r>
              <w:rPr>
                <w:rFonts w:hint="eastAsia" w:ascii="仿宋_GB2312" w:hAnsi="仿宋_GB2312" w:eastAsia="仿宋_GB2312" w:cs="仿宋_GB2312"/>
                <w:b w:val="0"/>
                <w:bCs w:val="0"/>
                <w:color w:val="auto"/>
                <w:kern w:val="2"/>
                <w:sz w:val="21"/>
                <w:szCs w:val="21"/>
                <w:lang w:val="en" w:eastAsia="zh-CN" w:bidi="ar-SA"/>
              </w:rPr>
              <w:t>，提供舒适室内环境同时动态优化控制系统设定值，减少系统能源投入和运行成本。</w:t>
            </w:r>
          </w:p>
        </w:tc>
        <w:tc>
          <w:tcPr>
            <w:tcW w:w="22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auto"/>
                <w:kern w:val="2"/>
                <w:sz w:val="21"/>
                <w:szCs w:val="21"/>
                <w:shd w:val="clear" w:color="auto" w:fill="auto"/>
                <w:lang w:val="en" w:eastAsia="zh-CN" w:bidi="ar-SA"/>
              </w:rPr>
            </w:pPr>
            <w:r>
              <w:rPr>
                <w:rFonts w:hint="eastAsia" w:ascii="仿宋_GB2312" w:hAnsi="仿宋_GB2312" w:eastAsia="仿宋_GB2312" w:cs="仿宋_GB2312"/>
                <w:b w:val="0"/>
                <w:bCs w:val="0"/>
                <w:color w:val="auto"/>
                <w:kern w:val="2"/>
                <w:sz w:val="21"/>
                <w:szCs w:val="21"/>
                <w:lang w:val="en" w:eastAsia="zh-CN" w:bidi="ar-SA"/>
              </w:rPr>
              <w:t>适用于公共建筑和工业建筑中央空调系统</w:t>
            </w:r>
          </w:p>
        </w:tc>
        <w:tc>
          <w:tcPr>
            <w:tcW w:w="288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shd w:val="clear" w:color="auto" w:fill="auto"/>
                <w:lang w:val="en" w:eastAsia="zh-CN" w:bidi="ar-SA"/>
              </w:rPr>
            </w:pPr>
            <w:r>
              <w:rPr>
                <w:rFonts w:hint="eastAsia" w:ascii="仿宋_GB2312" w:hAnsi="仿宋_GB2312" w:eastAsia="仿宋_GB2312" w:cs="仿宋_GB2312"/>
                <w:b w:val="0"/>
                <w:bCs w:val="0"/>
                <w:color w:val="auto"/>
                <w:kern w:val="2"/>
                <w:sz w:val="21"/>
                <w:szCs w:val="21"/>
                <w:lang w:val="en" w:eastAsia="zh-CN" w:bidi="ar-SA"/>
              </w:rPr>
              <w:t>南山区中洲控股中心</w:t>
            </w:r>
            <w:r>
              <w:rPr>
                <w:rFonts w:hint="eastAsia" w:ascii="仿宋_GB2312" w:hAnsi="仿宋_GB2312" w:eastAsia="仿宋_GB2312" w:cs="仿宋_GB2312"/>
                <w:b w:val="0"/>
                <w:bCs w:val="0"/>
                <w:color w:val="auto"/>
                <w:kern w:val="2"/>
                <w:sz w:val="21"/>
                <w:szCs w:val="21"/>
                <w:lang w:val="en-US" w:eastAsia="zh-CN" w:bidi="ar-SA"/>
              </w:rPr>
              <w:t>A座节能改造项目、</w:t>
            </w:r>
            <w:r>
              <w:rPr>
                <w:rFonts w:hint="eastAsia" w:ascii="仿宋_GB2312" w:hAnsi="仿宋_GB2312" w:eastAsia="仿宋_GB2312" w:cs="仿宋_GB2312"/>
                <w:b w:val="0"/>
                <w:bCs w:val="0"/>
                <w:color w:val="auto"/>
                <w:kern w:val="2"/>
                <w:sz w:val="21"/>
                <w:szCs w:val="21"/>
                <w:lang w:val="en" w:eastAsia="zh-CN" w:bidi="ar-SA"/>
              </w:rPr>
              <w:t>罗湖区京基水贝洪湖印象广场项目</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shd w:val="clear" w:color="auto" w:fill="auto"/>
                <w:lang w:val="en" w:eastAsia="zh-CN" w:bidi="ar-SA"/>
              </w:rPr>
            </w:pPr>
            <w:r>
              <w:rPr>
                <w:rFonts w:hint="eastAsia" w:ascii="仿宋_GB2312" w:hAnsi="仿宋_GB2312" w:eastAsia="仿宋_GB2312" w:cs="仿宋_GB2312"/>
                <w:b w:val="0"/>
                <w:bCs w:val="0"/>
                <w:color w:val="auto"/>
                <w:kern w:val="2"/>
                <w:sz w:val="21"/>
                <w:szCs w:val="21"/>
                <w:lang w:val="en" w:eastAsia="zh-CN" w:bidi="ar-SA"/>
              </w:rPr>
              <w:t>深圳博雅建筑智能有限公司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b w:val="0"/>
                <w:bCs w:val="0"/>
                <w:color w:val="auto"/>
                <w:sz w:val="21"/>
                <w:szCs w:val="21"/>
                <w:lang w:val="en-US" w:eastAsia="zh-CN"/>
              </w:rPr>
              <w:t>5</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b w:val="0"/>
                <w:bCs w:val="0"/>
                <w:color w:val="auto"/>
                <w:kern w:val="2"/>
                <w:sz w:val="21"/>
                <w:szCs w:val="21"/>
                <w:lang w:val="en" w:eastAsia="zh-CN" w:bidi="ar-SA"/>
              </w:rPr>
              <w:t>超低能耗建筑夹心保温外墙工艺技术</w:t>
            </w:r>
          </w:p>
        </w:tc>
        <w:tc>
          <w:tcPr>
            <w:tcW w:w="60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b w:val="0"/>
                <w:bCs w:val="0"/>
                <w:color w:val="auto"/>
                <w:kern w:val="2"/>
                <w:sz w:val="21"/>
                <w:szCs w:val="21"/>
                <w:lang w:val="en" w:eastAsia="zh-CN" w:bidi="ar-SA"/>
              </w:rPr>
              <w:t>该技术采用新型保温</w:t>
            </w:r>
            <w:r>
              <w:rPr>
                <w:rFonts w:hint="eastAsia" w:ascii="仿宋_GB2312" w:hAnsi="仿宋_GB2312" w:eastAsia="仿宋_GB2312" w:cs="仿宋_GB2312"/>
                <w:b w:val="0"/>
                <w:bCs w:val="0"/>
                <w:color w:val="auto"/>
                <w:kern w:val="2"/>
                <w:sz w:val="21"/>
                <w:szCs w:val="21"/>
                <w:lang w:val="en-US" w:eastAsia="zh-CN" w:bidi="ar-SA"/>
              </w:rPr>
              <w:t>拉接件</w:t>
            </w:r>
            <w:r>
              <w:rPr>
                <w:rFonts w:hint="eastAsia" w:ascii="仿宋_GB2312" w:hAnsi="仿宋_GB2312" w:eastAsia="仿宋_GB2312" w:cs="仿宋_GB2312"/>
                <w:b w:val="0"/>
                <w:bCs w:val="0"/>
                <w:color w:val="auto"/>
                <w:kern w:val="2"/>
                <w:sz w:val="21"/>
                <w:szCs w:val="21"/>
                <w:lang w:val="en" w:eastAsia="zh-CN" w:bidi="ar-SA"/>
              </w:rPr>
              <w:t>，将保温材料夹在两层混凝土（内叶墙、外叶墙）之间形成复合墙板，布置保温拉接件时综合考虑墙板受力和变形影响，可增强外墙保温性能、提高防火性能及外墙使用寿命。</w:t>
            </w:r>
          </w:p>
        </w:tc>
        <w:tc>
          <w:tcPr>
            <w:tcW w:w="22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b w:val="0"/>
                <w:bCs w:val="0"/>
                <w:color w:val="auto"/>
                <w:kern w:val="2"/>
                <w:sz w:val="21"/>
                <w:szCs w:val="21"/>
                <w:lang w:val="en" w:eastAsia="zh-CN" w:bidi="ar-SA"/>
              </w:rPr>
              <w:t>适用于高层和多层建筑剪力墙、非承重外墙挂板、钢结构非承重外墙挂板等外墙形式</w:t>
            </w:r>
          </w:p>
        </w:tc>
        <w:tc>
          <w:tcPr>
            <w:tcW w:w="288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b w:val="0"/>
                <w:bCs w:val="0"/>
                <w:color w:val="auto"/>
                <w:kern w:val="2"/>
                <w:sz w:val="21"/>
                <w:szCs w:val="21"/>
                <w:lang w:val="en" w:eastAsia="zh-CN" w:bidi="ar-SA"/>
              </w:rPr>
              <w:t>龙岗区宝荷欣苑二期、</w:t>
            </w:r>
            <w:r>
              <w:rPr>
                <w:rFonts w:hint="eastAsia" w:ascii="仿宋_GB2312" w:hAnsi="仿宋_GB2312" w:eastAsia="仿宋_GB2312" w:cs="仿宋_GB2312"/>
                <w:color w:val="auto"/>
                <w:szCs w:val="21"/>
                <w:lang w:val="en"/>
              </w:rPr>
              <w:t>零碳数基·桃花源大同灵丘超级能源综合体基地一期项目</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 w:eastAsia="zh-CN" w:bidi="ar-SA"/>
              </w:rPr>
              <w:t>深圳市现代营造科技有限公司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6</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val="en-US" w:eastAsia="zh-CN"/>
              </w:rPr>
              <w:t>建筑光伏模拟分析软件</w:t>
            </w:r>
          </w:p>
        </w:tc>
        <w:tc>
          <w:tcPr>
            <w:tcW w:w="6015" w:type="dxa"/>
            <w:noWrap w:val="0"/>
            <w:vAlign w:val="center"/>
          </w:tcPr>
          <w:p>
            <w:pPr>
              <w:pStyle w:val="8"/>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val="en-US" w:eastAsia="zh-CN"/>
              </w:rPr>
              <w:t>该技术</w:t>
            </w:r>
            <w:r>
              <w:rPr>
                <w:rFonts w:hint="eastAsia" w:ascii="仿宋_GB2312" w:hAnsi="仿宋_GB2312" w:eastAsia="仿宋_GB2312" w:cs="仿宋_GB2312"/>
                <w:color w:val="000000"/>
                <w:szCs w:val="21"/>
              </w:rPr>
              <w:t>支持建筑设计软件图形文件快速建立模型，</w:t>
            </w:r>
            <w:r>
              <w:rPr>
                <w:rFonts w:hint="eastAsia" w:ascii="仿宋_GB2312" w:hAnsi="仿宋_GB2312" w:eastAsia="仿宋_GB2312" w:cs="仿宋_GB2312"/>
                <w:color w:val="000000"/>
                <w:szCs w:val="21"/>
                <w:lang w:eastAsia="zh-CN"/>
              </w:rPr>
              <w:t>通过光伏设备选型等设置，结合建筑光伏技术要求，分析</w:t>
            </w:r>
            <w:r>
              <w:rPr>
                <w:rFonts w:hint="eastAsia" w:ascii="仿宋_GB2312" w:hAnsi="仿宋_GB2312" w:eastAsia="仿宋_GB2312" w:cs="仿宋_GB2312"/>
                <w:color w:val="000000"/>
                <w:kern w:val="2"/>
                <w:sz w:val="21"/>
                <w:szCs w:val="21"/>
                <w:lang w:val="en-US" w:eastAsia="zh-CN" w:bidi="ar-SA"/>
              </w:rPr>
              <w:t>逐时辐照量、光伏发电量、经济效益等，综合计算后生成三维彩图、统计图表等，并生成</w:t>
            </w:r>
            <w:r>
              <w:rPr>
                <w:rFonts w:hint="eastAsia" w:ascii="仿宋_GB2312" w:hAnsi="仿宋_GB2312" w:eastAsia="仿宋_GB2312" w:cs="仿宋_GB2312"/>
                <w:color w:val="000000"/>
                <w:sz w:val="21"/>
                <w:szCs w:val="21"/>
              </w:rPr>
              <w:t>报告书。</w:t>
            </w:r>
          </w:p>
        </w:tc>
        <w:tc>
          <w:tcPr>
            <w:tcW w:w="221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lang w:val="en-US" w:eastAsia="zh-CN"/>
              </w:rPr>
              <w:t>适用于建筑光伏系统模拟分析计算</w:t>
            </w:r>
          </w:p>
        </w:tc>
        <w:tc>
          <w:tcPr>
            <w:tcW w:w="2886"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FF0000"/>
                <w:kern w:val="2"/>
                <w:sz w:val="21"/>
                <w:szCs w:val="21"/>
                <w:lang w:val="en" w:eastAsia="zh-CN" w:bidi="ar-SA"/>
              </w:rPr>
            </w:pPr>
            <w:r>
              <w:rPr>
                <w:rFonts w:hint="eastAsia" w:ascii="仿宋_GB2312" w:hAnsi="仿宋_GB2312" w:eastAsia="仿宋_GB2312" w:cs="仿宋_GB2312"/>
                <w:color w:val="000000"/>
                <w:szCs w:val="21"/>
              </w:rPr>
              <w:t>大鹏08-13地块人才住房项目配套九年一贯制学校2栋宿舍楼</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Cs w:val="21"/>
              </w:rPr>
              <w:t>下村小学拆除重建</w:t>
            </w:r>
            <w:r>
              <w:rPr>
                <w:rFonts w:hint="eastAsia" w:ascii="仿宋_GB2312" w:hAnsi="仿宋_GB2312" w:eastAsia="仿宋_GB2312" w:cs="仿宋_GB2312"/>
                <w:color w:val="000000"/>
                <w:sz w:val="21"/>
                <w:szCs w:val="21"/>
                <w:lang w:eastAsia="zh-CN"/>
              </w:rPr>
              <w:t>工程；</w:t>
            </w:r>
            <w:r>
              <w:rPr>
                <w:rFonts w:hint="eastAsia" w:ascii="仿宋_GB2312" w:hAnsi="仿宋_GB2312" w:eastAsia="仿宋_GB2312" w:cs="仿宋_GB2312"/>
                <w:color w:val="000000"/>
                <w:szCs w:val="21"/>
              </w:rPr>
              <w:t>深圳市第三十二高级中学</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宜宾医药健康职业学院产教融合实训基地一期项目</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FF0000"/>
                <w:kern w:val="2"/>
                <w:sz w:val="21"/>
                <w:szCs w:val="21"/>
                <w:lang w:val="en" w:eastAsia="zh-CN" w:bidi="ar-SA"/>
              </w:rPr>
            </w:pPr>
            <w:r>
              <w:rPr>
                <w:rFonts w:hint="eastAsia" w:ascii="仿宋_GB2312" w:hAnsi="仿宋_GB2312" w:eastAsia="仿宋_GB2312" w:cs="仿宋_GB2312"/>
                <w:color w:val="000000"/>
                <w:sz w:val="21"/>
                <w:szCs w:val="21"/>
                <w:lang w:val="en-US" w:eastAsia="zh-CN"/>
              </w:rPr>
              <w:t>北京构力科技有限公司；</w:t>
            </w:r>
            <w:r>
              <w:rPr>
                <w:rFonts w:hint="eastAsia" w:ascii="仿宋_GB2312" w:hAnsi="仿宋_GB2312" w:eastAsia="仿宋_GB2312" w:cs="仿宋_GB2312"/>
                <w:color w:val="000000"/>
                <w:sz w:val="21"/>
                <w:szCs w:val="21"/>
              </w:rPr>
              <w:t>北京绿建软件股份有限公司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7</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超</w:t>
            </w:r>
            <w:r>
              <w:rPr>
                <w:rFonts w:hint="eastAsia" w:ascii="仿宋_GB2312" w:hAnsi="仿宋_GB2312" w:eastAsia="仿宋_GB2312" w:cs="仿宋_GB2312"/>
                <w:color w:val="000000"/>
                <w:sz w:val="21"/>
                <w:szCs w:val="21"/>
                <w:lang w:val="en-US" w:eastAsia="zh-CN"/>
              </w:rPr>
              <w:t>低能耗建筑模拟分析软件</w:t>
            </w:r>
          </w:p>
        </w:tc>
        <w:tc>
          <w:tcPr>
            <w:tcW w:w="60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color w:val="000000"/>
                <w:szCs w:val="21"/>
              </w:rPr>
              <w:t>该</w:t>
            </w:r>
            <w:r>
              <w:rPr>
                <w:rFonts w:hint="eastAsia" w:ascii="仿宋_GB2312" w:hAnsi="仿宋_GB2312" w:eastAsia="仿宋_GB2312" w:cs="仿宋_GB2312"/>
                <w:color w:val="000000"/>
                <w:szCs w:val="21"/>
                <w:lang w:eastAsia="zh-CN"/>
              </w:rPr>
              <w:t>技术</w:t>
            </w:r>
            <w:r>
              <w:rPr>
                <w:rFonts w:hint="eastAsia" w:ascii="仿宋_GB2312" w:hAnsi="仿宋_GB2312" w:eastAsia="仿宋_GB2312" w:cs="仿宋_GB2312"/>
                <w:color w:val="000000"/>
                <w:szCs w:val="21"/>
              </w:rPr>
              <w:t>支持建筑设计软件图形文件快速建立热工模型，</w:t>
            </w:r>
            <w:r>
              <w:rPr>
                <w:rFonts w:hint="eastAsia" w:ascii="仿宋_GB2312" w:hAnsi="仿宋_GB2312" w:eastAsia="仿宋_GB2312" w:cs="仿宋_GB2312"/>
                <w:color w:val="000000"/>
                <w:szCs w:val="21"/>
                <w:lang w:eastAsia="zh-CN"/>
              </w:rPr>
              <w:t>通过对</w:t>
            </w:r>
            <w:r>
              <w:rPr>
                <w:rFonts w:hint="eastAsia" w:ascii="仿宋_GB2312" w:hAnsi="仿宋_GB2312" w:eastAsia="仿宋_GB2312" w:cs="仿宋_GB2312"/>
                <w:color w:val="000000"/>
                <w:szCs w:val="21"/>
              </w:rPr>
              <w:t>构造库、材料数据库</w:t>
            </w:r>
            <w:r>
              <w:rPr>
                <w:rFonts w:hint="eastAsia" w:ascii="仿宋_GB2312" w:hAnsi="仿宋_GB2312" w:eastAsia="仿宋_GB2312" w:cs="仿宋_GB2312"/>
                <w:color w:val="000000"/>
                <w:szCs w:val="21"/>
                <w:lang w:eastAsia="zh-CN"/>
              </w:rPr>
              <w:t>及空调设备等设置</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eastAsia="zh-CN"/>
              </w:rPr>
              <w:t>结合</w:t>
            </w:r>
            <w:r>
              <w:rPr>
                <w:rFonts w:hint="eastAsia" w:ascii="仿宋_GB2312" w:hAnsi="仿宋_GB2312" w:eastAsia="仿宋_GB2312" w:cs="仿宋_GB2312"/>
                <w:color w:val="000000"/>
                <w:szCs w:val="21"/>
              </w:rPr>
              <w:t>超低能耗建筑技术</w:t>
            </w:r>
            <w:r>
              <w:rPr>
                <w:rFonts w:hint="eastAsia" w:ascii="仿宋_GB2312" w:hAnsi="仿宋_GB2312" w:eastAsia="仿宋_GB2312" w:cs="仿宋_GB2312"/>
                <w:color w:val="000000"/>
                <w:szCs w:val="21"/>
                <w:lang w:eastAsia="zh-CN"/>
              </w:rPr>
              <w:t>要求</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 w:val="21"/>
                <w:szCs w:val="21"/>
                <w:lang w:eastAsia="zh-CN"/>
              </w:rPr>
              <w:t>分析</w:t>
            </w:r>
            <w:r>
              <w:rPr>
                <w:rFonts w:hint="eastAsia" w:ascii="仿宋_GB2312" w:hAnsi="仿宋_GB2312" w:eastAsia="仿宋_GB2312" w:cs="仿宋_GB2312"/>
                <w:color w:val="000000"/>
                <w:sz w:val="21"/>
                <w:szCs w:val="21"/>
              </w:rPr>
              <w:t>建筑全生命周期的年</w:t>
            </w:r>
            <w:r>
              <w:rPr>
                <w:rFonts w:hint="eastAsia" w:ascii="仿宋_GB2312" w:hAnsi="仿宋_GB2312" w:eastAsia="仿宋_GB2312" w:cs="仿宋_GB2312"/>
                <w:color w:val="000000"/>
                <w:sz w:val="21"/>
                <w:szCs w:val="21"/>
                <w:lang w:eastAsia="zh-CN"/>
              </w:rPr>
              <w:t>供冷</w:t>
            </w:r>
            <w:r>
              <w:rPr>
                <w:rFonts w:hint="eastAsia" w:ascii="仿宋_GB2312" w:hAnsi="仿宋_GB2312" w:eastAsia="仿宋_GB2312" w:cs="仿宋_GB2312"/>
                <w:color w:val="000000"/>
                <w:sz w:val="21"/>
                <w:szCs w:val="21"/>
              </w:rPr>
              <w:t>供暖</w:t>
            </w:r>
            <w:r>
              <w:rPr>
                <w:rFonts w:hint="eastAsia" w:ascii="仿宋_GB2312" w:hAnsi="仿宋_GB2312" w:eastAsia="仿宋_GB2312" w:cs="仿宋_GB2312"/>
                <w:color w:val="000000"/>
                <w:sz w:val="21"/>
                <w:szCs w:val="21"/>
                <w:lang w:eastAsia="zh-CN"/>
              </w:rPr>
              <w:t>能耗、动力系统能耗及</w:t>
            </w:r>
            <w:r>
              <w:rPr>
                <w:rFonts w:hint="eastAsia" w:ascii="仿宋_GB2312" w:hAnsi="仿宋_GB2312" w:eastAsia="仿宋_GB2312" w:cs="仿宋_GB2312"/>
                <w:color w:val="000000"/>
                <w:sz w:val="21"/>
                <w:szCs w:val="21"/>
              </w:rPr>
              <w:t>可再生能源</w:t>
            </w:r>
            <w:r>
              <w:rPr>
                <w:rFonts w:hint="eastAsia" w:ascii="仿宋_GB2312" w:hAnsi="仿宋_GB2312" w:eastAsia="仿宋_GB2312" w:cs="仿宋_GB2312"/>
                <w:color w:val="000000"/>
                <w:sz w:val="21"/>
                <w:szCs w:val="21"/>
                <w:lang w:val="en-US" w:eastAsia="zh-CN"/>
              </w:rPr>
              <w:t>利用量等，对建筑综合</w:t>
            </w:r>
            <w:r>
              <w:rPr>
                <w:rFonts w:hint="eastAsia" w:ascii="仿宋_GB2312" w:hAnsi="仿宋_GB2312" w:eastAsia="仿宋_GB2312" w:cs="仿宋_GB2312"/>
                <w:color w:val="000000"/>
                <w:sz w:val="21"/>
                <w:szCs w:val="21"/>
                <w:lang w:eastAsia="zh-CN"/>
              </w:rPr>
              <w:t>能耗计算</w:t>
            </w:r>
            <w:r>
              <w:rPr>
                <w:rFonts w:hint="eastAsia" w:ascii="仿宋_GB2312" w:hAnsi="仿宋_GB2312" w:eastAsia="仿宋_GB2312" w:cs="仿宋_GB2312"/>
                <w:color w:val="000000"/>
                <w:sz w:val="21"/>
                <w:szCs w:val="21"/>
                <w:lang w:val="en-US" w:eastAsia="zh-CN"/>
              </w:rPr>
              <w:t>后</w:t>
            </w:r>
            <w:r>
              <w:rPr>
                <w:rFonts w:hint="eastAsia" w:ascii="仿宋_GB2312" w:hAnsi="仿宋_GB2312" w:eastAsia="仿宋_GB2312" w:cs="仿宋_GB2312"/>
                <w:color w:val="000000"/>
                <w:sz w:val="21"/>
                <w:szCs w:val="21"/>
              </w:rPr>
              <w:t>生成报告书。</w:t>
            </w:r>
          </w:p>
        </w:tc>
        <w:tc>
          <w:tcPr>
            <w:tcW w:w="221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适用于超低</w:t>
            </w:r>
            <w:r>
              <w:rPr>
                <w:rFonts w:hint="default" w:ascii="仿宋_GB2312" w:hAnsi="仿宋_GB2312" w:eastAsia="仿宋_GB2312" w:cs="仿宋_GB2312"/>
                <w:color w:val="000000"/>
                <w:kern w:val="2"/>
                <w:sz w:val="21"/>
                <w:szCs w:val="21"/>
                <w:lang w:val="en" w:eastAsia="zh-CN" w:bidi="ar-SA"/>
              </w:rPr>
              <w:t>/</w:t>
            </w:r>
            <w:r>
              <w:rPr>
                <w:rFonts w:hint="eastAsia" w:ascii="仿宋_GB2312" w:hAnsi="仿宋_GB2312" w:eastAsia="仿宋_GB2312" w:cs="仿宋_GB2312"/>
                <w:color w:val="000000"/>
                <w:kern w:val="2"/>
                <w:sz w:val="21"/>
                <w:szCs w:val="21"/>
                <w:lang w:val="en" w:eastAsia="zh-CN" w:bidi="ar-SA"/>
              </w:rPr>
              <w:t>近零</w:t>
            </w:r>
            <w:r>
              <w:rPr>
                <w:rFonts w:hint="eastAsia" w:ascii="仿宋_GB2312" w:hAnsi="仿宋_GB2312" w:eastAsia="仿宋_GB2312" w:cs="仿宋_GB2312"/>
                <w:color w:val="000000"/>
                <w:kern w:val="2"/>
                <w:sz w:val="21"/>
                <w:szCs w:val="21"/>
                <w:lang w:val="en-US" w:eastAsia="zh-CN" w:bidi="ar-SA"/>
              </w:rPr>
              <w:t>/零能耗民用建筑设计分析计算</w:t>
            </w:r>
          </w:p>
        </w:tc>
        <w:tc>
          <w:tcPr>
            <w:tcW w:w="2886"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坝光创新创业园、天津大学佐治亚理工深圳学院</w:t>
            </w:r>
            <w:r>
              <w:rPr>
                <w:rFonts w:hint="eastAsia" w:ascii="仿宋_GB2312" w:hAnsi="仿宋_GB2312" w:eastAsia="仿宋_GB2312" w:cs="仿宋_GB2312"/>
                <w:color w:val="000000"/>
                <w:sz w:val="21"/>
                <w:szCs w:val="21"/>
                <w:lang w:val="en-US" w:eastAsia="zh-CN"/>
              </w:rPr>
              <w:t>3栋宿舍；</w:t>
            </w:r>
            <w:r>
              <w:rPr>
                <w:rFonts w:hint="eastAsia" w:ascii="仿宋_GB2312" w:hAnsi="仿宋_GB2312" w:eastAsia="仿宋_GB2312" w:cs="仿宋_GB2312"/>
                <w:color w:val="000000"/>
                <w:sz w:val="21"/>
                <w:szCs w:val="21"/>
                <w:lang w:eastAsia="zh-CN"/>
              </w:rPr>
              <w:t>光明区楼村第四学校、</w:t>
            </w:r>
            <w:r>
              <w:rPr>
                <w:rFonts w:hint="eastAsia" w:ascii="仿宋_GB2312" w:hAnsi="仿宋_GB2312" w:eastAsia="仿宋_GB2312" w:cs="仿宋_GB2312"/>
                <w:color w:val="000000"/>
                <w:szCs w:val="21"/>
              </w:rPr>
              <w:t>龙华区安居荟智苑二单元</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北京绿建软件股份有限公司</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北京构力科技有限公司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8</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全彩光伏微图层制作工艺技术</w:t>
            </w:r>
          </w:p>
        </w:tc>
        <w:tc>
          <w:tcPr>
            <w:tcW w:w="60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val="0"/>
                <w:bCs w:val="0"/>
                <w:color w:val="000000"/>
                <w:sz w:val="21"/>
                <w:szCs w:val="21"/>
                <w:lang w:val="en-US" w:eastAsia="zh-CN"/>
              </w:rPr>
              <w:t>该技术将包括退役光伏在内的各类型光伏组件作为生产原料进行全色彩化加工升级。依托数据建模与微图层核心算法，通过多层次薄层加工，结合光伏组件本身的黑色底色，保持光的穿透率与色彩饱和度平衡，减少功率损失，达到高透光、无热斑效应的效果。</w:t>
            </w:r>
          </w:p>
        </w:tc>
        <w:tc>
          <w:tcPr>
            <w:tcW w:w="221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适用于有外观效果需求的光伏屋面、外立面、标识标牌，及智慧路灯、智能车站、智能电站、垃圾回收系统、凉亭、智能充电桩等</w:t>
            </w:r>
          </w:p>
        </w:tc>
        <w:tc>
          <w:tcPr>
            <w:tcW w:w="2886"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龙岗区荷坳供水厂彩绘光伏板发电研究项目、福田区消防救援大队光伏项目、深铁阅云境光伏围挡</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新源劲吾（北京）科技有限公司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b w:val="0"/>
                <w:bCs w:val="0"/>
                <w:color w:val="auto"/>
                <w:sz w:val="21"/>
                <w:szCs w:val="21"/>
                <w:lang w:val="en-US" w:eastAsia="zh-CN"/>
              </w:rPr>
              <w:t>9</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auto"/>
                <w:kern w:val="2"/>
                <w:sz w:val="21"/>
                <w:szCs w:val="21"/>
                <w:lang w:val="en" w:eastAsia="zh-CN" w:bidi="ar-SA"/>
              </w:rPr>
            </w:pPr>
            <w:r>
              <w:rPr>
                <w:rFonts w:hint="eastAsia" w:ascii="仿宋_GB2312" w:hAnsi="仿宋_GB2312" w:eastAsia="仿宋_GB2312" w:cs="仿宋_GB2312"/>
                <w:color w:val="000000"/>
                <w:sz w:val="21"/>
                <w:szCs w:val="21"/>
              </w:rPr>
              <w:t>新能源光伏气膜一体化应用技术</w:t>
            </w:r>
          </w:p>
        </w:tc>
        <w:tc>
          <w:tcPr>
            <w:tcW w:w="6015" w:type="dxa"/>
            <w:noWrap w:val="0"/>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auto"/>
                <w:sz w:val="21"/>
                <w:szCs w:val="21"/>
                <w:lang w:val="en" w:eastAsia="zh-CN"/>
              </w:rPr>
              <w:t>该技术集成应用柔性</w:t>
            </w:r>
            <w:r>
              <w:rPr>
                <w:rFonts w:hint="eastAsia" w:ascii="仿宋_GB2312" w:hAnsi="仿宋_GB2312" w:eastAsia="仿宋_GB2312" w:cs="仿宋_GB2312"/>
                <w:color w:val="auto"/>
                <w:sz w:val="21"/>
                <w:szCs w:val="21"/>
                <w:lang w:val="en"/>
              </w:rPr>
              <w:t>光伏组件</w:t>
            </w:r>
            <w:r>
              <w:rPr>
                <w:rFonts w:hint="eastAsia" w:ascii="仿宋_GB2312" w:hAnsi="仿宋_GB2312" w:eastAsia="仿宋_GB2312" w:cs="仿宋_GB2312"/>
                <w:color w:val="auto"/>
                <w:sz w:val="21"/>
                <w:szCs w:val="21"/>
                <w:lang w:val="en" w:eastAsia="zh-CN"/>
              </w:rPr>
              <w:t>与气膜，研制光伏组件轻质化、柔性化、封装工艺及与气膜一体化应用套组，实现连接套组及同排列光伏阵列的变形控制，满足结构稳定性和光伏阵列变形要求，创新光伏应用场景</w:t>
            </w:r>
            <w:r>
              <w:rPr>
                <w:rFonts w:hint="eastAsia" w:ascii="仿宋_GB2312" w:hAnsi="仿宋_GB2312" w:eastAsia="仿宋_GB2312" w:cs="仿宋_GB2312"/>
                <w:color w:val="auto"/>
                <w:sz w:val="21"/>
                <w:szCs w:val="21"/>
                <w:lang w:val="en"/>
              </w:rPr>
              <w:t>。</w:t>
            </w:r>
          </w:p>
        </w:tc>
        <w:tc>
          <w:tcPr>
            <w:tcW w:w="221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auto"/>
                <w:sz w:val="21"/>
                <w:szCs w:val="21"/>
                <w:lang w:val="en"/>
              </w:rPr>
              <w:t>适用于文体、商业、交通、工业、医疗、农业、标志景观、冷链物流等场景</w:t>
            </w:r>
          </w:p>
        </w:tc>
        <w:tc>
          <w:tcPr>
            <w:tcW w:w="288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湖南中成空间智能技术有限公司气膜光伏发电项目</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常州录安洲码头分布式光伏安装项目</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sz w:val="21"/>
                <w:szCs w:val="21"/>
              </w:rPr>
              <w:t>中成空间（深圳）智能技术有限公司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10</w:t>
            </w:r>
          </w:p>
        </w:tc>
        <w:tc>
          <w:tcPr>
            <w:tcW w:w="19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auto"/>
                <w:kern w:val="2"/>
                <w:sz w:val="21"/>
                <w:szCs w:val="21"/>
                <w:lang w:val="en" w:eastAsia="zh-CN" w:bidi="ar-SA"/>
              </w:rPr>
            </w:pPr>
            <w:r>
              <w:rPr>
                <w:rFonts w:hint="eastAsia" w:ascii="仿宋_GB2312" w:hAnsi="仿宋_GB2312" w:eastAsia="仿宋_GB2312" w:cs="仿宋_GB2312"/>
                <w:color w:val="000000"/>
                <w:sz w:val="21"/>
                <w:szCs w:val="21"/>
                <w:lang w:val="en-US" w:eastAsia="zh-CN"/>
              </w:rPr>
              <w:t>相变储能调温技术</w:t>
            </w:r>
          </w:p>
        </w:tc>
        <w:tc>
          <w:tcPr>
            <w:tcW w:w="6015"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sz w:val="21"/>
                <w:szCs w:val="21"/>
                <w:lang w:val="en-US" w:eastAsia="zh-CN"/>
              </w:rPr>
              <w:t>该技术利用相变材料固液转换特性，相变过程中吸收或释放潜热，</w:t>
            </w:r>
            <w:r>
              <w:rPr>
                <w:rFonts w:hint="eastAsia" w:ascii="仿宋_GB2312" w:hAnsi="仿宋_GB2312" w:eastAsia="仿宋_GB2312" w:cs="仿宋_GB2312"/>
                <w:color w:val="000000"/>
                <w:szCs w:val="21"/>
              </w:rPr>
              <w:t>实现</w:t>
            </w:r>
            <w:r>
              <w:rPr>
                <w:rFonts w:hint="eastAsia" w:ascii="仿宋_GB2312" w:hAnsi="仿宋_GB2312" w:eastAsia="仿宋_GB2312" w:cs="仿宋_GB2312"/>
                <w:color w:val="000000"/>
                <w:szCs w:val="21"/>
                <w:lang w:eastAsia="zh-CN"/>
              </w:rPr>
              <w:t>维持舒适</w:t>
            </w:r>
            <w:r>
              <w:rPr>
                <w:rFonts w:hint="eastAsia" w:ascii="仿宋_GB2312" w:hAnsi="仿宋_GB2312" w:eastAsia="仿宋_GB2312" w:cs="仿宋_GB2312"/>
                <w:color w:val="000000"/>
                <w:szCs w:val="21"/>
              </w:rPr>
              <w:t>环境</w:t>
            </w:r>
            <w:r>
              <w:rPr>
                <w:rFonts w:hint="eastAsia" w:ascii="仿宋_GB2312" w:hAnsi="仿宋_GB2312" w:eastAsia="仿宋_GB2312" w:cs="仿宋_GB2312"/>
                <w:color w:val="000000"/>
                <w:szCs w:val="21"/>
                <w:lang w:eastAsia="zh-CN"/>
              </w:rPr>
              <w:t>和建筑节能的目的</w:t>
            </w:r>
            <w:r>
              <w:rPr>
                <w:rFonts w:hint="eastAsia" w:ascii="仿宋_GB2312" w:hAnsi="仿宋_GB2312" w:eastAsia="仿宋_GB2312" w:cs="仿宋_GB2312"/>
                <w:color w:val="000000"/>
                <w:sz w:val="21"/>
                <w:szCs w:val="21"/>
                <w:lang w:val="en-US" w:eastAsia="zh-CN"/>
              </w:rPr>
              <w:t>。可增强建筑的蓄热能力，降低建筑物室内外之间的热流波动幅度，提高建筑物自身温度调节能力并改善室内环境，相关产品包括</w:t>
            </w:r>
            <w:r>
              <w:rPr>
                <w:rFonts w:hint="eastAsia" w:ascii="仿宋_GB2312" w:hAnsi="仿宋_GB2312" w:eastAsia="仿宋_GB2312" w:cs="仿宋_GB2312"/>
                <w:sz w:val="21"/>
                <w:szCs w:val="21"/>
                <w:lang w:val="en-US" w:eastAsia="zh-CN"/>
              </w:rPr>
              <w:t>建筑恒温蓄热的相变调温板材、镁翼复合墙体、吊顶及地暖模块等。</w:t>
            </w:r>
          </w:p>
        </w:tc>
        <w:tc>
          <w:tcPr>
            <w:tcW w:w="221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bidi="ar-SA"/>
              </w:rPr>
              <w:t>适用于建筑墙体内围护结构、吊顶天花、地板等</w:t>
            </w:r>
          </w:p>
        </w:tc>
        <w:tc>
          <w:tcPr>
            <w:tcW w:w="288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kern w:val="2"/>
                <w:sz w:val="21"/>
                <w:szCs w:val="21"/>
                <w:lang w:val="en-US" w:eastAsia="zh-CN" w:bidi="ar-SA"/>
              </w:rPr>
              <w:t>中国铁塔赣州分公司基站机房、国家电网宁夏天都山特高压变电站</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color w:val="000000"/>
                <w:kern w:val="2"/>
                <w:sz w:val="21"/>
                <w:szCs w:val="21"/>
                <w:lang w:val="en" w:eastAsia="zh-CN" w:bidi="ar-SA"/>
              </w:rPr>
            </w:pPr>
            <w:r>
              <w:rPr>
                <w:rFonts w:hint="eastAsia" w:ascii="仿宋_GB2312" w:hAnsi="仿宋_GB2312" w:eastAsia="仿宋_GB2312" w:cs="仿宋_GB2312"/>
                <w:color w:val="000000"/>
                <w:sz w:val="21"/>
                <w:szCs w:val="21"/>
                <w:lang w:val="en-US" w:eastAsia="zh-CN"/>
              </w:rPr>
              <w:t>深圳国信储能技术有限公司</w:t>
            </w: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B057"/>
    <w:rsid w:val="0957D984"/>
    <w:rsid w:val="239B0F5F"/>
    <w:rsid w:val="27BF092B"/>
    <w:rsid w:val="2FF7AF58"/>
    <w:rsid w:val="35EF7856"/>
    <w:rsid w:val="37DEB76F"/>
    <w:rsid w:val="3DCE282D"/>
    <w:rsid w:val="3EE71FE7"/>
    <w:rsid w:val="3EF7ADB2"/>
    <w:rsid w:val="3FEE201D"/>
    <w:rsid w:val="4F9FCC88"/>
    <w:rsid w:val="4FDBE765"/>
    <w:rsid w:val="56F7C93F"/>
    <w:rsid w:val="57BEDED8"/>
    <w:rsid w:val="57EF22EE"/>
    <w:rsid w:val="5ECEEF09"/>
    <w:rsid w:val="5F1FEF81"/>
    <w:rsid w:val="5FBBF0D1"/>
    <w:rsid w:val="6ADF6B00"/>
    <w:rsid w:val="6EFB5AB3"/>
    <w:rsid w:val="6FBFB057"/>
    <w:rsid w:val="6FEAC924"/>
    <w:rsid w:val="6FFFA2FD"/>
    <w:rsid w:val="739F3137"/>
    <w:rsid w:val="73E32E4F"/>
    <w:rsid w:val="75BFE806"/>
    <w:rsid w:val="75EB69F1"/>
    <w:rsid w:val="75FB9346"/>
    <w:rsid w:val="77591F4F"/>
    <w:rsid w:val="77D6DF3D"/>
    <w:rsid w:val="79E735C3"/>
    <w:rsid w:val="79FED6DB"/>
    <w:rsid w:val="7A721521"/>
    <w:rsid w:val="7AF99FB5"/>
    <w:rsid w:val="7BAFA88E"/>
    <w:rsid w:val="7BFD4FE5"/>
    <w:rsid w:val="7BFE67E3"/>
    <w:rsid w:val="7CF53063"/>
    <w:rsid w:val="7DDA4597"/>
    <w:rsid w:val="7E8AC078"/>
    <w:rsid w:val="7F7BFCFB"/>
    <w:rsid w:val="7FCF927D"/>
    <w:rsid w:val="7FEFD716"/>
    <w:rsid w:val="85EFB0BB"/>
    <w:rsid w:val="946FF4BC"/>
    <w:rsid w:val="9DBE5C99"/>
    <w:rsid w:val="9FEB1AFD"/>
    <w:rsid w:val="9FF2B36F"/>
    <w:rsid w:val="9FF77346"/>
    <w:rsid w:val="ACBE7554"/>
    <w:rsid w:val="AFB707E4"/>
    <w:rsid w:val="B3BF85BB"/>
    <w:rsid w:val="B7FFA722"/>
    <w:rsid w:val="BA7B23C6"/>
    <w:rsid w:val="BBDE7471"/>
    <w:rsid w:val="BCF754AA"/>
    <w:rsid w:val="BDBF7D60"/>
    <w:rsid w:val="BDF25C8A"/>
    <w:rsid w:val="BE3BA557"/>
    <w:rsid w:val="BE6FF93E"/>
    <w:rsid w:val="BE7D0A89"/>
    <w:rsid w:val="BEBED121"/>
    <w:rsid w:val="BECFC55B"/>
    <w:rsid w:val="C1EC124F"/>
    <w:rsid w:val="DBB72BE4"/>
    <w:rsid w:val="DBDB663D"/>
    <w:rsid w:val="DCFFF609"/>
    <w:rsid w:val="DDEE2302"/>
    <w:rsid w:val="DDF180B4"/>
    <w:rsid w:val="DEFEB09A"/>
    <w:rsid w:val="DFFE929A"/>
    <w:rsid w:val="EB7DEC79"/>
    <w:rsid w:val="EDAD4621"/>
    <w:rsid w:val="EF570A43"/>
    <w:rsid w:val="F2DE685E"/>
    <w:rsid w:val="F2E6BF5A"/>
    <w:rsid w:val="F4FFD9CD"/>
    <w:rsid w:val="F57F8B7A"/>
    <w:rsid w:val="F5FBCBDE"/>
    <w:rsid w:val="F638F72E"/>
    <w:rsid w:val="F72DE38B"/>
    <w:rsid w:val="F7B12775"/>
    <w:rsid w:val="F7D724A7"/>
    <w:rsid w:val="FAE53CB9"/>
    <w:rsid w:val="FB75933F"/>
    <w:rsid w:val="FBEF7886"/>
    <w:rsid w:val="FD7F77A2"/>
    <w:rsid w:val="FDD17FBA"/>
    <w:rsid w:val="FDFBB050"/>
    <w:rsid w:val="FE11287D"/>
    <w:rsid w:val="FE734873"/>
    <w:rsid w:val="FEFE91E9"/>
    <w:rsid w:val="FFBED9FD"/>
    <w:rsid w:val="FFEF7E43"/>
    <w:rsid w:val="FFFB0532"/>
    <w:rsid w:val="FFFD5230"/>
    <w:rsid w:val="FFFE2CB4"/>
    <w:rsid w:val="FFFFAD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99"/>
    <w:pPr>
      <w:snapToGrid w:val="0"/>
      <w:jc w:val="left"/>
    </w:pPr>
    <w:rPr>
      <w:rFonts w:ascii="等线" w:hAnsi="等线" w:eastAsia="等线" w:cs="宋体"/>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2025-01-03T15:45:00Z</dcterms:created>
  <dc:creator>caoxy</dc:creator>
  <cp:lastModifiedBy>cj_hyx</cp:lastModifiedBy>
  <cp:lastPrinted>2025-03-12T01:26:00Z</cp:lastPrinted>
  <dcterms:modified xsi:type="dcterms:W3CDTF">2025-04-09T09:54:35Z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7FCD3ED673C8F96CF15ACA677A2BBF2C</vt:lpwstr>
  </property>
</Properties>
</file>