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contextualSpacing/>
        <w:jc w:val="center"/>
        <w:rPr>
          <w:rFonts w:hint="eastAsia" w:ascii="方正小标宋简体" w:hAnsi="方正小标宋简体" w:eastAsia="方正小标宋简体" w:cs="方正小标宋简体"/>
          <w:sz w:val="44"/>
          <w:szCs w:val="44"/>
        </w:rPr>
      </w:pPr>
      <w:bookmarkStart w:id="0" w:name="_GoBack"/>
      <w:bookmarkEnd w:id="0"/>
    </w:p>
    <w:p>
      <w:pPr>
        <w:spacing w:line="560" w:lineRule="exact"/>
        <w:contextualSpacing/>
        <w:jc w:val="center"/>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rPr>
        <w:t>《深圳市住房和建设系统行政处罚裁量权基准适用规则》</w:t>
      </w:r>
      <w:r>
        <w:rPr>
          <w:rFonts w:hint="eastAsia" w:ascii="方正小标宋简体" w:hAnsi="方正小标宋简体" w:eastAsia="方正小标宋简体" w:cs="方正小标宋简体"/>
          <w:sz w:val="44"/>
          <w:szCs w:val="44"/>
          <w:lang w:eastAsia="zh-CN"/>
        </w:rPr>
        <w:t>政策解读</w:t>
      </w:r>
    </w:p>
    <w:p>
      <w:pPr>
        <w:spacing w:line="560" w:lineRule="exact"/>
        <w:ind w:firstLine="640" w:firstLineChars="200"/>
        <w:contextualSpacing/>
        <w:rPr>
          <w:rFonts w:hint="eastAsia"/>
        </w:rPr>
      </w:pPr>
    </w:p>
    <w:p>
      <w:pPr>
        <w:spacing w:line="560" w:lineRule="exact"/>
        <w:ind w:firstLineChars="200"/>
        <w:rPr>
          <w:rFonts w:hint="eastAsia" w:hAnsi="仿宋_GB2312" w:cs="仿宋_GB2312"/>
        </w:rPr>
      </w:pPr>
      <w:r>
        <w:rPr>
          <w:rFonts w:hint="eastAsia" w:hAnsi="仿宋_GB2312" w:cs="仿宋_GB2312"/>
        </w:rPr>
        <w:t>为</w:t>
      </w:r>
      <w:r>
        <w:rPr>
          <w:rFonts w:hint="eastAsia" w:cs="仿宋_GB2312"/>
          <w:lang w:eastAsia="zh-CN"/>
        </w:rPr>
        <w:t>了</w:t>
      </w:r>
      <w:r>
        <w:rPr>
          <w:rFonts w:hint="eastAsia" w:hAnsi="仿宋_GB2312" w:cs="仿宋_GB2312"/>
        </w:rPr>
        <w:t>规范</w:t>
      </w:r>
      <w:r>
        <w:rPr>
          <w:rFonts w:hint="eastAsia" w:ascii="仿宋_GB2312" w:hAnsi="仿宋" w:eastAsia="仿宋_GB2312" w:cs="Times New Roman"/>
          <w:i w:val="0"/>
          <w:caps w:val="0"/>
          <w:color w:val="040404"/>
          <w:spacing w:val="0"/>
          <w:kern w:val="0"/>
          <w:sz w:val="32"/>
          <w:szCs w:val="24"/>
          <w:shd w:val="clear" w:fill="auto"/>
          <w:lang w:val="en-US" w:eastAsia="zh-CN" w:bidi="ar-SA"/>
        </w:rPr>
        <w:t>行使</w:t>
      </w:r>
      <w:r>
        <w:rPr>
          <w:rFonts w:hint="eastAsia" w:cs="仿宋_GB2312"/>
          <w:lang w:val="en-US" w:eastAsia="zh-CN"/>
        </w:rPr>
        <w:t>我</w:t>
      </w:r>
      <w:r>
        <w:rPr>
          <w:rFonts w:hint="eastAsia" w:hAnsi="仿宋_GB2312" w:cs="仿宋_GB2312"/>
        </w:rPr>
        <w:t>市住房和建设系统</w:t>
      </w:r>
      <w:r>
        <w:rPr>
          <w:rFonts w:hint="eastAsia" w:ascii="仿宋_GB2312" w:hAnsi="仿宋" w:eastAsia="仿宋_GB2312" w:cs="Times New Roman"/>
          <w:i w:val="0"/>
          <w:caps w:val="0"/>
          <w:color w:val="040404"/>
          <w:spacing w:val="0"/>
          <w:kern w:val="0"/>
          <w:sz w:val="32"/>
          <w:szCs w:val="24"/>
          <w:shd w:val="clear" w:fill="auto"/>
          <w:lang w:val="en-US" w:eastAsia="zh-CN" w:bidi="ar-SA"/>
        </w:rPr>
        <w:t>行政处罚裁量权</w:t>
      </w:r>
      <w:r>
        <w:rPr>
          <w:rFonts w:hint="eastAsia" w:hAnsi="仿宋_GB2312" w:cs="仿宋_GB2312"/>
        </w:rPr>
        <w:t>，</w:t>
      </w:r>
      <w:r>
        <w:rPr>
          <w:rFonts w:hint="eastAsia" w:ascii="仿宋_GB2312" w:hAnsi="仿宋" w:eastAsia="仿宋_GB2312" w:cs="Times New Roman"/>
          <w:i w:val="0"/>
          <w:caps w:val="0"/>
          <w:color w:val="040404"/>
          <w:spacing w:val="0"/>
          <w:kern w:val="0"/>
          <w:sz w:val="32"/>
          <w:szCs w:val="24"/>
          <w:shd w:val="clear" w:fill="auto"/>
          <w:lang w:val="en-US" w:eastAsia="zh-CN" w:bidi="ar-SA"/>
        </w:rPr>
        <w:t>确保依法行政、合理行政，</w:t>
      </w:r>
      <w:r>
        <w:rPr>
          <w:rFonts w:hint="eastAsia" w:ascii="仿宋_GB2312" w:hAnsi="仿宋" w:eastAsia="仿宋_GB2312" w:cs="Times New Roman"/>
          <w:i w:val="0"/>
          <w:caps w:val="0"/>
          <w:color w:val="auto"/>
          <w:spacing w:val="0"/>
          <w:kern w:val="0"/>
          <w:sz w:val="32"/>
          <w:szCs w:val="24"/>
          <w:shd w:val="clear"/>
          <w:lang w:val="en-US" w:eastAsia="zh-CN" w:bidi="ar-SA"/>
        </w:rPr>
        <w:t>维护</w:t>
      </w:r>
      <w:r>
        <w:rPr>
          <w:rFonts w:hint="eastAsia" w:ascii="仿宋_GB2312" w:hAnsi="仿宋" w:eastAsia="仿宋_GB2312" w:cs="Times New Roman"/>
          <w:color w:val="auto"/>
          <w:sz w:val="32"/>
          <w:lang w:val="en-US" w:eastAsia="zh-CN"/>
        </w:rPr>
        <w:t>公民、法人和其他组织的合法权益，</w:t>
      </w:r>
      <w:r>
        <w:rPr>
          <w:rFonts w:hint="eastAsia" w:ascii="仿宋_GB2312" w:hAnsi="仿宋_GB2312" w:eastAsia="仿宋_GB2312" w:cs="仿宋_GB2312"/>
          <w:sz w:val="32"/>
          <w:szCs w:val="32"/>
          <w:lang w:eastAsia="zh-CN"/>
        </w:rPr>
        <w:t>市住房建设局</w:t>
      </w:r>
      <w:r>
        <w:rPr>
          <w:rFonts w:hint="eastAsia" w:hAnsi="仿宋_GB2312" w:cs="仿宋_GB2312"/>
        </w:rPr>
        <w:t>制定了《深圳市住房和建设系统行政处罚裁量权基准适用规则》（以下简称《规则》）。现就《规则》相关内容进行如下解读：</w:t>
      </w:r>
    </w:p>
    <w:p>
      <w:pPr>
        <w:spacing w:line="560" w:lineRule="exact"/>
        <w:ind w:firstLineChars="200"/>
        <w:rPr>
          <w:rFonts w:hint="eastAsia" w:hAnsi="仿宋_GB2312" w:cs="仿宋_GB2312"/>
        </w:rPr>
      </w:pPr>
      <w:r>
        <w:rPr>
          <w:rFonts w:hint="eastAsia" w:ascii="黑体" w:hAnsi="黑体" w:eastAsia="黑体" w:cs="黑体"/>
        </w:rPr>
        <w:t>一、制定背景和目的</w:t>
      </w:r>
    </w:p>
    <w:p>
      <w:pPr>
        <w:spacing w:line="560" w:lineRule="exact"/>
        <w:ind w:firstLine="640" w:firstLineChars="200"/>
        <w:contextualSpacing/>
        <w:rPr>
          <w:rFonts w:hint="eastAsia" w:ascii="楷体_GB2312" w:hAnsi="楷体_GB2312" w:eastAsia="楷体_GB2312" w:cs="楷体_GB2312"/>
          <w:lang w:eastAsia="zh-CN"/>
        </w:rPr>
      </w:pPr>
      <w:r>
        <w:rPr>
          <w:rFonts w:hint="eastAsia" w:ascii="楷体_GB2312" w:hAnsi="楷体_GB2312" w:eastAsia="楷体_GB2312" w:cs="楷体_GB2312"/>
        </w:rPr>
        <w:t>（一）</w:t>
      </w:r>
      <w:r>
        <w:rPr>
          <w:rFonts w:hint="eastAsia" w:ascii="楷体_GB2312" w:hAnsi="楷体_GB2312" w:eastAsia="楷体_GB2312" w:cs="楷体_GB2312"/>
          <w:lang w:eastAsia="zh-CN"/>
        </w:rPr>
        <w:t>贯彻</w:t>
      </w:r>
      <w:r>
        <w:rPr>
          <w:rFonts w:hint="eastAsia" w:ascii="楷体_GB2312" w:hAnsi="楷体_GB2312" w:eastAsia="楷体_GB2312" w:cs="楷体_GB2312"/>
        </w:rPr>
        <w:t>党的二十大报告关于“健全行政裁量基准”的</w:t>
      </w:r>
      <w:r>
        <w:rPr>
          <w:rFonts w:hint="eastAsia" w:ascii="楷体_GB2312" w:hAnsi="楷体_GB2312" w:eastAsia="楷体_GB2312" w:cs="楷体_GB2312"/>
          <w:lang w:eastAsia="zh-CN"/>
        </w:rPr>
        <w:t>具体行动</w:t>
      </w:r>
    </w:p>
    <w:p>
      <w:pPr>
        <w:spacing w:line="560" w:lineRule="exact"/>
        <w:ind w:firstLine="640" w:firstLineChars="200"/>
        <w:contextualSpacing/>
        <w:rPr>
          <w:rFonts w:hint="eastAsia" w:hAnsi="Calibri" w:cs="Times New Roman"/>
        </w:rPr>
      </w:pPr>
      <w:r>
        <w:rPr>
          <w:rFonts w:hint="eastAsia" w:hAnsi="Calibri" w:cs="Times New Roman"/>
        </w:rPr>
        <w:t>党的二十大报告提出“要扎实推进依法行政，完善行政执法程序，健全行政裁量基准”。</w:t>
      </w:r>
      <w:r>
        <w:rPr>
          <w:rFonts w:hint="eastAsia" w:hAnsi="Calibri" w:cs="Times New Roman"/>
          <w:lang w:eastAsia="zh-CN"/>
        </w:rPr>
        <w:t>为认真</w:t>
      </w:r>
      <w:r>
        <w:rPr>
          <w:rFonts w:hint="eastAsia" w:hAnsi="Calibri" w:cs="Times New Roman"/>
        </w:rPr>
        <w:t>贯彻党的二十大精神，进一步健全</w:t>
      </w:r>
      <w:r>
        <w:rPr>
          <w:rFonts w:hint="eastAsia" w:hAnsi="Calibri" w:cs="Times New Roman"/>
          <w:lang w:eastAsia="zh-CN"/>
        </w:rPr>
        <w:t>我市</w:t>
      </w:r>
      <w:r>
        <w:rPr>
          <w:rFonts w:hint="eastAsia" w:hAnsi="仿宋_GB2312" w:cs="仿宋_GB2312"/>
        </w:rPr>
        <w:t>住房和建设</w:t>
      </w:r>
      <w:r>
        <w:rPr>
          <w:rFonts w:hint="eastAsia" w:hAnsi="Calibri" w:cs="Times New Roman"/>
          <w:lang w:eastAsia="zh-CN"/>
        </w:rPr>
        <w:t>系统</w:t>
      </w:r>
      <w:r>
        <w:rPr>
          <w:rFonts w:hint="eastAsia" w:hAnsi="Calibri" w:cs="Times New Roman"/>
        </w:rPr>
        <w:t>行政裁量基准制度，推动严格规范公正文明执法，提高行政机关执法能力和水平，</w:t>
      </w:r>
      <w:r>
        <w:rPr>
          <w:rFonts w:hint="eastAsia" w:hAnsi="Calibri" w:cs="Times New Roman"/>
          <w:lang w:eastAsia="zh-CN"/>
        </w:rPr>
        <w:t>有必要出台我</w:t>
      </w:r>
      <w:r>
        <w:rPr>
          <w:rFonts w:hint="eastAsia" w:hAnsi="Calibri" w:cs="Times New Roman"/>
        </w:rPr>
        <w:t>市</w:t>
      </w:r>
      <w:r>
        <w:rPr>
          <w:rFonts w:hint="eastAsia" w:hAnsi="仿宋_GB2312" w:cs="仿宋_GB2312"/>
        </w:rPr>
        <w:t>住房和建设</w:t>
      </w:r>
      <w:r>
        <w:rPr>
          <w:rFonts w:hint="eastAsia" w:hAnsi="Calibri" w:cs="Times New Roman"/>
        </w:rPr>
        <w:t>系统行政处罚裁量权基准。</w:t>
      </w:r>
    </w:p>
    <w:p>
      <w:pPr>
        <w:spacing w:line="560" w:lineRule="exact"/>
        <w:ind w:firstLine="640" w:firstLineChars="200"/>
        <w:contextualSpacing/>
        <w:rPr>
          <w:rFonts w:hint="eastAsia" w:ascii="楷体_GB2312" w:hAnsi="楷体_GB2312" w:eastAsia="楷体_GB2312" w:cs="楷体_GB2312"/>
        </w:rPr>
      </w:pPr>
      <w:r>
        <w:rPr>
          <w:rFonts w:hint="eastAsia" w:ascii="楷体_GB2312" w:hAnsi="楷体_GB2312" w:eastAsia="楷体_GB2312" w:cs="楷体_GB2312"/>
        </w:rPr>
        <w:t>（二）</w:t>
      </w:r>
      <w:r>
        <w:rPr>
          <w:rFonts w:hint="eastAsia" w:ascii="楷体_GB2312" w:hAnsi="楷体_GB2312" w:eastAsia="楷体_GB2312" w:cs="楷体_GB2312"/>
          <w:lang w:eastAsia="zh-CN"/>
        </w:rPr>
        <w:t>落实</w:t>
      </w:r>
      <w:r>
        <w:rPr>
          <w:rFonts w:hint="eastAsia" w:ascii="楷体_GB2312" w:hAnsi="楷体_GB2312" w:eastAsia="楷体_GB2312" w:cs="楷体_GB2312"/>
        </w:rPr>
        <w:t>上级</w:t>
      </w:r>
      <w:r>
        <w:rPr>
          <w:rFonts w:hint="eastAsia" w:ascii="楷体_GB2312" w:hAnsi="楷体_GB2312" w:eastAsia="楷体_GB2312" w:cs="楷体_GB2312"/>
          <w:lang w:eastAsia="zh-CN"/>
        </w:rPr>
        <w:t>部门</w:t>
      </w:r>
      <w:r>
        <w:rPr>
          <w:rFonts w:hint="eastAsia" w:ascii="楷体_GB2312" w:hAnsi="楷体_GB2312" w:eastAsia="楷体_GB2312" w:cs="楷体_GB2312"/>
        </w:rPr>
        <w:t>关于规范行政裁量权基准制定和管理</w:t>
      </w:r>
      <w:r>
        <w:rPr>
          <w:rFonts w:hint="eastAsia" w:ascii="楷体_GB2312" w:hAnsi="楷体_GB2312" w:eastAsia="楷体_GB2312" w:cs="楷体_GB2312"/>
          <w:lang w:eastAsia="zh-CN"/>
        </w:rPr>
        <w:t>要求的重要举措</w:t>
      </w:r>
    </w:p>
    <w:p>
      <w:pPr>
        <w:spacing w:line="560" w:lineRule="exact"/>
        <w:ind w:firstLine="640" w:firstLineChars="200"/>
        <w:contextualSpacing/>
        <w:rPr>
          <w:rFonts w:hint="eastAsia" w:hAnsi="Calibri" w:cs="Times New Roman"/>
        </w:rPr>
      </w:pPr>
      <w:r>
        <w:rPr>
          <w:rFonts w:hint="eastAsia" w:hAnsi="Calibri" w:cs="Times New Roman"/>
        </w:rPr>
        <w:t>《国务院办公厅关于进一步规范行政裁量权基准制定和管理工作的意见》</w:t>
      </w:r>
      <w:r>
        <w:rPr>
          <w:rFonts w:hint="eastAsia" w:hAnsi="Calibri" w:cs="Times New Roman"/>
          <w:lang w:eastAsia="zh-CN"/>
        </w:rPr>
        <w:t>提出</w:t>
      </w:r>
      <w:r>
        <w:rPr>
          <w:rFonts w:hint="eastAsia" w:hAnsi="Calibri" w:cs="Times New Roman"/>
        </w:rPr>
        <w:t>要严格履行行政裁量权基准制定程序，按照规章或规范性文件的程序制定发布。为了落实</w:t>
      </w:r>
      <w:r>
        <w:rPr>
          <w:rFonts w:hint="eastAsia" w:hAnsi="Calibri" w:cs="Times New Roman"/>
          <w:lang w:eastAsia="zh-CN"/>
        </w:rPr>
        <w:t>上述</w:t>
      </w:r>
      <w:r>
        <w:rPr>
          <w:rFonts w:hint="eastAsia" w:hAnsi="Calibri" w:cs="Times New Roman"/>
        </w:rPr>
        <w:t>工作要求，需按照规范性文件的程序</w:t>
      </w:r>
      <w:r>
        <w:rPr>
          <w:rFonts w:hint="eastAsia" w:hAnsi="Calibri" w:cs="Times New Roman"/>
          <w:lang w:eastAsia="zh-CN"/>
        </w:rPr>
        <w:t>，</w:t>
      </w:r>
      <w:r>
        <w:rPr>
          <w:rFonts w:hint="eastAsia" w:hAnsi="Calibri" w:cs="Times New Roman"/>
        </w:rPr>
        <w:t>制</w:t>
      </w:r>
      <w:r>
        <w:rPr>
          <w:rFonts w:hint="eastAsia" w:hAnsi="Calibri" w:cs="Times New Roman"/>
          <w:lang w:eastAsia="zh-CN"/>
        </w:rPr>
        <w:t>定</w:t>
      </w:r>
      <w:r>
        <w:rPr>
          <w:rFonts w:hint="eastAsia" w:hAnsi="Calibri" w:cs="Times New Roman"/>
        </w:rPr>
        <w:t>发布我市</w:t>
      </w:r>
      <w:r>
        <w:rPr>
          <w:rFonts w:hint="eastAsia" w:hAnsi="仿宋_GB2312" w:cs="仿宋_GB2312"/>
        </w:rPr>
        <w:t>住房和建设</w:t>
      </w:r>
      <w:r>
        <w:rPr>
          <w:rFonts w:hint="eastAsia" w:hAnsi="Calibri" w:cs="Times New Roman"/>
        </w:rPr>
        <w:t>系统行政处罚裁量权基准。</w:t>
      </w:r>
    </w:p>
    <w:p>
      <w:pPr>
        <w:spacing w:line="560" w:lineRule="exact"/>
        <w:ind w:firstLineChars="200"/>
        <w:rPr>
          <w:rFonts w:hint="eastAsia" w:ascii="楷体_GB2312" w:hAnsi="楷体_GB2312" w:eastAsia="楷体_GB2312" w:cs="楷体_GB2312"/>
          <w:sz w:val="32"/>
          <w:szCs w:val="32"/>
        </w:rPr>
      </w:pPr>
      <w:r>
        <w:rPr>
          <w:rFonts w:hint="eastAsia" w:ascii="楷体_GB2312" w:hAnsi="楷体_GB2312" w:eastAsia="楷体_GB2312" w:cs="楷体_GB2312"/>
        </w:rPr>
        <w:t>（</w:t>
      </w:r>
      <w:r>
        <w:rPr>
          <w:rFonts w:hint="eastAsia" w:ascii="楷体_GB2312" w:hAnsi="楷体_GB2312" w:eastAsia="楷体_GB2312" w:cs="楷体_GB2312"/>
          <w:lang w:eastAsia="zh-CN"/>
        </w:rPr>
        <w:t>三</w:t>
      </w:r>
      <w:r>
        <w:rPr>
          <w:rFonts w:hint="eastAsia" w:ascii="楷体_GB2312" w:hAnsi="楷体_GB2312" w:eastAsia="楷体_GB2312" w:cs="楷体_GB2312"/>
        </w:rPr>
        <w:t>）打造</w:t>
      </w:r>
      <w:r>
        <w:rPr>
          <w:rFonts w:hint="eastAsia" w:ascii="楷体_GB2312" w:hAnsi="楷体_GB2312" w:eastAsia="楷体_GB2312" w:cs="楷体_GB2312"/>
          <w:lang w:eastAsia="zh-CN"/>
        </w:rPr>
        <w:t>我市</w:t>
      </w:r>
      <w:r>
        <w:rPr>
          <w:rFonts w:hint="eastAsia" w:ascii="楷体_GB2312" w:hAnsi="楷体_GB2312" w:eastAsia="楷体_GB2312" w:cs="楷体_GB2312"/>
        </w:rPr>
        <w:t>法治化营商环境的现实需要</w:t>
      </w:r>
    </w:p>
    <w:p>
      <w:pPr>
        <w:spacing w:line="560" w:lineRule="exact"/>
        <w:ind w:firstLine="640" w:firstLineChars="200"/>
        <w:contextualSpacing/>
        <w:rPr>
          <w:rFonts w:hint="eastAsia" w:hAnsi="Calibri" w:cs="Times New Roman"/>
        </w:rPr>
      </w:pPr>
      <w:r>
        <w:rPr>
          <w:rFonts w:hint="eastAsia" w:hAnsi="仿宋_GB2312" w:cs="仿宋_GB2312"/>
        </w:rPr>
        <w:t>《深圳</w:t>
      </w:r>
      <w:r>
        <w:rPr>
          <w:rFonts w:hint="eastAsia" w:cs="仿宋_GB2312"/>
          <w:lang w:val="en-US" w:eastAsia="zh-CN"/>
        </w:rPr>
        <w:t>经济特区</w:t>
      </w:r>
      <w:r>
        <w:rPr>
          <w:rFonts w:hint="eastAsia" w:hAnsi="仿宋_GB2312" w:cs="仿宋_GB2312"/>
        </w:rPr>
        <w:t>优化营商环境条例》</w:t>
      </w:r>
      <w:r>
        <w:rPr>
          <w:rFonts w:hint="eastAsia" w:cs="仿宋_GB2312"/>
          <w:lang w:eastAsia="zh-CN"/>
        </w:rPr>
        <w:t>规定：</w:t>
      </w:r>
      <w:r>
        <w:rPr>
          <w:rFonts w:hint="eastAsia" w:hAnsi="仿宋_GB2312" w:cs="仿宋_GB2312"/>
        </w:rPr>
        <w:t>“行政机关应当对行政处罚自由裁量的具体标准进行动态管理，并结合实际及时依法修订、废止”。为了</w:t>
      </w:r>
      <w:r>
        <w:rPr>
          <w:rFonts w:hint="eastAsia" w:cs="仿宋_GB2312"/>
          <w:lang w:eastAsia="zh-CN"/>
        </w:rPr>
        <w:t>进一步</w:t>
      </w:r>
      <w:r>
        <w:rPr>
          <w:rFonts w:hint="eastAsia" w:ascii="仿宋_GB2312" w:hAnsi="仿宋_GB2312" w:eastAsia="仿宋_GB2312" w:cs="仿宋_GB2312"/>
          <w:sz w:val="32"/>
          <w:szCs w:val="32"/>
        </w:rPr>
        <w:t>推动</w:t>
      </w:r>
      <w:r>
        <w:rPr>
          <w:rFonts w:hint="eastAsia" w:cs="仿宋_GB2312"/>
          <w:sz w:val="32"/>
          <w:szCs w:val="32"/>
          <w:lang w:eastAsia="zh-CN"/>
        </w:rPr>
        <w:t>我市</w:t>
      </w:r>
      <w:r>
        <w:rPr>
          <w:rFonts w:hint="eastAsia" w:hAnsi="仿宋_GB2312" w:cs="仿宋_GB2312"/>
        </w:rPr>
        <w:t>住房和建设</w:t>
      </w:r>
      <w:r>
        <w:rPr>
          <w:rFonts w:hint="eastAsia" w:cs="仿宋_GB2312"/>
          <w:sz w:val="32"/>
          <w:szCs w:val="32"/>
          <w:lang w:eastAsia="zh-CN"/>
        </w:rPr>
        <w:t>领域</w:t>
      </w:r>
      <w:r>
        <w:rPr>
          <w:rFonts w:hint="eastAsia" w:ascii="仿宋_GB2312" w:hAnsi="仿宋_GB2312" w:eastAsia="仿宋_GB2312" w:cs="仿宋_GB2312"/>
          <w:sz w:val="32"/>
          <w:szCs w:val="32"/>
        </w:rPr>
        <w:t>严格规范公正文明执法，为市民和企业营造稳定公平</w:t>
      </w:r>
      <w:r>
        <w:rPr>
          <w:rFonts w:hint="eastAsia" w:cs="仿宋_GB2312"/>
          <w:sz w:val="32"/>
          <w:szCs w:val="32"/>
          <w:lang w:eastAsia="zh-CN"/>
        </w:rPr>
        <w:t>、</w:t>
      </w:r>
      <w:r>
        <w:rPr>
          <w:rFonts w:hint="eastAsia" w:ascii="仿宋_GB2312" w:hAnsi="仿宋_GB2312" w:eastAsia="仿宋_GB2312" w:cs="仿宋_GB2312"/>
          <w:sz w:val="32"/>
          <w:szCs w:val="32"/>
        </w:rPr>
        <w:t>透明</w:t>
      </w:r>
      <w:r>
        <w:rPr>
          <w:rFonts w:hint="eastAsia" w:cs="仿宋_GB2312"/>
          <w:sz w:val="32"/>
          <w:szCs w:val="32"/>
          <w:lang w:eastAsia="zh-CN"/>
        </w:rPr>
        <w:t>、</w:t>
      </w:r>
      <w:r>
        <w:rPr>
          <w:rFonts w:hint="eastAsia" w:ascii="仿宋_GB2312" w:hAnsi="仿宋_GB2312" w:eastAsia="仿宋_GB2312" w:cs="仿宋_GB2312"/>
          <w:sz w:val="32"/>
          <w:szCs w:val="32"/>
        </w:rPr>
        <w:t>可预期的法治化营商环境</w:t>
      </w:r>
      <w:r>
        <w:rPr>
          <w:rFonts w:hint="eastAsia" w:hAnsi="仿宋_GB2312" w:cs="仿宋_GB2312"/>
        </w:rPr>
        <w:t>，助力深圳高质量发展，有必要</w:t>
      </w:r>
      <w:r>
        <w:rPr>
          <w:rFonts w:hint="eastAsia" w:hAnsi="Calibri" w:cs="Times New Roman"/>
          <w:lang w:eastAsia="zh-CN"/>
        </w:rPr>
        <w:t>出台我</w:t>
      </w:r>
      <w:r>
        <w:rPr>
          <w:rFonts w:hint="eastAsia" w:hAnsi="Calibri" w:cs="Times New Roman"/>
        </w:rPr>
        <w:t>市</w:t>
      </w:r>
      <w:r>
        <w:rPr>
          <w:rFonts w:hint="eastAsia" w:hAnsi="仿宋_GB2312" w:cs="仿宋_GB2312"/>
        </w:rPr>
        <w:t>住房和建设</w:t>
      </w:r>
      <w:r>
        <w:rPr>
          <w:rFonts w:hint="eastAsia" w:hAnsi="Calibri" w:cs="Times New Roman"/>
        </w:rPr>
        <w:t>系统行政处罚裁量权基准。</w:t>
      </w:r>
    </w:p>
    <w:p>
      <w:pPr>
        <w:spacing w:line="560" w:lineRule="exact"/>
        <w:ind w:firstLineChars="200"/>
        <w:rPr>
          <w:rFonts w:hint="eastAsia" w:hAnsi="仿宋_GB2312" w:cs="仿宋_GB2312"/>
        </w:rPr>
      </w:pPr>
      <w:r>
        <w:rPr>
          <w:rFonts w:hint="eastAsia" w:ascii="黑体" w:hAnsi="黑体" w:eastAsia="黑体" w:cs="黑体"/>
        </w:rPr>
        <w:t>二、</w:t>
      </w:r>
      <w:r>
        <w:rPr>
          <w:rFonts w:hint="eastAsia" w:ascii="黑体" w:hAnsi="黑体" w:eastAsia="黑体" w:cs="黑体"/>
          <w:sz w:val="32"/>
          <w:szCs w:val="32"/>
        </w:rPr>
        <w:t>制定依据</w:t>
      </w:r>
    </w:p>
    <w:p>
      <w:pPr>
        <w:spacing w:line="560" w:lineRule="exact"/>
        <w:ind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中华人民共和国行政处罚法》、《国务院办公厅关于进一步规范行政裁量权基准制定和管理工作的意见》、《规范住房和城乡建设部工程建设行政处罚裁量权实施办法》、《广东省规范行政处罚裁量权规定》和《深圳市规范行政处罚裁量权若干规定》等法律、法规、规章及相关规定。</w:t>
      </w:r>
    </w:p>
    <w:p>
      <w:pPr>
        <w:spacing w:line="560" w:lineRule="exact"/>
        <w:ind w:firstLineChars="200"/>
        <w:rPr>
          <w:rFonts w:hint="eastAsia" w:ascii="黑体" w:hAnsi="黑体" w:eastAsia="黑体" w:cs="黑体"/>
        </w:rPr>
      </w:pPr>
      <w:r>
        <w:rPr>
          <w:rFonts w:hint="eastAsia" w:ascii="黑体" w:hAnsi="黑体" w:eastAsia="黑体" w:cs="黑体"/>
        </w:rPr>
        <w:t>三、主要内容</w:t>
      </w:r>
    </w:p>
    <w:p>
      <w:pPr>
        <w:spacing w:line="560" w:lineRule="exact"/>
        <w:ind w:firstLineChars="200"/>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lang w:eastAsia="zh-CN"/>
        </w:rPr>
        <w:t>（一）适用范围</w:t>
      </w:r>
    </w:p>
    <w:p>
      <w:pPr>
        <w:spacing w:line="560" w:lineRule="exact"/>
        <w:ind w:firstLineChars="200"/>
        <w:rPr>
          <w:rFonts w:hint="eastAsia" w:hAnsi="仿宋_GB2312" w:cs="仿宋_GB2312"/>
        </w:rPr>
      </w:pPr>
      <w:r>
        <w:rPr>
          <w:rFonts w:hint="eastAsia" w:ascii="仿宋_GB2312" w:hAnsi="仿宋_GB2312" w:eastAsia="仿宋_GB2312" w:cs="仿宋_GB2312"/>
          <w:sz w:val="32"/>
          <w:szCs w:val="32"/>
        </w:rPr>
        <w:t>《规则》适用</w:t>
      </w:r>
      <w:r>
        <w:rPr>
          <w:rFonts w:hint="eastAsia" w:ascii="仿宋_GB2312" w:hAnsi="仿宋_GB2312" w:eastAsia="仿宋_GB2312" w:cs="仿宋_GB2312"/>
          <w:sz w:val="32"/>
          <w:szCs w:val="32"/>
          <w:lang w:eastAsia="zh-CN"/>
        </w:rPr>
        <w:t>深圳</w:t>
      </w:r>
      <w:r>
        <w:rPr>
          <w:rFonts w:hint="eastAsia" w:ascii="仿宋_GB2312" w:hAnsi="仿宋_GB2312" w:eastAsia="仿宋_GB2312" w:cs="仿宋_GB2312"/>
          <w:sz w:val="32"/>
          <w:szCs w:val="32"/>
        </w:rPr>
        <w:t>市、区两级住房建设主管部门、城市更新主管部门。</w:t>
      </w:r>
    </w:p>
    <w:p>
      <w:pPr>
        <w:spacing w:line="560" w:lineRule="exact"/>
        <w:ind w:firstLineChars="200"/>
        <w:rPr>
          <w:rFonts w:hint="eastAsia" w:ascii="楷体_GB2312" w:hAnsi="楷体_GB2312" w:eastAsia="楷体_GB2312" w:cs="楷体_GB2312"/>
        </w:rPr>
      </w:pPr>
      <w:r>
        <w:rPr>
          <w:rFonts w:hint="eastAsia" w:ascii="楷体_GB2312" w:hAnsi="楷体_GB2312" w:eastAsia="楷体_GB2312" w:cs="楷体_GB2312"/>
          <w:sz w:val="32"/>
          <w:szCs w:val="32"/>
          <w:lang w:eastAsia="zh-CN"/>
        </w:rPr>
        <w:t>（二）</w:t>
      </w:r>
      <w:r>
        <w:rPr>
          <w:rFonts w:hint="eastAsia" w:ascii="楷体_GB2312" w:hAnsi="楷体_GB2312" w:eastAsia="楷体_GB2312" w:cs="楷体_GB2312"/>
          <w:sz w:val="32"/>
          <w:szCs w:val="32"/>
        </w:rPr>
        <w:t>裁量权基准体系</w:t>
      </w:r>
    </w:p>
    <w:p>
      <w:pPr>
        <w:spacing w:line="560" w:lineRule="exact"/>
        <w:ind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《规则》所指的行政处罚裁量权基准，包括《深圳市住房和建设系统行政处罚裁量权基准（202</w:t>
      </w:r>
      <w:r>
        <w:rPr>
          <w:rFonts w:hint="eastAsia" w:ascii="仿宋_GB2312" w:hAnsi="仿宋_GB2312" w:eastAsia="仿宋_GB2312" w:cs="仿宋_GB2312"/>
          <w:sz w:val="32"/>
          <w:szCs w:val="32"/>
          <w:lang w:val="en-US"/>
        </w:rPr>
        <w:t>5</w:t>
      </w:r>
      <w:r>
        <w:rPr>
          <w:rFonts w:hint="eastAsia" w:ascii="仿宋_GB2312" w:hAnsi="仿宋_GB2312" w:eastAsia="仿宋_GB2312" w:cs="仿宋_GB2312"/>
          <w:sz w:val="32"/>
          <w:szCs w:val="32"/>
        </w:rPr>
        <w:t>年版）》和《深圳市住房和建设系统免予行政处罚清单（202</w:t>
      </w:r>
      <w:r>
        <w:rPr>
          <w:rFonts w:hint="eastAsia" w:ascii="仿宋_GB2312" w:hAnsi="仿宋_GB2312" w:eastAsia="仿宋_GB2312" w:cs="仿宋_GB2312"/>
          <w:sz w:val="32"/>
          <w:szCs w:val="32"/>
          <w:lang w:val="en-US"/>
        </w:rPr>
        <w:t>5</w:t>
      </w:r>
      <w:r>
        <w:rPr>
          <w:rFonts w:hint="eastAsia" w:ascii="仿宋_GB2312" w:hAnsi="仿宋_GB2312" w:eastAsia="仿宋_GB2312" w:cs="仿宋_GB2312"/>
          <w:sz w:val="32"/>
          <w:szCs w:val="32"/>
        </w:rPr>
        <w:t>年版）》。其中，针对我市</w:t>
      </w:r>
      <w:r>
        <w:rPr>
          <w:rFonts w:hint="eastAsia" w:hAnsi="仿宋_GB2312" w:cs="仿宋_GB2312"/>
        </w:rPr>
        <w:t>住房和建设</w:t>
      </w:r>
      <w:r>
        <w:rPr>
          <w:rFonts w:hint="eastAsia" w:ascii="仿宋_GB2312" w:hAnsi="仿宋_GB2312" w:eastAsia="仿宋_GB2312" w:cs="仿宋_GB2312"/>
          <w:sz w:val="32"/>
          <w:szCs w:val="32"/>
        </w:rPr>
        <w:t>领域需</w:t>
      </w:r>
      <w:r>
        <w:rPr>
          <w:rFonts w:hint="eastAsia" w:cs="仿宋_GB2312"/>
          <w:sz w:val="32"/>
          <w:szCs w:val="32"/>
          <w:lang w:eastAsia="zh-CN"/>
        </w:rPr>
        <w:t>制定</w:t>
      </w:r>
      <w:r>
        <w:rPr>
          <w:rFonts w:hint="eastAsia" w:ascii="仿宋_GB2312" w:hAnsi="仿宋_GB2312" w:eastAsia="仿宋_GB2312" w:cs="仿宋_GB2312"/>
          <w:sz w:val="32"/>
          <w:szCs w:val="32"/>
        </w:rPr>
        <w:t>裁量空间及上级行政机关尚未</w:t>
      </w:r>
      <w:r>
        <w:rPr>
          <w:rFonts w:hint="eastAsia" w:cs="仿宋_GB2312"/>
          <w:sz w:val="32"/>
          <w:szCs w:val="32"/>
          <w:lang w:eastAsia="zh-CN"/>
        </w:rPr>
        <w:t>制定</w:t>
      </w:r>
      <w:r>
        <w:rPr>
          <w:rFonts w:hint="eastAsia" w:ascii="仿宋_GB2312" w:hAnsi="仿宋_GB2312" w:eastAsia="仿宋_GB2312" w:cs="仿宋_GB2312"/>
          <w:sz w:val="32"/>
          <w:szCs w:val="32"/>
        </w:rPr>
        <w:t>裁量权基准的</w:t>
      </w:r>
      <w:r>
        <w:rPr>
          <w:rFonts w:hint="eastAsia" w:ascii="仿宋_GB2312" w:hAnsi="仿宋_GB2312" w:eastAsia="仿宋_GB2312" w:cs="仿宋_GB2312"/>
          <w:sz w:val="32"/>
          <w:szCs w:val="32"/>
          <w:lang w:val="en"/>
        </w:rPr>
        <w:t>2</w:t>
      </w:r>
      <w:r>
        <w:rPr>
          <w:rFonts w:hint="eastAsia" w:ascii="仿宋_GB2312" w:hAnsi="仿宋_GB2312" w:eastAsia="仿宋_GB2312" w:cs="仿宋_GB2312"/>
          <w:sz w:val="32"/>
          <w:szCs w:val="32"/>
          <w:lang w:val="en-US"/>
        </w:rPr>
        <w:t>3</w:t>
      </w:r>
      <w:r>
        <w:rPr>
          <w:rFonts w:hint="eastAsia" w:ascii="仿宋_GB2312" w:hAnsi="仿宋_GB2312" w:eastAsia="仿宋_GB2312" w:cs="仿宋_GB2312"/>
          <w:sz w:val="32"/>
          <w:szCs w:val="32"/>
        </w:rPr>
        <w:t>部法律、法规、规章，</w:t>
      </w:r>
      <w:r>
        <w:rPr>
          <w:rFonts w:hint="eastAsia" w:ascii="仿宋_GB2312" w:hAnsi="仿宋_GB2312" w:eastAsia="仿宋_GB2312" w:cs="仿宋_GB2312"/>
          <w:sz w:val="32"/>
          <w:szCs w:val="32"/>
          <w:lang w:eastAsia="zh-CN"/>
        </w:rPr>
        <w:t>共</w:t>
      </w:r>
      <w:r>
        <w:rPr>
          <w:rFonts w:hint="eastAsia" w:cs="仿宋_GB2312"/>
          <w:sz w:val="32"/>
          <w:szCs w:val="32"/>
          <w:lang w:eastAsia="zh-CN"/>
        </w:rPr>
        <w:t>制定了</w:t>
      </w:r>
      <w:r>
        <w:rPr>
          <w:rFonts w:hint="eastAsia" w:ascii="仿宋_GB2312" w:hAnsi="仿宋_GB2312" w:eastAsia="仿宋_GB2312" w:cs="仿宋_GB2312"/>
          <w:sz w:val="32"/>
          <w:szCs w:val="32"/>
          <w:lang w:val="en"/>
        </w:rPr>
        <w:t>2</w:t>
      </w:r>
      <w:r>
        <w:rPr>
          <w:rFonts w:hint="eastAsia" w:ascii="仿宋_GB2312" w:hAnsi="仿宋_GB2312" w:eastAsia="仿宋_GB2312" w:cs="仿宋_GB2312"/>
          <w:sz w:val="32"/>
          <w:szCs w:val="32"/>
          <w:lang w:val="en-US"/>
        </w:rPr>
        <w:t>6</w:t>
      </w:r>
      <w:r>
        <w:rPr>
          <w:rFonts w:hint="eastAsia" w:cs="仿宋_GB2312"/>
          <w:sz w:val="32"/>
          <w:szCs w:val="32"/>
          <w:lang w:val="en-US" w:eastAsia="zh-CN"/>
        </w:rPr>
        <w:t>4</w:t>
      </w:r>
      <w:r>
        <w:rPr>
          <w:rFonts w:hint="eastAsia" w:ascii="仿宋_GB2312" w:hAnsi="仿宋_GB2312" w:eastAsia="仿宋_GB2312" w:cs="仿宋_GB2312"/>
          <w:sz w:val="32"/>
          <w:szCs w:val="32"/>
        </w:rPr>
        <w:t>个裁量基准表格，形成了《深圳市住房和建设系统行政处罚裁量权基准适用规则（202</w:t>
      </w:r>
      <w:r>
        <w:rPr>
          <w:rFonts w:hint="eastAsia" w:ascii="仿宋_GB2312" w:hAnsi="仿宋_GB2312" w:eastAsia="仿宋_GB2312" w:cs="仿宋_GB2312"/>
          <w:sz w:val="32"/>
          <w:szCs w:val="32"/>
          <w:lang w:val="en-US"/>
        </w:rPr>
        <w:t>5</w:t>
      </w:r>
      <w:r>
        <w:rPr>
          <w:rFonts w:hint="eastAsia" w:ascii="仿宋_GB2312" w:hAnsi="仿宋_GB2312" w:eastAsia="仿宋_GB2312" w:cs="仿宋_GB2312"/>
          <w:sz w:val="32"/>
          <w:szCs w:val="32"/>
        </w:rPr>
        <w:t>版）》。</w:t>
      </w:r>
    </w:p>
    <w:p>
      <w:pPr>
        <w:spacing w:line="560" w:lineRule="exact"/>
        <w:ind w:firstLine="640" w:firstLineChars="200"/>
        <w:jc w:val="left"/>
        <w:rPr>
          <w:rFonts w:hint="eastAsia" w:ascii="楷体_GB2312" w:hAnsi="楷体_GB2312" w:eastAsia="楷体_GB2312" w:cs="楷体_GB2312"/>
        </w:rPr>
      </w:pPr>
      <w:r>
        <w:rPr>
          <w:rFonts w:hint="eastAsia" w:ascii="楷体_GB2312" w:hAnsi="楷体_GB2312" w:eastAsia="楷体_GB2312" w:cs="楷体_GB2312"/>
        </w:rPr>
        <w:t>（三）明确裁量阶次</w:t>
      </w:r>
    </w:p>
    <w:p>
      <w:pPr>
        <w:spacing w:line="560" w:lineRule="exact"/>
        <w:ind w:firstLine="640" w:firstLineChars="200"/>
        <w:jc w:val="left"/>
        <w:rPr>
          <w:rFonts w:hint="eastAsia"/>
        </w:rPr>
      </w:pPr>
      <w:r>
        <w:rPr>
          <w:rFonts w:hint="eastAsia"/>
        </w:rPr>
        <w:t>根据违法行为的具体情节，将裁量阶次分为“从轻”、“一般”、“从重”三个阶次，综合考虑违法行为性质、情节、社会危害程度等因素进行确定。</w:t>
      </w:r>
    </w:p>
    <w:p>
      <w:pPr>
        <w:spacing w:line="560" w:lineRule="exact"/>
        <w:ind w:firstLine="640" w:firstLineChars="200"/>
        <w:contextualSpacing/>
        <w:rPr>
          <w:rFonts w:hint="eastAsia" w:hAnsi="Calibri" w:eastAsia="黑体" w:cs="Times New Roman"/>
          <w:lang w:val="en" w:eastAsia="zh-CN"/>
        </w:rPr>
      </w:pPr>
      <w:r>
        <w:rPr>
          <w:rFonts w:hint="eastAsia" w:ascii="黑体" w:hAnsi="黑体" w:eastAsia="黑体" w:cs="黑体"/>
          <w:lang w:eastAsia="zh-CN"/>
        </w:rPr>
        <w:t>四</w:t>
      </w:r>
      <w:r>
        <w:rPr>
          <w:rFonts w:hint="eastAsia" w:ascii="黑体" w:hAnsi="黑体" w:eastAsia="黑体" w:cs="黑体"/>
        </w:rPr>
        <w:t>、</w:t>
      </w:r>
      <w:r>
        <w:rPr>
          <w:rFonts w:hint="eastAsia" w:ascii="黑体" w:hAnsi="黑体" w:eastAsia="黑体" w:cs="黑体"/>
          <w:lang w:val="en-US" w:eastAsia="zh-CN"/>
        </w:rPr>
        <w:t>其他事项</w:t>
      </w:r>
    </w:p>
    <w:p>
      <w:pPr>
        <w:spacing w:line="560" w:lineRule="exact"/>
        <w:ind w:firstLine="640" w:firstLineChars="200"/>
        <w:contextualSpacing/>
        <w:rPr>
          <w:rFonts w:hint="eastAsia"/>
        </w:rPr>
      </w:pPr>
      <w:r>
        <w:rPr>
          <w:rFonts w:hint="eastAsia" w:hAnsi="Calibri" w:cs="Times New Roman"/>
        </w:rPr>
        <w:t>《规则》自202</w:t>
      </w:r>
      <w:r>
        <w:rPr>
          <w:rFonts w:hint="eastAsia" w:hAnsi="Calibri" w:cs="Times New Roman"/>
          <w:lang w:val="en-US" w:eastAsia="zh-CN"/>
        </w:rPr>
        <w:t>5</w:t>
      </w:r>
      <w:r>
        <w:rPr>
          <w:rFonts w:hint="eastAsia" w:hAnsi="Calibri" w:cs="Times New Roman"/>
        </w:rPr>
        <w:t>年</w:t>
      </w:r>
      <w:r>
        <w:rPr>
          <w:rFonts w:hint="eastAsia" w:hAnsi="Calibri" w:cs="Times New Roman"/>
          <w:lang w:val="en-US" w:eastAsia="zh-CN"/>
        </w:rPr>
        <w:t>6</w:t>
      </w:r>
      <w:r>
        <w:rPr>
          <w:rFonts w:hint="eastAsia" w:hAnsi="Calibri" w:cs="Times New Roman"/>
        </w:rPr>
        <w:t>月</w:t>
      </w:r>
      <w:r>
        <w:rPr>
          <w:rFonts w:hint="eastAsia" w:hAnsi="Calibri" w:cs="Times New Roman"/>
          <w:lang w:val="en-US" w:eastAsia="zh-CN"/>
        </w:rPr>
        <w:t>10</w:t>
      </w:r>
      <w:r>
        <w:rPr>
          <w:rFonts w:hint="eastAsia" w:hAnsi="Calibri" w:cs="Times New Roman"/>
        </w:rPr>
        <w:t>日起施行，有效期</w:t>
      </w:r>
      <w:r>
        <w:rPr>
          <w:rFonts w:hint="eastAsia" w:hAnsi="Calibri" w:cs="Times New Roman"/>
          <w:lang w:eastAsia="zh-CN"/>
        </w:rPr>
        <w:t>五</w:t>
      </w:r>
      <w:r>
        <w:rPr>
          <w:rFonts w:hint="eastAsia" w:hAnsi="Calibri" w:cs="Times New Roman"/>
        </w:rPr>
        <w:t>年。</w:t>
      </w:r>
    </w:p>
    <w:p>
      <w:pPr>
        <w:ind w:firstLineChars="200"/>
        <w:rPr>
          <w:rFonts w:hint="eastAsia" w:hAnsi="Calibri" w:cs="Times New Roman"/>
        </w:rPr>
      </w:pPr>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amp;*()_+"/>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amp;*()_+"/>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CESI黑体-GB2312">
    <w:panose1 w:val="02000500000000000000"/>
    <w:charset w:val="86"/>
    <w:family w:val="auto"/>
    <w:pitch w:val="default"/>
    <w:sig w:usb0="800002BF" w:usb1="184F6CF8" w:usb2="00000012" w:usb3="00000000" w:csb0="0004000F" w:csb1="00000000"/>
  </w:font>
  <w:font w:name="方正小标宋简体">
    <w:panose1 w:val="03000509000000000000"/>
    <w:charset w:val="86"/>
    <w:family w:val="auto"/>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Arial">
    <w:altName w:val="DejaVu Sans"/>
    <w:panose1 w:val="00000000000000000000"/>
    <w:charset w:val="00"/>
    <w:family w:val="auto"/>
    <w:pitch w:val="default"/>
    <w:sig w:usb0="00000000" w:usb1="00000000" w:usb2="00000000" w:usb3="00000000" w:csb0="00000000" w:csb1="00000000"/>
  </w:font>
  <w:font w:name="!@#$%^&amp;*()_+">
    <w:panose1 w:val="00000400000000000000"/>
    <w:charset w:val="00"/>
    <w:family w:val="auto"/>
    <w:pitch w:val="default"/>
    <w:sig w:usb0="00000000" w:usb1="00000000" w:usb2="00000000" w:usb3="00000000" w:csb0="00000000" w:csb1="00004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hfn7MQIAAGE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uhoXX2o+guYO8vCVu8sj2miet6ujgFidhpHgXpVBt0weV2XhlcSR/vPfRf1+GdY&#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a4X5+zECAABhBAAADgAAAAAAAAABACAAAAA1&#10;AQAAZHJzL2Uyb0RvYy54bWxQSwUGAAAAAAYABgBZAQAA2AUAAAAA&#10;">
              <v:fill on="f" focussize="0,0"/>
              <v:stroke on="f" weight="0.5pt"/>
              <v:imagedata o:title=""/>
              <o:lock v:ext="edit" aspectratio="f"/>
              <v:textbox inset="0mm,0mm,0mm,0mm" style="mso-fit-shape-to-text:t;">
                <w:txbxContent>
                  <w:p>
                    <w:pPr>
                      <w:pStyle w:val="5"/>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6"/>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U5NjU2OTA3Y2U2MzQ3MTViYTNhNjM1OGFjNjMwZGYifQ=="/>
  </w:docVars>
  <w:rsids>
    <w:rsidRoot w:val="3BFFDD4C"/>
    <w:rsid w:val="00101229"/>
    <w:rsid w:val="00630525"/>
    <w:rsid w:val="0071144A"/>
    <w:rsid w:val="00890DFB"/>
    <w:rsid w:val="0091041A"/>
    <w:rsid w:val="00D42523"/>
    <w:rsid w:val="00D75488"/>
    <w:rsid w:val="00DD370F"/>
    <w:rsid w:val="00F35AC9"/>
    <w:rsid w:val="00FD2230"/>
    <w:rsid w:val="0FFB545C"/>
    <w:rsid w:val="10FF7D96"/>
    <w:rsid w:val="177A481B"/>
    <w:rsid w:val="2BF7593D"/>
    <w:rsid w:val="35FED0C0"/>
    <w:rsid w:val="37FFD11C"/>
    <w:rsid w:val="3A44679F"/>
    <w:rsid w:val="3BBF9AB7"/>
    <w:rsid w:val="3BFFDD4C"/>
    <w:rsid w:val="3C5D6B8C"/>
    <w:rsid w:val="3D797634"/>
    <w:rsid w:val="3DBD5DFF"/>
    <w:rsid w:val="3DDF2B13"/>
    <w:rsid w:val="3EFF0283"/>
    <w:rsid w:val="3F757F06"/>
    <w:rsid w:val="3FDF0D8B"/>
    <w:rsid w:val="46795D13"/>
    <w:rsid w:val="4BFFABC1"/>
    <w:rsid w:val="4F2FC03A"/>
    <w:rsid w:val="4FFDAB14"/>
    <w:rsid w:val="56B5CCC7"/>
    <w:rsid w:val="5A53EB1C"/>
    <w:rsid w:val="5BEE0640"/>
    <w:rsid w:val="5DF5AF33"/>
    <w:rsid w:val="5E3F13B8"/>
    <w:rsid w:val="5EC40D28"/>
    <w:rsid w:val="5F726574"/>
    <w:rsid w:val="5F7D37F3"/>
    <w:rsid w:val="5FFD1432"/>
    <w:rsid w:val="6776DF3C"/>
    <w:rsid w:val="68EEE599"/>
    <w:rsid w:val="6CA8F079"/>
    <w:rsid w:val="6ECF4952"/>
    <w:rsid w:val="6EFE7271"/>
    <w:rsid w:val="6F6FCD8F"/>
    <w:rsid w:val="6F7E4B3A"/>
    <w:rsid w:val="6FEF190C"/>
    <w:rsid w:val="751E119B"/>
    <w:rsid w:val="775FB231"/>
    <w:rsid w:val="79D926A2"/>
    <w:rsid w:val="7B57D997"/>
    <w:rsid w:val="7B97F347"/>
    <w:rsid w:val="7BF45DBA"/>
    <w:rsid w:val="7DF7DFAD"/>
    <w:rsid w:val="7E1DB636"/>
    <w:rsid w:val="7EB995D3"/>
    <w:rsid w:val="7EFD3C4A"/>
    <w:rsid w:val="7F6D557B"/>
    <w:rsid w:val="7F7D5AA0"/>
    <w:rsid w:val="7FCF66D7"/>
    <w:rsid w:val="7FEF5C2D"/>
    <w:rsid w:val="7FFB9CB7"/>
    <w:rsid w:val="7FFE2E98"/>
    <w:rsid w:val="7FFFD289"/>
    <w:rsid w:val="932B0758"/>
    <w:rsid w:val="93FDAADB"/>
    <w:rsid w:val="97F7DE2E"/>
    <w:rsid w:val="9DD575A7"/>
    <w:rsid w:val="9FEFBE9F"/>
    <w:rsid w:val="AD6F900C"/>
    <w:rsid w:val="B49FC0FC"/>
    <w:rsid w:val="BAF71944"/>
    <w:rsid w:val="BBFF6B2B"/>
    <w:rsid w:val="BCF67F98"/>
    <w:rsid w:val="BCFE222E"/>
    <w:rsid w:val="BE24F101"/>
    <w:rsid w:val="C6EF5E17"/>
    <w:rsid w:val="CCFD1E12"/>
    <w:rsid w:val="CE1B9928"/>
    <w:rsid w:val="D7FD241C"/>
    <w:rsid w:val="D8FC4F9B"/>
    <w:rsid w:val="DBFF6AD7"/>
    <w:rsid w:val="DFEF8694"/>
    <w:rsid w:val="DFF4D08C"/>
    <w:rsid w:val="E3F73F3F"/>
    <w:rsid w:val="E6736559"/>
    <w:rsid w:val="E779680C"/>
    <w:rsid w:val="EC9E88C5"/>
    <w:rsid w:val="ECBE91C1"/>
    <w:rsid w:val="ECFF6B01"/>
    <w:rsid w:val="ED5F325A"/>
    <w:rsid w:val="EDFC87C2"/>
    <w:rsid w:val="EE67F28C"/>
    <w:rsid w:val="EEFE0558"/>
    <w:rsid w:val="EF68A425"/>
    <w:rsid w:val="EFDF4B63"/>
    <w:rsid w:val="EFEF8E9F"/>
    <w:rsid w:val="F1FA3461"/>
    <w:rsid w:val="F4F9AE5F"/>
    <w:rsid w:val="F5BE4DF7"/>
    <w:rsid w:val="F77D18AF"/>
    <w:rsid w:val="F7DD098B"/>
    <w:rsid w:val="F972ADC7"/>
    <w:rsid w:val="F9BDED38"/>
    <w:rsid w:val="FA737229"/>
    <w:rsid w:val="FACD5F8E"/>
    <w:rsid w:val="FADE9264"/>
    <w:rsid w:val="FB5E562D"/>
    <w:rsid w:val="FB7B7F7A"/>
    <w:rsid w:val="FB97D782"/>
    <w:rsid w:val="FBDE73B9"/>
    <w:rsid w:val="FCFE15CB"/>
    <w:rsid w:val="FD936308"/>
    <w:rsid w:val="FDDA1CD8"/>
    <w:rsid w:val="FE9F55E2"/>
    <w:rsid w:val="FEF6E403"/>
    <w:rsid w:val="FFD3A761"/>
    <w:rsid w:val="FFDE3524"/>
    <w:rsid w:val="FFFBF057"/>
    <w:rsid w:val="FFFF965F"/>
    <w:rsid w:val="FFFFE7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仿宋_GB2312" w:eastAsia="仿宋_GB2312" w:cs="仿宋_GB2312"/>
      <w:kern w:val="2"/>
      <w:sz w:val="32"/>
      <w:szCs w:val="32"/>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3">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4">
    <w:name w:val="Plain Text"/>
    <w:unhideWhenUsed/>
    <w:qFormat/>
    <w:uiPriority w:val="99"/>
    <w:pPr>
      <w:widowControl w:val="0"/>
      <w:spacing w:line="600" w:lineRule="exact"/>
      <w:jc w:val="both"/>
    </w:pPr>
    <w:rPr>
      <w:rFonts w:ascii="宋体" w:hAnsi="Courier New" w:eastAsia="仿宋_GB2312" w:cs="Times New Roman"/>
      <w:kern w:val="2"/>
      <w:sz w:val="32"/>
      <w:szCs w:val="24"/>
      <w:lang w:val="en-US" w:eastAsia="zh-CN" w:bidi="ar-SA"/>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10">
    <w:name w:val="Revision"/>
    <w:hidden/>
    <w:unhideWhenUsed/>
    <w:qFormat/>
    <w:uiPriority w:val="99"/>
    <w:rPr>
      <w:rFonts w:ascii="仿宋_GB2312" w:hAnsi="仿宋_GB2312" w:eastAsia="仿宋_GB2312" w:cs="仿宋_GB2312"/>
      <w:kern w:val="2"/>
      <w:sz w:val="32"/>
      <w:szCs w:val="3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201</Words>
  <Characters>1148</Characters>
  <Lines>9</Lines>
  <Paragraphs>2</Paragraphs>
  <TotalTime>1</TotalTime>
  <ScaleCrop>false</ScaleCrop>
  <LinksUpToDate>false</LinksUpToDate>
  <CharactersWithSpaces>1347</CharactersWithSpaces>
  <Application>WPS Office_11.8.2.1131_F1E327BC-269C-435d-A152-05C5408002CA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2024-12-06T19:30:00Z</dcterms:created>
  <dc:creator>liu</dc:creator>
  <cp:lastModifiedBy>liu</cp:lastModifiedBy>
  <cp:lastPrinted>2024-03-01T17:14:00Z</cp:lastPrinted>
  <dcterms:modified xsi:type="dcterms:W3CDTF">2025-05-27T09:39:40Z</dcterms:modified>
  <dc:title>关于修订《深圳市住房和建设行政处罚自由裁量权基准适用规则（征求意见稿）》</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2052-11.8.2.1131</vt:lpwstr>
  </property>
  <property fmtid="{D5CDD505-2E9C-101B-9397-08002B2CF9AE}" pid="3" name="ICV">
    <vt:lpwstr>9040AF51306CB967C5173568EF2AABD3</vt:lpwstr>
  </property>
</Properties>
</file>